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5.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3F" w:rsidRDefault="000D733F">
      <w:pPr>
        <w:spacing w:after="200" w:line="276" w:lineRule="auto"/>
      </w:pPr>
      <w:bookmarkStart w:id="0" w:name="_GoBack"/>
      <w:bookmarkEnd w:id="0"/>
    </w:p>
    <w:p w:rsidR="000D733F" w:rsidRDefault="000D733F" w:rsidP="009E79EC"/>
    <w:p w:rsidR="000D733F" w:rsidRDefault="000D733F">
      <w:pPr>
        <w:spacing w:after="200" w:line="276" w:lineRule="auto"/>
      </w:pPr>
    </w:p>
    <w:p w:rsidR="000D733F" w:rsidRDefault="000D733F">
      <w:pPr>
        <w:spacing w:after="200" w:line="276" w:lineRule="auto"/>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0D733F" w:rsidRPr="001227C3" w:rsidRDefault="000D733F" w:rsidP="000D733F">
      <w:pPr>
        <w:pStyle w:val="Title"/>
        <w:ind w:left="2694" w:right="-624"/>
        <w:rPr>
          <w:noProof/>
          <w:color w:val="FFFFFF"/>
          <w:spacing w:val="0"/>
          <w:sz w:val="50"/>
          <w:szCs w:val="50"/>
          <w:lang w:val="en-US" w:eastAsia="en-US"/>
        </w:rPr>
      </w:pPr>
      <w:r w:rsidRPr="001227C3">
        <w:rPr>
          <w:noProof/>
          <w:color w:val="FFFFFF"/>
          <w:spacing w:val="0"/>
          <w:sz w:val="50"/>
          <w:szCs w:val="50"/>
          <w:lang w:val="en-US" w:eastAsia="en-US"/>
        </w:rPr>
        <w:t xml:space="preserve">Aid Program Performance Report 2013-14 </w:t>
      </w:r>
      <w:r w:rsidRPr="001227C3">
        <w:rPr>
          <w:noProof/>
          <w:color w:val="FFFFFF"/>
          <w:spacing w:val="0"/>
          <w:sz w:val="50"/>
          <w:szCs w:val="50"/>
        </w:rPr>
        <w:drawing>
          <wp:anchor distT="0" distB="0" distL="114300" distR="114300" simplePos="0" relativeHeight="251662336" behindDoc="1" locked="1" layoutInCell="1" allowOverlap="1" wp14:anchorId="7A9DA8A0" wp14:editId="0D5B0361">
            <wp:simplePos x="0" y="0"/>
            <wp:positionH relativeFrom="page">
              <wp:align>left</wp:align>
            </wp:positionH>
            <wp:positionV relativeFrom="page">
              <wp:align>top</wp:align>
            </wp:positionV>
            <wp:extent cx="7558405" cy="10691495"/>
            <wp:effectExtent l="0" t="0" r="4445" b="0"/>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D733F" w:rsidRPr="001227C3" w:rsidRDefault="0067387A" w:rsidP="000D733F">
      <w:pPr>
        <w:pStyle w:val="Subtitle"/>
        <w:ind w:left="2694" w:right="-624"/>
        <w:rPr>
          <w:noProof/>
          <w:color w:val="FFFFFF"/>
          <w:spacing w:val="0"/>
          <w:sz w:val="32"/>
          <w:szCs w:val="32"/>
          <w:lang w:val="en-US" w:eastAsia="en-US"/>
        </w:rPr>
      </w:pPr>
      <w:r>
        <w:rPr>
          <w:noProof/>
          <w:color w:val="FFFFFF"/>
          <w:spacing w:val="0"/>
          <w:sz w:val="32"/>
          <w:szCs w:val="32"/>
          <w:lang w:val="en-US" w:eastAsia="en-US"/>
        </w:rPr>
        <w:t>East Asia Regional Program</w:t>
      </w:r>
      <w:r w:rsidR="000D733F" w:rsidRPr="001227C3">
        <w:rPr>
          <w:noProof/>
          <w:color w:val="FFFFFF"/>
          <w:spacing w:val="0"/>
          <w:sz w:val="32"/>
          <w:szCs w:val="32"/>
          <w:lang w:val="en-US" w:eastAsia="en-US"/>
        </w:rPr>
        <w:t xml:space="preserve"> </w:t>
      </w:r>
    </w:p>
    <w:p w:rsidR="000D733F" w:rsidRDefault="000D733F" w:rsidP="001227C3">
      <w:pPr>
        <w:pStyle w:val="Date"/>
        <w:spacing w:before="200" w:after="600" w:line="380" w:lineRule="atLeast"/>
        <w:ind w:left="2694" w:right="-624"/>
        <w:rPr>
          <w:rFonts w:ascii="Helvetica" w:eastAsia="Times New Roman" w:hAnsi="Helvetica"/>
          <w:noProof/>
          <w:color w:val="FFFFFF"/>
          <w:kern w:val="28"/>
          <w:sz w:val="24"/>
          <w:lang w:val="en-US" w:eastAsia="en-US"/>
        </w:rPr>
      </w:pPr>
      <w:r w:rsidRPr="001227C3">
        <w:rPr>
          <w:rFonts w:ascii="Helvetica" w:eastAsia="Times New Roman" w:hAnsi="Helvetica"/>
          <w:noProof/>
          <w:color w:val="FFFFFF"/>
          <w:kern w:val="28"/>
          <w:sz w:val="24"/>
          <w:lang w:val="en-US" w:eastAsia="en-US"/>
        </w:rPr>
        <w:t>September 2014</w:t>
      </w:r>
    </w:p>
    <w:p w:rsidR="001D6059" w:rsidRDefault="001D6059" w:rsidP="00CD061B">
      <w:pPr>
        <w:rPr>
          <w:lang w:val="en-US" w:eastAsia="en-US"/>
        </w:rPr>
      </w:pPr>
    </w:p>
    <w:p w:rsidR="00AC6F49" w:rsidRDefault="00AC6F49">
      <w:pPr>
        <w:spacing w:after="200" w:line="276" w:lineRule="auto"/>
        <w:rPr>
          <w:lang w:val="en-US" w:eastAsia="en-US"/>
        </w:rPr>
      </w:pPr>
      <w:r>
        <w:rPr>
          <w:lang w:val="en-US" w:eastAsia="en-US"/>
        </w:rPr>
        <w:br w:type="page"/>
      </w:r>
    </w:p>
    <w:p w:rsidR="005B42EE" w:rsidRPr="00CD061B" w:rsidRDefault="005B42EE" w:rsidP="00CD061B">
      <w:pPr>
        <w:rPr>
          <w:lang w:val="en-US" w:eastAsia="en-US"/>
        </w:rPr>
        <w:sectPr w:rsidR="005B42EE" w:rsidRPr="00CD061B" w:rsidSect="000D733F">
          <w:headerReference w:type="even" r:id="rId10"/>
          <w:headerReference w:type="default" r:id="rId11"/>
          <w:footerReference w:type="even" r:id="rId12"/>
          <w:footerReference w:type="default" r:id="rId13"/>
          <w:headerReference w:type="first" r:id="rId14"/>
          <w:footerReference w:type="first" r:id="rId15"/>
          <w:pgSz w:w="11907" w:h="16840" w:code="9"/>
          <w:pgMar w:top="2268" w:right="1871" w:bottom="907" w:left="1871" w:header="851" w:footer="454" w:gutter="0"/>
          <w:cols w:space="720"/>
          <w:docGrid w:linePitch="272"/>
        </w:sectPr>
      </w:pPr>
    </w:p>
    <w:p w:rsidR="000D733F" w:rsidRPr="00B43B60" w:rsidRDefault="000D733F" w:rsidP="000D733F">
      <w:pPr>
        <w:pStyle w:val="Heading2"/>
        <w:rPr>
          <w:rStyle w:val="BodyTextChar"/>
          <w:color w:val="auto"/>
        </w:rPr>
      </w:pPr>
      <w:bookmarkStart w:id="1" w:name="_Toc373853205"/>
      <w:r w:rsidRPr="009E38C1">
        <w:rPr>
          <w:sz w:val="28"/>
        </w:rPr>
        <w:lastRenderedPageBreak/>
        <w:t>Key Messages</w:t>
      </w:r>
      <w:bookmarkEnd w:id="1"/>
      <w:r w:rsidRPr="009E38C1">
        <w:rPr>
          <w:sz w:val="28"/>
        </w:rPr>
        <w:tab/>
      </w:r>
      <w:r w:rsidRPr="009E38C1">
        <w:rPr>
          <w:sz w:val="28"/>
        </w:rPr>
        <w:tab/>
      </w:r>
      <w:r>
        <w:rPr>
          <w:sz w:val="32"/>
          <w:szCs w:val="32"/>
        </w:rPr>
        <w:tab/>
      </w:r>
      <w:r>
        <w:rPr>
          <w:sz w:val="32"/>
          <w:szCs w:val="32"/>
        </w:rPr>
        <w:tab/>
      </w:r>
      <w:r>
        <w:rPr>
          <w:sz w:val="32"/>
          <w:szCs w:val="32"/>
        </w:rPr>
        <w:tab/>
      </w:r>
      <w:r>
        <w:rPr>
          <w:sz w:val="32"/>
          <w:szCs w:val="32"/>
        </w:rPr>
        <w:tab/>
      </w:r>
    </w:p>
    <w:p w:rsidR="0062472A" w:rsidRDefault="0067387A" w:rsidP="0067387A">
      <w:pPr>
        <w:pStyle w:val="ListBullet"/>
        <w:numPr>
          <w:ilvl w:val="0"/>
          <w:numId w:val="0"/>
        </w:numPr>
      </w:pPr>
      <w:r>
        <w:t xml:space="preserve">This Aid Program </w:t>
      </w:r>
      <w:r w:rsidR="00F13A73">
        <w:t>Performance</w:t>
      </w:r>
      <w:r>
        <w:t xml:space="preserve"> Report for the Eas</w:t>
      </w:r>
      <w:r w:rsidR="003E0A3E">
        <w:t xml:space="preserve">t Asia Regional program </w:t>
      </w:r>
      <w:r>
        <w:t xml:space="preserve">reports progress </w:t>
      </w:r>
      <w:r w:rsidR="002028C1">
        <w:t xml:space="preserve">in 2013–14 </w:t>
      </w:r>
      <w:r w:rsidRPr="00C10061">
        <w:t xml:space="preserve">against the </w:t>
      </w:r>
      <w:r w:rsidR="001077C7">
        <w:t xml:space="preserve">three </w:t>
      </w:r>
      <w:r w:rsidRPr="00C10061">
        <w:t xml:space="preserve">objectives of </w:t>
      </w:r>
      <w:r>
        <w:t>the</w:t>
      </w:r>
      <w:r w:rsidRPr="00C10061">
        <w:t xml:space="preserve"> </w:t>
      </w:r>
      <w:r w:rsidR="001F5D1E">
        <w:t>interim</w:t>
      </w:r>
      <w:r w:rsidRPr="00C10061">
        <w:t xml:space="preserve"> </w:t>
      </w:r>
      <w:r>
        <w:t xml:space="preserve">regional </w:t>
      </w:r>
      <w:r w:rsidRPr="00C10061">
        <w:t xml:space="preserve">strategy </w:t>
      </w:r>
      <w:r w:rsidR="003E0A3E" w:rsidRPr="00782315">
        <w:t xml:space="preserve">(see page </w:t>
      </w:r>
      <w:r w:rsidR="0062472A">
        <w:t>3</w:t>
      </w:r>
      <w:r w:rsidRPr="00782315">
        <w:t>).</w:t>
      </w:r>
      <w:r>
        <w:t xml:space="preserve"> </w:t>
      </w:r>
    </w:p>
    <w:p w:rsidR="0062472A" w:rsidRDefault="00BA184B" w:rsidP="0062472A">
      <w:pPr>
        <w:pStyle w:val="ListBullet"/>
        <w:numPr>
          <w:ilvl w:val="0"/>
          <w:numId w:val="0"/>
        </w:numPr>
      </w:pPr>
      <w:r>
        <w:t>O</w:t>
      </w:r>
      <w:r w:rsidRPr="00227657">
        <w:t xml:space="preserve">verall </w:t>
      </w:r>
      <w:r>
        <w:t>progress towards achieving the objectives is</w:t>
      </w:r>
      <w:r w:rsidRPr="00227657">
        <w:t xml:space="preserve"> </w:t>
      </w:r>
      <w:r>
        <w:t>adequate</w:t>
      </w:r>
      <w:r w:rsidR="0062472A">
        <w:t xml:space="preserve">. </w:t>
      </w:r>
      <w:r w:rsidR="0062472A" w:rsidRPr="00C10061">
        <w:t xml:space="preserve">Budget reductions </w:t>
      </w:r>
      <w:r w:rsidR="0062472A">
        <w:t xml:space="preserve">during 2014 did not impact negatively on the </w:t>
      </w:r>
      <w:r w:rsidR="0062472A" w:rsidRPr="00C10061">
        <w:t xml:space="preserve">delivery of </w:t>
      </w:r>
      <w:r w:rsidR="0062472A">
        <w:t xml:space="preserve">the </w:t>
      </w:r>
      <w:r w:rsidR="0062472A" w:rsidRPr="00C10061">
        <w:t>progr</w:t>
      </w:r>
      <w:r w:rsidR="0062472A">
        <w:t xml:space="preserve">am’s outcomes. </w:t>
      </w:r>
    </w:p>
    <w:p w:rsidR="0062472A" w:rsidRPr="00393307" w:rsidRDefault="00AB7149" w:rsidP="0067387A">
      <w:pPr>
        <w:pStyle w:val="ListBullet"/>
        <w:numPr>
          <w:ilvl w:val="0"/>
          <w:numId w:val="0"/>
        </w:numPr>
      </w:pPr>
      <w:r>
        <w:t>Key a</w:t>
      </w:r>
      <w:r w:rsidR="0062472A" w:rsidRPr="00393307">
        <w:t xml:space="preserve">chievements </w:t>
      </w:r>
      <w:r w:rsidR="007D52CA" w:rsidRPr="00393307">
        <w:t xml:space="preserve">during 2013–14 </w:t>
      </w:r>
      <w:r w:rsidR="0062472A" w:rsidRPr="00393307">
        <w:t>include:</w:t>
      </w:r>
    </w:p>
    <w:p w:rsidR="0062472A" w:rsidRPr="00393307" w:rsidRDefault="00F13A73" w:rsidP="000149D1">
      <w:pPr>
        <w:pStyle w:val="ListBullet"/>
        <w:numPr>
          <w:ilvl w:val="0"/>
          <w:numId w:val="29"/>
        </w:numPr>
      </w:pPr>
      <w:r>
        <w:t>Australian supported investments contribute</w:t>
      </w:r>
      <w:r w:rsidR="00D216BA">
        <w:t>d</w:t>
      </w:r>
      <w:r>
        <w:t xml:space="preserve"> positively to </w:t>
      </w:r>
      <w:r w:rsidR="00393307">
        <w:t xml:space="preserve">progress toward implementation of the </w:t>
      </w:r>
      <w:r w:rsidR="00393307" w:rsidRPr="00F36FC1">
        <w:rPr>
          <w:rFonts w:eastAsiaTheme="minorHAnsi" w:cstheme="minorBidi"/>
          <w:iCs/>
          <w:lang w:eastAsia="en-US"/>
        </w:rPr>
        <w:t>Association of Southeast Asian Nations</w:t>
      </w:r>
      <w:r w:rsidR="001919B1">
        <w:t xml:space="preserve"> (ASEAN) Economic Community</w:t>
      </w:r>
      <w:r w:rsidR="00393307">
        <w:t xml:space="preserve"> </w:t>
      </w:r>
    </w:p>
    <w:p w:rsidR="0050460A" w:rsidRDefault="0050460A" w:rsidP="000149D1">
      <w:pPr>
        <w:pStyle w:val="ListBullet"/>
        <w:numPr>
          <w:ilvl w:val="0"/>
          <w:numId w:val="29"/>
        </w:numPr>
      </w:pPr>
      <w:r>
        <w:t>Program to combat human trafficking embedded in ASEAN member countries</w:t>
      </w:r>
    </w:p>
    <w:p w:rsidR="0050460A" w:rsidRDefault="001919B1" w:rsidP="000149D1">
      <w:pPr>
        <w:pStyle w:val="ListBullet"/>
        <w:numPr>
          <w:ilvl w:val="0"/>
          <w:numId w:val="29"/>
        </w:numPr>
      </w:pPr>
      <w:r w:rsidRPr="001919B1">
        <w:t>Australian aid program provided practical support to increase the corporate and project management capacity of the ASEAN Secretar</w:t>
      </w:r>
      <w:r>
        <w:t>ia</w:t>
      </w:r>
      <w:r w:rsidRPr="001919B1">
        <w:t>t</w:t>
      </w:r>
      <w:r w:rsidR="00C440B2">
        <w:t>,</w:t>
      </w:r>
      <w:r w:rsidRPr="001919B1">
        <w:t xml:space="preserve"> which faces challenges</w:t>
      </w:r>
      <w:r w:rsidR="001B24A5">
        <w:t>.</w:t>
      </w:r>
      <w:r>
        <w:t xml:space="preserve"> </w:t>
      </w:r>
    </w:p>
    <w:p w:rsidR="000149D1" w:rsidRDefault="000149D1" w:rsidP="0067387A">
      <w:pPr>
        <w:pStyle w:val="ListBullet"/>
        <w:numPr>
          <w:ilvl w:val="0"/>
          <w:numId w:val="0"/>
        </w:numPr>
      </w:pPr>
      <w:r>
        <w:t>Key challenges</w:t>
      </w:r>
      <w:r w:rsidR="007D52CA">
        <w:t xml:space="preserve"> for the coming period</w:t>
      </w:r>
      <w:r>
        <w:t xml:space="preserve"> include:</w:t>
      </w:r>
    </w:p>
    <w:p w:rsidR="000149D1" w:rsidRDefault="00851F65" w:rsidP="000149D1">
      <w:pPr>
        <w:pStyle w:val="ListBullet"/>
        <w:numPr>
          <w:ilvl w:val="0"/>
          <w:numId w:val="30"/>
        </w:numPr>
      </w:pPr>
      <w:r>
        <w:t>ensure program continues to reflect</w:t>
      </w:r>
      <w:r w:rsidR="001F5D1E">
        <w:t xml:space="preserve"> </w:t>
      </w:r>
      <w:r>
        <w:t xml:space="preserve">government priorities </w:t>
      </w:r>
      <w:r w:rsidR="00F13A73">
        <w:t xml:space="preserve">and those of ASEAN </w:t>
      </w:r>
      <w:r>
        <w:t xml:space="preserve">while further consolidating the number of investments </w:t>
      </w:r>
    </w:p>
    <w:p w:rsidR="000149D1" w:rsidRDefault="007D52CA" w:rsidP="000149D1">
      <w:pPr>
        <w:pStyle w:val="ListBullet"/>
        <w:numPr>
          <w:ilvl w:val="0"/>
          <w:numId w:val="30"/>
        </w:numPr>
      </w:pPr>
      <w:r>
        <w:t xml:space="preserve">maintaining and strengthening the commitment of key program stakeholders and their active engagement in meeting shared strategic objectives </w:t>
      </w:r>
    </w:p>
    <w:p w:rsidR="000149D1" w:rsidRDefault="007D52CA" w:rsidP="005C6324">
      <w:pPr>
        <w:pStyle w:val="ListBullet"/>
        <w:numPr>
          <w:ilvl w:val="0"/>
          <w:numId w:val="30"/>
        </w:numPr>
      </w:pPr>
      <w:r>
        <w:t>improving the ability of our in</w:t>
      </w:r>
      <w:r w:rsidR="00AB7149">
        <w:t>vestments</w:t>
      </w:r>
      <w:r>
        <w:t xml:space="preserve"> to generate </w:t>
      </w:r>
      <w:r w:rsidR="005C6324">
        <w:t xml:space="preserve">good </w:t>
      </w:r>
      <w:r>
        <w:t xml:space="preserve">quality performance data that is results-focused and </w:t>
      </w:r>
      <w:r w:rsidR="005C6324">
        <w:t>informs</w:t>
      </w:r>
      <w:r>
        <w:t xml:space="preserve"> decision</w:t>
      </w:r>
      <w:r w:rsidR="005C6324">
        <w:t>s</w:t>
      </w:r>
      <w:r>
        <w:t xml:space="preserve"> </w:t>
      </w:r>
      <w:r w:rsidR="005C6324">
        <w:t>that</w:t>
      </w:r>
      <w:r>
        <w:t xml:space="preserve"> improve </w:t>
      </w:r>
      <w:r w:rsidR="005C6324">
        <w:t>program effectiveness</w:t>
      </w:r>
      <w:r w:rsidR="00D216BA">
        <w:t>.</w:t>
      </w:r>
    </w:p>
    <w:p w:rsidR="0067387A" w:rsidRDefault="001077C7" w:rsidP="0067387A">
      <w:pPr>
        <w:pStyle w:val="ListBullet"/>
        <w:numPr>
          <w:ilvl w:val="0"/>
          <w:numId w:val="0"/>
        </w:numPr>
      </w:pPr>
      <w:r>
        <w:t xml:space="preserve">A new strategy </w:t>
      </w:r>
      <w:r w:rsidR="00D20CDD">
        <w:t xml:space="preserve">(Aid Investment Plan) </w:t>
      </w:r>
      <w:r>
        <w:t xml:space="preserve">will be drafted by </w:t>
      </w:r>
      <w:r w:rsidR="00D20CDD">
        <w:t>April</w:t>
      </w:r>
      <w:r>
        <w:t xml:space="preserve"> 2015</w:t>
      </w:r>
      <w:r w:rsidR="0062472A">
        <w:t>.</w:t>
      </w:r>
      <w:r>
        <w:t xml:space="preserve"> </w:t>
      </w:r>
      <w:r w:rsidR="002045A8">
        <w:t>The program</w:t>
      </w:r>
      <w:r>
        <w:t xml:space="preserve"> is </w:t>
      </w:r>
      <w:r w:rsidR="00347EE5">
        <w:t xml:space="preserve">already targeted to regional needs, and is </w:t>
      </w:r>
      <w:r>
        <w:t>well positioned to respond to the requirements and priorities of the new aid policy</w:t>
      </w:r>
      <w:r w:rsidR="002045A8">
        <w:t xml:space="preserve"> released on 18 June 2014</w:t>
      </w:r>
      <w:r w:rsidR="00D20CDD">
        <w:rPr>
          <w:rStyle w:val="FootnoteReference"/>
        </w:rPr>
        <w:footnoteReference w:id="1"/>
      </w:r>
      <w:r w:rsidR="00347EE5">
        <w:t>—</w:t>
      </w:r>
      <w:r w:rsidR="0097250D">
        <w:t>in particular to economic diplomacy imperatives and engagement with the private sector</w:t>
      </w:r>
      <w:r>
        <w:t>.</w:t>
      </w:r>
    </w:p>
    <w:p w:rsidR="000D733F" w:rsidRPr="00B43B60" w:rsidRDefault="000D733F" w:rsidP="000D733F">
      <w:pPr>
        <w:pStyle w:val="Heading2"/>
        <w:rPr>
          <w:rStyle w:val="BodyTextChar"/>
          <w:color w:val="auto"/>
        </w:rPr>
      </w:pPr>
      <w:r w:rsidRPr="009E38C1">
        <w:rPr>
          <w:sz w:val="28"/>
        </w:rPr>
        <w:t xml:space="preserve">Context </w:t>
      </w:r>
      <w:r w:rsidRPr="009E38C1">
        <w:rPr>
          <w:sz w:val="28"/>
        </w:rPr>
        <w:tab/>
      </w:r>
      <w:r>
        <w:rPr>
          <w:sz w:val="32"/>
          <w:szCs w:val="32"/>
        </w:rPr>
        <w:tab/>
      </w:r>
      <w:r>
        <w:rPr>
          <w:rStyle w:val="BodyTextChar"/>
        </w:rPr>
        <w:tab/>
      </w:r>
      <w:r>
        <w:rPr>
          <w:rStyle w:val="BodyTextChar"/>
        </w:rPr>
        <w:tab/>
      </w:r>
      <w:r>
        <w:rPr>
          <w:rStyle w:val="BodyTextChar"/>
        </w:rPr>
        <w:tab/>
      </w:r>
      <w:r>
        <w:rPr>
          <w:rStyle w:val="BodyTextChar"/>
        </w:rPr>
        <w:tab/>
      </w:r>
      <w:r>
        <w:rPr>
          <w:rStyle w:val="BodyTextChar"/>
        </w:rPr>
        <w:tab/>
      </w:r>
    </w:p>
    <w:p w:rsidR="00141C84" w:rsidRPr="00D42F10" w:rsidRDefault="002028C1" w:rsidP="00141C84">
      <w:pPr>
        <w:pStyle w:val="ListBullet"/>
        <w:numPr>
          <w:ilvl w:val="0"/>
          <w:numId w:val="0"/>
        </w:numPr>
      </w:pPr>
      <w:r>
        <w:rPr>
          <w:rFonts w:eastAsiaTheme="minorHAnsi" w:cstheme="minorBidi"/>
          <w:lang w:eastAsia="en-US"/>
        </w:rPr>
        <w:t>There are</w:t>
      </w:r>
      <w:r w:rsidRPr="00480F61">
        <w:rPr>
          <w:rFonts w:eastAsiaTheme="minorHAnsi" w:cstheme="minorBidi"/>
          <w:lang w:eastAsia="en-US"/>
        </w:rPr>
        <w:t xml:space="preserve"> significant development gap</w:t>
      </w:r>
      <w:r>
        <w:rPr>
          <w:rFonts w:eastAsiaTheme="minorHAnsi" w:cstheme="minorBidi"/>
          <w:lang w:eastAsia="en-US"/>
        </w:rPr>
        <w:t>s</w:t>
      </w:r>
      <w:r w:rsidRPr="00480F61">
        <w:rPr>
          <w:rFonts w:eastAsiaTheme="minorHAnsi" w:cstheme="minorBidi"/>
          <w:lang w:eastAsia="en-US"/>
        </w:rPr>
        <w:t xml:space="preserve"> in the </w:t>
      </w:r>
      <w:r w:rsidRPr="00B54170">
        <w:t>E</w:t>
      </w:r>
      <w:r w:rsidRPr="00B54170">
        <w:rPr>
          <w:rFonts w:eastAsiaTheme="minorHAnsi" w:cstheme="minorBidi"/>
          <w:lang w:eastAsia="en-US"/>
        </w:rPr>
        <w:t xml:space="preserve">ast Asia </w:t>
      </w:r>
      <w:r w:rsidRPr="00480F61">
        <w:rPr>
          <w:rFonts w:eastAsiaTheme="minorHAnsi" w:cstheme="minorBidi"/>
          <w:lang w:eastAsia="en-US"/>
        </w:rPr>
        <w:t>region</w:t>
      </w:r>
      <w:r w:rsidRPr="00B54170">
        <w:t xml:space="preserve"> </w:t>
      </w:r>
      <w:r>
        <w:t xml:space="preserve">despite </w:t>
      </w:r>
      <w:r w:rsidRPr="00480F61">
        <w:rPr>
          <w:rFonts w:eastAsiaTheme="minorHAnsi" w:cstheme="minorBidi"/>
          <w:lang w:eastAsia="en-US"/>
        </w:rPr>
        <w:t>imp</w:t>
      </w:r>
      <w:r>
        <w:rPr>
          <w:rFonts w:eastAsiaTheme="minorHAnsi" w:cstheme="minorBidi"/>
          <w:lang w:eastAsia="en-US"/>
        </w:rPr>
        <w:t>ressive economic growth</w:t>
      </w:r>
      <w:r w:rsidR="00D07540">
        <w:rPr>
          <w:rStyle w:val="FootnoteReference"/>
          <w:rFonts w:eastAsiaTheme="minorHAnsi" w:cstheme="minorBidi"/>
          <w:lang w:eastAsia="en-US"/>
        </w:rPr>
        <w:footnoteReference w:id="2"/>
      </w:r>
      <w:r w:rsidRPr="00B54170">
        <w:rPr>
          <w:rFonts w:eastAsiaTheme="minorHAnsi" w:cstheme="minorBidi"/>
          <w:lang w:eastAsia="en-US"/>
        </w:rPr>
        <w:t xml:space="preserve"> </w:t>
      </w:r>
      <w:r>
        <w:rPr>
          <w:rFonts w:eastAsiaTheme="minorHAnsi" w:cstheme="minorBidi"/>
          <w:lang w:eastAsia="en-US"/>
        </w:rPr>
        <w:t>and</w:t>
      </w:r>
      <w:r w:rsidR="00CE61AE" w:rsidRPr="00B54170">
        <w:rPr>
          <w:rFonts w:eastAsiaTheme="minorHAnsi" w:cstheme="minorBidi"/>
          <w:lang w:eastAsia="en-US"/>
        </w:rPr>
        <w:t xml:space="preserve"> </w:t>
      </w:r>
      <w:r w:rsidR="00B0754A" w:rsidRPr="00B54170">
        <w:rPr>
          <w:rFonts w:eastAsiaTheme="minorHAnsi" w:cstheme="minorBidi"/>
          <w:lang w:eastAsia="en-US"/>
        </w:rPr>
        <w:t xml:space="preserve">poverty </w:t>
      </w:r>
      <w:r w:rsidR="00B0754A">
        <w:rPr>
          <w:rFonts w:eastAsiaTheme="minorHAnsi" w:cstheme="minorBidi"/>
          <w:lang w:eastAsia="en-US"/>
        </w:rPr>
        <w:t>reduction</w:t>
      </w:r>
      <w:r w:rsidR="00CE61AE" w:rsidRPr="00480F61">
        <w:rPr>
          <w:rFonts w:eastAsiaTheme="minorHAnsi" w:cstheme="minorBidi"/>
          <w:lang w:eastAsia="en-US"/>
        </w:rPr>
        <w:t xml:space="preserve">. </w:t>
      </w:r>
      <w:r>
        <w:rPr>
          <w:rFonts w:eastAsiaTheme="minorHAnsi" w:cstheme="minorBidi"/>
          <w:lang w:eastAsia="en-US"/>
        </w:rPr>
        <w:t>Over</w:t>
      </w:r>
      <w:r w:rsidR="00CE61AE" w:rsidRPr="00480F61">
        <w:rPr>
          <w:rFonts w:eastAsiaTheme="minorHAnsi" w:cstheme="minorBidi"/>
          <w:lang w:eastAsia="en-US"/>
        </w:rPr>
        <w:t xml:space="preserve"> </w:t>
      </w:r>
      <w:r w:rsidR="00CE61AE">
        <w:rPr>
          <w:rFonts w:eastAsiaTheme="minorHAnsi" w:cstheme="minorBidi"/>
          <w:lang w:eastAsia="en-US"/>
        </w:rPr>
        <w:t xml:space="preserve">250 </w:t>
      </w:r>
      <w:r w:rsidR="00CE61AE" w:rsidRPr="00480F61">
        <w:rPr>
          <w:rFonts w:eastAsiaTheme="minorHAnsi" w:cstheme="minorBidi"/>
          <w:lang w:eastAsia="en-US"/>
        </w:rPr>
        <w:t>million people live on less than US$1.25 a day</w:t>
      </w:r>
      <w:r w:rsidR="00A72FD1" w:rsidRPr="00480F61">
        <w:rPr>
          <w:rFonts w:eastAsiaTheme="minorHAnsi" w:cstheme="minorBidi"/>
          <w:lang w:eastAsia="en-US"/>
        </w:rPr>
        <w:t>.</w:t>
      </w:r>
      <w:r w:rsidR="00A72FD1">
        <w:rPr>
          <w:rStyle w:val="FootnoteReference"/>
          <w:rFonts w:eastAsiaTheme="minorHAnsi" w:cstheme="minorBidi"/>
          <w:lang w:eastAsia="en-US"/>
        </w:rPr>
        <w:footnoteReference w:id="3"/>
      </w:r>
      <w:r w:rsidR="001F5D1E">
        <w:t xml:space="preserve"> </w:t>
      </w:r>
    </w:p>
    <w:p w:rsidR="00550F52" w:rsidRDefault="00550F52" w:rsidP="00550F52">
      <w:pPr>
        <w:pStyle w:val="BodyText"/>
      </w:pPr>
      <w:r w:rsidRPr="00B54170">
        <w:t xml:space="preserve">Australia has </w:t>
      </w:r>
      <w:r>
        <w:t xml:space="preserve">aid </w:t>
      </w:r>
      <w:r w:rsidRPr="00B54170">
        <w:t>programs</w:t>
      </w:r>
      <w:r>
        <w:t xml:space="preserve"> with several East Asian countries</w:t>
      </w:r>
      <w:r>
        <w:rPr>
          <w:rStyle w:val="FootnoteReference"/>
        </w:rPr>
        <w:footnoteReference w:id="4"/>
      </w:r>
      <w:r w:rsidRPr="00B54170">
        <w:t xml:space="preserve"> </w:t>
      </w:r>
      <w:r>
        <w:t>but</w:t>
      </w:r>
      <w:r w:rsidR="00C1719F">
        <w:t xml:space="preserve"> not all development ch</w:t>
      </w:r>
      <w:r w:rsidRPr="00080993">
        <w:t xml:space="preserve">allenges </w:t>
      </w:r>
      <w:r>
        <w:t xml:space="preserve">are best addressed bilaterally. The regional program complements Australia’s bilateral aid by addressing trans-boundary issues </w:t>
      </w:r>
      <w:r w:rsidR="00733487">
        <w:t xml:space="preserve">best </w:t>
      </w:r>
      <w:r w:rsidR="0004233F">
        <w:t>dealt with</w:t>
      </w:r>
      <w:r w:rsidR="00733487">
        <w:t xml:space="preserve"> through regional cooperation </w:t>
      </w:r>
      <w:r w:rsidR="00733487">
        <w:lastRenderedPageBreak/>
        <w:t xml:space="preserve">and coordination </w:t>
      </w:r>
      <w:r w:rsidR="008F636B">
        <w:t>(e.g. economic integration, human security and health)</w:t>
      </w:r>
      <w:r w:rsidR="00733487">
        <w:t>, through improving the capacity of regional organisations</w:t>
      </w:r>
      <w:r w:rsidR="008F636B">
        <w:t xml:space="preserve"> </w:t>
      </w:r>
      <w:r>
        <w:t>and strengthening critical regional institutions.</w:t>
      </w:r>
    </w:p>
    <w:p w:rsidR="00550F52" w:rsidRDefault="00F8440A" w:rsidP="00550F52">
      <w:pPr>
        <w:pStyle w:val="ListBullet"/>
        <w:numPr>
          <w:ilvl w:val="0"/>
          <w:numId w:val="0"/>
        </w:numPr>
      </w:pPr>
      <w:r>
        <w:t xml:space="preserve">East Asia is increasingly influential and </w:t>
      </w:r>
      <w:r w:rsidR="008F636B">
        <w:t>engaging</w:t>
      </w:r>
      <w:r>
        <w:t xml:space="preserve"> in mechanisms to </w:t>
      </w:r>
      <w:r w:rsidR="00C440B2">
        <w:t xml:space="preserve">enhance security and </w:t>
      </w:r>
      <w:r>
        <w:t>build economic</w:t>
      </w:r>
      <w:r w:rsidR="00C440B2">
        <w:t xml:space="preserve"> prosperity</w:t>
      </w:r>
      <w:r>
        <w:t>.</w:t>
      </w:r>
      <w:r w:rsidR="001F5D1E">
        <w:t xml:space="preserve"> </w:t>
      </w:r>
      <w:r>
        <w:t>Regional organisations are</w:t>
      </w:r>
      <w:r w:rsidR="008F636B">
        <w:t xml:space="preserve"> </w:t>
      </w:r>
      <w:r>
        <w:t>evolving</w:t>
      </w:r>
      <w:r w:rsidR="005B7D04">
        <w:t xml:space="preserve"> and setting new agendas</w:t>
      </w:r>
      <w:r>
        <w:t>.</w:t>
      </w:r>
      <w:r w:rsidR="001F5D1E">
        <w:t xml:space="preserve"> </w:t>
      </w:r>
      <w:r w:rsidRPr="00D42F10">
        <w:t xml:space="preserve">The 2013 </w:t>
      </w:r>
      <w:r w:rsidR="008932A4" w:rsidRPr="00F36FC1">
        <w:rPr>
          <w:rFonts w:eastAsiaTheme="minorHAnsi" w:cstheme="minorBidi"/>
          <w:iCs/>
          <w:lang w:eastAsia="en-US"/>
        </w:rPr>
        <w:t>Association of Southeast Asian Nations</w:t>
      </w:r>
      <w:r w:rsidR="008932A4">
        <w:t xml:space="preserve"> (</w:t>
      </w:r>
      <w:r w:rsidRPr="00D42F10">
        <w:t>ASEAN</w:t>
      </w:r>
      <w:r w:rsidR="008932A4">
        <w:t>)</w:t>
      </w:r>
      <w:r w:rsidRPr="00D42F10">
        <w:t xml:space="preserve"> Integration Monitoring Report (AIMR)</w:t>
      </w:r>
      <w:r>
        <w:rPr>
          <w:rStyle w:val="FootnoteReference"/>
        </w:rPr>
        <w:footnoteReference w:id="5"/>
      </w:r>
      <w:r w:rsidR="008932A4">
        <w:t>, funded by Australia, noted</w:t>
      </w:r>
      <w:r w:rsidRPr="00D42F10">
        <w:t xml:space="preserve"> significant gains to member states from implementation of ASEAN</w:t>
      </w:r>
      <w:r w:rsidR="008932A4">
        <w:t>’</w:t>
      </w:r>
      <w:r w:rsidRPr="00D42F10">
        <w:t>s economic agenda</w:t>
      </w:r>
      <w:r w:rsidR="008932A4">
        <w:t xml:space="preserve">. These gains include: </w:t>
      </w:r>
      <w:r w:rsidRPr="00D42F10">
        <w:t>an in</w:t>
      </w:r>
      <w:r>
        <w:t>crease in intra-ASEAN trade and</w:t>
      </w:r>
      <w:r w:rsidRPr="00D42F10">
        <w:t xml:space="preserve"> ASEAN’s t</w:t>
      </w:r>
      <w:r w:rsidR="008932A4">
        <w:t>rade with the rest of the world;</w:t>
      </w:r>
      <w:r w:rsidRPr="00D42F10">
        <w:t xml:space="preserve"> some improvement in the dev</w:t>
      </w:r>
      <w:r w:rsidR="008932A4">
        <w:t>elopment of the services sector;</w:t>
      </w:r>
      <w:r w:rsidRPr="00D42F10">
        <w:t xml:space="preserve"> and the enhancement of foreign direct investment. ASEAN Economic Community efforts have narrowed the development gap in Mekong countries. Their shar</w:t>
      </w:r>
      <w:r>
        <w:t>e of GDP in ASEAN grew from 3.5 per cent in 1990 to nearly 10 per cent in 201</w:t>
      </w:r>
      <w:r w:rsidRPr="00D42F10">
        <w:t>1</w:t>
      </w:r>
      <w:r>
        <w:rPr>
          <w:rStyle w:val="FootnoteReference"/>
        </w:rPr>
        <w:footnoteReference w:id="6"/>
      </w:r>
      <w:r w:rsidRPr="00D42F10">
        <w:t>.</w:t>
      </w:r>
      <w:r w:rsidR="001F5D1E">
        <w:t xml:space="preserve"> </w:t>
      </w:r>
    </w:p>
    <w:p w:rsidR="00CE61AE" w:rsidRDefault="005B7D04" w:rsidP="00550F52">
      <w:pPr>
        <w:pStyle w:val="ListBullet"/>
        <w:numPr>
          <w:ilvl w:val="0"/>
          <w:numId w:val="0"/>
        </w:numPr>
      </w:pPr>
      <w:r>
        <w:t>S</w:t>
      </w:r>
      <w:r w:rsidRPr="00D42F10">
        <w:t>ome areas of ASEAN’s Economic Co</w:t>
      </w:r>
      <w:r w:rsidR="00D216BA">
        <w:t>mmunity</w:t>
      </w:r>
      <w:r w:rsidRPr="00D42F10">
        <w:t xml:space="preserve"> agenda require more effort. According to the AIMR</w:t>
      </w:r>
      <w:r w:rsidR="008932A4">
        <w:t>,</w:t>
      </w:r>
      <w:r w:rsidRPr="00D42F10">
        <w:t xml:space="preserve"> further work is needed to enhance trade facilitation, services and investments, and support transport sector reforms.</w:t>
      </w:r>
      <w:r w:rsidRPr="00F732DE">
        <w:t xml:space="preserve"> </w:t>
      </w:r>
      <w:r w:rsidR="00CE61AE" w:rsidRPr="00CE61AE">
        <w:t xml:space="preserve">East Asian nations have largely adopted outward-oriented policies, </w:t>
      </w:r>
      <w:r w:rsidR="00AB49A1">
        <w:t xml:space="preserve">but </w:t>
      </w:r>
      <w:r w:rsidR="00CE61AE" w:rsidRPr="00CE61AE">
        <w:t>barriers to trade, transit and traffic still exist</w:t>
      </w:r>
      <w:r w:rsidR="002028C1">
        <w:rPr>
          <w:rStyle w:val="FootnoteReference"/>
        </w:rPr>
        <w:footnoteReference w:id="7"/>
      </w:r>
      <w:r w:rsidR="008F636B">
        <w:t>. These barriers exacerbate</w:t>
      </w:r>
      <w:r w:rsidR="002028C1">
        <w:t xml:space="preserve"> the </w:t>
      </w:r>
      <w:r w:rsidR="003A149F">
        <w:t>gap between the</w:t>
      </w:r>
      <w:r w:rsidR="00CE61AE" w:rsidRPr="00CE61AE">
        <w:t xml:space="preserve"> poorest and richest countries</w:t>
      </w:r>
      <w:r w:rsidR="002028C1">
        <w:t xml:space="preserve">, and </w:t>
      </w:r>
      <w:r w:rsidR="008932A4">
        <w:t>limit</w:t>
      </w:r>
      <w:r w:rsidR="00B0754A">
        <w:t xml:space="preserve"> the</w:t>
      </w:r>
      <w:r w:rsidR="002028C1" w:rsidRPr="00CE61AE">
        <w:t xml:space="preserve"> benefits of economic integration</w:t>
      </w:r>
      <w:r w:rsidR="002028C1">
        <w:t xml:space="preserve"> in the</w:t>
      </w:r>
      <w:r w:rsidR="002028C1" w:rsidRPr="007B6FF1">
        <w:rPr>
          <w:rFonts w:eastAsiaTheme="minorHAnsi" w:cstheme="minorBidi"/>
          <w:iCs/>
          <w:lang w:eastAsia="en-US"/>
        </w:rPr>
        <w:t xml:space="preserve"> </w:t>
      </w:r>
      <w:r w:rsidR="008932A4">
        <w:t>ASEAN</w:t>
      </w:r>
      <w:r w:rsidR="002028C1">
        <w:t xml:space="preserve"> Economic Community</w:t>
      </w:r>
      <w:r w:rsidR="00511959">
        <w:rPr>
          <w:rStyle w:val="FootnoteReference"/>
        </w:rPr>
        <w:footnoteReference w:id="8"/>
      </w:r>
      <w:r w:rsidR="002028C1" w:rsidRPr="00CE61AE">
        <w:t>.</w:t>
      </w:r>
      <w:r w:rsidR="00C20419">
        <w:t xml:space="preserve"> </w:t>
      </w:r>
    </w:p>
    <w:p w:rsidR="00CE61AE" w:rsidRPr="00CE61AE" w:rsidRDefault="00CE61AE" w:rsidP="00CE61AE">
      <w:pPr>
        <w:pStyle w:val="BodyText"/>
      </w:pPr>
      <w:r w:rsidRPr="00CE61AE">
        <w:t>As economic integration increases, so do trans-boundary development challenges including: growing numbers of trafficked persons</w:t>
      </w:r>
      <w:r w:rsidR="00C20419">
        <w:t xml:space="preserve">; </w:t>
      </w:r>
      <w:r w:rsidRPr="00CE61AE">
        <w:t xml:space="preserve">the exploitation of labour migrants; </w:t>
      </w:r>
      <w:r w:rsidR="008F636B">
        <w:t xml:space="preserve">and </w:t>
      </w:r>
      <w:r w:rsidRPr="00CE61AE">
        <w:t xml:space="preserve">the spread of communicable </w:t>
      </w:r>
      <w:r w:rsidR="00555638">
        <w:t xml:space="preserve">and livestock </w:t>
      </w:r>
      <w:r w:rsidRPr="00CE61AE">
        <w:t>diseases</w:t>
      </w:r>
      <w:r w:rsidR="00555638">
        <w:t xml:space="preserve">. </w:t>
      </w:r>
      <w:r w:rsidR="00640544">
        <w:t xml:space="preserve">These challenges affect men and women differently. </w:t>
      </w:r>
    </w:p>
    <w:p w:rsidR="00CE61AE" w:rsidRPr="00CE61AE" w:rsidRDefault="00511959" w:rsidP="00FE52D4">
      <w:pPr>
        <w:pStyle w:val="BodyText"/>
      </w:pPr>
      <w:r>
        <w:t>H</w:t>
      </w:r>
      <w:r w:rsidR="00967834">
        <w:t xml:space="preserve">uman </w:t>
      </w:r>
      <w:r w:rsidR="00FE52D4">
        <w:t xml:space="preserve">trafficking originating in East Asia is the most prominent transnational flow </w:t>
      </w:r>
      <w:r w:rsidR="00B90652" w:rsidRPr="00B90652">
        <w:t>worldwide</w:t>
      </w:r>
      <w:r w:rsidR="00B90652">
        <w:rPr>
          <w:rStyle w:val="FootnoteReference"/>
        </w:rPr>
        <w:footnoteReference w:id="9"/>
      </w:r>
      <w:r w:rsidR="00B0754A">
        <w:t xml:space="preserve">, with the Asia-Pacific </w:t>
      </w:r>
      <w:r w:rsidR="00CE61AE" w:rsidRPr="00CE61AE">
        <w:t>home to over 11 million victims of forced labour and trafficking</w:t>
      </w:r>
      <w:r w:rsidR="006C2D41">
        <w:rPr>
          <w:rStyle w:val="FootnoteReference"/>
        </w:rPr>
        <w:footnoteReference w:id="10"/>
      </w:r>
      <w:r w:rsidR="00CE61AE" w:rsidRPr="00CE61AE">
        <w:t xml:space="preserve">. </w:t>
      </w:r>
    </w:p>
    <w:p w:rsidR="00CE61AE" w:rsidRPr="00CE61AE" w:rsidRDefault="00511959" w:rsidP="00CE61AE">
      <w:pPr>
        <w:pStyle w:val="BodyText"/>
      </w:pPr>
      <w:r>
        <w:t>The region</w:t>
      </w:r>
      <w:r w:rsidR="00555638">
        <w:t xml:space="preserve"> is a recognised source of drug resistance </w:t>
      </w:r>
      <w:r w:rsidR="002C1EDD">
        <w:t>(</w:t>
      </w:r>
      <w:r w:rsidR="008F636B">
        <w:t>e.g. to</w:t>
      </w:r>
      <w:r w:rsidR="002C1EDD">
        <w:t xml:space="preserve"> malaria and tuberculosis drugs</w:t>
      </w:r>
      <w:r w:rsidR="000F7AFE">
        <w:t xml:space="preserve">), </w:t>
      </w:r>
      <w:r w:rsidR="002C1EDD">
        <w:t>exposure to poor quality and counterfeit drugs</w:t>
      </w:r>
      <w:r w:rsidR="008932A4">
        <w:t>,</w:t>
      </w:r>
      <w:r w:rsidR="002C1EDD" w:rsidRPr="00CE61AE">
        <w:t xml:space="preserve"> </w:t>
      </w:r>
      <w:r w:rsidR="00B0754A">
        <w:t>and a hotspot for</w:t>
      </w:r>
      <w:r w:rsidR="00555638">
        <w:t xml:space="preserve"> emerging infectious diseases</w:t>
      </w:r>
      <w:r w:rsidR="001F1C4D">
        <w:t xml:space="preserve"> with potential to become</w:t>
      </w:r>
      <w:r w:rsidR="00224267">
        <w:t xml:space="preserve"> pandemic</w:t>
      </w:r>
      <w:r w:rsidR="00C20419">
        <w:t xml:space="preserve">. </w:t>
      </w:r>
      <w:r>
        <w:t>B</w:t>
      </w:r>
      <w:r w:rsidR="000F7AFE" w:rsidRPr="000F7AFE">
        <w:t xml:space="preserve">usinesses and government </w:t>
      </w:r>
      <w:r>
        <w:t xml:space="preserve">productivity </w:t>
      </w:r>
      <w:r w:rsidR="000F7AFE" w:rsidRPr="000F7AFE">
        <w:t xml:space="preserve">is reduced </w:t>
      </w:r>
      <w:r w:rsidR="00224267">
        <w:t>by staff</w:t>
      </w:r>
      <w:r w:rsidR="000F7AFE" w:rsidRPr="000F7AFE">
        <w:t xml:space="preserve"> illness, and </w:t>
      </w:r>
      <w:r>
        <w:t>disease</w:t>
      </w:r>
      <w:r w:rsidR="000F7AFE" w:rsidRPr="000F7AFE">
        <w:t>-endemic areas</w:t>
      </w:r>
      <w:r w:rsidR="0094094D">
        <w:t xml:space="preserve"> are </w:t>
      </w:r>
      <w:r w:rsidR="00F13A73">
        <w:t xml:space="preserve">less </w:t>
      </w:r>
      <w:r w:rsidR="0094094D">
        <w:t>attractive to</w:t>
      </w:r>
      <w:r w:rsidR="0094094D" w:rsidRPr="0094094D">
        <w:t xml:space="preserve"> </w:t>
      </w:r>
      <w:r w:rsidR="0094094D">
        <w:t xml:space="preserve">investment, </w:t>
      </w:r>
      <w:r w:rsidR="0094094D" w:rsidRPr="000F7AFE">
        <w:t>trade</w:t>
      </w:r>
      <w:r w:rsidR="0094094D">
        <w:t xml:space="preserve"> and tourism</w:t>
      </w:r>
      <w:r w:rsidR="0094094D">
        <w:rPr>
          <w:rStyle w:val="FootnoteReference"/>
        </w:rPr>
        <w:footnoteReference w:id="11"/>
      </w:r>
      <w:r w:rsidR="0094094D">
        <w:t>.</w:t>
      </w:r>
      <w:r w:rsidR="000F7AFE" w:rsidRPr="000F7AFE">
        <w:t xml:space="preserve"> </w:t>
      </w:r>
    </w:p>
    <w:p w:rsidR="00CE61AE" w:rsidRDefault="00BD771F" w:rsidP="00CE61AE">
      <w:pPr>
        <w:pStyle w:val="BodyText"/>
      </w:pPr>
      <w:r w:rsidRPr="00CE61AE">
        <w:t xml:space="preserve">The human and economic costs </w:t>
      </w:r>
      <w:r w:rsidR="00E90657">
        <w:t xml:space="preserve">of disasters </w:t>
      </w:r>
      <w:r>
        <w:t xml:space="preserve">to the region </w:t>
      </w:r>
      <w:r w:rsidRPr="00CE61AE">
        <w:t>are immense.</w:t>
      </w:r>
      <w:r>
        <w:t xml:space="preserve"> For example, in November 201</w:t>
      </w:r>
      <w:r w:rsidR="00CE61AE" w:rsidRPr="00CE61AE">
        <w:t>3 Typhoon Ha</w:t>
      </w:r>
      <w:r>
        <w:t>iya</w:t>
      </w:r>
      <w:r w:rsidR="00CE61AE" w:rsidRPr="00CE61AE">
        <w:t xml:space="preserve">n devastated the Philippines affecting </w:t>
      </w:r>
      <w:r w:rsidR="00274EEF">
        <w:t>16</w:t>
      </w:r>
      <w:r>
        <w:t xml:space="preserve"> million people, with </w:t>
      </w:r>
      <w:r w:rsidR="00274EEF">
        <w:t>over 6</w:t>
      </w:r>
      <w:r w:rsidR="00967834">
        <w:t>000</w:t>
      </w:r>
      <w:r w:rsidR="00E90657">
        <w:t xml:space="preserve"> lives lost and</w:t>
      </w:r>
      <w:r w:rsidR="00CE61AE" w:rsidRPr="00CE61AE">
        <w:t xml:space="preserve"> </w:t>
      </w:r>
      <w:r w:rsidR="00E90657">
        <w:t>r</w:t>
      </w:r>
      <w:r w:rsidR="00274EEF" w:rsidRPr="00274EEF">
        <w:t xml:space="preserve">ecovery and reconstruction </w:t>
      </w:r>
      <w:r w:rsidR="00274EEF">
        <w:t xml:space="preserve">costs </w:t>
      </w:r>
      <w:r w:rsidR="00274EEF" w:rsidRPr="00274EEF">
        <w:t>estimated at</w:t>
      </w:r>
      <w:r w:rsidR="00274EEF">
        <w:t xml:space="preserve"> over US$8</w:t>
      </w:r>
      <w:r w:rsidR="00274EEF" w:rsidRPr="00274EEF">
        <w:t xml:space="preserve"> billion</w:t>
      </w:r>
      <w:r w:rsidR="00274EEF">
        <w:t>.</w:t>
      </w:r>
      <w:r w:rsidR="001F5D1E">
        <w:t xml:space="preserve"> </w:t>
      </w:r>
    </w:p>
    <w:p w:rsidR="00F13A73" w:rsidRPr="00CE61AE" w:rsidRDefault="00F13A73" w:rsidP="00CE61AE">
      <w:pPr>
        <w:pStyle w:val="BodyText"/>
      </w:pPr>
      <w:r>
        <w:lastRenderedPageBreak/>
        <w:t>Civil society must adapt their work to this complex regional environment, at the same time that some domestic contexts are limiting their activities.</w:t>
      </w:r>
    </w:p>
    <w:p w:rsidR="00DB446B" w:rsidRPr="00C10061" w:rsidRDefault="00DB446B" w:rsidP="00CE61AE">
      <w:pPr>
        <w:pStyle w:val="BodyText"/>
        <w:rPr>
          <w:b/>
        </w:rPr>
      </w:pPr>
      <w:r w:rsidRPr="00C10061">
        <w:rPr>
          <w:b/>
        </w:rPr>
        <w:t>Regional Program Focus</w:t>
      </w:r>
      <w:r w:rsidR="00C8709C">
        <w:rPr>
          <w:b/>
        </w:rPr>
        <w:t xml:space="preserve"> and Objectives</w:t>
      </w:r>
    </w:p>
    <w:p w:rsidR="00C10061" w:rsidRPr="00C10061" w:rsidRDefault="00C10061" w:rsidP="00C10061">
      <w:pPr>
        <w:pStyle w:val="BodyText"/>
      </w:pPr>
      <w:r w:rsidRPr="00C10061">
        <w:t>A stable and prosperous region is in A</w:t>
      </w:r>
      <w:r w:rsidR="00C20419">
        <w:t xml:space="preserve">ustralia’s national interests. </w:t>
      </w:r>
      <w:r w:rsidR="00851F65">
        <w:t xml:space="preserve">The program seeks to strengthen regional </w:t>
      </w:r>
      <w:r w:rsidR="003C0F14">
        <w:t xml:space="preserve">economic </w:t>
      </w:r>
      <w:r w:rsidR="00851F65">
        <w:t>integration, thereby reducing poverty and boosting prosperity in South East Asia.</w:t>
      </w:r>
    </w:p>
    <w:p w:rsidR="00C10061" w:rsidRPr="00C10061" w:rsidRDefault="00C10061" w:rsidP="00C10061">
      <w:pPr>
        <w:pStyle w:val="BodyText"/>
      </w:pPr>
      <w:r w:rsidRPr="00C10061">
        <w:t xml:space="preserve">Our investments to address trans-boundary issues </w:t>
      </w:r>
      <w:r w:rsidR="00E90657">
        <w:t>are</w:t>
      </w:r>
      <w:r w:rsidRPr="00C10061">
        <w:t xml:space="preserve"> long-term, and </w:t>
      </w:r>
      <w:r w:rsidR="00C20419">
        <w:t>target</w:t>
      </w:r>
      <w:r w:rsidRPr="00C10061">
        <w:t xml:space="preserve"> priorities that </w:t>
      </w:r>
      <w:r w:rsidR="00E90657">
        <w:t>are</w:t>
      </w:r>
      <w:r w:rsidRPr="00C10061">
        <w:t xml:space="preserve"> dealt with most effectively through regional cooperation</w:t>
      </w:r>
      <w:r w:rsidR="00D8200B">
        <w:t xml:space="preserve"> and strong regional organisations</w:t>
      </w:r>
      <w:r w:rsidRPr="00C10061">
        <w:t>.</w:t>
      </w:r>
      <w:r w:rsidR="001F5D1E">
        <w:t xml:space="preserve"> </w:t>
      </w:r>
      <w:r w:rsidRPr="00C10061">
        <w:t>Current objectives are:</w:t>
      </w:r>
    </w:p>
    <w:p w:rsidR="00C10061" w:rsidRPr="00C10061" w:rsidRDefault="00C10061" w:rsidP="008538F2">
      <w:pPr>
        <w:pStyle w:val="BodyText"/>
        <w:numPr>
          <w:ilvl w:val="0"/>
          <w:numId w:val="19"/>
        </w:numPr>
      </w:pPr>
      <w:r w:rsidRPr="00C10061">
        <w:t xml:space="preserve">Strengthened Regional Economic Integration (promoting regional economic growth and continued openness in Asia by working with regional organisations on economic policies and reforms that support regional integration and development); </w:t>
      </w:r>
    </w:p>
    <w:p w:rsidR="00C10061" w:rsidRPr="00C10061" w:rsidRDefault="00C10061" w:rsidP="008538F2">
      <w:pPr>
        <w:pStyle w:val="BodyText"/>
        <w:numPr>
          <w:ilvl w:val="0"/>
          <w:numId w:val="19"/>
        </w:numPr>
      </w:pPr>
      <w:r w:rsidRPr="00C10061">
        <w:t xml:space="preserve">Priority trans-boundary development challenges are addressed effectively (addressing trans-boundary development challenges including trafficking of persons, spread of communicable diseases and the increasing challenge of natural disasters); and </w:t>
      </w:r>
    </w:p>
    <w:p w:rsidR="00C10061" w:rsidRDefault="00C10061" w:rsidP="008538F2">
      <w:pPr>
        <w:pStyle w:val="BodyText"/>
        <w:numPr>
          <w:ilvl w:val="0"/>
          <w:numId w:val="19"/>
        </w:numPr>
      </w:pPr>
      <w:r w:rsidRPr="00C10061">
        <w:t>Improved capacity of regional organisations to address agreed priority development challenges.</w:t>
      </w:r>
    </w:p>
    <w:p w:rsidR="00126C18" w:rsidRPr="00C10061" w:rsidRDefault="00126C18" w:rsidP="00126C18">
      <w:pPr>
        <w:pStyle w:val="BodyText"/>
      </w:pPr>
      <w:r w:rsidRPr="00126C18">
        <w:t xml:space="preserve">Our investments under Objective 1 </w:t>
      </w:r>
      <w:r>
        <w:t>and Objective 3 align with the G</w:t>
      </w:r>
      <w:r w:rsidRPr="00126C18">
        <w:t>overnment’s economic diplomacy goals. Objective 2 fits under effective governance and health priorities.</w:t>
      </w:r>
    </w:p>
    <w:p w:rsidR="000D733F" w:rsidRPr="009E38C1" w:rsidRDefault="000D733F" w:rsidP="000D733F">
      <w:pPr>
        <w:pStyle w:val="Heading2"/>
        <w:rPr>
          <w:sz w:val="28"/>
        </w:rPr>
      </w:pPr>
      <w:r w:rsidRPr="009E38C1">
        <w:rPr>
          <w:sz w:val="28"/>
        </w:rPr>
        <w:t>Expenditure</w:t>
      </w:r>
    </w:p>
    <w:p w:rsidR="00D8200B" w:rsidRDefault="003C0D1D" w:rsidP="00C8709C">
      <w:pPr>
        <w:pStyle w:val="BodyText"/>
      </w:pPr>
      <w:r>
        <w:t>In 2013–</w:t>
      </w:r>
      <w:r w:rsidR="00D8200B">
        <w:t xml:space="preserve">14 the East Asia regional aid program amounted to </w:t>
      </w:r>
      <w:r w:rsidR="00A96B06" w:rsidRPr="00A96B06">
        <w:t>$</w:t>
      </w:r>
      <w:r w:rsidR="00A96B06">
        <w:t>81.4</w:t>
      </w:r>
      <w:r w:rsidR="00D8200B">
        <w:t xml:space="preserve"> million</w:t>
      </w:r>
      <w:r w:rsidR="00126C18">
        <w:t xml:space="preserve">, </w:t>
      </w:r>
      <w:r w:rsidR="00F633E3">
        <w:t xml:space="preserve">a decrease of </w:t>
      </w:r>
      <w:r w:rsidR="00F633E3" w:rsidRPr="003C0D1D">
        <w:t>$</w:t>
      </w:r>
      <w:r w:rsidR="00F633E3">
        <w:t xml:space="preserve">30 million </w:t>
      </w:r>
      <w:r w:rsidR="00E90657">
        <w:t>from</w:t>
      </w:r>
      <w:r w:rsidR="00F633E3">
        <w:t xml:space="preserve"> the previous financial year ($112 million). The $81.4 million </w:t>
      </w:r>
      <w:r w:rsidR="00C25E73">
        <w:t>includes O</w:t>
      </w:r>
      <w:r w:rsidR="0063026E">
        <w:t xml:space="preserve">fficial </w:t>
      </w:r>
      <w:r w:rsidR="00C25E73">
        <w:t>D</w:t>
      </w:r>
      <w:r w:rsidR="0063026E">
        <w:t xml:space="preserve">evelopment </w:t>
      </w:r>
      <w:r w:rsidR="00C25E73">
        <w:t>A</w:t>
      </w:r>
      <w:r w:rsidR="0063026E">
        <w:t>ssistance</w:t>
      </w:r>
      <w:r w:rsidR="00C25E73">
        <w:t xml:space="preserve"> of other government departments ($19.8m). </w:t>
      </w:r>
      <w:r w:rsidR="00F633E3">
        <w:t>The budget appropriation for East Asia Regional</w:t>
      </w:r>
      <w:r w:rsidR="00C25E73">
        <w:t xml:space="preserve"> </w:t>
      </w:r>
      <w:r w:rsidR="008932A4">
        <w:t>in 2013–14 included</w:t>
      </w:r>
      <w:r w:rsidR="00F633E3">
        <w:t xml:space="preserve"> programs</w:t>
      </w:r>
      <w:r w:rsidR="00C25E73">
        <w:t xml:space="preserve"> </w:t>
      </w:r>
      <w:r w:rsidR="00F633E3">
        <w:t xml:space="preserve">not covered by the </w:t>
      </w:r>
      <w:r w:rsidR="001F5D1E">
        <w:t>interim</w:t>
      </w:r>
      <w:r w:rsidR="00F633E3">
        <w:t xml:space="preserve"> East Asia Regional Strategy—for example </w:t>
      </w:r>
      <w:r w:rsidR="00C25E73">
        <w:t>some multilateral and humanitarian payments</w:t>
      </w:r>
      <w:r w:rsidR="00F633E3">
        <w:t>, as well as some initiatives covered by other strategies</w:t>
      </w:r>
      <w:r w:rsidR="00E33585">
        <w:t>,</w:t>
      </w:r>
      <w:r w:rsidR="00F633E3">
        <w:t xml:space="preserve"> such as the Mekong water in</w:t>
      </w:r>
      <w:r w:rsidR="00DA3D9D">
        <w:t>vestments</w:t>
      </w:r>
      <w:r w:rsidR="00F633E3">
        <w:t>.</w:t>
      </w:r>
      <w:r w:rsidR="00C25E73">
        <w:t xml:space="preserve"> </w:t>
      </w:r>
      <w:r w:rsidR="00F633E3">
        <w:t>The in</w:t>
      </w:r>
      <w:r w:rsidR="00DA3D9D">
        <w:t>vestments</w:t>
      </w:r>
      <w:r w:rsidR="00F633E3">
        <w:t xml:space="preserve"> covered by </w:t>
      </w:r>
      <w:r w:rsidR="00AF209E">
        <w:t>this APPR</w:t>
      </w:r>
      <w:r w:rsidR="00F633E3">
        <w:t xml:space="preserve"> account for </w:t>
      </w:r>
      <w:r w:rsidR="003A149F">
        <w:t>approximately</w:t>
      </w:r>
      <w:r w:rsidR="00C378DC" w:rsidRPr="00666BEB">
        <w:t xml:space="preserve"> </w:t>
      </w:r>
      <w:r w:rsidR="00126C18">
        <w:t>$</w:t>
      </w:r>
      <w:r w:rsidR="004B0B78" w:rsidRPr="00126C18">
        <w:t>27.4</w:t>
      </w:r>
      <w:r w:rsidR="004B0B78">
        <w:t xml:space="preserve"> </w:t>
      </w:r>
      <w:r w:rsidR="00C378DC" w:rsidRPr="00666BEB">
        <w:t>million</w:t>
      </w:r>
      <w:r w:rsidR="00C378DC">
        <w:t>.</w:t>
      </w:r>
      <w:r w:rsidR="00F633E3">
        <w:t xml:space="preserve"> </w:t>
      </w:r>
    </w:p>
    <w:p w:rsidR="00D8200B" w:rsidRDefault="000502FF" w:rsidP="00C75509">
      <w:pPr>
        <w:pStyle w:val="BodyText"/>
      </w:pPr>
      <w:r>
        <w:t xml:space="preserve">It is not possible to </w:t>
      </w:r>
      <w:r w:rsidR="00126C18">
        <w:t xml:space="preserve">compare </w:t>
      </w:r>
      <w:r w:rsidR="009D4D2B">
        <w:t xml:space="preserve">directly </w:t>
      </w:r>
      <w:r>
        <w:t>Australia’s regional program expen</w:t>
      </w:r>
      <w:r w:rsidR="00E90657">
        <w:t>ditu</w:t>
      </w:r>
      <w:r w:rsidR="00126C18">
        <w:t>re to that of other donors, which</w:t>
      </w:r>
      <w:r>
        <w:t xml:space="preserve"> include different countries in their definition of the region</w:t>
      </w:r>
      <w:r w:rsidR="00E90657">
        <w:t xml:space="preserve"> and </w:t>
      </w:r>
      <w:r w:rsidR="00126C18">
        <w:t>have</w:t>
      </w:r>
      <w:r>
        <w:t xml:space="preserve"> programs not directly compara</w:t>
      </w:r>
      <w:r w:rsidR="00C8709C">
        <w:t xml:space="preserve">ble </w:t>
      </w:r>
      <w:r w:rsidR="009D4D2B">
        <w:t>in terms of scope and</w:t>
      </w:r>
      <w:r w:rsidR="00126C18">
        <w:t xml:space="preserve"> objectives. </w:t>
      </w:r>
      <w:r w:rsidR="00503F2A">
        <w:t>However</w:t>
      </w:r>
      <w:r w:rsidR="00126C18">
        <w:t>,</w:t>
      </w:r>
      <w:r>
        <w:t xml:space="preserve"> Austral</w:t>
      </w:r>
      <w:r w:rsidR="009D4D2B">
        <w:t>ia is one of the larger</w:t>
      </w:r>
      <w:r>
        <w:t xml:space="preserve"> donors in </w:t>
      </w:r>
      <w:r w:rsidR="00503F2A">
        <w:t>East Asia</w:t>
      </w:r>
      <w:r w:rsidR="009D4D2B">
        <w:t xml:space="preserve">. </w:t>
      </w:r>
      <w:r w:rsidR="00555638" w:rsidRPr="00555638">
        <w:t xml:space="preserve">For example, the Australia-Asia Program to Combat Trafficking in Persons (AAPTIP) </w:t>
      </w:r>
      <w:r w:rsidR="00C75509">
        <w:t>is the single largest anti-</w:t>
      </w:r>
      <w:r w:rsidR="00555638" w:rsidRPr="00555638">
        <w:t>human trafficking program in the world</w:t>
      </w:r>
      <w:r w:rsidR="00B76BB1">
        <w:t xml:space="preserve"> </w:t>
      </w:r>
      <w:r w:rsidR="00B76BB1" w:rsidRPr="00555638">
        <w:t>($50 million</w:t>
      </w:r>
      <w:r w:rsidR="00B76BB1">
        <w:t xml:space="preserve"> over 5 years)</w:t>
      </w:r>
      <w:r w:rsidR="00555638" w:rsidRPr="00555638">
        <w:t xml:space="preserve">. </w:t>
      </w:r>
      <w:r w:rsidR="000F4D6C" w:rsidRPr="000F4D6C">
        <w:t>Australia is the leading provider of voluntary contribu</w:t>
      </w:r>
      <w:r w:rsidR="000F4D6C">
        <w:t>tions to the APEC Support Fund—</w:t>
      </w:r>
      <w:r w:rsidR="000F4D6C" w:rsidRPr="000F4D6C">
        <w:t xml:space="preserve">the only project funding source available to APEC economies that primarily </w:t>
      </w:r>
      <w:r w:rsidR="00C309DF">
        <w:t>works with</w:t>
      </w:r>
      <w:r w:rsidR="000F4D6C" w:rsidRPr="000F4D6C">
        <w:t xml:space="preserve"> developing member economies</w:t>
      </w:r>
      <w:r w:rsidR="00C309DF">
        <w:t xml:space="preserve"> </w:t>
      </w:r>
      <w:r w:rsidR="00C309DF" w:rsidRPr="00D07540">
        <w:t xml:space="preserve">in agreed high priority areas </w:t>
      </w:r>
      <w:r w:rsidR="00C309DF">
        <w:t>of</w:t>
      </w:r>
      <w:r w:rsidR="00C309DF" w:rsidRPr="00D07540">
        <w:t xml:space="preserve"> economic and technical cooperation</w:t>
      </w:r>
      <w:r w:rsidR="000F4D6C">
        <w:rPr>
          <w:rStyle w:val="FootnoteReference"/>
        </w:rPr>
        <w:footnoteReference w:id="12"/>
      </w:r>
      <w:r w:rsidR="000F4D6C" w:rsidRPr="000F4D6C">
        <w:t>.</w:t>
      </w:r>
      <w:r w:rsidR="001F5D1E">
        <w:t xml:space="preserve"> </w:t>
      </w:r>
    </w:p>
    <w:p w:rsidR="000D733F" w:rsidRDefault="000D733F" w:rsidP="000D733F">
      <w:pPr>
        <w:pStyle w:val="Caption"/>
      </w:pPr>
      <w:bookmarkStart w:id="2" w:name="_Toc373853206"/>
      <w:r>
        <w:lastRenderedPageBreak/>
        <w:t xml:space="preserve">Table </w:t>
      </w:r>
      <w:r w:rsidR="00B24B03">
        <w:t>1</w:t>
      </w:r>
      <w:r>
        <w:t xml:space="preserve"> </w:t>
      </w:r>
      <w:r w:rsidRPr="001C397E">
        <w:t>Expenditure in FY 2013-14</w:t>
      </w:r>
      <w:r w:rsidR="003C0D1D">
        <w:t xml:space="preserve"> </w:t>
      </w:r>
    </w:p>
    <w:tbl>
      <w:tblPr>
        <w:tblStyle w:val="APPR"/>
        <w:tblpPr w:leftFromText="180" w:rightFromText="180" w:vertAnchor="text" w:tblpY="1"/>
        <w:tblW w:w="5000" w:type="pct"/>
        <w:tblLayout w:type="fixed"/>
        <w:tblLook w:val="0000" w:firstRow="0" w:lastRow="0" w:firstColumn="0" w:lastColumn="0" w:noHBand="0" w:noVBand="0"/>
      </w:tblPr>
      <w:tblGrid>
        <w:gridCol w:w="6253"/>
        <w:gridCol w:w="1018"/>
        <w:gridCol w:w="1506"/>
      </w:tblGrid>
      <w:tr w:rsidR="000D733F" w:rsidRPr="00180B19" w:rsidTr="000D733F">
        <w:trPr>
          <w:cnfStyle w:val="000000010000" w:firstRow="0" w:lastRow="0" w:firstColumn="0" w:lastColumn="0" w:oddVBand="0" w:evenVBand="0" w:oddHBand="0" w:evenHBand="1" w:firstRowFirstColumn="0" w:firstRowLastColumn="0" w:lastRowFirstColumn="0" w:lastRowLastColumn="0"/>
        </w:trPr>
        <w:tc>
          <w:tcPr>
            <w:tcW w:w="6048" w:type="dxa"/>
          </w:tcPr>
          <w:p w:rsidR="000D733F" w:rsidRPr="00180B19" w:rsidRDefault="000D733F" w:rsidP="000D733F">
            <w:pPr>
              <w:pStyle w:val="TableHeading1"/>
            </w:pPr>
            <w:r w:rsidRPr="00180B19">
              <w:t>Objective</w:t>
            </w:r>
          </w:p>
        </w:tc>
        <w:tc>
          <w:tcPr>
            <w:tcW w:w="964" w:type="dxa"/>
          </w:tcPr>
          <w:p w:rsidR="000D733F" w:rsidRPr="00180B19" w:rsidRDefault="000D733F" w:rsidP="000D733F">
            <w:pPr>
              <w:pStyle w:val="TableHeading1"/>
            </w:pPr>
            <w:r w:rsidRPr="00180B19">
              <w:t>A$ million</w:t>
            </w:r>
          </w:p>
        </w:tc>
        <w:tc>
          <w:tcPr>
            <w:tcW w:w="1426" w:type="dxa"/>
          </w:tcPr>
          <w:p w:rsidR="000D733F" w:rsidRPr="00180B19" w:rsidRDefault="000D733F" w:rsidP="001C397E">
            <w:pPr>
              <w:pStyle w:val="TableHeading1"/>
            </w:pPr>
            <w:r w:rsidRPr="00180B19">
              <w:t>% of program</w:t>
            </w:r>
          </w:p>
        </w:tc>
      </w:tr>
      <w:tr w:rsidR="000D733F" w:rsidRPr="00180B19" w:rsidTr="000D733F">
        <w:trPr>
          <w:cnfStyle w:val="000000010000" w:firstRow="0" w:lastRow="0" w:firstColumn="0" w:lastColumn="0" w:oddVBand="0" w:evenVBand="0" w:oddHBand="0" w:evenHBand="1" w:firstRowFirstColumn="0" w:firstRowLastColumn="0" w:lastRowFirstColumn="0" w:lastRowLastColumn="0"/>
        </w:trPr>
        <w:tc>
          <w:tcPr>
            <w:tcW w:w="6048" w:type="dxa"/>
          </w:tcPr>
          <w:p w:rsidR="000D733F" w:rsidRPr="00C57923" w:rsidRDefault="000D733F" w:rsidP="000D733F">
            <w:pPr>
              <w:pStyle w:val="TableTextEntries"/>
            </w:pPr>
            <w:r w:rsidRPr="00C57923">
              <w:t>Objective 1</w:t>
            </w:r>
            <w:r w:rsidR="001C397E">
              <w:t xml:space="preserve"> Strengthened regional economic integration</w:t>
            </w:r>
          </w:p>
        </w:tc>
        <w:tc>
          <w:tcPr>
            <w:tcW w:w="964" w:type="dxa"/>
          </w:tcPr>
          <w:p w:rsidR="000D733F" w:rsidRPr="00C57923" w:rsidRDefault="00666BEB" w:rsidP="000D733F">
            <w:pPr>
              <w:pStyle w:val="TableTextEntries"/>
            </w:pPr>
            <w:r>
              <w:t>$14.8m</w:t>
            </w:r>
          </w:p>
        </w:tc>
        <w:tc>
          <w:tcPr>
            <w:tcW w:w="1426" w:type="dxa"/>
          </w:tcPr>
          <w:p w:rsidR="000D733F" w:rsidRPr="00C57923" w:rsidRDefault="00747E37" w:rsidP="000D733F">
            <w:pPr>
              <w:pStyle w:val="TableTextEntries"/>
            </w:pPr>
            <w:r>
              <w:t>5</w:t>
            </w:r>
            <w:r w:rsidR="003A149F">
              <w:t>4</w:t>
            </w:r>
            <w:r w:rsidR="00666BEB">
              <w:t>%</w:t>
            </w:r>
          </w:p>
        </w:tc>
      </w:tr>
      <w:tr w:rsidR="000D733F" w:rsidRPr="00180B19" w:rsidTr="000D733F">
        <w:trPr>
          <w:cnfStyle w:val="000000010000" w:firstRow="0" w:lastRow="0" w:firstColumn="0" w:lastColumn="0" w:oddVBand="0" w:evenVBand="0" w:oddHBand="0" w:evenHBand="1" w:firstRowFirstColumn="0" w:firstRowLastColumn="0" w:lastRowFirstColumn="0" w:lastRowLastColumn="0"/>
        </w:trPr>
        <w:tc>
          <w:tcPr>
            <w:tcW w:w="6048" w:type="dxa"/>
          </w:tcPr>
          <w:p w:rsidR="000D733F" w:rsidRPr="00C57923" w:rsidRDefault="000D733F" w:rsidP="000D733F">
            <w:pPr>
              <w:pStyle w:val="TableTextEntries"/>
            </w:pPr>
            <w:r w:rsidRPr="00C57923">
              <w:t>Objective 2</w:t>
            </w:r>
            <w:r w:rsidR="001C397E">
              <w:t xml:space="preserve"> Priority trans-boundary development challenges addressed effectively</w:t>
            </w:r>
          </w:p>
        </w:tc>
        <w:tc>
          <w:tcPr>
            <w:tcW w:w="964" w:type="dxa"/>
          </w:tcPr>
          <w:p w:rsidR="000D733F" w:rsidRPr="00C57923" w:rsidRDefault="00470115" w:rsidP="000D733F">
            <w:pPr>
              <w:pStyle w:val="TableTextEntries"/>
            </w:pPr>
            <w:r>
              <w:t>$1</w:t>
            </w:r>
            <w:r w:rsidR="003A149F">
              <w:t>1</w:t>
            </w:r>
            <w:r>
              <w:t>.</w:t>
            </w:r>
            <w:r w:rsidR="003A149F">
              <w:t>1</w:t>
            </w:r>
            <w:r w:rsidR="00666BEB">
              <w:t>m</w:t>
            </w:r>
          </w:p>
        </w:tc>
        <w:tc>
          <w:tcPr>
            <w:tcW w:w="1426" w:type="dxa"/>
          </w:tcPr>
          <w:p w:rsidR="000D733F" w:rsidRPr="00C57923" w:rsidRDefault="003A149F" w:rsidP="000D733F">
            <w:pPr>
              <w:pStyle w:val="TableTextEntries"/>
            </w:pPr>
            <w:r>
              <w:t>40</w:t>
            </w:r>
            <w:r w:rsidR="00666BEB">
              <w:t>%</w:t>
            </w:r>
          </w:p>
        </w:tc>
      </w:tr>
      <w:tr w:rsidR="000D733F" w:rsidRPr="00180B19" w:rsidTr="000D733F">
        <w:trPr>
          <w:cnfStyle w:val="000000010000" w:firstRow="0" w:lastRow="0" w:firstColumn="0" w:lastColumn="0" w:oddVBand="0" w:evenVBand="0" w:oddHBand="0" w:evenHBand="1" w:firstRowFirstColumn="0" w:firstRowLastColumn="0" w:lastRowFirstColumn="0" w:lastRowLastColumn="0"/>
        </w:trPr>
        <w:tc>
          <w:tcPr>
            <w:tcW w:w="6048" w:type="dxa"/>
          </w:tcPr>
          <w:p w:rsidR="000D733F" w:rsidRPr="00C57923" w:rsidRDefault="000D733F" w:rsidP="000D733F">
            <w:pPr>
              <w:pStyle w:val="TableTextEntries"/>
            </w:pPr>
            <w:r w:rsidRPr="00C57923">
              <w:t>Objective 3</w:t>
            </w:r>
            <w:r w:rsidR="001C397E">
              <w:t xml:space="preserve"> Improved capacity of regional organisations to address agreed priority development challenges</w:t>
            </w:r>
          </w:p>
        </w:tc>
        <w:tc>
          <w:tcPr>
            <w:tcW w:w="964" w:type="dxa"/>
          </w:tcPr>
          <w:p w:rsidR="000D733F" w:rsidRPr="00C57923" w:rsidRDefault="00666BEB" w:rsidP="000D733F">
            <w:pPr>
              <w:pStyle w:val="TableTextEntries"/>
            </w:pPr>
            <w:r>
              <w:t>$1.5m</w:t>
            </w:r>
          </w:p>
        </w:tc>
        <w:tc>
          <w:tcPr>
            <w:tcW w:w="1426" w:type="dxa"/>
          </w:tcPr>
          <w:p w:rsidR="000D733F" w:rsidRPr="00C57923" w:rsidRDefault="00375C9E" w:rsidP="000D733F">
            <w:pPr>
              <w:pStyle w:val="TableTextEntries"/>
            </w:pPr>
            <w:r>
              <w:t>6</w:t>
            </w:r>
            <w:r w:rsidR="00666BEB">
              <w:t>%</w:t>
            </w:r>
          </w:p>
        </w:tc>
      </w:tr>
    </w:tbl>
    <w:p w:rsidR="000D733F" w:rsidRDefault="000D733F" w:rsidP="000D733F">
      <w:pPr>
        <w:pStyle w:val="Note"/>
      </w:pPr>
      <w:r w:rsidRPr="00180B19">
        <w:t>Source:</w:t>
      </w:r>
      <w:r w:rsidR="00C25E73">
        <w:t xml:space="preserve"> </w:t>
      </w:r>
      <w:r w:rsidR="0023686F">
        <w:t>AidWorks</w:t>
      </w:r>
    </w:p>
    <w:p w:rsidR="000D733F" w:rsidRPr="00757BAA" w:rsidRDefault="000D733F" w:rsidP="000D733F">
      <w:pPr>
        <w:pStyle w:val="Heading3"/>
        <w:rPr>
          <w:rStyle w:val="BodyTextChar"/>
          <w:b w:val="0"/>
          <w:color w:val="auto"/>
        </w:rPr>
      </w:pPr>
      <w:r w:rsidRPr="009E38C1">
        <w:rPr>
          <w:b w:val="0"/>
          <w:color w:val="007FAD"/>
          <w:sz w:val="28"/>
          <w:szCs w:val="28"/>
          <w:lang w:eastAsia="en-AU"/>
        </w:rPr>
        <w:t>Progress towards objectives</w:t>
      </w:r>
      <w:r>
        <w:rPr>
          <w:sz w:val="32"/>
          <w:szCs w:val="32"/>
        </w:rPr>
        <w:tab/>
      </w:r>
    </w:p>
    <w:p w:rsidR="0062472A" w:rsidRDefault="0062472A" w:rsidP="0062472A">
      <w:pPr>
        <w:pStyle w:val="ListBullet"/>
        <w:numPr>
          <w:ilvl w:val="0"/>
          <w:numId w:val="0"/>
        </w:numPr>
      </w:pPr>
      <w:r>
        <w:t>DFAT</w:t>
      </w:r>
      <w:r w:rsidRPr="00C10061">
        <w:t xml:space="preserve"> </w:t>
      </w:r>
      <w:r w:rsidR="000149D1">
        <w:t>did not have a finalised</w:t>
      </w:r>
      <w:r>
        <w:t xml:space="preserve"> East Asia regional s</w:t>
      </w:r>
      <w:r w:rsidRPr="00C10061">
        <w:t>trategy</w:t>
      </w:r>
      <w:r>
        <w:t xml:space="preserve"> document</w:t>
      </w:r>
      <w:r w:rsidR="000149D1">
        <w:t>,</w:t>
      </w:r>
      <w:r>
        <w:t xml:space="preserve"> as</w:t>
      </w:r>
      <w:r w:rsidRPr="0062472A">
        <w:t xml:space="preserve"> </w:t>
      </w:r>
      <w:r>
        <w:t>c</w:t>
      </w:r>
      <w:r w:rsidRPr="00C10061">
        <w:t xml:space="preserve">hanges in </w:t>
      </w:r>
      <w:r>
        <w:t>Australian G</w:t>
      </w:r>
      <w:r w:rsidRPr="00C10061">
        <w:t xml:space="preserve">overnment priorities and policy direction for the aid program </w:t>
      </w:r>
      <w:r>
        <w:t xml:space="preserve">were </w:t>
      </w:r>
      <w:r w:rsidRPr="00C10061">
        <w:t xml:space="preserve">being </w:t>
      </w:r>
      <w:r>
        <w:t xml:space="preserve">determined during 2013–14. </w:t>
      </w:r>
      <w:r w:rsidR="000149D1">
        <w:t>However, w</w:t>
      </w:r>
      <w:r w:rsidRPr="00C10061">
        <w:t>e finalise</w:t>
      </w:r>
      <w:r>
        <w:t>d</w:t>
      </w:r>
      <w:r w:rsidRPr="00C10061">
        <w:t xml:space="preserve"> a performance</w:t>
      </w:r>
      <w:r>
        <w:t xml:space="preserve"> assessment framework (PAF)</w:t>
      </w:r>
      <w:r>
        <w:rPr>
          <w:rStyle w:val="FootnoteReference"/>
        </w:rPr>
        <w:footnoteReference w:id="13"/>
      </w:r>
      <w:r>
        <w:t xml:space="preserve"> outlining</w:t>
      </w:r>
      <w:r w:rsidRPr="00C10061">
        <w:t xml:space="preserve"> </w:t>
      </w:r>
      <w:r>
        <w:t>indicators and targets for 2013–</w:t>
      </w:r>
      <w:r w:rsidRPr="00C10061">
        <w:t>14</w:t>
      </w:r>
      <w:r w:rsidR="000149D1">
        <w:t xml:space="preserve"> against the </w:t>
      </w:r>
      <w:r w:rsidR="001F5D1E">
        <w:t>interim</w:t>
      </w:r>
      <w:r w:rsidR="000149D1">
        <w:t xml:space="preserve"> strategy objectives (see page 3)</w:t>
      </w:r>
      <w:r w:rsidRPr="00C10061">
        <w:t xml:space="preserve">. </w:t>
      </w:r>
      <w:r w:rsidR="000149D1">
        <w:t>The</w:t>
      </w:r>
      <w:r>
        <w:t xml:space="preserve"> </w:t>
      </w:r>
      <w:r w:rsidR="000149D1">
        <w:t>PAF</w:t>
      </w:r>
      <w:r>
        <w:t xml:space="preserve"> informed</w:t>
      </w:r>
      <w:r w:rsidRPr="00C10061">
        <w:t xml:space="preserve"> the traffic light ratings </w:t>
      </w:r>
      <w:r>
        <w:t>of</w:t>
      </w:r>
      <w:r w:rsidRPr="00C10061">
        <w:t xml:space="preserve"> </w:t>
      </w:r>
      <w:r>
        <w:t xml:space="preserve">progress towards </w:t>
      </w:r>
      <w:r w:rsidRPr="00C10061">
        <w:t>the objectives</w:t>
      </w:r>
      <w:r>
        <w:t xml:space="preserve"> of the </w:t>
      </w:r>
      <w:r w:rsidR="001F5D1E">
        <w:t>interim</w:t>
      </w:r>
      <w:r>
        <w:t xml:space="preserve"> strategy</w:t>
      </w:r>
      <w:r w:rsidR="00B76BB1">
        <w:t>,</w:t>
      </w:r>
      <w:r w:rsidRPr="0062472A">
        <w:t xml:space="preserve"> </w:t>
      </w:r>
      <w:r w:rsidR="00B76BB1">
        <w:t>along with</w:t>
      </w:r>
      <w:r w:rsidRPr="00DB0FFA">
        <w:t xml:space="preserve"> Quality at Implementation (QAI) ratings</w:t>
      </w:r>
      <w:r>
        <w:t xml:space="preserve"> (see Annex B) </w:t>
      </w:r>
      <w:r w:rsidRPr="00DB0FFA">
        <w:t xml:space="preserve">and </w:t>
      </w:r>
      <w:r w:rsidR="00DA3D9D">
        <w:t>the</w:t>
      </w:r>
      <w:r w:rsidRPr="00DB0FFA">
        <w:t xml:space="preserve"> </w:t>
      </w:r>
      <w:r>
        <w:t>findings</w:t>
      </w:r>
      <w:r w:rsidR="00DA3D9D">
        <w:t xml:space="preserve"> of several evaluations and reviews undertaken during the period</w:t>
      </w:r>
      <w:r w:rsidRPr="00C10061">
        <w:t xml:space="preserve">. </w:t>
      </w:r>
      <w:r>
        <w:t>Judgements about progress take into account the relative size, complexity and variety of initiatives</w:t>
      </w:r>
      <w:r w:rsidR="000149D1">
        <w:rPr>
          <w:rStyle w:val="FootnoteReference"/>
        </w:rPr>
        <w:footnoteReference w:id="14"/>
      </w:r>
      <w:r>
        <w:t xml:space="preserve"> contributing to each objective.</w:t>
      </w:r>
    </w:p>
    <w:p w:rsidR="00C309DF" w:rsidRDefault="0019212E" w:rsidP="0019212E">
      <w:pPr>
        <w:pStyle w:val="BodyText"/>
      </w:pPr>
      <w:r>
        <w:t>O</w:t>
      </w:r>
      <w:r w:rsidRPr="00227657">
        <w:t xml:space="preserve">verall the </w:t>
      </w:r>
      <w:r w:rsidR="00B76BB1">
        <w:t>East Asia r</w:t>
      </w:r>
      <w:r>
        <w:t xml:space="preserve">egional </w:t>
      </w:r>
      <w:r w:rsidRPr="00227657">
        <w:t>program</w:t>
      </w:r>
      <w:r>
        <w:t>’</w:t>
      </w:r>
      <w:r w:rsidR="00CD5DE2">
        <w:t>s</w:t>
      </w:r>
      <w:r>
        <w:t xml:space="preserve"> progress towards achieving </w:t>
      </w:r>
      <w:r w:rsidR="00CD5DE2">
        <w:t>its</w:t>
      </w:r>
      <w:r>
        <w:t xml:space="preserve"> objectives is</w:t>
      </w:r>
      <w:r w:rsidRPr="00227657">
        <w:t xml:space="preserve"> </w:t>
      </w:r>
      <w:r>
        <w:t>adequate</w:t>
      </w:r>
      <w:r w:rsidRPr="00227657">
        <w:t>.</w:t>
      </w:r>
      <w:r>
        <w:t xml:space="preserve"> </w:t>
      </w:r>
      <w:r w:rsidRPr="00227657">
        <w:t xml:space="preserve">Ratings of progress </w:t>
      </w:r>
      <w:r>
        <w:t xml:space="preserve">at initiative level </w:t>
      </w:r>
      <w:r w:rsidRPr="00227657">
        <w:t>are listed in Annex B.</w:t>
      </w:r>
      <w:r>
        <w:t xml:space="preserve"> The majority of initiatives still need some work to be considered well on-track, but only two initiatives required significant remedial action (Project Childhood and G</w:t>
      </w:r>
      <w:r w:rsidR="0063026E">
        <w:t xml:space="preserve">reater </w:t>
      </w:r>
      <w:r>
        <w:t>M</w:t>
      </w:r>
      <w:r w:rsidR="0063026E">
        <w:t xml:space="preserve">ekong </w:t>
      </w:r>
      <w:r>
        <w:t>S</w:t>
      </w:r>
      <w:r w:rsidR="0063026E">
        <w:t>ubregion</w:t>
      </w:r>
      <w:r>
        <w:t xml:space="preserve"> Trade and Transport Facilitation</w:t>
      </w:r>
      <w:r w:rsidR="0063026E">
        <w:t xml:space="preserve"> (GMSTTF)</w:t>
      </w:r>
      <w:r>
        <w:t xml:space="preserve">). </w:t>
      </w:r>
      <w:r w:rsidR="0019502C">
        <w:t>The</w:t>
      </w:r>
      <w:r>
        <w:t xml:space="preserve"> flagship $50million Australia-Asia Program t</w:t>
      </w:r>
      <w:r w:rsidR="001F48C5">
        <w:t>o Combat Trafficking in Persons</w:t>
      </w:r>
      <w:r w:rsidR="0019502C">
        <w:t xml:space="preserve"> </w:t>
      </w:r>
      <w:r w:rsidR="00B76BB1">
        <w:t xml:space="preserve">(AAPTIP) </w:t>
      </w:r>
      <w:r w:rsidR="0019502C">
        <w:t>began</w:t>
      </w:r>
      <w:r w:rsidR="001F48C5">
        <w:t xml:space="preserve">. </w:t>
      </w:r>
      <w:r w:rsidR="00126C18">
        <w:t>S</w:t>
      </w:r>
      <w:r w:rsidR="000F4D6C">
        <w:t>everal</w:t>
      </w:r>
      <w:r>
        <w:t xml:space="preserve"> initiati</w:t>
      </w:r>
      <w:r w:rsidR="000F4D6C">
        <w:t>ves</w:t>
      </w:r>
      <w:r w:rsidR="0019502C" w:rsidRPr="0019502C">
        <w:t xml:space="preserve"> </w:t>
      </w:r>
      <w:r w:rsidR="0019502C">
        <w:t xml:space="preserve">entered their exit phases </w:t>
      </w:r>
      <w:r w:rsidR="000F4D6C">
        <w:t xml:space="preserve">—Project Childhood, </w:t>
      </w:r>
      <w:r w:rsidR="00CD5DE2">
        <w:t>H</w:t>
      </w:r>
      <w:r w:rsidR="0063026E">
        <w:t>IV/</w:t>
      </w:r>
      <w:r w:rsidR="00CD5DE2">
        <w:t>A</w:t>
      </w:r>
      <w:r w:rsidR="0063026E">
        <w:t xml:space="preserve">IDS </w:t>
      </w:r>
      <w:r w:rsidR="00CD5DE2">
        <w:t>A</w:t>
      </w:r>
      <w:r w:rsidR="0063026E">
        <w:t xml:space="preserve">sia </w:t>
      </w:r>
      <w:r w:rsidR="00CD5DE2">
        <w:t>R</w:t>
      </w:r>
      <w:r w:rsidR="0063026E">
        <w:t xml:space="preserve">egional </w:t>
      </w:r>
      <w:r w:rsidR="00CD5DE2">
        <w:t>P</w:t>
      </w:r>
      <w:r w:rsidR="0063026E">
        <w:t>rogram (HAARP)</w:t>
      </w:r>
      <w:r w:rsidR="000F4D6C">
        <w:t>, M</w:t>
      </w:r>
      <w:r w:rsidR="0063026E">
        <w:t xml:space="preserve">usic Television </w:t>
      </w:r>
      <w:r w:rsidR="000F4D6C">
        <w:t>E</w:t>
      </w:r>
      <w:r w:rsidR="0063026E">
        <w:t>nd Exploitation and Trafficking (MTVE</w:t>
      </w:r>
      <w:r w:rsidR="000F4D6C">
        <w:t>XIT</w:t>
      </w:r>
      <w:r w:rsidR="0063026E">
        <w:t>) Phase IV</w:t>
      </w:r>
      <w:r w:rsidR="000F4D6C">
        <w:t xml:space="preserve"> and </w:t>
      </w:r>
      <w:r w:rsidR="0063026E">
        <w:t>Tripartite Action to Protect Migrants within and from the Greater Mekong Subregion from Labour Exploitation (</w:t>
      </w:r>
      <w:r w:rsidR="000F4D6C">
        <w:t>TRIANGLE</w:t>
      </w:r>
      <w:r w:rsidR="0063026E">
        <w:t>) Project</w:t>
      </w:r>
      <w:r>
        <w:t xml:space="preserve">. </w:t>
      </w:r>
      <w:r w:rsidR="00C65A81">
        <w:br/>
      </w:r>
    </w:p>
    <w:p w:rsidR="00C65A81" w:rsidRDefault="00C65A81" w:rsidP="0019212E">
      <w:pPr>
        <w:pStyle w:val="BodyText"/>
      </w:pPr>
    </w:p>
    <w:p w:rsidR="00C65A81" w:rsidRDefault="00C65A81" w:rsidP="0019212E">
      <w:pPr>
        <w:pStyle w:val="BodyText"/>
      </w:pPr>
    </w:p>
    <w:p w:rsidR="00C65A81" w:rsidRDefault="00C65A81" w:rsidP="0019212E">
      <w:pPr>
        <w:pStyle w:val="BodyText"/>
      </w:pPr>
    </w:p>
    <w:p w:rsidR="00C65A81" w:rsidRDefault="00C65A81" w:rsidP="0019212E">
      <w:pPr>
        <w:pStyle w:val="BodyText"/>
      </w:pPr>
    </w:p>
    <w:p w:rsidR="00C65A81" w:rsidRDefault="00C65A81" w:rsidP="0019212E">
      <w:pPr>
        <w:pStyle w:val="BodyText"/>
      </w:pPr>
    </w:p>
    <w:p w:rsidR="000D733F" w:rsidRDefault="000D733F" w:rsidP="000D733F">
      <w:pPr>
        <w:pStyle w:val="Caption"/>
      </w:pPr>
      <w:r>
        <w:lastRenderedPageBreak/>
        <w:t xml:space="preserve">Table </w:t>
      </w:r>
      <w:r w:rsidR="00B24B03">
        <w:t>2</w:t>
      </w:r>
      <w:r>
        <w:t xml:space="preserve"> Rating of the program's progress towards Australia’s objectives</w:t>
      </w:r>
    </w:p>
    <w:tbl>
      <w:tblPr>
        <w:tblStyle w:val="APPR"/>
        <w:tblW w:w="5000" w:type="pct"/>
        <w:tblLook w:val="0000" w:firstRow="0" w:lastRow="0" w:firstColumn="0" w:lastColumn="0" w:noHBand="0" w:noVBand="0"/>
      </w:tblPr>
      <w:tblGrid>
        <w:gridCol w:w="6234"/>
        <w:gridCol w:w="1026"/>
        <w:gridCol w:w="426"/>
        <w:gridCol w:w="1091"/>
      </w:tblGrid>
      <w:tr w:rsidR="000D733F" w:rsidRPr="0019341B" w:rsidTr="000D733F">
        <w:trPr>
          <w:cnfStyle w:val="000000010000" w:firstRow="0" w:lastRow="0" w:firstColumn="0" w:lastColumn="0" w:oddVBand="0" w:evenVBand="0" w:oddHBand="0" w:evenHBand="1" w:firstRowFirstColumn="0" w:firstRowLastColumn="0" w:lastRowFirstColumn="0" w:lastRowLastColumn="0"/>
          <w:trHeight w:val="651"/>
        </w:trPr>
        <w:tc>
          <w:tcPr>
            <w:tcW w:w="6029" w:type="dxa"/>
          </w:tcPr>
          <w:p w:rsidR="000D733F" w:rsidRPr="0019341B" w:rsidRDefault="000D733F" w:rsidP="000D733F">
            <w:pPr>
              <w:pStyle w:val="TableTextColumnHeading"/>
            </w:pPr>
            <w:r w:rsidRPr="0019341B">
              <w:rPr>
                <w:noProof/>
                <w:lang w:eastAsia="en-AU"/>
              </w:rPr>
              <w:drawing>
                <wp:anchor distT="0" distB="0" distL="114300" distR="114300" simplePos="0" relativeHeight="251663360" behindDoc="0" locked="0" layoutInCell="1" allowOverlap="1" wp14:anchorId="1608FB63" wp14:editId="71A0CDF1">
                  <wp:simplePos x="0" y="0"/>
                  <wp:positionH relativeFrom="column">
                    <wp:posOffset>0</wp:posOffset>
                  </wp:positionH>
                  <wp:positionV relativeFrom="paragraph">
                    <wp:posOffset>0</wp:posOffset>
                  </wp:positionV>
                  <wp:extent cx="1857375" cy="228600"/>
                  <wp:effectExtent l="0" t="0" r="9525" b="0"/>
                  <wp:wrapNone/>
                  <wp:docPr id="12" name="Picture 1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Objective</w:t>
            </w:r>
          </w:p>
        </w:tc>
        <w:tc>
          <w:tcPr>
            <w:tcW w:w="972" w:type="dxa"/>
          </w:tcPr>
          <w:p w:rsidR="000D733F" w:rsidRPr="0019341B" w:rsidRDefault="004F4630" w:rsidP="000D733F">
            <w:pPr>
              <w:pStyle w:val="TableTextColumnHeading"/>
            </w:pPr>
            <w:r>
              <w:t>Previous Rating</w:t>
            </w:r>
          </w:p>
        </w:tc>
        <w:tc>
          <w:tcPr>
            <w:tcW w:w="388" w:type="dxa"/>
          </w:tcPr>
          <w:p w:rsidR="000D733F" w:rsidRDefault="000D733F" w:rsidP="000D733F">
            <w:pPr>
              <w:pStyle w:val="TableTextColumnHeading"/>
            </w:pPr>
          </w:p>
        </w:tc>
        <w:tc>
          <w:tcPr>
            <w:tcW w:w="1021" w:type="dxa"/>
          </w:tcPr>
          <w:p w:rsidR="000D733F" w:rsidRPr="0019341B" w:rsidRDefault="004F4630" w:rsidP="000D733F">
            <w:pPr>
              <w:pStyle w:val="TableTextColumnHeading"/>
            </w:pPr>
            <w:r>
              <w:t>Current Rating</w:t>
            </w:r>
          </w:p>
        </w:tc>
      </w:tr>
      <w:tr w:rsidR="000D733F" w:rsidRPr="009D53C4" w:rsidTr="0019212E">
        <w:trPr>
          <w:cnfStyle w:val="000000010000" w:firstRow="0" w:lastRow="0" w:firstColumn="0" w:lastColumn="0" w:oddVBand="0" w:evenVBand="0" w:oddHBand="0" w:evenHBand="1" w:firstRowFirstColumn="0" w:firstRowLastColumn="0" w:lastRowFirstColumn="0" w:lastRowLastColumn="0"/>
        </w:trPr>
        <w:tc>
          <w:tcPr>
            <w:tcW w:w="6029" w:type="dxa"/>
          </w:tcPr>
          <w:p w:rsidR="000D733F" w:rsidRPr="0019341B" w:rsidRDefault="000D733F" w:rsidP="000D733F">
            <w:pPr>
              <w:pStyle w:val="TableTextEntries"/>
            </w:pPr>
            <w:r>
              <w:t>Objective 1</w:t>
            </w:r>
            <w:r w:rsidR="0019212E">
              <w:t xml:space="preserve"> Strengthened Regional Economic Integration</w:t>
            </w:r>
          </w:p>
        </w:tc>
        <w:tc>
          <w:tcPr>
            <w:tcW w:w="972" w:type="dxa"/>
            <w:shd w:val="clear" w:color="auto" w:fill="E36C0A" w:themeFill="accent6" w:themeFillShade="BF"/>
            <w:noWrap/>
          </w:tcPr>
          <w:p w:rsidR="000D733F" w:rsidRPr="00443639" w:rsidRDefault="00D42F10" w:rsidP="000D733F">
            <w:pPr>
              <w:pStyle w:val="TableTextEntries"/>
              <w:jc w:val="center"/>
              <w:rPr>
                <w:color w:val="FFFFFF" w:themeColor="background1"/>
              </w:rPr>
            </w:pPr>
            <w:r>
              <w:rPr>
                <w:color w:val="FFFFFF" w:themeColor="background1"/>
              </w:rPr>
              <w:t>Am</w:t>
            </w:r>
            <w:r w:rsidR="0019212E">
              <w:rPr>
                <w:color w:val="FFFFFF" w:themeColor="background1"/>
              </w:rPr>
              <w:t>ber</w:t>
            </w:r>
          </w:p>
        </w:tc>
        <w:tc>
          <w:tcPr>
            <w:tcW w:w="388" w:type="dxa"/>
          </w:tcPr>
          <w:p w:rsidR="000D733F" w:rsidRPr="00443639" w:rsidRDefault="000D733F" w:rsidP="000D733F">
            <w:pPr>
              <w:pStyle w:val="TableTextEntries"/>
              <w:jc w:val="center"/>
              <w:rPr>
                <w:color w:val="FFFFFF" w:themeColor="background1"/>
              </w:rPr>
            </w:pPr>
          </w:p>
        </w:tc>
        <w:tc>
          <w:tcPr>
            <w:tcW w:w="1021" w:type="dxa"/>
            <w:shd w:val="clear" w:color="auto" w:fill="E36C0A"/>
            <w:noWrap/>
          </w:tcPr>
          <w:p w:rsidR="000D733F" w:rsidRPr="00443639" w:rsidRDefault="000D733F" w:rsidP="000D733F">
            <w:pPr>
              <w:pStyle w:val="TableTextEntries"/>
              <w:jc w:val="center"/>
              <w:rPr>
                <w:color w:val="FFFFFF" w:themeColor="background1"/>
              </w:rPr>
            </w:pPr>
            <w:r w:rsidRPr="00443639">
              <w:rPr>
                <w:color w:val="FFFFFF" w:themeColor="background1"/>
              </w:rPr>
              <w:t>Amber</w:t>
            </w:r>
          </w:p>
        </w:tc>
      </w:tr>
      <w:tr w:rsidR="000D733F" w:rsidRPr="009D53C4" w:rsidTr="00D42F10">
        <w:trPr>
          <w:cnfStyle w:val="000000010000" w:firstRow="0" w:lastRow="0" w:firstColumn="0" w:lastColumn="0" w:oddVBand="0" w:evenVBand="0" w:oddHBand="0" w:evenHBand="1" w:firstRowFirstColumn="0" w:firstRowLastColumn="0" w:lastRowFirstColumn="0" w:lastRowLastColumn="0"/>
        </w:trPr>
        <w:tc>
          <w:tcPr>
            <w:tcW w:w="6029" w:type="dxa"/>
          </w:tcPr>
          <w:p w:rsidR="000D733F" w:rsidRPr="0019341B" w:rsidRDefault="000D733F" w:rsidP="000D733F">
            <w:pPr>
              <w:pStyle w:val="TableTextEntries"/>
            </w:pPr>
            <w:r>
              <w:t>Objective 2</w:t>
            </w:r>
            <w:r w:rsidR="00D42F10">
              <w:t xml:space="preserve"> Priority trans-boundary development challenges are addressed effectively</w:t>
            </w:r>
          </w:p>
        </w:tc>
        <w:tc>
          <w:tcPr>
            <w:tcW w:w="972" w:type="dxa"/>
            <w:shd w:val="clear" w:color="auto" w:fill="66B33B"/>
            <w:noWrap/>
          </w:tcPr>
          <w:p w:rsidR="000D733F" w:rsidRPr="00443639" w:rsidRDefault="00D42F10" w:rsidP="000D733F">
            <w:pPr>
              <w:pStyle w:val="TableTextEntries"/>
              <w:jc w:val="center"/>
              <w:rPr>
                <w:color w:val="FFFFFF" w:themeColor="background1"/>
              </w:rPr>
            </w:pPr>
            <w:r>
              <w:rPr>
                <w:color w:val="FFFFFF" w:themeColor="background1"/>
              </w:rPr>
              <w:t>Green</w:t>
            </w:r>
          </w:p>
        </w:tc>
        <w:tc>
          <w:tcPr>
            <w:tcW w:w="388" w:type="dxa"/>
          </w:tcPr>
          <w:p w:rsidR="000D733F" w:rsidRPr="00443639" w:rsidRDefault="000D733F" w:rsidP="000D733F">
            <w:pPr>
              <w:pStyle w:val="TableTextEntries"/>
              <w:jc w:val="center"/>
              <w:rPr>
                <w:color w:val="FFFFFF" w:themeColor="background1"/>
              </w:rPr>
            </w:pPr>
          </w:p>
        </w:tc>
        <w:tc>
          <w:tcPr>
            <w:tcW w:w="1021" w:type="dxa"/>
            <w:shd w:val="clear" w:color="auto" w:fill="72AF2F"/>
            <w:noWrap/>
          </w:tcPr>
          <w:p w:rsidR="000D733F" w:rsidRPr="00443639" w:rsidRDefault="000D733F" w:rsidP="000D733F">
            <w:pPr>
              <w:pStyle w:val="TableTextEntries"/>
              <w:jc w:val="center"/>
              <w:rPr>
                <w:color w:val="FFFFFF" w:themeColor="background1"/>
              </w:rPr>
            </w:pPr>
            <w:r w:rsidRPr="00443639">
              <w:rPr>
                <w:color w:val="FFFFFF" w:themeColor="background1"/>
              </w:rPr>
              <w:t>Green</w:t>
            </w:r>
          </w:p>
        </w:tc>
      </w:tr>
      <w:tr w:rsidR="000D733F" w:rsidRPr="009D53C4" w:rsidTr="00F61B3F">
        <w:trPr>
          <w:cnfStyle w:val="000000010000" w:firstRow="0" w:lastRow="0" w:firstColumn="0" w:lastColumn="0" w:oddVBand="0" w:evenVBand="0" w:oddHBand="0" w:evenHBand="1" w:firstRowFirstColumn="0" w:firstRowLastColumn="0" w:lastRowFirstColumn="0" w:lastRowLastColumn="0"/>
        </w:trPr>
        <w:tc>
          <w:tcPr>
            <w:tcW w:w="6029" w:type="dxa"/>
          </w:tcPr>
          <w:p w:rsidR="000D733F" w:rsidRDefault="000D733F" w:rsidP="000D733F">
            <w:pPr>
              <w:pStyle w:val="TableTextEntries"/>
            </w:pPr>
            <w:r>
              <w:t>Objective 3</w:t>
            </w:r>
            <w:r w:rsidR="00D42F10">
              <w:t xml:space="preserve"> Improved capacity of regional organisations to address agreed priority development challenges</w:t>
            </w:r>
          </w:p>
        </w:tc>
        <w:tc>
          <w:tcPr>
            <w:tcW w:w="972" w:type="dxa"/>
            <w:shd w:val="clear" w:color="auto" w:fill="E36C0A" w:themeFill="accent6" w:themeFillShade="BF"/>
            <w:noWrap/>
          </w:tcPr>
          <w:p w:rsidR="000D733F" w:rsidRPr="00443639" w:rsidRDefault="00F61B3F" w:rsidP="000D733F">
            <w:pPr>
              <w:pStyle w:val="TableTextEntries"/>
              <w:jc w:val="center"/>
              <w:rPr>
                <w:color w:val="FFFFFF" w:themeColor="background1"/>
              </w:rPr>
            </w:pPr>
            <w:r>
              <w:rPr>
                <w:color w:val="FFFFFF" w:themeColor="background1"/>
              </w:rPr>
              <w:t>Amber</w:t>
            </w:r>
          </w:p>
        </w:tc>
        <w:tc>
          <w:tcPr>
            <w:tcW w:w="388" w:type="dxa"/>
          </w:tcPr>
          <w:p w:rsidR="000D733F" w:rsidRPr="00443639" w:rsidRDefault="000D733F" w:rsidP="000D733F">
            <w:pPr>
              <w:pStyle w:val="TableTextEntries"/>
              <w:jc w:val="center"/>
              <w:rPr>
                <w:color w:val="FFFFFF" w:themeColor="background1"/>
              </w:rPr>
            </w:pPr>
          </w:p>
        </w:tc>
        <w:tc>
          <w:tcPr>
            <w:tcW w:w="1021" w:type="dxa"/>
            <w:shd w:val="clear" w:color="auto" w:fill="6CB13D"/>
            <w:noWrap/>
          </w:tcPr>
          <w:p w:rsidR="000D733F" w:rsidRPr="00443639" w:rsidRDefault="00F61B3F" w:rsidP="000D733F">
            <w:pPr>
              <w:pStyle w:val="TableTextEntries"/>
              <w:jc w:val="center"/>
              <w:rPr>
                <w:color w:val="FFFFFF" w:themeColor="background1"/>
              </w:rPr>
            </w:pPr>
            <w:r>
              <w:rPr>
                <w:color w:val="FFFFFF" w:themeColor="background1"/>
              </w:rPr>
              <w:t>Green</w:t>
            </w:r>
          </w:p>
        </w:tc>
      </w:tr>
    </w:tbl>
    <w:p w:rsidR="000D733F" w:rsidRPr="00180B19" w:rsidRDefault="000D733F" w:rsidP="000D733F">
      <w:pPr>
        <w:pStyle w:val="Note"/>
      </w:pPr>
      <w:r w:rsidRPr="00180B19">
        <w:t xml:space="preserve">Note: </w:t>
      </w:r>
    </w:p>
    <w:p w:rsidR="000D733F" w:rsidRPr="00180B19" w:rsidRDefault="000D733F" w:rsidP="000D733F">
      <w:pPr>
        <w:pStyle w:val="Note"/>
      </w:pPr>
      <w:r w:rsidRPr="00E74404">
        <w:rPr>
          <w:color w:val="72AF2F"/>
        </w:rPr>
        <w:sym w:font="Webdings" w:char="F067"/>
      </w:r>
      <w:r w:rsidRPr="00180B19">
        <w:t> </w:t>
      </w:r>
      <w:r w:rsidRPr="00180B19">
        <w:t xml:space="preserve"> </w:t>
      </w:r>
      <w:r>
        <w:t xml:space="preserve">Green. </w:t>
      </w:r>
      <w:r w:rsidRPr="00180B19">
        <w:t>Progress is as expected for this point in time and it is likely that the objective will be achieved. Standard program management practices are sufficient.</w:t>
      </w:r>
    </w:p>
    <w:p w:rsidR="000D733F" w:rsidRPr="00180B19" w:rsidRDefault="000D733F" w:rsidP="000D733F">
      <w:pPr>
        <w:pStyle w:val="Note"/>
      </w:pPr>
      <w:r w:rsidRPr="00E74404">
        <w:rPr>
          <w:color w:val="E36C0A"/>
        </w:rPr>
        <w:sym w:font="Webdings" w:char="F067"/>
      </w:r>
      <w:r w:rsidRPr="00180B19">
        <w:t> </w:t>
      </w:r>
      <w:r w:rsidRPr="00180B19">
        <w:t xml:space="preserve"> </w:t>
      </w:r>
      <w:r>
        <w:t xml:space="preserve">Amber. </w:t>
      </w:r>
      <w:r w:rsidRPr="00180B19">
        <w:t>Progress is somewhat less than expected for this point in time and restorative action will be necessary if the objective is to be achieved. Close performance monitoring is recommended.</w:t>
      </w:r>
    </w:p>
    <w:p w:rsidR="000D733F" w:rsidRDefault="000D733F" w:rsidP="000D733F">
      <w:pPr>
        <w:pStyle w:val="Note"/>
      </w:pPr>
      <w:r w:rsidRPr="004C4A3E">
        <w:rPr>
          <w:color w:val="FF0000"/>
        </w:rPr>
        <w:sym w:font="Webdings" w:char="F067"/>
      </w:r>
      <w:r w:rsidRPr="00180B19">
        <w:t> </w:t>
      </w:r>
      <w:r w:rsidRPr="00180B19">
        <w:t xml:space="preserve"> </w:t>
      </w:r>
      <w:r>
        <w:t xml:space="preserve">Red. </w:t>
      </w:r>
      <w:r w:rsidRPr="00180B19">
        <w:t>Progress is significantly less than expected for this point in time and the objective is not likely to be met given available resources and priorities. Recasting the objective may be required.</w:t>
      </w:r>
    </w:p>
    <w:p w:rsidR="00555638" w:rsidRPr="00555638" w:rsidRDefault="000D733F" w:rsidP="00555638">
      <w:pPr>
        <w:pStyle w:val="Note"/>
      </w:pPr>
      <w:r>
        <w:t>Reporting period:</w:t>
      </w:r>
      <w:r w:rsidR="001F5D1E">
        <w:t xml:space="preserve"> </w:t>
      </w:r>
    </w:p>
    <w:p w:rsidR="000D733F" w:rsidRDefault="00D42F10" w:rsidP="000D733F">
      <w:pPr>
        <w:pStyle w:val="Heading3"/>
      </w:pPr>
      <w:r>
        <w:t>Objective 1: Strengthened Regional Economic Integration</w:t>
      </w:r>
    </w:p>
    <w:p w:rsidR="00D42F10" w:rsidRPr="00D42F10" w:rsidRDefault="00D42F10" w:rsidP="00D42F10">
      <w:pPr>
        <w:pStyle w:val="ListBullet"/>
        <w:numPr>
          <w:ilvl w:val="0"/>
          <w:numId w:val="0"/>
        </w:numPr>
      </w:pPr>
      <w:r w:rsidRPr="00D42F10">
        <w:t xml:space="preserve">On balance, progress is as expected during 2013–14 for this objective. However, </w:t>
      </w:r>
      <w:r w:rsidR="00DA3D9D">
        <w:t>because the</w:t>
      </w:r>
      <w:r w:rsidRPr="00D42F10">
        <w:t xml:space="preserve"> implementation of many</w:t>
      </w:r>
      <w:r w:rsidR="00DA3D9D">
        <w:t xml:space="preserve"> of the</w:t>
      </w:r>
      <w:r w:rsidRPr="00D42F10">
        <w:t xml:space="preserve"> </w:t>
      </w:r>
      <w:r w:rsidR="00DA3D9D">
        <w:t xml:space="preserve">investments’ </w:t>
      </w:r>
      <w:r w:rsidRPr="00D42F10">
        <w:t xml:space="preserve">review recommendations </w:t>
      </w:r>
      <w:r w:rsidR="00DA3D9D">
        <w:t xml:space="preserve">is </w:t>
      </w:r>
      <w:r w:rsidRPr="00D42F10">
        <w:t xml:space="preserve">still to fully bear fruit, and </w:t>
      </w:r>
      <w:r w:rsidR="00DA3D9D">
        <w:t xml:space="preserve">because of </w:t>
      </w:r>
      <w:r w:rsidRPr="00D42F10">
        <w:t>unsatisfactory</w:t>
      </w:r>
      <w:r w:rsidR="00C1719F">
        <w:t xml:space="preserve"> (though not irredeemable)</w:t>
      </w:r>
      <w:r w:rsidR="00733487">
        <w:t xml:space="preserve"> </w:t>
      </w:r>
      <w:r w:rsidRPr="00D42F10">
        <w:t xml:space="preserve">performance ratings for the Greater Mekong Subregion Trade and Transport Facilitation initiative (GMSTTF), </w:t>
      </w:r>
      <w:r w:rsidRPr="001A1FD0">
        <w:rPr>
          <w:b/>
        </w:rPr>
        <w:t>this objective is rated amber</w:t>
      </w:r>
      <w:r w:rsidR="00B76BB1">
        <w:t xml:space="preserve">. </w:t>
      </w:r>
      <w:r w:rsidR="00134007">
        <w:t>PAF</w:t>
      </w:r>
      <w:r w:rsidRPr="00D42F10">
        <w:t xml:space="preserve"> targets for 2013–14 are met, or partly met in the case of thos</w:t>
      </w:r>
      <w:r w:rsidR="00126C18">
        <w:t>e relating to GMSTTF</w:t>
      </w:r>
      <w:r w:rsidRPr="00D42F10">
        <w:t>.</w:t>
      </w:r>
      <w:r w:rsidR="001F5D1E">
        <w:t xml:space="preserve"> </w:t>
      </w:r>
    </w:p>
    <w:p w:rsidR="00D42F10" w:rsidRPr="00D42F10" w:rsidRDefault="00D42F10" w:rsidP="00D42F10">
      <w:pPr>
        <w:pStyle w:val="ListBullet"/>
        <w:numPr>
          <w:ilvl w:val="0"/>
          <w:numId w:val="0"/>
        </w:numPr>
      </w:pPr>
      <w:r w:rsidRPr="00D42F10">
        <w:t xml:space="preserve">The contributing initiatives supporting APEC and </w:t>
      </w:r>
      <w:r w:rsidR="00EA12A0">
        <w:t>ASEAN</w:t>
      </w:r>
      <w:r w:rsidRPr="00D42F10">
        <w:t xml:space="preserve"> all performed well. </w:t>
      </w:r>
      <w:r w:rsidR="00134007" w:rsidRPr="00134007">
        <w:t xml:space="preserve">AANZFTA Economic Cooperation Support Program </w:t>
      </w:r>
      <w:r w:rsidR="00134007">
        <w:t>(</w:t>
      </w:r>
      <w:r w:rsidRPr="00D42F10">
        <w:t>AECSP</w:t>
      </w:r>
      <w:r w:rsidR="00134007">
        <w:t>)</w:t>
      </w:r>
      <w:r w:rsidR="00EA1EBF">
        <w:t xml:space="preserve"> continues to steadily improve</w:t>
      </w:r>
      <w:r w:rsidRPr="00D42F10">
        <w:t xml:space="preserve"> its performance</w:t>
      </w:r>
      <w:r w:rsidR="00C440B2">
        <w:t xml:space="preserve">, largely as a result of AANZFTA </w:t>
      </w:r>
      <w:r w:rsidR="00D216BA">
        <w:t xml:space="preserve">partners </w:t>
      </w:r>
      <w:r w:rsidR="00C440B2">
        <w:t>taking ownership of the program</w:t>
      </w:r>
      <w:r w:rsidR="001A1FD0">
        <w:t xml:space="preserve">. </w:t>
      </w:r>
      <w:r w:rsidRPr="00D42F10">
        <w:t xml:space="preserve">These </w:t>
      </w:r>
      <w:r w:rsidR="00126C18">
        <w:t xml:space="preserve">programs </w:t>
      </w:r>
      <w:r w:rsidRPr="00D42F10">
        <w:t xml:space="preserve">require implementation of review recommendations to maintain good performance. </w:t>
      </w:r>
    </w:p>
    <w:p w:rsidR="00D42F10" w:rsidRPr="00D42F10" w:rsidRDefault="00EA1EBF" w:rsidP="00D42F10">
      <w:pPr>
        <w:pStyle w:val="ListBullet"/>
        <w:numPr>
          <w:ilvl w:val="0"/>
          <w:numId w:val="0"/>
        </w:numPr>
      </w:pPr>
      <w:r>
        <w:t>Australia</w:t>
      </w:r>
      <w:r w:rsidR="00503F2A">
        <w:t xml:space="preserve">’s </w:t>
      </w:r>
      <w:r w:rsidRPr="00D42F10">
        <w:t xml:space="preserve">contribution </w:t>
      </w:r>
      <w:r w:rsidR="00D42F10" w:rsidRPr="00D42F10">
        <w:t xml:space="preserve">to strengthening regional economic integration is </w:t>
      </w:r>
      <w:r w:rsidR="00A27783">
        <w:t>measured by</w:t>
      </w:r>
      <w:r w:rsidR="00D42F10" w:rsidRPr="00D42F10">
        <w:t xml:space="preserve"> </w:t>
      </w:r>
      <w:r w:rsidR="00A27783">
        <w:t>improvements</w:t>
      </w:r>
      <w:r w:rsidR="00D42F10" w:rsidRPr="00D42F10">
        <w:t xml:space="preserve"> in capacity </w:t>
      </w:r>
      <w:r w:rsidR="00A30915">
        <w:t xml:space="preserve">of relevant counterparts in </w:t>
      </w:r>
      <w:r w:rsidR="00D42F10" w:rsidRPr="00D42F10">
        <w:t>t</w:t>
      </w:r>
      <w:r w:rsidR="00503F2A">
        <w:t>he ASEAN and APEC Secretariats (and within the member countries)</w:t>
      </w:r>
      <w:r w:rsidR="00DA3D9D">
        <w:t xml:space="preserve"> </w:t>
      </w:r>
      <w:r w:rsidR="00476CD7">
        <w:t>specifically in relation</w:t>
      </w:r>
      <w:r w:rsidR="00476CD7" w:rsidRPr="00D42F10">
        <w:t xml:space="preserve"> </w:t>
      </w:r>
      <w:r w:rsidR="00476CD7">
        <w:t xml:space="preserve">to supporting </w:t>
      </w:r>
      <w:r w:rsidR="00D42F10" w:rsidRPr="00D42F10">
        <w:t xml:space="preserve">trade and </w:t>
      </w:r>
      <w:r w:rsidR="00476CD7">
        <w:t xml:space="preserve">regional </w:t>
      </w:r>
      <w:r w:rsidR="00D42F10" w:rsidRPr="00D42F10">
        <w:t>economic</w:t>
      </w:r>
      <w:r w:rsidR="00476CD7">
        <w:t xml:space="preserve"> integration</w:t>
      </w:r>
      <w:r w:rsidR="00D42F10" w:rsidRPr="00D42F10">
        <w:t>.</w:t>
      </w:r>
      <w:r w:rsidR="001F5D1E">
        <w:t xml:space="preserve"> </w:t>
      </w:r>
      <w:r w:rsidR="004866C1">
        <w:t xml:space="preserve">For example, </w:t>
      </w:r>
      <w:r w:rsidR="000D016E">
        <w:t>a 2013 assessment survey</w:t>
      </w:r>
      <w:r w:rsidR="004866C1">
        <w:t xml:space="preserve"> </w:t>
      </w:r>
      <w:r w:rsidR="000D016E">
        <w:t>of the APEC Secretariat Policy Support Unit (funded by Australia) found</w:t>
      </w:r>
      <w:r w:rsidR="004866C1">
        <w:t xml:space="preserve"> </w:t>
      </w:r>
      <w:r w:rsidR="000D016E">
        <w:t xml:space="preserve">its work had </w:t>
      </w:r>
      <w:r w:rsidR="004866C1">
        <w:t xml:space="preserve">a positive influence on </w:t>
      </w:r>
      <w:r w:rsidR="000D016E">
        <w:t xml:space="preserve">the capacity of </w:t>
      </w:r>
      <w:r w:rsidR="004866C1">
        <w:t>APEC fora and members</w:t>
      </w:r>
      <w:r w:rsidR="000D016E">
        <w:t xml:space="preserve"> in evidence-based policy making and evaluation</w:t>
      </w:r>
      <w:r w:rsidR="001919B1">
        <w:rPr>
          <w:rStyle w:val="FootnoteReference"/>
        </w:rPr>
        <w:footnoteReference w:id="15"/>
      </w:r>
      <w:r w:rsidR="004866C1">
        <w:t xml:space="preserve">. </w:t>
      </w:r>
      <w:r w:rsidR="00D42F10" w:rsidRPr="00D42F10">
        <w:t xml:space="preserve">We also look for evidence that relationships forged </w:t>
      </w:r>
      <w:r w:rsidR="00A27783">
        <w:t xml:space="preserve">with Australia </w:t>
      </w:r>
      <w:r w:rsidR="00D42F10" w:rsidRPr="00D42F10">
        <w:t xml:space="preserve">during program implementation are fostering conditions conducive to progressing economic integration </w:t>
      </w:r>
      <w:r w:rsidR="00EA12A0">
        <w:t>and</w:t>
      </w:r>
      <w:r w:rsidR="00D42F10" w:rsidRPr="00D42F10">
        <w:t xml:space="preserve"> trade investment. </w:t>
      </w:r>
    </w:p>
    <w:p w:rsidR="00D42F10" w:rsidRDefault="00D42F10" w:rsidP="00D42F10">
      <w:pPr>
        <w:pStyle w:val="ListBullet"/>
        <w:numPr>
          <w:ilvl w:val="0"/>
          <w:numId w:val="0"/>
        </w:numPr>
      </w:pPr>
      <w:r w:rsidRPr="00D42F10">
        <w:t xml:space="preserve">APEC is an important vehicle for deepening Australia’s economic engagement with the Asia-Pacific region. </w:t>
      </w:r>
      <w:r w:rsidR="00C80AE8">
        <w:t>Our APEC initiative</w:t>
      </w:r>
      <w:r w:rsidRPr="00D42F10">
        <w:t xml:space="preserve"> exceed</w:t>
      </w:r>
      <w:r w:rsidR="00A30915">
        <w:t>ed by 5</w:t>
      </w:r>
      <w:r w:rsidR="00EA12A0">
        <w:t>0 percent its PAF target</w:t>
      </w:r>
      <w:r w:rsidR="00A30915">
        <w:rPr>
          <w:rStyle w:val="FootnoteReference"/>
        </w:rPr>
        <w:footnoteReference w:id="16"/>
      </w:r>
      <w:r w:rsidRPr="00D42F10">
        <w:t xml:space="preserve"> for </w:t>
      </w:r>
      <w:r w:rsidR="00EA12A0">
        <w:t xml:space="preserve">the </w:t>
      </w:r>
      <w:r w:rsidRPr="00D42F10">
        <w:t xml:space="preserve">number of Support Fund projects to strengthen trade and economic integration. </w:t>
      </w:r>
      <w:r w:rsidR="0004233F">
        <w:t>E</w:t>
      </w:r>
      <w:r w:rsidRPr="00D42F10">
        <w:t xml:space="preserve">ven with progress in improving APEC’s systems and processes (see Objective 3), it </w:t>
      </w:r>
      <w:r w:rsidR="00EA12A0">
        <w:t>is hard</w:t>
      </w:r>
      <w:r w:rsidRPr="00D42F10">
        <w:t xml:space="preserve"> to assess the sustained impact of these </w:t>
      </w:r>
      <w:r w:rsidR="00141C84">
        <w:t>Australian-funded projects. U</w:t>
      </w:r>
      <w:r w:rsidRPr="00D42F10">
        <w:t>ntil recently</w:t>
      </w:r>
      <w:r w:rsidR="00A27783">
        <w:t>,</w:t>
      </w:r>
      <w:r w:rsidRPr="00D42F10">
        <w:t xml:space="preserve"> projects tended to be </w:t>
      </w:r>
      <w:r w:rsidR="00A27783">
        <w:t>low cost</w:t>
      </w:r>
      <w:r w:rsidRPr="00D42F10">
        <w:t xml:space="preserve"> and short term, and </w:t>
      </w:r>
      <w:r w:rsidR="00B76BB1">
        <w:t>monitoring and evaluation (</w:t>
      </w:r>
      <w:r w:rsidRPr="00D42F10">
        <w:t>M&amp;E</w:t>
      </w:r>
      <w:r w:rsidR="00B76BB1">
        <w:t>)</w:t>
      </w:r>
      <w:r w:rsidRPr="00D42F10">
        <w:t xml:space="preserve"> is only now improving. Qualitative evidence </w:t>
      </w:r>
      <w:r w:rsidRPr="00D42F10">
        <w:lastRenderedPageBreak/>
        <w:t>suggests that these projects fost</w:t>
      </w:r>
      <w:r w:rsidR="00A27783">
        <w:t>er</w:t>
      </w:r>
      <w:r w:rsidRPr="00D42F10">
        <w:t xml:space="preserve"> s</w:t>
      </w:r>
      <w:r w:rsidR="00A27783">
        <w:t>trong links between Australian G</w:t>
      </w:r>
      <w:r w:rsidRPr="00D42F10">
        <w:t>overnment officials and their developing economy counterparts</w:t>
      </w:r>
      <w:r w:rsidR="00EA12A0">
        <w:rPr>
          <w:rStyle w:val="FootnoteReference"/>
        </w:rPr>
        <w:footnoteReference w:id="17"/>
      </w:r>
      <w:r w:rsidRPr="00D42F10">
        <w:t xml:space="preserve">. Our projects are important </w:t>
      </w:r>
      <w:r w:rsidR="00141C84">
        <w:t>to reinforce</w:t>
      </w:r>
      <w:r w:rsidRPr="00D42F10">
        <w:t xml:space="preserve"> Australian priorities in the working groups and committees of APEC.</w:t>
      </w:r>
    </w:p>
    <w:p w:rsidR="00640544" w:rsidRPr="00D42F10" w:rsidRDefault="00C95C53" w:rsidP="00D42F10">
      <w:pPr>
        <w:pStyle w:val="ListBullet"/>
        <w:numPr>
          <w:ilvl w:val="0"/>
          <w:numId w:val="0"/>
        </w:numPr>
      </w:pPr>
      <w:r>
        <w:t>Australia is a leader in the</w:t>
      </w:r>
      <w:r w:rsidRPr="00C95C53">
        <w:t xml:space="preserve"> </w:t>
      </w:r>
      <w:r>
        <w:t>APEC Policy Partnership on Women and the Economy (PPWE) to</w:t>
      </w:r>
      <w:r w:rsidR="000D016E">
        <w:t xml:space="preserve"> </w:t>
      </w:r>
      <w:r w:rsidR="000D016E" w:rsidRPr="00513D30">
        <w:t>advance women’s trade and economic prosperity in the region and encourage the mainstreaming of gender</w:t>
      </w:r>
      <w:r>
        <w:t xml:space="preserve"> considerations</w:t>
      </w:r>
      <w:r w:rsidR="000D016E" w:rsidRPr="00513D30">
        <w:t xml:space="preserve"> </w:t>
      </w:r>
      <w:r>
        <w:t xml:space="preserve">in </w:t>
      </w:r>
      <w:r w:rsidR="000D016E" w:rsidRPr="00513D30">
        <w:t>all APEC fora and programs</w:t>
      </w:r>
      <w:r w:rsidR="000D016E">
        <w:t>. In September 2013, the PPWE and the APEC Small and Medium Enterprise Working Group held a joint ministerial meeting that agreed to develop a coordinated approach to address common challenges faced by women in SMEs and to foster women entrepreneurs.</w:t>
      </w:r>
      <w:r w:rsidR="000D016E" w:rsidRPr="009D606E">
        <w:t xml:space="preserve"> </w:t>
      </w:r>
      <w:r w:rsidR="000D016E">
        <w:t xml:space="preserve">In May 2014, the work of the PPWE culminated in the annual APEC Women in the Economy Forum aimed at </w:t>
      </w:r>
      <w:r w:rsidR="000D016E" w:rsidRPr="00751B14">
        <w:t>strengthening women’s economic empowerment in the region</w:t>
      </w:r>
      <w:r w:rsidR="000D016E">
        <w:t>.</w:t>
      </w:r>
      <w:r w:rsidR="001F5D1E">
        <w:t xml:space="preserve"> </w:t>
      </w:r>
      <w:r w:rsidR="000D016E">
        <w:t xml:space="preserve">The resulting </w:t>
      </w:r>
      <w:r w:rsidR="000D016E" w:rsidRPr="00751B14">
        <w:t>Ministerial statement included strong language on integrating gender in all APEC activities as a priority</w:t>
      </w:r>
      <w:r w:rsidR="000D016E">
        <w:t>.</w:t>
      </w:r>
      <w:r w:rsidR="000D016E" w:rsidRPr="00751B14">
        <w:t xml:space="preserve"> </w:t>
      </w:r>
    </w:p>
    <w:p w:rsidR="00D42F10" w:rsidRPr="00D42F10" w:rsidRDefault="00596D06" w:rsidP="00D42F10">
      <w:pPr>
        <w:pStyle w:val="ListBullet"/>
        <w:numPr>
          <w:ilvl w:val="0"/>
          <w:numId w:val="0"/>
        </w:numPr>
      </w:pPr>
      <w:r>
        <w:t xml:space="preserve">Australia’s </w:t>
      </w:r>
      <w:r w:rsidR="001A1FD0" w:rsidRPr="00D42F10">
        <w:t>capacity</w:t>
      </w:r>
      <w:r w:rsidR="001A1FD0">
        <w:t xml:space="preserve"> building</w:t>
      </w:r>
      <w:r w:rsidR="001A1FD0" w:rsidRPr="00D42F10">
        <w:t xml:space="preserve"> </w:t>
      </w:r>
      <w:r>
        <w:t xml:space="preserve">support to </w:t>
      </w:r>
      <w:r w:rsidR="00D42F10" w:rsidRPr="00D42F10">
        <w:t>the parties to the ASEAN Australia New Zealand Free Trade Agreement (AANZFTA) has gained momentum over the last 12 months. In 2012–13 useful outputs from our Economic Cooperation Work Program activities include those rel</w:t>
      </w:r>
      <w:r>
        <w:t>ated to goods (including Rules o</w:t>
      </w:r>
      <w:r w:rsidR="00D42F10" w:rsidRPr="00D42F10">
        <w:t>f Origin</w:t>
      </w:r>
      <w:r w:rsidR="00D02E06">
        <w:t>) and standards</w:t>
      </w:r>
      <w:r w:rsidR="00D42F10" w:rsidRPr="00D42F10">
        <w:t>,</w:t>
      </w:r>
      <w:r w:rsidR="00D02E06">
        <w:t xml:space="preserve"> services, investment,</w:t>
      </w:r>
      <w:r w:rsidR="00D42F10" w:rsidRPr="00D42F10">
        <w:t xml:space="preserve"> intellectual property and competition policy. </w:t>
      </w:r>
      <w:r w:rsidR="005B7D04">
        <w:t>In 2014 we will strengthen</w:t>
      </w:r>
      <w:r w:rsidR="00D42F10" w:rsidRPr="00D42F10">
        <w:t xml:space="preserve"> </w:t>
      </w:r>
      <w:r w:rsidR="0063026E">
        <w:t>monitoring and evaluation (</w:t>
      </w:r>
      <w:r w:rsidR="00D42F10" w:rsidRPr="00D42F10">
        <w:t>M&amp;E</w:t>
      </w:r>
      <w:r w:rsidR="0063026E">
        <w:t>)</w:t>
      </w:r>
      <w:r w:rsidR="005B7D04">
        <w:t xml:space="preserve"> systems, piloted in 2013, to better understand results from these activities.</w:t>
      </w:r>
      <w:r w:rsidR="00D42F10" w:rsidRPr="00D42F10">
        <w:t xml:space="preserve"> </w:t>
      </w:r>
      <w:r w:rsidR="005B7D04">
        <w:t>W</w:t>
      </w:r>
      <w:r w:rsidR="00D42F10" w:rsidRPr="00D42F10">
        <w:t xml:space="preserve">ith </w:t>
      </w:r>
      <w:r w:rsidR="005B7D04">
        <w:t>New Zealand</w:t>
      </w:r>
      <w:r w:rsidR="00D42F10" w:rsidRPr="00D42F10">
        <w:t xml:space="preserve">, Australia has </w:t>
      </w:r>
      <w:r w:rsidR="005B7D04">
        <w:t>strengthened the engagement with</w:t>
      </w:r>
      <w:r w:rsidR="00D42F10" w:rsidRPr="00D42F10">
        <w:t xml:space="preserve"> </w:t>
      </w:r>
      <w:r w:rsidR="001A1FD0">
        <w:t>ASEAN Secretariat (</w:t>
      </w:r>
      <w:r w:rsidR="00D42F10" w:rsidRPr="00D42F10">
        <w:t>ASEC</w:t>
      </w:r>
      <w:r w:rsidR="001A1FD0">
        <w:t xml:space="preserve">) </w:t>
      </w:r>
      <w:r w:rsidR="005B7D04">
        <w:t>leadership</w:t>
      </w:r>
      <w:r w:rsidR="00D42F10" w:rsidRPr="00D42F10">
        <w:t xml:space="preserve"> to support FTA implementation. While work remains, particu</w:t>
      </w:r>
      <w:r w:rsidR="001F48C5">
        <w:t>larly improving communication flows to</w:t>
      </w:r>
      <w:r w:rsidR="00D42F10" w:rsidRPr="00D42F10">
        <w:t xml:space="preserve"> </w:t>
      </w:r>
      <w:r w:rsidR="001A1FD0">
        <w:t>the ASEC senior leadership</w:t>
      </w:r>
      <w:r w:rsidR="00D42F10" w:rsidRPr="00D42F10">
        <w:t xml:space="preserve">, recent results from Australia’s investments bode well for wider take-up and utilisation of AANZFTA provisions—potentially providing models for successful implementation of other </w:t>
      </w:r>
      <w:r w:rsidR="0063026E">
        <w:t>FTAs</w:t>
      </w:r>
      <w:r w:rsidR="00D42F10" w:rsidRPr="00D42F10">
        <w:t xml:space="preserve">. </w:t>
      </w:r>
    </w:p>
    <w:p w:rsidR="00625A52" w:rsidRDefault="00F732DE" w:rsidP="00F732DE">
      <w:pPr>
        <w:pStyle w:val="ListBullet"/>
        <w:numPr>
          <w:ilvl w:val="0"/>
          <w:numId w:val="0"/>
        </w:numPr>
      </w:pPr>
      <w:r w:rsidRPr="00F732DE">
        <w:t xml:space="preserve">Our trade enabling investments in the GMS require more focus and stronger links to the ASEAN economic integration agenda. </w:t>
      </w:r>
      <w:r w:rsidR="00790F6E">
        <w:t xml:space="preserve">The </w:t>
      </w:r>
      <w:r w:rsidR="007B1909">
        <w:t xml:space="preserve">mid-term review in early 2014 </w:t>
      </w:r>
      <w:r w:rsidR="00790F6E">
        <w:t>highlighted</w:t>
      </w:r>
      <w:r w:rsidR="00D42F10" w:rsidRPr="00D42F10">
        <w:t xml:space="preserve"> </w:t>
      </w:r>
      <w:r w:rsidR="0004233F">
        <w:t xml:space="preserve">less than </w:t>
      </w:r>
      <w:r w:rsidR="00D42F10" w:rsidRPr="00D42F10">
        <w:t xml:space="preserve">effective cooperation between trade, customs and transport </w:t>
      </w:r>
      <w:r w:rsidR="001A1FD0">
        <w:t xml:space="preserve">agency </w:t>
      </w:r>
      <w:r w:rsidR="00D42F10" w:rsidRPr="00D42F10">
        <w:t>officials in the GMS, and the need for better linkages and alignment with ASEAN’s systems, processes, and economic integration agenda. However, the in</w:t>
      </w:r>
      <w:r w:rsidR="00A21476">
        <w:t>i</w:t>
      </w:r>
      <w:r w:rsidR="00D42F10" w:rsidRPr="00D42F10">
        <w:t>tiative has had some success supporting countries of the region</w:t>
      </w:r>
      <w:r w:rsidR="00A27783">
        <w:t xml:space="preserve"> to</w:t>
      </w:r>
      <w:r w:rsidR="00D42F10" w:rsidRPr="00D42F10">
        <w:t xml:space="preserve"> </w:t>
      </w:r>
      <w:r w:rsidR="00A27783">
        <w:t>improve transport agreements. For example, piloting streamlined</w:t>
      </w:r>
      <w:r w:rsidR="00D42F10" w:rsidRPr="00D42F10">
        <w:t xml:space="preserve"> inspection procedures between Laos</w:t>
      </w:r>
      <w:r w:rsidR="00A27783">
        <w:t xml:space="preserve"> and Vietnam </w:t>
      </w:r>
      <w:r w:rsidR="00D42F10" w:rsidRPr="00D42F10">
        <w:t>has decrease</w:t>
      </w:r>
      <w:r w:rsidR="00A27783">
        <w:t>d</w:t>
      </w:r>
      <w:r w:rsidR="00D42F10" w:rsidRPr="00D42F10">
        <w:t xml:space="preserve"> clearance times for cargo trucks from 90 minutes (2005) to 29 minutes (2013</w:t>
      </w:r>
      <w:r w:rsidR="0063026E">
        <w:t>)</w:t>
      </w:r>
      <w:r w:rsidR="00D42F10" w:rsidRPr="00D42F10">
        <w:t xml:space="preserve">. </w:t>
      </w:r>
      <w:r w:rsidR="007B1909">
        <w:t>Following the mid-term review</w:t>
      </w:r>
      <w:r w:rsidR="00790F6E">
        <w:t>, r</w:t>
      </w:r>
      <w:r w:rsidR="00D42F10" w:rsidRPr="00D42F10">
        <w:t>emedial action is in place to get the project back on track</w:t>
      </w:r>
      <w:r w:rsidR="001A1FD0">
        <w:t>, after significant delays,</w:t>
      </w:r>
      <w:r w:rsidRPr="00F732DE">
        <w:t xml:space="preserve"> by adjusting the scope to focus on fewer activities, strengthening alignment with broader ASEAN priorities, and by revising its monitoring and evaluation framework and program logic.</w:t>
      </w:r>
      <w:r w:rsidR="00733487">
        <w:t xml:space="preserve"> In addition, a gender analysis </w:t>
      </w:r>
      <w:r w:rsidR="00733487" w:rsidRPr="000D0947">
        <w:t>of the impact of transport and trade measures</w:t>
      </w:r>
      <w:r w:rsidR="00733487">
        <w:t xml:space="preserve"> was carried out in parallel to the mid-term review. Findings of this analysis will help inform the revised next phase of the TTF project.</w:t>
      </w:r>
    </w:p>
    <w:p w:rsidR="007947AF" w:rsidRDefault="007947AF" w:rsidP="00F732DE">
      <w:pPr>
        <w:pStyle w:val="ListBullet"/>
        <w:numPr>
          <w:ilvl w:val="0"/>
          <w:numId w:val="0"/>
        </w:numPr>
      </w:pPr>
    </w:p>
    <w:p w:rsidR="007947AF" w:rsidRDefault="007947AF" w:rsidP="00F732DE">
      <w:pPr>
        <w:pStyle w:val="ListBullet"/>
        <w:numPr>
          <w:ilvl w:val="0"/>
          <w:numId w:val="0"/>
        </w:numPr>
      </w:pPr>
    </w:p>
    <w:p w:rsidR="007947AF" w:rsidRDefault="007947AF" w:rsidP="00F732DE">
      <w:pPr>
        <w:pStyle w:val="ListBullet"/>
        <w:numPr>
          <w:ilvl w:val="0"/>
          <w:numId w:val="0"/>
        </w:numPr>
      </w:pPr>
    </w:p>
    <w:p w:rsidR="007947AF" w:rsidRDefault="007947AF" w:rsidP="00F732DE">
      <w:pPr>
        <w:pStyle w:val="ListBullet"/>
        <w:numPr>
          <w:ilvl w:val="0"/>
          <w:numId w:val="0"/>
        </w:numPr>
      </w:pPr>
    </w:p>
    <w:p w:rsidR="00D42F10" w:rsidRDefault="00D42F10" w:rsidP="00D42F10">
      <w:pPr>
        <w:pStyle w:val="Heading3"/>
      </w:pPr>
      <w:r>
        <w:lastRenderedPageBreak/>
        <w:t xml:space="preserve">Objective 2: </w:t>
      </w:r>
      <w:r w:rsidRPr="0078109D">
        <w:t>Priority trans-boundary development challenges are addressed effectively</w:t>
      </w:r>
    </w:p>
    <w:p w:rsidR="00D42F10" w:rsidRPr="00D42F10" w:rsidRDefault="00623BC9" w:rsidP="00D42F10">
      <w:pPr>
        <w:pStyle w:val="ListBullet"/>
        <w:numPr>
          <w:ilvl w:val="0"/>
          <w:numId w:val="0"/>
        </w:numPr>
      </w:pPr>
      <w:r>
        <w:t>A</w:t>
      </w:r>
      <w:r w:rsidR="00D42F10" w:rsidRPr="00D42F10">
        <w:t xml:space="preserve"> variety of trans-boundary development challenges </w:t>
      </w:r>
      <w:r>
        <w:t>are addressed under this objective</w:t>
      </w:r>
      <w:r w:rsidR="00D42F10" w:rsidRPr="00D42F10">
        <w:t xml:space="preserve"> and overall progress is </w:t>
      </w:r>
      <w:r w:rsidR="00D42F10" w:rsidRPr="001A1FD0">
        <w:rPr>
          <w:b/>
        </w:rPr>
        <w:t>rated green</w:t>
      </w:r>
      <w:r w:rsidR="00596D06">
        <w:rPr>
          <w:rStyle w:val="FootnoteReference"/>
        </w:rPr>
        <w:footnoteReference w:id="18"/>
      </w:r>
      <w:r w:rsidR="00D42F10" w:rsidRPr="00D42F10">
        <w:t>.</w:t>
      </w:r>
    </w:p>
    <w:p w:rsidR="00D42F10" w:rsidRPr="00D42F10" w:rsidRDefault="00D42F10" w:rsidP="00D42F10">
      <w:pPr>
        <w:pStyle w:val="ListBullet"/>
        <w:numPr>
          <w:ilvl w:val="0"/>
          <w:numId w:val="0"/>
        </w:numPr>
      </w:pPr>
      <w:r w:rsidRPr="00D42F10">
        <w:t>Australia seeks to</w:t>
      </w:r>
      <w:r w:rsidR="00596D06">
        <w:t>:</w:t>
      </w:r>
      <w:r w:rsidRPr="00D42F10">
        <w:t xml:space="preserve"> contribute to a reduction in incentives and opportunities for human trafficking in the ASEAN region; increase labour protections for migrant worker</w:t>
      </w:r>
      <w:r w:rsidR="0063026E">
        <w:t>s</w:t>
      </w:r>
      <w:r w:rsidRPr="00D42F10">
        <w:t xml:space="preserve"> in the </w:t>
      </w:r>
      <w:r w:rsidR="0063026E">
        <w:t>GMS</w:t>
      </w:r>
      <w:r w:rsidRPr="00D42F10">
        <w:t xml:space="preserve">; improve capacity to prevent, contain and respond to </w:t>
      </w:r>
      <w:r w:rsidR="001F1C4D" w:rsidRPr="00D42F10">
        <w:t xml:space="preserve">regional </w:t>
      </w:r>
      <w:r w:rsidRPr="00D42F10">
        <w:t>public health threats; and improve disaster management response and cooperation in East Asia.</w:t>
      </w:r>
      <w:r w:rsidR="001F5D1E">
        <w:t xml:space="preserve"> </w:t>
      </w:r>
      <w:r w:rsidRPr="00D42F10">
        <w:t>In 2013–14 our health initiatives performed well, our anti-human trafficking programs satisfactorily, and there was anecdotal evidence of increased potential for effective collaboration on disaster management through the East Asia Summit</w:t>
      </w:r>
      <w:r w:rsidR="009D384B">
        <w:t xml:space="preserve"> (EAS)</w:t>
      </w:r>
      <w:r w:rsidRPr="00D42F10">
        <w:t>.</w:t>
      </w:r>
      <w:r w:rsidR="001F5D1E">
        <w:t xml:space="preserve"> </w:t>
      </w:r>
      <w:r w:rsidRPr="00D42F10">
        <w:t xml:space="preserve">Reduced budgets for initiatives under Objective 2 during 2013–14 were dealt with effectively by our implementing partners without </w:t>
      </w:r>
      <w:r w:rsidR="00596D06">
        <w:t>impacting on</w:t>
      </w:r>
      <w:r w:rsidRPr="00D42F10">
        <w:t xml:space="preserve"> achieving results.</w:t>
      </w:r>
      <w:r w:rsidR="001F5D1E">
        <w:t xml:space="preserve"> </w:t>
      </w:r>
      <w:r w:rsidR="00016035">
        <w:t>AAPTIP was</w:t>
      </w:r>
      <w:r w:rsidRPr="00D42F10">
        <w:t xml:space="preserve"> in inception phase during 2013–14, where progress often takes a while to build momentum as policies, procedures and syst</w:t>
      </w:r>
      <w:r w:rsidR="00A30915">
        <w:t>ems are developed to support investment</w:t>
      </w:r>
      <w:r w:rsidRPr="00D42F10">
        <w:t xml:space="preserve"> implementation. </w:t>
      </w:r>
      <w:r w:rsidR="00F732DE" w:rsidRPr="00F732DE">
        <w:t>AMNEP’s first year of implementation in 2013-14 showed good progress towards meeting its objectives o</w:t>
      </w:r>
      <w:r w:rsidR="0063026E">
        <w:t>f improved partnerships with civil society organisation</w:t>
      </w:r>
      <w:r w:rsidR="00F732DE" w:rsidRPr="00F732DE">
        <w:t>s in the Mekong region, and more effective Australian aid through NGOs.</w:t>
      </w:r>
    </w:p>
    <w:p w:rsidR="00D42F10" w:rsidRPr="00D42F10" w:rsidRDefault="00D42F10" w:rsidP="00D42F10">
      <w:pPr>
        <w:pStyle w:val="ListBullet"/>
        <w:numPr>
          <w:ilvl w:val="0"/>
          <w:numId w:val="0"/>
        </w:numPr>
      </w:pPr>
      <w:r w:rsidRPr="00D42F10">
        <w:t>Health pr</w:t>
      </w:r>
      <w:r w:rsidR="00EA12A0">
        <w:t xml:space="preserve">ograms account for </w:t>
      </w:r>
      <w:r w:rsidR="008651FA" w:rsidRPr="00AE57B9">
        <w:t xml:space="preserve">52 </w:t>
      </w:r>
      <w:r w:rsidR="00375C9E" w:rsidRPr="00AE57B9">
        <w:t>per cent of</w:t>
      </w:r>
      <w:r w:rsidR="00EA12A0" w:rsidRPr="00AE57B9">
        <w:t xml:space="preserve"> the</w:t>
      </w:r>
      <w:r w:rsidRPr="00AE57B9">
        <w:t xml:space="preserve"> expenditure under Objective 2</w:t>
      </w:r>
      <w:r w:rsidRPr="00D42F10">
        <w:t xml:space="preserve">. </w:t>
      </w:r>
      <w:r w:rsidR="00623BC9">
        <w:t>E</w:t>
      </w:r>
      <w:r w:rsidRPr="00D42F10">
        <w:t xml:space="preserve">valuation </w:t>
      </w:r>
      <w:r w:rsidR="00623BC9">
        <w:t xml:space="preserve">reports </w:t>
      </w:r>
      <w:r w:rsidRPr="00D42F10">
        <w:t>and data from improved M&amp;E systems confirm</w:t>
      </w:r>
      <w:r w:rsidR="00623BC9">
        <w:t xml:space="preserve">ed </w:t>
      </w:r>
      <w:r w:rsidRPr="00D42F10">
        <w:t xml:space="preserve">Australia’s investments are making good </w:t>
      </w:r>
      <w:r w:rsidR="00596D06">
        <w:t xml:space="preserve">progress in improving </w:t>
      </w:r>
      <w:r w:rsidR="00623BC9" w:rsidRPr="00D42F10">
        <w:t>countries</w:t>
      </w:r>
      <w:r w:rsidR="00623BC9">
        <w:t>’ capacities</w:t>
      </w:r>
      <w:r w:rsidRPr="00D42F10">
        <w:t xml:space="preserve"> to prevent, contain and respond to regional </w:t>
      </w:r>
      <w:r w:rsidR="001F1C4D">
        <w:t xml:space="preserve">human </w:t>
      </w:r>
      <w:r w:rsidR="00623BC9">
        <w:t xml:space="preserve">and animal </w:t>
      </w:r>
      <w:r w:rsidR="001F1C4D" w:rsidRPr="00D42F10">
        <w:t xml:space="preserve">public </w:t>
      </w:r>
      <w:r w:rsidRPr="00D42F10">
        <w:t>hea</w:t>
      </w:r>
      <w:r w:rsidR="0063026E">
        <w:t xml:space="preserve">lth threats. </w:t>
      </w:r>
      <w:r w:rsidRPr="00D42F10">
        <w:t>There is evidence that training and skills development has resulted in successful implementation of activities to reduce disease transmission risk</w:t>
      </w:r>
      <w:r w:rsidR="00790F6E">
        <w:t>. C</w:t>
      </w:r>
      <w:r w:rsidRPr="00D42F10">
        <w:t>ountries</w:t>
      </w:r>
      <w:r w:rsidR="00596D06">
        <w:t>’</w:t>
      </w:r>
      <w:r w:rsidRPr="00D42F10">
        <w:t xml:space="preserve"> policies </w:t>
      </w:r>
      <w:r w:rsidR="00790F6E">
        <w:t xml:space="preserve">plans and practices better align </w:t>
      </w:r>
      <w:r w:rsidRPr="00D42F10">
        <w:t>with regional and international standards. Regional h</w:t>
      </w:r>
      <w:r w:rsidR="00790F6E">
        <w:t>ealth initiatives met most and</w:t>
      </w:r>
      <w:r w:rsidRPr="00D42F10">
        <w:t xml:space="preserve"> exceeded some of the PAF targets for 2013–14.</w:t>
      </w:r>
    </w:p>
    <w:p w:rsidR="00D42F10" w:rsidRPr="00D42F10" w:rsidRDefault="00D42F10" w:rsidP="00D42F10">
      <w:pPr>
        <w:pStyle w:val="ListBullet"/>
        <w:numPr>
          <w:ilvl w:val="0"/>
          <w:numId w:val="0"/>
        </w:numPr>
      </w:pPr>
      <w:r w:rsidRPr="00D42F10">
        <w:t xml:space="preserve">For example, the HIV/AIDS Asia Regional Program (HAARP) </w:t>
      </w:r>
      <w:r w:rsidR="00727DDD">
        <w:t>provide</w:t>
      </w:r>
      <w:r w:rsidR="00B056B1">
        <w:t>d</w:t>
      </w:r>
      <w:r w:rsidR="00EA12A0">
        <w:t xml:space="preserve"> over 480</w:t>
      </w:r>
      <w:r w:rsidR="00596D06">
        <w:t> </w:t>
      </w:r>
      <w:r w:rsidRPr="00D42F10">
        <w:t>000 life-saving HIV harm reduction services</w:t>
      </w:r>
      <w:r w:rsidR="00727DDD">
        <w:t xml:space="preserve"> and treatments to people who</w:t>
      </w:r>
      <w:r w:rsidRPr="00D42F10">
        <w:t xml:space="preserve"> inject dr</w:t>
      </w:r>
      <w:r w:rsidR="00727DDD">
        <w:t>ugs (PWID) and their partners</w:t>
      </w:r>
      <w:r w:rsidR="00B056B1">
        <w:t>—exceeding</w:t>
      </w:r>
      <w:r w:rsidR="00B056B1" w:rsidRPr="00D42F10">
        <w:t xml:space="preserve"> by 40 per</w:t>
      </w:r>
      <w:r w:rsidR="00B056B1">
        <w:t xml:space="preserve"> </w:t>
      </w:r>
      <w:r w:rsidR="00B056B1" w:rsidRPr="00D42F10">
        <w:t>cent i</w:t>
      </w:r>
      <w:r w:rsidR="00B056B1">
        <w:t>ts target</w:t>
      </w:r>
      <w:r w:rsidR="00727DDD">
        <w:t xml:space="preserve">. </w:t>
      </w:r>
      <w:r w:rsidR="00584C77">
        <w:t xml:space="preserve">When HAARP began in 2005 there </w:t>
      </w:r>
      <w:r w:rsidR="0052779A">
        <w:t>were few</w:t>
      </w:r>
      <w:r w:rsidRPr="00D42F10">
        <w:t xml:space="preserve"> service</w:t>
      </w:r>
      <w:r w:rsidR="0052779A">
        <w:t>s</w:t>
      </w:r>
      <w:r w:rsidRPr="00D42F10">
        <w:t xml:space="preserve"> </w:t>
      </w:r>
      <w:r w:rsidR="0052779A">
        <w:t>for</w:t>
      </w:r>
      <w:r w:rsidRPr="00D42F10">
        <w:t xml:space="preserve"> this target group. HAARP </w:t>
      </w:r>
      <w:r w:rsidR="00B77495">
        <w:t xml:space="preserve">will </w:t>
      </w:r>
      <w:r w:rsidR="00584C77">
        <w:t>end</w:t>
      </w:r>
      <w:r w:rsidR="00596D06">
        <w:t xml:space="preserve"> </w:t>
      </w:r>
      <w:r w:rsidRPr="00D42F10">
        <w:t>in 2014</w:t>
      </w:r>
      <w:r w:rsidR="00790F6E">
        <w:t xml:space="preserve"> but its achievements have</w:t>
      </w:r>
      <w:r w:rsidR="00790F6E" w:rsidRPr="00790F6E">
        <w:t xml:space="preserve"> </w:t>
      </w:r>
      <w:r w:rsidR="00790F6E" w:rsidRPr="00D42F10">
        <w:t>good prospects of being sustained</w:t>
      </w:r>
      <w:r w:rsidR="00790F6E">
        <w:t>. T</w:t>
      </w:r>
      <w:r w:rsidRPr="00D42F10">
        <w:t xml:space="preserve">he expansion of service delivery and </w:t>
      </w:r>
      <w:r w:rsidR="00727DDD">
        <w:t xml:space="preserve">the level of </w:t>
      </w:r>
      <w:r w:rsidRPr="00D42F10">
        <w:t xml:space="preserve">partner government </w:t>
      </w:r>
      <w:r w:rsidR="00B77495">
        <w:t>backing</w:t>
      </w:r>
      <w:r w:rsidR="00727DDD">
        <w:t xml:space="preserve"> for HAARP’s work</w:t>
      </w:r>
      <w:r w:rsidRPr="00D42F10">
        <w:t xml:space="preserve"> </w:t>
      </w:r>
      <w:r w:rsidR="00596D06">
        <w:t>(</w:t>
      </w:r>
      <w:r w:rsidR="00727DDD">
        <w:t xml:space="preserve">e.g. in </w:t>
      </w:r>
      <w:r w:rsidR="00596D06">
        <w:t>China, Vietnam and</w:t>
      </w:r>
      <w:r w:rsidRPr="00D42F10">
        <w:t xml:space="preserve"> Cambodia) now reflect</w:t>
      </w:r>
      <w:r w:rsidR="00596D06">
        <w:t>s</w:t>
      </w:r>
      <w:r w:rsidRPr="00D42F10">
        <w:t xml:space="preserve"> a policy environment supportive of a harm reduction approach</w:t>
      </w:r>
      <w:r w:rsidR="00596D06">
        <w:t>. HAARP has</w:t>
      </w:r>
      <w:r w:rsidRPr="00D42F10">
        <w:t xml:space="preserve"> </w:t>
      </w:r>
      <w:r w:rsidR="00596D06">
        <w:t xml:space="preserve">provided </w:t>
      </w:r>
      <w:r w:rsidRPr="00D42F10">
        <w:t xml:space="preserve">useful lessons in multi-country program design and implementation </w:t>
      </w:r>
      <w:r w:rsidR="00B77495">
        <w:t>for</w:t>
      </w:r>
      <w:r w:rsidRPr="00D42F10">
        <w:t xml:space="preserve"> future programming.</w:t>
      </w:r>
    </w:p>
    <w:p w:rsidR="00D42F10" w:rsidRPr="00D42F10" w:rsidRDefault="00D42F10" w:rsidP="00D42F10">
      <w:pPr>
        <w:pStyle w:val="ListBullet"/>
        <w:numPr>
          <w:ilvl w:val="0"/>
          <w:numId w:val="0"/>
        </w:numPr>
      </w:pPr>
      <w:r w:rsidRPr="00D42F10">
        <w:t xml:space="preserve">There were positive outcomes </w:t>
      </w:r>
      <w:r w:rsidR="0052779A" w:rsidRPr="00D42F10">
        <w:t xml:space="preserve">during 2013–14 </w:t>
      </w:r>
      <w:r w:rsidRPr="00D42F10">
        <w:t>from our health investments</w:t>
      </w:r>
      <w:r w:rsidR="00623BC9" w:rsidRPr="00623BC9">
        <w:t xml:space="preserve"> </w:t>
      </w:r>
      <w:r w:rsidR="00623BC9" w:rsidRPr="00D42F10">
        <w:t>in p</w:t>
      </w:r>
      <w:r w:rsidR="00623BC9">
        <w:t xml:space="preserve">reparing for and responding to pandemic threats. </w:t>
      </w:r>
      <w:r w:rsidR="0052779A">
        <w:t>Stop Transboundary Animal Disease and Zoonoses (</w:t>
      </w:r>
      <w:r w:rsidRPr="00D42F10">
        <w:t>STANDZ</w:t>
      </w:r>
      <w:r w:rsidR="0052779A">
        <w:t>)</w:t>
      </w:r>
      <w:r w:rsidRPr="00D42F10">
        <w:t xml:space="preserve"> and PREVENT</w:t>
      </w:r>
      <w:r w:rsidR="0052779A">
        <w:t xml:space="preserve"> Community-based Emerging Infectious Disease Risk Reduction in the Mekong (PREVENT)</w:t>
      </w:r>
      <w:r w:rsidRPr="00D42F10">
        <w:t xml:space="preserve"> trained over 3000 health and veterinary workers, community and government officials (on target). </w:t>
      </w:r>
      <w:r w:rsidR="00623BC9">
        <w:t>Those trained</w:t>
      </w:r>
      <w:r w:rsidRPr="00D42F10">
        <w:t xml:space="preserve"> deliver</w:t>
      </w:r>
      <w:r w:rsidR="00623BC9">
        <w:t>ed</w:t>
      </w:r>
      <w:r w:rsidRPr="00D42F10">
        <w:t xml:space="preserve"> effective communication and vaccination campaigns</w:t>
      </w:r>
      <w:r w:rsidR="00A71CCD">
        <w:t>,</w:t>
      </w:r>
      <w:r w:rsidRPr="00D42F10">
        <w:t xml:space="preserve"> which improved the surveillance and response to dis</w:t>
      </w:r>
      <w:r w:rsidR="0052779A">
        <w:t xml:space="preserve">ease outbreaks during 2013–14. </w:t>
      </w:r>
      <w:r w:rsidRPr="00D42F10">
        <w:t xml:space="preserve">For example, a STANDZ-supported vaccination campaign in Burma protected communities in Saging from a foot and mouth disease outbreak and prevented its spread to other areas. PREVENT worked with </w:t>
      </w:r>
      <w:r w:rsidR="00584C77">
        <w:t xml:space="preserve">the </w:t>
      </w:r>
      <w:r w:rsidRPr="00D42F10">
        <w:t>F</w:t>
      </w:r>
      <w:r w:rsidR="0052779A">
        <w:t xml:space="preserve">ood and </w:t>
      </w:r>
      <w:r w:rsidRPr="00D42F10">
        <w:t>A</w:t>
      </w:r>
      <w:r w:rsidR="0052779A">
        <w:t xml:space="preserve">griculture </w:t>
      </w:r>
      <w:r w:rsidRPr="00D42F10">
        <w:t>O</w:t>
      </w:r>
      <w:r w:rsidR="0052779A">
        <w:t>rganisation (FAO)</w:t>
      </w:r>
      <w:r w:rsidRPr="00D42F10">
        <w:t xml:space="preserve"> to deploy a risk </w:t>
      </w:r>
      <w:r w:rsidRPr="00D42F10">
        <w:lastRenderedPageBreak/>
        <w:t>reduction communication package to poultry markets ne</w:t>
      </w:r>
      <w:r w:rsidR="00B77495">
        <w:t>ar the Chinese border in Burma</w:t>
      </w:r>
      <w:r w:rsidRPr="00D42F10">
        <w:t xml:space="preserve">, Laos and Vietnam in response to cases of </w:t>
      </w:r>
      <w:r w:rsidR="001F1C4D">
        <w:t xml:space="preserve">Avian Influenza A </w:t>
      </w:r>
      <w:r w:rsidR="00224267">
        <w:t>(</w:t>
      </w:r>
      <w:r w:rsidRPr="00D42F10">
        <w:t>H7N9</w:t>
      </w:r>
      <w:r w:rsidR="00224267">
        <w:t>)</w:t>
      </w:r>
      <w:r w:rsidRPr="00D42F10">
        <w:t xml:space="preserve"> in China. </w:t>
      </w:r>
      <w:r w:rsidR="00296FB0">
        <w:t>Outcomes from</w:t>
      </w:r>
      <w:r w:rsidRPr="00D42F10">
        <w:t xml:space="preserve"> PREVENT’s research activ</w:t>
      </w:r>
      <w:r w:rsidR="00567042">
        <w:t xml:space="preserve">ities are not </w:t>
      </w:r>
      <w:r w:rsidR="00296FB0">
        <w:t>yet apparent</w:t>
      </w:r>
      <w:r w:rsidR="00567042">
        <w:t xml:space="preserve">. </w:t>
      </w:r>
      <w:r w:rsidR="00296FB0">
        <w:t>Similarly</w:t>
      </w:r>
      <w:r w:rsidR="00016035">
        <w:t>,</w:t>
      </w:r>
      <w:r w:rsidR="00296FB0">
        <w:t xml:space="preserve"> the </w:t>
      </w:r>
      <w:r w:rsidRPr="00D42F10">
        <w:t xml:space="preserve">STANDZ mid-term review </w:t>
      </w:r>
      <w:r w:rsidR="00016035">
        <w:t>observed the need for</w:t>
      </w:r>
      <w:r w:rsidR="00296FB0">
        <w:t xml:space="preserve"> </w:t>
      </w:r>
      <w:r w:rsidRPr="00D42F10">
        <w:t>improve</w:t>
      </w:r>
      <w:r w:rsidR="00296FB0">
        <w:t>d</w:t>
      </w:r>
      <w:r w:rsidRPr="00D42F10">
        <w:t xml:space="preserve"> </w:t>
      </w:r>
      <w:r w:rsidR="00584C77">
        <w:t>outcome</w:t>
      </w:r>
      <w:r w:rsidRPr="00D42F10">
        <w:t xml:space="preserve"> reporting</w:t>
      </w:r>
      <w:r w:rsidR="00567042">
        <w:t>.</w:t>
      </w:r>
      <w:r w:rsidR="00296FB0">
        <w:t xml:space="preserve"> We will work with partners on this in the coming year.</w:t>
      </w:r>
      <w:r w:rsidR="00567042">
        <w:t xml:space="preserve"> </w:t>
      </w:r>
    </w:p>
    <w:p w:rsidR="00D42F10" w:rsidRPr="00D42F10" w:rsidRDefault="00D42F10" w:rsidP="00D42F10">
      <w:pPr>
        <w:pStyle w:val="ListBullet"/>
        <w:numPr>
          <w:ilvl w:val="0"/>
          <w:numId w:val="0"/>
        </w:numPr>
      </w:pPr>
      <w:r w:rsidRPr="00D42F10">
        <w:t xml:space="preserve">Anti-human trafficking and labour exploitation programs account for </w:t>
      </w:r>
      <w:r w:rsidR="0057571B">
        <w:t>approximately</w:t>
      </w:r>
      <w:r w:rsidRPr="0057571B">
        <w:t xml:space="preserve"> </w:t>
      </w:r>
      <w:r w:rsidR="008651FA" w:rsidRPr="0057571B">
        <w:t xml:space="preserve">40 </w:t>
      </w:r>
      <w:r w:rsidRPr="0057571B">
        <w:t>per</w:t>
      </w:r>
      <w:r w:rsidR="00567042" w:rsidRPr="0057571B">
        <w:t xml:space="preserve"> </w:t>
      </w:r>
      <w:r w:rsidRPr="0057571B">
        <w:t>cent of expenditure under Objective 2</w:t>
      </w:r>
      <w:r w:rsidR="00296FB0">
        <w:t xml:space="preserve"> and p</w:t>
      </w:r>
      <w:r w:rsidRPr="00D42F10">
        <w:t>rogress is satisfactory</w:t>
      </w:r>
      <w:r w:rsidR="00296FB0">
        <w:t xml:space="preserve">. </w:t>
      </w:r>
    </w:p>
    <w:p w:rsidR="00D42F10" w:rsidRPr="00D42F10" w:rsidRDefault="00D42F10" w:rsidP="00D42F10">
      <w:pPr>
        <w:pStyle w:val="ListBullet"/>
        <w:numPr>
          <w:ilvl w:val="0"/>
          <w:numId w:val="0"/>
        </w:numPr>
      </w:pPr>
      <w:r w:rsidRPr="00D42F10">
        <w:t xml:space="preserve">Australia’s new $50 million flagship program, the </w:t>
      </w:r>
      <w:r w:rsidRPr="0052779A">
        <w:rPr>
          <w:iCs/>
        </w:rPr>
        <w:t>Australia-Asia Program to Combat Trafficking in Persons (AAPTIP)</w:t>
      </w:r>
      <w:r w:rsidR="00CE41E5">
        <w:rPr>
          <w:iCs/>
        </w:rPr>
        <w:t>,</w:t>
      </w:r>
      <w:r w:rsidRPr="0052779A">
        <w:rPr>
          <w:iCs/>
        </w:rPr>
        <w:t xml:space="preserve"> </w:t>
      </w:r>
      <w:r w:rsidRPr="00D42F10">
        <w:t>began in August 2013.</w:t>
      </w:r>
      <w:r w:rsidR="001F5D1E">
        <w:t xml:space="preserve"> </w:t>
      </w:r>
      <w:r w:rsidRPr="00D42F10">
        <w:t>AAPTIP builds on over ten years of Australian Government success helping countries in the region strengthen their criminal justice systems to deter and prosecute traffickers. AAPTIP has completed its start-up phase (e.g</w:t>
      </w:r>
      <w:r w:rsidR="0052779A">
        <w:t>.</w:t>
      </w:r>
      <w:r w:rsidRPr="00D42F10">
        <w:t xml:space="preserve"> setting up offices, recruiting staff, signing </w:t>
      </w:r>
      <w:r w:rsidR="00567042">
        <w:t>memoranda</w:t>
      </w:r>
      <w:r w:rsidRPr="00D42F10">
        <w:t xml:space="preserve"> with partner governments, agreeing </w:t>
      </w:r>
      <w:r w:rsidR="0023686F" w:rsidRPr="00D42F10">
        <w:t>work plans</w:t>
      </w:r>
      <w:r w:rsidRPr="00D42F10">
        <w:t>, setting baseline data and</w:t>
      </w:r>
      <w:r w:rsidR="00CE41E5">
        <w:t xml:space="preserve"> targets).</w:t>
      </w:r>
      <w:r w:rsidR="001F5D1E">
        <w:t xml:space="preserve"> </w:t>
      </w:r>
      <w:r w:rsidR="00CE41E5">
        <w:t>I</w:t>
      </w:r>
      <w:r w:rsidRPr="00D42F10">
        <w:t xml:space="preserve">t is not possible at this stage </w:t>
      </w:r>
      <w:r w:rsidR="00CE41E5">
        <w:t xml:space="preserve">of implementation </w:t>
      </w:r>
      <w:r w:rsidRPr="00D42F10">
        <w:t>to r</w:t>
      </w:r>
      <w:r w:rsidR="00CE41E5">
        <w:t>eport against outcome targets. T</w:t>
      </w:r>
      <w:r w:rsidRPr="00D42F10">
        <w:t>he impact on the target countries’ criminal justice systems to investigate, respond and prosecute human trafficking cases effectively, eth</w:t>
      </w:r>
      <w:r w:rsidR="00567042">
        <w:t>ically and in ways that support</w:t>
      </w:r>
      <w:r w:rsidRPr="00D42F10">
        <w:t xml:space="preserve"> the needs</w:t>
      </w:r>
      <w:r w:rsidR="00CE41E5">
        <w:t xml:space="preserve"> of male and female victims will be available in future reports</w:t>
      </w:r>
      <w:r w:rsidRPr="00D42F10">
        <w:t>.</w:t>
      </w:r>
    </w:p>
    <w:p w:rsidR="00B77495" w:rsidRDefault="00D42F10" w:rsidP="00D42F10">
      <w:pPr>
        <w:pStyle w:val="ListBullet"/>
        <w:numPr>
          <w:ilvl w:val="0"/>
          <w:numId w:val="0"/>
        </w:numPr>
      </w:pPr>
      <w:r w:rsidRPr="00D42F10">
        <w:t>The other anti-human trafficking initiative is MTVEXIT Phase IV</w:t>
      </w:r>
      <w:r w:rsidR="00B77495">
        <w:t>,</w:t>
      </w:r>
      <w:r w:rsidRPr="00D42F10">
        <w:t xml:space="preserve"> </w:t>
      </w:r>
      <w:r w:rsidR="00B77495">
        <w:t xml:space="preserve">a communications for development program </w:t>
      </w:r>
      <w:r w:rsidRPr="00D42F10">
        <w:t xml:space="preserve">which aims through media campaigns </w:t>
      </w:r>
      <w:r w:rsidR="00B77495">
        <w:t xml:space="preserve">and community-level outreach </w:t>
      </w:r>
      <w:r w:rsidRPr="00D42F10">
        <w:t>to raise awareness of trafficking and change the behaviour of those most at risk</w:t>
      </w:r>
      <w:r w:rsidR="00895931">
        <w:rPr>
          <w:rStyle w:val="FootnoteReference"/>
        </w:rPr>
        <w:footnoteReference w:id="19"/>
      </w:r>
      <w:r w:rsidRPr="00D42F10">
        <w:t>. Ear</w:t>
      </w:r>
      <w:r w:rsidR="00567042">
        <w:t>ly results of Phase IV include</w:t>
      </w:r>
      <w:r w:rsidR="0052779A">
        <w:t>:</w:t>
      </w:r>
      <w:r w:rsidR="00567042">
        <w:t xml:space="preserve"> </w:t>
      </w:r>
      <w:r w:rsidR="00786740">
        <w:t>537</w:t>
      </w:r>
      <w:r w:rsidRPr="00D42F10">
        <w:t xml:space="preserve"> young people</w:t>
      </w:r>
      <w:r w:rsidR="00786740">
        <w:t xml:space="preserve"> (50 percent female)</w:t>
      </w:r>
      <w:r w:rsidRPr="00D42F10">
        <w:t xml:space="preserve"> trained as community leaders and advocat</w:t>
      </w:r>
      <w:r w:rsidR="0052779A">
        <w:t>es on anti-trafficking;</w:t>
      </w:r>
      <w:r w:rsidR="00786740">
        <w:t xml:space="preserve"> over 4</w:t>
      </w:r>
      <w:r w:rsidR="00567042">
        <w:t>6 </w:t>
      </w:r>
      <w:r w:rsidRPr="00D42F10">
        <w:t>000 people</w:t>
      </w:r>
      <w:r w:rsidR="00786740">
        <w:t xml:space="preserve"> (41 percent female)</w:t>
      </w:r>
      <w:r w:rsidRPr="00D42F10">
        <w:t xml:space="preserve"> reached with tra</w:t>
      </w:r>
      <w:r w:rsidR="0052779A">
        <w:t>fficking prevention information;</w:t>
      </w:r>
      <w:r w:rsidR="00786740">
        <w:t xml:space="preserve"> and partnerships formed with 27</w:t>
      </w:r>
      <w:r w:rsidRPr="00D42F10">
        <w:t xml:space="preserve"> civil society organisations to strengthen prevention e</w:t>
      </w:r>
      <w:r w:rsidR="0052779A">
        <w:t>fforts in local communities in six</w:t>
      </w:r>
      <w:r w:rsidRPr="00D42F10">
        <w:t xml:space="preserve"> countries</w:t>
      </w:r>
      <w:r w:rsidR="00567042">
        <w:rPr>
          <w:rStyle w:val="FootnoteReference"/>
        </w:rPr>
        <w:footnoteReference w:id="20"/>
      </w:r>
      <w:r w:rsidRPr="00D42F10">
        <w:t>.</w:t>
      </w:r>
      <w:r w:rsidR="001F5D1E">
        <w:t xml:space="preserve"> </w:t>
      </w:r>
      <w:r w:rsidRPr="00D42F10">
        <w:t xml:space="preserve">There is some early evidence that target audiences are </w:t>
      </w:r>
      <w:r w:rsidR="00567042">
        <w:t xml:space="preserve">now </w:t>
      </w:r>
      <w:r w:rsidRPr="00D42F10">
        <w:t>better informed about how to migrate safely and avoid being trafficked</w:t>
      </w:r>
      <w:r w:rsidR="00567042">
        <w:rPr>
          <w:rStyle w:val="FootnoteReference"/>
        </w:rPr>
        <w:footnoteReference w:id="21"/>
      </w:r>
      <w:r w:rsidRPr="00D42F10">
        <w:t>.</w:t>
      </w:r>
      <w:r w:rsidR="001F5D1E">
        <w:t xml:space="preserve"> </w:t>
      </w:r>
      <w:r w:rsidR="00C23913">
        <w:t>Australia’s contract with MTVEXIT will end in September 2014</w:t>
      </w:r>
      <w:r w:rsidR="00C23913">
        <w:rPr>
          <w:rStyle w:val="FootnoteReference"/>
        </w:rPr>
        <w:footnoteReference w:id="22"/>
      </w:r>
      <w:r w:rsidR="00C23913">
        <w:t>.</w:t>
      </w:r>
      <w:r w:rsidR="001F5D1E">
        <w:t xml:space="preserve"> </w:t>
      </w:r>
    </w:p>
    <w:p w:rsidR="00D42F10" w:rsidRDefault="006835F0" w:rsidP="00D42F10">
      <w:pPr>
        <w:pStyle w:val="ListBullet"/>
        <w:numPr>
          <w:ilvl w:val="0"/>
          <w:numId w:val="0"/>
        </w:numPr>
      </w:pPr>
      <w:r>
        <w:t xml:space="preserve">Our anti-trafficking work also </w:t>
      </w:r>
      <w:r w:rsidR="00B5049B">
        <w:t>aims</w:t>
      </w:r>
      <w:r w:rsidR="00D42F10" w:rsidRPr="00D42F10">
        <w:t xml:space="preserve"> to reduce the exploitation of </w:t>
      </w:r>
      <w:r w:rsidRPr="00D42F10">
        <w:t xml:space="preserve">labour </w:t>
      </w:r>
      <w:r w:rsidR="00D42F10" w:rsidRPr="00D42F10">
        <w:t>migrants in the Greater Mekong Sub-region</w:t>
      </w:r>
      <w:r w:rsidR="00567042">
        <w:rPr>
          <w:rStyle w:val="FootnoteReference"/>
        </w:rPr>
        <w:footnoteReference w:id="23"/>
      </w:r>
      <w:r w:rsidR="00B5049B">
        <w:t>. Through</w:t>
      </w:r>
      <w:r w:rsidR="00D42F10" w:rsidRPr="00D42F10">
        <w:t xml:space="preserve"> the I</w:t>
      </w:r>
      <w:r w:rsidR="0052779A">
        <w:t xml:space="preserve">nternational </w:t>
      </w:r>
      <w:r w:rsidR="00D42F10" w:rsidRPr="00D42F10">
        <w:t>L</w:t>
      </w:r>
      <w:r w:rsidR="0052779A">
        <w:t xml:space="preserve">abour </w:t>
      </w:r>
      <w:r w:rsidR="00D42F10" w:rsidRPr="00D42F10">
        <w:t>O</w:t>
      </w:r>
      <w:r w:rsidR="0052779A">
        <w:t>rganisation (ILO)</w:t>
      </w:r>
      <w:r w:rsidR="00D42F10" w:rsidRPr="00D42F10">
        <w:t xml:space="preserve"> TRIANGLE pr</w:t>
      </w:r>
      <w:r w:rsidR="00B5049B">
        <w:t>oj</w:t>
      </w:r>
      <w:r w:rsidR="00CE41E5">
        <w:t>ect (2010–15) Australia supported</w:t>
      </w:r>
      <w:r w:rsidR="00B5049B">
        <w:t xml:space="preserve"> improved</w:t>
      </w:r>
      <w:r w:rsidR="00D42F10" w:rsidRPr="00D42F10">
        <w:t xml:space="preserve"> labour protection mechanisms </w:t>
      </w:r>
      <w:r w:rsidR="00B5049B">
        <w:t xml:space="preserve">in partner countries and </w:t>
      </w:r>
      <w:r w:rsidR="00D42F10" w:rsidRPr="00D42F10">
        <w:t>safe</w:t>
      </w:r>
      <w:r w:rsidR="00B5049B">
        <w:t xml:space="preserve"> legal migration that</w:t>
      </w:r>
      <w:r w:rsidR="00D42F10" w:rsidRPr="00D42F10">
        <w:t xml:space="preserve"> contribute</w:t>
      </w:r>
      <w:r w:rsidR="00B5049B">
        <w:t>s</w:t>
      </w:r>
      <w:r w:rsidR="00D42F10" w:rsidRPr="00D42F10">
        <w:t xml:space="preserve"> to </w:t>
      </w:r>
      <w:r w:rsidR="0052779A">
        <w:t xml:space="preserve">economic growth. </w:t>
      </w:r>
      <w:r w:rsidR="003F7D14" w:rsidRPr="00D42F10">
        <w:t xml:space="preserve">TRIANGLE has been a consistently effective project </w:t>
      </w:r>
      <w:r w:rsidR="003F7D14">
        <w:t xml:space="preserve">and </w:t>
      </w:r>
      <w:r w:rsidR="00D42F10" w:rsidRPr="00D42F10">
        <w:t>ILO support is well received by partner ministries as useful and impartial</w:t>
      </w:r>
      <w:r w:rsidR="00B5049B">
        <w:rPr>
          <w:rStyle w:val="FootnoteReference"/>
        </w:rPr>
        <w:footnoteReference w:id="24"/>
      </w:r>
      <w:r w:rsidR="00D42F10" w:rsidRPr="00D42F10">
        <w:t>. TRIANGLE met its 2013–14 PAF targets in this regard</w:t>
      </w:r>
      <w:r w:rsidR="00B5049B">
        <w:t xml:space="preserve"> e.g.</w:t>
      </w:r>
      <w:r w:rsidR="00D42F10" w:rsidRPr="00D42F10">
        <w:t xml:space="preserve"> </w:t>
      </w:r>
      <w:r w:rsidR="00DE63E0">
        <w:t>assisting with eight</w:t>
      </w:r>
      <w:r w:rsidR="00D42F10" w:rsidRPr="00D42F10">
        <w:t xml:space="preserve"> mini</w:t>
      </w:r>
      <w:r w:rsidR="00DE63E0">
        <w:t>sterial orders in Cambodia and two</w:t>
      </w:r>
      <w:r w:rsidR="00D42F10" w:rsidRPr="00D42F10">
        <w:t xml:space="preserve"> in Vietnam on migrant recruitment standards. The project delivered training </w:t>
      </w:r>
      <w:r w:rsidR="00DE63E0">
        <w:t>and technical support to over 2</w:t>
      </w:r>
      <w:r w:rsidR="00D42F10" w:rsidRPr="00D42F10">
        <w:t xml:space="preserve">200 government representatives (one third female), supported 21 civil society organisations, </w:t>
      </w:r>
      <w:r w:rsidR="00DE63E0">
        <w:t>and provided support to over 10 </w:t>
      </w:r>
      <w:r w:rsidR="00D42F10" w:rsidRPr="00D42F10">
        <w:t>000 migrant workers (40 per</w:t>
      </w:r>
      <w:r w:rsidR="00DE63E0">
        <w:t xml:space="preserve"> </w:t>
      </w:r>
      <w:r w:rsidR="00D42F10" w:rsidRPr="00D42F10">
        <w:t>cent female)</w:t>
      </w:r>
      <w:r w:rsidR="00DE63E0">
        <w:rPr>
          <w:rStyle w:val="FootnoteReference"/>
        </w:rPr>
        <w:footnoteReference w:id="25"/>
      </w:r>
      <w:r w:rsidR="00D42F10" w:rsidRPr="00D42F10">
        <w:t>.</w:t>
      </w:r>
      <w:r w:rsidR="00CE41E5">
        <w:t xml:space="preserve"> T</w:t>
      </w:r>
      <w:r w:rsidR="00D42F10" w:rsidRPr="00D42F10">
        <w:t xml:space="preserve">hese figures are comparable to previous years’ and TRIANGLE has already exceeded its final target </w:t>
      </w:r>
      <w:r w:rsidR="00B5049B">
        <w:t xml:space="preserve">by </w:t>
      </w:r>
      <w:r w:rsidR="00DE63E0">
        <w:t>reaching over 30 </w:t>
      </w:r>
      <w:r w:rsidR="00D42F10" w:rsidRPr="00D42F10">
        <w:t xml:space="preserve">000 migrant workers and </w:t>
      </w:r>
      <w:r w:rsidR="00D42F10" w:rsidRPr="00D42F10">
        <w:lastRenderedPageBreak/>
        <w:t>potential mig</w:t>
      </w:r>
      <w:r w:rsidR="00DE63E0">
        <w:t>rant workers (target 25 </w:t>
      </w:r>
      <w:r w:rsidR="00D42F10" w:rsidRPr="00D42F10">
        <w:t xml:space="preserve">000). </w:t>
      </w:r>
      <w:r w:rsidR="00B5049B" w:rsidRPr="00D42F10">
        <w:t xml:space="preserve">In its final year TRIANGLE will implement a sustainability plan to ensure benefits continue, and fine-tune M&amp;E to </w:t>
      </w:r>
      <w:r w:rsidR="00B5049B">
        <w:t>better report results</w:t>
      </w:r>
      <w:r w:rsidR="00B5049B" w:rsidRPr="00D42F10">
        <w:t>.</w:t>
      </w:r>
    </w:p>
    <w:p w:rsidR="00640544" w:rsidRPr="00D42F10" w:rsidRDefault="00733487" w:rsidP="00733487">
      <w:pPr>
        <w:spacing w:after="160" w:line="280" w:lineRule="exact"/>
      </w:pPr>
      <w:r>
        <w:rPr>
          <w:rFonts w:ascii="Franklin Gothic Book" w:eastAsia="Times New Roman" w:hAnsi="Franklin Gothic Book"/>
          <w:sz w:val="21"/>
        </w:rPr>
        <w:t>W</w:t>
      </w:r>
      <w:r w:rsidRPr="00F1401C">
        <w:rPr>
          <w:rFonts w:ascii="Franklin Gothic Book" w:eastAsia="Times New Roman" w:hAnsi="Franklin Gothic Book"/>
          <w:sz w:val="21"/>
        </w:rPr>
        <w:t>ith the creation of an ASEAN Economic Community in 2015, ASEAN is paying increasing attention to the rights of migrant workers.</w:t>
      </w:r>
      <w:r w:rsidR="001F5D1E">
        <w:rPr>
          <w:rFonts w:ascii="Franklin Gothic Book" w:eastAsia="Times New Roman" w:hAnsi="Franklin Gothic Book"/>
          <w:sz w:val="21"/>
        </w:rPr>
        <w:t xml:space="preserve"> </w:t>
      </w:r>
      <w:r w:rsidRPr="00F1401C">
        <w:rPr>
          <w:rFonts w:ascii="Franklin Gothic Book" w:eastAsia="Times New Roman" w:hAnsi="Franklin Gothic Book"/>
          <w:sz w:val="21"/>
        </w:rPr>
        <w:t>All ASEAN Member States have signed the Declaration on the Protection and Promotion of the Rights of Migrant Workers, which includes a provision for the development of an ASEAN Framework Instrument on the Rights of Migrant Workers.</w:t>
      </w:r>
      <w:r w:rsidR="001F5D1E">
        <w:rPr>
          <w:rFonts w:ascii="Franklin Gothic Book" w:eastAsia="Times New Roman" w:hAnsi="Franklin Gothic Book"/>
          <w:sz w:val="21"/>
        </w:rPr>
        <w:t xml:space="preserve"> </w:t>
      </w:r>
      <w:r>
        <w:rPr>
          <w:rFonts w:ascii="Franklin Gothic Book" w:eastAsia="Times New Roman" w:hAnsi="Franklin Gothic Book"/>
          <w:sz w:val="21"/>
        </w:rPr>
        <w:t>I</w:t>
      </w:r>
      <w:r w:rsidRPr="007A4340">
        <w:rPr>
          <w:rFonts w:ascii="Franklin Gothic Book" w:eastAsia="Times New Roman" w:hAnsi="Franklin Gothic Book"/>
          <w:sz w:val="21"/>
        </w:rPr>
        <w:t xml:space="preserve">n </w:t>
      </w:r>
      <w:r w:rsidR="00B8671B">
        <w:rPr>
          <w:rFonts w:ascii="Franklin Gothic Book" w:eastAsia="Times New Roman" w:hAnsi="Franklin Gothic Book"/>
          <w:sz w:val="21"/>
        </w:rPr>
        <w:t>June 2014</w:t>
      </w:r>
      <w:r w:rsidRPr="007A4340">
        <w:rPr>
          <w:rFonts w:ascii="Franklin Gothic Book" w:eastAsia="Times New Roman" w:hAnsi="Franklin Gothic Book"/>
          <w:sz w:val="21"/>
        </w:rPr>
        <w:t xml:space="preserve"> </w:t>
      </w:r>
      <w:r>
        <w:rPr>
          <w:rFonts w:ascii="Franklin Gothic Book" w:eastAsia="Times New Roman" w:hAnsi="Franklin Gothic Book"/>
          <w:sz w:val="21"/>
        </w:rPr>
        <w:t xml:space="preserve">Australia </w:t>
      </w:r>
      <w:r w:rsidRPr="007A4340">
        <w:rPr>
          <w:rFonts w:ascii="Franklin Gothic Book" w:eastAsia="Times New Roman" w:hAnsi="Franklin Gothic Book"/>
          <w:sz w:val="21"/>
        </w:rPr>
        <w:t>launched a project with UN Women which will contribute to the prevention of abuse, violence and exploitation of women migrant workers in the ASEAN region</w:t>
      </w:r>
      <w:r>
        <w:rPr>
          <w:rFonts w:ascii="Franklin Gothic Book" w:eastAsia="Times New Roman" w:hAnsi="Franklin Gothic Book"/>
          <w:sz w:val="21"/>
        </w:rPr>
        <w:t>.</w:t>
      </w:r>
    </w:p>
    <w:p w:rsidR="00D42F10" w:rsidRPr="00D42F10" w:rsidRDefault="00DE63E0" w:rsidP="00D42F10">
      <w:pPr>
        <w:pStyle w:val="ListBullet"/>
        <w:numPr>
          <w:ilvl w:val="0"/>
          <w:numId w:val="0"/>
        </w:numPr>
      </w:pPr>
      <w:r>
        <w:t>Project Childhood</w:t>
      </w:r>
      <w:r w:rsidR="00D42F10" w:rsidRPr="00D42F10">
        <w:t xml:space="preserve"> </w:t>
      </w:r>
      <w:r w:rsidR="00016035">
        <w:t>ended in June 2014 and aimed</w:t>
      </w:r>
      <w:r w:rsidR="00D42F10" w:rsidRPr="00D42F10">
        <w:t xml:space="preserve"> to combat child sexual exploitation in travel and tourism (CSETT). An independent evaluation of Project Childhood in 2013 found the project had increased understanding of CSETT particularly among justice sector stakeholders and achieved some of its</w:t>
      </w:r>
      <w:r w:rsidR="003F7D14">
        <w:t xml:space="preserve"> planned outputs</w:t>
      </w:r>
      <w:r w:rsidR="003F7D14">
        <w:rPr>
          <w:rStyle w:val="FootnoteReference"/>
        </w:rPr>
        <w:footnoteReference w:id="26"/>
      </w:r>
      <w:r w:rsidR="003F7D14">
        <w:t xml:space="preserve">. </w:t>
      </w:r>
      <w:r w:rsidR="00D23B6A">
        <w:t>However</w:t>
      </w:r>
      <w:r w:rsidR="00CE41E5">
        <w:t>,</w:t>
      </w:r>
      <w:r w:rsidR="00D42F10" w:rsidRPr="00D42F10">
        <w:t xml:space="preserve"> it is too soon to ascertain </w:t>
      </w:r>
      <w:r w:rsidR="00CE41E5" w:rsidRPr="00D42F10">
        <w:t xml:space="preserve">credibly </w:t>
      </w:r>
      <w:r w:rsidR="00D42F10" w:rsidRPr="00D42F10">
        <w:t>changes in the attitudes or behaviou</w:t>
      </w:r>
      <w:r w:rsidR="00682070">
        <w:t>r of those trained. T</w:t>
      </w:r>
      <w:r w:rsidR="00D42F10" w:rsidRPr="00D42F10">
        <w:t xml:space="preserve">here are no plans for future </w:t>
      </w:r>
      <w:r w:rsidR="00682070">
        <w:t xml:space="preserve">regional program </w:t>
      </w:r>
      <w:r w:rsidR="00D42F10" w:rsidRPr="00D42F10">
        <w:t>support to</w:t>
      </w:r>
      <w:r w:rsidR="00D23B6A">
        <w:t xml:space="preserve"> combat CSETT. Lessons</w:t>
      </w:r>
      <w:r w:rsidR="00D42F10" w:rsidRPr="00D42F10">
        <w:t xml:space="preserve"> learned (e</w:t>
      </w:r>
      <w:r>
        <w:t>.</w:t>
      </w:r>
      <w:r w:rsidR="00D42F10" w:rsidRPr="00D42F10">
        <w:t>g</w:t>
      </w:r>
      <w:r>
        <w:t>.</w:t>
      </w:r>
      <w:r w:rsidR="00D42F10" w:rsidRPr="00D42F10">
        <w:t xml:space="preserve"> overly ambitious design, inappropriate timeframes and </w:t>
      </w:r>
      <w:r w:rsidR="00D23B6A" w:rsidRPr="00D42F10">
        <w:t xml:space="preserve">implementation </w:t>
      </w:r>
      <w:r w:rsidR="00D23B6A">
        <w:t>modality</w:t>
      </w:r>
      <w:r w:rsidR="00D42F10" w:rsidRPr="00D42F10">
        <w:t xml:space="preserve">) will </w:t>
      </w:r>
      <w:r w:rsidR="00016035">
        <w:t>inform</w:t>
      </w:r>
      <w:r w:rsidR="00D42F10" w:rsidRPr="00D42F10">
        <w:t xml:space="preserve"> any future investments in this area.</w:t>
      </w:r>
    </w:p>
    <w:p w:rsidR="00D42F10" w:rsidRDefault="00D42F10" w:rsidP="00D42F10">
      <w:pPr>
        <w:pStyle w:val="ListBullet"/>
        <w:numPr>
          <w:ilvl w:val="0"/>
          <w:numId w:val="0"/>
        </w:numPr>
      </w:pPr>
      <w:r w:rsidRPr="00D42F10">
        <w:t>The final element of Objective 2 is to improve disaster management response and cooperation</w:t>
      </w:r>
      <w:r w:rsidR="001F48C5">
        <w:t xml:space="preserve"> within the East Asia Summit</w:t>
      </w:r>
      <w:r w:rsidRPr="00D42F10">
        <w:t>. The contributing activity</w:t>
      </w:r>
      <w:r w:rsidR="00F732DE">
        <w:t>—East Asia Summit Disaster Management Support—</w:t>
      </w:r>
      <w:r w:rsidRPr="00D42F10">
        <w:t>is small in value (</w:t>
      </w:r>
      <w:r w:rsidR="00AF209E" w:rsidRPr="00AF209E">
        <w:t>$</w:t>
      </w:r>
      <w:r w:rsidR="00AF209E">
        <w:t>180,000</w:t>
      </w:r>
      <w:r w:rsidR="00AF209E" w:rsidRPr="00AF209E">
        <w:t xml:space="preserve"> </w:t>
      </w:r>
      <w:r w:rsidR="00AF209E" w:rsidRPr="00D42F10">
        <w:t>in 2013–14</w:t>
      </w:r>
      <w:r w:rsidR="00CE41E5">
        <w:t>)</w:t>
      </w:r>
      <w:r w:rsidR="00445ACA">
        <w:t xml:space="preserve">, </w:t>
      </w:r>
      <w:r w:rsidRPr="00D42F10">
        <w:t xml:space="preserve">and </w:t>
      </w:r>
      <w:r w:rsidR="00AF209E">
        <w:t xml:space="preserve">this year </w:t>
      </w:r>
      <w:r w:rsidR="00CE41E5">
        <w:t>funded</w:t>
      </w:r>
      <w:r w:rsidRPr="00D42F10">
        <w:t xml:space="preserve"> a disaster rapid response workshop in Darwin in September 2013 delivered by Emergency Management Australia. The workshop success</w:t>
      </w:r>
      <w:r w:rsidR="00353C05">
        <w:t>fully</w:t>
      </w:r>
      <w:r w:rsidRPr="00D42F10">
        <w:t xml:space="preserve"> </w:t>
      </w:r>
      <w:r w:rsidR="00353C05" w:rsidRPr="00353C05">
        <w:t xml:space="preserve">promoted the East Asia Summit as </w:t>
      </w:r>
      <w:r w:rsidR="00EE5AE8">
        <w:t xml:space="preserve">an </w:t>
      </w:r>
      <w:r w:rsidR="00353C05" w:rsidRPr="00353C05">
        <w:t>important mechanism for region</w:t>
      </w:r>
      <w:r w:rsidR="00EE5AE8">
        <w:t>al coordinati</w:t>
      </w:r>
      <w:r w:rsidR="003F7D14">
        <w:t>on and cooperation</w:t>
      </w:r>
      <w:r w:rsidR="00353C05" w:rsidRPr="00353C05">
        <w:t xml:space="preserve"> in disaster management</w:t>
      </w:r>
      <w:r w:rsidR="00831C2C">
        <w:rPr>
          <w:rStyle w:val="FootnoteReference"/>
        </w:rPr>
        <w:footnoteReference w:id="27"/>
      </w:r>
      <w:r w:rsidR="00353C05" w:rsidRPr="00353C05">
        <w:t>. The workshop brought together 78 representatives from National Disaster Management Organisations, Ministries of Foreign Affairs and health experts from the member countries of the East Asia Summit. An Action Plan was agreed which identified obstacles to regional coordination and recommendations to improve these</w:t>
      </w:r>
      <w:r w:rsidR="00831C2C">
        <w:rPr>
          <w:rStyle w:val="FootnoteReference"/>
        </w:rPr>
        <w:footnoteReference w:id="28"/>
      </w:r>
      <w:r w:rsidR="00353C05" w:rsidRPr="00353C05">
        <w:t xml:space="preserve">. </w:t>
      </w:r>
      <w:r w:rsidRPr="00D42F10">
        <w:t xml:space="preserve">Progress against this Plan </w:t>
      </w:r>
      <w:r w:rsidR="001F48C5">
        <w:t xml:space="preserve">was </w:t>
      </w:r>
      <w:r w:rsidR="00DE63E0">
        <w:t xml:space="preserve">reported on </w:t>
      </w:r>
      <w:r w:rsidRPr="00D42F10">
        <w:t xml:space="preserve">at a follow-up workshop in </w:t>
      </w:r>
      <w:r w:rsidR="001F48C5">
        <w:t xml:space="preserve">Bali in June </w:t>
      </w:r>
      <w:r w:rsidRPr="00D42F10">
        <w:t>2014</w:t>
      </w:r>
      <w:r w:rsidR="00640AF5">
        <w:t xml:space="preserve">, which also </w:t>
      </w:r>
      <w:r w:rsidR="00CE41E5">
        <w:t>advanced</w:t>
      </w:r>
      <w:r w:rsidR="00640AF5">
        <w:t xml:space="preserve"> two key areas of the Action Plan</w:t>
      </w:r>
      <w:r w:rsidR="00640AF5">
        <w:rPr>
          <w:rStyle w:val="FootnoteReference"/>
        </w:rPr>
        <w:footnoteReference w:id="29"/>
      </w:r>
      <w:r>
        <w:t>.</w:t>
      </w:r>
    </w:p>
    <w:p w:rsidR="00CE41E5" w:rsidRPr="00B73689" w:rsidRDefault="00851F65" w:rsidP="00B73689">
      <w:pPr>
        <w:tabs>
          <w:tab w:val="left" w:pos="284"/>
        </w:tabs>
        <w:spacing w:after="120" w:line="280" w:lineRule="exact"/>
        <w:rPr>
          <w:rFonts w:ascii="Franklin Gothic Book" w:eastAsia="Times New Roman" w:hAnsi="Franklin Gothic Book"/>
          <w:sz w:val="21"/>
        </w:rPr>
      </w:pPr>
      <w:r>
        <w:rPr>
          <w:rFonts w:ascii="Franklin Gothic Book" w:eastAsia="Times New Roman" w:hAnsi="Franklin Gothic Book"/>
          <w:sz w:val="21"/>
        </w:rPr>
        <w:t>Work through the regional program to strengthen ASEAN’s disaster preparedness is complemented by bilateral</w:t>
      </w:r>
      <w:r w:rsidR="005051AA">
        <w:rPr>
          <w:rFonts w:ascii="Franklin Gothic Book" w:eastAsia="Times New Roman" w:hAnsi="Franklin Gothic Book"/>
          <w:sz w:val="21"/>
        </w:rPr>
        <w:t>ly funded</w:t>
      </w:r>
      <w:r>
        <w:rPr>
          <w:rFonts w:ascii="Franklin Gothic Book" w:eastAsia="Times New Roman" w:hAnsi="Franklin Gothic Book"/>
          <w:sz w:val="21"/>
        </w:rPr>
        <w:t xml:space="preserve"> efforts. </w:t>
      </w:r>
      <w:r w:rsidR="00CE41E5" w:rsidRPr="00CE41E5">
        <w:rPr>
          <w:rFonts w:ascii="Franklin Gothic Book" w:eastAsia="Times New Roman" w:hAnsi="Franklin Gothic Book"/>
          <w:sz w:val="21"/>
        </w:rPr>
        <w:t xml:space="preserve">Australia has provided $2.83 million (2010-2014) </w:t>
      </w:r>
      <w:r w:rsidR="005051AA">
        <w:rPr>
          <w:rFonts w:ascii="Franklin Gothic Book" w:eastAsia="Times New Roman" w:hAnsi="Franklin Gothic Book"/>
          <w:sz w:val="21"/>
        </w:rPr>
        <w:t>t</w:t>
      </w:r>
      <w:r w:rsidR="005051AA" w:rsidRPr="00CE41E5">
        <w:rPr>
          <w:rFonts w:ascii="Franklin Gothic Book" w:eastAsia="Times New Roman" w:hAnsi="Franklin Gothic Book"/>
          <w:sz w:val="21"/>
        </w:rPr>
        <w:t xml:space="preserve">hrough the Australia-Indonesia Facility for Disaster Reduction (AIFDR) </w:t>
      </w:r>
      <w:r w:rsidR="00B73689">
        <w:rPr>
          <w:rFonts w:ascii="Franklin Gothic Book" w:eastAsia="Times New Roman" w:hAnsi="Franklin Gothic Book"/>
          <w:sz w:val="21"/>
        </w:rPr>
        <w:t xml:space="preserve">to </w:t>
      </w:r>
      <w:r w:rsidR="005051AA">
        <w:rPr>
          <w:rFonts w:ascii="Franklin Gothic Book" w:eastAsia="Times New Roman" w:hAnsi="Franklin Gothic Book"/>
          <w:sz w:val="21"/>
        </w:rPr>
        <w:t>support ASEC’s</w:t>
      </w:r>
      <w:r w:rsidR="00CE41E5" w:rsidRPr="00CE41E5">
        <w:rPr>
          <w:rFonts w:ascii="Franklin Gothic Book" w:eastAsia="Times New Roman" w:hAnsi="Franklin Gothic Book"/>
          <w:sz w:val="21"/>
        </w:rPr>
        <w:t xml:space="preserve"> implementation of the ASEAN Agreement on Disaster Manageme</w:t>
      </w:r>
      <w:r w:rsidR="00B73689">
        <w:rPr>
          <w:rFonts w:ascii="Franklin Gothic Book" w:eastAsia="Times New Roman" w:hAnsi="Franklin Gothic Book"/>
          <w:sz w:val="21"/>
        </w:rPr>
        <w:t>nt &amp; Emergency Response</w:t>
      </w:r>
      <w:r w:rsidR="00CE41E5" w:rsidRPr="00CE41E5">
        <w:rPr>
          <w:rFonts w:ascii="Franklin Gothic Book" w:eastAsia="Times New Roman" w:hAnsi="Franklin Gothic Book"/>
          <w:sz w:val="21"/>
        </w:rPr>
        <w:t>,</w:t>
      </w:r>
      <w:r w:rsidR="00016035">
        <w:rPr>
          <w:rFonts w:ascii="Franklin Gothic Book" w:eastAsia="Times New Roman" w:hAnsi="Franklin Gothic Book"/>
          <w:sz w:val="21"/>
        </w:rPr>
        <w:t xml:space="preserve"> </w:t>
      </w:r>
      <w:r w:rsidR="00CE41E5" w:rsidRPr="00CE41E5">
        <w:rPr>
          <w:rFonts w:ascii="Franklin Gothic Book" w:eastAsia="Times New Roman" w:hAnsi="Franklin Gothic Book"/>
          <w:sz w:val="21"/>
        </w:rPr>
        <w:t xml:space="preserve">and the operations of the </w:t>
      </w:r>
      <w:r w:rsidR="00016035" w:rsidRPr="00016035">
        <w:rPr>
          <w:rFonts w:ascii="Franklin Gothic Book" w:eastAsia="Times New Roman" w:hAnsi="Franklin Gothic Book"/>
          <w:sz w:val="21"/>
        </w:rPr>
        <w:t xml:space="preserve">ASEAN Coordinating Centre for Humanitarian Assistance on Disaster Management (AHA Centre). The </w:t>
      </w:r>
      <w:r w:rsidR="00CE41E5" w:rsidRPr="00CE41E5">
        <w:rPr>
          <w:rFonts w:ascii="Franklin Gothic Book" w:eastAsia="Times New Roman" w:hAnsi="Franklin Gothic Book"/>
          <w:sz w:val="21"/>
        </w:rPr>
        <w:t>AHA Centre</w:t>
      </w:r>
      <w:r w:rsidR="00016035" w:rsidRPr="00016035">
        <w:rPr>
          <w:rFonts w:ascii="Franklin Gothic Book" w:eastAsia="Times New Roman" w:hAnsi="Franklin Gothic Book"/>
          <w:sz w:val="21"/>
        </w:rPr>
        <w:t xml:space="preserve"> has strengthened regional coordination when disasters strike</w:t>
      </w:r>
      <w:r w:rsidR="00016035">
        <w:rPr>
          <w:rFonts w:ascii="Franklin Gothic Book" w:eastAsia="Times New Roman" w:hAnsi="Franklin Gothic Book"/>
          <w:sz w:val="21"/>
        </w:rPr>
        <w:t xml:space="preserve"> and it responded </w:t>
      </w:r>
      <w:r w:rsidR="00CE41E5" w:rsidRPr="00CE41E5">
        <w:rPr>
          <w:rFonts w:ascii="Franklin Gothic Book" w:eastAsia="Times New Roman" w:hAnsi="Franklin Gothic Book"/>
          <w:sz w:val="21"/>
        </w:rPr>
        <w:t>effectively to Typhoon Haiyan in the Philippines in 2013.</w:t>
      </w:r>
      <w:r w:rsidR="00B73689">
        <w:rPr>
          <w:rFonts w:ascii="Franklin Gothic Book" w:eastAsia="Times New Roman" w:hAnsi="Franklin Gothic Book"/>
          <w:sz w:val="21"/>
        </w:rPr>
        <w:t xml:space="preserve"> </w:t>
      </w:r>
      <w:r w:rsidR="00D216BA">
        <w:rPr>
          <w:rFonts w:ascii="Franklin Gothic Book" w:eastAsia="Times New Roman" w:hAnsi="Franklin Gothic Book"/>
          <w:sz w:val="21"/>
        </w:rPr>
        <w:t xml:space="preserve">The August 2014 review of </w:t>
      </w:r>
      <w:r w:rsidR="00B73689">
        <w:rPr>
          <w:rFonts w:ascii="Franklin Gothic Book" w:eastAsia="Times New Roman" w:hAnsi="Franklin Gothic Book"/>
          <w:sz w:val="21"/>
        </w:rPr>
        <w:t>AIFDR will inform future Australian investment with ASEAN o</w:t>
      </w:r>
      <w:r w:rsidR="00B73689" w:rsidRPr="00CE41E5">
        <w:rPr>
          <w:rFonts w:ascii="Franklin Gothic Book" w:eastAsia="Times New Roman" w:hAnsi="Franklin Gothic Book"/>
          <w:sz w:val="21"/>
        </w:rPr>
        <w:t>n regional disaster management</w:t>
      </w:r>
      <w:r w:rsidR="00B73689">
        <w:rPr>
          <w:rFonts w:ascii="Franklin Gothic Book" w:eastAsia="Times New Roman" w:hAnsi="Franklin Gothic Book"/>
          <w:sz w:val="21"/>
        </w:rPr>
        <w:t>.</w:t>
      </w:r>
      <w:r w:rsidR="008932A4" w:rsidRPr="008932A4">
        <w:t xml:space="preserve"> </w:t>
      </w:r>
    </w:p>
    <w:p w:rsidR="00D42F10" w:rsidRDefault="00D42F10" w:rsidP="00D42F10">
      <w:pPr>
        <w:pStyle w:val="Heading3"/>
      </w:pPr>
      <w:r>
        <w:lastRenderedPageBreak/>
        <w:t xml:space="preserve">Objective 3: </w:t>
      </w:r>
      <w:r w:rsidRPr="00D42F10">
        <w:t>Improved capacity of regional organisations to address agreed priority development challenges</w:t>
      </w:r>
    </w:p>
    <w:p w:rsidR="00D42F10" w:rsidRPr="00D42F10" w:rsidRDefault="003F7D14" w:rsidP="00D42F10">
      <w:pPr>
        <w:pStyle w:val="ListBullet"/>
        <w:numPr>
          <w:ilvl w:val="0"/>
          <w:numId w:val="0"/>
        </w:numPr>
      </w:pPr>
      <w:r>
        <w:t>In reporting against Objective 3</w:t>
      </w:r>
      <w:r w:rsidR="00D42F10" w:rsidRPr="00D42F10">
        <w:t xml:space="preserve"> we consider </w:t>
      </w:r>
      <w:r w:rsidR="00E97C24">
        <w:t>that</w:t>
      </w:r>
      <w:r w:rsidR="003C0F14">
        <w:t>,</w:t>
      </w:r>
      <w:r w:rsidR="00E97C24">
        <w:t xml:space="preserve"> within the scope of their influence</w:t>
      </w:r>
      <w:r w:rsidR="003C0F14">
        <w:t>,</w:t>
      </w:r>
      <w:r w:rsidR="00E97C24">
        <w:t xml:space="preserve"> our investments have contributed to progress towards:</w:t>
      </w:r>
      <w:r w:rsidR="00D42F10" w:rsidRPr="00D42F10">
        <w:t xml:space="preserve"> strengthened institutional capac</w:t>
      </w:r>
      <w:r w:rsidR="00E97C24">
        <w:t>ity of the APEC Secretariat;</w:t>
      </w:r>
      <w:r w:rsidR="00D42F10" w:rsidRPr="00D42F10">
        <w:t xml:space="preserve"> and improved skill of the ASEAN Secretariat in policy analysi</w:t>
      </w:r>
      <w:r>
        <w:t>s and advocacy.</w:t>
      </w:r>
      <w:r w:rsidR="001F5D1E">
        <w:t xml:space="preserve"> </w:t>
      </w:r>
      <w:r>
        <w:t>T</w:t>
      </w:r>
      <w:r w:rsidR="00D42F10" w:rsidRPr="00D42F10">
        <w:t xml:space="preserve">he contributing investments, APEC Secretariat Support and </w:t>
      </w:r>
      <w:r w:rsidR="00EE5AE8">
        <w:t>the</w:t>
      </w:r>
      <w:r w:rsidR="00D42F10" w:rsidRPr="00D42F10">
        <w:t xml:space="preserve"> </w:t>
      </w:r>
      <w:r w:rsidR="00EE5AE8">
        <w:t>ASEAN Australia Development Cooperation Program Phase II (</w:t>
      </w:r>
      <w:r w:rsidR="00D42F10" w:rsidRPr="00D42F10">
        <w:t>AADCP II</w:t>
      </w:r>
      <w:r w:rsidR="00EE5AE8">
        <w:t>)</w:t>
      </w:r>
      <w:r w:rsidR="00D42F10" w:rsidRPr="00D42F10">
        <w:t xml:space="preserve"> performed well in 2013–14. These are substantial long term investments</w:t>
      </w:r>
      <w:r w:rsidR="00DE63E0">
        <w:rPr>
          <w:rStyle w:val="FootnoteReference"/>
        </w:rPr>
        <w:footnoteReference w:id="30"/>
      </w:r>
      <w:r w:rsidR="00D42F10" w:rsidRPr="00D42F10">
        <w:t xml:space="preserve">. In 2013–14 each represented approximately </w:t>
      </w:r>
      <w:r w:rsidR="00EE5AE8">
        <w:t>half the</w:t>
      </w:r>
      <w:r w:rsidR="00D42F10" w:rsidRPr="00D42F10">
        <w:t xml:space="preserve"> expen</w:t>
      </w:r>
      <w:r w:rsidR="00EE5AE8">
        <w:t xml:space="preserve">diture against this objective. </w:t>
      </w:r>
      <w:r w:rsidR="00C65A81" w:rsidRPr="00C65A81">
        <w:t>In spite of the challenging capacity environment,</w:t>
      </w:r>
      <w:r w:rsidR="00C65A81">
        <w:rPr>
          <w:b/>
        </w:rPr>
        <w:t xml:space="preserve"> p</w:t>
      </w:r>
      <w:r w:rsidR="00D42F10" w:rsidRPr="003F7D14">
        <w:rPr>
          <w:b/>
        </w:rPr>
        <w:t xml:space="preserve">rogress </w:t>
      </w:r>
      <w:r w:rsidR="00EE5AE8" w:rsidRPr="003F7D14">
        <w:rPr>
          <w:b/>
        </w:rPr>
        <w:t>on</w:t>
      </w:r>
      <w:r w:rsidR="00D42F10" w:rsidRPr="003F7D14">
        <w:rPr>
          <w:b/>
        </w:rPr>
        <w:t xml:space="preserve"> Objective 3 is ra</w:t>
      </w:r>
      <w:r>
        <w:rPr>
          <w:b/>
        </w:rPr>
        <w:t>ted</w:t>
      </w:r>
      <w:r w:rsidR="00D42F10" w:rsidRPr="003F7D14">
        <w:rPr>
          <w:b/>
        </w:rPr>
        <w:t xml:space="preserve"> green</w:t>
      </w:r>
      <w:r w:rsidR="00D42F10" w:rsidRPr="00D42F10">
        <w:t xml:space="preserve">. This is an improvement on last year’s </w:t>
      </w:r>
      <w:r w:rsidR="00EE5AE8">
        <w:t xml:space="preserve">amber </w:t>
      </w:r>
      <w:r w:rsidR="00D42F10" w:rsidRPr="00D42F10">
        <w:t>rating</w:t>
      </w:r>
      <w:r w:rsidR="00C65A81">
        <w:t>, and is recognition of the level of momentum now reached by our investments—as reflected in some improved QAI scores for 2013–14 and promising review findings</w:t>
      </w:r>
      <w:r w:rsidR="00D42F10" w:rsidRPr="00D42F10">
        <w:t>.</w:t>
      </w:r>
    </w:p>
    <w:p w:rsidR="00D42F10" w:rsidRPr="00D42F10" w:rsidRDefault="00D42F10" w:rsidP="00D42F10">
      <w:pPr>
        <w:pStyle w:val="ListBullet"/>
        <w:numPr>
          <w:ilvl w:val="0"/>
          <w:numId w:val="0"/>
        </w:numPr>
      </w:pPr>
      <w:r w:rsidRPr="00D42F10">
        <w:t xml:space="preserve">Since </w:t>
      </w:r>
      <w:r w:rsidR="00A7597E">
        <w:t xml:space="preserve">Australia’s </w:t>
      </w:r>
      <w:r w:rsidRPr="00D42F10">
        <w:t>support to the</w:t>
      </w:r>
      <w:r w:rsidR="00CE41E5">
        <w:t xml:space="preserve"> APEC Secretariat began in 2005</w:t>
      </w:r>
      <w:r w:rsidRPr="00D42F10">
        <w:t xml:space="preserve"> </w:t>
      </w:r>
      <w:r w:rsidR="00A7597E">
        <w:t>we have</w:t>
      </w:r>
      <w:r w:rsidRPr="00D42F10">
        <w:t xml:space="preserve"> helped establish transparent project se</w:t>
      </w:r>
      <w:r w:rsidR="00A7597E">
        <w:t>lection and procurement systems, and</w:t>
      </w:r>
      <w:r w:rsidRPr="00D42F10">
        <w:t xml:space="preserve"> improved the sustainability and strategic </w:t>
      </w:r>
      <w:r w:rsidR="003F7D14">
        <w:t>focus</w:t>
      </w:r>
      <w:r w:rsidRPr="00D42F10">
        <w:t xml:space="preserve"> of projects</w:t>
      </w:r>
      <w:r w:rsidR="00A7597E">
        <w:t>. I</w:t>
      </w:r>
      <w:r w:rsidRPr="00D42F10">
        <w:t xml:space="preserve">n 2013–14 </w:t>
      </w:r>
      <w:r w:rsidR="00A7597E">
        <w:t>we helped APEC develop</w:t>
      </w:r>
      <w:r w:rsidRPr="00D42F10">
        <w:t xml:space="preserve"> a project evaluation framework to better assess </w:t>
      </w:r>
      <w:r w:rsidR="00A7597E">
        <w:t>how projects help achieve</w:t>
      </w:r>
      <w:r w:rsidRPr="00D42F10">
        <w:t xml:space="preserve"> APEC’s capacity buildin</w:t>
      </w:r>
      <w:r w:rsidR="00EE5AE8">
        <w:t xml:space="preserve">g objectives. </w:t>
      </w:r>
      <w:r w:rsidR="00A7597E">
        <w:t xml:space="preserve">This </w:t>
      </w:r>
      <w:r w:rsidR="00A7597E" w:rsidRPr="00D42F10">
        <w:t xml:space="preserve">was approved by APEC in February 2014. </w:t>
      </w:r>
      <w:r w:rsidRPr="00D42F10">
        <w:t xml:space="preserve">The initiative has exceeded significantly its </w:t>
      </w:r>
      <w:r w:rsidR="00CE41E5">
        <w:t>2013–14 PAF targets. Thirty-</w:t>
      </w:r>
      <w:r w:rsidR="00D44228">
        <w:t>seven research publications (target was nine</w:t>
      </w:r>
      <w:r w:rsidRPr="00D42F10">
        <w:t xml:space="preserve">) were produced by </w:t>
      </w:r>
      <w:r w:rsidR="00A7597E">
        <w:t>APEC’s</w:t>
      </w:r>
      <w:r w:rsidRPr="00D42F10">
        <w:t xml:space="preserve"> Policy Support Uni</w:t>
      </w:r>
      <w:r w:rsidR="00CE41E5">
        <w:t>t with Australian support. E</w:t>
      </w:r>
      <w:r w:rsidRPr="00D42F10">
        <w:t xml:space="preserve">vidence from website data shows these </w:t>
      </w:r>
      <w:r w:rsidR="00CE41E5">
        <w:t xml:space="preserve">reports </w:t>
      </w:r>
      <w:r w:rsidRPr="00D42F10">
        <w:t xml:space="preserve">are being accessed. Four institutional reform activities were advanced during the </w:t>
      </w:r>
      <w:r w:rsidR="00D44228">
        <w:t>period (target was two</w:t>
      </w:r>
      <w:r w:rsidRPr="00D42F10">
        <w:t xml:space="preserve">). Such reforms are being adopted with widespread support </w:t>
      </w:r>
      <w:r w:rsidR="00D44228">
        <w:t>of</w:t>
      </w:r>
      <w:r w:rsidRPr="00D42F10">
        <w:t xml:space="preserve"> APEC members and are strongly endorsed by the APEC Secretariat Executive Director.</w:t>
      </w:r>
      <w:r w:rsidR="001F5D1E">
        <w:t xml:space="preserve"> </w:t>
      </w:r>
      <w:r w:rsidRPr="00D42F10">
        <w:t xml:space="preserve">However, obtaining </w:t>
      </w:r>
      <w:r w:rsidR="00A7597E">
        <w:t xml:space="preserve">the </w:t>
      </w:r>
      <w:r w:rsidRPr="00D42F10">
        <w:t xml:space="preserve">agreement and </w:t>
      </w:r>
      <w:r w:rsidR="00A7597E">
        <w:t>commitment</w:t>
      </w:r>
      <w:r w:rsidR="00D44228">
        <w:t xml:space="preserve"> </w:t>
      </w:r>
      <w:r w:rsidRPr="00D42F10">
        <w:t xml:space="preserve">of 21 diverse member economies of APEC </w:t>
      </w:r>
      <w:r w:rsidR="00A7597E">
        <w:t>is not easy</w:t>
      </w:r>
      <w:r w:rsidRPr="00D42F10">
        <w:t xml:space="preserve"> in a co</w:t>
      </w:r>
      <w:r w:rsidR="00D44228">
        <w:t xml:space="preserve">nsensus-based organisation. </w:t>
      </w:r>
      <w:r w:rsidRPr="00D42F10">
        <w:t>Australian advocacy and support is required to maintain reform momentum.</w:t>
      </w:r>
      <w:r w:rsidR="001F5D1E">
        <w:t xml:space="preserve"> </w:t>
      </w:r>
    </w:p>
    <w:p w:rsidR="00D42F10" w:rsidRPr="00D42F10" w:rsidRDefault="00D42F10" w:rsidP="00D42F10">
      <w:pPr>
        <w:pStyle w:val="ListBullet"/>
        <w:numPr>
          <w:ilvl w:val="0"/>
          <w:numId w:val="0"/>
        </w:numPr>
      </w:pPr>
      <w:r w:rsidRPr="00D42F10">
        <w:t>AADCPII is on track to achieve intended outcomes, with the 4</w:t>
      </w:r>
      <w:r w:rsidRPr="00D42F10">
        <w:rPr>
          <w:vertAlign w:val="superscript"/>
        </w:rPr>
        <w:t>th</w:t>
      </w:r>
      <w:r w:rsidRPr="00D42F10">
        <w:t xml:space="preserve"> Annual Review </w:t>
      </w:r>
      <w:r w:rsidR="00D44228" w:rsidRPr="00D42F10">
        <w:t xml:space="preserve">(November 2013) </w:t>
      </w:r>
      <w:r w:rsidRPr="00D42F10">
        <w:t xml:space="preserve">finding </w:t>
      </w:r>
      <w:r w:rsidR="00D44228">
        <w:t>it</w:t>
      </w:r>
      <w:r w:rsidRPr="00D42F10">
        <w:t xml:space="preserve"> is now a mature, pragmatic and effective program. </w:t>
      </w:r>
      <w:r w:rsidR="001F5D1E">
        <w:t>Eleven</w:t>
      </w:r>
      <w:r w:rsidRPr="00D42F10">
        <w:t xml:space="preserve"> </w:t>
      </w:r>
      <w:r w:rsidR="00D44228">
        <w:t xml:space="preserve">projects </w:t>
      </w:r>
      <w:r w:rsidR="00A7597E">
        <w:t xml:space="preserve">were </w:t>
      </w:r>
      <w:r w:rsidR="00F61B3F">
        <w:t>completed</w:t>
      </w:r>
      <w:r w:rsidR="005B7D04">
        <w:t xml:space="preserve"> </w:t>
      </w:r>
      <w:r w:rsidR="000062BF">
        <w:t xml:space="preserve">during 2013 </w:t>
      </w:r>
      <w:r w:rsidR="005B7D04">
        <w:t>including several relating to our longstanding work to support implementation of the Mutual Recognition Agreement for Tourism, research for policy make</w:t>
      </w:r>
      <w:r w:rsidR="000062BF">
        <w:t>r</w:t>
      </w:r>
      <w:r w:rsidR="005B7D04">
        <w:t>s on narrowing the development gap between the more developed member states and the countries of the Mekong and efforts to further ASEAN’s agreement in investment</w:t>
      </w:r>
      <w:r w:rsidR="000062BF">
        <w:t>. N</w:t>
      </w:r>
      <w:r w:rsidR="00D44228">
        <w:t>ine</w:t>
      </w:r>
      <w:r w:rsidRPr="00D42F10">
        <w:t xml:space="preserve"> </w:t>
      </w:r>
      <w:r w:rsidR="000062BF">
        <w:t xml:space="preserve">new </w:t>
      </w:r>
      <w:r w:rsidRPr="00D42F10">
        <w:t xml:space="preserve">proposals </w:t>
      </w:r>
      <w:r w:rsidR="000062BF">
        <w:t xml:space="preserve">were </w:t>
      </w:r>
      <w:r w:rsidR="00D44228">
        <w:t>finalised</w:t>
      </w:r>
      <w:r w:rsidRPr="00D42F10">
        <w:t xml:space="preserve"> </w:t>
      </w:r>
      <w:r w:rsidR="00D44228">
        <w:t>during 2013</w:t>
      </w:r>
      <w:r w:rsidR="000062BF" w:rsidRPr="000062BF">
        <w:t xml:space="preserve"> </w:t>
      </w:r>
      <w:r w:rsidR="000062BF">
        <w:t>including follow on activities in tourism and investment</w:t>
      </w:r>
      <w:r w:rsidR="00B73689">
        <w:t>,</w:t>
      </w:r>
      <w:r w:rsidR="000062BF">
        <w:t xml:space="preserve"> as well as new activity to strengthen the ASEAN Secretariat’s corporate area</w:t>
      </w:r>
      <w:r w:rsidR="00D44228">
        <w:t xml:space="preserve">. </w:t>
      </w:r>
      <w:r w:rsidR="000062BF">
        <w:t xml:space="preserve">These </w:t>
      </w:r>
      <w:r w:rsidR="00B73689">
        <w:t xml:space="preserve">project </w:t>
      </w:r>
      <w:r w:rsidR="000062BF">
        <w:t>numbers are</w:t>
      </w:r>
      <w:r w:rsidR="00D44228" w:rsidRPr="00D42F10">
        <w:t xml:space="preserve"> </w:t>
      </w:r>
      <w:r w:rsidR="00B73689">
        <w:t>a large increase on the</w:t>
      </w:r>
      <w:r w:rsidR="00D44228" w:rsidRPr="00D42F10">
        <w:t xml:space="preserve"> </w:t>
      </w:r>
      <w:r w:rsidR="00B73689">
        <w:t xml:space="preserve">14 projects completed </w:t>
      </w:r>
      <w:r w:rsidR="00F61B3F">
        <w:t>between 2009 and 2012</w:t>
      </w:r>
      <w:r w:rsidR="00D44228" w:rsidRPr="00D42F10">
        <w:t>.</w:t>
      </w:r>
      <w:r w:rsidR="00D44228">
        <w:t xml:space="preserve"> Implementation is also </w:t>
      </w:r>
      <w:r w:rsidRPr="00D42F10">
        <w:t>more efficient with a 25 per</w:t>
      </w:r>
      <w:r w:rsidR="00D44228">
        <w:t xml:space="preserve"> </w:t>
      </w:r>
      <w:r w:rsidRPr="00D42F10">
        <w:t xml:space="preserve">cent increased expenditure </w:t>
      </w:r>
      <w:r w:rsidR="00160650">
        <w:t>rate</w:t>
      </w:r>
      <w:r w:rsidR="00D44228">
        <w:t xml:space="preserve"> compared to </w:t>
      </w:r>
      <w:r w:rsidRPr="00D42F10">
        <w:t>20</w:t>
      </w:r>
      <w:r w:rsidR="00D44228">
        <w:t>12</w:t>
      </w:r>
      <w:r w:rsidRPr="00D42F10">
        <w:t>, reflecting</w:t>
      </w:r>
      <w:r w:rsidR="00DF1020">
        <w:t xml:space="preserve"> that</w:t>
      </w:r>
      <w:r w:rsidRPr="00D42F10">
        <w:t xml:space="preserve"> </w:t>
      </w:r>
      <w:r w:rsidR="00DF1020">
        <w:t>activities were implemented to plan</w:t>
      </w:r>
      <w:r w:rsidRPr="00D42F10">
        <w:t xml:space="preserve"> during 2013</w:t>
      </w:r>
      <w:r w:rsidR="00DF1020">
        <w:t>. Outputs were high quality</w:t>
      </w:r>
      <w:r w:rsidRPr="00D42F10">
        <w:t xml:space="preserve"> and PAF</w:t>
      </w:r>
      <w:r w:rsidR="00EE5AE8">
        <w:t xml:space="preserve"> targets largely achieved. L</w:t>
      </w:r>
      <w:r w:rsidRPr="00D42F10">
        <w:t>ongstanding support</w:t>
      </w:r>
      <w:r w:rsidR="00DF1020">
        <w:t xml:space="preserve"> to the tourism sector continued</w:t>
      </w:r>
      <w:r w:rsidR="00B73689">
        <w:t xml:space="preserve"> to pay off for ASEAN and for Australia, </w:t>
      </w:r>
      <w:r w:rsidR="00A7597E">
        <w:t xml:space="preserve">through </w:t>
      </w:r>
      <w:r w:rsidRPr="00D42F10">
        <w:t>the ASEAN Mutual Recognition Agreement in facilitating free flow of services and skilled labour within ASEAN.</w:t>
      </w:r>
      <w:r w:rsidR="001F5D1E">
        <w:t xml:space="preserve"> </w:t>
      </w:r>
      <w:r w:rsidRPr="00D42F10">
        <w:t>At the 17</w:t>
      </w:r>
      <w:r w:rsidRPr="00D42F10">
        <w:rPr>
          <w:vertAlign w:val="superscript"/>
        </w:rPr>
        <w:t>th</w:t>
      </w:r>
      <w:r w:rsidRPr="00D42F10">
        <w:t xml:space="preserve"> meeting of ASEAN Tourism Ministers</w:t>
      </w:r>
      <w:r w:rsidR="00476CD7">
        <w:t xml:space="preserve"> in January 2014, the </w:t>
      </w:r>
      <w:r w:rsidRPr="00D42F10">
        <w:t xml:space="preserve">Ministers </w:t>
      </w:r>
      <w:r w:rsidR="00476CD7">
        <w:t xml:space="preserve">again </w:t>
      </w:r>
      <w:r w:rsidRPr="00D42F10">
        <w:t>acknowledged AADCPII’s contribution to improvements in the tourism sector.</w:t>
      </w:r>
    </w:p>
    <w:p w:rsidR="00D42F10" w:rsidRPr="00D42F10" w:rsidRDefault="00D42F10" w:rsidP="00D42F10">
      <w:pPr>
        <w:pStyle w:val="ListBullet"/>
        <w:numPr>
          <w:ilvl w:val="0"/>
          <w:numId w:val="0"/>
        </w:numPr>
      </w:pPr>
      <w:r w:rsidRPr="00D42F10">
        <w:t xml:space="preserve">ASEC adopted a number of administrative reform processes </w:t>
      </w:r>
      <w:r w:rsidR="00B73689">
        <w:t>i</w:t>
      </w:r>
      <w:r w:rsidR="00B73689" w:rsidRPr="00D42F10">
        <w:t>n 2013</w:t>
      </w:r>
      <w:r w:rsidR="00B73689">
        <w:t>,</w:t>
      </w:r>
      <w:r w:rsidR="00B73689" w:rsidRPr="00D42F10">
        <w:t xml:space="preserve"> </w:t>
      </w:r>
      <w:r w:rsidRPr="00D42F10">
        <w:t>developed with AADCPII support. These will improve ASEC’s capacity to implement plans for creating an ASEAN Economic Community (AEC) by 2015. For example, International Public Sector Accoun</w:t>
      </w:r>
      <w:r w:rsidR="00A7597E">
        <w:t xml:space="preserve">ting </w:t>
      </w:r>
      <w:r w:rsidR="00A7597E">
        <w:lastRenderedPageBreak/>
        <w:t>Standards were adopted, resulting</w:t>
      </w:r>
      <w:r w:rsidRPr="00D42F10">
        <w:t xml:space="preserve"> in improved financial policies and practices. Standard Operating Procedures for project appraisal, approval and management were adopted. AADCPII supported ASEC i</w:t>
      </w:r>
      <w:r w:rsidR="00EE5AE8">
        <w:t xml:space="preserve">n producing the AIMR (see page </w:t>
      </w:r>
      <w:r w:rsidR="00B86BB7">
        <w:t>2</w:t>
      </w:r>
      <w:r w:rsidRPr="00D42F10">
        <w:t xml:space="preserve">). </w:t>
      </w:r>
      <w:r w:rsidR="00A7597E" w:rsidRPr="00D42F10">
        <w:t xml:space="preserve">A ‘Program Results and Reporting’ adviser </w:t>
      </w:r>
      <w:r w:rsidR="000062BF">
        <w:t>has been</w:t>
      </w:r>
      <w:r w:rsidR="00A7597E" w:rsidRPr="00D42F10">
        <w:t xml:space="preserve"> engaged in 2014 to </w:t>
      </w:r>
      <w:r w:rsidR="00B73689">
        <w:t>help</w:t>
      </w:r>
      <w:r w:rsidR="00A7597E" w:rsidRPr="00D42F10">
        <w:t xml:space="preserve"> </w:t>
      </w:r>
      <w:r w:rsidR="00B73689">
        <w:t>improve</w:t>
      </w:r>
      <w:r w:rsidR="000062BF">
        <w:t xml:space="preserve"> the policy influence of AADCPII-supported products. </w:t>
      </w:r>
    </w:p>
    <w:p w:rsidR="00691345" w:rsidRPr="00D13CEF" w:rsidRDefault="000062BF" w:rsidP="00D42F10">
      <w:pPr>
        <w:pStyle w:val="ListBullet"/>
        <w:numPr>
          <w:ilvl w:val="0"/>
          <w:numId w:val="0"/>
        </w:numPr>
      </w:pPr>
      <w:r>
        <w:t>The s</w:t>
      </w:r>
      <w:r w:rsidR="00D42F10" w:rsidRPr="00D42F10">
        <w:t>uccess</w:t>
      </w:r>
      <w:r>
        <w:t>es of</w:t>
      </w:r>
      <w:r w:rsidRPr="000062BF">
        <w:t xml:space="preserve"> </w:t>
      </w:r>
      <w:r>
        <w:t xml:space="preserve">AADCPII, AESCP and our support to ASEAN’s disaster management efforts </w:t>
      </w:r>
      <w:r w:rsidR="00D42F10" w:rsidRPr="00D42F10">
        <w:t xml:space="preserve">is </w:t>
      </w:r>
      <w:r w:rsidR="003A0880">
        <w:t>underpinned by the</w:t>
      </w:r>
      <w:r w:rsidR="00D42F10" w:rsidRPr="00D42F10">
        <w:t xml:space="preserve"> strength of the partnership established with </w:t>
      </w:r>
      <w:r w:rsidR="003A0880">
        <w:t>ASEC</w:t>
      </w:r>
      <w:r w:rsidR="00D42F10" w:rsidRPr="00D42F10">
        <w:t xml:space="preserve"> and the quality </w:t>
      </w:r>
      <w:r w:rsidR="00EE5AE8">
        <w:t xml:space="preserve">of program management systems. </w:t>
      </w:r>
      <w:r w:rsidR="00D42F10" w:rsidRPr="00D42F10">
        <w:t>The establishment of the Australian Mission to ASEAN (Septem</w:t>
      </w:r>
      <w:r w:rsidR="00DF1020">
        <w:t>ber 2013), providing Ambassador-</w:t>
      </w:r>
      <w:r w:rsidR="00D42F10" w:rsidRPr="00D42F10">
        <w:t>level engagement with the ASEAN Committee of Permanent Representatives (CPR)</w:t>
      </w:r>
      <w:r w:rsidR="00DF1020">
        <w:t>,</w:t>
      </w:r>
      <w:r w:rsidR="00D42F10" w:rsidRPr="00D42F10">
        <w:t xml:space="preserve"> has increased</w:t>
      </w:r>
      <w:r w:rsidR="00476CD7">
        <w:t xml:space="preserve"> the</w:t>
      </w:r>
      <w:r w:rsidR="00D42F10" w:rsidRPr="00D42F10">
        <w:t xml:space="preserve"> profile </w:t>
      </w:r>
      <w:r w:rsidR="00476CD7">
        <w:t>of AADCPII projects</w:t>
      </w:r>
      <w:r w:rsidR="00476CD7" w:rsidRPr="00D42F10">
        <w:t xml:space="preserve"> </w:t>
      </w:r>
      <w:r w:rsidR="00D42F10" w:rsidRPr="00D42F10">
        <w:t xml:space="preserve">and </w:t>
      </w:r>
      <w:r w:rsidR="00476CD7">
        <w:t xml:space="preserve">the </w:t>
      </w:r>
      <w:r w:rsidR="00D42F10" w:rsidRPr="00D42F10">
        <w:t xml:space="preserve">potential for influence. In 2014 we will strengthen our dialogue with </w:t>
      </w:r>
      <w:r w:rsidR="00B73689">
        <w:t>other donors</w:t>
      </w:r>
      <w:r w:rsidR="00D42F10" w:rsidRPr="00D42F10">
        <w:t xml:space="preserve"> to build more coordinated programming and cohesion in messaging</w:t>
      </w:r>
      <w:r w:rsidR="00C23913">
        <w:t>.</w:t>
      </w:r>
    </w:p>
    <w:p w:rsidR="000D733F" w:rsidRPr="001375E3" w:rsidRDefault="000D733F" w:rsidP="000D733F">
      <w:pPr>
        <w:pStyle w:val="Heading3"/>
        <w:rPr>
          <w:rStyle w:val="BodyTextChar"/>
          <w:b w:val="0"/>
          <w:color w:val="auto"/>
        </w:rPr>
      </w:pPr>
      <w:r w:rsidRPr="003C0D1D">
        <w:rPr>
          <w:b w:val="0"/>
          <w:color w:val="007FAD"/>
          <w:sz w:val="28"/>
          <w:szCs w:val="28"/>
          <w:lang w:eastAsia="en-AU"/>
        </w:rPr>
        <w:t>Mutual Obligations</w:t>
      </w:r>
      <w:r w:rsidRPr="009E38C1">
        <w:rPr>
          <w:b w:val="0"/>
          <w:color w:val="007FAD"/>
          <w:sz w:val="32"/>
          <w:szCs w:val="32"/>
          <w:lang w:eastAsia="en-AU"/>
        </w:rPr>
        <w:tab/>
      </w:r>
      <w:r>
        <w:tab/>
      </w:r>
      <w:r>
        <w:tab/>
      </w:r>
      <w:r>
        <w:tab/>
      </w:r>
    </w:p>
    <w:p w:rsidR="00DA7A47" w:rsidRDefault="00DA7A47" w:rsidP="00DA7A47">
      <w:pPr>
        <w:pStyle w:val="ListBullet"/>
        <w:numPr>
          <w:ilvl w:val="0"/>
          <w:numId w:val="0"/>
        </w:numPr>
      </w:pPr>
      <w:r>
        <w:t xml:space="preserve">The East Asia regional strategy was </w:t>
      </w:r>
      <w:r w:rsidR="001F5D1E">
        <w:t>not finalised</w:t>
      </w:r>
      <w:r>
        <w:t xml:space="preserve"> at the </w:t>
      </w:r>
      <w:r w:rsidR="00C65A81">
        <w:t xml:space="preserve">time of reporting. </w:t>
      </w:r>
      <w:r w:rsidR="002770C0">
        <w:t xml:space="preserve">Under the next </w:t>
      </w:r>
      <w:r>
        <w:t xml:space="preserve">strategy (East </w:t>
      </w:r>
      <w:r w:rsidR="00B86BB7">
        <w:t xml:space="preserve">Asia </w:t>
      </w:r>
      <w:r>
        <w:t>Regional Aid Investment Plan)</w:t>
      </w:r>
      <w:r w:rsidR="00131A9A">
        <w:t xml:space="preserve"> specific</w:t>
      </w:r>
      <w:r>
        <w:t xml:space="preserve"> m</w:t>
      </w:r>
      <w:r w:rsidR="00B73689">
        <w:t>utual obligations will</w:t>
      </w:r>
      <w:r>
        <w:t xml:space="preserve"> be considered,</w:t>
      </w:r>
      <w:r w:rsidR="00131A9A">
        <w:t xml:space="preserve"> drawing on the commitments of each partner under existing Memoranda of Understanding</w:t>
      </w:r>
      <w:r w:rsidR="00B86BB7">
        <w:t xml:space="preserve"> (MOU)</w:t>
      </w:r>
      <w:r>
        <w:t xml:space="preserve">. </w:t>
      </w:r>
      <w:r w:rsidR="00131A9A" w:rsidRPr="00B86BB7">
        <w:t>For example</w:t>
      </w:r>
      <w:r w:rsidR="000062BF" w:rsidRPr="00B86BB7">
        <w:t xml:space="preserve"> </w:t>
      </w:r>
      <w:r w:rsidR="00B86BB7" w:rsidRPr="00B86BB7">
        <w:t xml:space="preserve">the </w:t>
      </w:r>
      <w:r w:rsidR="00B86BB7">
        <w:t xml:space="preserve">MoU for AADCPII, </w:t>
      </w:r>
      <w:r w:rsidR="000062BF" w:rsidRPr="00B86BB7">
        <w:t xml:space="preserve">the Commitment Agreements between ASEC and </w:t>
      </w:r>
      <w:r w:rsidR="00B86BB7">
        <w:t>DFAT</w:t>
      </w:r>
      <w:r w:rsidR="000062BF" w:rsidRPr="00B86BB7">
        <w:t xml:space="preserve"> for AESCP and disaster management</w:t>
      </w:r>
      <w:r w:rsidR="00B86BB7" w:rsidRPr="00B86BB7">
        <w:t>, and AAPTIP’s Memoranda of Agreement with each national partner.</w:t>
      </w:r>
    </w:p>
    <w:p w:rsidR="000D733F" w:rsidRPr="00A47E01" w:rsidRDefault="00160650" w:rsidP="00A47E01">
      <w:pPr>
        <w:pStyle w:val="ListBullet"/>
        <w:numPr>
          <w:ilvl w:val="0"/>
          <w:numId w:val="0"/>
        </w:numPr>
        <w:rPr>
          <w:rStyle w:val="BodyTextChar"/>
        </w:rPr>
      </w:pPr>
      <w:r>
        <w:t xml:space="preserve">Further information about the </w:t>
      </w:r>
      <w:r w:rsidR="00F14AC2">
        <w:t>performance of our partners</w:t>
      </w:r>
      <w:r>
        <w:t xml:space="preserve"> is discussed on </w:t>
      </w:r>
      <w:r w:rsidR="00A21476" w:rsidRPr="00782315">
        <w:t xml:space="preserve">page </w:t>
      </w:r>
      <w:r w:rsidR="00C65A81">
        <w:t>13</w:t>
      </w:r>
      <w:r w:rsidR="00A47E01">
        <w:t>.</w:t>
      </w:r>
      <w:r w:rsidR="000D733F">
        <w:tab/>
      </w:r>
    </w:p>
    <w:p w:rsidR="000D733F" w:rsidRDefault="000D733F" w:rsidP="000D733F">
      <w:pPr>
        <w:pStyle w:val="Heading3"/>
        <w:rPr>
          <w:rStyle w:val="BodyTextChar"/>
          <w:b w:val="0"/>
          <w:color w:val="auto"/>
        </w:rPr>
      </w:pPr>
      <w:r w:rsidRPr="009E38C1">
        <w:rPr>
          <w:b w:val="0"/>
          <w:color w:val="007FAD"/>
          <w:sz w:val="28"/>
          <w:szCs w:val="28"/>
          <w:lang w:eastAsia="en-AU"/>
        </w:rPr>
        <w:t>Program Quality and Management</w:t>
      </w:r>
      <w:r w:rsidRPr="009E38C1">
        <w:rPr>
          <w:sz w:val="28"/>
          <w:szCs w:val="28"/>
        </w:rPr>
        <w:t xml:space="preserve"> </w:t>
      </w:r>
      <w:r w:rsidRPr="009E38C1">
        <w:rPr>
          <w:sz w:val="28"/>
          <w:szCs w:val="28"/>
        </w:rPr>
        <w:tab/>
      </w:r>
      <w:r>
        <w:tab/>
      </w:r>
    </w:p>
    <w:p w:rsidR="0010008C" w:rsidRPr="00CD1D85" w:rsidRDefault="00C86B54" w:rsidP="00CD1D85">
      <w:pPr>
        <w:pStyle w:val="BodyText"/>
        <w:rPr>
          <w:lang w:eastAsia="zh-CN"/>
        </w:rPr>
      </w:pPr>
      <w:r>
        <w:rPr>
          <w:lang w:eastAsia="zh-CN"/>
        </w:rPr>
        <w:t>T</w:t>
      </w:r>
      <w:r w:rsidR="00CD1D85">
        <w:rPr>
          <w:lang w:eastAsia="zh-CN"/>
        </w:rPr>
        <w:t xml:space="preserve">he PAF </w:t>
      </w:r>
      <w:r>
        <w:rPr>
          <w:lang w:eastAsia="zh-CN"/>
        </w:rPr>
        <w:t>was</w:t>
      </w:r>
      <w:r w:rsidR="00CD1D85">
        <w:rPr>
          <w:lang w:eastAsia="zh-CN"/>
        </w:rPr>
        <w:t xml:space="preserve"> use</w:t>
      </w:r>
      <w:r>
        <w:rPr>
          <w:lang w:eastAsia="zh-CN"/>
        </w:rPr>
        <w:t>d</w:t>
      </w:r>
      <w:r w:rsidR="00CD1D85">
        <w:rPr>
          <w:lang w:eastAsia="zh-CN"/>
        </w:rPr>
        <w:t xml:space="preserve"> to </w:t>
      </w:r>
      <w:r w:rsidR="0088112E">
        <w:rPr>
          <w:lang w:eastAsia="zh-CN"/>
        </w:rPr>
        <w:t xml:space="preserve">assess progress </w:t>
      </w:r>
      <w:r>
        <w:rPr>
          <w:lang w:eastAsia="zh-CN"/>
        </w:rPr>
        <w:t>for</w:t>
      </w:r>
      <w:r w:rsidR="0088112E">
        <w:rPr>
          <w:lang w:eastAsia="zh-CN"/>
        </w:rPr>
        <w:t xml:space="preserve"> this</w:t>
      </w:r>
      <w:r w:rsidR="00CD1D85">
        <w:rPr>
          <w:lang w:eastAsia="zh-CN"/>
        </w:rPr>
        <w:t xml:space="preserve"> APPR.</w:t>
      </w:r>
      <w:r w:rsidR="001F5D1E">
        <w:rPr>
          <w:lang w:eastAsia="zh-CN"/>
        </w:rPr>
        <w:t xml:space="preserve"> </w:t>
      </w:r>
      <w:r w:rsidR="003A0880">
        <w:rPr>
          <w:lang w:eastAsia="zh-CN"/>
        </w:rPr>
        <w:t>However</w:t>
      </w:r>
      <w:r w:rsidR="00F604D3">
        <w:rPr>
          <w:lang w:eastAsia="zh-CN"/>
        </w:rPr>
        <w:t>,</w:t>
      </w:r>
      <w:r w:rsidR="003A0880">
        <w:rPr>
          <w:lang w:eastAsia="zh-CN"/>
        </w:rPr>
        <w:t xml:space="preserve"> t</w:t>
      </w:r>
      <w:r w:rsidR="00E55405">
        <w:rPr>
          <w:lang w:eastAsia="zh-CN"/>
        </w:rPr>
        <w:t>he quality of M&amp;E at initiative level</w:t>
      </w:r>
      <w:r w:rsidR="003A0880">
        <w:rPr>
          <w:lang w:eastAsia="zh-CN"/>
        </w:rPr>
        <w:t xml:space="preserve"> (which informs the PAF)</w:t>
      </w:r>
      <w:r w:rsidR="00E55405">
        <w:rPr>
          <w:lang w:eastAsia="zh-CN"/>
        </w:rPr>
        <w:t xml:space="preserve"> is mixed (see below analysis of QAI reports</w:t>
      </w:r>
      <w:r w:rsidR="003A0880">
        <w:rPr>
          <w:lang w:eastAsia="zh-CN"/>
        </w:rPr>
        <w:t>)</w:t>
      </w:r>
      <w:r w:rsidR="00E55405">
        <w:rPr>
          <w:lang w:eastAsia="zh-CN"/>
        </w:rPr>
        <w:t xml:space="preserve">. </w:t>
      </w:r>
      <w:r w:rsidR="00D70BA2">
        <w:rPr>
          <w:lang w:eastAsia="zh-CN"/>
        </w:rPr>
        <w:t>The previous AP</w:t>
      </w:r>
      <w:r w:rsidR="00DF48F1">
        <w:rPr>
          <w:lang w:eastAsia="zh-CN"/>
        </w:rPr>
        <w:t>PR note</w:t>
      </w:r>
      <w:r w:rsidR="0057571B">
        <w:rPr>
          <w:lang w:eastAsia="zh-CN"/>
        </w:rPr>
        <w:t>d</w:t>
      </w:r>
      <w:r w:rsidR="00DF48F1">
        <w:rPr>
          <w:lang w:eastAsia="zh-CN"/>
        </w:rPr>
        <w:t xml:space="preserve"> t</w:t>
      </w:r>
      <w:r w:rsidR="0010008C" w:rsidRPr="00F732DE">
        <w:rPr>
          <w:lang w:eastAsia="zh-CN"/>
        </w:rPr>
        <w:t xml:space="preserve">wo evaluations </w:t>
      </w:r>
      <w:r w:rsidR="00DF48F1">
        <w:rPr>
          <w:lang w:eastAsia="zh-CN"/>
        </w:rPr>
        <w:t>planned for 2013–14 (</w:t>
      </w:r>
      <w:r w:rsidR="0010008C" w:rsidRPr="00F732DE">
        <w:rPr>
          <w:lang w:eastAsia="zh-CN"/>
        </w:rPr>
        <w:t>for AECSP and for Project Childhood</w:t>
      </w:r>
      <w:r w:rsidR="00DF48F1">
        <w:rPr>
          <w:lang w:eastAsia="zh-CN"/>
        </w:rPr>
        <w:t xml:space="preserve">), though more were </w:t>
      </w:r>
      <w:r w:rsidR="00B0754A">
        <w:rPr>
          <w:lang w:eastAsia="zh-CN"/>
        </w:rPr>
        <w:t>undertaken</w:t>
      </w:r>
      <w:r w:rsidR="0010008C" w:rsidRPr="00F732DE">
        <w:rPr>
          <w:lang w:eastAsia="zh-CN"/>
        </w:rPr>
        <w:t xml:space="preserve"> </w:t>
      </w:r>
      <w:r w:rsidR="00B0754A">
        <w:rPr>
          <w:lang w:eastAsia="zh-CN"/>
        </w:rPr>
        <w:t>(see Annex C for completed evaluations and forward pipeline). Recommendations from all evaluations are being acted on.</w:t>
      </w:r>
    </w:p>
    <w:p w:rsidR="000D733F" w:rsidRPr="00180B19" w:rsidRDefault="000D733F" w:rsidP="000D733F">
      <w:pPr>
        <w:pStyle w:val="Heading3"/>
      </w:pPr>
      <w:r>
        <w:t xml:space="preserve">Analysis of </w:t>
      </w:r>
      <w:r w:rsidRPr="00180B19">
        <w:t xml:space="preserve">Quality at Implementation </w:t>
      </w:r>
      <w:r>
        <w:t xml:space="preserve">Reports </w:t>
      </w:r>
    </w:p>
    <w:p w:rsidR="00D42F10" w:rsidRDefault="00D42F10" w:rsidP="00D42F10">
      <w:pPr>
        <w:pStyle w:val="BodyText"/>
      </w:pPr>
      <w:r w:rsidRPr="00956BF0">
        <w:rPr>
          <w:b/>
        </w:rPr>
        <w:t>Relevance:</w:t>
      </w:r>
      <w:r w:rsidR="001F5D1E">
        <w:t xml:space="preserve"> </w:t>
      </w:r>
      <w:r w:rsidR="00D52B34">
        <w:t>As in previous years, r</w:t>
      </w:r>
      <w:r>
        <w:t>elevance is the highest scoring categor</w:t>
      </w:r>
      <w:r w:rsidR="00D52B34">
        <w:t>y in 2013–14. A</w:t>
      </w:r>
      <w:r w:rsidR="00693D63">
        <w:t>ll but one initiative</w:t>
      </w:r>
      <w:r w:rsidR="00D52B34">
        <w:t xml:space="preserve"> score</w:t>
      </w:r>
      <w:r>
        <w:t xml:space="preserve"> at le</w:t>
      </w:r>
      <w:r w:rsidR="00D52B34">
        <w:t>ast a 5. T</w:t>
      </w:r>
      <w:r>
        <w:t xml:space="preserve">he economic development initiatives (ASEAN and APEC) scored the highest rating of 6, recognising </w:t>
      </w:r>
      <w:r w:rsidR="003A0880">
        <w:t>their</w:t>
      </w:r>
      <w:r>
        <w:t xml:space="preserve"> alignment with the government’s economic diplomacy and aid-for-trade focu</w:t>
      </w:r>
      <w:r w:rsidR="00693D63">
        <w:t>s. Project Childhood</w:t>
      </w:r>
      <w:r>
        <w:t xml:space="preserve"> </w:t>
      </w:r>
      <w:r w:rsidR="00693D63">
        <w:t xml:space="preserve">scored 4 (as it did last year) </w:t>
      </w:r>
      <w:r>
        <w:t xml:space="preserve">because </w:t>
      </w:r>
      <w:r w:rsidR="00693D63">
        <w:t>it</w:t>
      </w:r>
      <w:r w:rsidR="00D52B34">
        <w:t xml:space="preserve"> </w:t>
      </w:r>
      <w:r w:rsidR="00693D63">
        <w:t xml:space="preserve">has </w:t>
      </w:r>
      <w:r w:rsidR="003A0880">
        <w:t xml:space="preserve">not </w:t>
      </w:r>
      <w:r w:rsidR="00D52B34">
        <w:t>been</w:t>
      </w:r>
      <w:r w:rsidR="003A0880">
        <w:t xml:space="preserve"> the most appropriate</w:t>
      </w:r>
      <w:r>
        <w:t xml:space="preserve"> modality to efficiently deliver on the objectives</w:t>
      </w:r>
      <w:r w:rsidR="00D52B34">
        <w:rPr>
          <w:rStyle w:val="FootnoteReference"/>
        </w:rPr>
        <w:footnoteReference w:id="31"/>
      </w:r>
      <w:r>
        <w:t>.</w:t>
      </w:r>
      <w:r w:rsidR="00693D63">
        <w:t xml:space="preserve"> </w:t>
      </w:r>
    </w:p>
    <w:p w:rsidR="00D42F10" w:rsidRPr="001C2E95" w:rsidRDefault="00D42F10" w:rsidP="00D42F10">
      <w:pPr>
        <w:pStyle w:val="BodyText"/>
      </w:pPr>
      <w:r w:rsidRPr="006E5C21">
        <w:rPr>
          <w:b/>
        </w:rPr>
        <w:t>Effectiveness:</w:t>
      </w:r>
      <w:r>
        <w:t xml:space="preserve"> Over 80 percent of initiatives are satisfactory (rated 4 or above) </w:t>
      </w:r>
      <w:r w:rsidR="007C4AB2">
        <w:t>and</w:t>
      </w:r>
      <w:r>
        <w:t xml:space="preserve"> achieving results expected during 2013–14. These initiatives account </w:t>
      </w:r>
      <w:r w:rsidR="00AF209E" w:rsidRPr="00AF209E">
        <w:t>for over 90 per cent</w:t>
      </w:r>
      <w:r w:rsidRPr="00AF209E">
        <w:t xml:space="preserve"> of expenditure.</w:t>
      </w:r>
      <w:r>
        <w:t xml:space="preserve"> Three initiatives rated a 5 (good quality) representing approximately a quarter of the initiatives and </w:t>
      </w:r>
      <w:r w:rsidR="00AF209E" w:rsidRPr="00AF209E">
        <w:t>one third</w:t>
      </w:r>
      <w:r w:rsidRPr="00AF209E">
        <w:t xml:space="preserve"> of expenditure</w:t>
      </w:r>
      <w:r>
        <w:t xml:space="preserve">. </w:t>
      </w:r>
      <w:r w:rsidR="001C15AA">
        <w:t>ILO</w:t>
      </w:r>
      <w:r>
        <w:t xml:space="preserve"> TRIANGLE scored well (5) for the second time in two years. AADCPII and STANDZ both improved, up </w:t>
      </w:r>
      <w:r w:rsidR="007C4AB2">
        <w:t xml:space="preserve">to a 5 </w:t>
      </w:r>
      <w:r>
        <w:t>from a 4 the previous year.</w:t>
      </w:r>
      <w:r w:rsidRPr="001C2E95">
        <w:t xml:space="preserve"> </w:t>
      </w:r>
      <w:r>
        <w:t xml:space="preserve">The fourth Annual Review of </w:t>
      </w:r>
      <w:r w:rsidRPr="001C2E95">
        <w:t xml:space="preserve">AADCP II </w:t>
      </w:r>
      <w:r>
        <w:t xml:space="preserve">was very positive, </w:t>
      </w:r>
      <w:r w:rsidR="007B6FF1">
        <w:t>finding it</w:t>
      </w:r>
      <w:r>
        <w:t xml:space="preserve"> </w:t>
      </w:r>
      <w:r w:rsidRPr="001C2E95">
        <w:t xml:space="preserve">on track to achieve intended outcomes as set out </w:t>
      </w:r>
      <w:r>
        <w:t>in the</w:t>
      </w:r>
      <w:r w:rsidRPr="001C2E95">
        <w:t xml:space="preserve"> </w:t>
      </w:r>
      <w:r w:rsidR="007C4AB2">
        <w:t>PAF</w:t>
      </w:r>
      <w:r w:rsidRPr="001C2E95">
        <w:t>.</w:t>
      </w:r>
      <w:r>
        <w:t xml:space="preserve"> STANDZ also achieved all its performance targets, making greater progress in 2013–14 towards meeting all its end-of-program outcomes. Two initiatives</w:t>
      </w:r>
      <w:r w:rsidR="007B6FF1" w:rsidRPr="007B6FF1">
        <w:t xml:space="preserve"> </w:t>
      </w:r>
      <w:r w:rsidR="007B6FF1">
        <w:t>were unsatisfactory</w:t>
      </w:r>
      <w:r>
        <w:t>—Project Childhood and GMS</w:t>
      </w:r>
      <w:r w:rsidR="007B6FF1">
        <w:t>TTF</w:t>
      </w:r>
      <w:r>
        <w:t xml:space="preserve">. Rated </w:t>
      </w:r>
      <w:r w:rsidR="001C15AA">
        <w:t>unsatisfactory</w:t>
      </w:r>
      <w:r>
        <w:t xml:space="preserve"> for the third consecutive </w:t>
      </w:r>
      <w:r>
        <w:lastRenderedPageBreak/>
        <w:t>year, and following critical independent evaluation findings (November 2013), Project Childhood was subject to remedial action during 2013–14 to narrow its scope until c</w:t>
      </w:r>
      <w:r w:rsidR="007B6FF1">
        <w:t>ompletion in June 2014. GMSTTF</w:t>
      </w:r>
      <w:r>
        <w:t xml:space="preserve">, implemented by the ADB, also rated a 3 for effectiveness with initial findings from the mid-term review (February 2014) finding many, if not most, of the activities and expected outputs yet to be achieved. DFAT drafted a remediation plan for the initiative and is working closely with the new ADB </w:t>
      </w:r>
      <w:r w:rsidR="00874457">
        <w:t>management</w:t>
      </w:r>
      <w:r>
        <w:t xml:space="preserve"> to ensure the </w:t>
      </w:r>
      <w:r w:rsidR="007B6FF1">
        <w:t>review</w:t>
      </w:r>
      <w:r>
        <w:t xml:space="preserve"> recommendations are implemented; confident that this will increase effectiveness. </w:t>
      </w:r>
    </w:p>
    <w:p w:rsidR="00D42F10" w:rsidRDefault="00D42F10" w:rsidP="00D42F10">
      <w:pPr>
        <w:pStyle w:val="BodyText"/>
      </w:pPr>
      <w:r w:rsidRPr="006E5C21">
        <w:rPr>
          <w:b/>
        </w:rPr>
        <w:t>Efficiency:</w:t>
      </w:r>
      <w:r>
        <w:t xml:space="preserve"> Most initiatives </w:t>
      </w:r>
      <w:r w:rsidR="00ED49B6">
        <w:t xml:space="preserve">(75 per cent) </w:t>
      </w:r>
      <w:r>
        <w:t xml:space="preserve">rate as adequate quality for efficiency—the use of Australia and other partners’ time and resources </w:t>
      </w:r>
      <w:r w:rsidR="00B416FB">
        <w:t>towards achieving outcomes. Five</w:t>
      </w:r>
      <w:r>
        <w:t xml:space="preserve"> initiatives changed rating from the previous year. HAARP and STANDZ improved from 3 to 4 </w:t>
      </w:r>
      <w:r w:rsidR="007C4AB2">
        <w:t>after</w:t>
      </w:r>
      <w:r>
        <w:t xml:space="preserve"> action</w:t>
      </w:r>
      <w:r w:rsidR="007C4AB2">
        <w:t>s</w:t>
      </w:r>
      <w:r>
        <w:t xml:space="preserve"> taken to fix issues raised previously (STANDZ), and demonstrated improvements in program management efficiency (HAARP).</w:t>
      </w:r>
      <w:r w:rsidR="001F5D1E">
        <w:t xml:space="preserve"> </w:t>
      </w:r>
      <w:r w:rsidR="00B416FB">
        <w:t xml:space="preserve">APEC Secretariat support increased its efficiency score from 4 to 5 as it continues to track well against its budget and is proving good value for money. </w:t>
      </w:r>
      <w:r>
        <w:t xml:space="preserve">The two </w:t>
      </w:r>
      <w:r w:rsidR="00B416FB">
        <w:t>initiatives with decreased efficiency scores</w:t>
      </w:r>
      <w:r>
        <w:t xml:space="preserve"> also rated less than adequate quality for effectiveness this year.</w:t>
      </w:r>
      <w:r w:rsidR="001F5D1E">
        <w:t xml:space="preserve"> </w:t>
      </w:r>
      <w:r>
        <w:t>Project Childhood</w:t>
      </w:r>
      <w:r w:rsidR="00B416FB">
        <w:t>’s rating</w:t>
      </w:r>
      <w:r>
        <w:t xml:space="preserve"> </w:t>
      </w:r>
      <w:r w:rsidR="00B416FB">
        <w:t>fell</w:t>
      </w:r>
      <w:r>
        <w:t xml:space="preserve"> from 4 to 3 due to implementation delays and a high management burden for DFAT. </w:t>
      </w:r>
      <w:r w:rsidR="007C4AB2">
        <w:t xml:space="preserve">The </w:t>
      </w:r>
      <w:r w:rsidR="007B6FF1">
        <w:t xml:space="preserve">GMSTTF </w:t>
      </w:r>
      <w:r>
        <w:t xml:space="preserve">rating decreased from 4 to 2 due to the adverse findings of the mid-term review. During 2013–14 DFAT invested time and resources into improving </w:t>
      </w:r>
      <w:r w:rsidR="00E3286E">
        <w:t>GMSTTF</w:t>
      </w:r>
      <w:r>
        <w:t xml:space="preserve">, given its potential </w:t>
      </w:r>
      <w:r w:rsidR="00E3286E">
        <w:t>contribution to</w:t>
      </w:r>
      <w:r>
        <w:t xml:space="preserve"> </w:t>
      </w:r>
      <w:r w:rsidR="00E3286E">
        <w:t>aid-for-trade objectives</w:t>
      </w:r>
      <w:r>
        <w:t xml:space="preserve"> and w</w:t>
      </w:r>
      <w:r w:rsidR="00F732DE">
        <w:t xml:space="preserve">ith improvement under </w:t>
      </w:r>
      <w:r w:rsidR="001650DE">
        <w:t xml:space="preserve">new ADB </w:t>
      </w:r>
      <w:r w:rsidR="00F732DE">
        <w:t>management arrangements</w:t>
      </w:r>
      <w:r>
        <w:t>.</w:t>
      </w:r>
    </w:p>
    <w:p w:rsidR="00D42F10" w:rsidRPr="002D1CAA" w:rsidRDefault="00D42F10" w:rsidP="00D42F10">
      <w:pPr>
        <w:pStyle w:val="BodyText"/>
        <w:rPr>
          <w:szCs w:val="22"/>
        </w:rPr>
      </w:pPr>
      <w:r w:rsidRPr="006E5C21">
        <w:rPr>
          <w:b/>
        </w:rPr>
        <w:t>Monitoring and Evaluation:</w:t>
      </w:r>
      <w:r>
        <w:t xml:space="preserve"> </w:t>
      </w:r>
      <w:r w:rsidR="001558C5">
        <w:t>Ratings for M&amp;E are unsatisfactory in</w:t>
      </w:r>
      <w:r w:rsidR="00134B3A">
        <w:t xml:space="preserve"> 41 per cent of the initiatives</w:t>
      </w:r>
      <w:r w:rsidR="00F604D3">
        <w:t>—</w:t>
      </w:r>
      <w:r w:rsidR="00134B3A">
        <w:t xml:space="preserve">a slight improvement on </w:t>
      </w:r>
      <w:r w:rsidR="00EE3ED5">
        <w:t>last year</w:t>
      </w:r>
      <w:r w:rsidR="00134B3A">
        <w:t xml:space="preserve"> </w:t>
      </w:r>
      <w:r w:rsidR="00F604D3">
        <w:t>(</w:t>
      </w:r>
      <w:r w:rsidR="00134B3A">
        <w:t>44 per</w:t>
      </w:r>
      <w:r w:rsidR="004C07F3">
        <w:t xml:space="preserve"> </w:t>
      </w:r>
      <w:r w:rsidR="00F604D3">
        <w:t>cent)</w:t>
      </w:r>
      <w:r w:rsidR="00134B3A">
        <w:t>.</w:t>
      </w:r>
      <w:r w:rsidR="001558C5">
        <w:rPr>
          <w:szCs w:val="22"/>
        </w:rPr>
        <w:t xml:space="preserve"> </w:t>
      </w:r>
      <w:r w:rsidR="006F31B3">
        <w:t>Four initiatives sho</w:t>
      </w:r>
      <w:r w:rsidR="007B6FF1">
        <w:t xml:space="preserve">wed improvement in M&amp;E 2013–14. </w:t>
      </w:r>
      <w:r w:rsidR="00F604D3">
        <w:t>Two of the health programs</w:t>
      </w:r>
      <w:r w:rsidRPr="002D1CAA">
        <w:t xml:space="preserve"> improved their scores this year (HAARP and STANDZ) to a satisfactory level</w:t>
      </w:r>
      <w:r>
        <w:t xml:space="preserve"> (4)</w:t>
      </w:r>
      <w:r w:rsidRPr="002D1CAA">
        <w:t xml:space="preserve">. </w:t>
      </w:r>
      <w:r w:rsidR="00277A64">
        <w:rPr>
          <w:szCs w:val="22"/>
        </w:rPr>
        <w:t>Similarly, t</w:t>
      </w:r>
      <w:r w:rsidR="006F31B3">
        <w:rPr>
          <w:szCs w:val="22"/>
        </w:rPr>
        <w:t xml:space="preserve">he </w:t>
      </w:r>
      <w:r w:rsidRPr="002D1CAA">
        <w:rPr>
          <w:szCs w:val="22"/>
        </w:rPr>
        <w:t>APEC Support</w:t>
      </w:r>
      <w:r w:rsidRPr="005F6863">
        <w:rPr>
          <w:szCs w:val="22"/>
        </w:rPr>
        <w:t xml:space="preserve"> </w:t>
      </w:r>
      <w:r>
        <w:rPr>
          <w:szCs w:val="22"/>
        </w:rPr>
        <w:t>initiative’s M&amp;E</w:t>
      </w:r>
      <w:r w:rsidR="00DF5A87">
        <w:rPr>
          <w:szCs w:val="22"/>
        </w:rPr>
        <w:t xml:space="preserve"> is now at</w:t>
      </w:r>
      <w:r w:rsidRPr="002D1CAA">
        <w:rPr>
          <w:szCs w:val="22"/>
        </w:rPr>
        <w:t xml:space="preserve"> a satisfactory standard</w:t>
      </w:r>
      <w:r w:rsidR="006F31B3">
        <w:rPr>
          <w:szCs w:val="22"/>
        </w:rPr>
        <w:t>—upgraded to a 4</w:t>
      </w:r>
      <w:r w:rsidR="00DF5A87">
        <w:rPr>
          <w:szCs w:val="22"/>
        </w:rPr>
        <w:t xml:space="preserve"> due to improvement</w:t>
      </w:r>
      <w:r w:rsidR="00EE3ED5">
        <w:rPr>
          <w:szCs w:val="22"/>
        </w:rPr>
        <w:t>s</w:t>
      </w:r>
      <w:r w:rsidR="00DF5A87">
        <w:rPr>
          <w:szCs w:val="22"/>
        </w:rPr>
        <w:t xml:space="preserve"> in the Secretariat’s M&amp;E systems and the introduction of a new M&amp;E</w:t>
      </w:r>
      <w:r>
        <w:rPr>
          <w:szCs w:val="22"/>
        </w:rPr>
        <w:t xml:space="preserve"> framework</w:t>
      </w:r>
      <w:r w:rsidR="00DF5A87">
        <w:rPr>
          <w:szCs w:val="22"/>
        </w:rPr>
        <w:t xml:space="preserve"> in 2013.</w:t>
      </w:r>
      <w:r>
        <w:rPr>
          <w:szCs w:val="22"/>
        </w:rPr>
        <w:t xml:space="preserve"> </w:t>
      </w:r>
      <w:r w:rsidR="00DF5A87">
        <w:rPr>
          <w:szCs w:val="22"/>
        </w:rPr>
        <w:t xml:space="preserve">Further work will be needed in 2014 to maintain this rating though. AADCPII also improved its rating to a 5 this year as it implemented annual review recommendations to improve M&amp;E, and the AADCPII PAF began to generate useful information. </w:t>
      </w:r>
      <w:r w:rsidR="00277A64">
        <w:rPr>
          <w:szCs w:val="22"/>
        </w:rPr>
        <w:t xml:space="preserve">TRIANGLE and Project Childhood both downgraded to a 3 as their M&amp;E remains too focused on output level results. </w:t>
      </w:r>
      <w:r w:rsidR="00B210D6">
        <w:rPr>
          <w:szCs w:val="22"/>
        </w:rPr>
        <w:t>It will be challenging for these initiatives to report</w:t>
      </w:r>
      <w:r w:rsidR="00277A64">
        <w:rPr>
          <w:szCs w:val="22"/>
        </w:rPr>
        <w:t xml:space="preserve"> final outcomes and impact when the</w:t>
      </w:r>
      <w:r w:rsidR="00B210D6">
        <w:rPr>
          <w:szCs w:val="22"/>
        </w:rPr>
        <w:t>y</w:t>
      </w:r>
      <w:r w:rsidR="00277A64">
        <w:rPr>
          <w:szCs w:val="22"/>
        </w:rPr>
        <w:t xml:space="preserve"> finish </w:t>
      </w:r>
      <w:r w:rsidR="00134B3A">
        <w:rPr>
          <w:szCs w:val="22"/>
        </w:rPr>
        <w:t>during 2014</w:t>
      </w:r>
      <w:r w:rsidR="00277A64">
        <w:rPr>
          <w:szCs w:val="22"/>
        </w:rPr>
        <w:t>. PREV</w:t>
      </w:r>
      <w:r w:rsidR="00134B3A">
        <w:rPr>
          <w:szCs w:val="22"/>
        </w:rPr>
        <w:t>ENT’s M&amp;E is also highly output</w:t>
      </w:r>
      <w:r w:rsidR="00277A64">
        <w:rPr>
          <w:szCs w:val="22"/>
        </w:rPr>
        <w:t xml:space="preserve"> focused </w:t>
      </w:r>
      <w:r w:rsidR="00B210D6">
        <w:rPr>
          <w:szCs w:val="22"/>
        </w:rPr>
        <w:t>and it fell to a 3 this year</w:t>
      </w:r>
      <w:r w:rsidR="00277A64">
        <w:rPr>
          <w:szCs w:val="22"/>
        </w:rPr>
        <w:t xml:space="preserve">. </w:t>
      </w:r>
      <w:r w:rsidR="007B6FF1">
        <w:rPr>
          <w:szCs w:val="22"/>
        </w:rPr>
        <w:t xml:space="preserve">GMSTTF’s </w:t>
      </w:r>
      <w:r>
        <w:rPr>
          <w:szCs w:val="22"/>
        </w:rPr>
        <w:t>M&amp;E rating is poor (2) for a second consecutive year</w:t>
      </w:r>
      <w:r w:rsidRPr="002D1CAA">
        <w:rPr>
          <w:szCs w:val="22"/>
        </w:rPr>
        <w:t>, a</w:t>
      </w:r>
      <w:r>
        <w:rPr>
          <w:szCs w:val="22"/>
        </w:rPr>
        <w:t>nd remedial action is underway to revise the M&amp;E framework and program logic.</w:t>
      </w:r>
    </w:p>
    <w:p w:rsidR="00D42F10" w:rsidRDefault="00D42F10" w:rsidP="00D42F10">
      <w:pPr>
        <w:pStyle w:val="BodyText"/>
      </w:pPr>
      <w:r>
        <w:rPr>
          <w:b/>
        </w:rPr>
        <w:t xml:space="preserve">Sustainability: </w:t>
      </w:r>
      <w:r w:rsidRPr="002D1CAA">
        <w:t xml:space="preserve">Sustainability rates well for all </w:t>
      </w:r>
      <w:r w:rsidR="0057571B">
        <w:t>objectives. This is consistent with the previous year</w:t>
      </w:r>
      <w:r>
        <w:t xml:space="preserve"> (also overwhelmingly 4s)</w:t>
      </w:r>
      <w:r w:rsidRPr="002D1CAA">
        <w:t>, with only</w:t>
      </w:r>
      <w:r>
        <w:t xml:space="preserve"> two initiatives losing ground—</w:t>
      </w:r>
      <w:r w:rsidRPr="002D1CAA">
        <w:t>Project Childhood</w:t>
      </w:r>
      <w:r w:rsidR="001558C5">
        <w:t xml:space="preserve"> </w:t>
      </w:r>
      <w:r w:rsidR="0057571B">
        <w:t>dropped from 4 to 2</w:t>
      </w:r>
      <w:r w:rsidRPr="002D1CAA">
        <w:t xml:space="preserve">, and STANDZ </w:t>
      </w:r>
      <w:r w:rsidR="0057571B">
        <w:t>from 4 to 3</w:t>
      </w:r>
      <w:r>
        <w:t xml:space="preserve"> </w:t>
      </w:r>
      <w:r w:rsidR="0057571B">
        <w:t>(</w:t>
      </w:r>
      <w:r w:rsidRPr="002D1CAA">
        <w:t xml:space="preserve">on the basis </w:t>
      </w:r>
      <w:r>
        <w:t>of low financial sustainability</w:t>
      </w:r>
      <w:r w:rsidR="0057571B">
        <w:t>)</w:t>
      </w:r>
      <w:r w:rsidRPr="002D1CAA">
        <w:t>.</w:t>
      </w:r>
      <w:r>
        <w:t xml:space="preserve"> </w:t>
      </w:r>
      <w:r w:rsidR="00B210D6">
        <w:t xml:space="preserve">AAPTIP </w:t>
      </w:r>
      <w:r w:rsidR="00AE57B9">
        <w:t>ha</w:t>
      </w:r>
      <w:r w:rsidR="00B210D6">
        <w:t xml:space="preserve">s the only </w:t>
      </w:r>
      <w:r>
        <w:t xml:space="preserve">5 </w:t>
      </w:r>
      <w:r w:rsidR="00B210D6">
        <w:t xml:space="preserve">rating, </w:t>
      </w:r>
      <w:r>
        <w:t xml:space="preserve">given the potential for sustainability built into </w:t>
      </w:r>
      <w:r w:rsidR="00B210D6">
        <w:t>its design</w:t>
      </w:r>
      <w:r>
        <w:t>.</w:t>
      </w:r>
    </w:p>
    <w:p w:rsidR="00691345" w:rsidRPr="001F1C4D" w:rsidRDefault="00D42F10" w:rsidP="00D42F10">
      <w:pPr>
        <w:pStyle w:val="ListBullet"/>
        <w:numPr>
          <w:ilvl w:val="0"/>
          <w:numId w:val="0"/>
        </w:numPr>
        <w:tabs>
          <w:tab w:val="clear" w:pos="284"/>
        </w:tabs>
        <w:rPr>
          <w:szCs w:val="22"/>
        </w:rPr>
      </w:pPr>
      <w:r w:rsidRPr="00D26C27">
        <w:rPr>
          <w:b/>
        </w:rPr>
        <w:t>Gender:</w:t>
      </w:r>
      <w:r>
        <w:t xml:space="preserve"> </w:t>
      </w:r>
      <w:r w:rsidRPr="002D1CAA">
        <w:rPr>
          <w:szCs w:val="22"/>
        </w:rPr>
        <w:t>By their nature and design it is easier for health and human security initiatives to achieve higher ratings for gender equality</w:t>
      </w:r>
      <w:r>
        <w:rPr>
          <w:szCs w:val="22"/>
        </w:rPr>
        <w:t>, and this is the case for 2013–</w:t>
      </w:r>
      <w:r w:rsidRPr="002D1CAA">
        <w:rPr>
          <w:szCs w:val="22"/>
        </w:rPr>
        <w:t>14. However</w:t>
      </w:r>
      <w:r w:rsidR="00F604D3">
        <w:rPr>
          <w:szCs w:val="22"/>
        </w:rPr>
        <w:t>,</w:t>
      </w:r>
      <w:r w:rsidRPr="002D1CAA">
        <w:rPr>
          <w:szCs w:val="22"/>
        </w:rPr>
        <w:t xml:space="preserve"> there </w:t>
      </w:r>
      <w:r w:rsidR="00185E71">
        <w:rPr>
          <w:szCs w:val="22"/>
        </w:rPr>
        <w:t>are no ratings above a 4</w:t>
      </w:r>
      <w:r w:rsidR="00AB1699">
        <w:rPr>
          <w:szCs w:val="22"/>
        </w:rPr>
        <w:t>, except for the AMNEP</w:t>
      </w:r>
      <w:r w:rsidR="003B2EEB">
        <w:rPr>
          <w:szCs w:val="22"/>
        </w:rPr>
        <w:t xml:space="preserve"> which scored 5 (though in its first year such a score </w:t>
      </w:r>
      <w:r w:rsidR="00F604D3">
        <w:rPr>
          <w:szCs w:val="22"/>
        </w:rPr>
        <w:t>reflects its gender-responsive design rather than achievement of</w:t>
      </w:r>
      <w:r w:rsidR="003B2EEB">
        <w:rPr>
          <w:szCs w:val="22"/>
        </w:rPr>
        <w:t xml:space="preserve"> outcomes)</w:t>
      </w:r>
      <w:r w:rsidR="00185E71">
        <w:rPr>
          <w:szCs w:val="22"/>
        </w:rPr>
        <w:t>. T</w:t>
      </w:r>
      <w:r w:rsidR="00B210D6">
        <w:rPr>
          <w:szCs w:val="22"/>
        </w:rPr>
        <w:t xml:space="preserve">here </w:t>
      </w:r>
      <w:r w:rsidR="00185E71">
        <w:rPr>
          <w:szCs w:val="22"/>
        </w:rPr>
        <w:t xml:space="preserve">are two decreased </w:t>
      </w:r>
      <w:r w:rsidRPr="002D1CAA">
        <w:rPr>
          <w:szCs w:val="22"/>
        </w:rPr>
        <w:t>ratings this year</w:t>
      </w:r>
      <w:r w:rsidR="00185E71">
        <w:rPr>
          <w:szCs w:val="22"/>
        </w:rPr>
        <w:t xml:space="preserve"> (HAARP, TRIANGLE)</w:t>
      </w:r>
      <w:r w:rsidR="00AE57B9">
        <w:rPr>
          <w:szCs w:val="22"/>
        </w:rPr>
        <w:t xml:space="preserve"> </w:t>
      </w:r>
      <w:r w:rsidRPr="002D1CAA">
        <w:rPr>
          <w:szCs w:val="22"/>
        </w:rPr>
        <w:t xml:space="preserve">due to unrealised potential or plans </w:t>
      </w:r>
      <w:r w:rsidR="00185E71">
        <w:rPr>
          <w:szCs w:val="22"/>
        </w:rPr>
        <w:t>that will now struggle to bear fruit with these initiatives ending soon</w:t>
      </w:r>
      <w:r w:rsidR="007B6FF1">
        <w:rPr>
          <w:szCs w:val="22"/>
        </w:rPr>
        <w:t xml:space="preserve">. </w:t>
      </w:r>
      <w:r w:rsidR="00B210D6">
        <w:rPr>
          <w:szCs w:val="22"/>
        </w:rPr>
        <w:t>STANDZ</w:t>
      </w:r>
      <w:r w:rsidRPr="002D1CAA">
        <w:rPr>
          <w:szCs w:val="22"/>
        </w:rPr>
        <w:t xml:space="preserve"> increased </w:t>
      </w:r>
      <w:r w:rsidR="00B210D6">
        <w:rPr>
          <w:szCs w:val="22"/>
        </w:rPr>
        <w:t>its</w:t>
      </w:r>
      <w:r w:rsidRPr="002D1CAA">
        <w:rPr>
          <w:szCs w:val="22"/>
        </w:rPr>
        <w:t xml:space="preserve"> rating this year</w:t>
      </w:r>
      <w:r>
        <w:rPr>
          <w:szCs w:val="22"/>
        </w:rPr>
        <w:t>—</w:t>
      </w:r>
      <w:r w:rsidR="00B210D6">
        <w:rPr>
          <w:szCs w:val="22"/>
        </w:rPr>
        <w:t>to</w:t>
      </w:r>
      <w:r>
        <w:rPr>
          <w:szCs w:val="22"/>
        </w:rPr>
        <w:t xml:space="preserve"> </w:t>
      </w:r>
      <w:r w:rsidR="00B210D6">
        <w:rPr>
          <w:szCs w:val="22"/>
        </w:rPr>
        <w:t>a 4</w:t>
      </w:r>
      <w:r>
        <w:rPr>
          <w:szCs w:val="22"/>
        </w:rPr>
        <w:t xml:space="preserve"> with evidence of implementation of gender sensitive programming and sex-disaggregated monitoring.</w:t>
      </w:r>
      <w:r w:rsidR="00640544">
        <w:rPr>
          <w:szCs w:val="22"/>
        </w:rPr>
        <w:t xml:space="preserve">. </w:t>
      </w:r>
      <w:r w:rsidRPr="002D1CAA">
        <w:rPr>
          <w:szCs w:val="22"/>
        </w:rPr>
        <w:t xml:space="preserve">With the exception of the APEC Secretariat support (which maintains its rating of 4), all other initiatives under Objectives 1 and </w:t>
      </w:r>
      <w:r>
        <w:rPr>
          <w:szCs w:val="22"/>
        </w:rPr>
        <w:t>3 rate poorly again during 2013–</w:t>
      </w:r>
      <w:r w:rsidR="007B6FF1">
        <w:rPr>
          <w:szCs w:val="22"/>
        </w:rPr>
        <w:t xml:space="preserve">14 </w:t>
      </w:r>
      <w:r w:rsidR="007B6FF1">
        <w:rPr>
          <w:szCs w:val="22"/>
        </w:rPr>
        <w:lastRenderedPageBreak/>
        <w:t xml:space="preserve">(rating 3). </w:t>
      </w:r>
      <w:r w:rsidRPr="002D1CAA">
        <w:rPr>
          <w:szCs w:val="22"/>
        </w:rPr>
        <w:t xml:space="preserve">However, during the second half of 2014 </w:t>
      </w:r>
      <w:r w:rsidR="007B6FF1">
        <w:rPr>
          <w:szCs w:val="22"/>
        </w:rPr>
        <w:t>we</w:t>
      </w:r>
      <w:r w:rsidRPr="002D1CAA">
        <w:rPr>
          <w:szCs w:val="22"/>
        </w:rPr>
        <w:t xml:space="preserve"> will contract a study on how ASEAN economic integration can better address gender equality and how the Australia</w:t>
      </w:r>
      <w:r w:rsidR="000062BF">
        <w:rPr>
          <w:szCs w:val="22"/>
        </w:rPr>
        <w:t>n economic development programs</w:t>
      </w:r>
      <w:r w:rsidRPr="002D1CAA">
        <w:rPr>
          <w:szCs w:val="22"/>
        </w:rPr>
        <w:t xml:space="preserve"> can best support this.</w:t>
      </w:r>
      <w:r w:rsidR="001F5D1E">
        <w:rPr>
          <w:szCs w:val="22"/>
        </w:rPr>
        <w:t xml:space="preserve"> </w:t>
      </w:r>
      <w:r w:rsidR="00640544">
        <w:rPr>
          <w:szCs w:val="22"/>
        </w:rPr>
        <w:t>Implementing the</w:t>
      </w:r>
      <w:r w:rsidRPr="002D1CAA">
        <w:rPr>
          <w:szCs w:val="22"/>
        </w:rPr>
        <w:t xml:space="preserve"> opportunities </w:t>
      </w:r>
      <w:r w:rsidR="001F1C4D">
        <w:rPr>
          <w:szCs w:val="22"/>
        </w:rPr>
        <w:t xml:space="preserve">identified by this study </w:t>
      </w:r>
      <w:r w:rsidRPr="002D1CAA">
        <w:rPr>
          <w:szCs w:val="22"/>
        </w:rPr>
        <w:t>may see ratings for gender improve in the medium to longer term</w:t>
      </w:r>
      <w:r w:rsidR="00185E71">
        <w:rPr>
          <w:szCs w:val="22"/>
        </w:rPr>
        <w:t>.</w:t>
      </w:r>
      <w:r w:rsidR="00B8671B">
        <w:rPr>
          <w:szCs w:val="22"/>
        </w:rPr>
        <w:t xml:space="preserve"> The 2014 gender analysis of the GMS TTF project has identified ways to improve its gender rating.</w:t>
      </w:r>
      <w:r w:rsidR="00AB7149">
        <w:rPr>
          <w:szCs w:val="22"/>
        </w:rPr>
        <w:t xml:space="preserve"> </w:t>
      </w:r>
    </w:p>
    <w:p w:rsidR="000D733F" w:rsidRDefault="000D733F" w:rsidP="000D733F">
      <w:pPr>
        <w:pStyle w:val="Heading3"/>
      </w:pPr>
      <w:r>
        <w:t xml:space="preserve">Performance </w:t>
      </w:r>
      <w:r w:rsidR="004F4630">
        <w:t>of key delivery partners</w:t>
      </w:r>
    </w:p>
    <w:p w:rsidR="005051AA" w:rsidRDefault="005051AA" w:rsidP="00C10061">
      <w:pPr>
        <w:pStyle w:val="BodyText"/>
        <w:rPr>
          <w:rFonts w:eastAsiaTheme="minorHAnsi" w:cstheme="minorBidi"/>
          <w:iCs/>
          <w:lang w:eastAsia="en-US"/>
        </w:rPr>
      </w:pPr>
      <w:r>
        <w:rPr>
          <w:rFonts w:eastAsiaTheme="minorHAnsi" w:cstheme="minorBidi"/>
          <w:iCs/>
          <w:lang w:eastAsia="en-US"/>
        </w:rPr>
        <w:t xml:space="preserve">Australia delivers the regional program in partnership with regional organisations and selected multilateral partners. </w:t>
      </w:r>
    </w:p>
    <w:p w:rsidR="00C10061" w:rsidRDefault="00994E93" w:rsidP="00C10061">
      <w:pPr>
        <w:pStyle w:val="BodyText"/>
        <w:rPr>
          <w:rFonts w:eastAsiaTheme="minorHAnsi" w:cstheme="minorBidi"/>
          <w:iCs/>
          <w:lang w:eastAsia="en-US"/>
        </w:rPr>
      </w:pPr>
      <w:r>
        <w:rPr>
          <w:rFonts w:eastAsiaTheme="minorHAnsi" w:cstheme="minorBidi"/>
          <w:iCs/>
          <w:lang w:eastAsia="en-US"/>
        </w:rPr>
        <w:t>The capacity of our k</w:t>
      </w:r>
      <w:r w:rsidR="00C10061">
        <w:rPr>
          <w:rFonts w:eastAsiaTheme="minorHAnsi" w:cstheme="minorBidi"/>
          <w:iCs/>
          <w:lang w:eastAsia="en-US"/>
        </w:rPr>
        <w:t>ey</w:t>
      </w:r>
      <w:r w:rsidR="00C10061" w:rsidRPr="001617B4">
        <w:rPr>
          <w:rFonts w:eastAsiaTheme="minorHAnsi" w:cstheme="minorBidi"/>
          <w:iCs/>
          <w:lang w:eastAsia="en-US"/>
        </w:rPr>
        <w:t xml:space="preserve"> </w:t>
      </w:r>
      <w:r w:rsidR="001F5D1E">
        <w:rPr>
          <w:rFonts w:eastAsiaTheme="minorHAnsi" w:cstheme="minorBidi"/>
          <w:iCs/>
          <w:lang w:eastAsia="en-US"/>
        </w:rPr>
        <w:t>regional</w:t>
      </w:r>
      <w:r w:rsidR="00C10061">
        <w:rPr>
          <w:rFonts w:eastAsiaTheme="minorHAnsi" w:cstheme="minorBidi"/>
          <w:iCs/>
          <w:lang w:eastAsia="en-US"/>
        </w:rPr>
        <w:t xml:space="preserve"> </w:t>
      </w:r>
      <w:r>
        <w:rPr>
          <w:rFonts w:eastAsiaTheme="minorHAnsi" w:cstheme="minorBidi"/>
          <w:iCs/>
          <w:lang w:eastAsia="en-US"/>
        </w:rPr>
        <w:t>counterparts—</w:t>
      </w:r>
      <w:r w:rsidR="00C10061" w:rsidRPr="00F36FC1">
        <w:rPr>
          <w:rFonts w:eastAsiaTheme="minorHAnsi" w:cstheme="minorBidi"/>
          <w:iCs/>
          <w:lang w:eastAsia="en-US"/>
        </w:rPr>
        <w:t>ASE</w:t>
      </w:r>
      <w:r w:rsidR="00F14AC2">
        <w:rPr>
          <w:rFonts w:eastAsiaTheme="minorHAnsi" w:cstheme="minorBidi"/>
          <w:iCs/>
          <w:lang w:eastAsia="en-US"/>
        </w:rPr>
        <w:t>AN</w:t>
      </w:r>
      <w:r>
        <w:rPr>
          <w:rFonts w:eastAsiaTheme="minorHAnsi" w:cstheme="minorBidi"/>
          <w:iCs/>
          <w:lang w:eastAsia="en-US"/>
        </w:rPr>
        <w:t xml:space="preserve">, the </w:t>
      </w:r>
      <w:r w:rsidR="00F97D22">
        <w:rPr>
          <w:rFonts w:eastAsiaTheme="minorHAnsi" w:cstheme="minorBidi"/>
          <w:iCs/>
          <w:lang w:eastAsia="en-US"/>
        </w:rPr>
        <w:t>EAS</w:t>
      </w:r>
      <w:r>
        <w:rPr>
          <w:rFonts w:eastAsiaTheme="minorHAnsi" w:cstheme="minorBidi"/>
          <w:iCs/>
          <w:lang w:eastAsia="en-US"/>
        </w:rPr>
        <w:t xml:space="preserve"> and</w:t>
      </w:r>
      <w:r w:rsidR="00C10061" w:rsidRPr="00F36FC1">
        <w:rPr>
          <w:rFonts w:eastAsiaTheme="minorHAnsi" w:cstheme="minorBidi"/>
          <w:iCs/>
          <w:lang w:eastAsia="en-US"/>
        </w:rPr>
        <w:t xml:space="preserve"> APEC</w:t>
      </w:r>
      <w:r>
        <w:rPr>
          <w:rFonts w:eastAsiaTheme="minorHAnsi" w:cstheme="minorBidi"/>
          <w:iCs/>
          <w:lang w:eastAsia="en-US"/>
        </w:rPr>
        <w:t>—</w:t>
      </w:r>
      <w:r w:rsidR="00C10061">
        <w:rPr>
          <w:rFonts w:eastAsiaTheme="minorHAnsi" w:cstheme="minorBidi"/>
          <w:iCs/>
          <w:lang w:eastAsia="en-US"/>
        </w:rPr>
        <w:t xml:space="preserve"> is limited, but improving with support from Australia and other donors</w:t>
      </w:r>
      <w:r w:rsidR="00F47305">
        <w:rPr>
          <w:rFonts w:eastAsiaTheme="minorHAnsi" w:cstheme="minorBidi"/>
          <w:iCs/>
          <w:lang w:eastAsia="en-US"/>
        </w:rPr>
        <w:t xml:space="preserve"> (see pages </w:t>
      </w:r>
      <w:r w:rsidR="00A21476" w:rsidRPr="00782315">
        <w:rPr>
          <w:rFonts w:eastAsiaTheme="minorHAnsi" w:cstheme="minorBidi"/>
          <w:iCs/>
          <w:lang w:eastAsia="en-US"/>
        </w:rPr>
        <w:t>1</w:t>
      </w:r>
      <w:r w:rsidR="00894774">
        <w:rPr>
          <w:rFonts w:eastAsiaTheme="minorHAnsi" w:cstheme="minorBidi"/>
          <w:iCs/>
          <w:lang w:eastAsia="en-US"/>
        </w:rPr>
        <w:t>0</w:t>
      </w:r>
      <w:r w:rsidR="00A21476" w:rsidRPr="00782315">
        <w:rPr>
          <w:rFonts w:eastAsiaTheme="minorHAnsi" w:cstheme="minorBidi"/>
          <w:iCs/>
          <w:lang w:eastAsia="en-US"/>
        </w:rPr>
        <w:t>-1</w:t>
      </w:r>
      <w:r w:rsidR="00894774">
        <w:rPr>
          <w:rFonts w:eastAsiaTheme="minorHAnsi" w:cstheme="minorBidi"/>
          <w:iCs/>
          <w:lang w:eastAsia="en-US"/>
        </w:rPr>
        <w:t>1</w:t>
      </w:r>
      <w:r w:rsidR="00F47305">
        <w:rPr>
          <w:rFonts w:eastAsiaTheme="minorHAnsi" w:cstheme="minorBidi"/>
          <w:iCs/>
          <w:lang w:eastAsia="en-US"/>
        </w:rPr>
        <w:t>)</w:t>
      </w:r>
      <w:r w:rsidR="00C10061">
        <w:rPr>
          <w:rFonts w:eastAsiaTheme="minorHAnsi" w:cstheme="minorBidi"/>
          <w:iCs/>
          <w:lang w:eastAsia="en-US"/>
        </w:rPr>
        <w:t>.</w:t>
      </w:r>
    </w:p>
    <w:p w:rsidR="00160650" w:rsidRDefault="00160650" w:rsidP="00160650">
      <w:pPr>
        <w:pStyle w:val="BodyText"/>
      </w:pPr>
      <w:r>
        <w:t>Quality</w:t>
      </w:r>
      <w:r w:rsidRPr="00227657">
        <w:t xml:space="preserve"> engagement </w:t>
      </w:r>
      <w:r w:rsidR="00F97D22" w:rsidRPr="00227657">
        <w:t xml:space="preserve">on </w:t>
      </w:r>
      <w:r w:rsidR="00F97D22">
        <w:t xml:space="preserve">regional </w:t>
      </w:r>
      <w:r w:rsidR="00F97D22" w:rsidRPr="00227657">
        <w:t xml:space="preserve">development issues </w:t>
      </w:r>
      <w:r w:rsidRPr="00227657">
        <w:t xml:space="preserve">with partner governments and officials </w:t>
      </w:r>
      <w:r>
        <w:t>occurs</w:t>
      </w:r>
      <w:r w:rsidRPr="00227657">
        <w:t xml:space="preserve"> through</w:t>
      </w:r>
      <w:r w:rsidR="00633621">
        <w:t>, for example</w:t>
      </w:r>
      <w:r w:rsidR="000F4D6C">
        <w:t>:</w:t>
      </w:r>
      <w:r w:rsidRPr="00227657">
        <w:t xml:space="preserve"> the ASEAN Australia Joint Cooperation Commi</w:t>
      </w:r>
      <w:r w:rsidR="000F4D6C">
        <w:t>ttee</w:t>
      </w:r>
      <w:r w:rsidR="00F97D22">
        <w:t xml:space="preserve"> (JCC)</w:t>
      </w:r>
      <w:r w:rsidR="000F4D6C">
        <w:t xml:space="preserve">; </w:t>
      </w:r>
      <w:r w:rsidR="00B14488">
        <w:t xml:space="preserve">ASEAN-Australia-New Zealand FTA Joint Committee; </w:t>
      </w:r>
      <w:r w:rsidR="000F4D6C">
        <w:t>ASEAN Australia Forum; several APEC working groups, committees, ministerial meetings and the Leaders’ Summit;</w:t>
      </w:r>
      <w:r w:rsidRPr="00227657">
        <w:t xml:space="preserve"> and the </w:t>
      </w:r>
      <w:r w:rsidR="00F97D22">
        <w:t>EAS</w:t>
      </w:r>
      <w:r w:rsidRPr="00227657">
        <w:t>.</w:t>
      </w:r>
      <w:r>
        <w:t xml:space="preserve"> </w:t>
      </w:r>
      <w:r w:rsidRPr="00227657">
        <w:t xml:space="preserve">The </w:t>
      </w:r>
      <w:r w:rsidR="00F97D22">
        <w:t>JCC</w:t>
      </w:r>
      <w:r w:rsidR="00633621">
        <w:t>—comprising</w:t>
      </w:r>
      <w:r w:rsidRPr="00227657">
        <w:t xml:space="preserve"> senior </w:t>
      </w:r>
      <w:r w:rsidR="00AB2608">
        <w:t xml:space="preserve">DFAT </w:t>
      </w:r>
      <w:r w:rsidR="00633621">
        <w:t>representatives</w:t>
      </w:r>
      <w:r w:rsidRPr="00227657">
        <w:t xml:space="preserve">, </w:t>
      </w:r>
      <w:r>
        <w:t xml:space="preserve">the </w:t>
      </w:r>
      <w:r w:rsidR="00F97D22">
        <w:t>ASEC</w:t>
      </w:r>
      <w:r w:rsidRPr="00991C77" w:rsidDel="00991C77">
        <w:t xml:space="preserve"> </w:t>
      </w:r>
      <w:r w:rsidRPr="00227657">
        <w:t>and the Committee of Perm</w:t>
      </w:r>
      <w:r w:rsidR="00633621">
        <w:t>anent Representatives to ASEAN—</w:t>
      </w:r>
      <w:r w:rsidRPr="00227657">
        <w:t>facilitat</w:t>
      </w:r>
      <w:r>
        <w:t xml:space="preserve">es </w:t>
      </w:r>
      <w:r w:rsidRPr="00227657">
        <w:t xml:space="preserve">high-level </w:t>
      </w:r>
      <w:r w:rsidR="00F97D22">
        <w:t xml:space="preserve">future-looking </w:t>
      </w:r>
      <w:r w:rsidRPr="00227657">
        <w:t>dialogue</w:t>
      </w:r>
      <w:r w:rsidR="00633621">
        <w:t>, and</w:t>
      </w:r>
      <w:r>
        <w:t xml:space="preserve"> </w:t>
      </w:r>
      <w:r w:rsidRPr="00227657">
        <w:t xml:space="preserve">has </w:t>
      </w:r>
      <w:r w:rsidR="00633621">
        <w:t>helped</w:t>
      </w:r>
      <w:r w:rsidRPr="00227657">
        <w:t xml:space="preserve"> </w:t>
      </w:r>
      <w:r w:rsidR="00633621">
        <w:t>raise</w:t>
      </w:r>
      <w:r w:rsidRPr="00227657">
        <w:t xml:space="preserve"> awareness of Australia’s aid program</w:t>
      </w:r>
      <w:r>
        <w:t xml:space="preserve"> in</w:t>
      </w:r>
      <w:r w:rsidRPr="00227657">
        <w:t xml:space="preserve"> the region.</w:t>
      </w:r>
      <w:r>
        <w:t xml:space="preserve"> </w:t>
      </w:r>
    </w:p>
    <w:p w:rsidR="00160650" w:rsidRDefault="00F97D22" w:rsidP="00160650">
      <w:pPr>
        <w:pStyle w:val="BodyText"/>
      </w:pPr>
      <w:r>
        <w:t>The long</w:t>
      </w:r>
      <w:r w:rsidR="00160650" w:rsidRPr="00227657">
        <w:t xml:space="preserve"> term initiative</w:t>
      </w:r>
      <w:r w:rsidR="00AB2608">
        <w:t xml:space="preserve">s </w:t>
      </w:r>
      <w:r>
        <w:t>with</w:t>
      </w:r>
      <w:r w:rsidR="00AB2608">
        <w:t xml:space="preserve"> APEC and ASEAN involve</w:t>
      </w:r>
      <w:r w:rsidR="00160650" w:rsidRPr="00227657">
        <w:t xml:space="preserve"> </w:t>
      </w:r>
      <w:r w:rsidR="00160650">
        <w:t>several</w:t>
      </w:r>
      <w:r w:rsidR="00160650" w:rsidRPr="00227657">
        <w:t xml:space="preserve"> </w:t>
      </w:r>
      <w:r w:rsidR="00160650">
        <w:t>whole-of-government</w:t>
      </w:r>
      <w:r w:rsidR="00160650" w:rsidRPr="00227657">
        <w:t xml:space="preserve"> partners</w:t>
      </w:r>
      <w:r w:rsidR="00160650">
        <w:t xml:space="preserve"> interest</w:t>
      </w:r>
      <w:r>
        <w:t>ed</w:t>
      </w:r>
      <w:r w:rsidR="00160650">
        <w:t xml:space="preserve"> in </w:t>
      </w:r>
      <w:r w:rsidR="00160650" w:rsidRPr="00227657">
        <w:t>promoting economic integration and trade liberalisation</w:t>
      </w:r>
      <w:r>
        <w:rPr>
          <w:rStyle w:val="FootnoteReference"/>
        </w:rPr>
        <w:footnoteReference w:id="32"/>
      </w:r>
      <w:r w:rsidR="00AB2608">
        <w:t>.</w:t>
      </w:r>
      <w:r w:rsidR="00160650" w:rsidRPr="00227657">
        <w:t xml:space="preserve"> </w:t>
      </w:r>
      <w:r>
        <w:t>In 2013–14 DFAT’s</w:t>
      </w:r>
      <w:r w:rsidR="009D384B">
        <w:t xml:space="preserve"> Government Partnerships for Development and the Public Sector Linkages Program provided $2.37</w:t>
      </w:r>
      <w:r w:rsidR="00160650">
        <w:t xml:space="preserve"> </w:t>
      </w:r>
      <w:r w:rsidR="009D384B">
        <w:t xml:space="preserve">million </w:t>
      </w:r>
      <w:r w:rsidR="00160650" w:rsidRPr="00227657">
        <w:t xml:space="preserve">to government and university partners for </w:t>
      </w:r>
      <w:r w:rsidRPr="00227657">
        <w:t xml:space="preserve">priority </w:t>
      </w:r>
      <w:r w:rsidR="00160650" w:rsidRPr="00227657">
        <w:t>development activities.</w:t>
      </w:r>
      <w:r w:rsidR="000F4D6C">
        <w:t xml:space="preserve"> </w:t>
      </w:r>
      <w:r>
        <w:t>These</w:t>
      </w:r>
      <w:r w:rsidR="00160650">
        <w:t xml:space="preserve"> activities help</w:t>
      </w:r>
      <w:r>
        <w:t>ed</w:t>
      </w:r>
      <w:r w:rsidR="00160650">
        <w:t xml:space="preserve"> build relationships between Australia and partner governments</w:t>
      </w:r>
      <w:r w:rsidR="00AB2608">
        <w:t xml:space="preserve">. </w:t>
      </w:r>
      <w:r w:rsidR="00134B3A">
        <w:t>S</w:t>
      </w:r>
      <w:r w:rsidR="00160650">
        <w:t xml:space="preserve">trengthened relationships </w:t>
      </w:r>
      <w:r>
        <w:t>are</w:t>
      </w:r>
      <w:r w:rsidR="004A1B40">
        <w:t xml:space="preserve"> critical</w:t>
      </w:r>
      <w:r w:rsidR="00160650">
        <w:t xml:space="preserve"> platform</w:t>
      </w:r>
      <w:r w:rsidR="004A1B40">
        <w:t>s</w:t>
      </w:r>
      <w:r w:rsidR="00160650">
        <w:t xml:space="preserve"> for wider development and foreign policy dialogue</w:t>
      </w:r>
      <w:r w:rsidR="00AB2608">
        <w:rPr>
          <w:rStyle w:val="FootnoteReference"/>
        </w:rPr>
        <w:footnoteReference w:id="33"/>
      </w:r>
      <w:r w:rsidR="00160650">
        <w:t xml:space="preserve">. </w:t>
      </w:r>
    </w:p>
    <w:p w:rsidR="00F732DE" w:rsidRDefault="00F732DE" w:rsidP="00F732DE">
      <w:pPr>
        <w:pStyle w:val="ListBullet"/>
        <w:numPr>
          <w:ilvl w:val="0"/>
          <w:numId w:val="0"/>
        </w:numPr>
      </w:pPr>
      <w:r>
        <w:t>AMNEP</w:t>
      </w:r>
      <w:r w:rsidR="00E1419A">
        <w:t xml:space="preserve"> </w:t>
      </w:r>
      <w:r>
        <w:t>made strong progress in its first year.</w:t>
      </w:r>
      <w:r w:rsidR="001F5D1E">
        <w:t xml:space="preserve"> </w:t>
      </w:r>
      <w:r>
        <w:t xml:space="preserve">It strengthened processes to select effective </w:t>
      </w:r>
      <w:r w:rsidR="00F97D22">
        <w:t xml:space="preserve">civil society </w:t>
      </w:r>
      <w:r>
        <w:t>partners, manage risk, engage on regional issues</w:t>
      </w:r>
      <w:r w:rsidR="00E1419A">
        <w:t>,</w:t>
      </w:r>
      <w:r>
        <w:t xml:space="preserve"> and </w:t>
      </w:r>
      <w:r w:rsidR="00C86B54">
        <w:t>provide</w:t>
      </w:r>
      <w:r>
        <w:t xml:space="preserve"> advice</w:t>
      </w:r>
      <w:r w:rsidR="00F97D22">
        <w:rPr>
          <w:rStyle w:val="FootnoteReference"/>
        </w:rPr>
        <w:footnoteReference w:id="34"/>
      </w:r>
      <w:r w:rsidR="00E1419A">
        <w:t>.</w:t>
      </w:r>
      <w:r w:rsidR="001F5D1E">
        <w:t xml:space="preserve"> </w:t>
      </w:r>
    </w:p>
    <w:p w:rsidR="00160650" w:rsidRPr="0019212E" w:rsidRDefault="00B9093E" w:rsidP="00160650">
      <w:pPr>
        <w:pStyle w:val="ListBullet"/>
        <w:numPr>
          <w:ilvl w:val="0"/>
          <w:numId w:val="0"/>
        </w:numPr>
        <w:rPr>
          <w:b/>
          <w:color w:val="124486"/>
          <w:kern w:val="28"/>
          <w:lang w:eastAsia="zh-CN"/>
        </w:rPr>
      </w:pPr>
      <w:r w:rsidRPr="00C96429">
        <w:t xml:space="preserve">The ILO has been an effective partner on the TRIANGLE project, and worked cooperatively with DFAT to manage risks and minimise impacts </w:t>
      </w:r>
      <w:r w:rsidR="00F97D22">
        <w:t>of</w:t>
      </w:r>
      <w:r w:rsidRPr="00C96429">
        <w:t xml:space="preserve"> the </w:t>
      </w:r>
      <w:r w:rsidR="001C15AA" w:rsidRPr="00C96429">
        <w:t>reduction in funding to</w:t>
      </w:r>
      <w:r w:rsidR="002642D2" w:rsidRPr="00C96429">
        <w:t xml:space="preserve"> the project</w:t>
      </w:r>
      <w:r w:rsidRPr="00C96429">
        <w:t>.</w:t>
      </w:r>
    </w:p>
    <w:p w:rsidR="00160650" w:rsidRDefault="00F604D3" w:rsidP="00160650">
      <w:pPr>
        <w:pStyle w:val="BodyText"/>
      </w:pPr>
      <w:r>
        <w:t>O</w:t>
      </w:r>
      <w:r w:rsidR="00160650">
        <w:t xml:space="preserve">ur health initiatives provide an opportunity for close engagement with regional partners and with the US. </w:t>
      </w:r>
      <w:r w:rsidR="00F14AC2">
        <w:t xml:space="preserve">Through PREVENT </w:t>
      </w:r>
      <w:r w:rsidR="00160650">
        <w:t>Australia benefits from USAID’s experience and expertise and USAID has been responsive to our contributions to the project such as improvements in monitoring and reporting, including in relation to gender.</w:t>
      </w:r>
      <w:r w:rsidR="00160650" w:rsidRPr="00B149E0">
        <w:t xml:space="preserve"> </w:t>
      </w:r>
      <w:r w:rsidR="00160650">
        <w:t>The World Organization for Animal Health</w:t>
      </w:r>
      <w:r w:rsidR="00F14AC2">
        <w:t xml:space="preserve"> is</w:t>
      </w:r>
      <w:r w:rsidR="00160650">
        <w:t xml:space="preserve"> a valued implementing partner of STANDZ</w:t>
      </w:r>
      <w:r w:rsidR="00F14AC2">
        <w:t>,</w:t>
      </w:r>
      <w:r w:rsidR="00160650">
        <w:t xml:space="preserve"> working closely with DFAT and the Department of Agriculture. During 2013–14 STANDZ effectively leveraged additional and complementary donor support from New Zealand and Japan, the FAO, and a planne</w:t>
      </w:r>
      <w:r w:rsidR="009D384B">
        <w:t xml:space="preserve">d research project with ACIAR. </w:t>
      </w:r>
      <w:r w:rsidR="00160650">
        <w:t>STANDZ also increased south-south cooperation in veterinary human resource development, continuing its successful university twinning programs between Laos-Thailand and the Philippines.</w:t>
      </w:r>
    </w:p>
    <w:p w:rsidR="00C65A81" w:rsidRPr="005023D9" w:rsidRDefault="00B9093E" w:rsidP="004C02E7">
      <w:pPr>
        <w:pStyle w:val="BodyText"/>
      </w:pPr>
      <w:r w:rsidRPr="00B9093E">
        <w:lastRenderedPageBreak/>
        <w:t xml:space="preserve">Our partnership with the ADB on the </w:t>
      </w:r>
      <w:r w:rsidR="00E1419A">
        <w:t>G</w:t>
      </w:r>
      <w:r w:rsidRPr="00B9093E">
        <w:t>M</w:t>
      </w:r>
      <w:r w:rsidR="00E1419A">
        <w:t>S</w:t>
      </w:r>
      <w:r w:rsidRPr="00B9093E">
        <w:t>TTF has required significant effort and management ac</w:t>
      </w:r>
      <w:r w:rsidR="000F5658">
        <w:t xml:space="preserve">tion over the period (see </w:t>
      </w:r>
      <w:r w:rsidR="00894774">
        <w:t>page 6</w:t>
      </w:r>
      <w:r w:rsidRPr="00B9093E">
        <w:t>) to rectify a range of concerns</w:t>
      </w:r>
      <w:r w:rsidR="00E1419A">
        <w:t xml:space="preserve"> around monitoring of activities and alignment with the broader ASEAN context.</w:t>
      </w:r>
      <w:r w:rsidRPr="00B9093E">
        <w:t xml:space="preserve"> </w:t>
      </w:r>
      <w:r w:rsidR="00E1419A" w:rsidRPr="00E1419A">
        <w:t>In response to our concerns, the ADB has put in place</w:t>
      </w:r>
      <w:r w:rsidRPr="00B9093E">
        <w:t xml:space="preserve"> more</w:t>
      </w:r>
      <w:r w:rsidR="00874457">
        <w:t xml:space="preserve"> effective</w:t>
      </w:r>
      <w:r w:rsidRPr="00B9093E">
        <w:t xml:space="preserve"> senior level engagement to help improve </w:t>
      </w:r>
      <w:r w:rsidR="00874457">
        <w:t>results-based</w:t>
      </w:r>
      <w:r w:rsidRPr="00B9093E">
        <w:t xml:space="preserve"> managemen</w:t>
      </w:r>
      <w:r w:rsidR="00874457">
        <w:t>t</w:t>
      </w:r>
      <w:r w:rsidRPr="00B9093E">
        <w:t xml:space="preserve">. </w:t>
      </w:r>
    </w:p>
    <w:p w:rsidR="000D733F" w:rsidRDefault="000D733F" w:rsidP="000D733F">
      <w:pPr>
        <w:pStyle w:val="Heading3"/>
      </w:pPr>
      <w:r>
        <w:t>Risks</w:t>
      </w:r>
    </w:p>
    <w:p w:rsidR="000D733F" w:rsidRDefault="000D733F" w:rsidP="000D733F">
      <w:pPr>
        <w:pStyle w:val="Caption"/>
      </w:pPr>
      <w:r>
        <w:t>Table 3 Management of key risks to achieving objectives</w:t>
      </w:r>
    </w:p>
    <w:tbl>
      <w:tblPr>
        <w:tblStyle w:val="APPR"/>
        <w:tblW w:w="5000" w:type="pct"/>
        <w:tblLook w:val="0600" w:firstRow="0" w:lastRow="0" w:firstColumn="0" w:lastColumn="0" w:noHBand="1" w:noVBand="1"/>
      </w:tblPr>
      <w:tblGrid>
        <w:gridCol w:w="2529"/>
        <w:gridCol w:w="3082"/>
        <w:gridCol w:w="3166"/>
      </w:tblGrid>
      <w:tr w:rsidR="000D733F" w:rsidRPr="00180B19" w:rsidTr="00F604D3">
        <w:tc>
          <w:tcPr>
            <w:tcW w:w="2487" w:type="dxa"/>
            <w:hideMark/>
          </w:tcPr>
          <w:p w:rsidR="000D733F" w:rsidRPr="005023D9" w:rsidRDefault="000D733F" w:rsidP="000D733F">
            <w:pPr>
              <w:pStyle w:val="TableTextColumnHeading"/>
            </w:pPr>
            <w:r w:rsidRPr="005023D9">
              <w:t>Key risks</w:t>
            </w:r>
          </w:p>
        </w:tc>
        <w:tc>
          <w:tcPr>
            <w:tcW w:w="3054" w:type="dxa"/>
          </w:tcPr>
          <w:p w:rsidR="000D733F" w:rsidRPr="005023D9" w:rsidRDefault="000D733F" w:rsidP="000D733F">
            <w:pPr>
              <w:pStyle w:val="TableTextColumnHeading"/>
            </w:pPr>
            <w:r w:rsidRPr="005023D9">
              <w:t>What actions were taken to manage the risks over the past year</w:t>
            </w:r>
            <w:r w:rsidR="001D7E98">
              <w:t>?</w:t>
            </w:r>
          </w:p>
        </w:tc>
        <w:tc>
          <w:tcPr>
            <w:tcW w:w="3124" w:type="dxa"/>
          </w:tcPr>
          <w:p w:rsidR="000D733F" w:rsidRPr="005023D9" w:rsidRDefault="000D733F" w:rsidP="000D733F">
            <w:pPr>
              <w:pStyle w:val="TableTextColumnHeading"/>
            </w:pPr>
            <w:r w:rsidRPr="005023D9">
              <w:t>What further actions will be taken to manage the risks in the coming year</w:t>
            </w:r>
            <w:r w:rsidR="001D7E98">
              <w:t>?</w:t>
            </w:r>
          </w:p>
        </w:tc>
      </w:tr>
      <w:tr w:rsidR="00F604D3" w:rsidRPr="00180B19" w:rsidTr="00F604D3">
        <w:tc>
          <w:tcPr>
            <w:tcW w:w="2487" w:type="dxa"/>
            <w:hideMark/>
          </w:tcPr>
          <w:p w:rsidR="001B24A5" w:rsidRPr="001B24A5" w:rsidRDefault="001B24A5" w:rsidP="001B24A5">
            <w:pPr>
              <w:tabs>
                <w:tab w:val="left" w:pos="0"/>
                <w:tab w:val="left" w:pos="284"/>
              </w:tabs>
              <w:rPr>
                <w:rFonts w:ascii="Franklin Gothic Book" w:hAnsi="Franklin Gothic Book"/>
                <w:sz w:val="16"/>
                <w:szCs w:val="16"/>
              </w:rPr>
            </w:pPr>
            <w:r w:rsidRPr="001B24A5">
              <w:rPr>
                <w:rFonts w:ascii="Franklin Gothic Book" w:hAnsi="Franklin Gothic Book"/>
                <w:sz w:val="16"/>
                <w:szCs w:val="16"/>
              </w:rPr>
              <w:t>Partner organisations’ limited institutional capacity to service ASEAN’s growing agenda impacts on policy engagement and program delivery.</w:t>
            </w:r>
          </w:p>
          <w:p w:rsidR="001B24A5" w:rsidRPr="001B24A5" w:rsidRDefault="001B24A5" w:rsidP="001B24A5">
            <w:pPr>
              <w:tabs>
                <w:tab w:val="left" w:pos="0"/>
                <w:tab w:val="left" w:pos="284"/>
              </w:tabs>
              <w:rPr>
                <w:rFonts w:ascii="Franklin Gothic Book" w:hAnsi="Franklin Gothic Book"/>
                <w:sz w:val="16"/>
                <w:szCs w:val="16"/>
              </w:rPr>
            </w:pPr>
          </w:p>
          <w:p w:rsidR="001B24A5" w:rsidRPr="001B24A5" w:rsidRDefault="001B24A5" w:rsidP="001B24A5">
            <w:pPr>
              <w:tabs>
                <w:tab w:val="left" w:pos="0"/>
                <w:tab w:val="left" w:pos="284"/>
              </w:tabs>
              <w:rPr>
                <w:rFonts w:ascii="Franklin Gothic Book" w:hAnsi="Franklin Gothic Book"/>
                <w:sz w:val="16"/>
                <w:szCs w:val="16"/>
              </w:rPr>
            </w:pPr>
            <w:r w:rsidRPr="001B24A5">
              <w:rPr>
                <w:rFonts w:ascii="Franklin Gothic Book" w:hAnsi="Franklin Gothic Book"/>
                <w:sz w:val="16"/>
                <w:szCs w:val="16"/>
              </w:rPr>
              <w:t>Growing competition from donors and development partners reduces aid effectiveness.</w:t>
            </w:r>
          </w:p>
          <w:p w:rsidR="00F604D3" w:rsidRPr="00923B12" w:rsidRDefault="00F604D3" w:rsidP="001B24A5">
            <w:pPr>
              <w:tabs>
                <w:tab w:val="left" w:pos="0"/>
                <w:tab w:val="left" w:pos="284"/>
              </w:tabs>
              <w:rPr>
                <w:rFonts w:ascii="Franklin Gothic Book" w:hAnsi="Franklin Gothic Book"/>
                <w:sz w:val="16"/>
                <w:szCs w:val="16"/>
              </w:rPr>
            </w:pPr>
          </w:p>
        </w:tc>
        <w:tc>
          <w:tcPr>
            <w:tcW w:w="3054" w:type="dxa"/>
          </w:tcPr>
          <w:p w:rsidR="00F604D3" w:rsidRPr="00923B12" w:rsidRDefault="00F604D3" w:rsidP="007D7261">
            <w:pPr>
              <w:tabs>
                <w:tab w:val="left" w:pos="0"/>
                <w:tab w:val="left" w:pos="284"/>
              </w:tabs>
              <w:rPr>
                <w:rFonts w:ascii="Franklin Gothic Book" w:hAnsi="Franklin Gothic Book"/>
                <w:sz w:val="16"/>
                <w:szCs w:val="16"/>
              </w:rPr>
            </w:pPr>
            <w:r w:rsidRPr="00923B12">
              <w:rPr>
                <w:rFonts w:ascii="Franklin Gothic Book" w:hAnsi="Franklin Gothic Book"/>
                <w:sz w:val="16"/>
                <w:szCs w:val="16"/>
              </w:rPr>
              <w:t>AADCPII recruited finance and legal officers work closely with ASEC staff already;</w:t>
            </w:r>
            <w:r w:rsidR="001F5D1E">
              <w:rPr>
                <w:rFonts w:ascii="Franklin Gothic Book" w:hAnsi="Franklin Gothic Book"/>
                <w:sz w:val="16"/>
                <w:szCs w:val="16"/>
              </w:rPr>
              <w:t xml:space="preserve"> </w:t>
            </w:r>
          </w:p>
          <w:p w:rsidR="00F604D3" w:rsidRPr="00923B12" w:rsidRDefault="00F604D3" w:rsidP="007D7261">
            <w:pPr>
              <w:tabs>
                <w:tab w:val="left" w:pos="0"/>
                <w:tab w:val="left" w:pos="284"/>
              </w:tabs>
              <w:rPr>
                <w:rFonts w:ascii="Franklin Gothic Book" w:hAnsi="Franklin Gothic Book"/>
                <w:sz w:val="16"/>
                <w:szCs w:val="16"/>
              </w:rPr>
            </w:pPr>
            <w:r w:rsidRPr="00923B12">
              <w:rPr>
                <w:rFonts w:ascii="Franklin Gothic Book" w:hAnsi="Franklin Gothic Book"/>
                <w:sz w:val="16"/>
                <w:szCs w:val="16"/>
              </w:rPr>
              <w:t>AADCPII actively monitors risk and reports annually to the JPRC; ongoing coordination with other DPs for AADCP11</w:t>
            </w:r>
          </w:p>
          <w:p w:rsidR="00F604D3" w:rsidRPr="00923B12" w:rsidRDefault="00F604D3" w:rsidP="007D7261">
            <w:pPr>
              <w:keepLines/>
              <w:spacing w:before="40" w:after="40" w:line="200" w:lineRule="atLeast"/>
              <w:rPr>
                <w:rFonts w:ascii="Franklin Gothic Book" w:hAnsi="Franklin Gothic Book"/>
                <w:iCs/>
                <w:sz w:val="17"/>
                <w:szCs w:val="17"/>
              </w:rPr>
            </w:pPr>
          </w:p>
        </w:tc>
        <w:tc>
          <w:tcPr>
            <w:tcW w:w="3124" w:type="dxa"/>
          </w:tcPr>
          <w:p w:rsidR="00F604D3" w:rsidRPr="00923B12" w:rsidRDefault="00F604D3" w:rsidP="007D7261">
            <w:pPr>
              <w:keepLines/>
              <w:spacing w:before="40" w:after="40" w:line="200" w:lineRule="atLeast"/>
              <w:rPr>
                <w:rFonts w:ascii="Franklin Gothic Book" w:hAnsi="Franklin Gothic Book"/>
                <w:iCs/>
                <w:sz w:val="17"/>
                <w:szCs w:val="17"/>
              </w:rPr>
            </w:pPr>
            <w:r w:rsidRPr="00923B12">
              <w:rPr>
                <w:rFonts w:ascii="Franklin Gothic Book" w:hAnsi="Franklin Gothic Book"/>
                <w:iCs/>
                <w:sz w:val="16"/>
                <w:szCs w:val="16"/>
              </w:rPr>
              <w:t xml:space="preserve"> ASEAN :</w:t>
            </w:r>
            <w:r w:rsidR="001F5D1E">
              <w:rPr>
                <w:rFonts w:ascii="Franklin Gothic Book" w:hAnsi="Franklin Gothic Book"/>
                <w:iCs/>
                <w:sz w:val="16"/>
                <w:szCs w:val="16"/>
              </w:rPr>
              <w:t xml:space="preserve"> </w:t>
            </w:r>
            <w:r w:rsidRPr="00923B12">
              <w:rPr>
                <w:rFonts w:ascii="Franklin Gothic Book" w:hAnsi="Franklin Gothic Book"/>
                <w:iCs/>
                <w:sz w:val="16"/>
                <w:szCs w:val="16"/>
              </w:rPr>
              <w:t>engagement of external quality/results advisers for AADCPII and AESCP to build program momentum by making sure programs remain relevant and responsive to ASEAN needs</w:t>
            </w:r>
          </w:p>
        </w:tc>
      </w:tr>
      <w:tr w:rsidR="00F604D3" w:rsidRPr="00180B19" w:rsidTr="00F604D3">
        <w:tc>
          <w:tcPr>
            <w:tcW w:w="2487" w:type="dxa"/>
          </w:tcPr>
          <w:p w:rsidR="00F604D3" w:rsidRPr="00923B12" w:rsidRDefault="007D7261" w:rsidP="007D7261">
            <w:pPr>
              <w:tabs>
                <w:tab w:val="left" w:pos="0"/>
                <w:tab w:val="left" w:pos="284"/>
              </w:tabs>
              <w:rPr>
                <w:rFonts w:ascii="Franklin Gothic Book" w:hAnsi="Franklin Gothic Book"/>
                <w:sz w:val="16"/>
                <w:szCs w:val="16"/>
              </w:rPr>
            </w:pPr>
            <w:r w:rsidRPr="007D7261">
              <w:rPr>
                <w:rFonts w:ascii="Franklin Gothic Book" w:hAnsi="Franklin Gothic Book"/>
                <w:sz w:val="16"/>
                <w:szCs w:val="16"/>
              </w:rPr>
              <w:t>Proliferation and/or fragmentation of regional investments undermines our ability to actively manage programs and secure value for money</w:t>
            </w:r>
          </w:p>
          <w:p w:rsidR="00F604D3" w:rsidRPr="00923B12" w:rsidRDefault="00F604D3" w:rsidP="007D7261">
            <w:pPr>
              <w:tabs>
                <w:tab w:val="left" w:pos="0"/>
                <w:tab w:val="left" w:pos="284"/>
              </w:tabs>
              <w:rPr>
                <w:rFonts w:ascii="Franklin Gothic Book" w:hAnsi="Franklin Gothic Book"/>
                <w:sz w:val="16"/>
                <w:szCs w:val="16"/>
              </w:rPr>
            </w:pPr>
          </w:p>
        </w:tc>
        <w:tc>
          <w:tcPr>
            <w:tcW w:w="3054" w:type="dxa"/>
          </w:tcPr>
          <w:p w:rsidR="007D7261" w:rsidRPr="007D7261" w:rsidRDefault="007D7261" w:rsidP="007D7261">
            <w:pPr>
              <w:tabs>
                <w:tab w:val="left" w:pos="0"/>
                <w:tab w:val="left" w:pos="284"/>
              </w:tabs>
              <w:rPr>
                <w:rFonts w:ascii="Franklin Gothic Book" w:hAnsi="Franklin Gothic Book"/>
                <w:sz w:val="16"/>
                <w:szCs w:val="16"/>
              </w:rPr>
            </w:pPr>
            <w:r w:rsidRPr="007D7261">
              <w:rPr>
                <w:rFonts w:ascii="Franklin Gothic Book" w:hAnsi="Franklin Gothic Book"/>
                <w:sz w:val="16"/>
                <w:szCs w:val="16"/>
              </w:rPr>
              <w:t>Active contracts with delivery partners across the regional program reduced by 30 per cent over 2013-14;</w:t>
            </w:r>
          </w:p>
          <w:p w:rsidR="00F604D3" w:rsidRPr="00923B12" w:rsidRDefault="007D7261" w:rsidP="007D7261">
            <w:pPr>
              <w:tabs>
                <w:tab w:val="left" w:pos="0"/>
                <w:tab w:val="left" w:pos="284"/>
              </w:tabs>
              <w:rPr>
                <w:rFonts w:ascii="Franklin Gothic Book" w:hAnsi="Franklin Gothic Book"/>
                <w:sz w:val="16"/>
                <w:szCs w:val="16"/>
              </w:rPr>
            </w:pPr>
            <w:r w:rsidRPr="007D7261">
              <w:rPr>
                <w:rFonts w:ascii="Franklin Gothic Book" w:hAnsi="Franklin Gothic Book"/>
                <w:sz w:val="16"/>
                <w:szCs w:val="16"/>
              </w:rPr>
              <w:t>Canberra-managed regional investments now under the supervision of one branch</w:t>
            </w:r>
          </w:p>
        </w:tc>
        <w:tc>
          <w:tcPr>
            <w:tcW w:w="3124" w:type="dxa"/>
          </w:tcPr>
          <w:p w:rsidR="00F604D3" w:rsidRPr="00923B12" w:rsidRDefault="007D7261" w:rsidP="007D7261">
            <w:pPr>
              <w:keepLines/>
              <w:spacing w:before="40" w:after="40" w:line="200" w:lineRule="atLeast"/>
              <w:rPr>
                <w:rFonts w:ascii="Franklin Gothic Book" w:hAnsi="Franklin Gothic Book"/>
                <w:iCs/>
                <w:sz w:val="16"/>
                <w:szCs w:val="16"/>
              </w:rPr>
            </w:pPr>
            <w:r w:rsidRPr="007D7261">
              <w:rPr>
                <w:rFonts w:ascii="Franklin Gothic Book" w:hAnsi="Franklin Gothic Book"/>
                <w:iCs/>
                <w:sz w:val="16"/>
                <w:szCs w:val="16"/>
              </w:rPr>
              <w:t>Continue to consolidate the program to focus on fewer, larger investments that satisfactorily meet effectiveness and efficiency standards</w:t>
            </w:r>
          </w:p>
        </w:tc>
      </w:tr>
      <w:tr w:rsidR="00F604D3" w:rsidRPr="00180B19" w:rsidTr="00F604D3">
        <w:tc>
          <w:tcPr>
            <w:tcW w:w="2487" w:type="dxa"/>
            <w:hideMark/>
          </w:tcPr>
          <w:p w:rsidR="00F604D3" w:rsidRPr="00923B12" w:rsidRDefault="00923B12" w:rsidP="00923B12">
            <w:pPr>
              <w:tabs>
                <w:tab w:val="left" w:pos="0"/>
                <w:tab w:val="left" w:pos="284"/>
              </w:tabs>
              <w:rPr>
                <w:rFonts w:ascii="Franklin Gothic Book" w:hAnsi="Franklin Gothic Book"/>
                <w:sz w:val="16"/>
                <w:szCs w:val="16"/>
              </w:rPr>
            </w:pPr>
            <w:r w:rsidRPr="00923B12">
              <w:rPr>
                <w:rFonts w:ascii="Franklin Gothic Book" w:hAnsi="Franklin Gothic Book"/>
                <w:sz w:val="16"/>
                <w:szCs w:val="16"/>
              </w:rPr>
              <w:t>Lack of, or diminished, p</w:t>
            </w:r>
            <w:r w:rsidR="00F604D3" w:rsidRPr="00923B12">
              <w:rPr>
                <w:rFonts w:ascii="Franklin Gothic Book" w:hAnsi="Franklin Gothic Book"/>
                <w:sz w:val="16"/>
                <w:szCs w:val="16"/>
              </w:rPr>
              <w:t xml:space="preserve">olitical will and commitment of </w:t>
            </w:r>
            <w:r w:rsidRPr="00923B12">
              <w:rPr>
                <w:rFonts w:ascii="Franklin Gothic Book" w:hAnsi="Franklin Gothic Book"/>
                <w:sz w:val="16"/>
                <w:szCs w:val="16"/>
              </w:rPr>
              <w:t>key program stakeholders</w:t>
            </w:r>
          </w:p>
        </w:tc>
        <w:tc>
          <w:tcPr>
            <w:tcW w:w="3054" w:type="dxa"/>
          </w:tcPr>
          <w:p w:rsidR="00F604D3" w:rsidRPr="00923B12" w:rsidRDefault="00923B12" w:rsidP="00923B12">
            <w:pPr>
              <w:tabs>
                <w:tab w:val="left" w:pos="0"/>
                <w:tab w:val="left" w:pos="284"/>
              </w:tabs>
              <w:rPr>
                <w:rFonts w:ascii="Franklin Gothic Book" w:hAnsi="Franklin Gothic Book"/>
                <w:sz w:val="21"/>
              </w:rPr>
            </w:pPr>
            <w:r w:rsidRPr="00923B12">
              <w:rPr>
                <w:rFonts w:ascii="Franklin Gothic Book" w:hAnsi="Franklin Gothic Book"/>
                <w:sz w:val="16"/>
                <w:szCs w:val="16"/>
              </w:rPr>
              <w:t xml:space="preserve">SE Asia Regional development team worked closely with implementing partners to strengthen key stakeholder participation through: a demand-driven, participatory approach ensuring regional investments, country work plans and strategies aligned with key stakeholder priorities and action plans; facilitated round-table discussions with key stakeholders; and increased advocacy of regional investments through strategic communications. </w:t>
            </w:r>
          </w:p>
        </w:tc>
        <w:tc>
          <w:tcPr>
            <w:tcW w:w="3124" w:type="dxa"/>
          </w:tcPr>
          <w:p w:rsidR="00F604D3" w:rsidRPr="00923B12" w:rsidRDefault="00923B12" w:rsidP="00923B12">
            <w:pPr>
              <w:tabs>
                <w:tab w:val="left" w:pos="0"/>
                <w:tab w:val="left" w:pos="284"/>
              </w:tabs>
              <w:rPr>
                <w:rFonts w:ascii="Franklin Gothic Book" w:hAnsi="Franklin Gothic Book"/>
                <w:sz w:val="21"/>
              </w:rPr>
            </w:pPr>
            <w:r w:rsidRPr="00923B12">
              <w:rPr>
                <w:rFonts w:ascii="Franklin Gothic Book" w:hAnsi="Franklin Gothic Book"/>
                <w:sz w:val="16"/>
                <w:szCs w:val="16"/>
              </w:rPr>
              <w:t>Continue to promote regional aid investments with key stakeholders though communications via cabl</w:t>
            </w:r>
            <w:r>
              <w:rPr>
                <w:rFonts w:ascii="Franklin Gothic Book" w:hAnsi="Franklin Gothic Book"/>
                <w:sz w:val="16"/>
                <w:szCs w:val="16"/>
              </w:rPr>
              <w:t>e, emails and briefings; </w:t>
            </w:r>
            <w:r w:rsidRPr="00923B12">
              <w:rPr>
                <w:rFonts w:ascii="Franklin Gothic Book" w:hAnsi="Franklin Gothic Book"/>
                <w:sz w:val="16"/>
                <w:szCs w:val="16"/>
              </w:rPr>
              <w:t>targeted face to face visits; attend key regional meetings to</w:t>
            </w:r>
            <w:r w:rsidR="001F5D1E">
              <w:rPr>
                <w:rFonts w:ascii="Franklin Gothic Book" w:hAnsi="Franklin Gothic Book"/>
                <w:sz w:val="16"/>
                <w:szCs w:val="16"/>
              </w:rPr>
              <w:t xml:space="preserve"> </w:t>
            </w:r>
            <w:r w:rsidRPr="00923B12">
              <w:rPr>
                <w:rFonts w:ascii="Franklin Gothic Book" w:hAnsi="Franklin Gothic Book"/>
                <w:sz w:val="16"/>
                <w:szCs w:val="16"/>
              </w:rPr>
              <w:t xml:space="preserve">promote achievements of investments. </w:t>
            </w:r>
          </w:p>
        </w:tc>
      </w:tr>
      <w:tr w:rsidR="00F604D3" w:rsidRPr="00180B19" w:rsidTr="00F604D3">
        <w:tc>
          <w:tcPr>
            <w:tcW w:w="2487" w:type="dxa"/>
          </w:tcPr>
          <w:p w:rsidR="00F604D3" w:rsidRPr="00BD5D69" w:rsidRDefault="00F604D3" w:rsidP="007D7261">
            <w:pPr>
              <w:keepLines/>
              <w:spacing w:before="40" w:after="40" w:line="200" w:lineRule="atLeast"/>
              <w:rPr>
                <w:iCs/>
                <w:sz w:val="17"/>
                <w:szCs w:val="17"/>
              </w:rPr>
            </w:pPr>
            <w:r w:rsidRPr="00BD5D69">
              <w:rPr>
                <w:iCs/>
                <w:sz w:val="17"/>
                <w:szCs w:val="17"/>
              </w:rPr>
              <w:t xml:space="preserve"> </w:t>
            </w:r>
          </w:p>
        </w:tc>
        <w:tc>
          <w:tcPr>
            <w:tcW w:w="3054" w:type="dxa"/>
          </w:tcPr>
          <w:p w:rsidR="00F604D3" w:rsidRPr="00BD5D69" w:rsidRDefault="00F604D3" w:rsidP="007D7261">
            <w:pPr>
              <w:keepLines/>
              <w:spacing w:before="40" w:after="40" w:line="200" w:lineRule="atLeast"/>
              <w:rPr>
                <w:iCs/>
                <w:sz w:val="17"/>
                <w:szCs w:val="17"/>
              </w:rPr>
            </w:pPr>
          </w:p>
        </w:tc>
        <w:tc>
          <w:tcPr>
            <w:tcW w:w="3124" w:type="dxa"/>
          </w:tcPr>
          <w:p w:rsidR="00F604D3" w:rsidRPr="00BD5D69" w:rsidRDefault="00F604D3" w:rsidP="007D7261">
            <w:pPr>
              <w:keepLines/>
              <w:spacing w:before="40" w:after="40" w:line="200" w:lineRule="atLeast"/>
              <w:rPr>
                <w:iCs/>
                <w:sz w:val="17"/>
                <w:szCs w:val="17"/>
              </w:rPr>
            </w:pPr>
          </w:p>
        </w:tc>
      </w:tr>
      <w:tr w:rsidR="00F604D3" w:rsidRPr="00180B19" w:rsidTr="00F604D3">
        <w:tc>
          <w:tcPr>
            <w:tcW w:w="2487" w:type="dxa"/>
          </w:tcPr>
          <w:p w:rsidR="00F604D3" w:rsidRPr="00BD5D69" w:rsidRDefault="00F604D3" w:rsidP="007D7261">
            <w:pPr>
              <w:keepLines/>
              <w:spacing w:before="40" w:after="40" w:line="200" w:lineRule="atLeast"/>
              <w:rPr>
                <w:iCs/>
                <w:sz w:val="17"/>
                <w:szCs w:val="17"/>
              </w:rPr>
            </w:pPr>
          </w:p>
        </w:tc>
        <w:tc>
          <w:tcPr>
            <w:tcW w:w="3054" w:type="dxa"/>
          </w:tcPr>
          <w:p w:rsidR="00F604D3" w:rsidRPr="00BD5D69" w:rsidRDefault="00F604D3" w:rsidP="007D7261">
            <w:pPr>
              <w:keepLines/>
              <w:spacing w:before="40" w:after="40" w:line="200" w:lineRule="atLeast"/>
              <w:rPr>
                <w:iCs/>
                <w:sz w:val="17"/>
                <w:szCs w:val="17"/>
              </w:rPr>
            </w:pPr>
          </w:p>
        </w:tc>
        <w:tc>
          <w:tcPr>
            <w:tcW w:w="3124" w:type="dxa"/>
          </w:tcPr>
          <w:p w:rsidR="00F604D3" w:rsidRPr="00BD5D69" w:rsidRDefault="00F604D3" w:rsidP="007D7261">
            <w:pPr>
              <w:keepLines/>
              <w:spacing w:before="40" w:after="40" w:line="200" w:lineRule="atLeast"/>
              <w:rPr>
                <w:iCs/>
                <w:sz w:val="17"/>
                <w:szCs w:val="17"/>
              </w:rPr>
            </w:pPr>
          </w:p>
        </w:tc>
      </w:tr>
    </w:tbl>
    <w:p w:rsidR="008E29AB" w:rsidRDefault="008E29AB" w:rsidP="000D733F">
      <w:pPr>
        <w:pStyle w:val="Note"/>
        <w:rPr>
          <w:color w:val="92D050"/>
        </w:rPr>
      </w:pPr>
    </w:p>
    <w:p w:rsidR="00892103" w:rsidRPr="00892103" w:rsidRDefault="00892103" w:rsidP="00892103">
      <w:pPr>
        <w:pStyle w:val="BodyText"/>
      </w:pPr>
    </w:p>
    <w:p w:rsidR="000D733F" w:rsidRPr="003275D0" w:rsidRDefault="000D733F" w:rsidP="000D733F">
      <w:pPr>
        <w:pStyle w:val="Heading3"/>
        <w:rPr>
          <w:rStyle w:val="BodyTextChar"/>
          <w:b w:val="0"/>
          <w:color w:val="auto"/>
        </w:rPr>
      </w:pPr>
      <w:r w:rsidRPr="009E38C1">
        <w:rPr>
          <w:b w:val="0"/>
          <w:color w:val="007FAD"/>
          <w:sz w:val="32"/>
          <w:szCs w:val="32"/>
          <w:lang w:eastAsia="en-AU"/>
        </w:rPr>
        <w:t xml:space="preserve">Management </w:t>
      </w:r>
      <w:r w:rsidR="00805ADD" w:rsidRPr="009E38C1">
        <w:rPr>
          <w:b w:val="0"/>
          <w:color w:val="007FAD"/>
          <w:sz w:val="32"/>
          <w:szCs w:val="32"/>
          <w:lang w:eastAsia="en-AU"/>
        </w:rPr>
        <w:t>Responses</w:t>
      </w:r>
      <w:r w:rsidRPr="009E38C1">
        <w:rPr>
          <w:b w:val="0"/>
          <w:color w:val="007FAD"/>
          <w:sz w:val="32"/>
          <w:szCs w:val="32"/>
          <w:lang w:eastAsia="en-AU"/>
        </w:rPr>
        <w:tab/>
      </w:r>
      <w:r>
        <w:rPr>
          <w:sz w:val="32"/>
          <w:szCs w:val="32"/>
        </w:rPr>
        <w:tab/>
      </w:r>
    </w:p>
    <w:p w:rsidR="008538F2" w:rsidRPr="00320854" w:rsidRDefault="008538F2" w:rsidP="00320854">
      <w:pPr>
        <w:pStyle w:val="ListBullet"/>
        <w:numPr>
          <w:ilvl w:val="0"/>
          <w:numId w:val="0"/>
        </w:numPr>
        <w:rPr>
          <w:b/>
          <w:u w:val="single"/>
        </w:rPr>
      </w:pPr>
      <w:r w:rsidRPr="00320854">
        <w:rPr>
          <w:b/>
          <w:u w:val="single"/>
        </w:rPr>
        <w:t>A</w:t>
      </w:r>
      <w:r w:rsidR="00320854" w:rsidRPr="00320854">
        <w:rPr>
          <w:b/>
          <w:u w:val="single"/>
        </w:rPr>
        <w:t xml:space="preserve">pply new aid policy priorities </w:t>
      </w:r>
      <w:r w:rsidR="005051AA">
        <w:rPr>
          <w:b/>
          <w:u w:val="single"/>
        </w:rPr>
        <w:t>to East Asia Regional program</w:t>
      </w:r>
      <w:r w:rsidR="00320854" w:rsidRPr="00320854">
        <w:rPr>
          <w:b/>
          <w:u w:val="single"/>
        </w:rPr>
        <w:t xml:space="preserve"> </w:t>
      </w:r>
    </w:p>
    <w:p w:rsidR="008538F2" w:rsidRDefault="008538F2" w:rsidP="00320854">
      <w:pPr>
        <w:pStyle w:val="ListBullet"/>
      </w:pPr>
      <w:r w:rsidRPr="00320854">
        <w:t xml:space="preserve">Finalise </w:t>
      </w:r>
      <w:r w:rsidR="005051AA">
        <w:t xml:space="preserve">the </w:t>
      </w:r>
      <w:r w:rsidRPr="00320854">
        <w:t>Aid Investment Plan</w:t>
      </w:r>
      <w:r w:rsidR="0052354E">
        <w:t xml:space="preserve"> (AIP)</w:t>
      </w:r>
      <w:r w:rsidRPr="00320854">
        <w:t xml:space="preserve"> for regional </w:t>
      </w:r>
      <w:r w:rsidR="00F604D3">
        <w:t>East Asia by mid-2015</w:t>
      </w:r>
      <w:r w:rsidR="001F1C4D">
        <w:t>,</w:t>
      </w:r>
      <w:r w:rsidR="00D70BA2">
        <w:t xml:space="preserve"> clarifying objectives</w:t>
      </w:r>
      <w:r w:rsidR="001F1C4D">
        <w:t xml:space="preserve"> and</w:t>
      </w:r>
      <w:r w:rsidR="005051AA">
        <w:t xml:space="preserve"> ensuring complementarity </w:t>
      </w:r>
      <w:r w:rsidR="00D70BA2">
        <w:t>with the AIPs of</w:t>
      </w:r>
      <w:r w:rsidR="005051AA">
        <w:t xml:space="preserve"> bilateral programs in the region.</w:t>
      </w:r>
      <w:r w:rsidR="00F604D3">
        <w:t xml:space="preserve"> </w:t>
      </w:r>
    </w:p>
    <w:p w:rsidR="0052354E" w:rsidRDefault="0052354E" w:rsidP="0052354E">
      <w:pPr>
        <w:pStyle w:val="ListBullet"/>
      </w:pPr>
      <w:r>
        <w:t>Through the AIP i</w:t>
      </w:r>
      <w:r w:rsidRPr="00320854">
        <w:t>dentify and articulate the alignment of the East Asia regional program</w:t>
      </w:r>
      <w:r>
        <w:t>’</w:t>
      </w:r>
      <w:r w:rsidRPr="00320854">
        <w:t>s in</w:t>
      </w:r>
      <w:r>
        <w:t>vestments</w:t>
      </w:r>
      <w:r w:rsidRPr="00320854">
        <w:t xml:space="preserve"> with new aid policy priorities</w:t>
      </w:r>
      <w:r>
        <w:t xml:space="preserve"> including gender equality, private-sector engagement and opportunities for innovation in existing and new investments.</w:t>
      </w:r>
      <w:r w:rsidRPr="00320854">
        <w:t xml:space="preserve"> </w:t>
      </w:r>
    </w:p>
    <w:p w:rsidR="00C65A81" w:rsidRPr="00320854" w:rsidRDefault="00C65A81" w:rsidP="00C65A81">
      <w:pPr>
        <w:pStyle w:val="ListBullet"/>
        <w:numPr>
          <w:ilvl w:val="0"/>
          <w:numId w:val="0"/>
        </w:numPr>
        <w:ind w:left="360"/>
      </w:pPr>
    </w:p>
    <w:p w:rsidR="008538F2" w:rsidRPr="00320854" w:rsidRDefault="00320854" w:rsidP="00320854">
      <w:pPr>
        <w:pStyle w:val="ListBullet"/>
        <w:numPr>
          <w:ilvl w:val="0"/>
          <w:numId w:val="0"/>
        </w:numPr>
        <w:rPr>
          <w:b/>
          <w:u w:val="single"/>
        </w:rPr>
      </w:pPr>
      <w:r w:rsidRPr="00320854">
        <w:rPr>
          <w:b/>
          <w:u w:val="single"/>
        </w:rPr>
        <w:t xml:space="preserve">Implement recommendations from evaluations and undertake further reviews </w:t>
      </w:r>
    </w:p>
    <w:p w:rsidR="00923B12" w:rsidRDefault="003D1C6C" w:rsidP="003D1C6C">
      <w:pPr>
        <w:pStyle w:val="ListBullet"/>
      </w:pPr>
      <w:r w:rsidRPr="003D1C6C">
        <w:lastRenderedPageBreak/>
        <w:t>Engage actively with implementing partners (including through at least two field monitoring visits per initiative) to fine-tune the M&amp;E frameworks for TRIANGLE, STANDZ and GMSTTF by end 2014, so that data generated is high quality, outcome-focused and meets DFAT and other stakeholder</w:t>
      </w:r>
      <w:r>
        <w:t>s’</w:t>
      </w:r>
      <w:r w:rsidRPr="003D1C6C">
        <w:t xml:space="preserve"> needs.</w:t>
      </w:r>
    </w:p>
    <w:p w:rsidR="00BA3DFA" w:rsidRDefault="00BA3DFA" w:rsidP="00BA3DFA">
      <w:pPr>
        <w:pStyle w:val="ListBullet"/>
      </w:pPr>
      <w:r>
        <w:t>Implement recommendations of the GMS TTF mid-term review to accelerate progress against stated objective of the project in its second and final phase, with a focus on supporting CLMV countries to fully participate in the ASEAN Economic Community.</w:t>
      </w:r>
    </w:p>
    <w:p w:rsidR="00923B12" w:rsidRPr="00320854" w:rsidRDefault="00923B12" w:rsidP="00923B12">
      <w:pPr>
        <w:pStyle w:val="ListBullet"/>
      </w:pPr>
      <w:r>
        <w:t>For programs ending in 2014-15, ensure sustainability plans are in place and undertake appropriate communications with stakeholders of the MTV EXIT program, Project Childhood, HAARP and PREVENT.</w:t>
      </w:r>
    </w:p>
    <w:p w:rsidR="00DC5126" w:rsidRPr="00320854" w:rsidRDefault="00DC5126" w:rsidP="00DC5126">
      <w:pPr>
        <w:pStyle w:val="ListBullet"/>
      </w:pPr>
      <w:r>
        <w:t xml:space="preserve">Undertake annual stocktake </w:t>
      </w:r>
      <w:r w:rsidRPr="00320854">
        <w:t>of program achievements and challenges in 2014</w:t>
      </w:r>
      <w:r w:rsidRPr="00E723F7">
        <w:t xml:space="preserve"> </w:t>
      </w:r>
      <w:r>
        <w:t>for both AADCPII and AECSP.</w:t>
      </w:r>
      <w:r w:rsidRPr="00320854">
        <w:t xml:space="preserve"> </w:t>
      </w:r>
    </w:p>
    <w:p w:rsidR="00DC5126" w:rsidRPr="00320854" w:rsidRDefault="00DC5126" w:rsidP="00DC5126">
      <w:pPr>
        <w:pStyle w:val="ListBullet"/>
      </w:pPr>
      <w:r>
        <w:t>I</w:t>
      </w:r>
      <w:r w:rsidRPr="00320854">
        <w:t>mplement the AECSP communication</w:t>
      </w:r>
      <w:r>
        <w:t>s plan presented to program partners in June 2014.</w:t>
      </w:r>
    </w:p>
    <w:p w:rsidR="00DC5126" w:rsidRPr="00F53295" w:rsidRDefault="00DC5126" w:rsidP="00DC5126">
      <w:pPr>
        <w:pStyle w:val="ListBullet"/>
        <w:numPr>
          <w:ilvl w:val="0"/>
          <w:numId w:val="0"/>
        </w:numPr>
        <w:rPr>
          <w:b/>
          <w:u w:val="single"/>
        </w:rPr>
      </w:pPr>
      <w:r w:rsidRPr="00F53295">
        <w:rPr>
          <w:b/>
          <w:u w:val="single"/>
        </w:rPr>
        <w:t xml:space="preserve">Improve the quality of attention to </w:t>
      </w:r>
      <w:r>
        <w:rPr>
          <w:b/>
          <w:u w:val="single"/>
        </w:rPr>
        <w:t xml:space="preserve">achieving </w:t>
      </w:r>
      <w:r w:rsidRPr="00F53295">
        <w:rPr>
          <w:b/>
          <w:u w:val="single"/>
        </w:rPr>
        <w:t>gender equality outcomes</w:t>
      </w:r>
    </w:p>
    <w:p w:rsidR="00DC5126" w:rsidRPr="00320854" w:rsidRDefault="0052354E" w:rsidP="00DC5126">
      <w:pPr>
        <w:pStyle w:val="ListBullet"/>
      </w:pPr>
      <w:r>
        <w:t>Program managers to r</w:t>
      </w:r>
      <w:r w:rsidR="00DC5126" w:rsidRPr="00320854">
        <w:t>einforce with partners the expectation for inclusion of gender issues</w:t>
      </w:r>
      <w:r w:rsidR="001F1C4D">
        <w:t>, such as women’s economic empowerment,</w:t>
      </w:r>
      <w:r w:rsidR="00DC5126" w:rsidRPr="00320854">
        <w:t xml:space="preserve"> and outcomes in regular progress reporting</w:t>
      </w:r>
      <w:r w:rsidR="00DC5126">
        <w:t>.</w:t>
      </w:r>
      <w:r w:rsidR="00DC5126" w:rsidRPr="00320854">
        <w:t xml:space="preserve"> </w:t>
      </w:r>
    </w:p>
    <w:p w:rsidR="00DC5126" w:rsidRDefault="0052354E" w:rsidP="00DC5126">
      <w:pPr>
        <w:pStyle w:val="ListBullet"/>
      </w:pPr>
      <w:r>
        <w:t>Australia’s mission to ASEAN to c</w:t>
      </w:r>
      <w:r w:rsidR="00DC5126" w:rsidRPr="00320854">
        <w:t>o</w:t>
      </w:r>
      <w:r>
        <w:t>mmission a</w:t>
      </w:r>
      <w:r w:rsidR="00DC5126" w:rsidRPr="00320854">
        <w:t xml:space="preserve"> study by end 2014 on how Australian economic development programs such as AADCP II can better address gender equity. </w:t>
      </w:r>
    </w:p>
    <w:p w:rsidR="00DC5126" w:rsidRPr="00320854" w:rsidRDefault="00DC5126" w:rsidP="00DC5126">
      <w:pPr>
        <w:pStyle w:val="ListBullet"/>
      </w:pPr>
      <w:r w:rsidRPr="00320854">
        <w:t>Incorporate findings of GMS Trade and Transport Facilitation gender study into the M&amp;E framework and the redesign of the next phase of the program</w:t>
      </w:r>
      <w:r>
        <w:t>.</w:t>
      </w:r>
    </w:p>
    <w:p w:rsidR="008538F2" w:rsidRPr="00F53295" w:rsidRDefault="008538F2" w:rsidP="00DC5126">
      <w:pPr>
        <w:pStyle w:val="ListBullet"/>
        <w:numPr>
          <w:ilvl w:val="0"/>
          <w:numId w:val="0"/>
        </w:numPr>
        <w:rPr>
          <w:b/>
          <w:u w:val="single"/>
        </w:rPr>
      </w:pPr>
      <w:r w:rsidRPr="00F53295">
        <w:rPr>
          <w:b/>
          <w:u w:val="single"/>
        </w:rPr>
        <w:t xml:space="preserve">Manage and strengthen partner relationships </w:t>
      </w:r>
    </w:p>
    <w:p w:rsidR="00DC5126" w:rsidRDefault="00DC5126" w:rsidP="00DC5126">
      <w:pPr>
        <w:pStyle w:val="ListBullet"/>
      </w:pPr>
      <w:r>
        <w:t xml:space="preserve">Finalise AAPTIP agreements with at least five partner governments by end 2014 through active engagement and advocacy on Australia’s anti-trafficking interests. </w:t>
      </w:r>
    </w:p>
    <w:p w:rsidR="00DC5126" w:rsidRDefault="0052354E" w:rsidP="00DC5126">
      <w:pPr>
        <w:pStyle w:val="ListBullet"/>
      </w:pPr>
      <w:r>
        <w:t>Southeast Asia Regional Branch to i</w:t>
      </w:r>
      <w:r w:rsidR="00DC5126">
        <w:t>mprove internal communication with Australia’s bilateral missions in ASEAN countries to build understanding and promote complementarity through key meetings/regular updates.</w:t>
      </w:r>
    </w:p>
    <w:p w:rsidR="00DC5126" w:rsidRDefault="001F5D1E" w:rsidP="00DC5126">
      <w:pPr>
        <w:pStyle w:val="ListBullet"/>
      </w:pPr>
      <w:r>
        <w:t xml:space="preserve">Southeast Asia Regional hub </w:t>
      </w:r>
      <w:r w:rsidR="0052354E">
        <w:t>to c</w:t>
      </w:r>
      <w:r w:rsidR="00DC5126">
        <w:t>oordinate with ADB and development partners (Japan, US, EU, ASEAN, World Customs Organisation) to develop a common Trade and Transport Facilitation regional strategy to promote alignment with ASEAN economic community blueprint by November 2014.</w:t>
      </w:r>
    </w:p>
    <w:p w:rsidR="00B71A22" w:rsidRPr="00B71A22" w:rsidRDefault="00DC5126" w:rsidP="00B71A22">
      <w:pPr>
        <w:pStyle w:val="ListBullet"/>
      </w:pPr>
      <w:r>
        <w:t>Manage relationships with program stakeholders (particularly ASEAN Dialogue partners and ASEAN) in light of forward pipeline</w:t>
      </w:r>
      <w:r w:rsidR="00B71A22">
        <w:t>,</w:t>
      </w:r>
      <w:r>
        <w:t xml:space="preserve"> </w:t>
      </w:r>
      <w:r w:rsidR="00B71A22" w:rsidRPr="00B71A22">
        <w:t>including leveraging the role of Australian Ambassador to ASEAN.</w:t>
      </w:r>
      <w:r w:rsidR="001F5D1E">
        <w:t xml:space="preserve"> </w:t>
      </w:r>
    </w:p>
    <w:p w:rsidR="000D733F" w:rsidRPr="00B71A22" w:rsidRDefault="00DC5126" w:rsidP="00B71A22">
      <w:pPr>
        <w:pStyle w:val="ListBullet"/>
        <w:numPr>
          <w:ilvl w:val="0"/>
          <w:numId w:val="0"/>
        </w:numPr>
        <w:ind w:left="360"/>
        <w:sectPr w:rsidR="000D733F" w:rsidRPr="00B71A22" w:rsidSect="00CD061B">
          <w:headerReference w:type="default" r:id="rId17"/>
          <w:type w:val="continuous"/>
          <w:pgSz w:w="11907" w:h="16840" w:code="9"/>
          <w:pgMar w:top="2381" w:right="1701" w:bottom="907" w:left="1701" w:header="850" w:footer="567" w:gutter="0"/>
          <w:pgNumType w:start="1"/>
          <w:cols w:space="720"/>
          <w:docGrid w:linePitch="326"/>
        </w:sectPr>
      </w:pPr>
      <w:r>
        <w:t xml:space="preserve"> </w:t>
      </w:r>
    </w:p>
    <w:p w:rsidR="000D733F" w:rsidRPr="009E38C1" w:rsidRDefault="000D733F" w:rsidP="000D733F">
      <w:pPr>
        <w:pStyle w:val="Heading2"/>
        <w:rPr>
          <w:sz w:val="28"/>
        </w:rPr>
      </w:pPr>
      <w:r w:rsidRPr="009E38C1">
        <w:rPr>
          <w:sz w:val="28"/>
        </w:rPr>
        <w:lastRenderedPageBreak/>
        <w:t xml:space="preserve">Annex A </w:t>
      </w:r>
    </w:p>
    <w:p w:rsidR="000D733F" w:rsidRPr="009E38C1" w:rsidRDefault="000D733F" w:rsidP="000D733F">
      <w:pPr>
        <w:pStyle w:val="Heading2"/>
        <w:rPr>
          <w:sz w:val="28"/>
        </w:rPr>
      </w:pPr>
      <w:r w:rsidRPr="009E38C1">
        <w:rPr>
          <w:sz w:val="28"/>
        </w:rPr>
        <w:t xml:space="preserve">Progress in addressing 2012-13 management </w:t>
      </w:r>
      <w:r w:rsidR="00805ADD" w:rsidRPr="009E38C1">
        <w:rPr>
          <w:sz w:val="28"/>
        </w:rPr>
        <w:t>responses</w:t>
      </w:r>
    </w:p>
    <w:tbl>
      <w:tblPr>
        <w:tblStyle w:val="APPR"/>
        <w:tblpPr w:leftFromText="180" w:rightFromText="180" w:vertAnchor="text" w:tblpY="1"/>
        <w:tblW w:w="5000" w:type="pct"/>
        <w:tblLayout w:type="fixed"/>
        <w:tblLook w:val="0000" w:firstRow="0" w:lastRow="0" w:firstColumn="0" w:lastColumn="0" w:noHBand="0" w:noVBand="0"/>
      </w:tblPr>
      <w:tblGrid>
        <w:gridCol w:w="6515"/>
        <w:gridCol w:w="992"/>
        <w:gridCol w:w="6938"/>
      </w:tblGrid>
      <w:tr w:rsidR="000D733F" w:rsidRPr="00180B19" w:rsidTr="000D733F">
        <w:trPr>
          <w:cnfStyle w:val="000000010000" w:firstRow="0" w:lastRow="0" w:firstColumn="0" w:lastColumn="0" w:oddVBand="0" w:evenVBand="0" w:oddHBand="0" w:evenHBand="1" w:firstRowFirstColumn="0" w:firstRowLastColumn="0" w:lastRowFirstColumn="0" w:lastRowLastColumn="0"/>
        </w:trPr>
        <w:tc>
          <w:tcPr>
            <w:tcW w:w="6473" w:type="dxa"/>
          </w:tcPr>
          <w:p w:rsidR="000D733F" w:rsidRPr="00180B19" w:rsidRDefault="000D733F" w:rsidP="000D733F">
            <w:pPr>
              <w:pStyle w:val="TableTextColumnHeading"/>
              <w:tabs>
                <w:tab w:val="left" w:pos="1185"/>
              </w:tabs>
            </w:pPr>
            <w:r w:rsidRPr="00FE4491">
              <w:t>Management consequences identified in 201</w:t>
            </w:r>
            <w:r>
              <w:t>2-13</w:t>
            </w:r>
            <w:r w:rsidRPr="00FE4491">
              <w:t xml:space="preserve"> </w:t>
            </w:r>
            <w:r>
              <w:t>APPR</w:t>
            </w:r>
            <w:r>
              <w:tab/>
            </w:r>
          </w:p>
        </w:tc>
        <w:tc>
          <w:tcPr>
            <w:tcW w:w="964" w:type="dxa"/>
          </w:tcPr>
          <w:p w:rsidR="000D733F" w:rsidRPr="00180B19" w:rsidRDefault="000D733F" w:rsidP="000D733F">
            <w:pPr>
              <w:pStyle w:val="TableTextColumnHeading"/>
            </w:pPr>
            <w:r w:rsidRPr="00FE4491">
              <w:t>Rating</w:t>
            </w:r>
          </w:p>
        </w:tc>
        <w:tc>
          <w:tcPr>
            <w:tcW w:w="6896" w:type="dxa"/>
          </w:tcPr>
          <w:p w:rsidR="000D733F" w:rsidRPr="00180B19" w:rsidRDefault="000D733F" w:rsidP="000D733F">
            <w:pPr>
              <w:pStyle w:val="TableTextColumnHeading"/>
            </w:pPr>
            <w:r w:rsidRPr="00FE4491">
              <w:t xml:space="preserve">Progress made in </w:t>
            </w:r>
            <w:r>
              <w:t>2013-14</w:t>
            </w:r>
          </w:p>
        </w:tc>
      </w:tr>
      <w:tr w:rsidR="000D733F" w:rsidRPr="00180B19" w:rsidTr="00C13763">
        <w:trPr>
          <w:cnfStyle w:val="000000010000" w:firstRow="0" w:lastRow="0" w:firstColumn="0" w:lastColumn="0" w:oddVBand="0" w:evenVBand="0" w:oddHBand="0" w:evenHBand="1" w:firstRowFirstColumn="0" w:firstRowLastColumn="0" w:lastRowFirstColumn="0" w:lastRowLastColumn="0"/>
        </w:trPr>
        <w:tc>
          <w:tcPr>
            <w:tcW w:w="6473" w:type="dxa"/>
          </w:tcPr>
          <w:p w:rsidR="000D733F" w:rsidRPr="00100AA2" w:rsidRDefault="000D733F" w:rsidP="000D733F">
            <w:pPr>
              <w:pStyle w:val="TableTextEntries"/>
            </w:pPr>
          </w:p>
        </w:tc>
        <w:tc>
          <w:tcPr>
            <w:tcW w:w="964" w:type="dxa"/>
            <w:shd w:val="clear" w:color="auto" w:fill="auto"/>
          </w:tcPr>
          <w:p w:rsidR="000D733F" w:rsidRPr="00C13763" w:rsidRDefault="000D733F" w:rsidP="000D733F">
            <w:pPr>
              <w:pStyle w:val="TableTextEntries"/>
              <w:jc w:val="center"/>
            </w:pPr>
          </w:p>
        </w:tc>
        <w:tc>
          <w:tcPr>
            <w:tcW w:w="6896" w:type="dxa"/>
          </w:tcPr>
          <w:p w:rsidR="000D733F" w:rsidRPr="00B30E77" w:rsidRDefault="000D733F" w:rsidP="000D733F">
            <w:pPr>
              <w:pStyle w:val="TableTextEntries"/>
              <w:rPr>
                <w:color w:val="92D050"/>
              </w:rPr>
            </w:pPr>
          </w:p>
        </w:tc>
      </w:tr>
      <w:tr w:rsidR="00E65E2A" w:rsidRPr="00180B19" w:rsidTr="00C13763">
        <w:trPr>
          <w:cnfStyle w:val="000000010000" w:firstRow="0" w:lastRow="0" w:firstColumn="0" w:lastColumn="0" w:oddVBand="0" w:evenVBand="0" w:oddHBand="0" w:evenHBand="1" w:firstRowFirstColumn="0" w:firstRowLastColumn="0" w:lastRowFirstColumn="0" w:lastRowLastColumn="0"/>
        </w:trPr>
        <w:tc>
          <w:tcPr>
            <w:tcW w:w="6473" w:type="dxa"/>
          </w:tcPr>
          <w:p w:rsidR="00E65E2A" w:rsidRPr="006043D4" w:rsidRDefault="00E65E2A" w:rsidP="00E65E2A">
            <w:pPr>
              <w:pStyle w:val="TableTextEntries"/>
              <w:rPr>
                <w:b/>
                <w:i/>
              </w:rPr>
            </w:pPr>
            <w:r w:rsidRPr="006043D4">
              <w:rPr>
                <w:b/>
                <w:i/>
              </w:rPr>
              <w:t>Program Strategy and management</w:t>
            </w:r>
          </w:p>
        </w:tc>
        <w:tc>
          <w:tcPr>
            <w:tcW w:w="964" w:type="dxa"/>
            <w:shd w:val="clear" w:color="auto" w:fill="auto"/>
          </w:tcPr>
          <w:p w:rsidR="00E65E2A" w:rsidRPr="00443639" w:rsidRDefault="00E65E2A" w:rsidP="00E65E2A">
            <w:pPr>
              <w:pStyle w:val="TableTextEntries"/>
              <w:jc w:val="center"/>
              <w:rPr>
                <w:color w:val="FFFFFF" w:themeColor="background1"/>
              </w:rPr>
            </w:pPr>
            <w:r w:rsidRPr="00443639">
              <w:rPr>
                <w:color w:val="FFFFFF" w:themeColor="background1"/>
              </w:rPr>
              <w:fldChar w:fldCharType="begin"/>
            </w:r>
            <w:r w:rsidRPr="00443639">
              <w:rPr>
                <w:color w:val="FFFFFF" w:themeColor="background1"/>
              </w:rPr>
              <w:instrText xml:space="preserve"> AUTOTEXTLIST  \s "Rating bullet"\t "Right click to choose a rating" \* MERGEFORMAT </w:instrText>
            </w:r>
            <w:r w:rsidRPr="00443639">
              <w:rPr>
                <w:color w:val="FFFFFF" w:themeColor="background1"/>
              </w:rPr>
              <w:fldChar w:fldCharType="end"/>
            </w:r>
          </w:p>
        </w:tc>
        <w:tc>
          <w:tcPr>
            <w:tcW w:w="6896" w:type="dxa"/>
          </w:tcPr>
          <w:p w:rsidR="00E65E2A" w:rsidRPr="00B30E77" w:rsidRDefault="00E65E2A" w:rsidP="00E65E2A">
            <w:pPr>
              <w:pStyle w:val="TableTextEntries"/>
              <w:rPr>
                <w:color w:val="92D050"/>
              </w:rPr>
            </w:pPr>
          </w:p>
        </w:tc>
      </w:tr>
      <w:tr w:rsidR="00E65E2A" w:rsidRPr="00180B19" w:rsidTr="00C13763">
        <w:trPr>
          <w:cnfStyle w:val="000000010000" w:firstRow="0" w:lastRow="0" w:firstColumn="0" w:lastColumn="0" w:oddVBand="0" w:evenVBand="0" w:oddHBand="0" w:evenHBand="1" w:firstRowFirstColumn="0" w:firstRowLastColumn="0" w:lastRowFirstColumn="0" w:lastRowLastColumn="0"/>
        </w:trPr>
        <w:tc>
          <w:tcPr>
            <w:tcW w:w="6473" w:type="dxa"/>
          </w:tcPr>
          <w:p w:rsidR="00E65E2A" w:rsidRPr="00100AA2" w:rsidRDefault="00E65E2A" w:rsidP="008538F2">
            <w:pPr>
              <w:pStyle w:val="TableTextEntries"/>
              <w:numPr>
                <w:ilvl w:val="0"/>
                <w:numId w:val="21"/>
              </w:numPr>
            </w:pPr>
            <w:r>
              <w:t xml:space="preserve">Endorse the regional situation analysis. </w:t>
            </w:r>
          </w:p>
        </w:tc>
        <w:tc>
          <w:tcPr>
            <w:tcW w:w="964" w:type="dxa"/>
            <w:shd w:val="clear" w:color="auto" w:fill="auto"/>
          </w:tcPr>
          <w:p w:rsidR="00E65E2A" w:rsidRPr="00C13763" w:rsidRDefault="00C13763" w:rsidP="00E65E2A">
            <w:pPr>
              <w:pStyle w:val="TableTextEntries"/>
              <w:jc w:val="center"/>
            </w:pPr>
            <w:r>
              <w:t>n/a</w:t>
            </w:r>
          </w:p>
        </w:tc>
        <w:tc>
          <w:tcPr>
            <w:tcW w:w="6896" w:type="dxa"/>
          </w:tcPr>
          <w:p w:rsidR="00E65E2A" w:rsidRPr="0041381C" w:rsidRDefault="00E65E2A" w:rsidP="00E65E2A">
            <w:pPr>
              <w:pStyle w:val="TableTextEntries"/>
            </w:pPr>
            <w:r>
              <w:t>As a result of the change in government and integration of AusAID into DFAT during the reporting period it was not possible to finalise any strategy-related documentation.</w:t>
            </w:r>
          </w:p>
        </w:tc>
      </w:tr>
      <w:tr w:rsidR="00E65E2A" w:rsidRPr="00180B19" w:rsidTr="00C13763">
        <w:trPr>
          <w:cnfStyle w:val="000000010000" w:firstRow="0" w:lastRow="0" w:firstColumn="0" w:lastColumn="0" w:oddVBand="0" w:evenVBand="0" w:oddHBand="0" w:evenHBand="1" w:firstRowFirstColumn="0" w:firstRowLastColumn="0" w:lastRowFirstColumn="0" w:lastRowLastColumn="0"/>
        </w:trPr>
        <w:tc>
          <w:tcPr>
            <w:tcW w:w="6473" w:type="dxa"/>
          </w:tcPr>
          <w:p w:rsidR="00E65E2A" w:rsidRDefault="00E65E2A" w:rsidP="008538F2">
            <w:pPr>
              <w:pStyle w:val="TableTextEntries"/>
              <w:numPr>
                <w:ilvl w:val="0"/>
                <w:numId w:val="21"/>
              </w:numPr>
            </w:pPr>
            <w:r>
              <w:t>Publish the East Asia Regional Strategy including a performance assessment framework by the end of 2013.</w:t>
            </w:r>
          </w:p>
        </w:tc>
        <w:tc>
          <w:tcPr>
            <w:tcW w:w="964" w:type="dxa"/>
            <w:shd w:val="clear" w:color="auto" w:fill="auto"/>
          </w:tcPr>
          <w:p w:rsidR="00E65E2A" w:rsidRPr="00C13763" w:rsidRDefault="00C13763" w:rsidP="00E65E2A">
            <w:pPr>
              <w:pStyle w:val="TableTextEntries"/>
              <w:jc w:val="center"/>
            </w:pPr>
            <w:r>
              <w:t>n/a</w:t>
            </w:r>
          </w:p>
        </w:tc>
        <w:tc>
          <w:tcPr>
            <w:tcW w:w="6896" w:type="dxa"/>
          </w:tcPr>
          <w:p w:rsidR="00E65E2A" w:rsidRPr="00B30E77" w:rsidRDefault="00E65E2A" w:rsidP="00E65E2A">
            <w:pPr>
              <w:pStyle w:val="TableTextEntries"/>
              <w:rPr>
                <w:color w:val="92D050"/>
              </w:rPr>
            </w:pPr>
          </w:p>
        </w:tc>
      </w:tr>
      <w:tr w:rsidR="00E65E2A" w:rsidRPr="00180B19" w:rsidTr="00C13763">
        <w:trPr>
          <w:cnfStyle w:val="000000010000" w:firstRow="0" w:lastRow="0" w:firstColumn="0" w:lastColumn="0" w:oddVBand="0" w:evenVBand="0" w:oddHBand="0" w:evenHBand="1" w:firstRowFirstColumn="0" w:firstRowLastColumn="0" w:lastRowFirstColumn="0" w:lastRowLastColumn="0"/>
        </w:trPr>
        <w:tc>
          <w:tcPr>
            <w:tcW w:w="6473" w:type="dxa"/>
            <w:shd w:val="clear" w:color="auto" w:fill="auto"/>
          </w:tcPr>
          <w:p w:rsidR="00E65E2A" w:rsidRDefault="00E65E2A" w:rsidP="008538F2">
            <w:pPr>
              <w:pStyle w:val="TableTextEntries"/>
              <w:numPr>
                <w:ilvl w:val="0"/>
                <w:numId w:val="21"/>
              </w:numPr>
            </w:pPr>
            <w:r>
              <w:t>Clarify the strategic intent, program logic and operational arrangements by developing delivery strategies for sustainable economic development, health and human security in 2013-14. In particular the health delivery strategy will need to clarify the relevance and f directions of emerging infectious diseases and HIV/AIDS policies, and clarify the respective roles of DFAT’s Health Policy section and East Asia Regional Section’s roles in relation to policy, strategic guidance and program delivery.</w:t>
            </w:r>
          </w:p>
        </w:tc>
        <w:tc>
          <w:tcPr>
            <w:tcW w:w="964" w:type="dxa"/>
            <w:shd w:val="clear" w:color="auto" w:fill="auto"/>
          </w:tcPr>
          <w:p w:rsidR="00E65E2A" w:rsidRPr="00C13763" w:rsidRDefault="00C13763" w:rsidP="00E65E2A">
            <w:pPr>
              <w:pStyle w:val="TableTextEntries"/>
              <w:jc w:val="center"/>
            </w:pPr>
            <w:r>
              <w:t>n/a</w:t>
            </w:r>
          </w:p>
        </w:tc>
        <w:tc>
          <w:tcPr>
            <w:tcW w:w="6896" w:type="dxa"/>
          </w:tcPr>
          <w:p w:rsidR="00E65E2A" w:rsidRPr="00B30E77" w:rsidRDefault="00E65E2A" w:rsidP="00E65E2A">
            <w:pPr>
              <w:pStyle w:val="TableTextEntries"/>
              <w:rPr>
                <w:color w:val="92D050"/>
              </w:rPr>
            </w:pPr>
          </w:p>
        </w:tc>
      </w:tr>
      <w:tr w:rsidR="00E65E2A" w:rsidRPr="00180B19" w:rsidTr="00C13763">
        <w:trPr>
          <w:cnfStyle w:val="000000010000" w:firstRow="0" w:lastRow="0" w:firstColumn="0" w:lastColumn="0" w:oddVBand="0" w:evenVBand="0" w:oddHBand="0" w:evenHBand="1" w:firstRowFirstColumn="0" w:firstRowLastColumn="0" w:lastRowFirstColumn="0" w:lastRowLastColumn="0"/>
        </w:trPr>
        <w:tc>
          <w:tcPr>
            <w:tcW w:w="6473" w:type="dxa"/>
          </w:tcPr>
          <w:p w:rsidR="00E65E2A" w:rsidRDefault="00E65E2A" w:rsidP="008538F2">
            <w:pPr>
              <w:pStyle w:val="TableTextEntries"/>
              <w:numPr>
                <w:ilvl w:val="0"/>
                <w:numId w:val="21"/>
              </w:numPr>
            </w:pPr>
            <w:r>
              <w:t>Clarify the management and reporting arrangements for Mekong subregion programs.</w:t>
            </w:r>
          </w:p>
        </w:tc>
        <w:tc>
          <w:tcPr>
            <w:tcW w:w="964" w:type="dxa"/>
            <w:shd w:val="clear" w:color="auto" w:fill="auto"/>
          </w:tcPr>
          <w:p w:rsidR="00E65E2A" w:rsidRDefault="00C13763" w:rsidP="00E65E2A">
            <w:pPr>
              <w:pStyle w:val="TableTextEntries"/>
              <w:jc w:val="center"/>
              <w:rPr>
                <w:color w:val="FFFFFF" w:themeColor="background1"/>
              </w:rPr>
            </w:pPr>
            <w:r w:rsidRPr="00C13763">
              <w:t>n/a</w:t>
            </w:r>
          </w:p>
        </w:tc>
        <w:tc>
          <w:tcPr>
            <w:tcW w:w="6896" w:type="dxa"/>
          </w:tcPr>
          <w:p w:rsidR="00E65E2A" w:rsidRPr="0041381C" w:rsidRDefault="00E65E2A" w:rsidP="00C13763">
            <w:pPr>
              <w:pStyle w:val="TableTextEntries"/>
            </w:pPr>
            <w:r>
              <w:t>As a result of the integration of AusAID into DFAT, new management and reporting arrangements for all programs are being determined.</w:t>
            </w:r>
          </w:p>
        </w:tc>
      </w:tr>
      <w:tr w:rsidR="00E65E2A" w:rsidRPr="00180B19" w:rsidTr="00C13763">
        <w:trPr>
          <w:cnfStyle w:val="000000010000" w:firstRow="0" w:lastRow="0" w:firstColumn="0" w:lastColumn="0" w:oddVBand="0" w:evenVBand="0" w:oddHBand="0" w:evenHBand="1" w:firstRowFirstColumn="0" w:firstRowLastColumn="0" w:lastRowFirstColumn="0" w:lastRowLastColumn="0"/>
        </w:trPr>
        <w:tc>
          <w:tcPr>
            <w:tcW w:w="6473" w:type="dxa"/>
          </w:tcPr>
          <w:p w:rsidR="00E65E2A" w:rsidRPr="00C14E28" w:rsidRDefault="00E65E2A" w:rsidP="00E65E2A">
            <w:pPr>
              <w:pStyle w:val="TableTextEntries"/>
              <w:rPr>
                <w:b/>
                <w:i/>
              </w:rPr>
            </w:pPr>
            <w:r w:rsidRPr="00C14E28">
              <w:rPr>
                <w:b/>
                <w:i/>
              </w:rPr>
              <w:t>East Asia Summit</w:t>
            </w:r>
          </w:p>
        </w:tc>
        <w:tc>
          <w:tcPr>
            <w:tcW w:w="964" w:type="dxa"/>
            <w:shd w:val="clear" w:color="auto" w:fill="auto"/>
          </w:tcPr>
          <w:p w:rsidR="00E65E2A" w:rsidRDefault="00E65E2A" w:rsidP="00E65E2A">
            <w:pPr>
              <w:pStyle w:val="TableTextEntries"/>
              <w:jc w:val="center"/>
              <w:rPr>
                <w:color w:val="FFFFFF" w:themeColor="background1"/>
              </w:rPr>
            </w:pPr>
          </w:p>
        </w:tc>
        <w:tc>
          <w:tcPr>
            <w:tcW w:w="6896" w:type="dxa"/>
          </w:tcPr>
          <w:p w:rsidR="00E65E2A" w:rsidRPr="00B30E77" w:rsidRDefault="00E65E2A" w:rsidP="00E65E2A">
            <w:pPr>
              <w:pStyle w:val="TableTextEntries"/>
              <w:rPr>
                <w:color w:val="92D050"/>
              </w:rPr>
            </w:pPr>
          </w:p>
        </w:tc>
      </w:tr>
      <w:tr w:rsidR="00E65E2A" w:rsidRPr="00180B19" w:rsidTr="00C13763">
        <w:trPr>
          <w:cnfStyle w:val="000000010000" w:firstRow="0" w:lastRow="0" w:firstColumn="0" w:lastColumn="0" w:oddVBand="0" w:evenVBand="0" w:oddHBand="0" w:evenHBand="1" w:firstRowFirstColumn="0" w:firstRowLastColumn="0" w:lastRowFirstColumn="0" w:lastRowLastColumn="0"/>
        </w:trPr>
        <w:tc>
          <w:tcPr>
            <w:tcW w:w="6473" w:type="dxa"/>
          </w:tcPr>
          <w:p w:rsidR="00E65E2A" w:rsidRPr="00100AA2" w:rsidRDefault="00E65E2A" w:rsidP="008538F2">
            <w:pPr>
              <w:pStyle w:val="TableTextEntries"/>
              <w:numPr>
                <w:ilvl w:val="0"/>
                <w:numId w:val="22"/>
              </w:numPr>
            </w:pPr>
            <w:r>
              <w:t>Continue to engage with ASEAN and whole-of-government partners to establish an expanded ASEAN Committee for Disaster Management Secretariat by end 2013.</w:t>
            </w:r>
          </w:p>
        </w:tc>
        <w:tc>
          <w:tcPr>
            <w:tcW w:w="964" w:type="dxa"/>
            <w:shd w:val="clear" w:color="auto" w:fill="FF0000"/>
          </w:tcPr>
          <w:p w:rsidR="00E65E2A" w:rsidRDefault="00C13763" w:rsidP="00E65E2A">
            <w:pPr>
              <w:pStyle w:val="TableTextEntries"/>
              <w:jc w:val="center"/>
              <w:rPr>
                <w:color w:val="FFFFFF" w:themeColor="background1"/>
              </w:rPr>
            </w:pPr>
            <w:r>
              <w:rPr>
                <w:color w:val="FFFFFF" w:themeColor="background1"/>
              </w:rPr>
              <w:t>Not achieved</w:t>
            </w:r>
          </w:p>
        </w:tc>
        <w:tc>
          <w:tcPr>
            <w:tcW w:w="6896" w:type="dxa"/>
          </w:tcPr>
          <w:p w:rsidR="00E65E2A" w:rsidRPr="002B7100" w:rsidRDefault="00E65E2A" w:rsidP="00E65E2A">
            <w:pPr>
              <w:pStyle w:val="TableTextEntries"/>
            </w:pPr>
            <w:r w:rsidRPr="002B7100">
              <w:t xml:space="preserve">Despite continued productive engagement with ASEAN and whole-of-government partners little progress was made </w:t>
            </w:r>
            <w:r>
              <w:t xml:space="preserve">and we did not </w:t>
            </w:r>
            <w:r w:rsidRPr="002B7100">
              <w:t xml:space="preserve">establish an expanded ASEAN Committee for Disaster Management (ACDM) Secretariat by the end of 2013. </w:t>
            </w:r>
            <w:r w:rsidR="002F2FD1">
              <w:t xml:space="preserve">However we note the progress achieved with ASEAN in terms of the EMA workshops. </w:t>
            </w:r>
            <w:r w:rsidRPr="002B7100">
              <w:t xml:space="preserve">In an effort to promote greater regional coordination and cooperation on disaster management initiatives Australia continues to actively participate in the annual ACDM session on EAS Cooperation on disaster management. </w:t>
            </w:r>
          </w:p>
          <w:p w:rsidR="00E65E2A" w:rsidRPr="00B30E77" w:rsidRDefault="00E65E2A" w:rsidP="00E65E2A">
            <w:pPr>
              <w:pStyle w:val="TableTextEntries"/>
              <w:rPr>
                <w:color w:val="F79646" w:themeColor="accent6"/>
              </w:rPr>
            </w:pPr>
          </w:p>
        </w:tc>
      </w:tr>
      <w:tr w:rsidR="00E65E2A" w:rsidRPr="00180B19" w:rsidTr="00C13763">
        <w:trPr>
          <w:cnfStyle w:val="000000010000" w:firstRow="0" w:lastRow="0" w:firstColumn="0" w:lastColumn="0" w:oddVBand="0" w:evenVBand="0" w:oddHBand="0" w:evenHBand="1" w:firstRowFirstColumn="0" w:firstRowLastColumn="0" w:lastRowFirstColumn="0" w:lastRowLastColumn="0"/>
        </w:trPr>
        <w:tc>
          <w:tcPr>
            <w:tcW w:w="6473" w:type="dxa"/>
          </w:tcPr>
          <w:p w:rsidR="00E65E2A" w:rsidRPr="00C14E28" w:rsidRDefault="00E65E2A" w:rsidP="00E65E2A">
            <w:pPr>
              <w:pStyle w:val="TableTextEntries"/>
              <w:rPr>
                <w:b/>
                <w:i/>
              </w:rPr>
            </w:pPr>
            <w:r w:rsidRPr="00C14E28">
              <w:rPr>
                <w:b/>
                <w:i/>
              </w:rPr>
              <w:t>ASEAN</w:t>
            </w:r>
          </w:p>
        </w:tc>
        <w:tc>
          <w:tcPr>
            <w:tcW w:w="964" w:type="dxa"/>
            <w:shd w:val="clear" w:color="auto" w:fill="auto"/>
          </w:tcPr>
          <w:p w:rsidR="00E65E2A" w:rsidRDefault="00E65E2A" w:rsidP="00E65E2A">
            <w:pPr>
              <w:pStyle w:val="TableTextEntries"/>
              <w:jc w:val="center"/>
              <w:rPr>
                <w:color w:val="FFFFFF" w:themeColor="background1"/>
              </w:rPr>
            </w:pPr>
          </w:p>
        </w:tc>
        <w:tc>
          <w:tcPr>
            <w:tcW w:w="6896" w:type="dxa"/>
          </w:tcPr>
          <w:p w:rsidR="00E65E2A" w:rsidRPr="00B30E77" w:rsidRDefault="00E65E2A" w:rsidP="00E65E2A">
            <w:pPr>
              <w:pStyle w:val="TableTextEntries"/>
              <w:rPr>
                <w:color w:val="F79646" w:themeColor="accent6"/>
              </w:rPr>
            </w:pPr>
          </w:p>
        </w:tc>
      </w:tr>
      <w:tr w:rsidR="00E65E2A" w:rsidRPr="00180B19" w:rsidTr="00766232">
        <w:trPr>
          <w:cnfStyle w:val="000000010000" w:firstRow="0" w:lastRow="0" w:firstColumn="0" w:lastColumn="0" w:oddVBand="0" w:evenVBand="0" w:oddHBand="0" w:evenHBand="1" w:firstRowFirstColumn="0" w:firstRowLastColumn="0" w:lastRowFirstColumn="0" w:lastRowLastColumn="0"/>
        </w:trPr>
        <w:tc>
          <w:tcPr>
            <w:tcW w:w="6473" w:type="dxa"/>
          </w:tcPr>
          <w:p w:rsidR="00E65E2A" w:rsidRPr="00100AA2" w:rsidRDefault="00E65E2A" w:rsidP="008538F2">
            <w:pPr>
              <w:pStyle w:val="TableTextEntries"/>
              <w:numPr>
                <w:ilvl w:val="0"/>
                <w:numId w:val="23"/>
              </w:numPr>
            </w:pPr>
            <w:r>
              <w:t>Continue to advocate to ASEAN and the ASEAN Secretariat the importance of gender equality issues in regional development practice.</w:t>
            </w:r>
          </w:p>
        </w:tc>
        <w:tc>
          <w:tcPr>
            <w:tcW w:w="964" w:type="dxa"/>
            <w:shd w:val="clear" w:color="auto" w:fill="F79646" w:themeFill="accent6"/>
          </w:tcPr>
          <w:p w:rsidR="00E65E2A" w:rsidRDefault="00C13763" w:rsidP="00E65E2A">
            <w:pPr>
              <w:pStyle w:val="TableTextEntries"/>
              <w:jc w:val="center"/>
              <w:rPr>
                <w:color w:val="FFFFFF" w:themeColor="background1"/>
              </w:rPr>
            </w:pPr>
            <w:r>
              <w:rPr>
                <w:color w:val="FFFFFF" w:themeColor="background1"/>
              </w:rPr>
              <w:t>Partly achieved</w:t>
            </w:r>
          </w:p>
        </w:tc>
        <w:tc>
          <w:tcPr>
            <w:tcW w:w="6896" w:type="dxa"/>
          </w:tcPr>
          <w:p w:rsidR="00E65E2A" w:rsidRPr="0070079B" w:rsidRDefault="002F2FD1" w:rsidP="002F2FD1">
            <w:pPr>
              <w:pStyle w:val="TableTextEntries"/>
            </w:pPr>
            <w:r>
              <w:t>T</w:t>
            </w:r>
            <w:r w:rsidR="00E65E2A">
              <w:t xml:space="preserve">here are limited opportunities to advance </w:t>
            </w:r>
            <w:r>
              <w:t>gender equality</w:t>
            </w:r>
            <w:r w:rsidR="00E65E2A">
              <w:t xml:space="preserve"> issues.</w:t>
            </w:r>
            <w:r w:rsidR="001F5D1E">
              <w:t xml:space="preserve"> </w:t>
            </w:r>
            <w:r w:rsidR="00E65E2A">
              <w:t>However during 2014 DFAT will conduct an expert study on how Australian economic development programs with ASEAN can better address gender equality. This work should also be of relevance to our support to APEC.</w:t>
            </w:r>
          </w:p>
        </w:tc>
      </w:tr>
      <w:tr w:rsidR="00E65E2A" w:rsidRPr="00180B19" w:rsidTr="00C13763">
        <w:trPr>
          <w:cnfStyle w:val="000000010000" w:firstRow="0" w:lastRow="0" w:firstColumn="0" w:lastColumn="0" w:oddVBand="0" w:evenVBand="0" w:oddHBand="0" w:evenHBand="1" w:firstRowFirstColumn="0" w:firstRowLastColumn="0" w:lastRowFirstColumn="0" w:lastRowLastColumn="0"/>
        </w:trPr>
        <w:tc>
          <w:tcPr>
            <w:tcW w:w="6473" w:type="dxa"/>
          </w:tcPr>
          <w:p w:rsidR="00E65E2A" w:rsidRPr="00100AA2" w:rsidRDefault="00E65E2A" w:rsidP="008538F2">
            <w:pPr>
              <w:pStyle w:val="TableTextEntries"/>
              <w:numPr>
                <w:ilvl w:val="0"/>
                <w:numId w:val="23"/>
              </w:numPr>
            </w:pPr>
            <w:r>
              <w:lastRenderedPageBreak/>
              <w:t xml:space="preserve">By 30 June 2013, complete the no-cost extension of the program’s duration to end 2019, as recommended by the 2012 ASEAN Australia </w:t>
            </w:r>
            <w:r w:rsidRPr="00CF3998">
              <w:t>Development Cooperation Project Phase II</w:t>
            </w:r>
            <w:r w:rsidRPr="00CF3998" w:rsidDel="00CF3998">
              <w:t xml:space="preserve"> </w:t>
            </w:r>
            <w:r>
              <w:t>i</w:t>
            </w:r>
            <w:r w:rsidRPr="00227657">
              <w:t xml:space="preserve">ndependent </w:t>
            </w:r>
            <w:r>
              <w:t>p</w:t>
            </w:r>
            <w:r w:rsidRPr="00227657">
              <w:t xml:space="preserve">rogress </w:t>
            </w:r>
            <w:r>
              <w:t>r</w:t>
            </w:r>
            <w:r w:rsidRPr="00227657">
              <w:t xml:space="preserve">eport, </w:t>
            </w:r>
            <w:r>
              <w:t xml:space="preserve">to build on the program’s results achieved to date and realise its </w:t>
            </w:r>
            <w:r w:rsidRPr="007D0EAC">
              <w:t xml:space="preserve">potential </w:t>
            </w:r>
            <w:r>
              <w:t xml:space="preserve">to deliver </w:t>
            </w:r>
            <w:r w:rsidRPr="007D0EAC">
              <w:t>sustainab</w:t>
            </w:r>
            <w:r>
              <w:t>le outcomes</w:t>
            </w:r>
            <w:r w:rsidRPr="007D0EAC">
              <w:t>.</w:t>
            </w:r>
          </w:p>
        </w:tc>
        <w:tc>
          <w:tcPr>
            <w:tcW w:w="964" w:type="dxa"/>
            <w:shd w:val="clear" w:color="auto" w:fill="66B33B"/>
          </w:tcPr>
          <w:p w:rsidR="00E65E2A" w:rsidRDefault="00C13763" w:rsidP="00E65E2A">
            <w:pPr>
              <w:pStyle w:val="TableTextEntries"/>
              <w:jc w:val="center"/>
              <w:rPr>
                <w:color w:val="FFFFFF" w:themeColor="background1"/>
              </w:rPr>
            </w:pPr>
            <w:r>
              <w:rPr>
                <w:color w:val="FFFFFF" w:themeColor="background1"/>
              </w:rPr>
              <w:t>Achieved</w:t>
            </w:r>
          </w:p>
        </w:tc>
        <w:tc>
          <w:tcPr>
            <w:tcW w:w="6896" w:type="dxa"/>
          </w:tcPr>
          <w:p w:rsidR="00E65E2A" w:rsidRPr="00B30E77" w:rsidRDefault="00E65E2A" w:rsidP="00E65E2A">
            <w:pPr>
              <w:pStyle w:val="TableTextEntries"/>
              <w:rPr>
                <w:color w:val="F79646" w:themeColor="accent6"/>
              </w:rPr>
            </w:pPr>
            <w:r>
              <w:t xml:space="preserve">The no-cost extension for </w:t>
            </w:r>
            <w:r w:rsidRPr="002D693D">
              <w:t>AADCPII</w:t>
            </w:r>
            <w:r>
              <w:t>, until December 2019, was finalised in June 2013.</w:t>
            </w:r>
          </w:p>
        </w:tc>
      </w:tr>
      <w:tr w:rsidR="00E65E2A" w:rsidRPr="00180B19" w:rsidTr="00F61B3F">
        <w:trPr>
          <w:cnfStyle w:val="000000010000" w:firstRow="0" w:lastRow="0" w:firstColumn="0" w:lastColumn="0" w:oddVBand="0" w:evenVBand="0" w:oddHBand="0" w:evenHBand="1" w:firstRowFirstColumn="0" w:firstRowLastColumn="0" w:lastRowFirstColumn="0" w:lastRowLastColumn="0"/>
        </w:trPr>
        <w:tc>
          <w:tcPr>
            <w:tcW w:w="6473" w:type="dxa"/>
          </w:tcPr>
          <w:p w:rsidR="00E65E2A" w:rsidRPr="00100AA2" w:rsidRDefault="00F61B3F" w:rsidP="00F61B3F">
            <w:pPr>
              <w:pStyle w:val="TableTextEntries"/>
              <w:numPr>
                <w:ilvl w:val="0"/>
                <w:numId w:val="23"/>
              </w:numPr>
            </w:pPr>
            <w:r>
              <w:t>By December 2013</w:t>
            </w:r>
            <w:r w:rsidR="00E65E2A">
              <w:t xml:space="preserve">, review ASEAN </w:t>
            </w:r>
            <w:r w:rsidR="00E65E2A" w:rsidRPr="00CF3998">
              <w:t>Australia Development Cooperation Project Phase II</w:t>
            </w:r>
            <w:r w:rsidR="00E65E2A" w:rsidRPr="00CF3998" w:rsidDel="00CF3998">
              <w:t xml:space="preserve"> </w:t>
            </w:r>
            <w:r w:rsidR="00E65E2A" w:rsidRPr="00867735">
              <w:t xml:space="preserve">staffing support to </w:t>
            </w:r>
            <w:r w:rsidR="00E65E2A">
              <w:t xml:space="preserve">the </w:t>
            </w:r>
            <w:r w:rsidR="00E65E2A" w:rsidRPr="00CF3998">
              <w:t>ASEAN Secretariat</w:t>
            </w:r>
            <w:r w:rsidR="00E65E2A" w:rsidRPr="00867735">
              <w:t xml:space="preserve"> to confirm the focus and priorities beyond 2014</w:t>
            </w:r>
            <w:r w:rsidR="00E65E2A">
              <w:t>.</w:t>
            </w:r>
          </w:p>
        </w:tc>
        <w:tc>
          <w:tcPr>
            <w:tcW w:w="964" w:type="dxa"/>
            <w:shd w:val="clear" w:color="auto" w:fill="6CB13D"/>
          </w:tcPr>
          <w:p w:rsidR="00E65E2A" w:rsidRDefault="00E65E2A" w:rsidP="00E65E2A">
            <w:pPr>
              <w:pStyle w:val="TableTextEntries"/>
              <w:jc w:val="center"/>
              <w:rPr>
                <w:color w:val="FFFFFF" w:themeColor="background1"/>
              </w:rPr>
            </w:pPr>
          </w:p>
        </w:tc>
        <w:tc>
          <w:tcPr>
            <w:tcW w:w="6896" w:type="dxa"/>
          </w:tcPr>
          <w:p w:rsidR="00E65E2A" w:rsidRPr="00B30E77" w:rsidRDefault="00E65E2A" w:rsidP="00E65E2A">
            <w:pPr>
              <w:pStyle w:val="TableTextEntries"/>
              <w:rPr>
                <w:color w:val="F79646" w:themeColor="accent6"/>
              </w:rPr>
            </w:pPr>
            <w:r w:rsidRPr="002D693D">
              <w:t>The 4</w:t>
            </w:r>
            <w:r w:rsidRPr="002D693D">
              <w:rPr>
                <w:vertAlign w:val="superscript"/>
              </w:rPr>
              <w:t>th</w:t>
            </w:r>
            <w:r w:rsidRPr="002D693D">
              <w:t xml:space="preserve"> Annual Review undertaken in December 2013</w:t>
            </w:r>
            <w:r>
              <w:t xml:space="preserve"> confirmed the current level of program staffing resources as adequate. The review confirmed that a number of ASEC core positions funded by AADCPII have provided significant contribution to ASEC business processes and are valued by ASEC.</w:t>
            </w:r>
            <w:r w:rsidR="001F5D1E">
              <w:t xml:space="preserve"> </w:t>
            </w:r>
            <w:r w:rsidR="002F2FD1">
              <w:t>Discussions have continued between Australia and ASEC regarding future needs AADCPII could address.</w:t>
            </w:r>
            <w:r w:rsidR="001F5D1E">
              <w:t xml:space="preserve"> </w:t>
            </w:r>
            <w:r w:rsidR="002F2FD1">
              <w:t>We are implementing the review recommendation</w:t>
            </w:r>
            <w:r>
              <w:t xml:space="preserve"> continuing to fund contract, economics and finance positions, but hand over funding of HR positions to ASECs own funds.</w:t>
            </w:r>
          </w:p>
        </w:tc>
      </w:tr>
      <w:tr w:rsidR="00E65E2A" w:rsidRPr="00180B19" w:rsidTr="00C13763">
        <w:trPr>
          <w:cnfStyle w:val="000000010000" w:firstRow="0" w:lastRow="0" w:firstColumn="0" w:lastColumn="0" w:oddVBand="0" w:evenVBand="0" w:oddHBand="0" w:evenHBand="1" w:firstRowFirstColumn="0" w:firstRowLastColumn="0" w:lastRowFirstColumn="0" w:lastRowLastColumn="0"/>
        </w:trPr>
        <w:tc>
          <w:tcPr>
            <w:tcW w:w="6473" w:type="dxa"/>
          </w:tcPr>
          <w:p w:rsidR="00E65E2A" w:rsidRPr="00100AA2" w:rsidRDefault="00E65E2A" w:rsidP="008538F2">
            <w:pPr>
              <w:pStyle w:val="TableTextEntries"/>
              <w:numPr>
                <w:ilvl w:val="0"/>
                <w:numId w:val="23"/>
              </w:numPr>
            </w:pPr>
            <w:r>
              <w:t xml:space="preserve">In consultation with </w:t>
            </w:r>
            <w:r w:rsidRPr="00CF3998">
              <w:t>AANZFTA Economic Co-operation Support Program</w:t>
            </w:r>
            <w:r w:rsidRPr="00CF3998" w:rsidDel="00CF3998">
              <w:t xml:space="preserve"> </w:t>
            </w:r>
            <w:r>
              <w:t>partners, develop the management response to the independent progress report by 31 July 2013</w:t>
            </w:r>
            <w:r w:rsidRPr="00B71211">
              <w:t xml:space="preserve"> and implement the agreed recommendations by </w:t>
            </w:r>
            <w:r>
              <w:t xml:space="preserve">the </w:t>
            </w:r>
            <w:r w:rsidRPr="00B71211">
              <w:t xml:space="preserve">end </w:t>
            </w:r>
            <w:r>
              <w:t>of</w:t>
            </w:r>
            <w:r w:rsidRPr="00B71211">
              <w:t xml:space="preserve"> 2013</w:t>
            </w:r>
            <w:r>
              <w:t>–</w:t>
            </w:r>
            <w:r w:rsidRPr="00B71211">
              <w:t>14.</w:t>
            </w:r>
            <w:r>
              <w:t xml:space="preserve"> P</w:t>
            </w:r>
            <w:r w:rsidRPr="00B71211">
              <w:t xml:space="preserve">rogram partners will work together to </w:t>
            </w:r>
            <w:r>
              <w:t xml:space="preserve">consolidate </w:t>
            </w:r>
            <w:r w:rsidRPr="00B71211">
              <w:t>those areas where the program is performing well, and address those issues where improvements can be made</w:t>
            </w:r>
            <w:r>
              <w:t>.</w:t>
            </w:r>
          </w:p>
        </w:tc>
        <w:tc>
          <w:tcPr>
            <w:tcW w:w="964" w:type="dxa"/>
            <w:shd w:val="clear" w:color="auto" w:fill="66B33B"/>
          </w:tcPr>
          <w:p w:rsidR="00E65E2A" w:rsidRDefault="00E65E2A" w:rsidP="00E65E2A">
            <w:pPr>
              <w:pStyle w:val="TableTextEntries"/>
              <w:jc w:val="center"/>
              <w:rPr>
                <w:color w:val="FFFFFF" w:themeColor="background1"/>
              </w:rPr>
            </w:pPr>
          </w:p>
        </w:tc>
        <w:tc>
          <w:tcPr>
            <w:tcW w:w="6896" w:type="dxa"/>
          </w:tcPr>
          <w:p w:rsidR="00E65E2A" w:rsidRPr="00F92FF4" w:rsidRDefault="00E65E2A" w:rsidP="00E65E2A">
            <w:pPr>
              <w:pStyle w:val="TableTextEntries"/>
            </w:pPr>
            <w:r>
              <w:t>The management response to the independent progress report was completed in August 2013. DFAT is currently implementing all responses. The no-cost extension of the program has been approved; the communications strategy is being developed; and devolution of the program to DFAT Jakarta occurred in February 2014.</w:t>
            </w:r>
            <w:r w:rsidR="001F5D1E">
              <w:t xml:space="preserve"> </w:t>
            </w:r>
            <w:r>
              <w:t>Other responses relating to M&amp;E, gender and capacity building are ongoing.</w:t>
            </w:r>
          </w:p>
        </w:tc>
      </w:tr>
      <w:tr w:rsidR="00E65E2A" w:rsidRPr="00180B19" w:rsidTr="00C13763">
        <w:trPr>
          <w:cnfStyle w:val="000000010000" w:firstRow="0" w:lastRow="0" w:firstColumn="0" w:lastColumn="0" w:oddVBand="0" w:evenVBand="0" w:oddHBand="0" w:evenHBand="1" w:firstRowFirstColumn="0" w:firstRowLastColumn="0" w:lastRowFirstColumn="0" w:lastRowLastColumn="0"/>
        </w:trPr>
        <w:tc>
          <w:tcPr>
            <w:tcW w:w="6473" w:type="dxa"/>
          </w:tcPr>
          <w:p w:rsidR="00E65E2A" w:rsidRPr="00045160" w:rsidRDefault="00E65E2A" w:rsidP="00E65E2A">
            <w:pPr>
              <w:pStyle w:val="TableTextEntries"/>
              <w:rPr>
                <w:b/>
                <w:i/>
              </w:rPr>
            </w:pPr>
            <w:r w:rsidRPr="00045160">
              <w:rPr>
                <w:b/>
                <w:i/>
              </w:rPr>
              <w:t>APEC</w:t>
            </w:r>
          </w:p>
        </w:tc>
        <w:tc>
          <w:tcPr>
            <w:tcW w:w="964" w:type="dxa"/>
            <w:shd w:val="clear" w:color="auto" w:fill="auto"/>
          </w:tcPr>
          <w:p w:rsidR="00E65E2A" w:rsidRDefault="00E65E2A" w:rsidP="00E65E2A">
            <w:pPr>
              <w:pStyle w:val="TableTextEntries"/>
              <w:jc w:val="center"/>
              <w:rPr>
                <w:color w:val="FFFFFF" w:themeColor="background1"/>
              </w:rPr>
            </w:pPr>
          </w:p>
        </w:tc>
        <w:tc>
          <w:tcPr>
            <w:tcW w:w="6896" w:type="dxa"/>
          </w:tcPr>
          <w:p w:rsidR="00E65E2A" w:rsidRPr="00B30E77" w:rsidRDefault="00E65E2A" w:rsidP="00E65E2A">
            <w:pPr>
              <w:pStyle w:val="TableTextEntries"/>
              <w:rPr>
                <w:color w:val="F79646" w:themeColor="accent6"/>
              </w:rPr>
            </w:pPr>
          </w:p>
        </w:tc>
      </w:tr>
      <w:tr w:rsidR="00E65E2A" w:rsidRPr="00180B19" w:rsidTr="00766232">
        <w:trPr>
          <w:cnfStyle w:val="000000010000" w:firstRow="0" w:lastRow="0" w:firstColumn="0" w:lastColumn="0" w:oddVBand="0" w:evenVBand="0" w:oddHBand="0" w:evenHBand="1" w:firstRowFirstColumn="0" w:firstRowLastColumn="0" w:lastRowFirstColumn="0" w:lastRowLastColumn="0"/>
        </w:trPr>
        <w:tc>
          <w:tcPr>
            <w:tcW w:w="6473" w:type="dxa"/>
          </w:tcPr>
          <w:p w:rsidR="00E65E2A" w:rsidRPr="00100AA2" w:rsidRDefault="00E65E2A" w:rsidP="008538F2">
            <w:pPr>
              <w:pStyle w:val="TableTextEntries"/>
              <w:numPr>
                <w:ilvl w:val="0"/>
                <w:numId w:val="24"/>
              </w:numPr>
            </w:pPr>
            <w:r>
              <w:t xml:space="preserve">Improve performance management arrangements for the </w:t>
            </w:r>
            <w:r w:rsidRPr="00112ACB">
              <w:t xml:space="preserve">APEC Support Fund </w:t>
            </w:r>
            <w:r>
              <w:t xml:space="preserve">by the end of 2013 through a </w:t>
            </w:r>
            <w:r w:rsidRPr="00227657">
              <w:t xml:space="preserve">comprehensive evaluation framework </w:t>
            </w:r>
            <w:r>
              <w:t>that</w:t>
            </w:r>
            <w:r w:rsidRPr="00227657">
              <w:t xml:space="preserve"> assess</w:t>
            </w:r>
            <w:r>
              <w:t>es</w:t>
            </w:r>
            <w:r w:rsidRPr="00227657">
              <w:t xml:space="preserve"> the impact of </w:t>
            </w:r>
            <w:r w:rsidRPr="00814506">
              <w:t>APEC S</w:t>
            </w:r>
            <w:r>
              <w:t>upport</w:t>
            </w:r>
            <w:r w:rsidRPr="00814506">
              <w:t xml:space="preserve"> Fund </w:t>
            </w:r>
            <w:r w:rsidRPr="00227657">
              <w:t xml:space="preserve">projects in achieving </w:t>
            </w:r>
            <w:r>
              <w:t>its</w:t>
            </w:r>
            <w:r w:rsidRPr="00227657">
              <w:t xml:space="preserve"> capacity building objectives and policy priorities</w:t>
            </w:r>
            <w:r>
              <w:t>.</w:t>
            </w:r>
          </w:p>
        </w:tc>
        <w:tc>
          <w:tcPr>
            <w:tcW w:w="964" w:type="dxa"/>
            <w:shd w:val="clear" w:color="auto" w:fill="F79646" w:themeFill="accent6"/>
          </w:tcPr>
          <w:p w:rsidR="00E65E2A" w:rsidRDefault="00E65E2A" w:rsidP="00E65E2A">
            <w:pPr>
              <w:pStyle w:val="TableTextEntries"/>
              <w:jc w:val="center"/>
              <w:rPr>
                <w:color w:val="FFFFFF" w:themeColor="background1"/>
              </w:rPr>
            </w:pPr>
          </w:p>
        </w:tc>
        <w:tc>
          <w:tcPr>
            <w:tcW w:w="6896" w:type="dxa"/>
          </w:tcPr>
          <w:p w:rsidR="00E65E2A" w:rsidRPr="00D9521A" w:rsidRDefault="00B542B1" w:rsidP="00E65E2A">
            <w:pPr>
              <w:pStyle w:val="TableTextEntries"/>
            </w:pPr>
            <w:r>
              <w:t>In mid-2013, BM</w:t>
            </w:r>
            <w:r w:rsidR="00E65E2A">
              <w:t>C agreed to a new framework to monitor and evaluate APEC projects. Implementation of this framework has commenced. Australia’s support to APEC has resulted in tan improvement in the monitoring and evaluation of APEC projects, including those supported by Australia through the APEC Support Fund.</w:t>
            </w:r>
            <w:r w:rsidR="001F5D1E">
              <w:t xml:space="preserve"> </w:t>
            </w:r>
            <w:r w:rsidR="00E65E2A">
              <w:t>However the pace of change has been uneven due to difficulties of attaining the support of all of the organisations 21 members.</w:t>
            </w:r>
          </w:p>
        </w:tc>
      </w:tr>
      <w:tr w:rsidR="00E65E2A" w:rsidRPr="00180B19" w:rsidTr="00766232">
        <w:trPr>
          <w:cnfStyle w:val="000000010000" w:firstRow="0" w:lastRow="0" w:firstColumn="0" w:lastColumn="0" w:oddVBand="0" w:evenVBand="0" w:oddHBand="0" w:evenHBand="1" w:firstRowFirstColumn="0" w:firstRowLastColumn="0" w:lastRowFirstColumn="0" w:lastRowLastColumn="0"/>
        </w:trPr>
        <w:tc>
          <w:tcPr>
            <w:tcW w:w="6473" w:type="dxa"/>
          </w:tcPr>
          <w:p w:rsidR="00E65E2A" w:rsidRPr="00100AA2" w:rsidRDefault="00E65E2A" w:rsidP="008538F2">
            <w:pPr>
              <w:pStyle w:val="TableTextEntries"/>
              <w:numPr>
                <w:ilvl w:val="0"/>
                <w:numId w:val="24"/>
              </w:numPr>
            </w:pPr>
            <w:r>
              <w:t xml:space="preserve">Commence </w:t>
            </w:r>
            <w:r w:rsidRPr="00227657">
              <w:t xml:space="preserve">a mid-term review of </w:t>
            </w:r>
            <w:r w:rsidRPr="00814506">
              <w:t>APEC S</w:t>
            </w:r>
            <w:r>
              <w:t>upport</w:t>
            </w:r>
            <w:r w:rsidRPr="00814506">
              <w:t xml:space="preserve"> Fund </w:t>
            </w:r>
            <w:r w:rsidRPr="00227657">
              <w:t>multi-year project</w:t>
            </w:r>
            <w:r>
              <w:t>s in the first quarter of 2014.</w:t>
            </w:r>
          </w:p>
        </w:tc>
        <w:tc>
          <w:tcPr>
            <w:tcW w:w="964" w:type="dxa"/>
            <w:shd w:val="clear" w:color="auto" w:fill="F79646" w:themeFill="accent6"/>
          </w:tcPr>
          <w:p w:rsidR="00E65E2A" w:rsidRDefault="00E65E2A" w:rsidP="00E65E2A">
            <w:pPr>
              <w:pStyle w:val="TableTextEntries"/>
              <w:jc w:val="center"/>
              <w:rPr>
                <w:color w:val="FFFFFF" w:themeColor="background1"/>
              </w:rPr>
            </w:pPr>
          </w:p>
        </w:tc>
        <w:tc>
          <w:tcPr>
            <w:tcW w:w="6896" w:type="dxa"/>
          </w:tcPr>
          <w:p w:rsidR="00E65E2A" w:rsidRPr="00D9521A" w:rsidRDefault="00E65E2A" w:rsidP="00B542B1">
            <w:pPr>
              <w:pStyle w:val="TableTextEntries"/>
            </w:pPr>
            <w:r w:rsidRPr="00B542B1">
              <w:t xml:space="preserve">This will occur </w:t>
            </w:r>
            <w:r w:rsidR="00B542B1">
              <w:t>in the second half of 2014.</w:t>
            </w:r>
          </w:p>
        </w:tc>
      </w:tr>
      <w:tr w:rsidR="00E65E2A" w:rsidRPr="00180B19" w:rsidTr="00C13763">
        <w:trPr>
          <w:cnfStyle w:val="000000010000" w:firstRow="0" w:lastRow="0" w:firstColumn="0" w:lastColumn="0" w:oddVBand="0" w:evenVBand="0" w:oddHBand="0" w:evenHBand="1" w:firstRowFirstColumn="0" w:firstRowLastColumn="0" w:lastRowFirstColumn="0" w:lastRowLastColumn="0"/>
        </w:trPr>
        <w:tc>
          <w:tcPr>
            <w:tcW w:w="6473" w:type="dxa"/>
          </w:tcPr>
          <w:p w:rsidR="00E65E2A" w:rsidRPr="00045160" w:rsidRDefault="00E65E2A" w:rsidP="00E65E2A">
            <w:pPr>
              <w:pStyle w:val="TableTextEntries"/>
              <w:rPr>
                <w:b/>
                <w:i/>
              </w:rPr>
            </w:pPr>
            <w:r w:rsidRPr="00045160">
              <w:rPr>
                <w:b/>
                <w:i/>
              </w:rPr>
              <w:t>Whole of Government Engagement</w:t>
            </w:r>
          </w:p>
        </w:tc>
        <w:tc>
          <w:tcPr>
            <w:tcW w:w="964" w:type="dxa"/>
            <w:shd w:val="clear" w:color="auto" w:fill="auto"/>
          </w:tcPr>
          <w:p w:rsidR="00E65E2A" w:rsidRDefault="00E65E2A" w:rsidP="00E65E2A">
            <w:pPr>
              <w:pStyle w:val="TableTextEntries"/>
              <w:jc w:val="center"/>
              <w:rPr>
                <w:color w:val="FFFFFF" w:themeColor="background1"/>
              </w:rPr>
            </w:pPr>
          </w:p>
        </w:tc>
        <w:tc>
          <w:tcPr>
            <w:tcW w:w="6896" w:type="dxa"/>
          </w:tcPr>
          <w:p w:rsidR="00E65E2A" w:rsidRPr="00B30E77" w:rsidRDefault="00E65E2A" w:rsidP="00E65E2A">
            <w:pPr>
              <w:pStyle w:val="TableTextEntries"/>
              <w:rPr>
                <w:color w:val="F79646" w:themeColor="accent6"/>
              </w:rPr>
            </w:pPr>
          </w:p>
        </w:tc>
      </w:tr>
      <w:tr w:rsidR="00E65E2A" w:rsidRPr="00180B19" w:rsidTr="00766232">
        <w:trPr>
          <w:cnfStyle w:val="000000010000" w:firstRow="0" w:lastRow="0" w:firstColumn="0" w:lastColumn="0" w:oddVBand="0" w:evenVBand="0" w:oddHBand="0" w:evenHBand="1" w:firstRowFirstColumn="0" w:firstRowLastColumn="0" w:lastRowFirstColumn="0" w:lastRowLastColumn="0"/>
        </w:trPr>
        <w:tc>
          <w:tcPr>
            <w:tcW w:w="6473" w:type="dxa"/>
          </w:tcPr>
          <w:p w:rsidR="00E65E2A" w:rsidRPr="00100AA2" w:rsidRDefault="00E65E2A" w:rsidP="008538F2">
            <w:pPr>
              <w:pStyle w:val="TableTextEntries"/>
              <w:numPr>
                <w:ilvl w:val="0"/>
                <w:numId w:val="25"/>
              </w:numPr>
            </w:pPr>
            <w:r w:rsidRPr="002358E0">
              <w:t xml:space="preserve">Resolve by end 2013 whether a separate mechanism that addresses the needs of </w:t>
            </w:r>
            <w:r>
              <w:t xml:space="preserve">the </w:t>
            </w:r>
            <w:r w:rsidRPr="00227657">
              <w:t xml:space="preserve">East Asia Regional </w:t>
            </w:r>
            <w:r>
              <w:t xml:space="preserve">Section’s </w:t>
            </w:r>
            <w:r>
              <w:rPr>
                <w:bCs/>
                <w:szCs w:val="16"/>
              </w:rPr>
              <w:t>whole-of-government</w:t>
            </w:r>
            <w:r w:rsidRPr="00227657">
              <w:rPr>
                <w:bCs/>
                <w:szCs w:val="16"/>
              </w:rPr>
              <w:t xml:space="preserve"> </w:t>
            </w:r>
            <w:r w:rsidRPr="002358E0">
              <w:t xml:space="preserve">partners in progressing economic integration will need to be implemented to supplement </w:t>
            </w:r>
            <w:r w:rsidRPr="00565B17">
              <w:t>Government Partnerships for Development</w:t>
            </w:r>
            <w:r>
              <w:t>.</w:t>
            </w:r>
          </w:p>
        </w:tc>
        <w:tc>
          <w:tcPr>
            <w:tcW w:w="964" w:type="dxa"/>
            <w:shd w:val="clear" w:color="auto" w:fill="F79646" w:themeFill="accent6"/>
          </w:tcPr>
          <w:p w:rsidR="00E65E2A" w:rsidRDefault="00E65E2A" w:rsidP="00E65E2A">
            <w:pPr>
              <w:pStyle w:val="TableTextEntries"/>
              <w:jc w:val="center"/>
              <w:rPr>
                <w:color w:val="FFFFFF" w:themeColor="background1"/>
              </w:rPr>
            </w:pPr>
          </w:p>
        </w:tc>
        <w:tc>
          <w:tcPr>
            <w:tcW w:w="6896" w:type="dxa"/>
          </w:tcPr>
          <w:p w:rsidR="00E65E2A" w:rsidRPr="002B7100" w:rsidRDefault="006B1119" w:rsidP="00E65E2A">
            <w:pPr>
              <w:pStyle w:val="TableTextEntries"/>
            </w:pPr>
            <w:r>
              <w:t>It was determined that no new</w:t>
            </w:r>
            <w:r w:rsidR="00E65E2A" w:rsidRPr="002B7100">
              <w:t xml:space="preserve"> funding mechanism </w:t>
            </w:r>
            <w:r>
              <w:t>was needed</w:t>
            </w:r>
            <w:r w:rsidR="00E65E2A" w:rsidRPr="002B7100">
              <w:t xml:space="preserve"> for whole of government partner</w:t>
            </w:r>
            <w:r>
              <w:t xml:space="preserve"> activitie</w:t>
            </w:r>
            <w:r w:rsidR="00E65E2A" w:rsidRPr="002B7100">
              <w:t>s in 2013-14.</w:t>
            </w:r>
            <w:r w:rsidR="001F5D1E">
              <w:t xml:space="preserve"> </w:t>
            </w:r>
            <w:r>
              <w:t xml:space="preserve">Existing mechanisms such as GPFD and the APEC Targeted Cooperation Facility met all needs. </w:t>
            </w:r>
          </w:p>
          <w:p w:rsidR="00E65E2A" w:rsidRPr="00B30E77" w:rsidRDefault="00E65E2A" w:rsidP="00E65E2A">
            <w:pPr>
              <w:pStyle w:val="TableTextEntries"/>
              <w:rPr>
                <w:color w:val="F79646" w:themeColor="accent6"/>
              </w:rPr>
            </w:pPr>
          </w:p>
        </w:tc>
      </w:tr>
      <w:tr w:rsidR="00E65E2A" w:rsidRPr="00180B19" w:rsidTr="00C13763">
        <w:trPr>
          <w:cnfStyle w:val="000000010000" w:firstRow="0" w:lastRow="0" w:firstColumn="0" w:lastColumn="0" w:oddVBand="0" w:evenVBand="0" w:oddHBand="0" w:evenHBand="1" w:firstRowFirstColumn="0" w:firstRowLastColumn="0" w:lastRowFirstColumn="0" w:lastRowLastColumn="0"/>
        </w:trPr>
        <w:tc>
          <w:tcPr>
            <w:tcW w:w="6473" w:type="dxa"/>
          </w:tcPr>
          <w:p w:rsidR="00E65E2A" w:rsidRPr="00045160" w:rsidRDefault="00E65E2A" w:rsidP="00E65E2A">
            <w:pPr>
              <w:pStyle w:val="TableTextEntries"/>
              <w:rPr>
                <w:b/>
                <w:i/>
              </w:rPr>
            </w:pPr>
            <w:r w:rsidRPr="00045160">
              <w:rPr>
                <w:b/>
                <w:i/>
              </w:rPr>
              <w:t>Mekong Regional Connectivity</w:t>
            </w:r>
          </w:p>
        </w:tc>
        <w:tc>
          <w:tcPr>
            <w:tcW w:w="964" w:type="dxa"/>
            <w:shd w:val="clear" w:color="auto" w:fill="auto"/>
          </w:tcPr>
          <w:p w:rsidR="00E65E2A" w:rsidRDefault="00E65E2A" w:rsidP="00E65E2A">
            <w:pPr>
              <w:pStyle w:val="TableTextEntries"/>
              <w:jc w:val="center"/>
              <w:rPr>
                <w:color w:val="FFFFFF" w:themeColor="background1"/>
              </w:rPr>
            </w:pPr>
          </w:p>
        </w:tc>
        <w:tc>
          <w:tcPr>
            <w:tcW w:w="6896" w:type="dxa"/>
          </w:tcPr>
          <w:p w:rsidR="00E65E2A" w:rsidRPr="00B30E77" w:rsidRDefault="00E65E2A" w:rsidP="00E65E2A">
            <w:pPr>
              <w:pStyle w:val="TableTextEntries"/>
              <w:rPr>
                <w:color w:val="F79646" w:themeColor="accent6"/>
              </w:rPr>
            </w:pPr>
          </w:p>
        </w:tc>
      </w:tr>
      <w:tr w:rsidR="00E65E2A" w:rsidRPr="00180B19" w:rsidTr="000D733F">
        <w:trPr>
          <w:cnfStyle w:val="000000010000" w:firstRow="0" w:lastRow="0" w:firstColumn="0" w:lastColumn="0" w:oddVBand="0" w:evenVBand="0" w:oddHBand="0" w:evenHBand="1" w:firstRowFirstColumn="0" w:firstRowLastColumn="0" w:lastRowFirstColumn="0" w:lastRowLastColumn="0"/>
        </w:trPr>
        <w:tc>
          <w:tcPr>
            <w:tcW w:w="6473" w:type="dxa"/>
          </w:tcPr>
          <w:p w:rsidR="00E65E2A" w:rsidRPr="00100AA2" w:rsidRDefault="00E65E2A" w:rsidP="008538F2">
            <w:pPr>
              <w:pStyle w:val="TableTextEntries"/>
              <w:numPr>
                <w:ilvl w:val="0"/>
                <w:numId w:val="26"/>
              </w:numPr>
            </w:pPr>
            <w:r>
              <w:t>Improve the performance management arrangements for the Australian–</w:t>
            </w:r>
            <w:r w:rsidRPr="00112ACB">
              <w:t>A</w:t>
            </w:r>
            <w:r>
              <w:t xml:space="preserve">sian </w:t>
            </w:r>
            <w:r w:rsidRPr="00112ACB">
              <w:t>D</w:t>
            </w:r>
            <w:r>
              <w:t xml:space="preserve">evelopment </w:t>
            </w:r>
            <w:r w:rsidRPr="00112ACB">
              <w:t>B</w:t>
            </w:r>
            <w:r>
              <w:t>ank</w:t>
            </w:r>
            <w:r w:rsidRPr="00112ACB">
              <w:t xml:space="preserve"> G</w:t>
            </w:r>
            <w:r>
              <w:t xml:space="preserve">reater </w:t>
            </w:r>
            <w:r w:rsidRPr="00112ACB">
              <w:t>M</w:t>
            </w:r>
            <w:r>
              <w:t xml:space="preserve">ekong </w:t>
            </w:r>
            <w:r w:rsidRPr="00112ACB">
              <w:t>S</w:t>
            </w:r>
            <w:r>
              <w:t>ubregion</w:t>
            </w:r>
            <w:r w:rsidRPr="00112ACB">
              <w:t xml:space="preserve"> Trade and Transport Facilitation project </w:t>
            </w:r>
            <w:r>
              <w:t xml:space="preserve">by developing a more </w:t>
            </w:r>
            <w:r w:rsidRPr="00227657">
              <w:t xml:space="preserve">comprehensive </w:t>
            </w:r>
            <w:r>
              <w:t>monitoring and evaluation</w:t>
            </w:r>
            <w:r w:rsidRPr="00227657">
              <w:t xml:space="preserve"> framework</w:t>
            </w:r>
            <w:r>
              <w:t xml:space="preserve"> by the end of 2013.</w:t>
            </w:r>
          </w:p>
        </w:tc>
        <w:tc>
          <w:tcPr>
            <w:tcW w:w="964" w:type="dxa"/>
            <w:shd w:val="clear" w:color="auto" w:fill="FF0000"/>
          </w:tcPr>
          <w:p w:rsidR="00E65E2A" w:rsidRDefault="00E65E2A" w:rsidP="00E65E2A">
            <w:pPr>
              <w:pStyle w:val="TableTextEntries"/>
              <w:jc w:val="center"/>
              <w:rPr>
                <w:color w:val="FFFFFF" w:themeColor="background1"/>
              </w:rPr>
            </w:pPr>
          </w:p>
        </w:tc>
        <w:tc>
          <w:tcPr>
            <w:tcW w:w="6896" w:type="dxa"/>
          </w:tcPr>
          <w:p w:rsidR="00E65E2A" w:rsidRPr="00C212E1" w:rsidRDefault="00E65E2A" w:rsidP="00E1419A">
            <w:pPr>
              <w:pStyle w:val="TableTextEntries"/>
            </w:pPr>
            <w:r>
              <w:t>The mid-term review (see below) found that the monitoring framework for the project requires a significant amount of revision to provide the performance information required.</w:t>
            </w:r>
            <w:r w:rsidR="001F5D1E">
              <w:t xml:space="preserve"> </w:t>
            </w:r>
            <w:r>
              <w:t xml:space="preserve">An M&amp;E specialist </w:t>
            </w:r>
            <w:r w:rsidR="00E1419A">
              <w:t>has been engaged in</w:t>
            </w:r>
            <w:r>
              <w:t xml:space="preserve"> 2014 </w:t>
            </w:r>
            <w:r w:rsidR="00E1419A">
              <w:t>and the findings of the M&amp;E report will inform the monitoring framework for the second and final phase of the project</w:t>
            </w:r>
            <w:r>
              <w:t>.</w:t>
            </w:r>
          </w:p>
        </w:tc>
      </w:tr>
      <w:tr w:rsidR="00E65E2A" w:rsidRPr="00180B19" w:rsidTr="00766232">
        <w:trPr>
          <w:cnfStyle w:val="000000010000" w:firstRow="0" w:lastRow="0" w:firstColumn="0" w:lastColumn="0" w:oddVBand="0" w:evenVBand="0" w:oddHBand="0" w:evenHBand="1" w:firstRowFirstColumn="0" w:firstRowLastColumn="0" w:lastRowFirstColumn="0" w:lastRowLastColumn="0"/>
        </w:trPr>
        <w:tc>
          <w:tcPr>
            <w:tcW w:w="6473" w:type="dxa"/>
          </w:tcPr>
          <w:p w:rsidR="00E65E2A" w:rsidRPr="00100AA2" w:rsidRDefault="00E65E2A" w:rsidP="008538F2">
            <w:pPr>
              <w:pStyle w:val="TableTextEntries"/>
              <w:numPr>
                <w:ilvl w:val="0"/>
                <w:numId w:val="26"/>
              </w:numPr>
            </w:pPr>
            <w:r w:rsidRPr="00227657">
              <w:t>Undertake a mid-term review of progress and future direction of the project</w:t>
            </w:r>
            <w:r>
              <w:t xml:space="preserve"> by end 2013.</w:t>
            </w:r>
          </w:p>
        </w:tc>
        <w:tc>
          <w:tcPr>
            <w:tcW w:w="964" w:type="dxa"/>
            <w:shd w:val="clear" w:color="auto" w:fill="F79646" w:themeFill="accent6"/>
          </w:tcPr>
          <w:p w:rsidR="00E65E2A" w:rsidRDefault="00E65E2A" w:rsidP="00E65E2A">
            <w:pPr>
              <w:pStyle w:val="TableTextEntries"/>
              <w:jc w:val="center"/>
              <w:rPr>
                <w:color w:val="FFFFFF" w:themeColor="background1"/>
              </w:rPr>
            </w:pPr>
          </w:p>
        </w:tc>
        <w:tc>
          <w:tcPr>
            <w:tcW w:w="6896" w:type="dxa"/>
          </w:tcPr>
          <w:p w:rsidR="00E65E2A" w:rsidRPr="00C212E1" w:rsidRDefault="00E65E2A" w:rsidP="00CB37D6">
            <w:pPr>
              <w:pStyle w:val="TableTextEntries"/>
            </w:pPr>
            <w:r>
              <w:t>Timing of the mid-term review slipped to Decemb</w:t>
            </w:r>
            <w:r w:rsidR="00E1419A">
              <w:t>er 2013 to March 2014. F</w:t>
            </w:r>
            <w:r>
              <w:t xml:space="preserve">indings </w:t>
            </w:r>
            <w:r w:rsidR="00E1419A">
              <w:t xml:space="preserve">of the review </w:t>
            </w:r>
            <w:r>
              <w:t>provide the basis for changes to the design and implementation</w:t>
            </w:r>
            <w:r w:rsidR="00CB37D6">
              <w:t xml:space="preserve"> of the project in its second and final phase</w:t>
            </w:r>
            <w:r>
              <w:t>.</w:t>
            </w:r>
          </w:p>
        </w:tc>
      </w:tr>
      <w:tr w:rsidR="00E65E2A" w:rsidRPr="00180B19" w:rsidTr="00C13763">
        <w:trPr>
          <w:cnfStyle w:val="000000010000" w:firstRow="0" w:lastRow="0" w:firstColumn="0" w:lastColumn="0" w:oddVBand="0" w:evenVBand="0" w:oddHBand="0" w:evenHBand="1" w:firstRowFirstColumn="0" w:firstRowLastColumn="0" w:lastRowFirstColumn="0" w:lastRowLastColumn="0"/>
        </w:trPr>
        <w:tc>
          <w:tcPr>
            <w:tcW w:w="6473" w:type="dxa"/>
          </w:tcPr>
          <w:p w:rsidR="00E65E2A" w:rsidRPr="00045160" w:rsidRDefault="00E65E2A" w:rsidP="00E65E2A">
            <w:pPr>
              <w:pStyle w:val="TableTextEntries"/>
              <w:rPr>
                <w:b/>
                <w:i/>
              </w:rPr>
            </w:pPr>
            <w:r w:rsidRPr="00045160">
              <w:rPr>
                <w:b/>
                <w:i/>
              </w:rPr>
              <w:lastRenderedPageBreak/>
              <w:t>Addressing Priority Transboundary Issues</w:t>
            </w:r>
          </w:p>
        </w:tc>
        <w:tc>
          <w:tcPr>
            <w:tcW w:w="964" w:type="dxa"/>
            <w:shd w:val="clear" w:color="auto" w:fill="auto"/>
          </w:tcPr>
          <w:p w:rsidR="00E65E2A" w:rsidRDefault="00E65E2A" w:rsidP="00E65E2A">
            <w:pPr>
              <w:pStyle w:val="TableTextEntries"/>
              <w:jc w:val="center"/>
              <w:rPr>
                <w:color w:val="FFFFFF" w:themeColor="background1"/>
              </w:rPr>
            </w:pPr>
          </w:p>
        </w:tc>
        <w:tc>
          <w:tcPr>
            <w:tcW w:w="6896" w:type="dxa"/>
          </w:tcPr>
          <w:p w:rsidR="00E65E2A" w:rsidRPr="00B30E77" w:rsidRDefault="00E65E2A" w:rsidP="00E65E2A">
            <w:pPr>
              <w:pStyle w:val="TableTextEntries"/>
              <w:rPr>
                <w:color w:val="F79646" w:themeColor="accent6"/>
              </w:rPr>
            </w:pPr>
          </w:p>
        </w:tc>
      </w:tr>
      <w:tr w:rsidR="00E65E2A" w:rsidRPr="00180B19" w:rsidTr="00C13763">
        <w:trPr>
          <w:cnfStyle w:val="000000010000" w:firstRow="0" w:lastRow="0" w:firstColumn="0" w:lastColumn="0" w:oddVBand="0" w:evenVBand="0" w:oddHBand="0" w:evenHBand="1" w:firstRowFirstColumn="0" w:firstRowLastColumn="0" w:lastRowFirstColumn="0" w:lastRowLastColumn="0"/>
        </w:trPr>
        <w:tc>
          <w:tcPr>
            <w:tcW w:w="6473" w:type="dxa"/>
          </w:tcPr>
          <w:p w:rsidR="00E65E2A" w:rsidRPr="00100AA2" w:rsidRDefault="00E65E2A" w:rsidP="008538F2">
            <w:pPr>
              <w:pStyle w:val="TableTextEntries"/>
              <w:numPr>
                <w:ilvl w:val="0"/>
                <w:numId w:val="27"/>
              </w:numPr>
            </w:pPr>
            <w:r w:rsidRPr="00BF1BC8">
              <w:t xml:space="preserve">Develop a </w:t>
            </w:r>
            <w:r>
              <w:t>h</w:t>
            </w:r>
            <w:r w:rsidRPr="00BF1BC8">
              <w:t xml:space="preserve">uman </w:t>
            </w:r>
            <w:r>
              <w:t>s</w:t>
            </w:r>
            <w:r w:rsidRPr="00BF1BC8">
              <w:t xml:space="preserve">ecurity delivery </w:t>
            </w:r>
            <w:r w:rsidRPr="00EA189F">
              <w:t>strategy</w:t>
            </w:r>
            <w:r w:rsidRPr="00BF1BC8">
              <w:t xml:space="preserve"> </w:t>
            </w:r>
            <w:r>
              <w:t xml:space="preserve">by the </w:t>
            </w:r>
            <w:r w:rsidRPr="00BF1BC8">
              <w:t xml:space="preserve">end </w:t>
            </w:r>
            <w:r>
              <w:t xml:space="preserve">of </w:t>
            </w:r>
            <w:r w:rsidRPr="00BF1BC8">
              <w:t xml:space="preserve">2013 to guide </w:t>
            </w:r>
            <w:r>
              <w:t>DFAT’s</w:t>
            </w:r>
            <w:r w:rsidRPr="00BF1BC8">
              <w:t xml:space="preserve"> regional programming of human security issues in East Asia</w:t>
            </w:r>
          </w:p>
        </w:tc>
        <w:tc>
          <w:tcPr>
            <w:tcW w:w="964" w:type="dxa"/>
            <w:shd w:val="clear" w:color="auto" w:fill="auto"/>
          </w:tcPr>
          <w:p w:rsidR="00E65E2A" w:rsidRPr="00C13763" w:rsidRDefault="00C13763" w:rsidP="00E65E2A">
            <w:pPr>
              <w:pStyle w:val="TableTextEntries"/>
              <w:jc w:val="center"/>
            </w:pPr>
            <w:r>
              <w:t>n/a</w:t>
            </w:r>
          </w:p>
        </w:tc>
        <w:tc>
          <w:tcPr>
            <w:tcW w:w="6896" w:type="dxa"/>
          </w:tcPr>
          <w:p w:rsidR="00E65E2A" w:rsidRPr="00B30E77" w:rsidRDefault="00E65E2A" w:rsidP="00E65E2A">
            <w:pPr>
              <w:pStyle w:val="TableTextEntries"/>
              <w:rPr>
                <w:color w:val="F79646" w:themeColor="accent6"/>
              </w:rPr>
            </w:pPr>
            <w:r>
              <w:t>As a result of the change in government and integration of AusAID into DFAT during the reporting period it was not possible to finalise any strategy-related documentation.</w:t>
            </w:r>
          </w:p>
        </w:tc>
      </w:tr>
      <w:tr w:rsidR="00E65E2A" w:rsidRPr="00180B19" w:rsidTr="00C13763">
        <w:trPr>
          <w:cnfStyle w:val="000000010000" w:firstRow="0" w:lastRow="0" w:firstColumn="0" w:lastColumn="0" w:oddVBand="0" w:evenVBand="0" w:oddHBand="0" w:evenHBand="1" w:firstRowFirstColumn="0" w:firstRowLastColumn="0" w:lastRowFirstColumn="0" w:lastRowLastColumn="0"/>
        </w:trPr>
        <w:tc>
          <w:tcPr>
            <w:tcW w:w="6473" w:type="dxa"/>
          </w:tcPr>
          <w:p w:rsidR="00E65E2A" w:rsidRPr="00100AA2" w:rsidRDefault="00E65E2A" w:rsidP="008538F2">
            <w:pPr>
              <w:pStyle w:val="TableTextEntries"/>
              <w:numPr>
                <w:ilvl w:val="0"/>
                <w:numId w:val="27"/>
              </w:numPr>
            </w:pPr>
            <w:r w:rsidRPr="00BF1BC8">
              <w:t xml:space="preserve">Develop a health delivery strategy by </w:t>
            </w:r>
            <w:r>
              <w:t xml:space="preserve">the </w:t>
            </w:r>
            <w:r w:rsidRPr="00BF1BC8">
              <w:t xml:space="preserve">end </w:t>
            </w:r>
            <w:r>
              <w:t xml:space="preserve">of </w:t>
            </w:r>
            <w:r w:rsidRPr="00BF1BC8">
              <w:t xml:space="preserve">2013 to guide </w:t>
            </w:r>
            <w:r>
              <w:t>DFAT’s</w:t>
            </w:r>
            <w:r w:rsidRPr="00BF1BC8">
              <w:t xml:space="preserve"> regional programming of health initiatives in East Asia</w:t>
            </w:r>
          </w:p>
        </w:tc>
        <w:tc>
          <w:tcPr>
            <w:tcW w:w="964" w:type="dxa"/>
            <w:shd w:val="clear" w:color="auto" w:fill="auto"/>
          </w:tcPr>
          <w:p w:rsidR="00E65E2A" w:rsidRPr="00C13763" w:rsidRDefault="00C13763" w:rsidP="00E65E2A">
            <w:pPr>
              <w:pStyle w:val="TableTextEntries"/>
              <w:jc w:val="center"/>
            </w:pPr>
            <w:r>
              <w:t>n/a</w:t>
            </w:r>
          </w:p>
        </w:tc>
        <w:tc>
          <w:tcPr>
            <w:tcW w:w="6896" w:type="dxa"/>
          </w:tcPr>
          <w:p w:rsidR="00E65E2A" w:rsidRPr="00B30E77" w:rsidRDefault="00E65E2A" w:rsidP="00E65E2A">
            <w:pPr>
              <w:pStyle w:val="TableTextEntries"/>
              <w:rPr>
                <w:color w:val="F79646" w:themeColor="accent6"/>
              </w:rPr>
            </w:pPr>
            <w:r>
              <w:t>As a result of the change in government and integration of AusAID into DFAT during the reporting period it was not possible to finalise any strategy-related documentation.</w:t>
            </w:r>
          </w:p>
        </w:tc>
      </w:tr>
      <w:tr w:rsidR="00E65E2A" w:rsidRPr="00180B19" w:rsidTr="00C13763">
        <w:trPr>
          <w:cnfStyle w:val="000000010000" w:firstRow="0" w:lastRow="0" w:firstColumn="0" w:lastColumn="0" w:oddVBand="0" w:evenVBand="0" w:oddHBand="0" w:evenHBand="1" w:firstRowFirstColumn="0" w:firstRowLastColumn="0" w:lastRowFirstColumn="0" w:lastRowLastColumn="0"/>
        </w:trPr>
        <w:tc>
          <w:tcPr>
            <w:tcW w:w="6473" w:type="dxa"/>
          </w:tcPr>
          <w:p w:rsidR="00E65E2A" w:rsidRPr="00100AA2" w:rsidRDefault="00E65E2A" w:rsidP="008538F2">
            <w:pPr>
              <w:pStyle w:val="TableTextEntries"/>
              <w:numPr>
                <w:ilvl w:val="0"/>
                <w:numId w:val="27"/>
              </w:numPr>
              <w:spacing w:before="240"/>
            </w:pPr>
            <w:r w:rsidRPr="00076D47">
              <w:t>Develop a plan for future investments in the human security and health portfolios post 2015 (managed from the Bangkok Regional Office), which will involve further consolidation of the number of regional activities and reflect the following decisions</w:t>
            </w:r>
            <w:r>
              <w:t>:</w:t>
            </w:r>
            <w:r>
              <w:br/>
              <w:t>a)</w:t>
            </w:r>
            <w:r w:rsidR="001F5D1E">
              <w:t xml:space="preserve"> </w:t>
            </w:r>
            <w:r>
              <w:t>a</w:t>
            </w:r>
            <w:r w:rsidRPr="00076D47">
              <w:t>pproved exit strategy for current HIV/AIDS harm reduction program by August 2013</w:t>
            </w:r>
            <w:r>
              <w:br/>
              <w:t>b)</w:t>
            </w:r>
            <w:r w:rsidR="001F5D1E">
              <w:t xml:space="preserve"> </w:t>
            </w:r>
            <w:r>
              <w:t>a</w:t>
            </w:r>
            <w:r w:rsidRPr="00076D47">
              <w:t>pproved approach to the decent work agenda in South East Asia by February 2014</w:t>
            </w:r>
          </w:p>
        </w:tc>
        <w:tc>
          <w:tcPr>
            <w:tcW w:w="964" w:type="dxa"/>
            <w:shd w:val="clear" w:color="auto" w:fill="66B33B"/>
          </w:tcPr>
          <w:p w:rsidR="00E65E2A" w:rsidRDefault="00E65E2A" w:rsidP="00E65E2A">
            <w:pPr>
              <w:pStyle w:val="TableTextEntries"/>
              <w:jc w:val="center"/>
              <w:rPr>
                <w:color w:val="FFFFFF" w:themeColor="background1"/>
              </w:rPr>
            </w:pPr>
          </w:p>
        </w:tc>
        <w:tc>
          <w:tcPr>
            <w:tcW w:w="6896" w:type="dxa"/>
          </w:tcPr>
          <w:p w:rsidR="00E65E2A" w:rsidRDefault="00E65E2A" w:rsidP="00E65E2A">
            <w:pPr>
              <w:pStyle w:val="TableTextEntries"/>
              <w:rPr>
                <w:color w:val="F79646" w:themeColor="accent6"/>
              </w:rPr>
            </w:pPr>
          </w:p>
          <w:p w:rsidR="00E65E2A" w:rsidRPr="00A119A8" w:rsidRDefault="00E65E2A" w:rsidP="001C15AA">
            <w:pPr>
              <w:pStyle w:val="TableTextEntries"/>
            </w:pPr>
            <w:r>
              <w:t>Work began on pipeline planning for post -2015 however the change of government and budget reductions for 2013-14 changed the parameters.</w:t>
            </w:r>
            <w:r w:rsidR="001F5D1E">
              <w:t xml:space="preserve"> </w:t>
            </w:r>
            <w:r>
              <w:t>The exit strategy for the HIV/AIDS harm reduction program was approved in December 2013.</w:t>
            </w:r>
            <w:r w:rsidR="001F5D1E">
              <w:t xml:space="preserve"> </w:t>
            </w:r>
            <w:r>
              <w:t>We</w:t>
            </w:r>
            <w:r w:rsidRPr="00663AA2">
              <w:t xml:space="preserve"> are </w:t>
            </w:r>
            <w:r>
              <w:t>also progressing</w:t>
            </w:r>
            <w:r w:rsidRPr="00663AA2">
              <w:t xml:space="preserve"> scoping work for a potential regional program on the quality of essential medicines.</w:t>
            </w:r>
            <w:r w:rsidR="001F5D1E">
              <w:t xml:space="preserve"> </w:t>
            </w:r>
          </w:p>
        </w:tc>
      </w:tr>
      <w:tr w:rsidR="00E65E2A" w:rsidRPr="00180B19" w:rsidTr="00766232">
        <w:trPr>
          <w:cnfStyle w:val="000000010000" w:firstRow="0" w:lastRow="0" w:firstColumn="0" w:lastColumn="0" w:oddVBand="0" w:evenVBand="0" w:oddHBand="0" w:evenHBand="1" w:firstRowFirstColumn="0" w:firstRowLastColumn="0" w:lastRowFirstColumn="0" w:lastRowLastColumn="0"/>
        </w:trPr>
        <w:tc>
          <w:tcPr>
            <w:tcW w:w="6473" w:type="dxa"/>
          </w:tcPr>
          <w:p w:rsidR="00E65E2A" w:rsidRPr="00100AA2" w:rsidRDefault="00E65E2A" w:rsidP="008538F2">
            <w:pPr>
              <w:pStyle w:val="TableTextEntries"/>
              <w:numPr>
                <w:ilvl w:val="0"/>
                <w:numId w:val="27"/>
              </w:numPr>
            </w:pPr>
            <w:r w:rsidRPr="00BF1BC8">
              <w:t>Begin implement</w:t>
            </w:r>
            <w:r>
              <w:t xml:space="preserve">ing </w:t>
            </w:r>
            <w:r w:rsidRPr="00BF1BC8">
              <w:t>the regional malaria prevention program</w:t>
            </w:r>
            <w:r>
              <w:t xml:space="preserve"> </w:t>
            </w:r>
            <w:r w:rsidRPr="002E240B">
              <w:t>from 1 July 2013</w:t>
            </w:r>
          </w:p>
        </w:tc>
        <w:tc>
          <w:tcPr>
            <w:tcW w:w="964" w:type="dxa"/>
            <w:shd w:val="clear" w:color="auto" w:fill="F79646" w:themeFill="accent6"/>
          </w:tcPr>
          <w:p w:rsidR="00E65E2A" w:rsidRDefault="00E65E2A" w:rsidP="00E65E2A">
            <w:pPr>
              <w:pStyle w:val="TableTextEntries"/>
              <w:jc w:val="center"/>
              <w:rPr>
                <w:color w:val="FFFFFF" w:themeColor="background1"/>
              </w:rPr>
            </w:pPr>
          </w:p>
        </w:tc>
        <w:tc>
          <w:tcPr>
            <w:tcW w:w="6896" w:type="dxa"/>
          </w:tcPr>
          <w:p w:rsidR="00E65E2A" w:rsidRPr="00A119A8" w:rsidRDefault="00E65E2A" w:rsidP="00E65E2A">
            <w:pPr>
              <w:pStyle w:val="TableTextEntries"/>
            </w:pPr>
            <w:r w:rsidRPr="00663AA2">
              <w:t>Work began in mid-2013 on the formal handover of program management responsibilities of the malaria regional program from Canberra Health Policy Section to Bangkok Post.</w:t>
            </w:r>
            <w:r w:rsidR="001F5D1E">
              <w:t xml:space="preserve"> </w:t>
            </w:r>
            <w:r w:rsidRPr="00663AA2">
              <w:t>However, the change in government, the integration of AusAID into DFAT, and budget reductions for 2013-14 delayed the actual transfer of fu</w:t>
            </w:r>
            <w:r>
              <w:t>nds to</w:t>
            </w:r>
            <w:r w:rsidRPr="00663AA2">
              <w:t xml:space="preserve"> Bangkok </w:t>
            </w:r>
            <w:r>
              <w:t>Post until</w:t>
            </w:r>
            <w:r w:rsidRPr="00663AA2">
              <w:t xml:space="preserve"> end-February 2014</w:t>
            </w:r>
            <w:r>
              <w:t>. F</w:t>
            </w:r>
            <w:r w:rsidRPr="00663AA2">
              <w:t>ormal management handover proces</w:t>
            </w:r>
            <w:r>
              <w:t xml:space="preserve">ses to Post </w:t>
            </w:r>
            <w:r w:rsidRPr="00663AA2">
              <w:t>commenced in March 2014.</w:t>
            </w:r>
          </w:p>
        </w:tc>
      </w:tr>
      <w:tr w:rsidR="00E65E2A" w:rsidRPr="00180B19" w:rsidTr="00C13763">
        <w:trPr>
          <w:cnfStyle w:val="000000010000" w:firstRow="0" w:lastRow="0" w:firstColumn="0" w:lastColumn="0" w:oddVBand="0" w:evenVBand="0" w:oddHBand="0" w:evenHBand="1" w:firstRowFirstColumn="0" w:firstRowLastColumn="0" w:lastRowFirstColumn="0" w:lastRowLastColumn="0"/>
        </w:trPr>
        <w:tc>
          <w:tcPr>
            <w:tcW w:w="6473" w:type="dxa"/>
          </w:tcPr>
          <w:p w:rsidR="00E65E2A" w:rsidRPr="00100AA2" w:rsidRDefault="00E65E2A" w:rsidP="008538F2">
            <w:pPr>
              <w:pStyle w:val="TableTextEntries"/>
              <w:numPr>
                <w:ilvl w:val="0"/>
                <w:numId w:val="27"/>
              </w:numPr>
            </w:pPr>
            <w:r>
              <w:t>Start</w:t>
            </w:r>
            <w:r w:rsidRPr="00BF1BC8">
              <w:t xml:space="preserve"> establish</w:t>
            </w:r>
            <w:r>
              <w:t xml:space="preserve">ing </w:t>
            </w:r>
            <w:r w:rsidRPr="00BF1BC8">
              <w:t xml:space="preserve">the </w:t>
            </w:r>
            <w:r w:rsidRPr="00565B17">
              <w:t>Australia</w:t>
            </w:r>
            <w:r>
              <w:t>–</w:t>
            </w:r>
            <w:r w:rsidRPr="00565B17">
              <w:t xml:space="preserve">Asia Program to Combat Trafficking in Persons </w:t>
            </w:r>
            <w:r w:rsidRPr="00BF1BC8">
              <w:t xml:space="preserve">program </w:t>
            </w:r>
            <w:r w:rsidRPr="002E240B">
              <w:t xml:space="preserve">by August 2013 </w:t>
            </w:r>
            <w:r>
              <w:t xml:space="preserve">including </w:t>
            </w:r>
            <w:r w:rsidRPr="00BF1BC8">
              <w:t>recruit</w:t>
            </w:r>
            <w:r>
              <w:t xml:space="preserve">ing </w:t>
            </w:r>
            <w:r w:rsidRPr="00BF1BC8">
              <w:t>the program</w:t>
            </w:r>
            <w:r>
              <w:t>’s</w:t>
            </w:r>
            <w:r w:rsidRPr="00BF1BC8">
              <w:t xml:space="preserve"> advocacy manager</w:t>
            </w:r>
            <w:r>
              <w:t>.</w:t>
            </w:r>
          </w:p>
        </w:tc>
        <w:tc>
          <w:tcPr>
            <w:tcW w:w="964" w:type="dxa"/>
            <w:shd w:val="clear" w:color="auto" w:fill="66B33B"/>
          </w:tcPr>
          <w:p w:rsidR="00E65E2A" w:rsidRDefault="00E65E2A" w:rsidP="00E65E2A">
            <w:pPr>
              <w:pStyle w:val="TableTextEntries"/>
              <w:jc w:val="center"/>
              <w:rPr>
                <w:color w:val="FFFFFF" w:themeColor="background1"/>
              </w:rPr>
            </w:pPr>
          </w:p>
        </w:tc>
        <w:tc>
          <w:tcPr>
            <w:tcW w:w="6896" w:type="dxa"/>
          </w:tcPr>
          <w:p w:rsidR="00E65E2A" w:rsidRPr="00A119A8" w:rsidRDefault="00E65E2A" w:rsidP="00E65E2A">
            <w:pPr>
              <w:pStyle w:val="TableTextEntries"/>
            </w:pPr>
            <w:r>
              <w:t xml:space="preserve">The </w:t>
            </w:r>
            <w:r w:rsidRPr="00565B17">
              <w:t>Australia</w:t>
            </w:r>
            <w:r>
              <w:t>–</w:t>
            </w:r>
            <w:r w:rsidRPr="00565B17">
              <w:t>Asia Program to Combat Trafficking in Persons</w:t>
            </w:r>
            <w:r>
              <w:t xml:space="preserve"> began in August 2013 and the Partnership and Advocacy Manager began work in November 2013.</w:t>
            </w:r>
          </w:p>
        </w:tc>
      </w:tr>
      <w:tr w:rsidR="00E65E2A" w:rsidRPr="00180B19" w:rsidTr="00C13763">
        <w:trPr>
          <w:cnfStyle w:val="000000010000" w:firstRow="0" w:lastRow="0" w:firstColumn="0" w:lastColumn="0" w:oddVBand="0" w:evenVBand="0" w:oddHBand="0" w:evenHBand="1" w:firstRowFirstColumn="0" w:firstRowLastColumn="0" w:lastRowFirstColumn="0" w:lastRowLastColumn="0"/>
        </w:trPr>
        <w:tc>
          <w:tcPr>
            <w:tcW w:w="6473" w:type="dxa"/>
          </w:tcPr>
          <w:p w:rsidR="00E65E2A" w:rsidRPr="00100AA2" w:rsidRDefault="00E65E2A" w:rsidP="008538F2">
            <w:pPr>
              <w:pStyle w:val="TableTextEntries"/>
              <w:numPr>
                <w:ilvl w:val="0"/>
                <w:numId w:val="27"/>
              </w:numPr>
            </w:pPr>
            <w:r w:rsidRPr="00BF1BC8">
              <w:t>Complete an independent review of Project Childhood by end 2013</w:t>
            </w:r>
            <w:r>
              <w:t>.</w:t>
            </w:r>
          </w:p>
        </w:tc>
        <w:tc>
          <w:tcPr>
            <w:tcW w:w="964" w:type="dxa"/>
            <w:shd w:val="clear" w:color="auto" w:fill="66B33B"/>
          </w:tcPr>
          <w:p w:rsidR="00E65E2A" w:rsidRDefault="00E65E2A" w:rsidP="00E65E2A">
            <w:pPr>
              <w:pStyle w:val="TableTextEntries"/>
              <w:jc w:val="center"/>
              <w:rPr>
                <w:color w:val="FFFFFF" w:themeColor="background1"/>
              </w:rPr>
            </w:pPr>
          </w:p>
        </w:tc>
        <w:tc>
          <w:tcPr>
            <w:tcW w:w="6896" w:type="dxa"/>
          </w:tcPr>
          <w:p w:rsidR="00E65E2A" w:rsidRPr="00A119A8" w:rsidRDefault="00E65E2A" w:rsidP="00E65E2A">
            <w:pPr>
              <w:pStyle w:val="TableTextEntries"/>
            </w:pPr>
            <w:r>
              <w:t>An independent evaluation of Project Childhood was completed in November 2013.</w:t>
            </w:r>
          </w:p>
        </w:tc>
      </w:tr>
      <w:tr w:rsidR="00E65E2A" w:rsidRPr="00180B19" w:rsidTr="00C13763">
        <w:trPr>
          <w:cnfStyle w:val="000000010000" w:firstRow="0" w:lastRow="0" w:firstColumn="0" w:lastColumn="0" w:oddVBand="0" w:evenVBand="0" w:oddHBand="0" w:evenHBand="1" w:firstRowFirstColumn="0" w:firstRowLastColumn="0" w:lastRowFirstColumn="0" w:lastRowLastColumn="0"/>
        </w:trPr>
        <w:tc>
          <w:tcPr>
            <w:tcW w:w="6473" w:type="dxa"/>
          </w:tcPr>
          <w:p w:rsidR="00E65E2A" w:rsidRPr="00D12065" w:rsidRDefault="00E65E2A" w:rsidP="00E65E2A">
            <w:pPr>
              <w:pStyle w:val="TableTextEntries"/>
              <w:rPr>
                <w:b/>
                <w:i/>
              </w:rPr>
            </w:pPr>
            <w:r w:rsidRPr="00D12065">
              <w:rPr>
                <w:b/>
                <w:i/>
              </w:rPr>
              <w:t>Disaster Management</w:t>
            </w:r>
          </w:p>
        </w:tc>
        <w:tc>
          <w:tcPr>
            <w:tcW w:w="964" w:type="dxa"/>
            <w:shd w:val="clear" w:color="auto" w:fill="auto"/>
          </w:tcPr>
          <w:p w:rsidR="00E65E2A" w:rsidRDefault="00E65E2A" w:rsidP="00E65E2A">
            <w:pPr>
              <w:pStyle w:val="TableTextEntries"/>
              <w:jc w:val="center"/>
              <w:rPr>
                <w:color w:val="FFFFFF" w:themeColor="background1"/>
              </w:rPr>
            </w:pPr>
          </w:p>
        </w:tc>
        <w:tc>
          <w:tcPr>
            <w:tcW w:w="6896" w:type="dxa"/>
          </w:tcPr>
          <w:p w:rsidR="00E65E2A" w:rsidRPr="00B30E77" w:rsidRDefault="00E65E2A" w:rsidP="00E65E2A">
            <w:pPr>
              <w:pStyle w:val="TableTextEntries"/>
              <w:rPr>
                <w:color w:val="F79646" w:themeColor="accent6"/>
              </w:rPr>
            </w:pPr>
          </w:p>
        </w:tc>
      </w:tr>
      <w:tr w:rsidR="00E65E2A" w:rsidRPr="00180B19" w:rsidTr="00C13763">
        <w:trPr>
          <w:cnfStyle w:val="000000010000" w:firstRow="0" w:lastRow="0" w:firstColumn="0" w:lastColumn="0" w:oddVBand="0" w:evenVBand="0" w:oddHBand="0" w:evenHBand="1" w:firstRowFirstColumn="0" w:firstRowLastColumn="0" w:lastRowFirstColumn="0" w:lastRowLastColumn="0"/>
        </w:trPr>
        <w:tc>
          <w:tcPr>
            <w:tcW w:w="6473" w:type="dxa"/>
          </w:tcPr>
          <w:p w:rsidR="00E65E2A" w:rsidRPr="00100AA2" w:rsidRDefault="00E65E2A" w:rsidP="008538F2">
            <w:pPr>
              <w:pStyle w:val="TableTextEntries"/>
              <w:numPr>
                <w:ilvl w:val="0"/>
                <w:numId w:val="28"/>
              </w:numPr>
            </w:pPr>
            <w:r>
              <w:t>I</w:t>
            </w:r>
            <w:r w:rsidRPr="00D90B4D">
              <w:t>mprove regional coordination in responding to natural disasters</w:t>
            </w:r>
            <w:r>
              <w:t xml:space="preserve"> by wo</w:t>
            </w:r>
            <w:r w:rsidRPr="00227657">
              <w:t>rk</w:t>
            </w:r>
            <w:r>
              <w:t>ing</w:t>
            </w:r>
            <w:r w:rsidRPr="00227657">
              <w:t xml:space="preserve"> with E</w:t>
            </w:r>
            <w:r>
              <w:t xml:space="preserve">mergency </w:t>
            </w:r>
            <w:r w:rsidRPr="00227657">
              <w:t>M</w:t>
            </w:r>
            <w:r>
              <w:t xml:space="preserve">anagement </w:t>
            </w:r>
            <w:r w:rsidRPr="00227657">
              <w:t>A</w:t>
            </w:r>
            <w:r>
              <w:t>ustralia</w:t>
            </w:r>
            <w:r w:rsidRPr="00227657">
              <w:t xml:space="preserve"> to deliver a workshop on disaster rapid response</w:t>
            </w:r>
            <w:r>
              <w:t xml:space="preserve"> by end 2013</w:t>
            </w:r>
          </w:p>
        </w:tc>
        <w:tc>
          <w:tcPr>
            <w:tcW w:w="964" w:type="dxa"/>
            <w:shd w:val="clear" w:color="auto" w:fill="66B33B"/>
          </w:tcPr>
          <w:p w:rsidR="00E65E2A" w:rsidRDefault="00E65E2A" w:rsidP="00E65E2A">
            <w:pPr>
              <w:pStyle w:val="TableTextEntries"/>
              <w:jc w:val="center"/>
              <w:rPr>
                <w:color w:val="FFFFFF" w:themeColor="background1"/>
              </w:rPr>
            </w:pPr>
          </w:p>
        </w:tc>
        <w:tc>
          <w:tcPr>
            <w:tcW w:w="6896" w:type="dxa"/>
          </w:tcPr>
          <w:p w:rsidR="00E65E2A" w:rsidRPr="006E70B9" w:rsidRDefault="00E65E2A" w:rsidP="00E65E2A">
            <w:pPr>
              <w:pStyle w:val="TableTextEntries"/>
            </w:pPr>
            <w:r w:rsidRPr="006E70B9">
              <w:t>DFAT funded EMA to deliver a disaster rapid response workshop in Darwin in September 2013. The workshop brought together EAS officials from national disaster management organisations, health organisations and foreign affairs to discuss a range of issues related to improving regional coordination in responding to natural disasters. An Action Plan was agreed to by EAS countries which identified obstacles to regional coordination and recommendations to improve these. Progress against this Plan will be monitored and reported on in at a follow-up workshop in 2014.</w:t>
            </w:r>
          </w:p>
          <w:p w:rsidR="00E65E2A" w:rsidRPr="00B30E77" w:rsidRDefault="00E65E2A" w:rsidP="00E65E2A">
            <w:pPr>
              <w:pStyle w:val="TableTextEntries"/>
              <w:rPr>
                <w:color w:val="F79646" w:themeColor="accent6"/>
              </w:rPr>
            </w:pPr>
          </w:p>
        </w:tc>
      </w:tr>
    </w:tbl>
    <w:p w:rsidR="000D733F" w:rsidRPr="00FE4491" w:rsidRDefault="000D733F" w:rsidP="000D733F">
      <w:pPr>
        <w:pStyle w:val="Note"/>
      </w:pPr>
      <w:r w:rsidRPr="00FE4491">
        <w:t xml:space="preserve">Note: </w:t>
      </w:r>
    </w:p>
    <w:p w:rsidR="000D733F" w:rsidRPr="00671434" w:rsidRDefault="000D733F" w:rsidP="000D733F">
      <w:pPr>
        <w:pStyle w:val="Note"/>
      </w:pPr>
      <w:r w:rsidRPr="0075352D">
        <w:rPr>
          <w:color w:val="72AF2F"/>
        </w:rPr>
        <w:sym w:font="Webdings" w:char="F067"/>
      </w:r>
      <w:r w:rsidRPr="00FE4491">
        <w:t> </w:t>
      </w:r>
      <w:r w:rsidRPr="00FE4491">
        <w:t xml:space="preserve"> </w:t>
      </w:r>
      <w:r w:rsidRPr="00EA3BAD">
        <w:t>Achieved.</w:t>
      </w:r>
      <w:r w:rsidR="001F5D1E">
        <w:t xml:space="preserve"> </w:t>
      </w:r>
      <w:r w:rsidRPr="00706D30">
        <w:t xml:space="preserve">Significant progress has been made in addressing </w:t>
      </w:r>
      <w:r>
        <w:t xml:space="preserve">the issue </w:t>
      </w:r>
    </w:p>
    <w:p w:rsidR="000D733F" w:rsidRPr="00EA3BAD" w:rsidRDefault="000D733F" w:rsidP="000D733F">
      <w:pPr>
        <w:pStyle w:val="Note"/>
      </w:pPr>
      <w:r w:rsidRPr="00EA3BAD">
        <w:rPr>
          <w:color w:val="E36C0A"/>
        </w:rPr>
        <w:sym w:font="Webdings" w:char="F067"/>
      </w:r>
      <w:r w:rsidRPr="00EA3BAD">
        <w:t> </w:t>
      </w:r>
      <w:r w:rsidRPr="00EA3BAD">
        <w:t xml:space="preserve"> Partly achieved.</w:t>
      </w:r>
      <w:r w:rsidR="001F5D1E">
        <w:t xml:space="preserve"> </w:t>
      </w:r>
      <w:r>
        <w:t>Some pr</w:t>
      </w:r>
      <w:r w:rsidRPr="00EA3BAD">
        <w:t xml:space="preserve">ogress </w:t>
      </w:r>
      <w:r>
        <w:t xml:space="preserve">has been made in addressing the issue, but the issue has not been resolved </w:t>
      </w:r>
    </w:p>
    <w:p w:rsidR="000D733F" w:rsidRDefault="000D733F" w:rsidP="000D733F">
      <w:pPr>
        <w:pStyle w:val="Note"/>
      </w:pPr>
      <w:r w:rsidRPr="00EA3BAD">
        <w:rPr>
          <w:color w:val="FF0000"/>
        </w:rPr>
        <w:sym w:font="Webdings" w:char="F067"/>
      </w:r>
      <w:r w:rsidRPr="00EA3BAD">
        <w:t> </w:t>
      </w:r>
      <w:r w:rsidRPr="00EA3BAD">
        <w:t xml:space="preserve"> Not achieved. Progress </w:t>
      </w:r>
      <w:r>
        <w:t xml:space="preserve">in addressing the issue </w:t>
      </w:r>
      <w:r w:rsidRPr="00EA3BAD">
        <w:t>has been significantly below expectations</w:t>
      </w:r>
    </w:p>
    <w:p w:rsidR="000D733F" w:rsidRDefault="000D733F" w:rsidP="000D733F">
      <w:pPr>
        <w:pStyle w:val="BodyText"/>
      </w:pPr>
    </w:p>
    <w:p w:rsidR="000D733F" w:rsidRDefault="000D733F" w:rsidP="000D733F">
      <w:pPr>
        <w:spacing w:after="200" w:line="276" w:lineRule="auto"/>
        <w:rPr>
          <w:rFonts w:ascii="Franklin Gothic Book" w:hAnsi="Franklin Gothic Book"/>
          <w:sz w:val="21"/>
        </w:rPr>
      </w:pPr>
    </w:p>
    <w:p w:rsidR="000D733F" w:rsidRPr="009E38C1" w:rsidRDefault="000D733F" w:rsidP="000D733F">
      <w:pPr>
        <w:pStyle w:val="Heading2"/>
        <w:tabs>
          <w:tab w:val="left" w:pos="1560"/>
        </w:tabs>
        <w:rPr>
          <w:sz w:val="28"/>
        </w:rPr>
      </w:pPr>
      <w:r w:rsidRPr="009E38C1">
        <w:rPr>
          <w:sz w:val="28"/>
        </w:rPr>
        <w:lastRenderedPageBreak/>
        <w:t xml:space="preserve">Annex B </w:t>
      </w:r>
      <w:r w:rsidRPr="009E38C1">
        <w:rPr>
          <w:sz w:val="28"/>
        </w:rPr>
        <w:tab/>
      </w:r>
    </w:p>
    <w:p w:rsidR="000D733F" w:rsidRPr="009E38C1" w:rsidRDefault="000D733F" w:rsidP="000D733F">
      <w:pPr>
        <w:pStyle w:val="Heading2"/>
        <w:rPr>
          <w:sz w:val="28"/>
        </w:rPr>
      </w:pPr>
      <w:r w:rsidRPr="009E38C1">
        <w:rPr>
          <w:sz w:val="28"/>
        </w:rPr>
        <w:t>Quality at Implementation ratings</w:t>
      </w:r>
    </w:p>
    <w:tbl>
      <w:tblPr>
        <w:tblStyle w:val="APPR"/>
        <w:tblW w:w="4244" w:type="pct"/>
        <w:tblLayout w:type="fixed"/>
        <w:tblLook w:val="0000" w:firstRow="0" w:lastRow="0" w:firstColumn="0" w:lastColumn="0" w:noHBand="0" w:noVBand="0"/>
      </w:tblPr>
      <w:tblGrid>
        <w:gridCol w:w="2446"/>
        <w:gridCol w:w="1873"/>
        <w:gridCol w:w="33"/>
        <w:gridCol w:w="1698"/>
        <w:gridCol w:w="42"/>
        <w:gridCol w:w="1001"/>
        <w:gridCol w:w="40"/>
        <w:gridCol w:w="1004"/>
        <w:gridCol w:w="37"/>
        <w:gridCol w:w="1008"/>
        <w:gridCol w:w="33"/>
        <w:gridCol w:w="1013"/>
        <w:gridCol w:w="1018"/>
        <w:gridCol w:w="1015"/>
      </w:tblGrid>
      <w:tr w:rsidR="00D70BA2" w:rsidRPr="009D53C4" w:rsidTr="00D45ABF">
        <w:trPr>
          <w:cnfStyle w:val="000000010000" w:firstRow="0" w:lastRow="0" w:firstColumn="0" w:lastColumn="0" w:oddVBand="0" w:evenVBand="0" w:oddHBand="0" w:evenHBand="1" w:firstRowFirstColumn="0" w:firstRowLastColumn="0" w:lastRowFirstColumn="0" w:lastRowLastColumn="0"/>
          <w:trHeight w:val="1413"/>
        </w:trPr>
        <w:tc>
          <w:tcPr>
            <w:tcW w:w="992" w:type="pct"/>
          </w:tcPr>
          <w:p w:rsidR="000D733F" w:rsidRPr="00FE4491" w:rsidRDefault="000D733F" w:rsidP="000D733F">
            <w:pPr>
              <w:pStyle w:val="TableTextColumnHeading"/>
            </w:pPr>
            <w:r w:rsidRPr="00FE4491">
              <w:rPr>
                <w:noProof/>
                <w:lang w:eastAsia="en-AU"/>
              </w:rPr>
              <w:drawing>
                <wp:anchor distT="0" distB="0" distL="114300" distR="114300" simplePos="0" relativeHeight="251665408" behindDoc="0" locked="0" layoutInCell="1" allowOverlap="1" wp14:anchorId="2330125D" wp14:editId="063D2C84">
                  <wp:simplePos x="0" y="0"/>
                  <wp:positionH relativeFrom="column">
                    <wp:posOffset>0</wp:posOffset>
                  </wp:positionH>
                  <wp:positionV relativeFrom="paragraph">
                    <wp:posOffset>0</wp:posOffset>
                  </wp:positionV>
                  <wp:extent cx="1857375" cy="228600"/>
                  <wp:effectExtent l="0" t="0" r="9525" b="0"/>
                  <wp:wrapNone/>
                  <wp:docPr id="14" name="Picture 1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CD2">
              <w:t>Investment</w:t>
            </w:r>
            <w:r w:rsidRPr="00FE4491">
              <w:t xml:space="preserve"> name</w:t>
            </w:r>
          </w:p>
        </w:tc>
        <w:tc>
          <w:tcPr>
            <w:tcW w:w="763" w:type="pct"/>
            <w:gridSpan w:val="2"/>
            <w:textDirection w:val="btLr"/>
          </w:tcPr>
          <w:p w:rsidR="000D733F" w:rsidRPr="00FE4491" w:rsidRDefault="000D733F" w:rsidP="000D733F">
            <w:pPr>
              <w:pStyle w:val="TableTextColumnHeading"/>
            </w:pPr>
            <w:r w:rsidRPr="00FE4491">
              <w:t>Approved budget and duration</w:t>
            </w:r>
          </w:p>
        </w:tc>
        <w:tc>
          <w:tcPr>
            <w:tcW w:w="695" w:type="pct"/>
            <w:gridSpan w:val="2"/>
            <w:textDirection w:val="btLr"/>
          </w:tcPr>
          <w:p w:rsidR="000D733F" w:rsidRPr="00FE4491" w:rsidRDefault="0023686F" w:rsidP="000D733F">
            <w:pPr>
              <w:pStyle w:val="TableTextColumnHeading"/>
            </w:pPr>
            <w:r>
              <w:t>QA</w:t>
            </w:r>
            <w:r w:rsidR="000D733F" w:rsidRPr="00FE4491">
              <w:t>I year</w:t>
            </w:r>
          </w:p>
        </w:tc>
        <w:tc>
          <w:tcPr>
            <w:tcW w:w="407" w:type="pct"/>
            <w:gridSpan w:val="2"/>
            <w:textDirection w:val="btLr"/>
          </w:tcPr>
          <w:p w:rsidR="000D733F" w:rsidRPr="00FE4491" w:rsidRDefault="000D733F" w:rsidP="000D733F">
            <w:pPr>
              <w:pStyle w:val="TableTextColumnHeading"/>
            </w:pPr>
            <w:r w:rsidRPr="00FE4491">
              <w:t>Relevance</w:t>
            </w:r>
          </w:p>
        </w:tc>
        <w:tc>
          <w:tcPr>
            <w:tcW w:w="407" w:type="pct"/>
            <w:gridSpan w:val="2"/>
            <w:textDirection w:val="btLr"/>
          </w:tcPr>
          <w:p w:rsidR="000D733F" w:rsidRPr="00FE4491" w:rsidRDefault="000D733F" w:rsidP="000D733F">
            <w:pPr>
              <w:pStyle w:val="TableTextColumnHeading"/>
            </w:pPr>
            <w:r w:rsidRPr="00FE4491">
              <w:t>Effectiveness</w:t>
            </w:r>
          </w:p>
        </w:tc>
        <w:tc>
          <w:tcPr>
            <w:tcW w:w="407" w:type="pct"/>
            <w:gridSpan w:val="2"/>
            <w:textDirection w:val="btLr"/>
          </w:tcPr>
          <w:p w:rsidR="000D733F" w:rsidRPr="00FE4491" w:rsidRDefault="000D733F" w:rsidP="000D733F">
            <w:pPr>
              <w:pStyle w:val="TableTextColumnHeading"/>
            </w:pPr>
            <w:r w:rsidRPr="00FE4491">
              <w:t>Efficiency</w:t>
            </w:r>
          </w:p>
        </w:tc>
        <w:tc>
          <w:tcPr>
            <w:tcW w:w="407" w:type="pct"/>
            <w:textDirection w:val="btLr"/>
          </w:tcPr>
          <w:p w:rsidR="000D733F" w:rsidRPr="00FE4491" w:rsidRDefault="000D733F" w:rsidP="000D733F">
            <w:pPr>
              <w:pStyle w:val="TableTextColumnHeading"/>
            </w:pPr>
            <w:r w:rsidRPr="00FE4491">
              <w:t>Monitoring and Evaluation</w:t>
            </w:r>
          </w:p>
        </w:tc>
        <w:tc>
          <w:tcPr>
            <w:tcW w:w="407" w:type="pct"/>
            <w:textDirection w:val="btLr"/>
          </w:tcPr>
          <w:p w:rsidR="000D733F" w:rsidRPr="00FE4491" w:rsidRDefault="000D733F" w:rsidP="000D733F">
            <w:pPr>
              <w:pStyle w:val="TableTextColumnHeading"/>
            </w:pPr>
            <w:r w:rsidRPr="00FE4491">
              <w:t>Sustainability</w:t>
            </w:r>
          </w:p>
        </w:tc>
        <w:tc>
          <w:tcPr>
            <w:tcW w:w="402" w:type="pct"/>
            <w:textDirection w:val="btLr"/>
          </w:tcPr>
          <w:p w:rsidR="000D733F" w:rsidRPr="00FE4491" w:rsidRDefault="000D733F" w:rsidP="000D733F">
            <w:pPr>
              <w:pStyle w:val="TableTextColumnHeading"/>
            </w:pPr>
            <w:r w:rsidRPr="00FE4491">
              <w:t>Gender equality</w:t>
            </w:r>
          </w:p>
        </w:tc>
      </w:tr>
      <w:tr w:rsidR="00D45ABF" w:rsidRPr="009D53C4" w:rsidTr="00D45ABF">
        <w:trPr>
          <w:cnfStyle w:val="000000010000" w:firstRow="0" w:lastRow="0" w:firstColumn="0" w:lastColumn="0" w:oddVBand="0" w:evenVBand="0" w:oddHBand="0" w:evenHBand="1" w:firstRowFirstColumn="0" w:firstRowLastColumn="0" w:lastRowFirstColumn="0" w:lastRowLastColumn="0"/>
          <w:trHeight w:val="284"/>
        </w:trPr>
        <w:tc>
          <w:tcPr>
            <w:tcW w:w="991" w:type="pct"/>
            <w:vMerge w:val="restart"/>
          </w:tcPr>
          <w:p w:rsidR="000D733F" w:rsidRPr="00FE4491" w:rsidRDefault="000D733F" w:rsidP="000D733F">
            <w:pPr>
              <w:pStyle w:val="TableTextEntries"/>
            </w:pPr>
          </w:p>
        </w:tc>
        <w:tc>
          <w:tcPr>
            <w:tcW w:w="762" w:type="pct"/>
            <w:vMerge w:val="restart"/>
          </w:tcPr>
          <w:p w:rsidR="000D733F" w:rsidRPr="00FE4491" w:rsidRDefault="000D733F" w:rsidP="000D733F">
            <w:pPr>
              <w:pStyle w:val="TableTextEntries"/>
            </w:pPr>
          </w:p>
        </w:tc>
        <w:tc>
          <w:tcPr>
            <w:tcW w:w="690" w:type="pct"/>
            <w:gridSpan w:val="2"/>
          </w:tcPr>
          <w:p w:rsidR="000D733F" w:rsidRPr="00FE4491" w:rsidRDefault="000D733F" w:rsidP="000D733F">
            <w:pPr>
              <w:pStyle w:val="TableTextEntries"/>
            </w:pPr>
          </w:p>
        </w:tc>
        <w:tc>
          <w:tcPr>
            <w:tcW w:w="408" w:type="pct"/>
            <w:gridSpan w:val="2"/>
            <w:shd w:val="clear" w:color="auto" w:fill="auto"/>
            <w:noWrap/>
          </w:tcPr>
          <w:p w:rsidR="000D733F" w:rsidRPr="00FE4491" w:rsidRDefault="000D733F" w:rsidP="00766232">
            <w:pPr>
              <w:pStyle w:val="TableTextEntries"/>
            </w:pPr>
          </w:p>
        </w:tc>
        <w:tc>
          <w:tcPr>
            <w:tcW w:w="408" w:type="pct"/>
            <w:gridSpan w:val="2"/>
            <w:shd w:val="clear" w:color="auto" w:fill="auto"/>
            <w:noWrap/>
          </w:tcPr>
          <w:p w:rsidR="000D733F" w:rsidRPr="00FE4491" w:rsidRDefault="000D733F" w:rsidP="000D733F">
            <w:pPr>
              <w:pStyle w:val="TableTextEntries"/>
              <w:jc w:val="center"/>
            </w:pPr>
          </w:p>
        </w:tc>
        <w:tc>
          <w:tcPr>
            <w:tcW w:w="409" w:type="pct"/>
            <w:gridSpan w:val="2"/>
            <w:shd w:val="clear" w:color="auto" w:fill="auto"/>
            <w:noWrap/>
          </w:tcPr>
          <w:p w:rsidR="000D733F" w:rsidRPr="00FE4491" w:rsidRDefault="000D733F" w:rsidP="000D733F">
            <w:pPr>
              <w:pStyle w:val="TableTextEntries"/>
              <w:jc w:val="center"/>
            </w:pPr>
          </w:p>
        </w:tc>
        <w:tc>
          <w:tcPr>
            <w:tcW w:w="409" w:type="pct"/>
            <w:gridSpan w:val="2"/>
            <w:shd w:val="clear" w:color="auto" w:fill="auto"/>
            <w:noWrap/>
          </w:tcPr>
          <w:p w:rsidR="000D733F" w:rsidRPr="00FE4491" w:rsidRDefault="000D733F" w:rsidP="000D733F">
            <w:pPr>
              <w:pStyle w:val="TableTextEntries"/>
              <w:jc w:val="center"/>
            </w:pPr>
          </w:p>
        </w:tc>
        <w:tc>
          <w:tcPr>
            <w:tcW w:w="409" w:type="pct"/>
            <w:shd w:val="clear" w:color="auto" w:fill="auto"/>
            <w:noWrap/>
          </w:tcPr>
          <w:p w:rsidR="000D733F" w:rsidRPr="00FE4491" w:rsidRDefault="000D733F" w:rsidP="000D733F">
            <w:pPr>
              <w:pStyle w:val="TableTextEntries"/>
              <w:jc w:val="center"/>
            </w:pPr>
          </w:p>
        </w:tc>
        <w:tc>
          <w:tcPr>
            <w:tcW w:w="402" w:type="pct"/>
            <w:shd w:val="clear" w:color="auto" w:fill="auto"/>
            <w:noWrap/>
          </w:tcPr>
          <w:p w:rsidR="000D733F" w:rsidRPr="00FE4491" w:rsidRDefault="000D733F" w:rsidP="000D733F">
            <w:pPr>
              <w:pStyle w:val="TableTextEntries"/>
              <w:jc w:val="center"/>
            </w:pPr>
          </w:p>
        </w:tc>
      </w:tr>
      <w:tr w:rsidR="00D45ABF" w:rsidRPr="009D53C4" w:rsidTr="00D45ABF">
        <w:trPr>
          <w:cnfStyle w:val="000000010000" w:firstRow="0" w:lastRow="0" w:firstColumn="0" w:lastColumn="0" w:oddVBand="0" w:evenVBand="0" w:oddHBand="0" w:evenHBand="1" w:firstRowFirstColumn="0" w:firstRowLastColumn="0" w:lastRowFirstColumn="0" w:lastRowLastColumn="0"/>
          <w:trHeight w:val="284"/>
        </w:trPr>
        <w:tc>
          <w:tcPr>
            <w:tcW w:w="991" w:type="pct"/>
            <w:vMerge/>
          </w:tcPr>
          <w:p w:rsidR="000D733F" w:rsidRPr="00FE4491" w:rsidRDefault="000D733F" w:rsidP="000D733F">
            <w:pPr>
              <w:pStyle w:val="TableTextEntries"/>
            </w:pPr>
          </w:p>
        </w:tc>
        <w:tc>
          <w:tcPr>
            <w:tcW w:w="762" w:type="pct"/>
            <w:vMerge/>
          </w:tcPr>
          <w:p w:rsidR="000D733F" w:rsidRPr="00FE4491" w:rsidRDefault="000D733F" w:rsidP="000D733F">
            <w:pPr>
              <w:pStyle w:val="TableTextEntries"/>
            </w:pPr>
          </w:p>
        </w:tc>
        <w:tc>
          <w:tcPr>
            <w:tcW w:w="690" w:type="pct"/>
            <w:gridSpan w:val="2"/>
          </w:tcPr>
          <w:p w:rsidR="000D733F" w:rsidRPr="00FE4491" w:rsidRDefault="000D733F" w:rsidP="000D733F">
            <w:pPr>
              <w:pStyle w:val="TableTextEntries"/>
            </w:pPr>
          </w:p>
        </w:tc>
        <w:tc>
          <w:tcPr>
            <w:tcW w:w="408" w:type="pct"/>
            <w:gridSpan w:val="2"/>
            <w:noWrap/>
          </w:tcPr>
          <w:p w:rsidR="00766232" w:rsidRPr="00FE4491" w:rsidRDefault="00766232" w:rsidP="00766232">
            <w:pPr>
              <w:pStyle w:val="TableTextEntries"/>
            </w:pPr>
          </w:p>
        </w:tc>
        <w:tc>
          <w:tcPr>
            <w:tcW w:w="408" w:type="pct"/>
            <w:gridSpan w:val="2"/>
            <w:noWrap/>
          </w:tcPr>
          <w:p w:rsidR="000D733F" w:rsidRPr="00FE4491" w:rsidRDefault="000D733F" w:rsidP="000D733F">
            <w:pPr>
              <w:pStyle w:val="TableTextEntries"/>
              <w:jc w:val="center"/>
            </w:pPr>
          </w:p>
        </w:tc>
        <w:tc>
          <w:tcPr>
            <w:tcW w:w="409" w:type="pct"/>
            <w:gridSpan w:val="2"/>
            <w:noWrap/>
          </w:tcPr>
          <w:p w:rsidR="000D733F" w:rsidRPr="00FE4491" w:rsidRDefault="000D733F" w:rsidP="000D733F">
            <w:pPr>
              <w:pStyle w:val="TableTextEntries"/>
              <w:jc w:val="center"/>
            </w:pPr>
          </w:p>
        </w:tc>
        <w:tc>
          <w:tcPr>
            <w:tcW w:w="409" w:type="pct"/>
            <w:gridSpan w:val="2"/>
            <w:noWrap/>
          </w:tcPr>
          <w:p w:rsidR="000D733F" w:rsidRPr="00FE4491" w:rsidRDefault="000D733F" w:rsidP="000D733F">
            <w:pPr>
              <w:pStyle w:val="TableTextEntries"/>
              <w:jc w:val="center"/>
            </w:pPr>
          </w:p>
        </w:tc>
        <w:tc>
          <w:tcPr>
            <w:tcW w:w="409" w:type="pct"/>
            <w:noWrap/>
          </w:tcPr>
          <w:p w:rsidR="000D733F" w:rsidRPr="00FE4491" w:rsidRDefault="000D733F" w:rsidP="000D733F">
            <w:pPr>
              <w:pStyle w:val="TableTextEntries"/>
              <w:jc w:val="center"/>
            </w:pPr>
          </w:p>
        </w:tc>
        <w:tc>
          <w:tcPr>
            <w:tcW w:w="402" w:type="pct"/>
            <w:noWrap/>
          </w:tcPr>
          <w:p w:rsidR="000D733F" w:rsidRPr="00FE4491" w:rsidRDefault="000D733F" w:rsidP="000D733F">
            <w:pPr>
              <w:pStyle w:val="TableTextEntries"/>
              <w:jc w:val="center"/>
            </w:pPr>
          </w:p>
        </w:tc>
      </w:tr>
      <w:tr w:rsidR="00D45ABF" w:rsidRPr="009D53C4" w:rsidTr="00D45ABF">
        <w:trPr>
          <w:cnfStyle w:val="000000010000" w:firstRow="0" w:lastRow="0" w:firstColumn="0" w:lastColumn="0" w:oddVBand="0" w:evenVBand="0" w:oddHBand="0" w:evenHBand="1" w:firstRowFirstColumn="0" w:firstRowLastColumn="0" w:lastRowFirstColumn="0" w:lastRowLastColumn="0"/>
          <w:trHeight w:val="284"/>
        </w:trPr>
        <w:tc>
          <w:tcPr>
            <w:tcW w:w="991" w:type="pct"/>
            <w:vMerge w:val="restart"/>
          </w:tcPr>
          <w:p w:rsidR="00766232" w:rsidRPr="00C2110F" w:rsidRDefault="00766232" w:rsidP="0067387A">
            <w:pPr>
              <w:pStyle w:val="TableTextEntries"/>
            </w:pPr>
            <w:r w:rsidRPr="00C2110F">
              <w:t xml:space="preserve">INH157 ASEAN Australia Development Cooperation Project: Phase II </w:t>
            </w:r>
          </w:p>
        </w:tc>
        <w:tc>
          <w:tcPr>
            <w:tcW w:w="762" w:type="pct"/>
            <w:vMerge w:val="restart"/>
          </w:tcPr>
          <w:p w:rsidR="00766232" w:rsidRPr="004F400C" w:rsidRDefault="003C5F4A" w:rsidP="0067387A">
            <w:pPr>
              <w:pStyle w:val="TableTextEntries"/>
              <w:rPr>
                <w:lang w:val="en"/>
              </w:rPr>
            </w:pPr>
            <w:r>
              <w:rPr>
                <w:lang w:val="en"/>
              </w:rPr>
              <w:t>$62.8</w:t>
            </w:r>
            <w:r w:rsidR="00766232" w:rsidRPr="004F400C">
              <w:rPr>
                <w:lang w:val="en"/>
              </w:rPr>
              <w:t>m</w:t>
            </w:r>
          </w:p>
          <w:p w:rsidR="00766232" w:rsidRPr="00245373" w:rsidRDefault="003C5F4A" w:rsidP="001F5D1E">
            <w:pPr>
              <w:pStyle w:val="TableTextEntries"/>
              <w:rPr>
                <w:highlight w:val="yellow"/>
              </w:rPr>
            </w:pPr>
            <w:r>
              <w:rPr>
                <w:lang w:val="en"/>
              </w:rPr>
              <w:t>11/4</w:t>
            </w:r>
            <w:r w:rsidR="00766232" w:rsidRPr="004F400C">
              <w:rPr>
                <w:lang w:val="en"/>
              </w:rPr>
              <w:t>/07</w:t>
            </w:r>
            <w:r w:rsidR="001F5D1E">
              <w:rPr>
                <w:lang w:val="en"/>
              </w:rPr>
              <w:t>—</w:t>
            </w:r>
            <w:r w:rsidR="00766232" w:rsidRPr="004F400C">
              <w:rPr>
                <w:lang w:val="en"/>
              </w:rPr>
              <w:t>31/12/19</w:t>
            </w:r>
          </w:p>
        </w:tc>
        <w:tc>
          <w:tcPr>
            <w:tcW w:w="690" w:type="pct"/>
            <w:gridSpan w:val="2"/>
          </w:tcPr>
          <w:p w:rsidR="00766232" w:rsidRPr="00C2110F" w:rsidRDefault="00766232" w:rsidP="0067387A">
            <w:pPr>
              <w:pStyle w:val="TableTextEntries"/>
            </w:pPr>
            <w:r w:rsidRPr="00C2110F">
              <w:t>201</w:t>
            </w:r>
            <w:r>
              <w:t>3</w:t>
            </w:r>
          </w:p>
        </w:tc>
        <w:tc>
          <w:tcPr>
            <w:tcW w:w="408" w:type="pct"/>
            <w:gridSpan w:val="2"/>
            <w:shd w:val="clear" w:color="auto" w:fill="66B33B"/>
            <w:noWrap/>
          </w:tcPr>
          <w:p w:rsidR="00766232" w:rsidRPr="00C2110F" w:rsidRDefault="00766232" w:rsidP="0067387A">
            <w:pPr>
              <w:pStyle w:val="TableTextEntries"/>
              <w:jc w:val="center"/>
            </w:pPr>
            <w:r w:rsidRPr="00C2110F">
              <w:t>6</w:t>
            </w:r>
          </w:p>
        </w:tc>
        <w:tc>
          <w:tcPr>
            <w:tcW w:w="408" w:type="pct"/>
            <w:gridSpan w:val="2"/>
            <w:shd w:val="clear" w:color="auto" w:fill="66B33B"/>
            <w:noWrap/>
          </w:tcPr>
          <w:p w:rsidR="00766232" w:rsidRPr="00C2110F" w:rsidRDefault="00766232" w:rsidP="0067387A">
            <w:pPr>
              <w:pStyle w:val="TableTextEntries"/>
              <w:jc w:val="center"/>
              <w:rPr>
                <w:color w:val="FFFF00"/>
                <w:highlight w:val="yellow"/>
              </w:rPr>
            </w:pPr>
            <w:r w:rsidRPr="007247CB">
              <w:t>5</w:t>
            </w:r>
          </w:p>
        </w:tc>
        <w:tc>
          <w:tcPr>
            <w:tcW w:w="409" w:type="pct"/>
            <w:gridSpan w:val="2"/>
            <w:shd w:val="clear" w:color="auto" w:fill="FFFF00"/>
            <w:noWrap/>
          </w:tcPr>
          <w:p w:rsidR="00766232" w:rsidRPr="00C2110F" w:rsidRDefault="00766232" w:rsidP="0067387A">
            <w:pPr>
              <w:pStyle w:val="TableTextEntries"/>
              <w:jc w:val="center"/>
            </w:pPr>
            <w:r w:rsidRPr="00C2110F">
              <w:t>4</w:t>
            </w:r>
          </w:p>
        </w:tc>
        <w:tc>
          <w:tcPr>
            <w:tcW w:w="409" w:type="pct"/>
            <w:gridSpan w:val="2"/>
            <w:shd w:val="clear" w:color="auto" w:fill="66B33B"/>
            <w:noWrap/>
          </w:tcPr>
          <w:p w:rsidR="00766232" w:rsidRPr="00C2110F" w:rsidRDefault="00766232" w:rsidP="0067387A">
            <w:pPr>
              <w:pStyle w:val="TableTextEntries"/>
              <w:jc w:val="center"/>
            </w:pPr>
            <w:r w:rsidRPr="00C2110F">
              <w:t>5</w:t>
            </w:r>
          </w:p>
        </w:tc>
        <w:tc>
          <w:tcPr>
            <w:tcW w:w="409" w:type="pct"/>
            <w:shd w:val="clear" w:color="auto" w:fill="FFFF00"/>
            <w:noWrap/>
          </w:tcPr>
          <w:p w:rsidR="00766232" w:rsidRPr="00C2110F" w:rsidRDefault="00766232" w:rsidP="0067387A">
            <w:pPr>
              <w:pStyle w:val="TableTextEntries"/>
              <w:jc w:val="center"/>
            </w:pPr>
            <w:r w:rsidRPr="00C2110F">
              <w:t>4</w:t>
            </w:r>
          </w:p>
        </w:tc>
        <w:tc>
          <w:tcPr>
            <w:tcW w:w="402" w:type="pct"/>
            <w:shd w:val="clear" w:color="auto" w:fill="F79646" w:themeFill="accent6"/>
            <w:noWrap/>
          </w:tcPr>
          <w:p w:rsidR="00766232" w:rsidRPr="00C2110F" w:rsidRDefault="00766232" w:rsidP="0067387A">
            <w:pPr>
              <w:pStyle w:val="TableTextEntries"/>
              <w:jc w:val="center"/>
            </w:pPr>
            <w:r w:rsidRPr="00C2110F">
              <w:t>3</w:t>
            </w:r>
          </w:p>
        </w:tc>
      </w:tr>
      <w:tr w:rsidR="00D45ABF" w:rsidRPr="009D53C4" w:rsidTr="00D45ABF">
        <w:trPr>
          <w:cnfStyle w:val="000000010000" w:firstRow="0" w:lastRow="0" w:firstColumn="0" w:lastColumn="0" w:oddVBand="0" w:evenVBand="0" w:oddHBand="0" w:evenHBand="1" w:firstRowFirstColumn="0" w:firstRowLastColumn="0" w:lastRowFirstColumn="0" w:lastRowLastColumn="0"/>
          <w:trHeight w:val="284"/>
        </w:trPr>
        <w:tc>
          <w:tcPr>
            <w:tcW w:w="991" w:type="pct"/>
            <w:vMerge/>
          </w:tcPr>
          <w:p w:rsidR="00766232" w:rsidRPr="00FE4491" w:rsidRDefault="00766232" w:rsidP="000D733F">
            <w:pPr>
              <w:pStyle w:val="TableTextEntries"/>
            </w:pPr>
          </w:p>
        </w:tc>
        <w:tc>
          <w:tcPr>
            <w:tcW w:w="762" w:type="pct"/>
            <w:vMerge/>
          </w:tcPr>
          <w:p w:rsidR="00766232" w:rsidRPr="00FE4491" w:rsidRDefault="00766232" w:rsidP="000D733F">
            <w:pPr>
              <w:pStyle w:val="TableTextEntries"/>
            </w:pPr>
          </w:p>
        </w:tc>
        <w:tc>
          <w:tcPr>
            <w:tcW w:w="690" w:type="pct"/>
            <w:gridSpan w:val="2"/>
          </w:tcPr>
          <w:p w:rsidR="00766232" w:rsidRPr="00FE4491" w:rsidRDefault="00766232" w:rsidP="000D733F">
            <w:pPr>
              <w:pStyle w:val="TableTextEntries"/>
            </w:pPr>
            <w:r w:rsidRPr="00C2110F">
              <w:t>201</w:t>
            </w:r>
            <w:r>
              <w:t>2</w:t>
            </w:r>
          </w:p>
        </w:tc>
        <w:tc>
          <w:tcPr>
            <w:tcW w:w="408" w:type="pct"/>
            <w:gridSpan w:val="2"/>
            <w:shd w:val="clear" w:color="auto" w:fill="66B33B"/>
            <w:noWrap/>
          </w:tcPr>
          <w:p w:rsidR="00766232" w:rsidRPr="00FE4491" w:rsidRDefault="00766232" w:rsidP="000D733F">
            <w:pPr>
              <w:pStyle w:val="TableTextEntries"/>
              <w:jc w:val="center"/>
            </w:pPr>
            <w:r w:rsidRPr="00C2110F">
              <w:t>6</w:t>
            </w:r>
          </w:p>
        </w:tc>
        <w:tc>
          <w:tcPr>
            <w:tcW w:w="408" w:type="pct"/>
            <w:gridSpan w:val="2"/>
            <w:shd w:val="clear" w:color="auto" w:fill="FFFF00"/>
            <w:noWrap/>
          </w:tcPr>
          <w:p w:rsidR="00766232" w:rsidRPr="00FE4491" w:rsidRDefault="00766232" w:rsidP="000D733F">
            <w:pPr>
              <w:pStyle w:val="TableTextEntries"/>
              <w:jc w:val="center"/>
            </w:pPr>
            <w:r w:rsidRPr="00245373">
              <w:t>4</w:t>
            </w:r>
          </w:p>
        </w:tc>
        <w:tc>
          <w:tcPr>
            <w:tcW w:w="409" w:type="pct"/>
            <w:gridSpan w:val="2"/>
            <w:shd w:val="clear" w:color="auto" w:fill="FFFF00"/>
            <w:noWrap/>
          </w:tcPr>
          <w:p w:rsidR="00766232" w:rsidRPr="00FE4491" w:rsidRDefault="00766232" w:rsidP="000D733F">
            <w:pPr>
              <w:pStyle w:val="TableTextEntries"/>
              <w:jc w:val="center"/>
            </w:pPr>
            <w:r w:rsidRPr="00C2110F">
              <w:t>4</w:t>
            </w:r>
          </w:p>
        </w:tc>
        <w:tc>
          <w:tcPr>
            <w:tcW w:w="409" w:type="pct"/>
            <w:gridSpan w:val="2"/>
            <w:shd w:val="clear" w:color="auto" w:fill="FFFF00"/>
            <w:noWrap/>
          </w:tcPr>
          <w:p w:rsidR="00766232" w:rsidRPr="00FE4491" w:rsidRDefault="00766232" w:rsidP="000D733F">
            <w:pPr>
              <w:pStyle w:val="TableTextEntries"/>
              <w:jc w:val="center"/>
            </w:pPr>
            <w:r w:rsidRPr="00C2110F">
              <w:t>4</w:t>
            </w:r>
          </w:p>
        </w:tc>
        <w:tc>
          <w:tcPr>
            <w:tcW w:w="409" w:type="pct"/>
            <w:shd w:val="clear" w:color="auto" w:fill="FFFF00"/>
            <w:noWrap/>
          </w:tcPr>
          <w:p w:rsidR="00766232" w:rsidRPr="00FE4491" w:rsidRDefault="00766232" w:rsidP="000D733F">
            <w:pPr>
              <w:pStyle w:val="TableTextEntries"/>
              <w:jc w:val="center"/>
            </w:pPr>
            <w:r>
              <w:t>4</w:t>
            </w:r>
          </w:p>
        </w:tc>
        <w:tc>
          <w:tcPr>
            <w:tcW w:w="402" w:type="pct"/>
            <w:shd w:val="clear" w:color="auto" w:fill="F79646" w:themeFill="accent6"/>
            <w:noWrap/>
          </w:tcPr>
          <w:p w:rsidR="00766232" w:rsidRPr="00FE4491" w:rsidRDefault="00766232" w:rsidP="000D733F">
            <w:pPr>
              <w:pStyle w:val="TableTextEntries"/>
              <w:jc w:val="center"/>
            </w:pPr>
            <w:r w:rsidRPr="00C2110F">
              <w:t>3</w:t>
            </w:r>
          </w:p>
        </w:tc>
      </w:tr>
      <w:tr w:rsidR="00D45ABF" w:rsidRPr="009D53C4" w:rsidTr="00D45ABF">
        <w:trPr>
          <w:cnfStyle w:val="000000010000" w:firstRow="0" w:lastRow="0" w:firstColumn="0" w:lastColumn="0" w:oddVBand="0" w:evenVBand="0" w:oddHBand="0" w:evenHBand="1" w:firstRowFirstColumn="0" w:firstRowLastColumn="0" w:lastRowFirstColumn="0" w:lastRowLastColumn="0"/>
          <w:trHeight w:val="284"/>
        </w:trPr>
        <w:tc>
          <w:tcPr>
            <w:tcW w:w="991" w:type="pct"/>
          </w:tcPr>
          <w:p w:rsidR="00766232" w:rsidRPr="00C2110F" w:rsidRDefault="00766232" w:rsidP="0067387A">
            <w:pPr>
              <w:pStyle w:val="TableTextEntries"/>
            </w:pPr>
            <w:r w:rsidRPr="00C2110F">
              <w:t xml:space="preserve">INI358 AESCP </w:t>
            </w:r>
          </w:p>
        </w:tc>
        <w:tc>
          <w:tcPr>
            <w:tcW w:w="762" w:type="pct"/>
          </w:tcPr>
          <w:p w:rsidR="00766232" w:rsidRPr="003C5F4A" w:rsidRDefault="003C5F4A" w:rsidP="0067387A">
            <w:pPr>
              <w:pStyle w:val="TableTextEntries"/>
            </w:pPr>
            <w:r>
              <w:t>$15.9m</w:t>
            </w:r>
          </w:p>
          <w:p w:rsidR="00766232" w:rsidRPr="00245373" w:rsidRDefault="003C5F4A" w:rsidP="001F5D1E">
            <w:pPr>
              <w:pStyle w:val="TableTextEntries"/>
              <w:rPr>
                <w:highlight w:val="yellow"/>
              </w:rPr>
            </w:pPr>
            <w:r w:rsidRPr="003C5F4A">
              <w:t>3/11/08</w:t>
            </w:r>
            <w:r w:rsidR="001F5D1E">
              <w:t>—</w:t>
            </w:r>
            <w:r w:rsidRPr="003C5F4A">
              <w:t>31/12</w:t>
            </w:r>
            <w:r w:rsidR="00766232" w:rsidRPr="003C5F4A">
              <w:t>/1</w:t>
            </w:r>
            <w:r w:rsidRPr="003C5F4A">
              <w:t>5</w:t>
            </w:r>
          </w:p>
        </w:tc>
        <w:tc>
          <w:tcPr>
            <w:tcW w:w="690" w:type="pct"/>
            <w:gridSpan w:val="2"/>
          </w:tcPr>
          <w:p w:rsidR="00766232" w:rsidRPr="00C2110F" w:rsidRDefault="00766232" w:rsidP="0067387A">
            <w:pPr>
              <w:pStyle w:val="TableTextEntries"/>
            </w:pPr>
            <w:r w:rsidRPr="00C2110F">
              <w:t>201</w:t>
            </w:r>
            <w:r>
              <w:t>3</w:t>
            </w:r>
          </w:p>
        </w:tc>
        <w:tc>
          <w:tcPr>
            <w:tcW w:w="408" w:type="pct"/>
            <w:gridSpan w:val="2"/>
            <w:shd w:val="clear" w:color="auto" w:fill="66B33B"/>
            <w:noWrap/>
          </w:tcPr>
          <w:p w:rsidR="00766232" w:rsidRPr="00C2110F" w:rsidRDefault="00766232" w:rsidP="0067387A">
            <w:pPr>
              <w:pStyle w:val="TableTextEntries"/>
              <w:jc w:val="center"/>
            </w:pPr>
            <w:r w:rsidRPr="00C2110F">
              <w:t>6</w:t>
            </w:r>
          </w:p>
        </w:tc>
        <w:tc>
          <w:tcPr>
            <w:tcW w:w="408" w:type="pct"/>
            <w:gridSpan w:val="2"/>
            <w:shd w:val="clear" w:color="auto" w:fill="FFFF00"/>
            <w:noWrap/>
          </w:tcPr>
          <w:p w:rsidR="00766232" w:rsidRPr="00C2110F" w:rsidRDefault="00766232" w:rsidP="0067387A">
            <w:pPr>
              <w:pStyle w:val="TableTextEntries"/>
              <w:jc w:val="center"/>
            </w:pPr>
            <w:r w:rsidRPr="00C2110F">
              <w:t>4</w:t>
            </w:r>
          </w:p>
        </w:tc>
        <w:tc>
          <w:tcPr>
            <w:tcW w:w="409" w:type="pct"/>
            <w:gridSpan w:val="2"/>
            <w:shd w:val="clear" w:color="auto" w:fill="FFFF00"/>
            <w:noWrap/>
          </w:tcPr>
          <w:p w:rsidR="00766232" w:rsidRPr="00C2110F" w:rsidRDefault="00766232" w:rsidP="0067387A">
            <w:pPr>
              <w:pStyle w:val="TableTextEntries"/>
              <w:jc w:val="center"/>
            </w:pPr>
            <w:r w:rsidRPr="00C2110F">
              <w:t>4</w:t>
            </w:r>
          </w:p>
        </w:tc>
        <w:tc>
          <w:tcPr>
            <w:tcW w:w="409" w:type="pct"/>
            <w:gridSpan w:val="2"/>
            <w:shd w:val="clear" w:color="auto" w:fill="FFFF00"/>
            <w:noWrap/>
          </w:tcPr>
          <w:p w:rsidR="00766232" w:rsidRPr="00C2110F" w:rsidRDefault="00766232" w:rsidP="0067387A">
            <w:pPr>
              <w:pStyle w:val="TableTextEntries"/>
              <w:jc w:val="center"/>
            </w:pPr>
            <w:r w:rsidRPr="00C2110F">
              <w:t>4</w:t>
            </w:r>
          </w:p>
        </w:tc>
        <w:tc>
          <w:tcPr>
            <w:tcW w:w="409" w:type="pct"/>
            <w:shd w:val="clear" w:color="auto" w:fill="FFFF00"/>
            <w:noWrap/>
          </w:tcPr>
          <w:p w:rsidR="00766232" w:rsidRPr="00C2110F" w:rsidRDefault="00766232" w:rsidP="0067387A">
            <w:pPr>
              <w:pStyle w:val="TableTextEntries"/>
              <w:jc w:val="center"/>
            </w:pPr>
            <w:r w:rsidRPr="00C2110F">
              <w:t>4</w:t>
            </w:r>
          </w:p>
        </w:tc>
        <w:tc>
          <w:tcPr>
            <w:tcW w:w="402" w:type="pct"/>
            <w:shd w:val="clear" w:color="auto" w:fill="F79646" w:themeFill="accent6"/>
            <w:noWrap/>
          </w:tcPr>
          <w:p w:rsidR="00766232" w:rsidRPr="00C2110F" w:rsidRDefault="00766232" w:rsidP="0067387A">
            <w:pPr>
              <w:pStyle w:val="TableTextEntries"/>
              <w:jc w:val="center"/>
            </w:pPr>
            <w:r w:rsidRPr="00C2110F">
              <w:t>3</w:t>
            </w:r>
          </w:p>
        </w:tc>
      </w:tr>
      <w:tr w:rsidR="00D45ABF" w:rsidRPr="009D53C4" w:rsidTr="00D45ABF">
        <w:trPr>
          <w:cnfStyle w:val="000000010000" w:firstRow="0" w:lastRow="0" w:firstColumn="0" w:lastColumn="0" w:oddVBand="0" w:evenVBand="0" w:oddHBand="0" w:evenHBand="1" w:firstRowFirstColumn="0" w:firstRowLastColumn="0" w:lastRowFirstColumn="0" w:lastRowLastColumn="0"/>
          <w:trHeight w:val="284"/>
        </w:trPr>
        <w:tc>
          <w:tcPr>
            <w:tcW w:w="991" w:type="pct"/>
          </w:tcPr>
          <w:p w:rsidR="00766232" w:rsidRPr="00C2110F" w:rsidRDefault="00766232" w:rsidP="0067387A">
            <w:pPr>
              <w:pStyle w:val="TableTextEntries"/>
            </w:pPr>
          </w:p>
        </w:tc>
        <w:tc>
          <w:tcPr>
            <w:tcW w:w="762" w:type="pct"/>
          </w:tcPr>
          <w:p w:rsidR="00766232" w:rsidRPr="00245373" w:rsidRDefault="00766232" w:rsidP="0067387A">
            <w:pPr>
              <w:pStyle w:val="TableTextEntries"/>
              <w:rPr>
                <w:highlight w:val="yellow"/>
              </w:rPr>
            </w:pPr>
          </w:p>
        </w:tc>
        <w:tc>
          <w:tcPr>
            <w:tcW w:w="690" w:type="pct"/>
            <w:gridSpan w:val="2"/>
          </w:tcPr>
          <w:p w:rsidR="00766232" w:rsidRPr="00C2110F" w:rsidRDefault="00766232" w:rsidP="0067387A">
            <w:pPr>
              <w:pStyle w:val="TableTextEntries"/>
            </w:pPr>
            <w:r w:rsidRPr="00C2110F">
              <w:t>201</w:t>
            </w:r>
            <w:r>
              <w:t>2</w:t>
            </w:r>
          </w:p>
        </w:tc>
        <w:tc>
          <w:tcPr>
            <w:tcW w:w="408" w:type="pct"/>
            <w:gridSpan w:val="2"/>
            <w:shd w:val="clear" w:color="auto" w:fill="66B33B"/>
            <w:noWrap/>
          </w:tcPr>
          <w:p w:rsidR="00766232" w:rsidRPr="00C2110F" w:rsidRDefault="00766232" w:rsidP="0067387A">
            <w:pPr>
              <w:pStyle w:val="TableTextEntries"/>
              <w:jc w:val="center"/>
            </w:pPr>
            <w:r w:rsidRPr="00C2110F">
              <w:t>6</w:t>
            </w:r>
          </w:p>
        </w:tc>
        <w:tc>
          <w:tcPr>
            <w:tcW w:w="408" w:type="pct"/>
            <w:gridSpan w:val="2"/>
            <w:shd w:val="clear" w:color="auto" w:fill="FFFF00"/>
            <w:noWrap/>
          </w:tcPr>
          <w:p w:rsidR="00766232" w:rsidRPr="00C2110F" w:rsidRDefault="00766232" w:rsidP="0067387A">
            <w:pPr>
              <w:pStyle w:val="TableTextEntries"/>
              <w:jc w:val="center"/>
            </w:pPr>
            <w:r w:rsidRPr="00C2110F">
              <w:t>4</w:t>
            </w:r>
          </w:p>
        </w:tc>
        <w:tc>
          <w:tcPr>
            <w:tcW w:w="409" w:type="pct"/>
            <w:gridSpan w:val="2"/>
            <w:shd w:val="clear" w:color="auto" w:fill="FFFF00"/>
            <w:noWrap/>
          </w:tcPr>
          <w:p w:rsidR="00766232" w:rsidRPr="00C2110F" w:rsidRDefault="00766232" w:rsidP="0067387A">
            <w:pPr>
              <w:pStyle w:val="TableTextEntries"/>
              <w:jc w:val="center"/>
            </w:pPr>
            <w:r w:rsidRPr="00C2110F">
              <w:t>4</w:t>
            </w:r>
          </w:p>
        </w:tc>
        <w:tc>
          <w:tcPr>
            <w:tcW w:w="409" w:type="pct"/>
            <w:gridSpan w:val="2"/>
            <w:shd w:val="clear" w:color="auto" w:fill="FFFF00"/>
            <w:noWrap/>
          </w:tcPr>
          <w:p w:rsidR="00766232" w:rsidRPr="00C2110F" w:rsidRDefault="00766232" w:rsidP="0067387A">
            <w:pPr>
              <w:pStyle w:val="TableTextEntries"/>
              <w:jc w:val="center"/>
            </w:pPr>
            <w:r>
              <w:t>4</w:t>
            </w:r>
          </w:p>
        </w:tc>
        <w:tc>
          <w:tcPr>
            <w:tcW w:w="409" w:type="pct"/>
            <w:shd w:val="clear" w:color="auto" w:fill="FFFF00"/>
            <w:noWrap/>
          </w:tcPr>
          <w:p w:rsidR="00766232" w:rsidRPr="00C2110F" w:rsidRDefault="00766232" w:rsidP="0067387A">
            <w:pPr>
              <w:pStyle w:val="TableTextEntries"/>
              <w:jc w:val="center"/>
            </w:pPr>
            <w:r w:rsidRPr="00C2110F">
              <w:t>4</w:t>
            </w:r>
          </w:p>
        </w:tc>
        <w:tc>
          <w:tcPr>
            <w:tcW w:w="402" w:type="pct"/>
            <w:shd w:val="clear" w:color="auto" w:fill="F79646" w:themeFill="accent6"/>
            <w:noWrap/>
          </w:tcPr>
          <w:p w:rsidR="00766232" w:rsidRPr="00C2110F" w:rsidRDefault="00766232" w:rsidP="0067387A">
            <w:pPr>
              <w:pStyle w:val="TableTextEntries"/>
              <w:jc w:val="center"/>
            </w:pPr>
            <w:r w:rsidRPr="00C2110F">
              <w:t>3</w:t>
            </w:r>
          </w:p>
        </w:tc>
      </w:tr>
      <w:tr w:rsidR="00D45ABF" w:rsidRPr="009D53C4" w:rsidTr="00D45ABF">
        <w:trPr>
          <w:cnfStyle w:val="000000010000" w:firstRow="0" w:lastRow="0" w:firstColumn="0" w:lastColumn="0" w:oddVBand="0" w:evenVBand="0" w:oddHBand="0" w:evenHBand="1" w:firstRowFirstColumn="0" w:firstRowLastColumn="0" w:lastRowFirstColumn="0" w:lastRowLastColumn="0"/>
          <w:trHeight w:val="284"/>
        </w:trPr>
        <w:tc>
          <w:tcPr>
            <w:tcW w:w="991" w:type="pct"/>
          </w:tcPr>
          <w:p w:rsidR="00151F7E" w:rsidRPr="00C2110F" w:rsidRDefault="00151F7E" w:rsidP="0067387A">
            <w:pPr>
              <w:pStyle w:val="TableTextEntries"/>
            </w:pPr>
            <w:r w:rsidRPr="00C2110F">
              <w:t xml:space="preserve">INH446 APEC Secretariat Support </w:t>
            </w:r>
          </w:p>
        </w:tc>
        <w:tc>
          <w:tcPr>
            <w:tcW w:w="762" w:type="pct"/>
          </w:tcPr>
          <w:p w:rsidR="00151F7E" w:rsidRPr="003C5F4A" w:rsidRDefault="00151F7E" w:rsidP="0067387A">
            <w:pPr>
              <w:pStyle w:val="TableTextEntries"/>
            </w:pPr>
            <w:r>
              <w:t>$35.3</w:t>
            </w:r>
            <w:r w:rsidRPr="003C5F4A">
              <w:t>m</w:t>
            </w:r>
          </w:p>
          <w:p w:rsidR="00151F7E" w:rsidRPr="00245373" w:rsidRDefault="00151F7E" w:rsidP="0067387A">
            <w:pPr>
              <w:pStyle w:val="TableTextEntries"/>
              <w:rPr>
                <w:highlight w:val="yellow"/>
              </w:rPr>
            </w:pPr>
            <w:r>
              <w:t>3/8/07</w:t>
            </w:r>
            <w:r w:rsidR="001F5D1E">
              <w:t>—</w:t>
            </w:r>
            <w:r>
              <w:t>30/05</w:t>
            </w:r>
            <w:r w:rsidRPr="003C5F4A">
              <w:t>/1</w:t>
            </w:r>
            <w:r>
              <w:t>7</w:t>
            </w:r>
          </w:p>
        </w:tc>
        <w:tc>
          <w:tcPr>
            <w:tcW w:w="690" w:type="pct"/>
            <w:gridSpan w:val="2"/>
          </w:tcPr>
          <w:p w:rsidR="00151F7E" w:rsidRPr="00C2110F" w:rsidRDefault="00151F7E" w:rsidP="0067387A">
            <w:pPr>
              <w:pStyle w:val="TableTextEntries"/>
            </w:pPr>
            <w:r w:rsidRPr="00C2110F">
              <w:t>201</w:t>
            </w:r>
            <w:r>
              <w:t>3</w:t>
            </w:r>
          </w:p>
        </w:tc>
        <w:tc>
          <w:tcPr>
            <w:tcW w:w="408" w:type="pct"/>
            <w:gridSpan w:val="2"/>
            <w:shd w:val="clear" w:color="auto" w:fill="66B33B"/>
            <w:noWrap/>
          </w:tcPr>
          <w:p w:rsidR="00151F7E" w:rsidRPr="00C2110F" w:rsidRDefault="00151F7E" w:rsidP="0067387A">
            <w:pPr>
              <w:pStyle w:val="TableTextEntries"/>
              <w:jc w:val="center"/>
            </w:pPr>
            <w:r>
              <w:t>6</w:t>
            </w:r>
          </w:p>
        </w:tc>
        <w:tc>
          <w:tcPr>
            <w:tcW w:w="408" w:type="pct"/>
            <w:gridSpan w:val="2"/>
            <w:shd w:val="clear" w:color="auto" w:fill="FFFF00"/>
            <w:noWrap/>
          </w:tcPr>
          <w:p w:rsidR="00151F7E" w:rsidRPr="00C2110F" w:rsidRDefault="00151F7E" w:rsidP="0067387A">
            <w:pPr>
              <w:pStyle w:val="TableTextEntries"/>
              <w:jc w:val="center"/>
            </w:pPr>
            <w:r w:rsidRPr="00C2110F">
              <w:t>4</w:t>
            </w:r>
          </w:p>
        </w:tc>
        <w:tc>
          <w:tcPr>
            <w:tcW w:w="409" w:type="pct"/>
            <w:gridSpan w:val="2"/>
            <w:shd w:val="clear" w:color="auto" w:fill="00CC00"/>
            <w:noWrap/>
          </w:tcPr>
          <w:p w:rsidR="00151F7E" w:rsidRPr="00C2110F" w:rsidRDefault="00151F7E" w:rsidP="00151F7E">
            <w:pPr>
              <w:pStyle w:val="TableTextEntries"/>
              <w:jc w:val="center"/>
              <w:rPr>
                <w:b/>
              </w:rPr>
            </w:pPr>
            <w:r w:rsidRPr="00C2110F">
              <w:t>5</w:t>
            </w:r>
          </w:p>
        </w:tc>
        <w:tc>
          <w:tcPr>
            <w:tcW w:w="409" w:type="pct"/>
            <w:gridSpan w:val="2"/>
            <w:shd w:val="clear" w:color="auto" w:fill="FFFF00"/>
            <w:noWrap/>
          </w:tcPr>
          <w:p w:rsidR="00151F7E" w:rsidRPr="00C2110F" w:rsidRDefault="00151F7E" w:rsidP="0067387A">
            <w:pPr>
              <w:pStyle w:val="TableTextEntries"/>
              <w:jc w:val="center"/>
            </w:pPr>
            <w:r>
              <w:t>4</w:t>
            </w:r>
          </w:p>
        </w:tc>
        <w:tc>
          <w:tcPr>
            <w:tcW w:w="409" w:type="pct"/>
            <w:shd w:val="clear" w:color="auto" w:fill="FFFF00"/>
            <w:noWrap/>
          </w:tcPr>
          <w:p w:rsidR="00151F7E" w:rsidRPr="00C2110F" w:rsidRDefault="00151F7E" w:rsidP="0067387A">
            <w:pPr>
              <w:pStyle w:val="TableTextEntries"/>
              <w:jc w:val="center"/>
            </w:pPr>
            <w:r w:rsidRPr="00C2110F">
              <w:t>4</w:t>
            </w:r>
          </w:p>
        </w:tc>
        <w:tc>
          <w:tcPr>
            <w:tcW w:w="402" w:type="pct"/>
            <w:shd w:val="clear" w:color="auto" w:fill="FFFF00"/>
            <w:noWrap/>
          </w:tcPr>
          <w:p w:rsidR="00151F7E" w:rsidRPr="00C2110F" w:rsidRDefault="00151F7E" w:rsidP="0067387A">
            <w:pPr>
              <w:pStyle w:val="TableTextEntries"/>
              <w:jc w:val="center"/>
            </w:pPr>
            <w:r w:rsidRPr="00C2110F">
              <w:t>4</w:t>
            </w:r>
          </w:p>
        </w:tc>
      </w:tr>
      <w:tr w:rsidR="00D45ABF" w:rsidRPr="009D53C4" w:rsidTr="00D45ABF">
        <w:trPr>
          <w:cnfStyle w:val="000000010000" w:firstRow="0" w:lastRow="0" w:firstColumn="0" w:lastColumn="0" w:oddVBand="0" w:evenVBand="0" w:oddHBand="0" w:evenHBand="1" w:firstRowFirstColumn="0" w:firstRowLastColumn="0" w:lastRowFirstColumn="0" w:lastRowLastColumn="0"/>
          <w:trHeight w:val="284"/>
        </w:trPr>
        <w:tc>
          <w:tcPr>
            <w:tcW w:w="991" w:type="pct"/>
          </w:tcPr>
          <w:p w:rsidR="00D70BA2" w:rsidRPr="00C2110F" w:rsidRDefault="00D70BA2" w:rsidP="0067387A">
            <w:pPr>
              <w:pStyle w:val="TableTextEntries"/>
            </w:pPr>
          </w:p>
        </w:tc>
        <w:tc>
          <w:tcPr>
            <w:tcW w:w="762" w:type="pct"/>
          </w:tcPr>
          <w:p w:rsidR="00D70BA2" w:rsidRDefault="00D70BA2" w:rsidP="0067387A">
            <w:pPr>
              <w:pStyle w:val="TableTextEntries"/>
            </w:pPr>
          </w:p>
        </w:tc>
        <w:tc>
          <w:tcPr>
            <w:tcW w:w="690" w:type="pct"/>
            <w:gridSpan w:val="2"/>
          </w:tcPr>
          <w:p w:rsidR="00D70BA2" w:rsidRPr="00C2110F" w:rsidRDefault="00D70BA2" w:rsidP="0067387A">
            <w:pPr>
              <w:pStyle w:val="TableTextEntries"/>
            </w:pPr>
            <w:r>
              <w:t>2012</w:t>
            </w:r>
          </w:p>
        </w:tc>
        <w:tc>
          <w:tcPr>
            <w:tcW w:w="408" w:type="pct"/>
            <w:gridSpan w:val="2"/>
            <w:shd w:val="clear" w:color="auto" w:fill="66B33B"/>
            <w:noWrap/>
          </w:tcPr>
          <w:p w:rsidR="00D70BA2" w:rsidRDefault="00D70BA2" w:rsidP="0067387A">
            <w:pPr>
              <w:pStyle w:val="TableTextEntries"/>
              <w:jc w:val="center"/>
            </w:pPr>
            <w:r>
              <w:t>5</w:t>
            </w:r>
          </w:p>
        </w:tc>
        <w:tc>
          <w:tcPr>
            <w:tcW w:w="408" w:type="pct"/>
            <w:gridSpan w:val="2"/>
            <w:shd w:val="clear" w:color="auto" w:fill="FFFF00"/>
            <w:noWrap/>
          </w:tcPr>
          <w:p w:rsidR="00D70BA2" w:rsidRPr="00C2110F" w:rsidRDefault="00D70BA2" w:rsidP="0067387A">
            <w:pPr>
              <w:pStyle w:val="TableTextEntries"/>
              <w:jc w:val="center"/>
            </w:pPr>
            <w:r>
              <w:t>4</w:t>
            </w:r>
          </w:p>
        </w:tc>
        <w:tc>
          <w:tcPr>
            <w:tcW w:w="409" w:type="pct"/>
            <w:gridSpan w:val="2"/>
            <w:shd w:val="clear" w:color="auto" w:fill="FFFF00"/>
            <w:noWrap/>
          </w:tcPr>
          <w:p w:rsidR="00D70BA2" w:rsidRPr="00C2110F" w:rsidRDefault="00D70BA2" w:rsidP="00151F7E">
            <w:pPr>
              <w:pStyle w:val="TableTextEntries"/>
              <w:jc w:val="center"/>
            </w:pPr>
            <w:r>
              <w:t>4</w:t>
            </w:r>
          </w:p>
        </w:tc>
        <w:tc>
          <w:tcPr>
            <w:tcW w:w="409" w:type="pct"/>
            <w:gridSpan w:val="2"/>
            <w:shd w:val="clear" w:color="auto" w:fill="F79646" w:themeFill="accent6"/>
            <w:noWrap/>
          </w:tcPr>
          <w:p w:rsidR="00D70BA2" w:rsidRDefault="00D70BA2" w:rsidP="0067387A">
            <w:pPr>
              <w:pStyle w:val="TableTextEntries"/>
              <w:jc w:val="center"/>
            </w:pPr>
            <w:r>
              <w:t>3</w:t>
            </w:r>
          </w:p>
        </w:tc>
        <w:tc>
          <w:tcPr>
            <w:tcW w:w="409" w:type="pct"/>
            <w:shd w:val="clear" w:color="auto" w:fill="FFFF00"/>
            <w:noWrap/>
          </w:tcPr>
          <w:p w:rsidR="00D70BA2" w:rsidRPr="00C2110F" w:rsidRDefault="00D70BA2" w:rsidP="0067387A">
            <w:pPr>
              <w:pStyle w:val="TableTextEntries"/>
              <w:jc w:val="center"/>
            </w:pPr>
            <w:r>
              <w:t>4</w:t>
            </w:r>
          </w:p>
        </w:tc>
        <w:tc>
          <w:tcPr>
            <w:tcW w:w="402" w:type="pct"/>
            <w:shd w:val="clear" w:color="auto" w:fill="FFFF00"/>
            <w:noWrap/>
          </w:tcPr>
          <w:p w:rsidR="00D70BA2" w:rsidRPr="00C2110F" w:rsidRDefault="00D70BA2" w:rsidP="0067387A">
            <w:pPr>
              <w:pStyle w:val="TableTextEntries"/>
              <w:jc w:val="center"/>
            </w:pPr>
            <w:r>
              <w:t>4</w:t>
            </w:r>
          </w:p>
        </w:tc>
      </w:tr>
      <w:tr w:rsidR="00D45ABF" w:rsidRPr="00C2110F" w:rsidTr="00D45ABF">
        <w:trPr>
          <w:cnfStyle w:val="000000010000" w:firstRow="0" w:lastRow="0" w:firstColumn="0" w:lastColumn="0" w:oddVBand="0" w:evenVBand="0" w:oddHBand="0" w:evenHBand="1" w:firstRowFirstColumn="0" w:firstRowLastColumn="0" w:lastRowFirstColumn="0" w:lastRowLastColumn="0"/>
          <w:trHeight w:val="284"/>
        </w:trPr>
        <w:tc>
          <w:tcPr>
            <w:tcW w:w="991" w:type="pct"/>
          </w:tcPr>
          <w:p w:rsidR="00D70BA2" w:rsidRPr="00D25038" w:rsidRDefault="00D70BA2" w:rsidP="00211F93">
            <w:pPr>
              <w:pStyle w:val="TableTextEntries"/>
              <w:rPr>
                <w:bCs/>
                <w:highlight w:val="yellow"/>
                <w:lang w:val="en"/>
              </w:rPr>
            </w:pPr>
            <w:r w:rsidRPr="00D1055F">
              <w:rPr>
                <w:bCs/>
                <w:lang w:val="en"/>
              </w:rPr>
              <w:t>INJ585 – GMS Trade, Transport Facilitation</w:t>
            </w:r>
          </w:p>
        </w:tc>
        <w:tc>
          <w:tcPr>
            <w:tcW w:w="762" w:type="pct"/>
          </w:tcPr>
          <w:p w:rsidR="00D70BA2" w:rsidRPr="003C5F4A" w:rsidRDefault="00D70BA2" w:rsidP="00211F93">
            <w:pPr>
              <w:pStyle w:val="TableTextEntries"/>
              <w:rPr>
                <w:bCs/>
                <w:lang w:val="en"/>
              </w:rPr>
            </w:pPr>
            <w:r w:rsidRPr="003C5F4A">
              <w:rPr>
                <w:bCs/>
                <w:lang w:val="en"/>
              </w:rPr>
              <w:t>$6m</w:t>
            </w:r>
          </w:p>
          <w:p w:rsidR="00D70BA2" w:rsidRPr="00245373" w:rsidRDefault="00D70BA2" w:rsidP="00211F93">
            <w:pPr>
              <w:pStyle w:val="TableTextEntries"/>
              <w:rPr>
                <w:bCs/>
                <w:highlight w:val="yellow"/>
                <w:lang w:val="en"/>
              </w:rPr>
            </w:pPr>
            <w:r w:rsidRPr="003C5F4A">
              <w:rPr>
                <w:bCs/>
                <w:lang w:val="en"/>
              </w:rPr>
              <w:t>1/11/10</w:t>
            </w:r>
            <w:r w:rsidR="001F5D1E">
              <w:t>—</w:t>
            </w:r>
            <w:r w:rsidRPr="003C5F4A">
              <w:rPr>
                <w:bCs/>
                <w:lang w:val="en"/>
              </w:rPr>
              <w:t>31/12/1</w:t>
            </w:r>
            <w:r>
              <w:rPr>
                <w:bCs/>
                <w:lang w:val="en"/>
              </w:rPr>
              <w:t>6</w:t>
            </w:r>
            <w:r w:rsidRPr="003C5F4A">
              <w:rPr>
                <w:bCs/>
                <w:lang w:val="en"/>
              </w:rPr>
              <w:tab/>
            </w:r>
          </w:p>
        </w:tc>
        <w:tc>
          <w:tcPr>
            <w:tcW w:w="690" w:type="pct"/>
            <w:gridSpan w:val="2"/>
          </w:tcPr>
          <w:p w:rsidR="00D70BA2" w:rsidRPr="00C2110F" w:rsidRDefault="00D70BA2" w:rsidP="00211F93">
            <w:pPr>
              <w:pStyle w:val="TableTextEntries"/>
            </w:pPr>
            <w:r w:rsidRPr="00C2110F">
              <w:t>201</w:t>
            </w:r>
            <w:r>
              <w:t>3</w:t>
            </w:r>
          </w:p>
        </w:tc>
        <w:tc>
          <w:tcPr>
            <w:tcW w:w="408" w:type="pct"/>
            <w:gridSpan w:val="2"/>
            <w:shd w:val="clear" w:color="auto" w:fill="66B33B"/>
            <w:noWrap/>
          </w:tcPr>
          <w:p w:rsidR="00D70BA2" w:rsidRPr="00C2110F" w:rsidRDefault="00D70BA2" w:rsidP="00211F93">
            <w:pPr>
              <w:pStyle w:val="TableTextEntries"/>
              <w:jc w:val="center"/>
            </w:pPr>
            <w:r>
              <w:t>5</w:t>
            </w:r>
          </w:p>
        </w:tc>
        <w:tc>
          <w:tcPr>
            <w:tcW w:w="408" w:type="pct"/>
            <w:gridSpan w:val="2"/>
            <w:shd w:val="clear" w:color="auto" w:fill="F79646" w:themeFill="accent6"/>
            <w:noWrap/>
          </w:tcPr>
          <w:p w:rsidR="00D70BA2" w:rsidRPr="00C2110F" w:rsidRDefault="00D70BA2" w:rsidP="00211F93">
            <w:pPr>
              <w:pStyle w:val="TableTextEntries"/>
              <w:jc w:val="center"/>
            </w:pPr>
            <w:r>
              <w:t>3</w:t>
            </w:r>
          </w:p>
        </w:tc>
        <w:tc>
          <w:tcPr>
            <w:tcW w:w="409" w:type="pct"/>
            <w:gridSpan w:val="2"/>
            <w:shd w:val="clear" w:color="auto" w:fill="FF0000"/>
            <w:noWrap/>
          </w:tcPr>
          <w:p w:rsidR="00D70BA2" w:rsidRPr="00C2110F" w:rsidRDefault="00D70BA2" w:rsidP="00211F93">
            <w:pPr>
              <w:pStyle w:val="TableTextEntries"/>
              <w:jc w:val="center"/>
            </w:pPr>
            <w:r>
              <w:t>2</w:t>
            </w:r>
          </w:p>
        </w:tc>
        <w:tc>
          <w:tcPr>
            <w:tcW w:w="409" w:type="pct"/>
            <w:gridSpan w:val="2"/>
            <w:shd w:val="clear" w:color="auto" w:fill="FF0000"/>
            <w:noWrap/>
          </w:tcPr>
          <w:p w:rsidR="00D70BA2" w:rsidRPr="00C2110F" w:rsidRDefault="00D70BA2" w:rsidP="00211F93">
            <w:pPr>
              <w:pStyle w:val="TableTextEntries"/>
              <w:jc w:val="center"/>
            </w:pPr>
            <w:r>
              <w:t>2</w:t>
            </w:r>
          </w:p>
        </w:tc>
        <w:tc>
          <w:tcPr>
            <w:tcW w:w="409" w:type="pct"/>
            <w:shd w:val="clear" w:color="auto" w:fill="FFFF00"/>
            <w:noWrap/>
          </w:tcPr>
          <w:p w:rsidR="00D70BA2" w:rsidRPr="00C2110F" w:rsidRDefault="00D70BA2" w:rsidP="00211F93">
            <w:pPr>
              <w:pStyle w:val="TableTextEntries"/>
              <w:jc w:val="center"/>
            </w:pPr>
            <w:r>
              <w:t>4</w:t>
            </w:r>
          </w:p>
        </w:tc>
        <w:tc>
          <w:tcPr>
            <w:tcW w:w="402" w:type="pct"/>
            <w:shd w:val="clear" w:color="auto" w:fill="F79646" w:themeFill="accent6"/>
            <w:noWrap/>
          </w:tcPr>
          <w:p w:rsidR="00D70BA2" w:rsidRPr="00C2110F" w:rsidRDefault="00D70BA2" w:rsidP="00211F93">
            <w:pPr>
              <w:pStyle w:val="TableTextEntries"/>
              <w:jc w:val="center"/>
            </w:pPr>
            <w:r>
              <w:t>3</w:t>
            </w:r>
          </w:p>
        </w:tc>
      </w:tr>
      <w:tr w:rsidR="00D45ABF" w:rsidRPr="009D53C4" w:rsidTr="00D45ABF">
        <w:trPr>
          <w:cnfStyle w:val="000000010000" w:firstRow="0" w:lastRow="0" w:firstColumn="0" w:lastColumn="0" w:oddVBand="0" w:evenVBand="0" w:oddHBand="0" w:evenHBand="1" w:firstRowFirstColumn="0" w:firstRowLastColumn="0" w:lastRowFirstColumn="0" w:lastRowLastColumn="0"/>
          <w:trHeight w:val="284"/>
        </w:trPr>
        <w:tc>
          <w:tcPr>
            <w:tcW w:w="991" w:type="pct"/>
          </w:tcPr>
          <w:p w:rsidR="00D70BA2" w:rsidRPr="00D25038" w:rsidRDefault="00D70BA2" w:rsidP="00211F93">
            <w:pPr>
              <w:pStyle w:val="TableTextEntries"/>
              <w:rPr>
                <w:bCs/>
                <w:highlight w:val="yellow"/>
                <w:lang w:val="en"/>
              </w:rPr>
            </w:pPr>
          </w:p>
        </w:tc>
        <w:tc>
          <w:tcPr>
            <w:tcW w:w="762" w:type="pct"/>
          </w:tcPr>
          <w:p w:rsidR="00D70BA2" w:rsidRPr="00245373" w:rsidRDefault="00D70BA2" w:rsidP="00211F93">
            <w:pPr>
              <w:pStyle w:val="TableTextEntries"/>
              <w:rPr>
                <w:bCs/>
                <w:highlight w:val="yellow"/>
                <w:lang w:val="en"/>
              </w:rPr>
            </w:pPr>
          </w:p>
        </w:tc>
        <w:tc>
          <w:tcPr>
            <w:tcW w:w="690" w:type="pct"/>
            <w:gridSpan w:val="2"/>
          </w:tcPr>
          <w:p w:rsidR="00D70BA2" w:rsidRPr="00C2110F" w:rsidRDefault="00D70BA2" w:rsidP="00211F93">
            <w:pPr>
              <w:pStyle w:val="TableTextEntries"/>
            </w:pPr>
            <w:r>
              <w:t>2012</w:t>
            </w:r>
          </w:p>
        </w:tc>
        <w:tc>
          <w:tcPr>
            <w:tcW w:w="408" w:type="pct"/>
            <w:gridSpan w:val="2"/>
            <w:shd w:val="clear" w:color="auto" w:fill="66B33B"/>
            <w:noWrap/>
          </w:tcPr>
          <w:p w:rsidR="00D70BA2" w:rsidRPr="00C2110F" w:rsidRDefault="00D70BA2" w:rsidP="00211F93">
            <w:pPr>
              <w:pStyle w:val="TableTextEntries"/>
              <w:jc w:val="center"/>
            </w:pPr>
            <w:r>
              <w:t>5</w:t>
            </w:r>
          </w:p>
        </w:tc>
        <w:tc>
          <w:tcPr>
            <w:tcW w:w="408" w:type="pct"/>
            <w:gridSpan w:val="2"/>
            <w:shd w:val="clear" w:color="auto" w:fill="FFFF00"/>
            <w:noWrap/>
          </w:tcPr>
          <w:p w:rsidR="00D70BA2" w:rsidRPr="00C2110F" w:rsidRDefault="00D70BA2" w:rsidP="00211F93">
            <w:pPr>
              <w:pStyle w:val="TableTextEntries"/>
              <w:jc w:val="center"/>
            </w:pPr>
            <w:r>
              <w:t>4</w:t>
            </w:r>
          </w:p>
        </w:tc>
        <w:tc>
          <w:tcPr>
            <w:tcW w:w="409" w:type="pct"/>
            <w:gridSpan w:val="2"/>
            <w:shd w:val="clear" w:color="auto" w:fill="FFFF00"/>
            <w:noWrap/>
          </w:tcPr>
          <w:p w:rsidR="00D70BA2" w:rsidRPr="00C2110F" w:rsidRDefault="00D70BA2" w:rsidP="00211F93">
            <w:pPr>
              <w:pStyle w:val="TableTextEntries"/>
              <w:jc w:val="center"/>
            </w:pPr>
            <w:r>
              <w:t>4</w:t>
            </w:r>
          </w:p>
        </w:tc>
        <w:tc>
          <w:tcPr>
            <w:tcW w:w="409" w:type="pct"/>
            <w:gridSpan w:val="2"/>
            <w:shd w:val="clear" w:color="auto" w:fill="FF0000"/>
            <w:noWrap/>
          </w:tcPr>
          <w:p w:rsidR="00D70BA2" w:rsidRPr="00C2110F" w:rsidRDefault="00D70BA2" w:rsidP="00211F93">
            <w:pPr>
              <w:pStyle w:val="TableTextEntries"/>
              <w:jc w:val="center"/>
            </w:pPr>
            <w:r>
              <w:t>2</w:t>
            </w:r>
          </w:p>
        </w:tc>
        <w:tc>
          <w:tcPr>
            <w:tcW w:w="409" w:type="pct"/>
            <w:shd w:val="clear" w:color="auto" w:fill="FFFF00"/>
            <w:noWrap/>
          </w:tcPr>
          <w:p w:rsidR="00D70BA2" w:rsidRPr="00C2110F" w:rsidRDefault="00D70BA2" w:rsidP="00211F93">
            <w:pPr>
              <w:pStyle w:val="TableTextEntries"/>
              <w:jc w:val="center"/>
            </w:pPr>
            <w:r>
              <w:t>4</w:t>
            </w:r>
          </w:p>
        </w:tc>
        <w:tc>
          <w:tcPr>
            <w:tcW w:w="402" w:type="pct"/>
            <w:shd w:val="clear" w:color="auto" w:fill="F79646" w:themeFill="accent6"/>
            <w:noWrap/>
          </w:tcPr>
          <w:p w:rsidR="00D70BA2" w:rsidRPr="00C2110F" w:rsidRDefault="00D70BA2" w:rsidP="00211F93">
            <w:pPr>
              <w:pStyle w:val="TableTextEntries"/>
              <w:jc w:val="center"/>
            </w:pPr>
            <w:r>
              <w:t>3</w:t>
            </w:r>
          </w:p>
        </w:tc>
      </w:tr>
      <w:tr w:rsidR="00D45ABF" w:rsidRPr="009D53C4" w:rsidTr="00D45ABF">
        <w:trPr>
          <w:cnfStyle w:val="000000010000" w:firstRow="0" w:lastRow="0" w:firstColumn="0" w:lastColumn="0" w:oddVBand="0" w:evenVBand="0" w:oddHBand="0" w:evenHBand="1" w:firstRowFirstColumn="0" w:firstRowLastColumn="0" w:lastRowFirstColumn="0" w:lastRowLastColumn="0"/>
          <w:trHeight w:val="284"/>
        </w:trPr>
        <w:tc>
          <w:tcPr>
            <w:tcW w:w="991" w:type="pct"/>
          </w:tcPr>
          <w:p w:rsidR="00151F7E" w:rsidRPr="00C2110F" w:rsidRDefault="00151F7E" w:rsidP="0067387A">
            <w:pPr>
              <w:pStyle w:val="TableTextEntries"/>
              <w:rPr>
                <w:b/>
              </w:rPr>
            </w:pPr>
            <w:r w:rsidRPr="00C2110F">
              <w:t xml:space="preserve">INJ332 Project TRIANGLE </w:t>
            </w:r>
          </w:p>
        </w:tc>
        <w:tc>
          <w:tcPr>
            <w:tcW w:w="762" w:type="pct"/>
          </w:tcPr>
          <w:p w:rsidR="00151F7E" w:rsidRPr="003C5F4A" w:rsidRDefault="00151F7E" w:rsidP="0067387A">
            <w:pPr>
              <w:pStyle w:val="TableTextEntries"/>
              <w:rPr>
                <w:b/>
              </w:rPr>
            </w:pPr>
            <w:r>
              <w:t>$9.4</w:t>
            </w:r>
            <w:r w:rsidRPr="003C5F4A">
              <w:t>m</w:t>
            </w:r>
          </w:p>
          <w:p w:rsidR="00151F7E" w:rsidRPr="00245373" w:rsidRDefault="00151F7E" w:rsidP="0067387A">
            <w:pPr>
              <w:pStyle w:val="TableTextEntries"/>
              <w:rPr>
                <w:b/>
                <w:highlight w:val="yellow"/>
              </w:rPr>
            </w:pPr>
            <w:r>
              <w:t>13/5/10</w:t>
            </w:r>
            <w:r w:rsidR="001F5D1E">
              <w:t>—</w:t>
            </w:r>
            <w:r>
              <w:t>31/5</w:t>
            </w:r>
            <w:r w:rsidRPr="003C5F4A">
              <w:t>/15</w:t>
            </w:r>
          </w:p>
        </w:tc>
        <w:tc>
          <w:tcPr>
            <w:tcW w:w="690" w:type="pct"/>
            <w:gridSpan w:val="2"/>
          </w:tcPr>
          <w:p w:rsidR="00151F7E" w:rsidRPr="00C2110F" w:rsidRDefault="00151F7E" w:rsidP="0067387A">
            <w:pPr>
              <w:pStyle w:val="TableTextEntries"/>
              <w:rPr>
                <w:b/>
              </w:rPr>
            </w:pPr>
            <w:r w:rsidRPr="00C2110F">
              <w:t>201</w:t>
            </w:r>
            <w:r>
              <w:t>3</w:t>
            </w:r>
          </w:p>
        </w:tc>
        <w:tc>
          <w:tcPr>
            <w:tcW w:w="408" w:type="pct"/>
            <w:gridSpan w:val="2"/>
            <w:shd w:val="clear" w:color="auto" w:fill="66B33B"/>
            <w:noWrap/>
          </w:tcPr>
          <w:p w:rsidR="00151F7E" w:rsidRPr="00C2110F" w:rsidRDefault="00151F7E" w:rsidP="0067387A">
            <w:pPr>
              <w:pStyle w:val="TableTextEntries"/>
              <w:jc w:val="center"/>
              <w:rPr>
                <w:b/>
              </w:rPr>
            </w:pPr>
            <w:r w:rsidRPr="00C2110F">
              <w:t>5</w:t>
            </w:r>
          </w:p>
        </w:tc>
        <w:tc>
          <w:tcPr>
            <w:tcW w:w="408" w:type="pct"/>
            <w:gridSpan w:val="2"/>
            <w:shd w:val="clear" w:color="auto" w:fill="66B33B"/>
            <w:noWrap/>
          </w:tcPr>
          <w:p w:rsidR="00151F7E" w:rsidRPr="00C2110F" w:rsidRDefault="00151F7E" w:rsidP="0067387A">
            <w:pPr>
              <w:pStyle w:val="TableTextEntries"/>
              <w:jc w:val="center"/>
              <w:rPr>
                <w:b/>
              </w:rPr>
            </w:pPr>
            <w:r w:rsidRPr="00C2110F">
              <w:t>5</w:t>
            </w:r>
          </w:p>
        </w:tc>
        <w:tc>
          <w:tcPr>
            <w:tcW w:w="409" w:type="pct"/>
            <w:gridSpan w:val="2"/>
            <w:shd w:val="clear" w:color="auto" w:fill="FFFF00"/>
            <w:noWrap/>
          </w:tcPr>
          <w:p w:rsidR="00151F7E" w:rsidRPr="00C2110F" w:rsidRDefault="00151F7E" w:rsidP="0067387A">
            <w:pPr>
              <w:pStyle w:val="TableTextEntries"/>
              <w:jc w:val="center"/>
              <w:rPr>
                <w:b/>
              </w:rPr>
            </w:pPr>
            <w:r w:rsidRPr="00C2110F">
              <w:t>4</w:t>
            </w:r>
          </w:p>
        </w:tc>
        <w:tc>
          <w:tcPr>
            <w:tcW w:w="409" w:type="pct"/>
            <w:gridSpan w:val="2"/>
            <w:shd w:val="clear" w:color="auto" w:fill="F79646" w:themeFill="accent6"/>
            <w:noWrap/>
          </w:tcPr>
          <w:p w:rsidR="00151F7E" w:rsidRPr="00C2110F" w:rsidRDefault="00151F7E" w:rsidP="0067387A">
            <w:pPr>
              <w:pStyle w:val="TableTextEntries"/>
              <w:jc w:val="center"/>
              <w:rPr>
                <w:b/>
              </w:rPr>
            </w:pPr>
            <w:r>
              <w:t>3</w:t>
            </w:r>
          </w:p>
        </w:tc>
        <w:tc>
          <w:tcPr>
            <w:tcW w:w="409" w:type="pct"/>
            <w:shd w:val="clear" w:color="auto" w:fill="FFFF00"/>
            <w:noWrap/>
          </w:tcPr>
          <w:p w:rsidR="00151F7E" w:rsidRPr="00C2110F" w:rsidRDefault="00151F7E" w:rsidP="0067387A">
            <w:pPr>
              <w:pStyle w:val="TableTextEntries"/>
              <w:jc w:val="center"/>
              <w:rPr>
                <w:b/>
              </w:rPr>
            </w:pPr>
            <w:r w:rsidRPr="00C2110F">
              <w:t>4</w:t>
            </w:r>
          </w:p>
        </w:tc>
        <w:tc>
          <w:tcPr>
            <w:tcW w:w="402" w:type="pct"/>
            <w:shd w:val="clear" w:color="auto" w:fill="F79646" w:themeFill="accent6"/>
            <w:noWrap/>
          </w:tcPr>
          <w:p w:rsidR="00151F7E" w:rsidRPr="00C2110F" w:rsidRDefault="00151F7E" w:rsidP="0067387A">
            <w:pPr>
              <w:pStyle w:val="TableTextEntries"/>
              <w:jc w:val="center"/>
              <w:rPr>
                <w:b/>
              </w:rPr>
            </w:pPr>
            <w:r>
              <w:t>3</w:t>
            </w:r>
          </w:p>
        </w:tc>
      </w:tr>
      <w:tr w:rsidR="00D45ABF" w:rsidRPr="009D53C4" w:rsidTr="00D45ABF">
        <w:trPr>
          <w:cnfStyle w:val="000000010000" w:firstRow="0" w:lastRow="0" w:firstColumn="0" w:lastColumn="0" w:oddVBand="0" w:evenVBand="0" w:oddHBand="0" w:evenHBand="1" w:firstRowFirstColumn="0" w:firstRowLastColumn="0" w:lastRowFirstColumn="0" w:lastRowLastColumn="0"/>
          <w:trHeight w:val="284"/>
        </w:trPr>
        <w:tc>
          <w:tcPr>
            <w:tcW w:w="991" w:type="pct"/>
          </w:tcPr>
          <w:p w:rsidR="00151F7E" w:rsidRPr="00C2110F" w:rsidRDefault="00151F7E" w:rsidP="0067387A">
            <w:pPr>
              <w:pStyle w:val="TableTextEntries"/>
              <w:rPr>
                <w:b/>
              </w:rPr>
            </w:pPr>
          </w:p>
        </w:tc>
        <w:tc>
          <w:tcPr>
            <w:tcW w:w="762" w:type="pct"/>
          </w:tcPr>
          <w:p w:rsidR="00151F7E" w:rsidRPr="00245373" w:rsidRDefault="00151F7E" w:rsidP="0067387A">
            <w:pPr>
              <w:pStyle w:val="TableTextEntries"/>
              <w:rPr>
                <w:b/>
                <w:highlight w:val="yellow"/>
              </w:rPr>
            </w:pPr>
          </w:p>
        </w:tc>
        <w:tc>
          <w:tcPr>
            <w:tcW w:w="690" w:type="pct"/>
            <w:gridSpan w:val="2"/>
          </w:tcPr>
          <w:p w:rsidR="00151F7E" w:rsidRPr="00C2110F" w:rsidRDefault="00151F7E" w:rsidP="0067387A">
            <w:pPr>
              <w:pStyle w:val="TableTextEntries"/>
              <w:rPr>
                <w:b/>
              </w:rPr>
            </w:pPr>
            <w:r w:rsidRPr="00C2110F">
              <w:t>201</w:t>
            </w:r>
            <w:r>
              <w:t>2</w:t>
            </w:r>
          </w:p>
        </w:tc>
        <w:tc>
          <w:tcPr>
            <w:tcW w:w="408" w:type="pct"/>
            <w:gridSpan w:val="2"/>
            <w:shd w:val="clear" w:color="auto" w:fill="66B33B"/>
            <w:noWrap/>
          </w:tcPr>
          <w:p w:rsidR="00151F7E" w:rsidRPr="00C2110F" w:rsidRDefault="00151F7E" w:rsidP="0067387A">
            <w:pPr>
              <w:pStyle w:val="TableTextEntries"/>
              <w:jc w:val="center"/>
              <w:rPr>
                <w:b/>
              </w:rPr>
            </w:pPr>
            <w:r w:rsidRPr="00C2110F">
              <w:t>5</w:t>
            </w:r>
          </w:p>
        </w:tc>
        <w:tc>
          <w:tcPr>
            <w:tcW w:w="408" w:type="pct"/>
            <w:gridSpan w:val="2"/>
            <w:shd w:val="clear" w:color="auto" w:fill="66B33B"/>
            <w:noWrap/>
          </w:tcPr>
          <w:p w:rsidR="00151F7E" w:rsidRPr="00C2110F" w:rsidRDefault="00151F7E" w:rsidP="0067387A">
            <w:pPr>
              <w:pStyle w:val="TableTextEntries"/>
              <w:jc w:val="center"/>
              <w:rPr>
                <w:b/>
              </w:rPr>
            </w:pPr>
            <w:r>
              <w:t>5</w:t>
            </w:r>
          </w:p>
        </w:tc>
        <w:tc>
          <w:tcPr>
            <w:tcW w:w="409" w:type="pct"/>
            <w:gridSpan w:val="2"/>
            <w:shd w:val="clear" w:color="auto" w:fill="FFFF00"/>
            <w:noWrap/>
          </w:tcPr>
          <w:p w:rsidR="00151F7E" w:rsidRPr="00C2110F" w:rsidRDefault="00151F7E" w:rsidP="0067387A">
            <w:pPr>
              <w:pStyle w:val="TableTextEntries"/>
              <w:jc w:val="center"/>
              <w:rPr>
                <w:b/>
              </w:rPr>
            </w:pPr>
            <w:r w:rsidRPr="00C2110F">
              <w:t>4</w:t>
            </w:r>
          </w:p>
        </w:tc>
        <w:tc>
          <w:tcPr>
            <w:tcW w:w="409" w:type="pct"/>
            <w:gridSpan w:val="2"/>
            <w:shd w:val="clear" w:color="auto" w:fill="FFFF00"/>
            <w:noWrap/>
          </w:tcPr>
          <w:p w:rsidR="00151F7E" w:rsidRPr="00C2110F" w:rsidRDefault="00151F7E" w:rsidP="0067387A">
            <w:pPr>
              <w:pStyle w:val="TableTextEntries"/>
              <w:jc w:val="center"/>
              <w:rPr>
                <w:b/>
              </w:rPr>
            </w:pPr>
            <w:r w:rsidRPr="00C2110F">
              <w:t>4</w:t>
            </w:r>
          </w:p>
        </w:tc>
        <w:tc>
          <w:tcPr>
            <w:tcW w:w="409" w:type="pct"/>
            <w:shd w:val="clear" w:color="auto" w:fill="FFFF00"/>
            <w:noWrap/>
          </w:tcPr>
          <w:p w:rsidR="00151F7E" w:rsidRPr="00C2110F" w:rsidRDefault="00151F7E" w:rsidP="0067387A">
            <w:pPr>
              <w:pStyle w:val="TableTextEntries"/>
              <w:jc w:val="center"/>
              <w:rPr>
                <w:b/>
              </w:rPr>
            </w:pPr>
            <w:r w:rsidRPr="00C2110F">
              <w:t>4</w:t>
            </w:r>
          </w:p>
        </w:tc>
        <w:tc>
          <w:tcPr>
            <w:tcW w:w="402" w:type="pct"/>
            <w:shd w:val="clear" w:color="auto" w:fill="66B33B"/>
            <w:noWrap/>
          </w:tcPr>
          <w:p w:rsidR="00151F7E" w:rsidRPr="00C2110F" w:rsidRDefault="00151F7E" w:rsidP="0067387A">
            <w:pPr>
              <w:pStyle w:val="TableTextEntries"/>
              <w:jc w:val="center"/>
              <w:rPr>
                <w:b/>
              </w:rPr>
            </w:pPr>
            <w:r w:rsidRPr="00C2110F">
              <w:t>5</w:t>
            </w:r>
          </w:p>
        </w:tc>
      </w:tr>
      <w:tr w:rsidR="00D45ABF" w:rsidRPr="009D53C4" w:rsidTr="00D45ABF">
        <w:trPr>
          <w:cnfStyle w:val="000000010000" w:firstRow="0" w:lastRow="0" w:firstColumn="0" w:lastColumn="0" w:oddVBand="0" w:evenVBand="0" w:oddHBand="0" w:evenHBand="1" w:firstRowFirstColumn="0" w:firstRowLastColumn="0" w:lastRowFirstColumn="0" w:lastRowLastColumn="0"/>
          <w:trHeight w:val="284"/>
        </w:trPr>
        <w:tc>
          <w:tcPr>
            <w:tcW w:w="991" w:type="pct"/>
          </w:tcPr>
          <w:p w:rsidR="00151F7E" w:rsidRPr="00C2110F" w:rsidRDefault="00151F7E" w:rsidP="0067387A">
            <w:pPr>
              <w:pStyle w:val="TableTextEntries"/>
              <w:rPr>
                <w:b/>
              </w:rPr>
            </w:pPr>
            <w:r w:rsidRPr="00C2110F">
              <w:t xml:space="preserve">INI940 Project Childhood </w:t>
            </w:r>
          </w:p>
        </w:tc>
        <w:tc>
          <w:tcPr>
            <w:tcW w:w="762" w:type="pct"/>
          </w:tcPr>
          <w:p w:rsidR="00151F7E" w:rsidRPr="003C5F4A" w:rsidRDefault="00151F7E" w:rsidP="0067387A">
            <w:pPr>
              <w:pStyle w:val="TableTextEntries"/>
              <w:rPr>
                <w:b/>
              </w:rPr>
            </w:pPr>
            <w:r>
              <w:t>$7.0</w:t>
            </w:r>
            <w:r w:rsidRPr="003C5F4A">
              <w:t>m</w:t>
            </w:r>
          </w:p>
          <w:p w:rsidR="00151F7E" w:rsidRPr="003C5F4A" w:rsidRDefault="00151F7E" w:rsidP="0067387A">
            <w:pPr>
              <w:pStyle w:val="TableTextEntries"/>
              <w:rPr>
                <w:b/>
              </w:rPr>
            </w:pPr>
            <w:r w:rsidRPr="003C5F4A">
              <w:t>14/9/09</w:t>
            </w:r>
            <w:r w:rsidR="001F5D1E">
              <w:t>—</w:t>
            </w:r>
            <w:r w:rsidRPr="003C5F4A">
              <w:t>30/6/14</w:t>
            </w:r>
          </w:p>
        </w:tc>
        <w:tc>
          <w:tcPr>
            <w:tcW w:w="690" w:type="pct"/>
            <w:gridSpan w:val="2"/>
          </w:tcPr>
          <w:p w:rsidR="00151F7E" w:rsidRPr="00C2110F" w:rsidRDefault="00151F7E" w:rsidP="0067387A">
            <w:pPr>
              <w:pStyle w:val="TableTextEntries"/>
              <w:rPr>
                <w:b/>
              </w:rPr>
            </w:pPr>
            <w:r w:rsidRPr="00C2110F">
              <w:t>201</w:t>
            </w:r>
            <w:r>
              <w:t>3</w:t>
            </w:r>
          </w:p>
        </w:tc>
        <w:tc>
          <w:tcPr>
            <w:tcW w:w="408" w:type="pct"/>
            <w:gridSpan w:val="2"/>
            <w:shd w:val="clear" w:color="auto" w:fill="FFFF00"/>
            <w:noWrap/>
          </w:tcPr>
          <w:p w:rsidR="00151F7E" w:rsidRPr="00C2110F" w:rsidRDefault="00151F7E" w:rsidP="0067387A">
            <w:pPr>
              <w:pStyle w:val="TableTextEntries"/>
              <w:jc w:val="center"/>
              <w:rPr>
                <w:b/>
              </w:rPr>
            </w:pPr>
            <w:r>
              <w:t>4</w:t>
            </w:r>
          </w:p>
        </w:tc>
        <w:tc>
          <w:tcPr>
            <w:tcW w:w="408" w:type="pct"/>
            <w:gridSpan w:val="2"/>
            <w:shd w:val="clear" w:color="auto" w:fill="F79646" w:themeFill="accent6"/>
            <w:noWrap/>
          </w:tcPr>
          <w:p w:rsidR="00151F7E" w:rsidRPr="00C2110F" w:rsidRDefault="00151F7E" w:rsidP="0067387A">
            <w:pPr>
              <w:pStyle w:val="TableTextEntries"/>
              <w:jc w:val="center"/>
              <w:rPr>
                <w:b/>
              </w:rPr>
            </w:pPr>
            <w:r w:rsidRPr="00C2110F">
              <w:t>3</w:t>
            </w:r>
          </w:p>
        </w:tc>
        <w:tc>
          <w:tcPr>
            <w:tcW w:w="409" w:type="pct"/>
            <w:gridSpan w:val="2"/>
            <w:shd w:val="clear" w:color="auto" w:fill="F79646" w:themeFill="accent6"/>
            <w:noWrap/>
          </w:tcPr>
          <w:p w:rsidR="00151F7E" w:rsidRPr="00C2110F" w:rsidRDefault="00151F7E" w:rsidP="0067387A">
            <w:pPr>
              <w:pStyle w:val="TableTextEntries"/>
              <w:jc w:val="center"/>
              <w:rPr>
                <w:b/>
              </w:rPr>
            </w:pPr>
            <w:r>
              <w:t>3</w:t>
            </w:r>
          </w:p>
        </w:tc>
        <w:tc>
          <w:tcPr>
            <w:tcW w:w="409" w:type="pct"/>
            <w:gridSpan w:val="2"/>
            <w:shd w:val="clear" w:color="auto" w:fill="F79646" w:themeFill="accent6"/>
            <w:noWrap/>
          </w:tcPr>
          <w:p w:rsidR="00151F7E" w:rsidRPr="00C2110F" w:rsidRDefault="00151F7E" w:rsidP="0067387A">
            <w:pPr>
              <w:pStyle w:val="TableTextEntries"/>
              <w:jc w:val="center"/>
              <w:rPr>
                <w:b/>
              </w:rPr>
            </w:pPr>
            <w:r>
              <w:t>3</w:t>
            </w:r>
          </w:p>
        </w:tc>
        <w:tc>
          <w:tcPr>
            <w:tcW w:w="409" w:type="pct"/>
            <w:shd w:val="clear" w:color="auto" w:fill="FF0000"/>
            <w:noWrap/>
          </w:tcPr>
          <w:p w:rsidR="00151F7E" w:rsidRPr="00C2110F" w:rsidRDefault="00151F7E" w:rsidP="0067387A">
            <w:pPr>
              <w:pStyle w:val="TableTextEntries"/>
              <w:jc w:val="center"/>
              <w:rPr>
                <w:b/>
              </w:rPr>
            </w:pPr>
            <w:r>
              <w:t>2</w:t>
            </w:r>
          </w:p>
        </w:tc>
        <w:tc>
          <w:tcPr>
            <w:tcW w:w="402" w:type="pct"/>
            <w:shd w:val="clear" w:color="auto" w:fill="FFFF00"/>
            <w:noWrap/>
          </w:tcPr>
          <w:p w:rsidR="00151F7E" w:rsidRPr="00C2110F" w:rsidRDefault="00151F7E" w:rsidP="0067387A">
            <w:pPr>
              <w:pStyle w:val="TableTextEntries"/>
              <w:jc w:val="center"/>
              <w:rPr>
                <w:b/>
              </w:rPr>
            </w:pPr>
            <w:r w:rsidRPr="00C2110F">
              <w:t>4</w:t>
            </w:r>
          </w:p>
        </w:tc>
      </w:tr>
      <w:tr w:rsidR="00D45ABF" w:rsidRPr="009D53C4" w:rsidTr="00D45ABF">
        <w:trPr>
          <w:cnfStyle w:val="000000010000" w:firstRow="0" w:lastRow="0" w:firstColumn="0" w:lastColumn="0" w:oddVBand="0" w:evenVBand="0" w:oddHBand="0" w:evenHBand="1" w:firstRowFirstColumn="0" w:firstRowLastColumn="0" w:lastRowFirstColumn="0" w:lastRowLastColumn="0"/>
          <w:trHeight w:val="284"/>
        </w:trPr>
        <w:tc>
          <w:tcPr>
            <w:tcW w:w="991" w:type="pct"/>
          </w:tcPr>
          <w:p w:rsidR="00151F7E" w:rsidRPr="00C2110F" w:rsidRDefault="00151F7E" w:rsidP="0067387A">
            <w:pPr>
              <w:pStyle w:val="TableTextEntries"/>
              <w:rPr>
                <w:b/>
              </w:rPr>
            </w:pPr>
          </w:p>
        </w:tc>
        <w:tc>
          <w:tcPr>
            <w:tcW w:w="762" w:type="pct"/>
          </w:tcPr>
          <w:p w:rsidR="00151F7E" w:rsidRPr="00245373" w:rsidRDefault="00151F7E" w:rsidP="0067387A">
            <w:pPr>
              <w:pStyle w:val="TableTextEntries"/>
              <w:rPr>
                <w:b/>
                <w:highlight w:val="yellow"/>
              </w:rPr>
            </w:pPr>
          </w:p>
        </w:tc>
        <w:tc>
          <w:tcPr>
            <w:tcW w:w="690" w:type="pct"/>
            <w:gridSpan w:val="2"/>
          </w:tcPr>
          <w:p w:rsidR="00151F7E" w:rsidRPr="00C2110F" w:rsidRDefault="00151F7E" w:rsidP="0067387A">
            <w:pPr>
              <w:pStyle w:val="TableTextEntries"/>
              <w:rPr>
                <w:b/>
              </w:rPr>
            </w:pPr>
            <w:r w:rsidRPr="00C2110F">
              <w:t>201</w:t>
            </w:r>
            <w:r>
              <w:t>2</w:t>
            </w:r>
          </w:p>
        </w:tc>
        <w:tc>
          <w:tcPr>
            <w:tcW w:w="408" w:type="pct"/>
            <w:gridSpan w:val="2"/>
            <w:shd w:val="clear" w:color="auto" w:fill="FFFF00"/>
            <w:noWrap/>
          </w:tcPr>
          <w:p w:rsidR="00151F7E" w:rsidRPr="00C2110F" w:rsidRDefault="00151F7E" w:rsidP="0067387A">
            <w:pPr>
              <w:pStyle w:val="TableTextEntries"/>
              <w:jc w:val="center"/>
              <w:rPr>
                <w:b/>
              </w:rPr>
            </w:pPr>
            <w:r w:rsidRPr="00C2110F">
              <w:t>4</w:t>
            </w:r>
          </w:p>
        </w:tc>
        <w:tc>
          <w:tcPr>
            <w:tcW w:w="408" w:type="pct"/>
            <w:gridSpan w:val="2"/>
            <w:shd w:val="clear" w:color="auto" w:fill="F79646" w:themeFill="accent6"/>
            <w:noWrap/>
          </w:tcPr>
          <w:p w:rsidR="00151F7E" w:rsidRPr="00C2110F" w:rsidRDefault="00151F7E" w:rsidP="0067387A">
            <w:pPr>
              <w:pStyle w:val="TableTextEntries"/>
              <w:jc w:val="center"/>
              <w:rPr>
                <w:b/>
              </w:rPr>
            </w:pPr>
            <w:r>
              <w:t>3</w:t>
            </w:r>
          </w:p>
        </w:tc>
        <w:tc>
          <w:tcPr>
            <w:tcW w:w="409" w:type="pct"/>
            <w:gridSpan w:val="2"/>
            <w:shd w:val="clear" w:color="auto" w:fill="FFFF00"/>
            <w:noWrap/>
          </w:tcPr>
          <w:p w:rsidR="00151F7E" w:rsidRPr="00C2110F" w:rsidRDefault="00151F7E" w:rsidP="0067387A">
            <w:pPr>
              <w:pStyle w:val="TableTextEntries"/>
              <w:jc w:val="center"/>
              <w:rPr>
                <w:b/>
              </w:rPr>
            </w:pPr>
            <w:r>
              <w:t>4</w:t>
            </w:r>
          </w:p>
        </w:tc>
        <w:tc>
          <w:tcPr>
            <w:tcW w:w="409" w:type="pct"/>
            <w:gridSpan w:val="2"/>
            <w:shd w:val="clear" w:color="auto" w:fill="FFFF00"/>
            <w:noWrap/>
          </w:tcPr>
          <w:p w:rsidR="00151F7E" w:rsidRPr="00C2110F" w:rsidRDefault="00151F7E" w:rsidP="0067387A">
            <w:pPr>
              <w:pStyle w:val="TableTextEntries"/>
              <w:jc w:val="center"/>
              <w:rPr>
                <w:b/>
              </w:rPr>
            </w:pPr>
            <w:r>
              <w:t>4</w:t>
            </w:r>
          </w:p>
        </w:tc>
        <w:tc>
          <w:tcPr>
            <w:tcW w:w="409" w:type="pct"/>
            <w:shd w:val="clear" w:color="auto" w:fill="FFFF00"/>
            <w:noWrap/>
          </w:tcPr>
          <w:p w:rsidR="00151F7E" w:rsidRPr="00C2110F" w:rsidRDefault="00151F7E" w:rsidP="0067387A">
            <w:pPr>
              <w:pStyle w:val="TableTextEntries"/>
              <w:jc w:val="center"/>
              <w:rPr>
                <w:b/>
              </w:rPr>
            </w:pPr>
            <w:r>
              <w:t>4</w:t>
            </w:r>
          </w:p>
        </w:tc>
        <w:tc>
          <w:tcPr>
            <w:tcW w:w="402" w:type="pct"/>
            <w:shd w:val="clear" w:color="auto" w:fill="FFFF00"/>
            <w:noWrap/>
          </w:tcPr>
          <w:p w:rsidR="00151F7E" w:rsidRPr="00C2110F" w:rsidRDefault="00151F7E" w:rsidP="0067387A">
            <w:pPr>
              <w:pStyle w:val="TableTextEntries"/>
              <w:jc w:val="center"/>
              <w:rPr>
                <w:b/>
              </w:rPr>
            </w:pPr>
            <w:r>
              <w:t>4</w:t>
            </w:r>
          </w:p>
        </w:tc>
      </w:tr>
      <w:tr w:rsidR="00D45ABF" w:rsidRPr="009D53C4" w:rsidTr="00D45ABF">
        <w:trPr>
          <w:cnfStyle w:val="000000010000" w:firstRow="0" w:lastRow="0" w:firstColumn="0" w:lastColumn="0" w:oddVBand="0" w:evenVBand="0" w:oddHBand="0" w:evenHBand="1" w:firstRowFirstColumn="0" w:firstRowLastColumn="0" w:lastRowFirstColumn="0" w:lastRowLastColumn="0"/>
          <w:trHeight w:val="284"/>
        </w:trPr>
        <w:tc>
          <w:tcPr>
            <w:tcW w:w="991" w:type="pct"/>
          </w:tcPr>
          <w:p w:rsidR="00151F7E" w:rsidRPr="00C2110F" w:rsidRDefault="00151F7E" w:rsidP="0067387A">
            <w:pPr>
              <w:pStyle w:val="TableTextEntries"/>
              <w:rPr>
                <w:b/>
              </w:rPr>
            </w:pPr>
            <w:r>
              <w:t>INK642 Australia Asia Program to Combat TIP</w:t>
            </w:r>
          </w:p>
        </w:tc>
        <w:tc>
          <w:tcPr>
            <w:tcW w:w="762" w:type="pct"/>
          </w:tcPr>
          <w:p w:rsidR="00151F7E" w:rsidRDefault="00151F7E" w:rsidP="0067387A">
            <w:pPr>
              <w:pStyle w:val="TableTextEntries"/>
            </w:pPr>
            <w:r w:rsidRPr="003C5F4A">
              <w:t>$50.0m</w:t>
            </w:r>
          </w:p>
          <w:p w:rsidR="00151F7E" w:rsidRPr="003C5F4A" w:rsidRDefault="00151F7E" w:rsidP="0067387A">
            <w:pPr>
              <w:pStyle w:val="TableTextEntries"/>
              <w:rPr>
                <w:highlight w:val="yellow"/>
              </w:rPr>
            </w:pPr>
            <w:r>
              <w:t>1/7/13</w:t>
            </w:r>
            <w:r w:rsidR="001F5D1E">
              <w:t>—</w:t>
            </w:r>
            <w:r>
              <w:t>30/6/18</w:t>
            </w:r>
          </w:p>
        </w:tc>
        <w:tc>
          <w:tcPr>
            <w:tcW w:w="690" w:type="pct"/>
            <w:gridSpan w:val="2"/>
          </w:tcPr>
          <w:p w:rsidR="00151F7E" w:rsidRPr="00C2110F" w:rsidRDefault="00151F7E" w:rsidP="0067387A">
            <w:pPr>
              <w:pStyle w:val="TableTextEntries"/>
              <w:rPr>
                <w:b/>
              </w:rPr>
            </w:pPr>
            <w:r>
              <w:t>2013</w:t>
            </w:r>
          </w:p>
        </w:tc>
        <w:tc>
          <w:tcPr>
            <w:tcW w:w="408" w:type="pct"/>
            <w:gridSpan w:val="2"/>
            <w:shd w:val="clear" w:color="auto" w:fill="66B33B"/>
            <w:noWrap/>
          </w:tcPr>
          <w:p w:rsidR="00151F7E" w:rsidRPr="00C2110F" w:rsidRDefault="00151F7E" w:rsidP="0067387A">
            <w:pPr>
              <w:pStyle w:val="TableTextEntries"/>
              <w:jc w:val="center"/>
              <w:rPr>
                <w:b/>
              </w:rPr>
            </w:pPr>
            <w:r>
              <w:t>6</w:t>
            </w:r>
          </w:p>
        </w:tc>
        <w:tc>
          <w:tcPr>
            <w:tcW w:w="408" w:type="pct"/>
            <w:gridSpan w:val="2"/>
            <w:shd w:val="clear" w:color="auto" w:fill="FFFF00"/>
            <w:noWrap/>
          </w:tcPr>
          <w:p w:rsidR="00151F7E" w:rsidRDefault="00151F7E" w:rsidP="0067387A">
            <w:pPr>
              <w:pStyle w:val="TableTextEntries"/>
              <w:jc w:val="center"/>
              <w:rPr>
                <w:b/>
              </w:rPr>
            </w:pPr>
            <w:r>
              <w:t>4</w:t>
            </w:r>
          </w:p>
        </w:tc>
        <w:tc>
          <w:tcPr>
            <w:tcW w:w="409" w:type="pct"/>
            <w:gridSpan w:val="2"/>
            <w:shd w:val="clear" w:color="auto" w:fill="FFFF00"/>
            <w:noWrap/>
          </w:tcPr>
          <w:p w:rsidR="00151F7E" w:rsidRDefault="00151F7E" w:rsidP="0067387A">
            <w:pPr>
              <w:pStyle w:val="TableTextEntries"/>
              <w:jc w:val="center"/>
              <w:rPr>
                <w:b/>
              </w:rPr>
            </w:pPr>
            <w:r>
              <w:t>4</w:t>
            </w:r>
          </w:p>
        </w:tc>
        <w:tc>
          <w:tcPr>
            <w:tcW w:w="409" w:type="pct"/>
            <w:gridSpan w:val="2"/>
            <w:shd w:val="clear" w:color="auto" w:fill="66B33B"/>
            <w:noWrap/>
          </w:tcPr>
          <w:p w:rsidR="00151F7E" w:rsidRDefault="00151F7E" w:rsidP="0067387A">
            <w:pPr>
              <w:pStyle w:val="TableTextEntries"/>
              <w:jc w:val="center"/>
              <w:rPr>
                <w:b/>
              </w:rPr>
            </w:pPr>
            <w:r>
              <w:t>5</w:t>
            </w:r>
          </w:p>
        </w:tc>
        <w:tc>
          <w:tcPr>
            <w:tcW w:w="409" w:type="pct"/>
            <w:shd w:val="clear" w:color="auto" w:fill="66B33B"/>
            <w:noWrap/>
          </w:tcPr>
          <w:p w:rsidR="00151F7E" w:rsidRDefault="00151F7E" w:rsidP="0067387A">
            <w:pPr>
              <w:pStyle w:val="TableTextEntries"/>
              <w:jc w:val="center"/>
              <w:rPr>
                <w:b/>
              </w:rPr>
            </w:pPr>
            <w:r>
              <w:t>5</w:t>
            </w:r>
          </w:p>
        </w:tc>
        <w:tc>
          <w:tcPr>
            <w:tcW w:w="402" w:type="pct"/>
            <w:shd w:val="clear" w:color="auto" w:fill="F79646" w:themeFill="accent6"/>
            <w:noWrap/>
          </w:tcPr>
          <w:p w:rsidR="00151F7E" w:rsidRDefault="00151F7E" w:rsidP="0067387A">
            <w:pPr>
              <w:pStyle w:val="TableTextEntries"/>
              <w:jc w:val="center"/>
              <w:rPr>
                <w:b/>
              </w:rPr>
            </w:pPr>
            <w:r>
              <w:t>3</w:t>
            </w:r>
          </w:p>
        </w:tc>
      </w:tr>
      <w:tr w:rsidR="00D45ABF" w:rsidRPr="009D53C4" w:rsidTr="00D45ABF">
        <w:trPr>
          <w:cnfStyle w:val="000000010000" w:firstRow="0" w:lastRow="0" w:firstColumn="0" w:lastColumn="0" w:oddVBand="0" w:evenVBand="0" w:oddHBand="0" w:evenHBand="1" w:firstRowFirstColumn="0" w:firstRowLastColumn="0" w:lastRowFirstColumn="0" w:lastRowLastColumn="0"/>
          <w:trHeight w:val="284"/>
        </w:trPr>
        <w:tc>
          <w:tcPr>
            <w:tcW w:w="991" w:type="pct"/>
          </w:tcPr>
          <w:p w:rsidR="00151F7E" w:rsidRPr="00C2110F" w:rsidRDefault="00151F7E" w:rsidP="0067387A">
            <w:pPr>
              <w:pStyle w:val="TableTextEntries"/>
              <w:rPr>
                <w:b/>
              </w:rPr>
            </w:pPr>
          </w:p>
        </w:tc>
        <w:tc>
          <w:tcPr>
            <w:tcW w:w="762" w:type="pct"/>
          </w:tcPr>
          <w:p w:rsidR="00151F7E" w:rsidRPr="00245373" w:rsidRDefault="00151F7E" w:rsidP="0067387A">
            <w:pPr>
              <w:pStyle w:val="TableTextEntries"/>
              <w:rPr>
                <w:b/>
                <w:highlight w:val="yellow"/>
              </w:rPr>
            </w:pPr>
          </w:p>
        </w:tc>
        <w:tc>
          <w:tcPr>
            <w:tcW w:w="690" w:type="pct"/>
            <w:gridSpan w:val="2"/>
          </w:tcPr>
          <w:p w:rsidR="00151F7E" w:rsidRPr="00C2110F" w:rsidRDefault="00151F7E" w:rsidP="0067387A">
            <w:pPr>
              <w:pStyle w:val="TableTextEntries"/>
              <w:rPr>
                <w:b/>
              </w:rPr>
            </w:pPr>
            <w:r>
              <w:t>2012</w:t>
            </w:r>
          </w:p>
        </w:tc>
        <w:tc>
          <w:tcPr>
            <w:tcW w:w="408" w:type="pct"/>
            <w:gridSpan w:val="2"/>
            <w:noWrap/>
          </w:tcPr>
          <w:p w:rsidR="00151F7E" w:rsidRPr="00C2110F" w:rsidRDefault="00151F7E" w:rsidP="0067387A">
            <w:pPr>
              <w:pStyle w:val="TableTextEntries"/>
              <w:jc w:val="center"/>
              <w:rPr>
                <w:b/>
              </w:rPr>
            </w:pPr>
            <w:r>
              <w:t>n/a</w:t>
            </w:r>
          </w:p>
        </w:tc>
        <w:tc>
          <w:tcPr>
            <w:tcW w:w="408" w:type="pct"/>
            <w:gridSpan w:val="2"/>
            <w:noWrap/>
          </w:tcPr>
          <w:p w:rsidR="00151F7E" w:rsidRDefault="00151F7E" w:rsidP="0067387A">
            <w:pPr>
              <w:pStyle w:val="TableTextEntries"/>
              <w:jc w:val="center"/>
              <w:rPr>
                <w:b/>
              </w:rPr>
            </w:pPr>
            <w:r>
              <w:t>n/a</w:t>
            </w:r>
          </w:p>
        </w:tc>
        <w:tc>
          <w:tcPr>
            <w:tcW w:w="409" w:type="pct"/>
            <w:gridSpan w:val="2"/>
            <w:noWrap/>
          </w:tcPr>
          <w:p w:rsidR="00151F7E" w:rsidRDefault="00151F7E" w:rsidP="0067387A">
            <w:pPr>
              <w:pStyle w:val="TableTextEntries"/>
              <w:jc w:val="center"/>
              <w:rPr>
                <w:b/>
              </w:rPr>
            </w:pPr>
            <w:r>
              <w:t>n/a</w:t>
            </w:r>
          </w:p>
        </w:tc>
        <w:tc>
          <w:tcPr>
            <w:tcW w:w="409" w:type="pct"/>
            <w:gridSpan w:val="2"/>
            <w:noWrap/>
          </w:tcPr>
          <w:p w:rsidR="00151F7E" w:rsidRDefault="00151F7E" w:rsidP="0067387A">
            <w:pPr>
              <w:pStyle w:val="TableTextEntries"/>
              <w:jc w:val="center"/>
              <w:rPr>
                <w:b/>
              </w:rPr>
            </w:pPr>
            <w:r>
              <w:t>n/a</w:t>
            </w:r>
          </w:p>
        </w:tc>
        <w:tc>
          <w:tcPr>
            <w:tcW w:w="409" w:type="pct"/>
            <w:noWrap/>
          </w:tcPr>
          <w:p w:rsidR="00151F7E" w:rsidRDefault="00151F7E" w:rsidP="0067387A">
            <w:pPr>
              <w:pStyle w:val="TableTextEntries"/>
              <w:jc w:val="center"/>
              <w:rPr>
                <w:b/>
              </w:rPr>
            </w:pPr>
            <w:r>
              <w:t>n/a</w:t>
            </w:r>
          </w:p>
        </w:tc>
        <w:tc>
          <w:tcPr>
            <w:tcW w:w="402" w:type="pct"/>
            <w:noWrap/>
          </w:tcPr>
          <w:p w:rsidR="00151F7E" w:rsidRDefault="00151F7E" w:rsidP="0067387A">
            <w:pPr>
              <w:pStyle w:val="TableTextEntries"/>
              <w:jc w:val="center"/>
              <w:rPr>
                <w:b/>
              </w:rPr>
            </w:pPr>
            <w:r>
              <w:t>n/a</w:t>
            </w:r>
          </w:p>
        </w:tc>
      </w:tr>
      <w:tr w:rsidR="00D45ABF" w:rsidRPr="009D53C4" w:rsidTr="00D45ABF">
        <w:trPr>
          <w:cnfStyle w:val="000000010000" w:firstRow="0" w:lastRow="0" w:firstColumn="0" w:lastColumn="0" w:oddVBand="0" w:evenVBand="0" w:oddHBand="0" w:evenHBand="1" w:firstRowFirstColumn="0" w:firstRowLastColumn="0" w:lastRowFirstColumn="0" w:lastRowLastColumn="0"/>
          <w:trHeight w:val="284"/>
        </w:trPr>
        <w:tc>
          <w:tcPr>
            <w:tcW w:w="991" w:type="pct"/>
          </w:tcPr>
          <w:p w:rsidR="00151F7E" w:rsidRPr="00C2110F" w:rsidRDefault="00151F7E" w:rsidP="0067387A">
            <w:pPr>
              <w:pStyle w:val="TableTextEntries"/>
              <w:rPr>
                <w:b/>
              </w:rPr>
            </w:pPr>
            <w:r>
              <w:lastRenderedPageBreak/>
              <w:t>INK599 MTV EXIT Phase IV</w:t>
            </w:r>
          </w:p>
        </w:tc>
        <w:tc>
          <w:tcPr>
            <w:tcW w:w="762" w:type="pct"/>
          </w:tcPr>
          <w:p w:rsidR="00151F7E" w:rsidRPr="003C5F4A" w:rsidRDefault="00151F7E" w:rsidP="0067387A">
            <w:pPr>
              <w:pStyle w:val="TableTextEntries"/>
              <w:rPr>
                <w:highlight w:val="yellow"/>
              </w:rPr>
            </w:pPr>
            <w:r w:rsidRPr="003C5F4A">
              <w:t>$5.6m</w:t>
            </w:r>
          </w:p>
        </w:tc>
        <w:tc>
          <w:tcPr>
            <w:tcW w:w="690" w:type="pct"/>
            <w:gridSpan w:val="2"/>
          </w:tcPr>
          <w:p w:rsidR="00151F7E" w:rsidRDefault="00151F7E" w:rsidP="0067387A">
            <w:pPr>
              <w:pStyle w:val="TableTextEntries"/>
              <w:rPr>
                <w:b/>
              </w:rPr>
            </w:pPr>
            <w:r>
              <w:t>2013</w:t>
            </w:r>
          </w:p>
        </w:tc>
        <w:tc>
          <w:tcPr>
            <w:tcW w:w="408" w:type="pct"/>
            <w:gridSpan w:val="2"/>
            <w:shd w:val="clear" w:color="auto" w:fill="66B33B"/>
            <w:noWrap/>
          </w:tcPr>
          <w:p w:rsidR="00151F7E" w:rsidRDefault="00151F7E" w:rsidP="0067387A">
            <w:pPr>
              <w:pStyle w:val="TableTextEntries"/>
              <w:jc w:val="center"/>
              <w:rPr>
                <w:b/>
              </w:rPr>
            </w:pPr>
            <w:r>
              <w:t>5</w:t>
            </w:r>
          </w:p>
        </w:tc>
        <w:tc>
          <w:tcPr>
            <w:tcW w:w="408" w:type="pct"/>
            <w:gridSpan w:val="2"/>
            <w:shd w:val="clear" w:color="auto" w:fill="FFFF00"/>
            <w:noWrap/>
          </w:tcPr>
          <w:p w:rsidR="00151F7E" w:rsidRDefault="00151F7E" w:rsidP="0067387A">
            <w:pPr>
              <w:pStyle w:val="TableTextEntries"/>
              <w:jc w:val="center"/>
              <w:rPr>
                <w:b/>
              </w:rPr>
            </w:pPr>
            <w:r>
              <w:t>4</w:t>
            </w:r>
          </w:p>
        </w:tc>
        <w:tc>
          <w:tcPr>
            <w:tcW w:w="409" w:type="pct"/>
            <w:gridSpan w:val="2"/>
            <w:shd w:val="clear" w:color="auto" w:fill="F79646" w:themeFill="accent6"/>
            <w:noWrap/>
          </w:tcPr>
          <w:p w:rsidR="00151F7E" w:rsidRDefault="00151F7E" w:rsidP="0067387A">
            <w:pPr>
              <w:pStyle w:val="TableTextEntries"/>
              <w:jc w:val="center"/>
              <w:rPr>
                <w:b/>
              </w:rPr>
            </w:pPr>
            <w:r>
              <w:t>3</w:t>
            </w:r>
          </w:p>
        </w:tc>
        <w:tc>
          <w:tcPr>
            <w:tcW w:w="409" w:type="pct"/>
            <w:gridSpan w:val="2"/>
            <w:shd w:val="clear" w:color="auto" w:fill="F79646" w:themeFill="accent6"/>
            <w:noWrap/>
          </w:tcPr>
          <w:p w:rsidR="00151F7E" w:rsidRDefault="00151F7E" w:rsidP="0067387A">
            <w:pPr>
              <w:pStyle w:val="TableTextEntries"/>
              <w:jc w:val="center"/>
              <w:rPr>
                <w:b/>
              </w:rPr>
            </w:pPr>
            <w:r>
              <w:t>3</w:t>
            </w:r>
          </w:p>
        </w:tc>
        <w:tc>
          <w:tcPr>
            <w:tcW w:w="409" w:type="pct"/>
            <w:shd w:val="clear" w:color="auto" w:fill="FFFF00"/>
            <w:noWrap/>
          </w:tcPr>
          <w:p w:rsidR="00151F7E" w:rsidRDefault="00151F7E" w:rsidP="0067387A">
            <w:pPr>
              <w:pStyle w:val="TableTextEntries"/>
              <w:jc w:val="center"/>
              <w:rPr>
                <w:b/>
              </w:rPr>
            </w:pPr>
            <w:r>
              <w:t>4</w:t>
            </w:r>
          </w:p>
        </w:tc>
        <w:tc>
          <w:tcPr>
            <w:tcW w:w="402" w:type="pct"/>
            <w:shd w:val="clear" w:color="auto" w:fill="FFFF00"/>
            <w:noWrap/>
          </w:tcPr>
          <w:p w:rsidR="00151F7E" w:rsidRDefault="00151F7E" w:rsidP="0067387A">
            <w:pPr>
              <w:pStyle w:val="TableTextEntries"/>
              <w:jc w:val="center"/>
              <w:rPr>
                <w:b/>
              </w:rPr>
            </w:pPr>
            <w:r>
              <w:t>4</w:t>
            </w:r>
          </w:p>
        </w:tc>
      </w:tr>
      <w:tr w:rsidR="00D45ABF" w:rsidRPr="009D53C4" w:rsidTr="00D45ABF">
        <w:trPr>
          <w:cnfStyle w:val="000000010000" w:firstRow="0" w:lastRow="0" w:firstColumn="0" w:lastColumn="0" w:oddVBand="0" w:evenVBand="0" w:oddHBand="0" w:evenHBand="1" w:firstRowFirstColumn="0" w:firstRowLastColumn="0" w:lastRowFirstColumn="0" w:lastRowLastColumn="0"/>
          <w:trHeight w:val="284"/>
        </w:trPr>
        <w:tc>
          <w:tcPr>
            <w:tcW w:w="991" w:type="pct"/>
          </w:tcPr>
          <w:p w:rsidR="00151F7E" w:rsidRPr="00C2110F" w:rsidRDefault="00151F7E" w:rsidP="0067387A">
            <w:pPr>
              <w:pStyle w:val="TableTextEntries"/>
              <w:rPr>
                <w:b/>
              </w:rPr>
            </w:pPr>
          </w:p>
        </w:tc>
        <w:tc>
          <w:tcPr>
            <w:tcW w:w="762" w:type="pct"/>
          </w:tcPr>
          <w:p w:rsidR="00151F7E" w:rsidRPr="003C5F4A" w:rsidRDefault="00151F7E" w:rsidP="00D45ABF">
            <w:pPr>
              <w:pStyle w:val="TableTextEntries"/>
              <w:rPr>
                <w:highlight w:val="yellow"/>
              </w:rPr>
            </w:pPr>
            <w:r w:rsidRPr="003C5F4A">
              <w:t>14/12/12</w:t>
            </w:r>
            <w:r w:rsidR="00D45ABF">
              <w:t>—</w:t>
            </w:r>
            <w:r w:rsidRPr="003C5F4A">
              <w:t>30/6/16</w:t>
            </w:r>
          </w:p>
        </w:tc>
        <w:tc>
          <w:tcPr>
            <w:tcW w:w="690" w:type="pct"/>
            <w:gridSpan w:val="2"/>
          </w:tcPr>
          <w:p w:rsidR="00151F7E" w:rsidRDefault="00151F7E" w:rsidP="0067387A">
            <w:pPr>
              <w:pStyle w:val="TableTextEntries"/>
              <w:rPr>
                <w:b/>
              </w:rPr>
            </w:pPr>
            <w:r>
              <w:t>2012</w:t>
            </w:r>
          </w:p>
        </w:tc>
        <w:tc>
          <w:tcPr>
            <w:tcW w:w="408" w:type="pct"/>
            <w:gridSpan w:val="2"/>
            <w:noWrap/>
          </w:tcPr>
          <w:p w:rsidR="00151F7E" w:rsidRDefault="00151F7E" w:rsidP="0067387A">
            <w:pPr>
              <w:pStyle w:val="TableTextEntries"/>
              <w:jc w:val="center"/>
              <w:rPr>
                <w:b/>
              </w:rPr>
            </w:pPr>
            <w:r>
              <w:t>n/a</w:t>
            </w:r>
          </w:p>
        </w:tc>
        <w:tc>
          <w:tcPr>
            <w:tcW w:w="408" w:type="pct"/>
            <w:gridSpan w:val="2"/>
            <w:noWrap/>
          </w:tcPr>
          <w:p w:rsidR="00151F7E" w:rsidRDefault="00151F7E" w:rsidP="0067387A">
            <w:pPr>
              <w:pStyle w:val="TableTextEntries"/>
              <w:jc w:val="center"/>
              <w:rPr>
                <w:b/>
              </w:rPr>
            </w:pPr>
            <w:r>
              <w:t>n/a</w:t>
            </w:r>
          </w:p>
        </w:tc>
        <w:tc>
          <w:tcPr>
            <w:tcW w:w="409" w:type="pct"/>
            <w:gridSpan w:val="2"/>
            <w:noWrap/>
          </w:tcPr>
          <w:p w:rsidR="00151F7E" w:rsidRDefault="00151F7E" w:rsidP="0067387A">
            <w:pPr>
              <w:pStyle w:val="TableTextEntries"/>
              <w:jc w:val="center"/>
              <w:rPr>
                <w:b/>
              </w:rPr>
            </w:pPr>
            <w:r>
              <w:t>n/a</w:t>
            </w:r>
          </w:p>
        </w:tc>
        <w:tc>
          <w:tcPr>
            <w:tcW w:w="409" w:type="pct"/>
            <w:gridSpan w:val="2"/>
            <w:noWrap/>
          </w:tcPr>
          <w:p w:rsidR="00151F7E" w:rsidRDefault="00151F7E" w:rsidP="0067387A">
            <w:pPr>
              <w:pStyle w:val="TableTextEntries"/>
              <w:jc w:val="center"/>
              <w:rPr>
                <w:b/>
              </w:rPr>
            </w:pPr>
            <w:r>
              <w:t>n/a</w:t>
            </w:r>
          </w:p>
        </w:tc>
        <w:tc>
          <w:tcPr>
            <w:tcW w:w="409" w:type="pct"/>
            <w:noWrap/>
          </w:tcPr>
          <w:p w:rsidR="00151F7E" w:rsidRDefault="00151F7E" w:rsidP="0067387A">
            <w:pPr>
              <w:pStyle w:val="TableTextEntries"/>
              <w:jc w:val="center"/>
              <w:rPr>
                <w:b/>
              </w:rPr>
            </w:pPr>
            <w:r>
              <w:t>n/a</w:t>
            </w:r>
          </w:p>
        </w:tc>
        <w:tc>
          <w:tcPr>
            <w:tcW w:w="402" w:type="pct"/>
            <w:noWrap/>
          </w:tcPr>
          <w:p w:rsidR="00151F7E" w:rsidRDefault="00151F7E" w:rsidP="0067387A">
            <w:pPr>
              <w:pStyle w:val="TableTextEntries"/>
              <w:jc w:val="center"/>
              <w:rPr>
                <w:b/>
              </w:rPr>
            </w:pPr>
            <w:r>
              <w:t>n/a</w:t>
            </w:r>
          </w:p>
        </w:tc>
      </w:tr>
      <w:tr w:rsidR="00D45ABF" w:rsidRPr="009D53C4" w:rsidTr="00D45ABF">
        <w:trPr>
          <w:cnfStyle w:val="000000010000" w:firstRow="0" w:lastRow="0" w:firstColumn="0" w:lastColumn="0" w:oddVBand="0" w:evenVBand="0" w:oddHBand="0" w:evenHBand="1" w:firstRowFirstColumn="0" w:firstRowLastColumn="0" w:lastRowFirstColumn="0" w:lastRowLastColumn="0"/>
          <w:trHeight w:val="284"/>
        </w:trPr>
        <w:tc>
          <w:tcPr>
            <w:tcW w:w="991" w:type="pct"/>
          </w:tcPr>
          <w:p w:rsidR="00151F7E" w:rsidRPr="00C2110F" w:rsidRDefault="00151F7E" w:rsidP="0067387A">
            <w:pPr>
              <w:pStyle w:val="TableTextEntries"/>
              <w:rPr>
                <w:b/>
              </w:rPr>
            </w:pPr>
            <w:r w:rsidRPr="00C2110F">
              <w:t>ING221 HIV/AIDS Asia Regional Program</w:t>
            </w:r>
          </w:p>
        </w:tc>
        <w:tc>
          <w:tcPr>
            <w:tcW w:w="762" w:type="pct"/>
          </w:tcPr>
          <w:p w:rsidR="00151F7E" w:rsidRPr="003C5F4A" w:rsidRDefault="00151F7E" w:rsidP="0067387A">
            <w:pPr>
              <w:pStyle w:val="TableTextEntries"/>
              <w:rPr>
                <w:b/>
              </w:rPr>
            </w:pPr>
            <w:r w:rsidRPr="003C5F4A">
              <w:t>$37.8m</w:t>
            </w:r>
          </w:p>
          <w:p w:rsidR="00151F7E" w:rsidRPr="00245373" w:rsidRDefault="00151F7E" w:rsidP="00D45ABF">
            <w:pPr>
              <w:pStyle w:val="TableTextEntries"/>
              <w:rPr>
                <w:b/>
                <w:highlight w:val="yellow"/>
              </w:rPr>
            </w:pPr>
            <w:r w:rsidRPr="003C5F4A">
              <w:t>21/7/05</w:t>
            </w:r>
            <w:r w:rsidR="00D45ABF">
              <w:t>—</w:t>
            </w:r>
            <w:r w:rsidRPr="003C5F4A">
              <w:t>31/12/14</w:t>
            </w:r>
          </w:p>
        </w:tc>
        <w:tc>
          <w:tcPr>
            <w:tcW w:w="690" w:type="pct"/>
            <w:gridSpan w:val="2"/>
          </w:tcPr>
          <w:p w:rsidR="00151F7E" w:rsidRPr="00C2110F" w:rsidRDefault="00151F7E" w:rsidP="0067387A">
            <w:pPr>
              <w:pStyle w:val="TableTextEntries"/>
              <w:rPr>
                <w:b/>
              </w:rPr>
            </w:pPr>
            <w:r w:rsidRPr="00C2110F">
              <w:t>201</w:t>
            </w:r>
            <w:r>
              <w:t>3</w:t>
            </w:r>
          </w:p>
        </w:tc>
        <w:tc>
          <w:tcPr>
            <w:tcW w:w="408" w:type="pct"/>
            <w:gridSpan w:val="2"/>
            <w:shd w:val="clear" w:color="auto" w:fill="33CC33"/>
            <w:noWrap/>
          </w:tcPr>
          <w:p w:rsidR="00151F7E" w:rsidRPr="00C2110F" w:rsidRDefault="00151F7E" w:rsidP="0067387A">
            <w:pPr>
              <w:pStyle w:val="TableTextEntries"/>
              <w:jc w:val="center"/>
              <w:rPr>
                <w:b/>
              </w:rPr>
            </w:pPr>
            <w:r>
              <w:t>5</w:t>
            </w:r>
          </w:p>
        </w:tc>
        <w:tc>
          <w:tcPr>
            <w:tcW w:w="408" w:type="pct"/>
            <w:gridSpan w:val="2"/>
            <w:shd w:val="clear" w:color="auto" w:fill="FFFF00"/>
            <w:noWrap/>
          </w:tcPr>
          <w:p w:rsidR="00151F7E" w:rsidRPr="00C2110F" w:rsidRDefault="00151F7E" w:rsidP="0067387A">
            <w:pPr>
              <w:pStyle w:val="TableTextEntries"/>
              <w:jc w:val="center"/>
              <w:rPr>
                <w:b/>
              </w:rPr>
            </w:pPr>
            <w:r w:rsidRPr="00C2110F">
              <w:t>4</w:t>
            </w:r>
          </w:p>
        </w:tc>
        <w:tc>
          <w:tcPr>
            <w:tcW w:w="409" w:type="pct"/>
            <w:gridSpan w:val="2"/>
            <w:shd w:val="clear" w:color="auto" w:fill="FFFF00"/>
            <w:noWrap/>
          </w:tcPr>
          <w:p w:rsidR="00151F7E" w:rsidRPr="00C2110F" w:rsidRDefault="00151F7E" w:rsidP="0067387A">
            <w:pPr>
              <w:pStyle w:val="TableTextEntries"/>
              <w:jc w:val="center"/>
              <w:rPr>
                <w:b/>
              </w:rPr>
            </w:pPr>
            <w:r>
              <w:t>4</w:t>
            </w:r>
          </w:p>
        </w:tc>
        <w:tc>
          <w:tcPr>
            <w:tcW w:w="409" w:type="pct"/>
            <w:gridSpan w:val="2"/>
            <w:shd w:val="clear" w:color="auto" w:fill="FFFF00"/>
            <w:noWrap/>
          </w:tcPr>
          <w:p w:rsidR="00151F7E" w:rsidRPr="00C2110F" w:rsidRDefault="00151F7E" w:rsidP="0067387A">
            <w:pPr>
              <w:pStyle w:val="TableTextEntries"/>
              <w:jc w:val="center"/>
              <w:rPr>
                <w:b/>
              </w:rPr>
            </w:pPr>
            <w:r>
              <w:t>4</w:t>
            </w:r>
          </w:p>
        </w:tc>
        <w:tc>
          <w:tcPr>
            <w:tcW w:w="409" w:type="pct"/>
            <w:shd w:val="clear" w:color="auto" w:fill="FFFF00"/>
            <w:noWrap/>
          </w:tcPr>
          <w:p w:rsidR="00151F7E" w:rsidRPr="00C2110F" w:rsidRDefault="00151F7E" w:rsidP="0067387A">
            <w:pPr>
              <w:pStyle w:val="TableTextEntries"/>
              <w:jc w:val="center"/>
              <w:rPr>
                <w:b/>
              </w:rPr>
            </w:pPr>
            <w:r w:rsidRPr="00C2110F">
              <w:t>4</w:t>
            </w:r>
          </w:p>
        </w:tc>
        <w:tc>
          <w:tcPr>
            <w:tcW w:w="402" w:type="pct"/>
            <w:shd w:val="clear" w:color="auto" w:fill="FFFF00"/>
            <w:noWrap/>
          </w:tcPr>
          <w:p w:rsidR="00151F7E" w:rsidRPr="00C2110F" w:rsidRDefault="00151F7E" w:rsidP="0067387A">
            <w:pPr>
              <w:pStyle w:val="TableTextEntries"/>
              <w:jc w:val="center"/>
              <w:rPr>
                <w:b/>
              </w:rPr>
            </w:pPr>
            <w:r>
              <w:t>4</w:t>
            </w:r>
          </w:p>
        </w:tc>
      </w:tr>
      <w:tr w:rsidR="00D45ABF" w:rsidRPr="009D53C4" w:rsidTr="00D45ABF">
        <w:trPr>
          <w:cnfStyle w:val="000000010000" w:firstRow="0" w:lastRow="0" w:firstColumn="0" w:lastColumn="0" w:oddVBand="0" w:evenVBand="0" w:oddHBand="0" w:evenHBand="1" w:firstRowFirstColumn="0" w:firstRowLastColumn="0" w:lastRowFirstColumn="0" w:lastRowLastColumn="0"/>
          <w:trHeight w:val="284"/>
        </w:trPr>
        <w:tc>
          <w:tcPr>
            <w:tcW w:w="991" w:type="pct"/>
          </w:tcPr>
          <w:p w:rsidR="00151F7E" w:rsidRPr="00C2110F" w:rsidRDefault="00151F7E" w:rsidP="0067387A">
            <w:pPr>
              <w:pStyle w:val="TableTextEntries"/>
              <w:rPr>
                <w:b/>
              </w:rPr>
            </w:pPr>
          </w:p>
        </w:tc>
        <w:tc>
          <w:tcPr>
            <w:tcW w:w="762" w:type="pct"/>
          </w:tcPr>
          <w:p w:rsidR="00151F7E" w:rsidRPr="00245373" w:rsidRDefault="00151F7E" w:rsidP="0067387A">
            <w:pPr>
              <w:pStyle w:val="TableTextEntries"/>
              <w:rPr>
                <w:b/>
                <w:highlight w:val="yellow"/>
              </w:rPr>
            </w:pPr>
          </w:p>
        </w:tc>
        <w:tc>
          <w:tcPr>
            <w:tcW w:w="690" w:type="pct"/>
            <w:gridSpan w:val="2"/>
          </w:tcPr>
          <w:p w:rsidR="00151F7E" w:rsidRPr="00C2110F" w:rsidRDefault="00151F7E" w:rsidP="0067387A">
            <w:pPr>
              <w:pStyle w:val="TableTextEntries"/>
              <w:rPr>
                <w:b/>
              </w:rPr>
            </w:pPr>
            <w:r w:rsidRPr="00C2110F">
              <w:t>201</w:t>
            </w:r>
            <w:r>
              <w:t>2</w:t>
            </w:r>
          </w:p>
        </w:tc>
        <w:tc>
          <w:tcPr>
            <w:tcW w:w="408" w:type="pct"/>
            <w:gridSpan w:val="2"/>
            <w:shd w:val="clear" w:color="auto" w:fill="66B33B"/>
            <w:noWrap/>
          </w:tcPr>
          <w:p w:rsidR="00151F7E" w:rsidRPr="00C2110F" w:rsidRDefault="00151F7E" w:rsidP="0067387A">
            <w:pPr>
              <w:pStyle w:val="TableTextEntries"/>
              <w:jc w:val="center"/>
              <w:rPr>
                <w:b/>
              </w:rPr>
            </w:pPr>
            <w:r w:rsidRPr="00C2110F">
              <w:t>5</w:t>
            </w:r>
          </w:p>
        </w:tc>
        <w:tc>
          <w:tcPr>
            <w:tcW w:w="408" w:type="pct"/>
            <w:gridSpan w:val="2"/>
            <w:shd w:val="clear" w:color="auto" w:fill="FFFF00"/>
            <w:noWrap/>
          </w:tcPr>
          <w:p w:rsidR="00151F7E" w:rsidRPr="00C2110F" w:rsidRDefault="00151F7E" w:rsidP="0067387A">
            <w:pPr>
              <w:pStyle w:val="TableTextEntries"/>
              <w:jc w:val="center"/>
              <w:rPr>
                <w:b/>
              </w:rPr>
            </w:pPr>
            <w:r w:rsidRPr="00C2110F">
              <w:t>4</w:t>
            </w:r>
          </w:p>
        </w:tc>
        <w:tc>
          <w:tcPr>
            <w:tcW w:w="409" w:type="pct"/>
            <w:gridSpan w:val="2"/>
            <w:shd w:val="clear" w:color="auto" w:fill="F79646" w:themeFill="accent6"/>
            <w:noWrap/>
          </w:tcPr>
          <w:p w:rsidR="00151F7E" w:rsidRPr="00C2110F" w:rsidRDefault="00151F7E" w:rsidP="0067387A">
            <w:pPr>
              <w:pStyle w:val="TableTextEntries"/>
              <w:jc w:val="center"/>
              <w:rPr>
                <w:b/>
              </w:rPr>
            </w:pPr>
            <w:r w:rsidRPr="00C2110F">
              <w:t>3</w:t>
            </w:r>
          </w:p>
        </w:tc>
        <w:tc>
          <w:tcPr>
            <w:tcW w:w="409" w:type="pct"/>
            <w:gridSpan w:val="2"/>
            <w:shd w:val="clear" w:color="auto" w:fill="F79646" w:themeFill="accent6"/>
            <w:noWrap/>
          </w:tcPr>
          <w:p w:rsidR="00151F7E" w:rsidRPr="00C2110F" w:rsidRDefault="00151F7E" w:rsidP="0067387A">
            <w:pPr>
              <w:pStyle w:val="TableTextEntries"/>
              <w:jc w:val="center"/>
              <w:rPr>
                <w:b/>
              </w:rPr>
            </w:pPr>
            <w:r w:rsidRPr="00C2110F">
              <w:t>3</w:t>
            </w:r>
          </w:p>
        </w:tc>
        <w:tc>
          <w:tcPr>
            <w:tcW w:w="409" w:type="pct"/>
            <w:shd w:val="clear" w:color="auto" w:fill="FFFF00"/>
            <w:noWrap/>
          </w:tcPr>
          <w:p w:rsidR="00151F7E" w:rsidRPr="00C2110F" w:rsidRDefault="00151F7E" w:rsidP="0067387A">
            <w:pPr>
              <w:pStyle w:val="TableTextEntries"/>
              <w:jc w:val="center"/>
              <w:rPr>
                <w:b/>
              </w:rPr>
            </w:pPr>
            <w:r w:rsidRPr="00C2110F">
              <w:t>4</w:t>
            </w:r>
          </w:p>
        </w:tc>
        <w:tc>
          <w:tcPr>
            <w:tcW w:w="402" w:type="pct"/>
            <w:shd w:val="clear" w:color="auto" w:fill="66B33B"/>
            <w:noWrap/>
          </w:tcPr>
          <w:p w:rsidR="00151F7E" w:rsidRPr="00C2110F" w:rsidRDefault="00151F7E" w:rsidP="0067387A">
            <w:pPr>
              <w:pStyle w:val="TableTextEntries"/>
              <w:jc w:val="center"/>
              <w:rPr>
                <w:b/>
              </w:rPr>
            </w:pPr>
            <w:r w:rsidRPr="00C2110F">
              <w:t>5</w:t>
            </w:r>
          </w:p>
        </w:tc>
      </w:tr>
      <w:tr w:rsidR="00D45ABF" w:rsidRPr="009D53C4" w:rsidTr="00D45ABF">
        <w:trPr>
          <w:cnfStyle w:val="000000010000" w:firstRow="0" w:lastRow="0" w:firstColumn="0" w:lastColumn="0" w:oddVBand="0" w:evenVBand="0" w:oddHBand="0" w:evenHBand="1" w:firstRowFirstColumn="0" w:firstRowLastColumn="0" w:lastRowFirstColumn="0" w:lastRowLastColumn="0"/>
          <w:trHeight w:val="284"/>
        </w:trPr>
        <w:tc>
          <w:tcPr>
            <w:tcW w:w="991" w:type="pct"/>
          </w:tcPr>
          <w:p w:rsidR="00151F7E" w:rsidRPr="00C2110F" w:rsidRDefault="00151F7E" w:rsidP="0067387A">
            <w:pPr>
              <w:pStyle w:val="TableTextEntries"/>
              <w:rPr>
                <w:b/>
              </w:rPr>
            </w:pPr>
            <w:r w:rsidRPr="00C2110F">
              <w:t xml:space="preserve">INJ703 STANDZ </w:t>
            </w:r>
          </w:p>
        </w:tc>
        <w:tc>
          <w:tcPr>
            <w:tcW w:w="762" w:type="pct"/>
          </w:tcPr>
          <w:p w:rsidR="00151F7E" w:rsidRPr="003C5F4A" w:rsidRDefault="00151F7E" w:rsidP="0067387A">
            <w:pPr>
              <w:pStyle w:val="TableTextEntries"/>
              <w:rPr>
                <w:b/>
              </w:rPr>
            </w:pPr>
            <w:r w:rsidRPr="003C5F4A">
              <w:t>$12.8m</w:t>
            </w:r>
          </w:p>
          <w:p w:rsidR="00151F7E" w:rsidRPr="00245373" w:rsidRDefault="00151F7E" w:rsidP="0067387A">
            <w:pPr>
              <w:pStyle w:val="TableTextEntries"/>
              <w:rPr>
                <w:b/>
                <w:highlight w:val="yellow"/>
              </w:rPr>
            </w:pPr>
            <w:r w:rsidRPr="003C5F4A">
              <w:t>20/5/11</w:t>
            </w:r>
            <w:r w:rsidR="00D45ABF">
              <w:t>—</w:t>
            </w:r>
            <w:r w:rsidRPr="003C5F4A">
              <w:t>30/6/16</w:t>
            </w:r>
          </w:p>
        </w:tc>
        <w:tc>
          <w:tcPr>
            <w:tcW w:w="690" w:type="pct"/>
            <w:gridSpan w:val="2"/>
          </w:tcPr>
          <w:p w:rsidR="00151F7E" w:rsidRPr="00C2110F" w:rsidRDefault="00151F7E" w:rsidP="0067387A">
            <w:pPr>
              <w:pStyle w:val="TableTextEntries"/>
              <w:rPr>
                <w:b/>
              </w:rPr>
            </w:pPr>
            <w:r w:rsidRPr="00C2110F">
              <w:t>201</w:t>
            </w:r>
            <w:r>
              <w:t>3</w:t>
            </w:r>
          </w:p>
        </w:tc>
        <w:tc>
          <w:tcPr>
            <w:tcW w:w="408" w:type="pct"/>
            <w:gridSpan w:val="2"/>
            <w:shd w:val="clear" w:color="auto" w:fill="66B33B"/>
            <w:noWrap/>
          </w:tcPr>
          <w:p w:rsidR="00151F7E" w:rsidRPr="00C2110F" w:rsidRDefault="00151F7E" w:rsidP="0067387A">
            <w:pPr>
              <w:pStyle w:val="TableTextEntries"/>
              <w:jc w:val="center"/>
              <w:rPr>
                <w:b/>
              </w:rPr>
            </w:pPr>
            <w:r>
              <w:t>6</w:t>
            </w:r>
          </w:p>
        </w:tc>
        <w:tc>
          <w:tcPr>
            <w:tcW w:w="408" w:type="pct"/>
            <w:gridSpan w:val="2"/>
            <w:shd w:val="clear" w:color="auto" w:fill="66B33B"/>
            <w:noWrap/>
          </w:tcPr>
          <w:p w:rsidR="00151F7E" w:rsidRPr="00C2110F" w:rsidRDefault="00151F7E" w:rsidP="0067387A">
            <w:pPr>
              <w:pStyle w:val="TableTextEntries"/>
              <w:jc w:val="center"/>
              <w:rPr>
                <w:b/>
              </w:rPr>
            </w:pPr>
            <w:r>
              <w:t>5</w:t>
            </w:r>
          </w:p>
        </w:tc>
        <w:tc>
          <w:tcPr>
            <w:tcW w:w="409" w:type="pct"/>
            <w:gridSpan w:val="2"/>
            <w:shd w:val="clear" w:color="auto" w:fill="FFFF00"/>
            <w:noWrap/>
          </w:tcPr>
          <w:p w:rsidR="00151F7E" w:rsidRPr="00C2110F" w:rsidRDefault="00151F7E" w:rsidP="0067387A">
            <w:pPr>
              <w:pStyle w:val="TableTextEntries"/>
              <w:jc w:val="center"/>
              <w:rPr>
                <w:b/>
              </w:rPr>
            </w:pPr>
            <w:r>
              <w:t>4</w:t>
            </w:r>
          </w:p>
        </w:tc>
        <w:tc>
          <w:tcPr>
            <w:tcW w:w="409" w:type="pct"/>
            <w:gridSpan w:val="2"/>
            <w:shd w:val="clear" w:color="auto" w:fill="FFFF00"/>
            <w:noWrap/>
          </w:tcPr>
          <w:p w:rsidR="00151F7E" w:rsidRPr="00C2110F" w:rsidRDefault="00151F7E" w:rsidP="0067387A">
            <w:pPr>
              <w:pStyle w:val="TableTextEntries"/>
              <w:jc w:val="center"/>
              <w:rPr>
                <w:b/>
              </w:rPr>
            </w:pPr>
            <w:r>
              <w:t>4</w:t>
            </w:r>
          </w:p>
        </w:tc>
        <w:tc>
          <w:tcPr>
            <w:tcW w:w="409" w:type="pct"/>
            <w:shd w:val="clear" w:color="auto" w:fill="F79646" w:themeFill="accent6"/>
            <w:noWrap/>
          </w:tcPr>
          <w:p w:rsidR="00151F7E" w:rsidRPr="00C2110F" w:rsidRDefault="00151F7E" w:rsidP="0067387A">
            <w:pPr>
              <w:pStyle w:val="TableTextEntries"/>
              <w:jc w:val="center"/>
              <w:rPr>
                <w:b/>
              </w:rPr>
            </w:pPr>
            <w:r>
              <w:t>3</w:t>
            </w:r>
          </w:p>
        </w:tc>
        <w:tc>
          <w:tcPr>
            <w:tcW w:w="402" w:type="pct"/>
            <w:shd w:val="clear" w:color="auto" w:fill="FFFF00"/>
            <w:noWrap/>
          </w:tcPr>
          <w:p w:rsidR="00151F7E" w:rsidRPr="00C2110F" w:rsidRDefault="00151F7E" w:rsidP="0067387A">
            <w:pPr>
              <w:pStyle w:val="TableTextEntries"/>
              <w:jc w:val="center"/>
              <w:rPr>
                <w:b/>
              </w:rPr>
            </w:pPr>
            <w:r>
              <w:t>4</w:t>
            </w:r>
          </w:p>
        </w:tc>
      </w:tr>
      <w:tr w:rsidR="00D45ABF" w:rsidRPr="009D53C4" w:rsidTr="00D45ABF">
        <w:trPr>
          <w:cnfStyle w:val="000000010000" w:firstRow="0" w:lastRow="0" w:firstColumn="0" w:lastColumn="0" w:oddVBand="0" w:evenVBand="0" w:oddHBand="0" w:evenHBand="1" w:firstRowFirstColumn="0" w:firstRowLastColumn="0" w:lastRowFirstColumn="0" w:lastRowLastColumn="0"/>
          <w:trHeight w:val="284"/>
        </w:trPr>
        <w:tc>
          <w:tcPr>
            <w:tcW w:w="991" w:type="pct"/>
          </w:tcPr>
          <w:p w:rsidR="00151F7E" w:rsidRPr="00C2110F" w:rsidRDefault="00151F7E" w:rsidP="0067387A">
            <w:pPr>
              <w:pStyle w:val="TableTextEntries"/>
              <w:rPr>
                <w:b/>
              </w:rPr>
            </w:pPr>
          </w:p>
        </w:tc>
        <w:tc>
          <w:tcPr>
            <w:tcW w:w="762" w:type="pct"/>
          </w:tcPr>
          <w:p w:rsidR="00151F7E" w:rsidRPr="00245373" w:rsidRDefault="00151F7E" w:rsidP="0067387A">
            <w:pPr>
              <w:pStyle w:val="TableTextEntries"/>
              <w:rPr>
                <w:b/>
                <w:highlight w:val="yellow"/>
              </w:rPr>
            </w:pPr>
          </w:p>
        </w:tc>
        <w:tc>
          <w:tcPr>
            <w:tcW w:w="690" w:type="pct"/>
            <w:gridSpan w:val="2"/>
          </w:tcPr>
          <w:p w:rsidR="00151F7E" w:rsidRPr="00C2110F" w:rsidRDefault="00151F7E" w:rsidP="0067387A">
            <w:pPr>
              <w:pStyle w:val="TableTextEntries"/>
              <w:rPr>
                <w:b/>
              </w:rPr>
            </w:pPr>
            <w:r>
              <w:t>2012</w:t>
            </w:r>
          </w:p>
        </w:tc>
        <w:tc>
          <w:tcPr>
            <w:tcW w:w="408" w:type="pct"/>
            <w:gridSpan w:val="2"/>
            <w:shd w:val="clear" w:color="auto" w:fill="66B33B"/>
            <w:noWrap/>
          </w:tcPr>
          <w:p w:rsidR="00151F7E" w:rsidRPr="00C2110F" w:rsidRDefault="00151F7E" w:rsidP="0067387A">
            <w:pPr>
              <w:pStyle w:val="TableTextEntries"/>
              <w:jc w:val="center"/>
              <w:rPr>
                <w:b/>
              </w:rPr>
            </w:pPr>
            <w:r w:rsidRPr="00C2110F">
              <w:t>5</w:t>
            </w:r>
          </w:p>
        </w:tc>
        <w:tc>
          <w:tcPr>
            <w:tcW w:w="408" w:type="pct"/>
            <w:gridSpan w:val="2"/>
            <w:shd w:val="clear" w:color="auto" w:fill="FFFF00"/>
            <w:noWrap/>
          </w:tcPr>
          <w:p w:rsidR="00151F7E" w:rsidRPr="00C2110F" w:rsidRDefault="00151F7E" w:rsidP="0067387A">
            <w:pPr>
              <w:pStyle w:val="TableTextEntries"/>
              <w:jc w:val="center"/>
              <w:rPr>
                <w:b/>
              </w:rPr>
            </w:pPr>
            <w:r w:rsidRPr="00C2110F">
              <w:t>4</w:t>
            </w:r>
          </w:p>
        </w:tc>
        <w:tc>
          <w:tcPr>
            <w:tcW w:w="409" w:type="pct"/>
            <w:gridSpan w:val="2"/>
            <w:shd w:val="clear" w:color="auto" w:fill="F79646" w:themeFill="accent6"/>
            <w:noWrap/>
          </w:tcPr>
          <w:p w:rsidR="00151F7E" w:rsidRPr="00C2110F" w:rsidRDefault="00151F7E" w:rsidP="0067387A">
            <w:pPr>
              <w:pStyle w:val="TableTextEntries"/>
              <w:jc w:val="center"/>
              <w:rPr>
                <w:b/>
              </w:rPr>
            </w:pPr>
            <w:r>
              <w:t>3</w:t>
            </w:r>
          </w:p>
        </w:tc>
        <w:tc>
          <w:tcPr>
            <w:tcW w:w="409" w:type="pct"/>
            <w:gridSpan w:val="2"/>
            <w:shd w:val="clear" w:color="auto" w:fill="F79646" w:themeFill="accent6"/>
            <w:noWrap/>
          </w:tcPr>
          <w:p w:rsidR="00151F7E" w:rsidRPr="00C2110F" w:rsidRDefault="00151F7E" w:rsidP="0067387A">
            <w:pPr>
              <w:pStyle w:val="TableTextEntries"/>
              <w:jc w:val="center"/>
              <w:rPr>
                <w:b/>
              </w:rPr>
            </w:pPr>
            <w:r>
              <w:t>3</w:t>
            </w:r>
          </w:p>
        </w:tc>
        <w:tc>
          <w:tcPr>
            <w:tcW w:w="409" w:type="pct"/>
            <w:shd w:val="clear" w:color="auto" w:fill="FFFF00"/>
            <w:noWrap/>
          </w:tcPr>
          <w:p w:rsidR="00151F7E" w:rsidRPr="00C2110F" w:rsidRDefault="00151F7E" w:rsidP="0067387A">
            <w:pPr>
              <w:pStyle w:val="TableTextEntries"/>
              <w:jc w:val="center"/>
              <w:rPr>
                <w:b/>
              </w:rPr>
            </w:pPr>
            <w:r>
              <w:t>4</w:t>
            </w:r>
          </w:p>
        </w:tc>
        <w:tc>
          <w:tcPr>
            <w:tcW w:w="402" w:type="pct"/>
            <w:shd w:val="clear" w:color="auto" w:fill="F79646" w:themeFill="accent6"/>
            <w:noWrap/>
          </w:tcPr>
          <w:p w:rsidR="00151F7E" w:rsidRPr="00C2110F" w:rsidRDefault="00151F7E" w:rsidP="0067387A">
            <w:pPr>
              <w:pStyle w:val="TableTextEntries"/>
              <w:jc w:val="center"/>
              <w:rPr>
                <w:b/>
              </w:rPr>
            </w:pPr>
            <w:r>
              <w:t>3</w:t>
            </w:r>
          </w:p>
        </w:tc>
      </w:tr>
      <w:tr w:rsidR="00D45ABF" w:rsidRPr="009D53C4" w:rsidTr="00D45ABF">
        <w:trPr>
          <w:cnfStyle w:val="000000010000" w:firstRow="0" w:lastRow="0" w:firstColumn="0" w:lastColumn="0" w:oddVBand="0" w:evenVBand="0" w:oddHBand="0" w:evenHBand="1" w:firstRowFirstColumn="0" w:firstRowLastColumn="0" w:lastRowFirstColumn="0" w:lastRowLastColumn="0"/>
          <w:trHeight w:val="284"/>
        </w:trPr>
        <w:tc>
          <w:tcPr>
            <w:tcW w:w="991" w:type="pct"/>
          </w:tcPr>
          <w:p w:rsidR="00151F7E" w:rsidRPr="00C2110F" w:rsidRDefault="00151F7E" w:rsidP="0067387A">
            <w:pPr>
              <w:pStyle w:val="TableTextEntries"/>
            </w:pPr>
            <w:r w:rsidRPr="00C2110F">
              <w:t>INJ704 PREVENT</w:t>
            </w:r>
          </w:p>
        </w:tc>
        <w:tc>
          <w:tcPr>
            <w:tcW w:w="762" w:type="pct"/>
          </w:tcPr>
          <w:p w:rsidR="00151F7E" w:rsidRPr="003C5F4A" w:rsidRDefault="00151F7E" w:rsidP="0067387A">
            <w:pPr>
              <w:pStyle w:val="TableTextEntries"/>
            </w:pPr>
            <w:r w:rsidRPr="003C5F4A">
              <w:t>$5.9m</w:t>
            </w:r>
          </w:p>
          <w:p w:rsidR="00151F7E" w:rsidRPr="00245373" w:rsidRDefault="00151F7E" w:rsidP="0067387A">
            <w:pPr>
              <w:pStyle w:val="TableTextEntries"/>
              <w:rPr>
                <w:highlight w:val="yellow"/>
              </w:rPr>
            </w:pPr>
            <w:r w:rsidRPr="003C5F4A">
              <w:t>18/10/11</w:t>
            </w:r>
            <w:r w:rsidR="00D45ABF">
              <w:t>—</w:t>
            </w:r>
            <w:r w:rsidRPr="003C5F4A">
              <w:t>31/12/15</w:t>
            </w:r>
          </w:p>
        </w:tc>
        <w:tc>
          <w:tcPr>
            <w:tcW w:w="690" w:type="pct"/>
            <w:gridSpan w:val="2"/>
          </w:tcPr>
          <w:p w:rsidR="00151F7E" w:rsidRPr="00C2110F" w:rsidRDefault="00151F7E" w:rsidP="0067387A">
            <w:pPr>
              <w:pStyle w:val="TableTextEntries"/>
            </w:pPr>
            <w:r w:rsidRPr="00C2110F">
              <w:t>201</w:t>
            </w:r>
            <w:r>
              <w:t>3</w:t>
            </w:r>
          </w:p>
        </w:tc>
        <w:tc>
          <w:tcPr>
            <w:tcW w:w="408" w:type="pct"/>
            <w:gridSpan w:val="2"/>
            <w:shd w:val="clear" w:color="auto" w:fill="66B33B"/>
            <w:noWrap/>
          </w:tcPr>
          <w:p w:rsidR="00151F7E" w:rsidRPr="00C2110F" w:rsidRDefault="00151F7E" w:rsidP="0067387A">
            <w:pPr>
              <w:pStyle w:val="TableTextEntries"/>
              <w:jc w:val="center"/>
            </w:pPr>
            <w:r>
              <w:t>6</w:t>
            </w:r>
          </w:p>
        </w:tc>
        <w:tc>
          <w:tcPr>
            <w:tcW w:w="408" w:type="pct"/>
            <w:gridSpan w:val="2"/>
            <w:shd w:val="clear" w:color="auto" w:fill="FFFF00"/>
            <w:noWrap/>
          </w:tcPr>
          <w:p w:rsidR="00151F7E" w:rsidRPr="00C2110F" w:rsidRDefault="00151F7E" w:rsidP="0067387A">
            <w:pPr>
              <w:pStyle w:val="TableTextEntries"/>
              <w:jc w:val="center"/>
            </w:pPr>
            <w:r w:rsidRPr="00C2110F">
              <w:t>4</w:t>
            </w:r>
          </w:p>
        </w:tc>
        <w:tc>
          <w:tcPr>
            <w:tcW w:w="409" w:type="pct"/>
            <w:gridSpan w:val="2"/>
            <w:shd w:val="clear" w:color="auto" w:fill="FFFF00"/>
            <w:noWrap/>
          </w:tcPr>
          <w:p w:rsidR="00151F7E" w:rsidRPr="00C2110F" w:rsidRDefault="00151F7E" w:rsidP="0067387A">
            <w:pPr>
              <w:pStyle w:val="TableTextEntries"/>
              <w:jc w:val="center"/>
            </w:pPr>
            <w:r w:rsidRPr="00C2110F">
              <w:t>4</w:t>
            </w:r>
          </w:p>
        </w:tc>
        <w:tc>
          <w:tcPr>
            <w:tcW w:w="409" w:type="pct"/>
            <w:gridSpan w:val="2"/>
            <w:shd w:val="clear" w:color="auto" w:fill="F79646" w:themeFill="accent6"/>
            <w:noWrap/>
          </w:tcPr>
          <w:p w:rsidR="00151F7E" w:rsidRPr="00C2110F" w:rsidRDefault="00151F7E" w:rsidP="0067387A">
            <w:pPr>
              <w:pStyle w:val="TableTextEntries"/>
              <w:jc w:val="center"/>
            </w:pPr>
            <w:r>
              <w:t>3</w:t>
            </w:r>
          </w:p>
        </w:tc>
        <w:tc>
          <w:tcPr>
            <w:tcW w:w="409" w:type="pct"/>
            <w:shd w:val="clear" w:color="auto" w:fill="FFFF00"/>
            <w:noWrap/>
          </w:tcPr>
          <w:p w:rsidR="00151F7E" w:rsidRPr="00C2110F" w:rsidRDefault="00151F7E" w:rsidP="0067387A">
            <w:pPr>
              <w:pStyle w:val="TableTextEntries"/>
              <w:jc w:val="center"/>
            </w:pPr>
            <w:r w:rsidRPr="00C2110F">
              <w:t>4</w:t>
            </w:r>
          </w:p>
        </w:tc>
        <w:tc>
          <w:tcPr>
            <w:tcW w:w="402" w:type="pct"/>
            <w:shd w:val="clear" w:color="auto" w:fill="FFFF00"/>
            <w:noWrap/>
          </w:tcPr>
          <w:p w:rsidR="00151F7E" w:rsidRPr="00C2110F" w:rsidRDefault="00151F7E" w:rsidP="0067387A">
            <w:pPr>
              <w:pStyle w:val="TableTextEntries"/>
              <w:jc w:val="center"/>
            </w:pPr>
            <w:r>
              <w:t>4</w:t>
            </w:r>
          </w:p>
        </w:tc>
      </w:tr>
      <w:tr w:rsidR="00D45ABF" w:rsidRPr="009D53C4" w:rsidTr="00D45ABF">
        <w:trPr>
          <w:cnfStyle w:val="000000010000" w:firstRow="0" w:lastRow="0" w:firstColumn="0" w:lastColumn="0" w:oddVBand="0" w:evenVBand="0" w:oddHBand="0" w:evenHBand="1" w:firstRowFirstColumn="0" w:firstRowLastColumn="0" w:lastRowFirstColumn="0" w:lastRowLastColumn="0"/>
          <w:trHeight w:val="284"/>
        </w:trPr>
        <w:tc>
          <w:tcPr>
            <w:tcW w:w="991" w:type="pct"/>
          </w:tcPr>
          <w:p w:rsidR="00151F7E" w:rsidRPr="00C2110F" w:rsidRDefault="00151F7E" w:rsidP="0067387A">
            <w:pPr>
              <w:pStyle w:val="TableTextEntries"/>
            </w:pPr>
          </w:p>
        </w:tc>
        <w:tc>
          <w:tcPr>
            <w:tcW w:w="762" w:type="pct"/>
          </w:tcPr>
          <w:p w:rsidR="00151F7E" w:rsidRPr="00245373" w:rsidRDefault="00151F7E" w:rsidP="0067387A">
            <w:pPr>
              <w:pStyle w:val="TableTextEntries"/>
              <w:rPr>
                <w:highlight w:val="yellow"/>
              </w:rPr>
            </w:pPr>
          </w:p>
        </w:tc>
        <w:tc>
          <w:tcPr>
            <w:tcW w:w="690" w:type="pct"/>
            <w:gridSpan w:val="2"/>
          </w:tcPr>
          <w:p w:rsidR="00151F7E" w:rsidRPr="00C2110F" w:rsidRDefault="00151F7E" w:rsidP="0067387A">
            <w:pPr>
              <w:pStyle w:val="TableTextEntries"/>
            </w:pPr>
            <w:r w:rsidRPr="00C2110F">
              <w:t>201</w:t>
            </w:r>
            <w:r>
              <w:t>2</w:t>
            </w:r>
          </w:p>
        </w:tc>
        <w:tc>
          <w:tcPr>
            <w:tcW w:w="408" w:type="pct"/>
            <w:gridSpan w:val="2"/>
            <w:shd w:val="clear" w:color="auto" w:fill="66B33B"/>
            <w:noWrap/>
          </w:tcPr>
          <w:p w:rsidR="00151F7E" w:rsidRPr="00C2110F" w:rsidRDefault="00151F7E" w:rsidP="0067387A">
            <w:pPr>
              <w:pStyle w:val="TableTextEntries"/>
              <w:jc w:val="center"/>
            </w:pPr>
            <w:r>
              <w:t>5</w:t>
            </w:r>
          </w:p>
        </w:tc>
        <w:tc>
          <w:tcPr>
            <w:tcW w:w="408" w:type="pct"/>
            <w:gridSpan w:val="2"/>
            <w:shd w:val="clear" w:color="auto" w:fill="FFFF00"/>
            <w:noWrap/>
          </w:tcPr>
          <w:p w:rsidR="00151F7E" w:rsidRPr="00C2110F" w:rsidRDefault="00151F7E" w:rsidP="0067387A">
            <w:pPr>
              <w:pStyle w:val="TableTextEntries"/>
              <w:jc w:val="center"/>
            </w:pPr>
            <w:r>
              <w:t>4</w:t>
            </w:r>
          </w:p>
        </w:tc>
        <w:tc>
          <w:tcPr>
            <w:tcW w:w="409" w:type="pct"/>
            <w:gridSpan w:val="2"/>
            <w:shd w:val="clear" w:color="auto" w:fill="FFFF00"/>
            <w:noWrap/>
          </w:tcPr>
          <w:p w:rsidR="00151F7E" w:rsidRPr="00C2110F" w:rsidRDefault="00151F7E" w:rsidP="0067387A">
            <w:pPr>
              <w:pStyle w:val="TableTextEntries"/>
              <w:jc w:val="center"/>
            </w:pPr>
            <w:r>
              <w:t>4</w:t>
            </w:r>
          </w:p>
        </w:tc>
        <w:tc>
          <w:tcPr>
            <w:tcW w:w="409" w:type="pct"/>
            <w:gridSpan w:val="2"/>
            <w:shd w:val="clear" w:color="auto" w:fill="FFFF00"/>
            <w:noWrap/>
          </w:tcPr>
          <w:p w:rsidR="00151F7E" w:rsidRPr="00C2110F" w:rsidRDefault="00151F7E" w:rsidP="0067387A">
            <w:pPr>
              <w:pStyle w:val="TableTextEntries"/>
              <w:jc w:val="center"/>
            </w:pPr>
            <w:r>
              <w:t>4</w:t>
            </w:r>
          </w:p>
        </w:tc>
        <w:tc>
          <w:tcPr>
            <w:tcW w:w="409" w:type="pct"/>
            <w:shd w:val="clear" w:color="auto" w:fill="FFFF00"/>
            <w:noWrap/>
          </w:tcPr>
          <w:p w:rsidR="00151F7E" w:rsidRPr="00C2110F" w:rsidRDefault="00151F7E" w:rsidP="0067387A">
            <w:pPr>
              <w:pStyle w:val="TableTextEntries"/>
              <w:jc w:val="center"/>
            </w:pPr>
            <w:r>
              <w:t>4</w:t>
            </w:r>
          </w:p>
        </w:tc>
        <w:tc>
          <w:tcPr>
            <w:tcW w:w="402" w:type="pct"/>
            <w:shd w:val="clear" w:color="auto" w:fill="FFFF00"/>
            <w:noWrap/>
          </w:tcPr>
          <w:p w:rsidR="00151F7E" w:rsidRPr="00C2110F" w:rsidRDefault="00151F7E" w:rsidP="0067387A">
            <w:pPr>
              <w:pStyle w:val="TableTextEntries"/>
              <w:jc w:val="center"/>
            </w:pPr>
            <w:r>
              <w:t>4</w:t>
            </w:r>
          </w:p>
        </w:tc>
      </w:tr>
      <w:tr w:rsidR="00D45ABF" w:rsidRPr="009D53C4" w:rsidTr="00D45ABF">
        <w:trPr>
          <w:cnfStyle w:val="000000010000" w:firstRow="0" w:lastRow="0" w:firstColumn="0" w:lastColumn="0" w:oddVBand="0" w:evenVBand="0" w:oddHBand="0" w:evenHBand="1" w:firstRowFirstColumn="0" w:firstRowLastColumn="0" w:lastRowFirstColumn="0" w:lastRowLastColumn="0"/>
          <w:trHeight w:val="284"/>
        </w:trPr>
        <w:tc>
          <w:tcPr>
            <w:tcW w:w="991" w:type="pct"/>
          </w:tcPr>
          <w:p w:rsidR="00CB37D6" w:rsidRPr="00CB37D6" w:rsidRDefault="00CB37D6" w:rsidP="0067387A">
            <w:pPr>
              <w:pStyle w:val="TableTextEntries"/>
              <w:rPr>
                <w:bCs/>
                <w:lang w:val="en"/>
              </w:rPr>
            </w:pPr>
            <w:r w:rsidRPr="00CB37D6">
              <w:rPr>
                <w:bCs/>
                <w:lang w:val="en"/>
              </w:rPr>
              <w:t>INK727 – Australia Mekong NGO Engagement Platform</w:t>
            </w:r>
          </w:p>
        </w:tc>
        <w:tc>
          <w:tcPr>
            <w:tcW w:w="762" w:type="pct"/>
          </w:tcPr>
          <w:p w:rsidR="00D45ABF" w:rsidRDefault="00CB37D6" w:rsidP="0067387A">
            <w:pPr>
              <w:pStyle w:val="TableTextEntries"/>
              <w:rPr>
                <w:bCs/>
                <w:lang w:val="en"/>
              </w:rPr>
            </w:pPr>
            <w:r w:rsidRPr="00CB37D6">
              <w:rPr>
                <w:bCs/>
                <w:lang w:val="en"/>
              </w:rPr>
              <w:t>$15m</w:t>
            </w:r>
          </w:p>
          <w:p w:rsidR="00CB37D6" w:rsidRPr="00CB37D6" w:rsidRDefault="00D45ABF" w:rsidP="0067387A">
            <w:pPr>
              <w:pStyle w:val="TableTextEntries"/>
              <w:rPr>
                <w:bCs/>
                <w:lang w:val="en"/>
              </w:rPr>
            </w:pPr>
            <w:r>
              <w:rPr>
                <w:bCs/>
                <w:lang w:val="en"/>
              </w:rPr>
              <w:t>1</w:t>
            </w:r>
            <w:r w:rsidR="00CB37D6" w:rsidRPr="00CB37D6">
              <w:rPr>
                <w:bCs/>
                <w:lang w:val="en"/>
              </w:rPr>
              <w:t>0/8/12</w:t>
            </w:r>
            <w:r>
              <w:t>—</w:t>
            </w:r>
            <w:r w:rsidR="00CB37D6" w:rsidRPr="00CB37D6">
              <w:rPr>
                <w:bCs/>
                <w:lang w:val="en"/>
              </w:rPr>
              <w:t>30/6/18</w:t>
            </w:r>
          </w:p>
        </w:tc>
        <w:tc>
          <w:tcPr>
            <w:tcW w:w="690" w:type="pct"/>
            <w:gridSpan w:val="2"/>
          </w:tcPr>
          <w:p w:rsidR="00CB37D6" w:rsidRDefault="00CB37D6" w:rsidP="0067387A">
            <w:pPr>
              <w:pStyle w:val="TableTextEntries"/>
            </w:pPr>
            <w:r>
              <w:t>2013</w:t>
            </w:r>
          </w:p>
        </w:tc>
        <w:tc>
          <w:tcPr>
            <w:tcW w:w="408" w:type="pct"/>
            <w:gridSpan w:val="2"/>
            <w:shd w:val="clear" w:color="auto" w:fill="66B33B"/>
            <w:noWrap/>
          </w:tcPr>
          <w:p w:rsidR="00CB37D6" w:rsidRDefault="00CB37D6" w:rsidP="0067387A">
            <w:pPr>
              <w:pStyle w:val="TableTextEntries"/>
              <w:jc w:val="center"/>
            </w:pPr>
            <w:r>
              <w:t>5</w:t>
            </w:r>
          </w:p>
        </w:tc>
        <w:tc>
          <w:tcPr>
            <w:tcW w:w="408" w:type="pct"/>
            <w:gridSpan w:val="2"/>
            <w:shd w:val="clear" w:color="auto" w:fill="FFFF00"/>
            <w:noWrap/>
          </w:tcPr>
          <w:p w:rsidR="00CB37D6" w:rsidRDefault="00CB37D6" w:rsidP="0067387A">
            <w:pPr>
              <w:pStyle w:val="TableTextEntries"/>
              <w:jc w:val="center"/>
            </w:pPr>
            <w:r>
              <w:t>4</w:t>
            </w:r>
          </w:p>
        </w:tc>
        <w:tc>
          <w:tcPr>
            <w:tcW w:w="409" w:type="pct"/>
            <w:gridSpan w:val="2"/>
            <w:shd w:val="clear" w:color="auto" w:fill="FFFF00"/>
            <w:noWrap/>
          </w:tcPr>
          <w:p w:rsidR="00CB37D6" w:rsidRDefault="00CB37D6" w:rsidP="0067387A">
            <w:pPr>
              <w:pStyle w:val="TableTextEntries"/>
              <w:jc w:val="center"/>
            </w:pPr>
            <w:r>
              <w:t>4</w:t>
            </w:r>
          </w:p>
        </w:tc>
        <w:tc>
          <w:tcPr>
            <w:tcW w:w="409" w:type="pct"/>
            <w:gridSpan w:val="2"/>
            <w:shd w:val="clear" w:color="auto" w:fill="FFFF00"/>
            <w:noWrap/>
          </w:tcPr>
          <w:p w:rsidR="00CB37D6" w:rsidRDefault="00CB37D6" w:rsidP="0067387A">
            <w:pPr>
              <w:pStyle w:val="TableTextEntries"/>
              <w:jc w:val="center"/>
            </w:pPr>
            <w:r>
              <w:t>4</w:t>
            </w:r>
          </w:p>
        </w:tc>
        <w:tc>
          <w:tcPr>
            <w:tcW w:w="409" w:type="pct"/>
            <w:shd w:val="clear" w:color="auto" w:fill="FFFF00"/>
            <w:noWrap/>
          </w:tcPr>
          <w:p w:rsidR="00CB37D6" w:rsidRDefault="00CB37D6" w:rsidP="0067387A">
            <w:pPr>
              <w:pStyle w:val="TableTextEntries"/>
              <w:jc w:val="center"/>
            </w:pPr>
            <w:r>
              <w:t>4</w:t>
            </w:r>
          </w:p>
        </w:tc>
        <w:tc>
          <w:tcPr>
            <w:tcW w:w="402" w:type="pct"/>
            <w:shd w:val="clear" w:color="auto" w:fill="00B050"/>
            <w:noWrap/>
          </w:tcPr>
          <w:p w:rsidR="00CB37D6" w:rsidRDefault="00CB37D6" w:rsidP="0067387A">
            <w:pPr>
              <w:pStyle w:val="TableTextEntries"/>
              <w:jc w:val="center"/>
            </w:pPr>
            <w:r>
              <w:t>5</w:t>
            </w:r>
          </w:p>
        </w:tc>
      </w:tr>
      <w:tr w:rsidR="00D45ABF" w:rsidRPr="009D53C4" w:rsidTr="00D45ABF">
        <w:trPr>
          <w:cnfStyle w:val="000000010000" w:firstRow="0" w:lastRow="0" w:firstColumn="0" w:lastColumn="0" w:oddVBand="0" w:evenVBand="0" w:oddHBand="0" w:evenHBand="1" w:firstRowFirstColumn="0" w:firstRowLastColumn="0" w:lastRowFirstColumn="0" w:lastRowLastColumn="0"/>
          <w:trHeight w:val="284"/>
        </w:trPr>
        <w:tc>
          <w:tcPr>
            <w:tcW w:w="991" w:type="pct"/>
          </w:tcPr>
          <w:p w:rsidR="00CB37D6" w:rsidRPr="00D25038" w:rsidRDefault="00CB37D6" w:rsidP="0067387A">
            <w:pPr>
              <w:pStyle w:val="TableTextEntries"/>
              <w:rPr>
                <w:bCs/>
                <w:highlight w:val="yellow"/>
                <w:lang w:val="en"/>
              </w:rPr>
            </w:pPr>
          </w:p>
        </w:tc>
        <w:tc>
          <w:tcPr>
            <w:tcW w:w="762" w:type="pct"/>
          </w:tcPr>
          <w:p w:rsidR="00CB37D6" w:rsidRPr="00245373" w:rsidRDefault="00CB37D6" w:rsidP="0067387A">
            <w:pPr>
              <w:pStyle w:val="TableTextEntries"/>
              <w:rPr>
                <w:bCs/>
                <w:highlight w:val="yellow"/>
                <w:lang w:val="en"/>
              </w:rPr>
            </w:pPr>
          </w:p>
        </w:tc>
        <w:tc>
          <w:tcPr>
            <w:tcW w:w="690" w:type="pct"/>
            <w:gridSpan w:val="2"/>
          </w:tcPr>
          <w:p w:rsidR="00CB37D6" w:rsidRDefault="00CB37D6" w:rsidP="0067387A">
            <w:pPr>
              <w:pStyle w:val="TableTextEntries"/>
            </w:pPr>
            <w:r>
              <w:t>2012</w:t>
            </w:r>
          </w:p>
        </w:tc>
        <w:tc>
          <w:tcPr>
            <w:tcW w:w="408" w:type="pct"/>
            <w:gridSpan w:val="2"/>
            <w:shd w:val="clear" w:color="auto" w:fill="auto"/>
            <w:noWrap/>
          </w:tcPr>
          <w:p w:rsidR="00CB37D6" w:rsidRDefault="00CB37D6" w:rsidP="0067387A">
            <w:pPr>
              <w:pStyle w:val="TableTextEntries"/>
              <w:jc w:val="center"/>
            </w:pPr>
            <w:r>
              <w:t>n/a</w:t>
            </w:r>
          </w:p>
        </w:tc>
        <w:tc>
          <w:tcPr>
            <w:tcW w:w="408" w:type="pct"/>
            <w:gridSpan w:val="2"/>
            <w:shd w:val="clear" w:color="auto" w:fill="auto"/>
            <w:noWrap/>
          </w:tcPr>
          <w:p w:rsidR="00CB37D6" w:rsidRDefault="00CB37D6" w:rsidP="0067387A">
            <w:pPr>
              <w:pStyle w:val="TableTextEntries"/>
              <w:jc w:val="center"/>
            </w:pPr>
            <w:r>
              <w:t>n/a</w:t>
            </w:r>
          </w:p>
        </w:tc>
        <w:tc>
          <w:tcPr>
            <w:tcW w:w="409" w:type="pct"/>
            <w:gridSpan w:val="2"/>
            <w:shd w:val="clear" w:color="auto" w:fill="auto"/>
            <w:noWrap/>
          </w:tcPr>
          <w:p w:rsidR="00CB37D6" w:rsidRDefault="00CB37D6" w:rsidP="0067387A">
            <w:pPr>
              <w:pStyle w:val="TableTextEntries"/>
              <w:jc w:val="center"/>
            </w:pPr>
            <w:r>
              <w:t>n/a</w:t>
            </w:r>
          </w:p>
        </w:tc>
        <w:tc>
          <w:tcPr>
            <w:tcW w:w="409" w:type="pct"/>
            <w:gridSpan w:val="2"/>
            <w:shd w:val="clear" w:color="auto" w:fill="auto"/>
            <w:noWrap/>
          </w:tcPr>
          <w:p w:rsidR="00CB37D6" w:rsidRDefault="00CB37D6" w:rsidP="0067387A">
            <w:pPr>
              <w:pStyle w:val="TableTextEntries"/>
              <w:jc w:val="center"/>
            </w:pPr>
            <w:r>
              <w:t>n/a</w:t>
            </w:r>
          </w:p>
        </w:tc>
        <w:tc>
          <w:tcPr>
            <w:tcW w:w="409" w:type="pct"/>
            <w:shd w:val="clear" w:color="auto" w:fill="auto"/>
            <w:noWrap/>
          </w:tcPr>
          <w:p w:rsidR="00CB37D6" w:rsidRDefault="00CB37D6" w:rsidP="0067387A">
            <w:pPr>
              <w:pStyle w:val="TableTextEntries"/>
              <w:jc w:val="center"/>
            </w:pPr>
            <w:r>
              <w:t>n/a</w:t>
            </w:r>
          </w:p>
        </w:tc>
        <w:tc>
          <w:tcPr>
            <w:tcW w:w="402" w:type="pct"/>
            <w:shd w:val="clear" w:color="auto" w:fill="auto"/>
            <w:noWrap/>
          </w:tcPr>
          <w:p w:rsidR="00CB37D6" w:rsidRDefault="00CB37D6" w:rsidP="0067387A">
            <w:pPr>
              <w:pStyle w:val="TableTextEntries"/>
              <w:jc w:val="center"/>
            </w:pPr>
            <w:r>
              <w:t>n/a</w:t>
            </w:r>
          </w:p>
        </w:tc>
      </w:tr>
    </w:tbl>
    <w:p w:rsidR="000D733F" w:rsidRDefault="000D733F" w:rsidP="000D733F">
      <w:pPr>
        <w:pStyle w:val="Note"/>
      </w:pPr>
      <w:r>
        <w:t>Definitions of rating scale:</w:t>
      </w:r>
      <w:r>
        <w:tab/>
      </w:r>
    </w:p>
    <w:p w:rsidR="000D733F" w:rsidRDefault="000D733F" w:rsidP="000D733F">
      <w:pPr>
        <w:pStyle w:val="Note"/>
      </w:pPr>
      <w:r>
        <w:t>Satisfactory (4, 5 and 6)</w:t>
      </w:r>
    </w:p>
    <w:p w:rsidR="000D733F" w:rsidRDefault="000D733F" w:rsidP="000D733F">
      <w:pPr>
        <w:pStyle w:val="Note"/>
      </w:pPr>
      <w:r w:rsidRPr="00593946">
        <w:rPr>
          <w:color w:val="72AF2F"/>
        </w:rPr>
        <w:sym w:font="Webdings" w:char="F067"/>
      </w:r>
      <w:r>
        <w:t xml:space="preserve"> = 6 = Very high quality</w:t>
      </w:r>
    </w:p>
    <w:p w:rsidR="000D733F" w:rsidRDefault="000D733F" w:rsidP="000D733F">
      <w:pPr>
        <w:pStyle w:val="Note"/>
      </w:pPr>
      <w:r w:rsidRPr="00593946">
        <w:rPr>
          <w:color w:val="72AF2F"/>
        </w:rPr>
        <w:sym w:font="Webdings" w:char="F067"/>
      </w:r>
      <w:r>
        <w:t xml:space="preserve"> = 5 = Good quality</w:t>
      </w:r>
    </w:p>
    <w:p w:rsidR="000D733F" w:rsidRDefault="000D733F" w:rsidP="000D733F">
      <w:pPr>
        <w:pStyle w:val="Note"/>
      </w:pPr>
      <w:r w:rsidRPr="000774FD">
        <w:rPr>
          <w:color w:val="FFFF00"/>
        </w:rPr>
        <w:sym w:font="Webdings" w:char="F067"/>
      </w:r>
      <w:r>
        <w:t xml:space="preserve"> = 4 = Adequate quality, needs some work</w:t>
      </w:r>
    </w:p>
    <w:p w:rsidR="000D733F" w:rsidRDefault="000D733F" w:rsidP="000D733F">
      <w:pPr>
        <w:pStyle w:val="Note"/>
      </w:pPr>
      <w:r>
        <w:t>Less than satisfactory (1, 2 and 3)</w:t>
      </w:r>
    </w:p>
    <w:p w:rsidR="000D733F" w:rsidRDefault="000D733F" w:rsidP="000D733F">
      <w:pPr>
        <w:pStyle w:val="Note"/>
      </w:pPr>
      <w:r w:rsidRPr="00593946">
        <w:rPr>
          <w:color w:val="E36C0A"/>
        </w:rPr>
        <w:sym w:font="Webdings" w:char="F067"/>
      </w:r>
      <w:r w:rsidRPr="00593946">
        <w:rPr>
          <w:color w:val="E36C0A"/>
        </w:rPr>
        <w:t xml:space="preserve"> </w:t>
      </w:r>
      <w:r>
        <w:t>= 3 = Less than adequate quality; needs significant work</w:t>
      </w:r>
    </w:p>
    <w:p w:rsidR="000D733F" w:rsidRDefault="000D733F" w:rsidP="000D733F">
      <w:pPr>
        <w:pStyle w:val="Note"/>
      </w:pPr>
      <w:r w:rsidRPr="000774FD">
        <w:rPr>
          <w:color w:val="FF0000"/>
        </w:rPr>
        <w:sym w:font="Webdings" w:char="F067"/>
      </w:r>
      <w:r>
        <w:t xml:space="preserve"> = 2 = Poor quality; needs major work to improve</w:t>
      </w:r>
    </w:p>
    <w:p w:rsidR="000D733F" w:rsidRDefault="000D733F" w:rsidP="000D733F">
      <w:pPr>
        <w:pStyle w:val="Note"/>
      </w:pPr>
      <w:r w:rsidRPr="000774FD">
        <w:rPr>
          <w:color w:val="FF0000"/>
        </w:rPr>
        <w:sym w:font="Webdings" w:char="F067"/>
      </w:r>
      <w:r>
        <w:t xml:space="preserve"> = 1 = Very poor quality; needs major overhaul</w:t>
      </w:r>
    </w:p>
    <w:p w:rsidR="000D733F" w:rsidRDefault="000D733F" w:rsidP="000D733F">
      <w:pPr>
        <w:pStyle w:val="Note"/>
      </w:pPr>
    </w:p>
    <w:p w:rsidR="000D733F" w:rsidRDefault="000D733F" w:rsidP="000D733F">
      <w:pPr>
        <w:spacing w:after="200" w:line="276" w:lineRule="auto"/>
        <w:rPr>
          <w:rFonts w:ascii="Franklin Gothic Demi" w:hAnsi="Franklin Gothic Demi" w:cs="Arial"/>
          <w:color w:val="AD495D"/>
          <w:kern w:val="28"/>
          <w:sz w:val="28"/>
          <w:szCs w:val="28"/>
        </w:rPr>
      </w:pPr>
      <w:r>
        <w:br w:type="page"/>
      </w:r>
    </w:p>
    <w:p w:rsidR="000D733F" w:rsidRPr="009E38C1" w:rsidRDefault="000D733F" w:rsidP="000D733F">
      <w:pPr>
        <w:pStyle w:val="Heading2"/>
        <w:rPr>
          <w:sz w:val="28"/>
        </w:rPr>
      </w:pPr>
      <w:r w:rsidRPr="009E38C1">
        <w:rPr>
          <w:sz w:val="28"/>
        </w:rPr>
        <w:lastRenderedPageBreak/>
        <w:t>Annex C</w:t>
      </w:r>
    </w:p>
    <w:p w:rsidR="000D733F" w:rsidRPr="009E38C1" w:rsidRDefault="000D733F" w:rsidP="000D733F">
      <w:pPr>
        <w:pStyle w:val="Heading2"/>
        <w:rPr>
          <w:sz w:val="28"/>
        </w:rPr>
      </w:pPr>
      <w:r w:rsidRPr="009E38C1">
        <w:rPr>
          <w:sz w:val="28"/>
        </w:rPr>
        <w:t>Evaluation and Review Pipeline Planning</w:t>
      </w:r>
    </w:p>
    <w:p w:rsidR="000D733F" w:rsidRPr="00071B95" w:rsidRDefault="000D733F" w:rsidP="000D733F">
      <w:pPr>
        <w:pStyle w:val="Caption"/>
      </w:pPr>
      <w:r w:rsidRPr="00071B95">
        <w:t xml:space="preserve">List of </w:t>
      </w:r>
      <w:r w:rsidR="00805ADD">
        <w:t>e</w:t>
      </w:r>
      <w:r w:rsidRPr="00071B95">
        <w:t>valuations completed</w:t>
      </w:r>
      <w:r>
        <w:t xml:space="preserve"> </w:t>
      </w:r>
      <w:r w:rsidRPr="00071B95">
        <w:t xml:space="preserve">in the reporting period </w:t>
      </w:r>
    </w:p>
    <w:tbl>
      <w:tblPr>
        <w:tblStyle w:val="APPR"/>
        <w:tblW w:w="0" w:type="auto"/>
        <w:tblLook w:val="04A0" w:firstRow="1" w:lastRow="0" w:firstColumn="1" w:lastColumn="0" w:noHBand="0" w:noVBand="1"/>
      </w:tblPr>
      <w:tblGrid>
        <w:gridCol w:w="1944"/>
        <w:gridCol w:w="1961"/>
        <w:gridCol w:w="2059"/>
        <w:gridCol w:w="1967"/>
        <w:gridCol w:w="1949"/>
        <w:gridCol w:w="1771"/>
        <w:gridCol w:w="1545"/>
      </w:tblGrid>
      <w:tr w:rsidR="000D733F" w:rsidRPr="00071B95" w:rsidTr="000D733F">
        <w:trPr>
          <w:cnfStyle w:val="100000000000" w:firstRow="1" w:lastRow="0" w:firstColumn="0" w:lastColumn="0" w:oddVBand="0" w:evenVBand="0" w:oddHBand="0" w:evenHBand="0" w:firstRowFirstColumn="0" w:firstRowLastColumn="0" w:lastRowFirstColumn="0" w:lastRowLastColumn="0"/>
        </w:trPr>
        <w:tc>
          <w:tcPr>
            <w:tcW w:w="1902" w:type="dxa"/>
          </w:tcPr>
          <w:p w:rsidR="000D733F" w:rsidRPr="00071B95" w:rsidRDefault="000D733F" w:rsidP="000D733F">
            <w:pPr>
              <w:pStyle w:val="TableTextColumnHeading"/>
              <w:rPr>
                <w:b/>
              </w:rPr>
            </w:pPr>
            <w:r w:rsidRPr="00071B95">
              <w:rPr>
                <w:b/>
              </w:rPr>
              <w:t xml:space="preserve">Name of </w:t>
            </w:r>
            <w:r w:rsidR="00501CD2">
              <w:rPr>
                <w:b/>
              </w:rPr>
              <w:t>Investment</w:t>
            </w:r>
          </w:p>
        </w:tc>
        <w:tc>
          <w:tcPr>
            <w:tcW w:w="1933" w:type="dxa"/>
          </w:tcPr>
          <w:p w:rsidR="000D733F" w:rsidRPr="00071B95" w:rsidRDefault="0023686F" w:rsidP="000D733F">
            <w:pPr>
              <w:pStyle w:val="TableTextColumnHeading"/>
              <w:rPr>
                <w:b/>
              </w:rPr>
            </w:pPr>
            <w:r>
              <w:rPr>
                <w:b/>
              </w:rPr>
              <w:t>AidW</w:t>
            </w:r>
            <w:r w:rsidRPr="00071B95">
              <w:rPr>
                <w:b/>
              </w:rPr>
              <w:t>orks</w:t>
            </w:r>
            <w:r w:rsidR="000D733F" w:rsidRPr="00071B95">
              <w:rPr>
                <w:b/>
              </w:rPr>
              <w:t xml:space="preserve"> number</w:t>
            </w:r>
          </w:p>
        </w:tc>
        <w:tc>
          <w:tcPr>
            <w:tcW w:w="2031" w:type="dxa"/>
          </w:tcPr>
          <w:p w:rsidR="000D733F" w:rsidRPr="00071B95" w:rsidRDefault="000D733F" w:rsidP="000D733F">
            <w:pPr>
              <w:pStyle w:val="TableTextColumnHeading"/>
              <w:rPr>
                <w:b/>
              </w:rPr>
            </w:pPr>
            <w:r>
              <w:rPr>
                <w:b/>
              </w:rPr>
              <w:t>Name of evaluation</w:t>
            </w:r>
          </w:p>
        </w:tc>
        <w:tc>
          <w:tcPr>
            <w:tcW w:w="1939" w:type="dxa"/>
          </w:tcPr>
          <w:p w:rsidR="000D733F" w:rsidRPr="00071B95" w:rsidRDefault="000D733F" w:rsidP="000D733F">
            <w:pPr>
              <w:pStyle w:val="TableTextColumnHeading"/>
              <w:rPr>
                <w:b/>
              </w:rPr>
            </w:pPr>
            <w:r w:rsidRPr="00071B95">
              <w:rPr>
                <w:b/>
              </w:rPr>
              <w:t xml:space="preserve">Date </w:t>
            </w:r>
            <w:r>
              <w:rPr>
                <w:b/>
              </w:rPr>
              <w:t>finalised</w:t>
            </w:r>
          </w:p>
        </w:tc>
        <w:tc>
          <w:tcPr>
            <w:tcW w:w="1921" w:type="dxa"/>
          </w:tcPr>
          <w:p w:rsidR="000D733F" w:rsidRPr="00071B95" w:rsidRDefault="000D733F" w:rsidP="000D733F">
            <w:pPr>
              <w:pStyle w:val="TableTextColumnHeading"/>
              <w:rPr>
                <w:b/>
              </w:rPr>
            </w:pPr>
            <w:r w:rsidRPr="00071B95">
              <w:rPr>
                <w:b/>
              </w:rPr>
              <w:t xml:space="preserve">Date Evaluation report Uploaded into </w:t>
            </w:r>
            <w:r w:rsidR="0023686F" w:rsidRPr="00071B95">
              <w:rPr>
                <w:b/>
              </w:rPr>
              <w:t>AidWorks</w:t>
            </w:r>
          </w:p>
        </w:tc>
        <w:tc>
          <w:tcPr>
            <w:tcW w:w="1743" w:type="dxa"/>
          </w:tcPr>
          <w:p w:rsidR="000D733F" w:rsidRPr="00071B95" w:rsidRDefault="000D733F" w:rsidP="000D733F">
            <w:pPr>
              <w:pStyle w:val="TableTextColumnHeading"/>
              <w:rPr>
                <w:b/>
              </w:rPr>
            </w:pPr>
            <w:r w:rsidRPr="00071B95">
              <w:rPr>
                <w:b/>
              </w:rPr>
              <w:t xml:space="preserve">Date Management response uploaded into </w:t>
            </w:r>
            <w:r w:rsidR="0023686F" w:rsidRPr="00071B95">
              <w:rPr>
                <w:b/>
              </w:rPr>
              <w:t>AidWorks</w:t>
            </w:r>
          </w:p>
        </w:tc>
        <w:tc>
          <w:tcPr>
            <w:tcW w:w="1503" w:type="dxa"/>
          </w:tcPr>
          <w:p w:rsidR="000D733F" w:rsidRPr="00071B95" w:rsidRDefault="000D733F" w:rsidP="000D733F">
            <w:pPr>
              <w:pStyle w:val="TableTextColumnHeading"/>
              <w:rPr>
                <w:b/>
              </w:rPr>
            </w:pPr>
            <w:r w:rsidRPr="00071B95">
              <w:rPr>
                <w:b/>
              </w:rPr>
              <w:t>Published on website</w:t>
            </w:r>
          </w:p>
        </w:tc>
      </w:tr>
      <w:tr w:rsidR="000D733F" w:rsidRPr="00071B95" w:rsidTr="000D733F">
        <w:trPr>
          <w:cnfStyle w:val="100000000000" w:firstRow="1" w:lastRow="0" w:firstColumn="0" w:lastColumn="0" w:oddVBand="0" w:evenVBand="0" w:oddHBand="0" w:evenHBand="0" w:firstRowFirstColumn="0" w:firstRowLastColumn="0" w:lastRowFirstColumn="0" w:lastRowLastColumn="0"/>
        </w:trPr>
        <w:tc>
          <w:tcPr>
            <w:tcW w:w="1902" w:type="dxa"/>
          </w:tcPr>
          <w:p w:rsidR="000D733F" w:rsidRPr="00DC16A5" w:rsidRDefault="00DC16A5" w:rsidP="000D733F">
            <w:pPr>
              <w:pStyle w:val="TableTextEntries"/>
              <w:rPr>
                <w:b w:val="0"/>
              </w:rPr>
            </w:pPr>
            <w:r>
              <w:rPr>
                <w:b w:val="0"/>
              </w:rPr>
              <w:t>AADCPII</w:t>
            </w:r>
          </w:p>
        </w:tc>
        <w:tc>
          <w:tcPr>
            <w:tcW w:w="1933" w:type="dxa"/>
          </w:tcPr>
          <w:p w:rsidR="000D733F" w:rsidRPr="00DC16A5" w:rsidRDefault="00DC16A5" w:rsidP="000D733F">
            <w:pPr>
              <w:pStyle w:val="TableTextEntries"/>
              <w:rPr>
                <w:b w:val="0"/>
              </w:rPr>
            </w:pPr>
            <w:r>
              <w:rPr>
                <w:b w:val="0"/>
              </w:rPr>
              <w:t>INH157</w:t>
            </w:r>
          </w:p>
        </w:tc>
        <w:tc>
          <w:tcPr>
            <w:tcW w:w="2031" w:type="dxa"/>
          </w:tcPr>
          <w:p w:rsidR="000D733F" w:rsidRPr="00DC16A5" w:rsidRDefault="00DC16A5" w:rsidP="000D733F">
            <w:pPr>
              <w:pStyle w:val="TableTextEntries"/>
              <w:rPr>
                <w:b w:val="0"/>
              </w:rPr>
            </w:pPr>
            <w:r>
              <w:rPr>
                <w:b w:val="0"/>
              </w:rPr>
              <w:t>4</w:t>
            </w:r>
            <w:r w:rsidRPr="00DC16A5">
              <w:rPr>
                <w:b w:val="0"/>
                <w:vertAlign w:val="superscript"/>
              </w:rPr>
              <w:t>th</w:t>
            </w:r>
            <w:r>
              <w:rPr>
                <w:b w:val="0"/>
              </w:rPr>
              <w:t xml:space="preserve"> Annual Review</w:t>
            </w:r>
          </w:p>
        </w:tc>
        <w:tc>
          <w:tcPr>
            <w:tcW w:w="1939" w:type="dxa"/>
          </w:tcPr>
          <w:p w:rsidR="000D733F" w:rsidRPr="00DC16A5" w:rsidRDefault="00DC16A5" w:rsidP="000D733F">
            <w:pPr>
              <w:pStyle w:val="TableTextEntries"/>
              <w:rPr>
                <w:b w:val="0"/>
              </w:rPr>
            </w:pPr>
            <w:r w:rsidRPr="00DC16A5">
              <w:rPr>
                <w:b w:val="0"/>
              </w:rPr>
              <w:t>5/3/14</w:t>
            </w:r>
          </w:p>
        </w:tc>
        <w:tc>
          <w:tcPr>
            <w:tcW w:w="1921" w:type="dxa"/>
          </w:tcPr>
          <w:p w:rsidR="000D733F" w:rsidRPr="00DC16A5" w:rsidRDefault="00DC16A5" w:rsidP="000D733F">
            <w:pPr>
              <w:pStyle w:val="TableTextEntries"/>
              <w:rPr>
                <w:b w:val="0"/>
              </w:rPr>
            </w:pPr>
            <w:r w:rsidRPr="00DC16A5">
              <w:rPr>
                <w:b w:val="0"/>
              </w:rPr>
              <w:t>22/4/14</w:t>
            </w:r>
          </w:p>
        </w:tc>
        <w:tc>
          <w:tcPr>
            <w:tcW w:w="1743" w:type="dxa"/>
          </w:tcPr>
          <w:p w:rsidR="000D733F" w:rsidRPr="00DC16A5" w:rsidRDefault="00DC16A5" w:rsidP="000D733F">
            <w:pPr>
              <w:pStyle w:val="TableTextEntries"/>
              <w:rPr>
                <w:b w:val="0"/>
              </w:rPr>
            </w:pPr>
            <w:r w:rsidRPr="00DC16A5">
              <w:rPr>
                <w:b w:val="0"/>
              </w:rPr>
              <w:t>n/a</w:t>
            </w:r>
          </w:p>
        </w:tc>
        <w:tc>
          <w:tcPr>
            <w:tcW w:w="1503" w:type="dxa"/>
          </w:tcPr>
          <w:p w:rsidR="000D733F" w:rsidRPr="00071B95" w:rsidRDefault="001915E3" w:rsidP="00850A87">
            <w:pPr>
              <w:pStyle w:val="TableTextEntries"/>
              <w:rPr>
                <w:b w:val="0"/>
              </w:rPr>
            </w:pPr>
            <w:r>
              <w:rPr>
                <w:b w:val="0"/>
              </w:rPr>
              <w:t xml:space="preserve">May </w:t>
            </w:r>
            <w:r w:rsidR="00DC16A5">
              <w:rPr>
                <w:b w:val="0"/>
              </w:rPr>
              <w:t>14</w:t>
            </w:r>
            <w:r w:rsidR="00850A87">
              <w:rPr>
                <w:b w:val="0"/>
              </w:rPr>
              <w:t xml:space="preserve"> </w:t>
            </w:r>
          </w:p>
        </w:tc>
      </w:tr>
      <w:tr w:rsidR="000D733F" w:rsidRPr="00071B95" w:rsidTr="000D733F">
        <w:trPr>
          <w:cnfStyle w:val="100000000000" w:firstRow="1" w:lastRow="0" w:firstColumn="0" w:lastColumn="0" w:oddVBand="0" w:evenVBand="0" w:oddHBand="0" w:evenHBand="0" w:firstRowFirstColumn="0" w:firstRowLastColumn="0" w:lastRowFirstColumn="0" w:lastRowLastColumn="0"/>
        </w:trPr>
        <w:tc>
          <w:tcPr>
            <w:tcW w:w="1902" w:type="dxa"/>
          </w:tcPr>
          <w:p w:rsidR="000D733F" w:rsidRPr="00071B95" w:rsidRDefault="000D733F" w:rsidP="000D733F">
            <w:pPr>
              <w:pStyle w:val="TableTextEntries"/>
            </w:pPr>
          </w:p>
        </w:tc>
        <w:tc>
          <w:tcPr>
            <w:tcW w:w="1933" w:type="dxa"/>
          </w:tcPr>
          <w:p w:rsidR="000D733F" w:rsidRPr="00071B95" w:rsidRDefault="000D733F" w:rsidP="000D733F">
            <w:pPr>
              <w:pStyle w:val="TableTextEntries"/>
            </w:pPr>
          </w:p>
        </w:tc>
        <w:tc>
          <w:tcPr>
            <w:tcW w:w="2031" w:type="dxa"/>
          </w:tcPr>
          <w:p w:rsidR="000D733F" w:rsidRPr="00071B95" w:rsidRDefault="000D733F" w:rsidP="000D733F">
            <w:pPr>
              <w:pStyle w:val="TableTextEntries"/>
            </w:pPr>
          </w:p>
        </w:tc>
        <w:tc>
          <w:tcPr>
            <w:tcW w:w="1939" w:type="dxa"/>
          </w:tcPr>
          <w:p w:rsidR="000D733F" w:rsidRPr="00071B95" w:rsidRDefault="000D733F" w:rsidP="000D733F">
            <w:pPr>
              <w:pStyle w:val="TableTextEntries"/>
            </w:pPr>
          </w:p>
        </w:tc>
        <w:tc>
          <w:tcPr>
            <w:tcW w:w="1921" w:type="dxa"/>
          </w:tcPr>
          <w:p w:rsidR="000D733F" w:rsidRPr="00071B95" w:rsidRDefault="000D733F" w:rsidP="000D733F">
            <w:pPr>
              <w:pStyle w:val="TableTextEntries"/>
            </w:pPr>
          </w:p>
        </w:tc>
        <w:tc>
          <w:tcPr>
            <w:tcW w:w="1743" w:type="dxa"/>
          </w:tcPr>
          <w:p w:rsidR="000D733F" w:rsidRPr="00071B95" w:rsidRDefault="000D733F" w:rsidP="000D733F">
            <w:pPr>
              <w:pStyle w:val="TableTextEntries"/>
            </w:pPr>
          </w:p>
        </w:tc>
        <w:tc>
          <w:tcPr>
            <w:tcW w:w="1503" w:type="dxa"/>
          </w:tcPr>
          <w:p w:rsidR="000D733F" w:rsidRPr="00071B95" w:rsidRDefault="000D733F" w:rsidP="000D733F">
            <w:pPr>
              <w:pStyle w:val="TableTextEntries"/>
            </w:pPr>
          </w:p>
        </w:tc>
      </w:tr>
      <w:tr w:rsidR="000D733F" w:rsidRPr="00DC16A5" w:rsidTr="000D733F">
        <w:trPr>
          <w:cnfStyle w:val="100000000000" w:firstRow="1" w:lastRow="0" w:firstColumn="0" w:lastColumn="0" w:oddVBand="0" w:evenVBand="0" w:oddHBand="0" w:evenHBand="0" w:firstRowFirstColumn="0" w:firstRowLastColumn="0" w:lastRowFirstColumn="0" w:lastRowLastColumn="0"/>
        </w:trPr>
        <w:tc>
          <w:tcPr>
            <w:tcW w:w="1902" w:type="dxa"/>
          </w:tcPr>
          <w:p w:rsidR="0001042F" w:rsidRDefault="00DC16A5" w:rsidP="001915E3">
            <w:pPr>
              <w:pStyle w:val="TableTextEntries"/>
              <w:rPr>
                <w:b w:val="0"/>
              </w:rPr>
            </w:pPr>
            <w:r w:rsidRPr="00DC16A5">
              <w:rPr>
                <w:b w:val="0"/>
              </w:rPr>
              <w:t>AECSP</w:t>
            </w:r>
          </w:p>
          <w:p w:rsidR="000D733F" w:rsidRPr="0001042F" w:rsidRDefault="000D733F" w:rsidP="0001042F">
            <w:pPr>
              <w:pStyle w:val="TableTextEntries"/>
              <w:rPr>
                <w:b w:val="0"/>
              </w:rPr>
            </w:pPr>
          </w:p>
        </w:tc>
        <w:tc>
          <w:tcPr>
            <w:tcW w:w="1933" w:type="dxa"/>
          </w:tcPr>
          <w:p w:rsidR="001915E3" w:rsidRPr="001915E3" w:rsidRDefault="00DC16A5" w:rsidP="000D733F">
            <w:pPr>
              <w:pStyle w:val="TableTextEntries"/>
              <w:rPr>
                <w:b w:val="0"/>
              </w:rPr>
            </w:pPr>
            <w:r>
              <w:rPr>
                <w:b w:val="0"/>
              </w:rPr>
              <w:t>INI358</w:t>
            </w:r>
          </w:p>
          <w:p w:rsidR="000D733F" w:rsidRPr="001915E3" w:rsidRDefault="000D733F" w:rsidP="001915E3">
            <w:pPr>
              <w:pStyle w:val="TableTextEntries"/>
              <w:rPr>
                <w:b w:val="0"/>
              </w:rPr>
            </w:pPr>
          </w:p>
        </w:tc>
        <w:tc>
          <w:tcPr>
            <w:tcW w:w="2031" w:type="dxa"/>
          </w:tcPr>
          <w:p w:rsidR="001915E3" w:rsidRPr="001915E3" w:rsidRDefault="00DC16A5" w:rsidP="000D733F">
            <w:pPr>
              <w:pStyle w:val="TableTextEntries"/>
              <w:rPr>
                <w:b w:val="0"/>
              </w:rPr>
            </w:pPr>
            <w:r>
              <w:rPr>
                <w:b w:val="0"/>
              </w:rPr>
              <w:t>2013 Annual Review</w:t>
            </w:r>
          </w:p>
          <w:p w:rsidR="000D733F" w:rsidRPr="001915E3" w:rsidRDefault="000D733F" w:rsidP="001915E3">
            <w:pPr>
              <w:rPr>
                <w:rFonts w:ascii="Franklin Gothic Book" w:eastAsia="Times New Roman" w:hAnsi="Franklin Gothic Book"/>
                <w:b w:val="0"/>
                <w:iCs/>
                <w:sz w:val="17"/>
                <w:szCs w:val="17"/>
                <w:lang w:eastAsia="en-US"/>
              </w:rPr>
            </w:pPr>
          </w:p>
        </w:tc>
        <w:tc>
          <w:tcPr>
            <w:tcW w:w="1939" w:type="dxa"/>
          </w:tcPr>
          <w:p w:rsidR="001915E3" w:rsidRPr="001915E3" w:rsidRDefault="00DC16A5" w:rsidP="001915E3">
            <w:pPr>
              <w:rPr>
                <w:rFonts w:ascii="Franklin Gothic Book" w:eastAsia="Times New Roman" w:hAnsi="Franklin Gothic Book"/>
                <w:b w:val="0"/>
                <w:iCs/>
                <w:sz w:val="17"/>
                <w:szCs w:val="17"/>
                <w:lang w:eastAsia="en-US"/>
              </w:rPr>
            </w:pPr>
            <w:r w:rsidRPr="001915E3">
              <w:rPr>
                <w:rFonts w:ascii="Franklin Gothic Book" w:eastAsia="Times New Roman" w:hAnsi="Franklin Gothic Book"/>
                <w:b w:val="0"/>
                <w:iCs/>
                <w:sz w:val="17"/>
                <w:szCs w:val="17"/>
                <w:lang w:eastAsia="en-US"/>
              </w:rPr>
              <w:t>28/2/14</w:t>
            </w:r>
          </w:p>
          <w:p w:rsidR="001915E3" w:rsidRPr="001915E3" w:rsidRDefault="001915E3" w:rsidP="001915E3">
            <w:pPr>
              <w:rPr>
                <w:rFonts w:ascii="Franklin Gothic Book" w:eastAsia="Times New Roman" w:hAnsi="Franklin Gothic Book"/>
                <w:b w:val="0"/>
                <w:iCs/>
                <w:sz w:val="17"/>
                <w:szCs w:val="17"/>
                <w:lang w:eastAsia="en-US"/>
              </w:rPr>
            </w:pPr>
          </w:p>
          <w:p w:rsidR="000D733F" w:rsidRPr="001915E3" w:rsidRDefault="000D733F" w:rsidP="001915E3">
            <w:pPr>
              <w:rPr>
                <w:rFonts w:ascii="Franklin Gothic Book" w:eastAsia="Times New Roman" w:hAnsi="Franklin Gothic Book"/>
                <w:b w:val="0"/>
                <w:iCs/>
                <w:sz w:val="17"/>
                <w:szCs w:val="17"/>
                <w:lang w:eastAsia="en-US"/>
              </w:rPr>
            </w:pPr>
          </w:p>
        </w:tc>
        <w:tc>
          <w:tcPr>
            <w:tcW w:w="1921" w:type="dxa"/>
          </w:tcPr>
          <w:p w:rsidR="001915E3" w:rsidRPr="001915E3" w:rsidRDefault="001915E3" w:rsidP="001915E3">
            <w:pPr>
              <w:rPr>
                <w:rFonts w:ascii="Franklin Gothic Book" w:eastAsia="Times New Roman" w:hAnsi="Franklin Gothic Book"/>
                <w:b w:val="0"/>
                <w:iCs/>
                <w:sz w:val="17"/>
                <w:szCs w:val="17"/>
                <w:lang w:eastAsia="en-US"/>
              </w:rPr>
            </w:pPr>
          </w:p>
          <w:p w:rsidR="000D733F" w:rsidRPr="001915E3" w:rsidRDefault="000D733F" w:rsidP="001915E3">
            <w:pPr>
              <w:rPr>
                <w:rFonts w:ascii="Franklin Gothic Book" w:eastAsia="Times New Roman" w:hAnsi="Franklin Gothic Book"/>
                <w:b w:val="0"/>
                <w:iCs/>
                <w:sz w:val="17"/>
                <w:szCs w:val="17"/>
                <w:lang w:eastAsia="en-US"/>
              </w:rPr>
            </w:pPr>
          </w:p>
        </w:tc>
        <w:tc>
          <w:tcPr>
            <w:tcW w:w="1743" w:type="dxa"/>
          </w:tcPr>
          <w:p w:rsidR="0001042F" w:rsidRDefault="00DC16A5" w:rsidP="000D733F">
            <w:pPr>
              <w:pStyle w:val="TableTextEntries"/>
              <w:rPr>
                <w:b w:val="0"/>
              </w:rPr>
            </w:pPr>
            <w:r>
              <w:rPr>
                <w:b w:val="0"/>
              </w:rPr>
              <w:t>n/a</w:t>
            </w:r>
          </w:p>
          <w:p w:rsidR="0001042F" w:rsidRPr="00DC16A5" w:rsidRDefault="0001042F" w:rsidP="000D733F">
            <w:pPr>
              <w:pStyle w:val="TableTextEntries"/>
              <w:rPr>
                <w:b w:val="0"/>
              </w:rPr>
            </w:pPr>
          </w:p>
        </w:tc>
        <w:tc>
          <w:tcPr>
            <w:tcW w:w="1503" w:type="dxa"/>
          </w:tcPr>
          <w:p w:rsidR="000D733F" w:rsidRPr="001915E3" w:rsidRDefault="000D733F" w:rsidP="001915E3">
            <w:pPr>
              <w:rPr>
                <w:rFonts w:ascii="Franklin Gothic Book" w:eastAsia="Times New Roman" w:hAnsi="Franklin Gothic Book"/>
                <w:b w:val="0"/>
                <w:iCs/>
                <w:sz w:val="17"/>
                <w:szCs w:val="17"/>
                <w:lang w:eastAsia="en-US"/>
              </w:rPr>
            </w:pPr>
          </w:p>
        </w:tc>
      </w:tr>
      <w:tr w:rsidR="001915E3" w:rsidRPr="00DC16A5" w:rsidTr="000D733F">
        <w:trPr>
          <w:cnfStyle w:val="100000000000" w:firstRow="1" w:lastRow="0" w:firstColumn="0" w:lastColumn="0" w:oddVBand="0" w:evenVBand="0" w:oddHBand="0" w:evenHBand="0" w:firstRowFirstColumn="0" w:firstRowLastColumn="0" w:lastRowFirstColumn="0" w:lastRowLastColumn="0"/>
        </w:trPr>
        <w:tc>
          <w:tcPr>
            <w:tcW w:w="1902" w:type="dxa"/>
          </w:tcPr>
          <w:p w:rsidR="001915E3" w:rsidRPr="00DC16A5" w:rsidRDefault="001915E3" w:rsidP="000D733F">
            <w:pPr>
              <w:pStyle w:val="TableTextEntries"/>
              <w:rPr>
                <w:b w:val="0"/>
              </w:rPr>
            </w:pPr>
            <w:r w:rsidRPr="0001042F">
              <w:rPr>
                <w:b w:val="0"/>
              </w:rPr>
              <w:t>Pro</w:t>
            </w:r>
            <w:r>
              <w:rPr>
                <w:b w:val="0"/>
              </w:rPr>
              <w:t>ject Childhood</w:t>
            </w:r>
          </w:p>
        </w:tc>
        <w:tc>
          <w:tcPr>
            <w:tcW w:w="1933" w:type="dxa"/>
          </w:tcPr>
          <w:p w:rsidR="001915E3" w:rsidRDefault="001915E3" w:rsidP="000D733F">
            <w:pPr>
              <w:pStyle w:val="TableTextEntries"/>
              <w:rPr>
                <w:b w:val="0"/>
              </w:rPr>
            </w:pPr>
            <w:r w:rsidRPr="001915E3">
              <w:rPr>
                <w:b w:val="0"/>
              </w:rPr>
              <w:t>INI940</w:t>
            </w:r>
          </w:p>
        </w:tc>
        <w:tc>
          <w:tcPr>
            <w:tcW w:w="2031" w:type="dxa"/>
          </w:tcPr>
          <w:p w:rsidR="001915E3" w:rsidRDefault="001915E3" w:rsidP="001915E3">
            <w:pPr>
              <w:pStyle w:val="TableTextEntries"/>
              <w:rPr>
                <w:b w:val="0"/>
              </w:rPr>
            </w:pPr>
            <w:r w:rsidRPr="001915E3">
              <w:rPr>
                <w:b w:val="0"/>
                <w:iCs w:val="0"/>
              </w:rPr>
              <w:t xml:space="preserve">Independent Mid-Term </w:t>
            </w:r>
            <w:r>
              <w:rPr>
                <w:b w:val="0"/>
                <w:iCs w:val="0"/>
              </w:rPr>
              <w:t>Evaluation</w:t>
            </w:r>
          </w:p>
        </w:tc>
        <w:tc>
          <w:tcPr>
            <w:tcW w:w="1939" w:type="dxa"/>
          </w:tcPr>
          <w:p w:rsidR="001915E3" w:rsidRPr="001915E3" w:rsidRDefault="001915E3" w:rsidP="001915E3">
            <w:pPr>
              <w:rPr>
                <w:rFonts w:ascii="Franklin Gothic Book" w:eastAsia="Times New Roman" w:hAnsi="Franklin Gothic Book"/>
                <w:b w:val="0"/>
                <w:iCs/>
                <w:sz w:val="17"/>
                <w:szCs w:val="17"/>
                <w:lang w:eastAsia="en-US"/>
              </w:rPr>
            </w:pPr>
            <w:r w:rsidRPr="001915E3">
              <w:rPr>
                <w:rFonts w:ascii="Franklin Gothic Book" w:eastAsia="Times New Roman" w:hAnsi="Franklin Gothic Book"/>
                <w:b w:val="0"/>
                <w:iCs/>
                <w:sz w:val="17"/>
                <w:szCs w:val="17"/>
                <w:lang w:eastAsia="en-US"/>
              </w:rPr>
              <w:t>17/11/13</w:t>
            </w:r>
          </w:p>
        </w:tc>
        <w:tc>
          <w:tcPr>
            <w:tcW w:w="1921" w:type="dxa"/>
          </w:tcPr>
          <w:p w:rsidR="001915E3" w:rsidRPr="001915E3" w:rsidRDefault="001915E3" w:rsidP="001915E3">
            <w:pPr>
              <w:rPr>
                <w:rFonts w:ascii="Franklin Gothic Book" w:eastAsia="Times New Roman" w:hAnsi="Franklin Gothic Book"/>
                <w:b w:val="0"/>
                <w:iCs/>
                <w:sz w:val="17"/>
                <w:szCs w:val="17"/>
                <w:lang w:eastAsia="en-US"/>
              </w:rPr>
            </w:pPr>
            <w:r w:rsidRPr="001915E3">
              <w:rPr>
                <w:rFonts w:ascii="Franklin Gothic Book" w:eastAsia="Times New Roman" w:hAnsi="Franklin Gothic Book"/>
                <w:b w:val="0"/>
                <w:iCs/>
                <w:sz w:val="17"/>
                <w:szCs w:val="17"/>
                <w:lang w:eastAsia="en-US"/>
              </w:rPr>
              <w:t>20/1/14</w:t>
            </w:r>
          </w:p>
        </w:tc>
        <w:tc>
          <w:tcPr>
            <w:tcW w:w="1743" w:type="dxa"/>
          </w:tcPr>
          <w:p w:rsidR="001915E3" w:rsidRDefault="001915E3" w:rsidP="000D733F">
            <w:pPr>
              <w:pStyle w:val="TableTextEntries"/>
              <w:rPr>
                <w:b w:val="0"/>
              </w:rPr>
            </w:pPr>
            <w:r>
              <w:rPr>
                <w:b w:val="0"/>
              </w:rPr>
              <w:t>20/1/14</w:t>
            </w:r>
          </w:p>
        </w:tc>
        <w:tc>
          <w:tcPr>
            <w:tcW w:w="1503" w:type="dxa"/>
          </w:tcPr>
          <w:p w:rsidR="001915E3" w:rsidRPr="001915E3" w:rsidRDefault="001915E3" w:rsidP="001915E3">
            <w:pPr>
              <w:rPr>
                <w:rFonts w:ascii="Franklin Gothic Book" w:eastAsia="Times New Roman" w:hAnsi="Franklin Gothic Book"/>
                <w:b w:val="0"/>
                <w:iCs/>
                <w:sz w:val="17"/>
                <w:szCs w:val="17"/>
                <w:lang w:eastAsia="en-US"/>
              </w:rPr>
            </w:pPr>
            <w:r w:rsidRPr="001915E3">
              <w:rPr>
                <w:rFonts w:ascii="Franklin Gothic Book" w:eastAsia="Times New Roman" w:hAnsi="Franklin Gothic Book"/>
                <w:b w:val="0"/>
                <w:iCs/>
                <w:sz w:val="17"/>
                <w:szCs w:val="17"/>
                <w:lang w:eastAsia="en-US"/>
              </w:rPr>
              <w:t>March 2014</w:t>
            </w:r>
          </w:p>
        </w:tc>
      </w:tr>
      <w:tr w:rsidR="001915E3" w:rsidRPr="00DC16A5" w:rsidTr="000D733F">
        <w:trPr>
          <w:cnfStyle w:val="100000000000" w:firstRow="1" w:lastRow="0" w:firstColumn="0" w:lastColumn="0" w:oddVBand="0" w:evenVBand="0" w:oddHBand="0" w:evenHBand="0" w:firstRowFirstColumn="0" w:firstRowLastColumn="0" w:lastRowFirstColumn="0" w:lastRowLastColumn="0"/>
        </w:trPr>
        <w:tc>
          <w:tcPr>
            <w:tcW w:w="1902" w:type="dxa"/>
          </w:tcPr>
          <w:p w:rsidR="001915E3" w:rsidRPr="0001042F" w:rsidRDefault="001915E3" w:rsidP="000D733F">
            <w:pPr>
              <w:pStyle w:val="TableTextEntries"/>
              <w:rPr>
                <w:b w:val="0"/>
              </w:rPr>
            </w:pPr>
            <w:r>
              <w:rPr>
                <w:b w:val="0"/>
              </w:rPr>
              <w:t>STANDZ</w:t>
            </w:r>
          </w:p>
        </w:tc>
        <w:tc>
          <w:tcPr>
            <w:tcW w:w="1933" w:type="dxa"/>
          </w:tcPr>
          <w:p w:rsidR="001915E3" w:rsidRPr="001915E3" w:rsidRDefault="001915E3" w:rsidP="000D733F">
            <w:pPr>
              <w:pStyle w:val="TableTextEntries"/>
              <w:rPr>
                <w:b w:val="0"/>
              </w:rPr>
            </w:pPr>
            <w:r>
              <w:rPr>
                <w:b w:val="0"/>
              </w:rPr>
              <w:t>INJ703</w:t>
            </w:r>
          </w:p>
        </w:tc>
        <w:tc>
          <w:tcPr>
            <w:tcW w:w="2031" w:type="dxa"/>
          </w:tcPr>
          <w:p w:rsidR="001915E3" w:rsidRPr="001915E3" w:rsidRDefault="001915E3" w:rsidP="000D733F">
            <w:pPr>
              <w:pStyle w:val="TableTextEntries"/>
              <w:rPr>
                <w:b w:val="0"/>
                <w:iCs w:val="0"/>
              </w:rPr>
            </w:pPr>
            <w:r w:rsidRPr="001915E3">
              <w:rPr>
                <w:b w:val="0"/>
                <w:iCs w:val="0"/>
              </w:rPr>
              <w:t xml:space="preserve">Independent Mid-Term </w:t>
            </w:r>
            <w:r>
              <w:rPr>
                <w:b w:val="0"/>
                <w:iCs w:val="0"/>
              </w:rPr>
              <w:t>Evaluation</w:t>
            </w:r>
          </w:p>
        </w:tc>
        <w:tc>
          <w:tcPr>
            <w:tcW w:w="1939" w:type="dxa"/>
          </w:tcPr>
          <w:p w:rsidR="001915E3" w:rsidRPr="001915E3" w:rsidRDefault="001915E3" w:rsidP="001915E3">
            <w:pPr>
              <w:rPr>
                <w:rFonts w:ascii="Franklin Gothic Book" w:eastAsia="Times New Roman" w:hAnsi="Franklin Gothic Book"/>
                <w:b w:val="0"/>
                <w:iCs/>
                <w:sz w:val="17"/>
                <w:szCs w:val="17"/>
                <w:lang w:eastAsia="en-US"/>
              </w:rPr>
            </w:pPr>
            <w:r>
              <w:rPr>
                <w:rFonts w:ascii="Franklin Gothic Book" w:eastAsia="Times New Roman" w:hAnsi="Franklin Gothic Book"/>
                <w:b w:val="0"/>
                <w:iCs/>
                <w:sz w:val="17"/>
                <w:szCs w:val="17"/>
                <w:lang w:eastAsia="en-US"/>
              </w:rPr>
              <w:t>3/4/14</w:t>
            </w:r>
          </w:p>
        </w:tc>
        <w:tc>
          <w:tcPr>
            <w:tcW w:w="1921" w:type="dxa"/>
          </w:tcPr>
          <w:p w:rsidR="001915E3" w:rsidRPr="001915E3" w:rsidRDefault="001915E3" w:rsidP="001915E3">
            <w:pPr>
              <w:rPr>
                <w:rFonts w:ascii="Franklin Gothic Book" w:eastAsia="Times New Roman" w:hAnsi="Franklin Gothic Book"/>
                <w:b w:val="0"/>
                <w:iCs/>
                <w:sz w:val="17"/>
                <w:szCs w:val="17"/>
                <w:lang w:eastAsia="en-US"/>
              </w:rPr>
            </w:pPr>
            <w:r>
              <w:rPr>
                <w:rFonts w:ascii="Franklin Gothic Book" w:eastAsia="Times New Roman" w:hAnsi="Franklin Gothic Book"/>
                <w:b w:val="0"/>
                <w:iCs/>
                <w:sz w:val="17"/>
                <w:szCs w:val="17"/>
                <w:lang w:eastAsia="en-US"/>
              </w:rPr>
              <w:t>22/5/14</w:t>
            </w:r>
          </w:p>
        </w:tc>
        <w:tc>
          <w:tcPr>
            <w:tcW w:w="1743" w:type="dxa"/>
          </w:tcPr>
          <w:p w:rsidR="001915E3" w:rsidRDefault="001915E3" w:rsidP="000D733F">
            <w:pPr>
              <w:pStyle w:val="TableTextEntries"/>
              <w:rPr>
                <w:b w:val="0"/>
              </w:rPr>
            </w:pPr>
            <w:r>
              <w:rPr>
                <w:b w:val="0"/>
              </w:rPr>
              <w:t>24/6/14</w:t>
            </w:r>
          </w:p>
        </w:tc>
        <w:tc>
          <w:tcPr>
            <w:tcW w:w="1503" w:type="dxa"/>
          </w:tcPr>
          <w:p w:rsidR="001915E3" w:rsidRPr="001915E3" w:rsidRDefault="001915E3" w:rsidP="001915E3">
            <w:pPr>
              <w:rPr>
                <w:rFonts w:ascii="Franklin Gothic Book" w:eastAsia="Times New Roman" w:hAnsi="Franklin Gothic Book"/>
                <w:b w:val="0"/>
                <w:iCs/>
                <w:sz w:val="17"/>
                <w:szCs w:val="17"/>
                <w:lang w:eastAsia="en-US"/>
              </w:rPr>
            </w:pPr>
            <w:r>
              <w:rPr>
                <w:rFonts w:ascii="Franklin Gothic Book" w:eastAsia="Times New Roman" w:hAnsi="Franklin Gothic Book"/>
                <w:b w:val="0"/>
                <w:iCs/>
                <w:sz w:val="17"/>
                <w:szCs w:val="17"/>
                <w:lang w:eastAsia="en-US"/>
              </w:rPr>
              <w:t>August 2014</w:t>
            </w:r>
          </w:p>
        </w:tc>
      </w:tr>
    </w:tbl>
    <w:p w:rsidR="000D733F" w:rsidRPr="00071B95" w:rsidRDefault="000D733F" w:rsidP="000D733F">
      <w:pPr>
        <w:pStyle w:val="Caption"/>
      </w:pPr>
      <w:r w:rsidRPr="00071B95">
        <w:t xml:space="preserve">List of evaluations planned in the next 12 months </w:t>
      </w:r>
    </w:p>
    <w:p w:rsidR="000D733F" w:rsidRDefault="000D733F" w:rsidP="000D733F">
      <w:pPr>
        <w:pStyle w:val="TableTextColumnHeading"/>
        <w:sectPr w:rsidR="000D733F" w:rsidSect="00AF782A">
          <w:headerReference w:type="even" r:id="rId18"/>
          <w:footerReference w:type="first" r:id="rId19"/>
          <w:pgSz w:w="16838" w:h="11906" w:orient="landscape" w:code="9"/>
          <w:pgMar w:top="1814" w:right="1814" w:bottom="568" w:left="851" w:header="709" w:footer="425" w:gutter="0"/>
          <w:cols w:space="708"/>
          <w:docGrid w:linePitch="360"/>
        </w:sectPr>
      </w:pPr>
    </w:p>
    <w:tbl>
      <w:tblPr>
        <w:tblStyle w:val="APPR"/>
        <w:tblW w:w="0" w:type="auto"/>
        <w:tblLook w:val="0600" w:firstRow="0" w:lastRow="0" w:firstColumn="0" w:lastColumn="0" w:noHBand="1" w:noVBand="1"/>
      </w:tblPr>
      <w:tblGrid>
        <w:gridCol w:w="2643"/>
        <w:gridCol w:w="2558"/>
        <w:gridCol w:w="2640"/>
        <w:gridCol w:w="2640"/>
        <w:gridCol w:w="2659"/>
      </w:tblGrid>
      <w:tr w:rsidR="000D733F" w:rsidRPr="00071B95" w:rsidTr="000D733F">
        <w:tc>
          <w:tcPr>
            <w:tcW w:w="2601" w:type="dxa"/>
          </w:tcPr>
          <w:p w:rsidR="000D733F" w:rsidRPr="00071B95" w:rsidRDefault="000D733F" w:rsidP="000D733F">
            <w:pPr>
              <w:pStyle w:val="TableTextColumnHeading"/>
            </w:pPr>
            <w:r w:rsidRPr="00071B95">
              <w:lastRenderedPageBreak/>
              <w:t xml:space="preserve">Name of </w:t>
            </w:r>
            <w:r w:rsidR="00501CD2">
              <w:t>Investment</w:t>
            </w:r>
          </w:p>
        </w:tc>
        <w:tc>
          <w:tcPr>
            <w:tcW w:w="2530" w:type="dxa"/>
          </w:tcPr>
          <w:p w:rsidR="000D733F" w:rsidRPr="00071B95" w:rsidRDefault="0023686F" w:rsidP="000D733F">
            <w:pPr>
              <w:pStyle w:val="TableTextColumnHeading"/>
            </w:pPr>
            <w:r w:rsidRPr="00071B95">
              <w:t>AidWorks</w:t>
            </w:r>
            <w:r w:rsidR="000D733F" w:rsidRPr="00071B95">
              <w:t xml:space="preserve"> number</w:t>
            </w:r>
          </w:p>
        </w:tc>
        <w:tc>
          <w:tcPr>
            <w:tcW w:w="2612" w:type="dxa"/>
          </w:tcPr>
          <w:p w:rsidR="000D733F" w:rsidRPr="00071B95" w:rsidRDefault="000D733F" w:rsidP="000D733F">
            <w:pPr>
              <w:pStyle w:val="TableTextColumnHeading"/>
            </w:pPr>
            <w:r w:rsidRPr="00071B95">
              <w:t>Type of evaluation</w:t>
            </w:r>
          </w:p>
        </w:tc>
        <w:tc>
          <w:tcPr>
            <w:tcW w:w="2612" w:type="dxa"/>
          </w:tcPr>
          <w:p w:rsidR="000D733F" w:rsidRPr="00071B95" w:rsidRDefault="000D733F" w:rsidP="000D733F">
            <w:pPr>
              <w:pStyle w:val="TableTextColumnHeading"/>
            </w:pPr>
            <w:r w:rsidRPr="00071B95">
              <w:t>Purpose of evaluation</w:t>
            </w:r>
          </w:p>
        </w:tc>
        <w:tc>
          <w:tcPr>
            <w:tcW w:w="2617" w:type="dxa"/>
          </w:tcPr>
          <w:p w:rsidR="000D733F" w:rsidRPr="00071B95" w:rsidRDefault="000D733F" w:rsidP="000D733F">
            <w:pPr>
              <w:pStyle w:val="TableTextColumnHeading"/>
            </w:pPr>
            <w:r w:rsidRPr="00071B95">
              <w:t>Expected completion date</w:t>
            </w:r>
          </w:p>
        </w:tc>
      </w:tr>
      <w:tr w:rsidR="000D733F" w:rsidRPr="00071B95" w:rsidTr="000D733F">
        <w:tc>
          <w:tcPr>
            <w:tcW w:w="2601" w:type="dxa"/>
          </w:tcPr>
          <w:p w:rsidR="000D733F" w:rsidRPr="003275D0" w:rsidRDefault="00DC16A5" w:rsidP="003275D0">
            <w:pPr>
              <w:pStyle w:val="TableTextEntries"/>
            </w:pPr>
            <w:r>
              <w:t>AADCPII</w:t>
            </w:r>
          </w:p>
        </w:tc>
        <w:tc>
          <w:tcPr>
            <w:tcW w:w="2530" w:type="dxa"/>
          </w:tcPr>
          <w:p w:rsidR="000D733F" w:rsidRPr="003275D0" w:rsidRDefault="00DC16A5" w:rsidP="003275D0">
            <w:pPr>
              <w:pStyle w:val="TableTextEntries"/>
            </w:pPr>
            <w:r>
              <w:t>INI157</w:t>
            </w:r>
          </w:p>
        </w:tc>
        <w:tc>
          <w:tcPr>
            <w:tcW w:w="2612" w:type="dxa"/>
          </w:tcPr>
          <w:p w:rsidR="000D733F" w:rsidRPr="003275D0" w:rsidRDefault="00DC16A5" w:rsidP="003275D0">
            <w:pPr>
              <w:pStyle w:val="TableTextEntries"/>
            </w:pPr>
            <w:r>
              <w:t>2014 Annual Quality Stocktake</w:t>
            </w:r>
          </w:p>
        </w:tc>
        <w:tc>
          <w:tcPr>
            <w:tcW w:w="2612" w:type="dxa"/>
          </w:tcPr>
          <w:p w:rsidR="000D733F" w:rsidRPr="003275D0" w:rsidRDefault="00DC16A5" w:rsidP="00DC16A5">
            <w:pPr>
              <w:pStyle w:val="TableTextEntries"/>
              <w:rPr>
                <w:color w:val="000000" w:themeColor="text1" w:themeShade="BF"/>
              </w:rPr>
            </w:pPr>
            <w:r>
              <w:t>To assess program performance and verify program outcomes</w:t>
            </w:r>
          </w:p>
        </w:tc>
        <w:tc>
          <w:tcPr>
            <w:tcW w:w="2617" w:type="dxa"/>
          </w:tcPr>
          <w:p w:rsidR="000D733F" w:rsidRPr="003275D0" w:rsidRDefault="00DC16A5" w:rsidP="003275D0">
            <w:pPr>
              <w:pStyle w:val="TableTextEntries"/>
            </w:pPr>
            <w:r>
              <w:t>15/2/2015</w:t>
            </w:r>
          </w:p>
        </w:tc>
      </w:tr>
      <w:tr w:rsidR="000D733F" w:rsidRPr="00071B95" w:rsidTr="000D733F">
        <w:tc>
          <w:tcPr>
            <w:tcW w:w="2601" w:type="dxa"/>
          </w:tcPr>
          <w:p w:rsidR="000D733F" w:rsidRPr="00071B95" w:rsidRDefault="00DC16A5" w:rsidP="000D733F">
            <w:pPr>
              <w:pStyle w:val="TableTextEntries"/>
            </w:pPr>
            <w:r>
              <w:t>AECSP</w:t>
            </w:r>
          </w:p>
        </w:tc>
        <w:tc>
          <w:tcPr>
            <w:tcW w:w="2530" w:type="dxa"/>
          </w:tcPr>
          <w:p w:rsidR="000D733F" w:rsidRPr="00071B95" w:rsidRDefault="00DC16A5" w:rsidP="000D733F">
            <w:pPr>
              <w:pStyle w:val="TableTextEntries"/>
            </w:pPr>
            <w:r>
              <w:t>INI358</w:t>
            </w:r>
          </w:p>
        </w:tc>
        <w:tc>
          <w:tcPr>
            <w:tcW w:w="2612" w:type="dxa"/>
          </w:tcPr>
          <w:p w:rsidR="000D733F" w:rsidRPr="00071B95" w:rsidRDefault="00DC16A5" w:rsidP="000D733F">
            <w:pPr>
              <w:pStyle w:val="TableTextEntries"/>
            </w:pPr>
            <w:r>
              <w:t>2014 Annual Review</w:t>
            </w:r>
          </w:p>
        </w:tc>
        <w:tc>
          <w:tcPr>
            <w:tcW w:w="2612" w:type="dxa"/>
          </w:tcPr>
          <w:p w:rsidR="000D733F" w:rsidRPr="00071B95" w:rsidRDefault="00DC16A5" w:rsidP="000D733F">
            <w:pPr>
              <w:pStyle w:val="TableTextEntries"/>
            </w:pPr>
            <w:r>
              <w:t>To assess program performance and verify program outcomes</w:t>
            </w:r>
          </w:p>
        </w:tc>
        <w:tc>
          <w:tcPr>
            <w:tcW w:w="2617" w:type="dxa"/>
          </w:tcPr>
          <w:p w:rsidR="000D733F" w:rsidRPr="00071B95" w:rsidRDefault="00DC16A5" w:rsidP="000D733F">
            <w:pPr>
              <w:pStyle w:val="TableTextEntries"/>
            </w:pPr>
            <w:r>
              <w:t>28/2/2015</w:t>
            </w:r>
          </w:p>
        </w:tc>
      </w:tr>
      <w:tr w:rsidR="001915E3" w:rsidRPr="00071B95" w:rsidTr="000D733F">
        <w:tc>
          <w:tcPr>
            <w:tcW w:w="2601" w:type="dxa"/>
          </w:tcPr>
          <w:p w:rsidR="001915E3" w:rsidRDefault="001915E3" w:rsidP="000D733F">
            <w:pPr>
              <w:pStyle w:val="TableTextEntries"/>
            </w:pPr>
            <w:r>
              <w:t>AAPTIP</w:t>
            </w:r>
          </w:p>
        </w:tc>
        <w:tc>
          <w:tcPr>
            <w:tcW w:w="2530" w:type="dxa"/>
          </w:tcPr>
          <w:p w:rsidR="001915E3" w:rsidRDefault="001915E3" w:rsidP="000D733F">
            <w:pPr>
              <w:pStyle w:val="TableTextEntries"/>
            </w:pPr>
            <w:r>
              <w:t>INK641</w:t>
            </w:r>
          </w:p>
        </w:tc>
        <w:tc>
          <w:tcPr>
            <w:tcW w:w="2612" w:type="dxa"/>
          </w:tcPr>
          <w:p w:rsidR="001915E3" w:rsidRDefault="001915E3" w:rsidP="000D733F">
            <w:pPr>
              <w:pStyle w:val="TableTextEntries"/>
            </w:pPr>
            <w:r>
              <w:t>Mid-Term Evaluation</w:t>
            </w:r>
          </w:p>
        </w:tc>
        <w:tc>
          <w:tcPr>
            <w:tcW w:w="2612" w:type="dxa"/>
          </w:tcPr>
          <w:p w:rsidR="001915E3" w:rsidRDefault="001915E3" w:rsidP="000D733F">
            <w:pPr>
              <w:pStyle w:val="TableTextEntries"/>
            </w:pPr>
            <w:r>
              <w:t>To improve existing program; to verify program outcomes</w:t>
            </w:r>
          </w:p>
        </w:tc>
        <w:tc>
          <w:tcPr>
            <w:tcW w:w="2617" w:type="dxa"/>
          </w:tcPr>
          <w:p w:rsidR="001915E3" w:rsidRDefault="001915E3" w:rsidP="000D733F">
            <w:pPr>
              <w:pStyle w:val="TableTextEntries"/>
            </w:pPr>
            <w:r>
              <w:t>Second half 2015</w:t>
            </w:r>
          </w:p>
        </w:tc>
      </w:tr>
      <w:tr w:rsidR="001915E3" w:rsidRPr="00071B95" w:rsidTr="000D733F">
        <w:tc>
          <w:tcPr>
            <w:tcW w:w="2601" w:type="dxa"/>
          </w:tcPr>
          <w:p w:rsidR="001915E3" w:rsidRDefault="001915E3" w:rsidP="000D733F">
            <w:pPr>
              <w:pStyle w:val="TableTextEntries"/>
            </w:pPr>
            <w:r>
              <w:t>ILO TRIANGLE</w:t>
            </w:r>
          </w:p>
        </w:tc>
        <w:tc>
          <w:tcPr>
            <w:tcW w:w="2530" w:type="dxa"/>
          </w:tcPr>
          <w:p w:rsidR="001915E3" w:rsidRDefault="001915E3" w:rsidP="000D733F">
            <w:pPr>
              <w:pStyle w:val="TableTextEntries"/>
            </w:pPr>
            <w:r>
              <w:t>INJ332</w:t>
            </w:r>
          </w:p>
        </w:tc>
        <w:tc>
          <w:tcPr>
            <w:tcW w:w="2612" w:type="dxa"/>
          </w:tcPr>
          <w:p w:rsidR="001915E3" w:rsidRDefault="001915E3" w:rsidP="000D733F">
            <w:pPr>
              <w:pStyle w:val="TableTextEntries"/>
            </w:pPr>
            <w:r>
              <w:t>Independent Final Evaluation</w:t>
            </w:r>
          </w:p>
        </w:tc>
        <w:tc>
          <w:tcPr>
            <w:tcW w:w="2612" w:type="dxa"/>
          </w:tcPr>
          <w:p w:rsidR="001915E3" w:rsidRDefault="001915E3" w:rsidP="00AF782A">
            <w:pPr>
              <w:pStyle w:val="TableTextEntries"/>
            </w:pPr>
            <w:r>
              <w:t xml:space="preserve">To identify lessons learned and recommendations; to identify the successes and constraints </w:t>
            </w:r>
          </w:p>
        </w:tc>
        <w:tc>
          <w:tcPr>
            <w:tcW w:w="2617" w:type="dxa"/>
          </w:tcPr>
          <w:p w:rsidR="001915E3" w:rsidRDefault="00F14534" w:rsidP="000D733F">
            <w:pPr>
              <w:pStyle w:val="TableTextEntries"/>
            </w:pPr>
            <w:r>
              <w:t>March 201</w:t>
            </w:r>
            <w:r w:rsidR="001915E3">
              <w:t>5</w:t>
            </w:r>
          </w:p>
        </w:tc>
      </w:tr>
      <w:tr w:rsidR="001915E3" w:rsidRPr="00071B95" w:rsidTr="000D733F">
        <w:tc>
          <w:tcPr>
            <w:tcW w:w="2601" w:type="dxa"/>
          </w:tcPr>
          <w:p w:rsidR="001915E3" w:rsidRDefault="001915E3" w:rsidP="000D733F">
            <w:pPr>
              <w:pStyle w:val="TableTextEntries"/>
            </w:pPr>
            <w:r>
              <w:t>MTVEXIT Phase IV</w:t>
            </w:r>
          </w:p>
        </w:tc>
        <w:tc>
          <w:tcPr>
            <w:tcW w:w="2530" w:type="dxa"/>
          </w:tcPr>
          <w:p w:rsidR="001915E3" w:rsidRDefault="001915E3" w:rsidP="000D733F">
            <w:pPr>
              <w:pStyle w:val="TableTextEntries"/>
            </w:pPr>
            <w:r>
              <w:t>INK599</w:t>
            </w:r>
          </w:p>
        </w:tc>
        <w:tc>
          <w:tcPr>
            <w:tcW w:w="2612" w:type="dxa"/>
          </w:tcPr>
          <w:p w:rsidR="001915E3" w:rsidRDefault="001915E3" w:rsidP="000D733F">
            <w:pPr>
              <w:pStyle w:val="TableTextEntries"/>
            </w:pPr>
            <w:r>
              <w:t>Independent Completion Evaluation</w:t>
            </w:r>
          </w:p>
        </w:tc>
        <w:tc>
          <w:tcPr>
            <w:tcW w:w="2612" w:type="dxa"/>
          </w:tcPr>
          <w:p w:rsidR="001915E3" w:rsidRDefault="001915E3" w:rsidP="00AF782A">
            <w:pPr>
              <w:pStyle w:val="TableTextEntries"/>
            </w:pPr>
            <w:r>
              <w:t>To outline activity achievements, impact, sustainability and lessons learned</w:t>
            </w:r>
          </w:p>
        </w:tc>
        <w:tc>
          <w:tcPr>
            <w:tcW w:w="2617" w:type="dxa"/>
          </w:tcPr>
          <w:p w:rsidR="001915E3" w:rsidRDefault="001915E3" w:rsidP="000D733F">
            <w:pPr>
              <w:pStyle w:val="TableTextEntries"/>
            </w:pPr>
            <w:r>
              <w:t>September 2014 (TBC)</w:t>
            </w:r>
          </w:p>
        </w:tc>
      </w:tr>
      <w:tr w:rsidR="001915E3" w:rsidRPr="00071B95" w:rsidTr="000D733F">
        <w:tc>
          <w:tcPr>
            <w:tcW w:w="2601" w:type="dxa"/>
          </w:tcPr>
          <w:p w:rsidR="001915E3" w:rsidRDefault="001915E3" w:rsidP="000D733F">
            <w:pPr>
              <w:pStyle w:val="TableTextEntries"/>
            </w:pPr>
            <w:r>
              <w:t>HAARP</w:t>
            </w:r>
          </w:p>
        </w:tc>
        <w:tc>
          <w:tcPr>
            <w:tcW w:w="2530" w:type="dxa"/>
          </w:tcPr>
          <w:p w:rsidR="001915E3" w:rsidRDefault="001915E3" w:rsidP="000D733F">
            <w:pPr>
              <w:pStyle w:val="TableTextEntries"/>
            </w:pPr>
            <w:r>
              <w:t>ING221</w:t>
            </w:r>
          </w:p>
        </w:tc>
        <w:tc>
          <w:tcPr>
            <w:tcW w:w="2612" w:type="dxa"/>
          </w:tcPr>
          <w:p w:rsidR="001915E3" w:rsidRDefault="001915E3" w:rsidP="000D733F">
            <w:pPr>
              <w:pStyle w:val="TableTextEntries"/>
            </w:pPr>
            <w:r>
              <w:t>Independent Completion Evaluation</w:t>
            </w:r>
          </w:p>
        </w:tc>
        <w:tc>
          <w:tcPr>
            <w:tcW w:w="2612" w:type="dxa"/>
          </w:tcPr>
          <w:p w:rsidR="001915E3" w:rsidRDefault="001915E3" w:rsidP="000D733F">
            <w:pPr>
              <w:pStyle w:val="TableTextEntries"/>
            </w:pPr>
            <w:r>
              <w:t>To identify lessons learned and recommendations; to identify the successes and constraints of the project</w:t>
            </w:r>
          </w:p>
        </w:tc>
        <w:tc>
          <w:tcPr>
            <w:tcW w:w="2617" w:type="dxa"/>
          </w:tcPr>
          <w:p w:rsidR="001915E3" w:rsidRDefault="001915E3" w:rsidP="000D733F">
            <w:pPr>
              <w:pStyle w:val="TableTextEntries"/>
            </w:pPr>
            <w:r>
              <w:t>January 2015</w:t>
            </w:r>
          </w:p>
        </w:tc>
      </w:tr>
    </w:tbl>
    <w:p w:rsidR="000D733F" w:rsidRDefault="000D733F" w:rsidP="000D733F">
      <w:pPr>
        <w:rPr>
          <w:b/>
        </w:rPr>
        <w:sectPr w:rsidR="000D733F" w:rsidSect="000D733F">
          <w:footnotePr>
            <w:numRestart w:val="eachPage"/>
          </w:footnotePr>
          <w:type w:val="continuous"/>
          <w:pgSz w:w="16838" w:h="11906" w:orient="landscape" w:code="9"/>
          <w:pgMar w:top="1814" w:right="1814" w:bottom="851" w:left="851" w:header="709" w:footer="425" w:gutter="0"/>
          <w:cols w:space="708"/>
          <w:titlePg/>
          <w:docGrid w:linePitch="360"/>
        </w:sectPr>
      </w:pPr>
    </w:p>
    <w:p w:rsidR="000D733F" w:rsidRPr="009E38C1" w:rsidRDefault="000D733F" w:rsidP="000D733F">
      <w:pPr>
        <w:pStyle w:val="Heading2"/>
        <w:rPr>
          <w:sz w:val="28"/>
        </w:rPr>
      </w:pPr>
      <w:r w:rsidRPr="009E38C1">
        <w:rPr>
          <w:sz w:val="28"/>
        </w:rPr>
        <w:lastRenderedPageBreak/>
        <w:t>Annex D</w:t>
      </w:r>
    </w:p>
    <w:p w:rsidR="000D733F" w:rsidRPr="009E38C1" w:rsidRDefault="000D733F" w:rsidP="000D733F">
      <w:pPr>
        <w:pStyle w:val="Heading2"/>
        <w:rPr>
          <w:sz w:val="28"/>
        </w:rPr>
      </w:pPr>
      <w:r w:rsidRPr="009E38C1">
        <w:rPr>
          <w:sz w:val="28"/>
        </w:rPr>
        <w:t>Performance Benchmarks 2014 -15</w:t>
      </w:r>
    </w:p>
    <w:p w:rsidR="000D733F" w:rsidRDefault="000D733F" w:rsidP="000D733F">
      <w:pPr>
        <w:pStyle w:val="BodyText"/>
      </w:pPr>
    </w:p>
    <w:tbl>
      <w:tblPr>
        <w:tblStyle w:val="DFATTable"/>
        <w:tblW w:w="5000" w:type="pct"/>
        <w:tblLook w:val="04A0" w:firstRow="1" w:lastRow="0" w:firstColumn="1" w:lastColumn="0" w:noHBand="0" w:noVBand="1"/>
      </w:tblPr>
      <w:tblGrid>
        <w:gridCol w:w="3301"/>
        <w:gridCol w:w="3301"/>
        <w:gridCol w:w="7279"/>
      </w:tblGrid>
      <w:tr w:rsidR="000D733F" w:rsidRPr="004F7D80" w:rsidTr="000D733F">
        <w:trPr>
          <w:tblHeader/>
        </w:trPr>
        <w:tc>
          <w:tcPr>
            <w:tcW w:w="1189" w:type="pct"/>
            <w:tcMar>
              <w:top w:w="57" w:type="dxa"/>
              <w:bottom w:w="57" w:type="dxa"/>
            </w:tcMar>
          </w:tcPr>
          <w:p w:rsidR="000D733F" w:rsidRPr="002749B6" w:rsidRDefault="000D733F" w:rsidP="000D733F">
            <w:pPr>
              <w:pStyle w:val="TableHeading1"/>
            </w:pPr>
            <w:r w:rsidRPr="002749B6">
              <w:t>Program strategic objective</w:t>
            </w:r>
          </w:p>
        </w:tc>
        <w:tc>
          <w:tcPr>
            <w:tcW w:w="1189" w:type="pct"/>
          </w:tcPr>
          <w:p w:rsidR="000D733F" w:rsidRPr="002749B6" w:rsidRDefault="000D733F" w:rsidP="000D733F">
            <w:pPr>
              <w:pStyle w:val="TableHeading1"/>
            </w:pPr>
            <w:r w:rsidRPr="002749B6">
              <w:t xml:space="preserve">2014-15 benchmark </w:t>
            </w:r>
          </w:p>
        </w:tc>
        <w:tc>
          <w:tcPr>
            <w:tcW w:w="2622" w:type="pct"/>
          </w:tcPr>
          <w:p w:rsidR="000D733F" w:rsidRPr="002749B6" w:rsidRDefault="000D733F" w:rsidP="000D733F">
            <w:pPr>
              <w:pStyle w:val="TableHeading1"/>
            </w:pPr>
            <w:r w:rsidRPr="002749B6">
              <w:t>Rationale for selecting this performance benchmark</w:t>
            </w:r>
          </w:p>
        </w:tc>
      </w:tr>
      <w:tr w:rsidR="00F14534" w:rsidRPr="004F7D80" w:rsidTr="00F14534">
        <w:tc>
          <w:tcPr>
            <w:tcW w:w="2378" w:type="pct"/>
            <w:gridSpan w:val="2"/>
            <w:tcMar>
              <w:top w:w="57" w:type="dxa"/>
              <w:bottom w:w="57" w:type="dxa"/>
            </w:tcMar>
          </w:tcPr>
          <w:p w:rsidR="00F14534" w:rsidRPr="00F14534" w:rsidRDefault="00F14534" w:rsidP="00640544">
            <w:pPr>
              <w:pStyle w:val="TableTextEntries"/>
              <w:rPr>
                <w:b/>
              </w:rPr>
            </w:pPr>
            <w:r w:rsidRPr="00F14534">
              <w:rPr>
                <w:b/>
              </w:rPr>
              <w:t>Objective 1: Strengthened regional economic integration</w:t>
            </w:r>
          </w:p>
        </w:tc>
        <w:tc>
          <w:tcPr>
            <w:tcW w:w="2622" w:type="pct"/>
          </w:tcPr>
          <w:p w:rsidR="00F14534" w:rsidRPr="007D7261" w:rsidRDefault="00F14534" w:rsidP="00640544">
            <w:pPr>
              <w:rPr>
                <w:rFonts w:ascii="Franklin Gothic Book" w:eastAsia="Times New Roman" w:hAnsi="Franklin Gothic Book"/>
                <w:iCs/>
                <w:sz w:val="17"/>
                <w:szCs w:val="17"/>
                <w:lang w:eastAsia="en-US"/>
              </w:rPr>
            </w:pPr>
          </w:p>
        </w:tc>
      </w:tr>
      <w:tr w:rsidR="00CB1722" w:rsidRPr="004F7D80" w:rsidTr="00640544">
        <w:tc>
          <w:tcPr>
            <w:tcW w:w="1189" w:type="pct"/>
            <w:tcMar>
              <w:top w:w="57" w:type="dxa"/>
              <w:bottom w:w="57" w:type="dxa"/>
            </w:tcMar>
          </w:tcPr>
          <w:p w:rsidR="00CB1722" w:rsidRPr="00761E74" w:rsidRDefault="00CB1722" w:rsidP="00640544">
            <w:pPr>
              <w:pStyle w:val="TableTextEntries"/>
            </w:pPr>
          </w:p>
        </w:tc>
        <w:tc>
          <w:tcPr>
            <w:tcW w:w="1189" w:type="pct"/>
          </w:tcPr>
          <w:p w:rsidR="00475E7F" w:rsidRPr="00475E7F" w:rsidRDefault="00475E7F" w:rsidP="00475E7F">
            <w:pPr>
              <w:pStyle w:val="TableTextEntries"/>
            </w:pPr>
            <w:r w:rsidRPr="00475E7F">
              <w:t xml:space="preserve">Quality engagement with ASEAN in the development of </w:t>
            </w:r>
            <w:r w:rsidRPr="00475E7F">
              <w:rPr>
                <w:i/>
              </w:rPr>
              <w:t>Initiative for ASEAN Integration</w:t>
            </w:r>
            <w:r>
              <w:t xml:space="preserve"> </w:t>
            </w:r>
            <w:r w:rsidRPr="00475E7F">
              <w:t xml:space="preserve">work plan 3 for adoption </w:t>
            </w:r>
            <w:r>
              <w:t xml:space="preserve">by leaders </w:t>
            </w:r>
            <w:r w:rsidRPr="00475E7F">
              <w:t>(June 2015)</w:t>
            </w:r>
          </w:p>
          <w:p w:rsidR="00CB1722" w:rsidRDefault="00CB1722" w:rsidP="00B71A22">
            <w:pPr>
              <w:pStyle w:val="TableTextEntries"/>
            </w:pPr>
          </w:p>
        </w:tc>
        <w:tc>
          <w:tcPr>
            <w:tcW w:w="2622" w:type="pct"/>
          </w:tcPr>
          <w:p w:rsidR="00CB1722" w:rsidRPr="00346AEB" w:rsidRDefault="00CB1722" w:rsidP="00640544">
            <w:pPr>
              <w:rPr>
                <w:lang w:eastAsia="en-US"/>
              </w:rPr>
            </w:pPr>
            <w:r w:rsidRPr="007D7261">
              <w:rPr>
                <w:rFonts w:ascii="Franklin Gothic Book" w:eastAsia="Times New Roman" w:hAnsi="Franklin Gothic Book"/>
                <w:iCs/>
                <w:sz w:val="17"/>
                <w:szCs w:val="17"/>
                <w:lang w:eastAsia="en-US"/>
              </w:rPr>
              <w:t>Greater regional economic integration can support regional economic growth, business and investment links and trade. Failure to achieve inclusive economic growth, both between and within ASEAN nations, could put a break on progress towards further economic integration and lead to patchy implementation of an ASEAN Economic Community. Strengthening ASEC capability, supporting ASEAN efforts to narrow the gap between the ‘ASEAN 6’ and ‘CLMV’ countries, and ensuring that the benefits of economic integration flow equally to women and men are all relevant outcomes for AADCP II.</w:t>
            </w:r>
          </w:p>
        </w:tc>
      </w:tr>
      <w:tr w:rsidR="00F14534" w:rsidRPr="004F7D80" w:rsidTr="00F14534">
        <w:tc>
          <w:tcPr>
            <w:tcW w:w="2378" w:type="pct"/>
            <w:gridSpan w:val="2"/>
            <w:tcMar>
              <w:top w:w="57" w:type="dxa"/>
              <w:bottom w:w="57" w:type="dxa"/>
            </w:tcMar>
          </w:tcPr>
          <w:p w:rsidR="00F14534" w:rsidRPr="00F14534" w:rsidRDefault="00F14534" w:rsidP="00640544">
            <w:pPr>
              <w:pStyle w:val="TableTextEntries"/>
              <w:rPr>
                <w:b/>
              </w:rPr>
            </w:pPr>
            <w:r w:rsidRPr="00F14534">
              <w:rPr>
                <w:b/>
              </w:rPr>
              <w:t>Objective 2: Priority trans-boundary development challenges are addressed effectively</w:t>
            </w:r>
          </w:p>
        </w:tc>
        <w:tc>
          <w:tcPr>
            <w:tcW w:w="2622" w:type="pct"/>
          </w:tcPr>
          <w:p w:rsidR="00F14534" w:rsidRPr="00346AEB" w:rsidRDefault="00F14534" w:rsidP="000E1AE9">
            <w:pPr>
              <w:pStyle w:val="TableTextEntries"/>
            </w:pPr>
          </w:p>
        </w:tc>
      </w:tr>
      <w:tr w:rsidR="000E1AE9" w:rsidRPr="004F7D80" w:rsidTr="00640544">
        <w:tc>
          <w:tcPr>
            <w:tcW w:w="1189" w:type="pct"/>
            <w:tcMar>
              <w:top w:w="57" w:type="dxa"/>
              <w:bottom w:w="57" w:type="dxa"/>
            </w:tcMar>
          </w:tcPr>
          <w:p w:rsidR="000E1AE9" w:rsidRPr="002749B6" w:rsidRDefault="000E1AE9" w:rsidP="00640544">
            <w:pPr>
              <w:pStyle w:val="TableTextEntries"/>
            </w:pPr>
          </w:p>
        </w:tc>
        <w:tc>
          <w:tcPr>
            <w:tcW w:w="1189" w:type="pct"/>
          </w:tcPr>
          <w:p w:rsidR="000E1AE9" w:rsidRDefault="000E1AE9" w:rsidP="00640544">
            <w:pPr>
              <w:pStyle w:val="TableTextEntries"/>
            </w:pPr>
            <w:r>
              <w:t>At least 500 law enforcement officials trained</w:t>
            </w:r>
            <w:r w:rsidR="00AB7149">
              <w:t xml:space="preserve"> (data to be sex disaggregated).</w:t>
            </w:r>
          </w:p>
          <w:p w:rsidR="000E1AE9" w:rsidRDefault="000E1AE9" w:rsidP="00640544">
            <w:pPr>
              <w:pStyle w:val="TableTextEntries"/>
            </w:pPr>
          </w:p>
          <w:p w:rsidR="000E1AE9" w:rsidRDefault="000E1AE9" w:rsidP="00640544">
            <w:pPr>
              <w:pStyle w:val="TableTextEntries"/>
            </w:pPr>
          </w:p>
          <w:p w:rsidR="000E1AE9" w:rsidRDefault="000E1AE9" w:rsidP="00640544">
            <w:pPr>
              <w:pStyle w:val="TableTextEntries"/>
            </w:pPr>
          </w:p>
          <w:p w:rsidR="000E1AE9" w:rsidRPr="002749B6" w:rsidRDefault="000E1AE9" w:rsidP="00640544">
            <w:pPr>
              <w:pStyle w:val="TableTextEntries"/>
            </w:pPr>
          </w:p>
        </w:tc>
        <w:tc>
          <w:tcPr>
            <w:tcW w:w="2622" w:type="pct"/>
          </w:tcPr>
          <w:p w:rsidR="000E1AE9" w:rsidRPr="007D7261" w:rsidRDefault="000E1AE9" w:rsidP="000E1AE9">
            <w:pPr>
              <w:pStyle w:val="TableTextEntries"/>
            </w:pPr>
            <w:r w:rsidRPr="00346AEB">
              <w:t>The relevant end-of-program outcome for AAPTIP is: law enforcement agencies improve the effective and ethical investigation of trafficking in persons, and related cases. AAPTIP aims to build the capacity of law enforcement officials across seven partner countries in investigation techniques, including joint cross-border operations. A well-conducted investigation is the critical first step in identifying trafficking victims and collecting evidence that prosecutors will use to convict traffickers.</w:t>
            </w:r>
          </w:p>
        </w:tc>
      </w:tr>
      <w:tr w:rsidR="000E1AE9" w:rsidRPr="004F7D80" w:rsidTr="00640544">
        <w:tc>
          <w:tcPr>
            <w:tcW w:w="1189" w:type="pct"/>
            <w:tcMar>
              <w:top w:w="57" w:type="dxa"/>
              <w:bottom w:w="57" w:type="dxa"/>
            </w:tcMar>
          </w:tcPr>
          <w:p w:rsidR="000E1AE9" w:rsidRPr="002749B6" w:rsidRDefault="000E1AE9" w:rsidP="00640544">
            <w:pPr>
              <w:pStyle w:val="TableTextEntries"/>
            </w:pPr>
          </w:p>
        </w:tc>
        <w:tc>
          <w:tcPr>
            <w:tcW w:w="1189" w:type="pct"/>
          </w:tcPr>
          <w:p w:rsidR="000E1AE9" w:rsidRPr="002749B6" w:rsidRDefault="000E1AE9" w:rsidP="00640544">
            <w:pPr>
              <w:pStyle w:val="TableTextEntries"/>
            </w:pPr>
            <w:r>
              <w:t>Six</w:t>
            </w:r>
            <w:r w:rsidRPr="00FF0331">
              <w:rPr>
                <w:rFonts w:asciiTheme="minorHAnsi" w:hAnsiTheme="minorHAnsi"/>
                <w:iCs w:val="0"/>
                <w:sz w:val="22"/>
                <w:szCs w:val="22"/>
              </w:rPr>
              <w:t xml:space="preserve"> </w:t>
            </w:r>
            <w:r>
              <w:t xml:space="preserve">FMD-free countries (or </w:t>
            </w:r>
            <w:r w:rsidRPr="00FF0331">
              <w:t>areas in South East Asia countries</w:t>
            </w:r>
            <w:r>
              <w:t>) have FMD-free status (5 maintained, 1 new)</w:t>
            </w:r>
          </w:p>
        </w:tc>
        <w:tc>
          <w:tcPr>
            <w:tcW w:w="2622" w:type="pct"/>
          </w:tcPr>
          <w:p w:rsidR="000E1AE9" w:rsidRPr="002749B6" w:rsidRDefault="000E1AE9" w:rsidP="00640544">
            <w:pPr>
              <w:pStyle w:val="TableTextEntries"/>
            </w:pPr>
            <w:r w:rsidRPr="00761E74">
              <w:t>The relevant end-of-strategy outcome is: improved capacity to prevent, contain and respond to regional public health threats.</w:t>
            </w:r>
            <w:r w:rsidR="001F5D1E">
              <w:t xml:space="preserve"> </w:t>
            </w:r>
            <w:r w:rsidRPr="00761E74">
              <w:t xml:space="preserve">Our investments assist countries to effectively manage the prevention and control of Foot and Mouth Disease (and Rabies). Foot and Mouth Disease (FMD) in livestock is endemic in mainland South East Asia and is a national biosecurity threat to Australia’s economy and livestock industry. FMD stunts rural productivity and threatens food security in the Greater Mekong Subregion. It restricts trade and access to markets. Asia (excluding China and India) incurs an estimated USD479m per year in direct production losses and vaccination costs. Since 1997 Australia has been the region’s largest donor to FMD control. The STANDZ initiative </w:t>
            </w:r>
            <w:r w:rsidRPr="00761E74">
              <w:lastRenderedPageBreak/>
              <w:t>has achieved notable outcomes since it began in 2011.</w:t>
            </w:r>
          </w:p>
        </w:tc>
      </w:tr>
      <w:tr w:rsidR="00CB1722" w:rsidRPr="004F7D80" w:rsidTr="000D733F">
        <w:tc>
          <w:tcPr>
            <w:tcW w:w="5000" w:type="pct"/>
            <w:gridSpan w:val="3"/>
            <w:tcMar>
              <w:top w:w="57" w:type="dxa"/>
              <w:bottom w:w="57" w:type="dxa"/>
            </w:tcMar>
          </w:tcPr>
          <w:p w:rsidR="00CB1722" w:rsidRPr="002749B6" w:rsidRDefault="00F14534" w:rsidP="000D733F">
            <w:pPr>
              <w:pStyle w:val="TableHeading2"/>
            </w:pPr>
            <w:r>
              <w:lastRenderedPageBreak/>
              <w:t>Objective 3: Improved capacity of regional partners to address agreed priority development challenges</w:t>
            </w:r>
          </w:p>
        </w:tc>
      </w:tr>
      <w:tr w:rsidR="00CB1722" w:rsidRPr="004F7D80" w:rsidTr="00640544">
        <w:tc>
          <w:tcPr>
            <w:tcW w:w="1189" w:type="pct"/>
            <w:tcMar>
              <w:top w:w="57" w:type="dxa"/>
              <w:bottom w:w="57" w:type="dxa"/>
            </w:tcMar>
          </w:tcPr>
          <w:p w:rsidR="00CB1722" w:rsidRPr="002749B6" w:rsidRDefault="00CB1722" w:rsidP="00640544">
            <w:pPr>
              <w:pStyle w:val="TableTextEntries"/>
            </w:pPr>
          </w:p>
        </w:tc>
        <w:tc>
          <w:tcPr>
            <w:tcW w:w="1189" w:type="pct"/>
          </w:tcPr>
          <w:p w:rsidR="00CB1722" w:rsidRPr="002749B6" w:rsidRDefault="00CB1722" w:rsidP="00640544">
            <w:pPr>
              <w:pStyle w:val="TableTextEntries"/>
            </w:pPr>
            <w:r>
              <w:t xml:space="preserve">The momentum of our regional programs is maintained as a result of quality and sustained partnerships and effective policy dialogue </w:t>
            </w:r>
          </w:p>
        </w:tc>
        <w:tc>
          <w:tcPr>
            <w:tcW w:w="2622" w:type="pct"/>
          </w:tcPr>
          <w:p w:rsidR="00CB1722" w:rsidRPr="00FF0331" w:rsidRDefault="00CB1722" w:rsidP="00640544">
            <w:pPr>
              <w:pStyle w:val="TableTextEntries"/>
            </w:pPr>
            <w:r>
              <w:t>Australia’s relationship with our counterparts and the ongoing commitment and political will of partners is critical to the successful delivery of the regional aid program.</w:t>
            </w:r>
            <w:r w:rsidR="001F5D1E">
              <w:t xml:space="preserve"> </w:t>
            </w:r>
            <w:r>
              <w:t xml:space="preserve">Stronger regional organisations which can support effective regional cooperation and policy dialogue </w:t>
            </w:r>
            <w:r w:rsidR="0023686F">
              <w:t>are</w:t>
            </w:r>
            <w:r>
              <w:t xml:space="preserve"> a key outcome for the program.</w:t>
            </w:r>
            <w:r w:rsidR="001F5D1E">
              <w:t xml:space="preserve"> </w:t>
            </w:r>
            <w:r w:rsidR="00AF782A">
              <w:t xml:space="preserve">Some measures of momentum include level of funding and number of activities in the pipeline. </w:t>
            </w:r>
            <w:r>
              <w:t xml:space="preserve">Qualitative measures are </w:t>
            </w:r>
            <w:r w:rsidR="00AF782A">
              <w:t xml:space="preserve">also </w:t>
            </w:r>
            <w:r>
              <w:t xml:space="preserve">appropriate for assessing progress on this benchmark. Evaluation questions may include: </w:t>
            </w:r>
            <w:r>
              <w:br/>
              <w:t>W</w:t>
            </w:r>
            <w:r w:rsidRPr="00FF0331">
              <w:t>hat evidence is there that continuing relationships be</w:t>
            </w:r>
            <w:r>
              <w:t>tween Australia</w:t>
            </w:r>
            <w:r w:rsidRPr="00FF0331">
              <w:t xml:space="preserve"> and counterparts foster conditions conducive to progressing economic integration or trade investment? </w:t>
            </w:r>
          </w:p>
          <w:p w:rsidR="00CB1722" w:rsidRPr="002749B6" w:rsidRDefault="00CB1722" w:rsidP="00640544">
            <w:pPr>
              <w:pStyle w:val="TableTextEntries"/>
            </w:pPr>
            <w:r w:rsidRPr="00FF0331">
              <w:t>Does support for discrete activities effectively leverage ongoing Australian involvement/influence</w:t>
            </w:r>
            <w:r>
              <w:t>, for example,</w:t>
            </w:r>
            <w:r w:rsidRPr="00FF0331">
              <w:t xml:space="preserve"> within A</w:t>
            </w:r>
            <w:r>
              <w:t>SEAN</w:t>
            </w:r>
            <w:r w:rsidRPr="00FF0331">
              <w:t>?</w:t>
            </w:r>
          </w:p>
        </w:tc>
      </w:tr>
      <w:tr w:rsidR="000D733F" w:rsidRPr="004F7D80" w:rsidTr="000D733F">
        <w:tc>
          <w:tcPr>
            <w:tcW w:w="1189" w:type="pct"/>
            <w:tcMar>
              <w:top w:w="57" w:type="dxa"/>
              <w:bottom w:w="57" w:type="dxa"/>
            </w:tcMar>
          </w:tcPr>
          <w:p w:rsidR="000D733F" w:rsidRPr="002749B6" w:rsidRDefault="000D733F" w:rsidP="000D733F">
            <w:pPr>
              <w:pStyle w:val="TableTextEntries"/>
            </w:pPr>
          </w:p>
        </w:tc>
        <w:tc>
          <w:tcPr>
            <w:tcW w:w="1189" w:type="pct"/>
          </w:tcPr>
          <w:p w:rsidR="000D733F" w:rsidRPr="002749B6" w:rsidRDefault="0012465C" w:rsidP="000D733F">
            <w:pPr>
              <w:pStyle w:val="TableTextEntries"/>
            </w:pPr>
            <w:r>
              <w:t xml:space="preserve">Training delivered </w:t>
            </w:r>
            <w:r w:rsidR="001F3EF6">
              <w:t>t</w:t>
            </w:r>
            <w:r>
              <w:t>o</w:t>
            </w:r>
            <w:r w:rsidR="001F3EF6">
              <w:t xml:space="preserve"> least 4200 p</w:t>
            </w:r>
            <w:r>
              <w:t>ublic servants charged with delivering the targets set in the ASEAN Community (</w:t>
            </w:r>
            <w:r w:rsidR="001F3EF6">
              <w:t>across all 3 objectives)</w:t>
            </w:r>
            <w:r w:rsidR="00AB7149">
              <w:t>. Data to be sex disaggregated.</w:t>
            </w:r>
            <w:r w:rsidR="001F5D1E">
              <w:t xml:space="preserve"> </w:t>
            </w:r>
          </w:p>
        </w:tc>
        <w:tc>
          <w:tcPr>
            <w:tcW w:w="2622" w:type="pct"/>
          </w:tcPr>
          <w:p w:rsidR="000D733F" w:rsidRPr="002749B6" w:rsidRDefault="001F3EF6" w:rsidP="000D733F">
            <w:pPr>
              <w:pStyle w:val="TableTextEntries"/>
            </w:pPr>
            <w:r>
              <w:t xml:space="preserve">Training activities are an important element across many investments under the strategy. Training </w:t>
            </w:r>
            <w:r w:rsidRPr="00B735A5">
              <w:t xml:space="preserve">refers to knowledge transfer that builds the capacity of </w:t>
            </w:r>
            <w:r>
              <w:t xml:space="preserve">government </w:t>
            </w:r>
            <w:r w:rsidRPr="00B735A5">
              <w:t xml:space="preserve">personnel. This includes on-the-job training, workshops, mentoring and teaching people how to train others (train-the-trainer). </w:t>
            </w:r>
            <w:r>
              <w:t>Monitoring and evaluation activities gather information about changes in capacity, the application of skills and knowledge gained from training activities, and the contribution of training to improvements in service delivery by government agencies and officials. For example: provision of training to customs and border officials in Cambodia, Laos and Vietnam in regulatory and legal frameworks for cross border transport will improve their understanding and increase the implementation and compliance with these.</w:t>
            </w:r>
            <w:r w:rsidR="001F5D1E">
              <w:t xml:space="preserve"> </w:t>
            </w:r>
            <w:r>
              <w:t>Evaluation questions will look for evidence that this implementation has led to increased coordination of border management, transit procedures and implementation of traffic rights and that these have led to improvements in the flow of transport and trade in the GMS corridors.</w:t>
            </w:r>
          </w:p>
        </w:tc>
      </w:tr>
    </w:tbl>
    <w:p w:rsidR="000D733F" w:rsidRDefault="000D733F" w:rsidP="000D733F">
      <w:r>
        <w:rPr>
          <w:iCs/>
        </w:rPr>
        <w:br w:type="page"/>
      </w:r>
    </w:p>
    <w:tbl>
      <w:tblPr>
        <w:tblStyle w:val="DFATTable"/>
        <w:tblW w:w="5000" w:type="pct"/>
        <w:tblLook w:val="04A0" w:firstRow="1" w:lastRow="0" w:firstColumn="1" w:lastColumn="0" w:noHBand="0" w:noVBand="1"/>
      </w:tblPr>
      <w:tblGrid>
        <w:gridCol w:w="3301"/>
        <w:gridCol w:w="3301"/>
        <w:gridCol w:w="7279"/>
      </w:tblGrid>
      <w:tr w:rsidR="00761E74" w:rsidRPr="004F7D80" w:rsidTr="000D733F">
        <w:tc>
          <w:tcPr>
            <w:tcW w:w="5000" w:type="pct"/>
            <w:gridSpan w:val="3"/>
            <w:tcMar>
              <w:top w:w="57" w:type="dxa"/>
              <w:bottom w:w="57" w:type="dxa"/>
            </w:tcMar>
          </w:tcPr>
          <w:p w:rsidR="00761E74" w:rsidRPr="002749B6" w:rsidRDefault="00761E74" w:rsidP="004450BD">
            <w:pPr>
              <w:pStyle w:val="TableHeading2"/>
            </w:pPr>
            <w:r w:rsidRPr="002749B6">
              <w:lastRenderedPageBreak/>
              <w:t>Program Management/ Operations</w:t>
            </w:r>
          </w:p>
        </w:tc>
      </w:tr>
      <w:tr w:rsidR="00F14534" w:rsidRPr="004F7D80" w:rsidTr="00C92E32">
        <w:trPr>
          <w:trHeight w:val="495"/>
        </w:trPr>
        <w:tc>
          <w:tcPr>
            <w:tcW w:w="1189" w:type="pct"/>
            <w:tcMar>
              <w:top w:w="57" w:type="dxa"/>
              <w:bottom w:w="57" w:type="dxa"/>
            </w:tcMar>
          </w:tcPr>
          <w:p w:rsidR="00F14534" w:rsidRPr="00F14534" w:rsidRDefault="00F14534" w:rsidP="003E0A3E">
            <w:pPr>
              <w:pStyle w:val="TableTextEntries"/>
              <w:rPr>
                <w:b/>
              </w:rPr>
            </w:pPr>
            <w:r w:rsidRPr="00F14534">
              <w:rPr>
                <w:b/>
              </w:rPr>
              <w:t>All objectives</w:t>
            </w:r>
          </w:p>
        </w:tc>
        <w:tc>
          <w:tcPr>
            <w:tcW w:w="1189" w:type="pct"/>
          </w:tcPr>
          <w:p w:rsidR="00F14534" w:rsidRPr="00C8493B" w:rsidRDefault="00F14534" w:rsidP="00C7452F">
            <w:pPr>
              <w:pStyle w:val="TableTextEntries"/>
              <w:spacing w:before="0"/>
            </w:pPr>
          </w:p>
        </w:tc>
        <w:tc>
          <w:tcPr>
            <w:tcW w:w="2622" w:type="pct"/>
          </w:tcPr>
          <w:p w:rsidR="00F14534" w:rsidRDefault="00F14534" w:rsidP="00C92E32">
            <w:pPr>
              <w:pStyle w:val="TableTextEntries"/>
              <w:spacing w:before="0"/>
            </w:pPr>
          </w:p>
        </w:tc>
      </w:tr>
      <w:tr w:rsidR="00761E74" w:rsidRPr="004F7D80" w:rsidTr="00C92E32">
        <w:trPr>
          <w:trHeight w:val="495"/>
        </w:trPr>
        <w:tc>
          <w:tcPr>
            <w:tcW w:w="1189" w:type="pct"/>
            <w:tcMar>
              <w:top w:w="57" w:type="dxa"/>
              <w:bottom w:w="57" w:type="dxa"/>
            </w:tcMar>
          </w:tcPr>
          <w:p w:rsidR="00761E74" w:rsidRPr="002749B6" w:rsidRDefault="00761E74" w:rsidP="003E0A3E">
            <w:pPr>
              <w:pStyle w:val="TableTextEntries"/>
            </w:pPr>
            <w:r>
              <w:t>Improve the quality of attention to achieving gender equality outcomes</w:t>
            </w:r>
          </w:p>
        </w:tc>
        <w:tc>
          <w:tcPr>
            <w:tcW w:w="1189" w:type="pct"/>
          </w:tcPr>
          <w:p w:rsidR="00761E74" w:rsidRPr="002749B6" w:rsidRDefault="00761E74" w:rsidP="00C7452F">
            <w:pPr>
              <w:pStyle w:val="TableTextEntries"/>
              <w:spacing w:before="0"/>
              <w:rPr>
                <w:color w:val="000000" w:themeColor="text1" w:themeShade="BF"/>
              </w:rPr>
            </w:pPr>
            <w:r w:rsidRPr="00C8493B">
              <w:t xml:space="preserve">Conduct study by end </w:t>
            </w:r>
            <w:r>
              <w:t xml:space="preserve">of </w:t>
            </w:r>
            <w:r w:rsidRPr="00C8493B">
              <w:t xml:space="preserve">2014 on how Australian economic development programs such as AADCP II </w:t>
            </w:r>
            <w:r>
              <w:t>can better address gender equali</w:t>
            </w:r>
            <w:r w:rsidRPr="00C8493B">
              <w:t>ty</w:t>
            </w:r>
            <w:r w:rsidR="001F5D1E">
              <w:t xml:space="preserve"> </w:t>
            </w:r>
          </w:p>
        </w:tc>
        <w:tc>
          <w:tcPr>
            <w:tcW w:w="2622" w:type="pct"/>
          </w:tcPr>
          <w:p w:rsidR="00761E74" w:rsidRPr="002749B6" w:rsidRDefault="00761E74" w:rsidP="00C92E32">
            <w:pPr>
              <w:pStyle w:val="TableTextEntries"/>
              <w:spacing w:before="0"/>
            </w:pPr>
            <w:r>
              <w:t>Women are critical to the achievement of sustainable economic development in the region.</w:t>
            </w:r>
            <w:r w:rsidRPr="00C8493B">
              <w:t xml:space="preserve"> This study will complement an ASEAN conducted study (which is planned to be funded by AADCP II) on how ASEAN Economic Integration (the AEC) can better address gender equ</w:t>
            </w:r>
            <w:r w:rsidR="001F1C4D">
              <w:t>al</w:t>
            </w:r>
            <w:r w:rsidRPr="00C8493B">
              <w:t>ity.</w:t>
            </w:r>
            <w:r w:rsidR="001F5D1E">
              <w:t xml:space="preserve"> </w:t>
            </w:r>
            <w:r>
              <w:t>Gender mainstreaming has not been a policy priority in ASEAN and annual reviews of AADCPII highlight the difficulties in changing how gender is treated in the program.</w:t>
            </w:r>
            <w:r w:rsidR="001F5D1E">
              <w:t xml:space="preserve"> </w:t>
            </w:r>
            <w:r>
              <w:t xml:space="preserve">Since 2001 APEC leaders and ministers have recognised gender as a cross-cutting theme in APEC and </w:t>
            </w:r>
            <w:r w:rsidR="0023686F">
              <w:t>have</w:t>
            </w:r>
            <w:r>
              <w:t xml:space="preserve"> established the APEC Policy Partnership on Women and the Economy to integrate gender into APEC activities—however there has not been significant progress to date. APEC has a stronger institutional and policy commitment to gender but can benefit from the ASEAN study, and DFAT will ensure relevant findings and recommendations are shared and used throughout our economic development programs.</w:t>
            </w:r>
          </w:p>
        </w:tc>
      </w:tr>
      <w:bookmarkEnd w:id="2"/>
    </w:tbl>
    <w:p w:rsidR="000D733F" w:rsidRDefault="000D733F">
      <w:pPr>
        <w:rPr>
          <w:szCs w:val="20"/>
        </w:rPr>
      </w:pPr>
    </w:p>
    <w:p w:rsidR="000D733F" w:rsidRPr="00D95DDC" w:rsidRDefault="000D733F" w:rsidP="009E79EC"/>
    <w:sectPr w:rsidR="000D733F" w:rsidRPr="00D95DDC" w:rsidSect="001C745A">
      <w:pgSz w:w="16840" w:h="11907" w:orient="landscape" w:code="9"/>
      <w:pgMar w:top="1871" w:right="2268" w:bottom="1871" w:left="907"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D1E" w:rsidRDefault="001F5D1E" w:rsidP="0050529F">
      <w:r>
        <w:separator/>
      </w:r>
    </w:p>
    <w:p w:rsidR="001F5D1E" w:rsidRDefault="001F5D1E"/>
    <w:p w:rsidR="001F5D1E" w:rsidRDefault="001F5D1E"/>
    <w:p w:rsidR="001F5D1E" w:rsidRDefault="001F5D1E"/>
    <w:p w:rsidR="001F5D1E" w:rsidRDefault="001F5D1E"/>
    <w:p w:rsidR="001F5D1E" w:rsidRDefault="001F5D1E"/>
    <w:p w:rsidR="001F5D1E" w:rsidRDefault="001F5D1E"/>
  </w:endnote>
  <w:endnote w:type="continuationSeparator" w:id="0">
    <w:p w:rsidR="001F5D1E" w:rsidRDefault="001F5D1E" w:rsidP="0050529F">
      <w:r>
        <w:continuationSeparator/>
      </w:r>
    </w:p>
    <w:p w:rsidR="001F5D1E" w:rsidRDefault="001F5D1E"/>
    <w:p w:rsidR="001F5D1E" w:rsidRDefault="001F5D1E"/>
    <w:p w:rsidR="001F5D1E" w:rsidRDefault="001F5D1E"/>
    <w:p w:rsidR="001F5D1E" w:rsidRDefault="001F5D1E"/>
    <w:p w:rsidR="001F5D1E" w:rsidRDefault="001F5D1E"/>
    <w:p w:rsidR="001F5D1E" w:rsidRDefault="001F5D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1E" w:rsidRPr="0091071F" w:rsidRDefault="001F5D1E" w:rsidP="000D733F">
    <w:pPr>
      <w:pStyle w:val="Footer"/>
    </w:pPr>
    <w:r w:rsidRPr="0091071F">
      <w:fldChar w:fldCharType="begin"/>
    </w:r>
    <w:r w:rsidRPr="0091071F">
      <w:instrText xml:space="preserve"> PAGE </w:instrText>
    </w:r>
    <w:r w:rsidRPr="0091071F">
      <w:fldChar w:fldCharType="separate"/>
    </w:r>
    <w:r>
      <w:rPr>
        <w:noProof/>
      </w:rPr>
      <w:t>11</w:t>
    </w:r>
    <w:r w:rsidRPr="0091071F">
      <w:fldChar w:fldCharType="end"/>
    </w:r>
    <w:r w:rsidRPr="0091071F">
      <w:tab/>
    </w:r>
    <w:r>
      <w:fldChar w:fldCharType="begin"/>
    </w:r>
    <w:r>
      <w:instrText xml:space="preserve"> STYLEREF  Title </w:instrText>
    </w:r>
    <w:r>
      <w:rPr>
        <w:noProof/>
      </w:rPr>
      <w:fldChar w:fldCharType="end"/>
    </w:r>
    <w:r>
      <w:t xml:space="preserve"> &lt;&lt;Name of Country Program&gt;&gt;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1E" w:rsidRPr="0091071F" w:rsidRDefault="001F5D1E" w:rsidP="000D733F">
    <w:pPr>
      <w:pStyle w:val="Footer"/>
    </w:pPr>
    <w:r>
      <w:tab/>
    </w:r>
    <w:r>
      <w:tab/>
    </w:r>
    <w:r w:rsidR="008064B8">
      <w:fldChar w:fldCharType="begin"/>
    </w:r>
    <w:r w:rsidR="008064B8">
      <w:instrText xml:space="preserve"> STYLEREF Title \* MERGEFORMAT </w:instrText>
    </w:r>
    <w:r w:rsidR="008064B8">
      <w:rPr>
        <w:noProof/>
      </w:rPr>
      <w:fldChar w:fldCharType="end"/>
    </w:r>
    <w:r w:rsidRPr="0091071F">
      <w:tab/>
    </w:r>
    <w:r w:rsidRPr="0091071F">
      <w:rPr>
        <w:rStyle w:val="PageNumber"/>
        <w:color w:val="3E3935"/>
      </w:rPr>
      <w:tab/>
    </w:r>
    <w:r w:rsidRPr="0091071F">
      <w:rPr>
        <w:rStyle w:val="PageNumber"/>
        <w:color w:val="3E3935"/>
      </w:rPr>
      <w:fldChar w:fldCharType="begin"/>
    </w:r>
    <w:r w:rsidRPr="0091071F">
      <w:rPr>
        <w:rStyle w:val="PageNumber"/>
        <w:color w:val="3E3935"/>
      </w:rPr>
      <w:instrText xml:space="preserve"> PAGE </w:instrText>
    </w:r>
    <w:r w:rsidRPr="0091071F">
      <w:rPr>
        <w:rStyle w:val="PageNumber"/>
        <w:color w:val="3E3935"/>
      </w:rPr>
      <w:fldChar w:fldCharType="separate"/>
    </w:r>
    <w:r w:rsidR="00AD3015">
      <w:rPr>
        <w:rStyle w:val="PageNumber"/>
        <w:noProof/>
        <w:color w:val="3E3935"/>
      </w:rPr>
      <w:t>1</w:t>
    </w:r>
    <w:r w:rsidRPr="0091071F">
      <w:rPr>
        <w:rStyle w:val="PageNumber"/>
        <w:color w:val="3E393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15" w:rsidRDefault="00AD301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1E" w:rsidRPr="004C4A3E" w:rsidRDefault="001F5D1E"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0704" behindDoc="1" locked="1" layoutInCell="1" allowOverlap="1" wp14:anchorId="397ED69C" wp14:editId="51FBE062">
              <wp:simplePos x="0" y="0"/>
              <wp:positionH relativeFrom="page">
                <wp:posOffset>0</wp:posOffset>
              </wp:positionH>
              <wp:positionV relativeFrom="page">
                <wp:posOffset>8533130</wp:posOffset>
              </wp:positionV>
              <wp:extent cx="7380000" cy="2181600"/>
              <wp:effectExtent l="0" t="0" r="0" b="9525"/>
              <wp:wrapNone/>
              <wp:docPr id="20"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AusAID web address graphic" style="position:absolute;margin-left:0;margin-top:671.9pt;width:581.1pt;height:171.8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3jq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kCPJC3k6BOwRuRRMOTmKDMVELY+mfX9FvXsgAilGuhG&#10;A22Ow74zS3D12H3UjgXTPajqs0FSlQ14YmutVd8wQgF54vZPXh1whoGj6NC/VxQQkJNVns7nWrfO&#10;IRCFnn3WXs5ZY88WVTCZzXIMvwhVsDZN8mQBhruDLMfjnTb2N6Za5AarSEOA3j15ejA2bB23uNsO&#10;gnd7LgSiHWQQPGtl/+K28flwE+OmISNAz7/rNuR6q6pTy6QN4tVMEAuVYxreGbhmydoDg1zoe5pA&#10;PFA4FtgA/hkL8oKYAbG73kXvBfZtmq8xLqabuJzjMk5xtovXRZrFGd5lKU7zpEzKvx3kJF2eDIPM&#10;ELHt+Kj2JH2D/ociHeou6NTrPRAHQDzXIzSg3fHnMBpdOS3BPhhbzWzVuGEN1A7zsPm8MBx0xLtd&#10;QrqvVM4ON4UZ5qs65M3T8IaQIpmmeDMt4v0iz+J0n87jIsN5jJNiUyxwWqTb/UhIwyll8oFL9vN8&#10;oB7UXeB50IdRgtMxGKOPh1Jo9ESgD6XrbLfZDBJ9ta3lFrqh4O0q8poe+pOrnJ2knkdLuAjjiUvo&#10;Bf+YBMfaRRzr/Rxn6SyPs2w+i9PZDsebfF/G6zJZLABGudklr7nYeX7Nz9PhgYzJcoY6QXSPDe3R&#10;QZz0JwJCn+WJq1zKXVlO52kwoJ7c0Bc1EUd4WCqrf1yFr4jNsfuHyhZdQwLdsznGoek4Rfo8eK7O&#10;cAJzF6RXxA5kXLgFkZ6FPrat0P4Oir5AC4NW4VsGvIkwaJT+GqEe3hco4y8nolmExL2ENlgkaQqR&#10;22tDXxuHa4PIClytIhuhMCwtWHD+1Gl+bOCmxIct1RpaZ819U3P4AirA7wx4Q3wkQ+N2j9S17Xdd&#10;XuW77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g67eO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sidR="008064B8">
      <w:rPr>
        <w:rFonts w:ascii="Franklin Gothic Medium" w:hAnsi="Franklin Gothic Medium"/>
        <w:noProof/>
        <w:color w:val="5A9A98"/>
        <w:sz w:val="14"/>
        <w:szCs w:val="14"/>
      </w:rPr>
      <w:t>Aid Program Performance Report 2013-14</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11</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19680" behindDoc="1" locked="0" layoutInCell="1" allowOverlap="1" wp14:anchorId="7F4F31EF" wp14:editId="1C3B8CDF">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AusAID web address graphic" style="position:absolute;margin-left:0;margin-top:669.2pt;width:581.1pt;height:17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18656" behindDoc="1" locked="0" layoutInCell="1" allowOverlap="1" wp14:anchorId="339801D5" wp14:editId="698B1268">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AusAID web address graphic" style="position:absolute;margin-left:0;margin-top:669.2pt;width:581.1pt;height:17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D1E" w:rsidRDefault="001F5D1E" w:rsidP="0050529F">
      <w:r>
        <w:separator/>
      </w:r>
    </w:p>
  </w:footnote>
  <w:footnote w:type="continuationSeparator" w:id="0">
    <w:p w:rsidR="001F5D1E" w:rsidRDefault="001F5D1E" w:rsidP="0050529F">
      <w:r>
        <w:continuationSeparator/>
      </w:r>
    </w:p>
    <w:p w:rsidR="001F5D1E" w:rsidRDefault="001F5D1E"/>
    <w:p w:rsidR="001F5D1E" w:rsidRDefault="001F5D1E"/>
    <w:p w:rsidR="001F5D1E" w:rsidRDefault="001F5D1E"/>
    <w:p w:rsidR="001F5D1E" w:rsidRDefault="001F5D1E"/>
    <w:p w:rsidR="001F5D1E" w:rsidRDefault="001F5D1E"/>
    <w:p w:rsidR="001F5D1E" w:rsidRDefault="001F5D1E"/>
  </w:footnote>
  <w:footnote w:id="1">
    <w:p w:rsidR="001F5D1E" w:rsidRPr="00D20CDD" w:rsidRDefault="001F5D1E">
      <w:pPr>
        <w:pStyle w:val="FootnoteText"/>
        <w:rPr>
          <w:i/>
        </w:rPr>
      </w:pPr>
      <w:r>
        <w:rPr>
          <w:rStyle w:val="FootnoteReference"/>
        </w:rPr>
        <w:footnoteRef/>
      </w:r>
      <w:r>
        <w:t xml:space="preserve"> </w:t>
      </w:r>
      <w:r w:rsidRPr="00D20CDD">
        <w:rPr>
          <w:i/>
        </w:rPr>
        <w:t>Australian aid: promoting prosperity, reducing poverty, enhancing stability</w:t>
      </w:r>
      <w:r>
        <w:rPr>
          <w:i/>
        </w:rPr>
        <w:t xml:space="preserve"> </w:t>
      </w:r>
      <w:r w:rsidRPr="00D20CDD">
        <w:t>http://aid.dfat.gov.au/aidpolicy/Pages/home.aspx</w:t>
      </w:r>
    </w:p>
  </w:footnote>
  <w:footnote w:id="2">
    <w:p w:rsidR="001F5D1E" w:rsidRDefault="001F5D1E">
      <w:pPr>
        <w:pStyle w:val="FootnoteText"/>
      </w:pPr>
      <w:r>
        <w:rPr>
          <w:rStyle w:val="FootnoteReference"/>
        </w:rPr>
        <w:footnoteRef/>
      </w:r>
      <w:r>
        <w:t xml:space="preserve"> </w:t>
      </w:r>
      <w:r w:rsidR="0023686F">
        <w:t xml:space="preserve">Average real GDP growth rate (unweighted) 2009 to 2013 was 5.5% for ASEAN countries (plus Timor-Leste, and excluding Singapore). </w:t>
      </w:r>
      <w:r w:rsidRPr="00C309DF">
        <w:t>The unweighted average is the average of the growth rates over 5 years across the group of countries, and as such, it does not reflect the relativities between the size of each country’s economy. Source: International Monetary Fund, World Economic Outlook Database, April 2014</w:t>
      </w:r>
    </w:p>
  </w:footnote>
  <w:footnote w:id="3">
    <w:p w:rsidR="001F5D1E" w:rsidRDefault="001F5D1E">
      <w:pPr>
        <w:pStyle w:val="FootnoteText"/>
      </w:pPr>
      <w:r>
        <w:rPr>
          <w:rStyle w:val="FootnoteReference"/>
        </w:rPr>
        <w:footnoteRef/>
      </w:r>
      <w:r>
        <w:t xml:space="preserve"> </w:t>
      </w:r>
      <w:hyperlink r:id="rId1" w:history="1">
        <w:r w:rsidRPr="00C8550F">
          <w:rPr>
            <w:rStyle w:val="Hyperlink"/>
            <w:sz w:val="16"/>
          </w:rPr>
          <w:t>http://povertydata.worldbank.org/poverty/region/EAP</w:t>
        </w:r>
      </w:hyperlink>
      <w:r>
        <w:t>. 2010 figures are the most recent (and include the Pacific).</w:t>
      </w:r>
    </w:p>
  </w:footnote>
  <w:footnote w:id="4">
    <w:p w:rsidR="001F5D1E" w:rsidRDefault="001F5D1E" w:rsidP="00550F52">
      <w:pPr>
        <w:pStyle w:val="FootnoteText"/>
      </w:pPr>
      <w:r>
        <w:rPr>
          <w:rStyle w:val="FootnoteReference"/>
        </w:rPr>
        <w:footnoteRef/>
      </w:r>
      <w:r>
        <w:t xml:space="preserve"> </w:t>
      </w:r>
      <w:r w:rsidR="0023686F" w:rsidRPr="002028C1">
        <w:t>Vietnam, Laos, Cambodia, Burma, Mongolia, Philippines, Timor</w:t>
      </w:r>
      <w:r w:rsidR="0023686F">
        <w:t>-</w:t>
      </w:r>
      <w:r w:rsidR="0023686F" w:rsidRPr="002028C1">
        <w:t>Leste and Indonesia</w:t>
      </w:r>
    </w:p>
  </w:footnote>
  <w:footnote w:id="5">
    <w:p w:rsidR="001F5D1E" w:rsidRDefault="001F5D1E" w:rsidP="00F8440A">
      <w:pPr>
        <w:pStyle w:val="FootnoteText"/>
      </w:pPr>
      <w:r>
        <w:rPr>
          <w:rStyle w:val="FootnoteReference"/>
        </w:rPr>
        <w:footnoteRef/>
      </w:r>
      <w:r>
        <w:t xml:space="preserve"> ASEC receives technical assistance from the World Bank, funded by AADCPII to produce this report.</w:t>
      </w:r>
    </w:p>
  </w:footnote>
  <w:footnote w:id="6">
    <w:p w:rsidR="001F5D1E" w:rsidRDefault="001F5D1E" w:rsidP="00F8440A">
      <w:pPr>
        <w:pStyle w:val="FootnoteText"/>
      </w:pPr>
      <w:r>
        <w:rPr>
          <w:rStyle w:val="FootnoteReference"/>
        </w:rPr>
        <w:footnoteRef/>
      </w:r>
      <w:r>
        <w:t xml:space="preserve"> AIMR, page vi</w:t>
      </w:r>
    </w:p>
  </w:footnote>
  <w:footnote w:id="7">
    <w:p w:rsidR="001F5D1E" w:rsidRDefault="001F5D1E">
      <w:pPr>
        <w:pStyle w:val="FootnoteText"/>
      </w:pPr>
      <w:r>
        <w:rPr>
          <w:rStyle w:val="FootnoteReference"/>
        </w:rPr>
        <w:footnoteRef/>
      </w:r>
      <w:r>
        <w:t xml:space="preserve"> </w:t>
      </w:r>
      <w:r w:rsidRPr="002028C1">
        <w:t>These include difficulties in moving goods, high transport costs, divergent processes and requirements for customs, migration, visas, quarantine, security, and other non-tariff trade measures.</w:t>
      </w:r>
    </w:p>
  </w:footnote>
  <w:footnote w:id="8">
    <w:p w:rsidR="001F5D1E" w:rsidRDefault="001F5D1E">
      <w:pPr>
        <w:pStyle w:val="FootnoteText"/>
      </w:pPr>
      <w:r>
        <w:rPr>
          <w:rStyle w:val="FootnoteReference"/>
        </w:rPr>
        <w:footnoteRef/>
      </w:r>
      <w:r>
        <w:t xml:space="preserve"> </w:t>
      </w:r>
      <w:r w:rsidRPr="00511959">
        <w:t>For example, the average time to complete an export transaction in Mekong countries is between 3.5 and 10 times longer than in Singapore</w:t>
      </w:r>
      <w:r>
        <w:t>.</w:t>
      </w:r>
      <w:r w:rsidRPr="00511959">
        <w:t xml:space="preserve"> </w:t>
      </w:r>
      <w:r w:rsidRPr="00511959">
        <w:rPr>
          <w:i/>
        </w:rPr>
        <w:t>Economic Benefits of Trade Facilitation in the GMS, Centre for International Economics, 2010</w:t>
      </w:r>
    </w:p>
  </w:footnote>
  <w:footnote w:id="9">
    <w:p w:rsidR="001F5D1E" w:rsidRPr="00FE52D4" w:rsidRDefault="001F5D1E" w:rsidP="00FE52D4">
      <w:pPr>
        <w:pStyle w:val="FootnoteText"/>
      </w:pPr>
      <w:r>
        <w:rPr>
          <w:rStyle w:val="FootnoteReference"/>
        </w:rPr>
        <w:footnoteRef/>
      </w:r>
      <w:r>
        <w:t xml:space="preserve"> The UNODC Global report on Trafficking in Persons 2012 </w:t>
      </w:r>
      <w:r w:rsidRPr="00FE52D4">
        <w:t>detected East</w:t>
      </w:r>
      <w:r>
        <w:t xml:space="preserve"> </w:t>
      </w:r>
      <w:r w:rsidRPr="00FE52D4">
        <w:t>Asians in 64 countries worldwide, often in</w:t>
      </w:r>
      <w:r>
        <w:t xml:space="preserve"> </w:t>
      </w:r>
      <w:r w:rsidRPr="00FE52D4">
        <w:t>large numbers</w:t>
      </w:r>
      <w:r>
        <w:t xml:space="preserve">. </w:t>
      </w:r>
      <w:r w:rsidRPr="00FE52D4">
        <w:t>While most of the traffi</w:t>
      </w:r>
      <w:r>
        <w:t xml:space="preserve">cked persons from </w:t>
      </w:r>
      <w:r w:rsidRPr="00FE52D4">
        <w:t xml:space="preserve">East Asia </w:t>
      </w:r>
      <w:r>
        <w:t>stay</w:t>
      </w:r>
      <w:r w:rsidRPr="00FE52D4">
        <w:t xml:space="preserve"> within the region (including</w:t>
      </w:r>
      <w:r>
        <w:t xml:space="preserve"> </w:t>
      </w:r>
      <w:r w:rsidRPr="00FE52D4">
        <w:t>within a single country), the region is a</w:t>
      </w:r>
      <w:r>
        <w:t xml:space="preserve"> </w:t>
      </w:r>
      <w:r w:rsidRPr="00FE52D4">
        <w:t xml:space="preserve">significant area of origin of interregional trafficking. </w:t>
      </w:r>
    </w:p>
  </w:footnote>
  <w:footnote w:id="10">
    <w:p w:rsidR="001F5D1E" w:rsidRDefault="001F5D1E">
      <w:pPr>
        <w:pStyle w:val="FootnoteText"/>
      </w:pPr>
      <w:r>
        <w:rPr>
          <w:rStyle w:val="FootnoteReference"/>
        </w:rPr>
        <w:footnoteRef/>
      </w:r>
      <w:r>
        <w:t xml:space="preserve"> </w:t>
      </w:r>
      <w:r w:rsidRPr="009D34DE">
        <w:rPr>
          <w:szCs w:val="16"/>
        </w:rPr>
        <w:t>ILO Global Estimate of Forced Labour,</w:t>
      </w:r>
      <w:r>
        <w:t xml:space="preserve"> </w:t>
      </w:r>
      <w:r w:rsidRPr="009D34DE">
        <w:rPr>
          <w:szCs w:val="16"/>
        </w:rPr>
        <w:t xml:space="preserve">2012 </w:t>
      </w:r>
      <w:hyperlink r:id="rId2" w:history="1">
        <w:r w:rsidRPr="00C8550F">
          <w:rPr>
            <w:rStyle w:val="Hyperlink"/>
            <w:sz w:val="16"/>
            <w:szCs w:val="16"/>
            <w:lang w:val="en"/>
          </w:rPr>
          <w:t>http://www.ilo.org/global/topics/forced-labour/publications/WCMS_182004/lang--en/index.htm</w:t>
        </w:r>
      </w:hyperlink>
    </w:p>
  </w:footnote>
  <w:footnote w:id="11">
    <w:p w:rsidR="001F5D1E" w:rsidRDefault="001F5D1E">
      <w:pPr>
        <w:pStyle w:val="FootnoteText"/>
      </w:pPr>
      <w:r>
        <w:rPr>
          <w:rStyle w:val="FootnoteReference"/>
        </w:rPr>
        <w:footnoteRef/>
      </w:r>
      <w:r>
        <w:t xml:space="preserve"> WHO Roll Back Malaria Partnership </w:t>
      </w:r>
      <w:r w:rsidRPr="0094094D">
        <w:rPr>
          <w:rStyle w:val="Hyperlink"/>
          <w:sz w:val="16"/>
          <w:szCs w:val="16"/>
          <w:lang w:val="en"/>
        </w:rPr>
        <w:t>http://www.rbm.who.int/ProgressImpactSeries/report12.html</w:t>
      </w:r>
    </w:p>
  </w:footnote>
  <w:footnote w:id="12">
    <w:p w:rsidR="001F5D1E" w:rsidRDefault="001F5D1E">
      <w:pPr>
        <w:pStyle w:val="FootnoteText"/>
      </w:pPr>
      <w:r>
        <w:rPr>
          <w:rStyle w:val="FootnoteReference"/>
        </w:rPr>
        <w:footnoteRef/>
      </w:r>
      <w:r>
        <w:t xml:space="preserve"> </w:t>
      </w:r>
      <w:r w:rsidRPr="000F4D6C">
        <w:t xml:space="preserve">Australia has contributed 45% of the voluntary contributions to the APEC Support Fund, managed by the APEC Secretariat, since </w:t>
      </w:r>
      <w:r>
        <w:t>it was established</w:t>
      </w:r>
      <w:r w:rsidRPr="000F4D6C">
        <w:t xml:space="preserve"> in 2005. The next largest contributor </w:t>
      </w:r>
      <w:r>
        <w:t>is</w:t>
      </w:r>
      <w:r w:rsidRPr="000F4D6C">
        <w:t xml:space="preserve"> Japan (26%). The United States is a larger donor overall but primarily contributes through the US managed APEC Technical Assistance to Advance </w:t>
      </w:r>
      <w:r>
        <w:t>Regional Integration</w:t>
      </w:r>
      <w:r w:rsidRPr="000F4D6C">
        <w:t>.</w:t>
      </w:r>
      <w:r w:rsidRPr="00D07540">
        <w:t xml:space="preserve"> </w:t>
      </w:r>
      <w:r w:rsidRPr="00C65A81">
        <w:rPr>
          <w:rStyle w:val="Hyperlink"/>
          <w:sz w:val="16"/>
          <w:szCs w:val="16"/>
          <w:lang w:val="en"/>
        </w:rPr>
        <w:t>(http://www.apec.org/Projects/Funding-Sources.aspx).</w:t>
      </w:r>
      <w:r>
        <w:t xml:space="preserve"> </w:t>
      </w:r>
    </w:p>
  </w:footnote>
  <w:footnote w:id="13">
    <w:p w:rsidR="001F5D1E" w:rsidRDefault="001F5D1E" w:rsidP="0062472A">
      <w:pPr>
        <w:pStyle w:val="FootnoteText"/>
      </w:pPr>
      <w:r>
        <w:rPr>
          <w:rStyle w:val="FootnoteReference"/>
        </w:rPr>
        <w:footnoteRef/>
      </w:r>
      <w:r>
        <w:t xml:space="preserve"> Country and regional programs with an annual budget over $50 million are required to develop a Performance Assessment Framework—a management tool which describes how progress towards the strategic objectives and expected results of the Aid Investment Plan (in this case the regional strategy) will be assessed and reported over the life of the strategy. The PAF assists programs to identify performance benchmarks and mutual obligations.</w:t>
      </w:r>
    </w:p>
  </w:footnote>
  <w:footnote w:id="14">
    <w:p w:rsidR="001F5D1E" w:rsidRDefault="001F5D1E">
      <w:pPr>
        <w:pStyle w:val="FootnoteText"/>
      </w:pPr>
      <w:r>
        <w:rPr>
          <w:rStyle w:val="FootnoteReference"/>
        </w:rPr>
        <w:footnoteRef/>
      </w:r>
      <w:r>
        <w:t xml:space="preserve"> Initiatives are listed at Annex B: Quality at Implementation Ratings. Detailed information is available at </w:t>
      </w:r>
      <w:hyperlink r:id="rId3" w:history="1">
        <w:r w:rsidRPr="00B71CCB">
          <w:rPr>
            <w:rStyle w:val="Hyperlink"/>
            <w:sz w:val="16"/>
          </w:rPr>
          <w:t>http://aid.dfat.gov.au/countries/eastasia/regional/Pages/home.aspx</w:t>
        </w:r>
      </w:hyperlink>
    </w:p>
  </w:footnote>
  <w:footnote w:id="15">
    <w:p w:rsidR="001F5D1E" w:rsidRDefault="001F5D1E">
      <w:pPr>
        <w:pStyle w:val="FootnoteText"/>
      </w:pPr>
      <w:r>
        <w:rPr>
          <w:rStyle w:val="FootnoteReference"/>
        </w:rPr>
        <w:footnoteRef/>
      </w:r>
      <w:r>
        <w:t xml:space="preserve"> The Policy Support Unit (PSU) Survey 2014 was the second annual survey undertaken by the APEC Secretariat PSU. It collected feedback on work completed in 2013. The survey was sent to seven APEC groups (including senor officials groups, committees and some working groups) and the Chairs and Co-Chairs of three APEC Business Advisory Council working groups. The results were reported to the 19th Policy Support Unit Board Meeting, Beijing China in August 2014.</w:t>
      </w:r>
    </w:p>
  </w:footnote>
  <w:footnote w:id="16">
    <w:p w:rsidR="001F5D1E" w:rsidRDefault="001F5D1E">
      <w:pPr>
        <w:pStyle w:val="FootnoteText"/>
      </w:pPr>
      <w:r>
        <w:rPr>
          <w:rStyle w:val="FootnoteReference"/>
        </w:rPr>
        <w:footnoteRef/>
      </w:r>
      <w:r>
        <w:t xml:space="preserve"> Three institutional reform activities were implemented (as of February 2014). The target was 2.</w:t>
      </w:r>
    </w:p>
  </w:footnote>
  <w:footnote w:id="17">
    <w:p w:rsidR="001F5D1E" w:rsidRDefault="001F5D1E">
      <w:pPr>
        <w:pStyle w:val="FootnoteText"/>
      </w:pPr>
      <w:r>
        <w:rPr>
          <w:rStyle w:val="FootnoteReference"/>
        </w:rPr>
        <w:footnoteRef/>
      </w:r>
      <w:r>
        <w:t xml:space="preserve"> </w:t>
      </w:r>
      <w:r w:rsidRPr="00E321F3">
        <w:rPr>
          <w:szCs w:val="16"/>
        </w:rPr>
        <w:t xml:space="preserve">Reported in the </w:t>
      </w:r>
      <w:r w:rsidRPr="00E321F3">
        <w:rPr>
          <w:i/>
          <w:szCs w:val="16"/>
        </w:rPr>
        <w:t>Public Sector Linkages Cluster Study Quality at Implementation Report</w:t>
      </w:r>
      <w:r>
        <w:rPr>
          <w:szCs w:val="16"/>
        </w:rPr>
        <w:t xml:space="preserve">, </w:t>
      </w:r>
      <w:r w:rsidRPr="00E321F3">
        <w:rPr>
          <w:szCs w:val="16"/>
        </w:rPr>
        <w:t>March 2014</w:t>
      </w:r>
      <w:r>
        <w:rPr>
          <w:szCs w:val="16"/>
        </w:rPr>
        <w:t>. This drew on the activity completion reports of the Australian and APEC partners.</w:t>
      </w:r>
    </w:p>
  </w:footnote>
  <w:footnote w:id="18">
    <w:p w:rsidR="001F5D1E" w:rsidRDefault="001F5D1E">
      <w:pPr>
        <w:pStyle w:val="FootnoteText"/>
      </w:pPr>
      <w:r>
        <w:rPr>
          <w:rStyle w:val="FootnoteReference"/>
        </w:rPr>
        <w:footnoteRef/>
      </w:r>
      <w:r>
        <w:t xml:space="preserve"> Because Project Childhood only accounts for 1.6 per cent of the total expenditure this year under Objective 2, its underperformance (rating 3 for effectiveness</w:t>
      </w:r>
      <w:r w:rsidRPr="00016035">
        <w:t>)</w:t>
      </w:r>
      <w:r>
        <w:t xml:space="preserve"> has not impacted on the overall rating for this objective. This was also the approach taken in the 2012–13 APPR.</w:t>
      </w:r>
    </w:p>
  </w:footnote>
  <w:footnote w:id="19">
    <w:p w:rsidR="001F5D1E" w:rsidRDefault="001F5D1E">
      <w:pPr>
        <w:pStyle w:val="FootnoteText"/>
      </w:pPr>
      <w:r>
        <w:rPr>
          <w:rStyle w:val="FootnoteReference"/>
        </w:rPr>
        <w:footnoteRef/>
      </w:r>
      <w:r>
        <w:t xml:space="preserve"> MTVEXIT has operated</w:t>
      </w:r>
      <w:r w:rsidRPr="00895931">
        <w:t xml:space="preserve"> as a mass-media awareness-raising campaign since 2004, </w:t>
      </w:r>
      <w:r>
        <w:t>with funding from</w:t>
      </w:r>
      <w:r w:rsidRPr="00895931">
        <w:t xml:space="preserve"> Australia since 2010.</w:t>
      </w:r>
    </w:p>
  </w:footnote>
  <w:footnote w:id="20">
    <w:p w:rsidR="001F5D1E" w:rsidRDefault="001F5D1E">
      <w:pPr>
        <w:pStyle w:val="FootnoteText"/>
      </w:pPr>
      <w:r>
        <w:rPr>
          <w:rStyle w:val="FootnoteReference"/>
        </w:rPr>
        <w:footnoteRef/>
      </w:r>
      <w:r>
        <w:t xml:space="preserve"> These results were delivered using funding provided from January 2013.</w:t>
      </w:r>
    </w:p>
  </w:footnote>
  <w:footnote w:id="21">
    <w:p w:rsidR="001F5D1E" w:rsidRDefault="001F5D1E">
      <w:pPr>
        <w:pStyle w:val="FootnoteText"/>
      </w:pPr>
      <w:r>
        <w:rPr>
          <w:rStyle w:val="FootnoteReference"/>
        </w:rPr>
        <w:footnoteRef/>
      </w:r>
      <w:r>
        <w:t xml:space="preserve"> ‘Knowledge, Attitudes and Practice’ survey data (pre and post events) as reported in the 2013 MTVEXIT Annual Report.</w:t>
      </w:r>
    </w:p>
  </w:footnote>
  <w:footnote w:id="22">
    <w:p w:rsidR="001F5D1E" w:rsidRDefault="001F5D1E">
      <w:pPr>
        <w:pStyle w:val="FootnoteText"/>
      </w:pPr>
      <w:r>
        <w:rPr>
          <w:rStyle w:val="FootnoteReference"/>
        </w:rPr>
        <w:footnoteRef/>
      </w:r>
      <w:r>
        <w:t xml:space="preserve"> This is 30 months earlier than planned and due to changes made by MTVEXIT that shift the scope and focus of the program away from that originally agreed.</w:t>
      </w:r>
      <w:r w:rsidRPr="00C23913">
        <w:t xml:space="preserve"> </w:t>
      </w:r>
      <w:r w:rsidRPr="00B77495">
        <w:t xml:space="preserve">DFAT </w:t>
      </w:r>
      <w:r>
        <w:t>will</w:t>
      </w:r>
      <w:r w:rsidRPr="00B77495">
        <w:t xml:space="preserve"> </w:t>
      </w:r>
      <w:r>
        <w:t>ensure</w:t>
      </w:r>
      <w:r w:rsidRPr="00B77495">
        <w:t xml:space="preserve"> a thorough handover with pro</w:t>
      </w:r>
      <w:r>
        <w:t>ject partners and stakeholders.</w:t>
      </w:r>
    </w:p>
  </w:footnote>
  <w:footnote w:id="23">
    <w:p w:rsidR="001F5D1E" w:rsidRDefault="001F5D1E">
      <w:pPr>
        <w:pStyle w:val="FootnoteText"/>
      </w:pPr>
      <w:r>
        <w:rPr>
          <w:rStyle w:val="FootnoteReference"/>
        </w:rPr>
        <w:footnoteRef/>
      </w:r>
      <w:r>
        <w:t xml:space="preserve"> And also works with migrant worker destination countries such as Malaysia.</w:t>
      </w:r>
    </w:p>
  </w:footnote>
  <w:footnote w:id="24">
    <w:p w:rsidR="001F5D1E" w:rsidRDefault="001F5D1E">
      <w:pPr>
        <w:pStyle w:val="FootnoteText"/>
      </w:pPr>
      <w:r>
        <w:rPr>
          <w:rStyle w:val="FootnoteReference"/>
        </w:rPr>
        <w:footnoteRef/>
      </w:r>
      <w:r>
        <w:t xml:space="preserve"> TRIANGLE </w:t>
      </w:r>
      <w:r w:rsidRPr="00B5049B">
        <w:t>Annual Report</w:t>
      </w:r>
      <w:r>
        <w:t xml:space="preserve"> (June 2013), which confirmed</w:t>
      </w:r>
      <w:r w:rsidRPr="00B5049B">
        <w:t xml:space="preserve"> the</w:t>
      </w:r>
      <w:r>
        <w:t xml:space="preserve"> similar</w:t>
      </w:r>
      <w:r w:rsidRPr="00B5049B">
        <w:t xml:space="preserve"> findings of the mid-term evaluation (March 2013)</w:t>
      </w:r>
      <w:r>
        <w:t>.</w:t>
      </w:r>
    </w:p>
  </w:footnote>
  <w:footnote w:id="25">
    <w:p w:rsidR="001F5D1E" w:rsidRDefault="001F5D1E">
      <w:pPr>
        <w:pStyle w:val="FootnoteText"/>
      </w:pPr>
      <w:r>
        <w:rPr>
          <w:rStyle w:val="FootnoteReference"/>
        </w:rPr>
        <w:footnoteRef/>
      </w:r>
      <w:r>
        <w:t xml:space="preserve"> These figures cover July 2013 to March 2014.</w:t>
      </w:r>
    </w:p>
  </w:footnote>
  <w:footnote w:id="26">
    <w:p w:rsidR="001F5D1E" w:rsidRDefault="001F5D1E">
      <w:pPr>
        <w:pStyle w:val="FootnoteText"/>
      </w:pPr>
      <w:r>
        <w:rPr>
          <w:rStyle w:val="FootnoteReference"/>
        </w:rPr>
        <w:footnoteRef/>
      </w:r>
      <w:r>
        <w:t xml:space="preserve"> </w:t>
      </w:r>
      <w:r w:rsidRPr="003F7D14">
        <w:t>For example, since 2011 training and educational activities on how to protect at-risk children from sexual abuse including CSETT was delivered to over 13 000 children, parents, community members, duty bearers (e.g. teachers) and tourism personnel (57 per cent female). Also, since 2012 training was provided to over 4000 law enforcement officials and public servants (25 per cent female) to respond to child sexual exploitation.</w:t>
      </w:r>
    </w:p>
  </w:footnote>
  <w:footnote w:id="27">
    <w:p w:rsidR="001F5D1E" w:rsidRDefault="001F5D1E" w:rsidP="00831C2C">
      <w:pPr>
        <w:pStyle w:val="FootnoteText"/>
      </w:pPr>
      <w:r>
        <w:rPr>
          <w:rStyle w:val="FootnoteReference"/>
        </w:rPr>
        <w:footnoteRef/>
      </w:r>
      <w:r>
        <w:t xml:space="preserve"> Feedback to </w:t>
      </w:r>
      <w:r w:rsidRPr="00831C2C">
        <w:t xml:space="preserve">EMA </w:t>
      </w:r>
      <w:r>
        <w:t xml:space="preserve">from participants </w:t>
      </w:r>
      <w:r w:rsidRPr="00831C2C">
        <w:t xml:space="preserve">shows that </w:t>
      </w:r>
      <w:r>
        <w:t>“</w:t>
      </w:r>
      <w:r w:rsidRPr="00831C2C">
        <w:t>the Workshop was a significant step in progressing implementation of the Indonesian-Australian East Asia Summit (EAS) disaster management initiative, endorsed by EAS Leaders in November 2011</w:t>
      </w:r>
      <w:r>
        <w:t xml:space="preserve">.” </w:t>
      </w:r>
      <w:r w:rsidRPr="00831C2C">
        <w:rPr>
          <w:i/>
        </w:rPr>
        <w:t>East Asia Summit</w:t>
      </w:r>
      <w:r>
        <w:rPr>
          <w:i/>
        </w:rPr>
        <w:t xml:space="preserve"> </w:t>
      </w:r>
      <w:r w:rsidRPr="00831C2C">
        <w:rPr>
          <w:i/>
        </w:rPr>
        <w:t>Rapid Disaster Response Workshop Evaluation Report, December 2013</w:t>
      </w:r>
    </w:p>
  </w:footnote>
  <w:footnote w:id="28">
    <w:p w:rsidR="001F5D1E" w:rsidRDefault="001F5D1E">
      <w:pPr>
        <w:pStyle w:val="FootnoteText"/>
      </w:pPr>
      <w:r>
        <w:rPr>
          <w:rStyle w:val="FootnoteReference"/>
        </w:rPr>
        <w:footnoteRef/>
      </w:r>
      <w:r>
        <w:t xml:space="preserve"> </w:t>
      </w:r>
      <w:r w:rsidRPr="00831C2C">
        <w:rPr>
          <w:i/>
        </w:rPr>
        <w:t>East Asia Summit</w:t>
      </w:r>
      <w:r>
        <w:rPr>
          <w:i/>
        </w:rPr>
        <w:t xml:space="preserve"> </w:t>
      </w:r>
      <w:r w:rsidRPr="00831C2C">
        <w:rPr>
          <w:i/>
        </w:rPr>
        <w:t>Rapid Disaster Response Workshop</w:t>
      </w:r>
      <w:r>
        <w:rPr>
          <w:i/>
        </w:rPr>
        <w:t xml:space="preserve"> 23-24 September 2013, Report and Action Plan</w:t>
      </w:r>
    </w:p>
  </w:footnote>
  <w:footnote w:id="29">
    <w:p w:rsidR="001F5D1E" w:rsidRDefault="001F5D1E">
      <w:pPr>
        <w:pStyle w:val="FootnoteText"/>
      </w:pPr>
      <w:r>
        <w:rPr>
          <w:rStyle w:val="FootnoteReference"/>
        </w:rPr>
        <w:footnoteRef/>
      </w:r>
      <w:r>
        <w:t xml:space="preserve"> The process for rapid deployment of foreign medical teams, and the EAS rapid disaster response toolkit.</w:t>
      </w:r>
    </w:p>
  </w:footnote>
  <w:footnote w:id="30">
    <w:p w:rsidR="001F5D1E" w:rsidRDefault="001F5D1E">
      <w:pPr>
        <w:pStyle w:val="FootnoteText"/>
      </w:pPr>
      <w:r>
        <w:rPr>
          <w:rStyle w:val="FootnoteReference"/>
        </w:rPr>
        <w:footnoteRef/>
      </w:r>
      <w:r>
        <w:t xml:space="preserve"> AADCPII runs from 2008 to 2019, and was preceded by an earlier initiative that began in 2000. Australian support to the APEC Secretariat began in 2006. The current initiative is due to end in 2017.</w:t>
      </w:r>
    </w:p>
  </w:footnote>
  <w:footnote w:id="31">
    <w:p w:rsidR="001F5D1E" w:rsidRDefault="001F5D1E">
      <w:pPr>
        <w:pStyle w:val="FootnoteText"/>
      </w:pPr>
      <w:r>
        <w:rPr>
          <w:rStyle w:val="FootnoteReference"/>
        </w:rPr>
        <w:footnoteRef/>
      </w:r>
      <w:r>
        <w:t xml:space="preserve"> </w:t>
      </w:r>
      <w:r w:rsidRPr="00D52B34">
        <w:t>As CSETT generally occurs within a single</w:t>
      </w:r>
      <w:r>
        <w:t xml:space="preserve"> country’s jurisdiction it may</w:t>
      </w:r>
      <w:r w:rsidRPr="00D52B34">
        <w:t xml:space="preserve"> be better dealt with through bilateral programs.</w:t>
      </w:r>
    </w:p>
  </w:footnote>
  <w:footnote w:id="32">
    <w:p w:rsidR="001F5D1E" w:rsidRDefault="001F5D1E">
      <w:pPr>
        <w:pStyle w:val="FootnoteText"/>
      </w:pPr>
      <w:r>
        <w:rPr>
          <w:rStyle w:val="FootnoteReference"/>
        </w:rPr>
        <w:footnoteRef/>
      </w:r>
      <w:r>
        <w:t xml:space="preserve"> E</w:t>
      </w:r>
      <w:r w:rsidRPr="00F97D22">
        <w:t>.g. the Australian Competition and Consumer Commission, IP Australia, the Treasury, and the Departments of Finance, Infrastructure and Regional Development, Education, and Agriculture</w:t>
      </w:r>
    </w:p>
  </w:footnote>
  <w:footnote w:id="33">
    <w:p w:rsidR="001F5D1E" w:rsidRDefault="001F5D1E">
      <w:pPr>
        <w:pStyle w:val="FootnoteText"/>
      </w:pPr>
      <w:r>
        <w:rPr>
          <w:rStyle w:val="FootnoteReference"/>
        </w:rPr>
        <w:footnoteRef/>
      </w:r>
      <w:r>
        <w:t xml:space="preserve"> The 2013-14 PSLP Cluster Study Quality at Implementation Report rated effectiveness as ‘adequate quality’.</w:t>
      </w:r>
    </w:p>
  </w:footnote>
  <w:footnote w:id="34">
    <w:p w:rsidR="001F5D1E" w:rsidRDefault="001F5D1E">
      <w:pPr>
        <w:pStyle w:val="FootnoteText"/>
      </w:pPr>
      <w:r>
        <w:rPr>
          <w:rStyle w:val="FootnoteReference"/>
        </w:rPr>
        <w:footnoteRef/>
      </w:r>
      <w:r>
        <w:t xml:space="preserve"> </w:t>
      </w:r>
      <w:r w:rsidRPr="00F97D22">
        <w:t>AMNEP also supports quality bilateral work with CSOs in the Mekong.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15" w:rsidRDefault="00AD30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15" w:rsidRDefault="00AD30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15" w:rsidRDefault="00AD301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1E" w:rsidRDefault="001F5D1E" w:rsidP="00AA31F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1E" w:rsidRDefault="001F5D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324641"/>
    <w:multiLevelType w:val="hybridMultilevel"/>
    <w:tmpl w:val="5846DD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AD120E2"/>
    <w:multiLevelType w:val="hybridMultilevel"/>
    <w:tmpl w:val="0B948C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8">
    <w:nsid w:val="1F4C5A2B"/>
    <w:multiLevelType w:val="hybridMultilevel"/>
    <w:tmpl w:val="C492A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097682D"/>
    <w:multiLevelType w:val="hybridMultilevel"/>
    <w:tmpl w:val="E51C01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1">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nsid w:val="25A20014"/>
    <w:multiLevelType w:val="hybridMultilevel"/>
    <w:tmpl w:val="7BDAD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A56061"/>
    <w:multiLevelType w:val="hybridMultilevel"/>
    <w:tmpl w:val="A8C4D5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6">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4831BEE"/>
    <w:multiLevelType w:val="hybridMultilevel"/>
    <w:tmpl w:val="29BC8D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E834762"/>
    <w:multiLevelType w:val="hybridMultilevel"/>
    <w:tmpl w:val="AFA855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57691BE1"/>
    <w:multiLevelType w:val="hybridMultilevel"/>
    <w:tmpl w:val="498AB7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4A27001"/>
    <w:multiLevelType w:val="hybridMultilevel"/>
    <w:tmpl w:val="E4CADB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5">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8">
    <w:nsid w:val="73972B42"/>
    <w:multiLevelType w:val="hybridMultilevel"/>
    <w:tmpl w:val="558C53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7AC70497"/>
    <w:multiLevelType w:val="hybridMultilevel"/>
    <w:tmpl w:val="9DCAF7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nsid w:val="7F7A528B"/>
    <w:multiLevelType w:val="hybridMultilevel"/>
    <w:tmpl w:val="E96EE696"/>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2"/>
  </w:num>
  <w:num w:numId="3">
    <w:abstractNumId w:val="6"/>
  </w:num>
  <w:num w:numId="4">
    <w:abstractNumId w:val="20"/>
  </w:num>
  <w:num w:numId="5">
    <w:abstractNumId w:val="18"/>
  </w:num>
  <w:num w:numId="6">
    <w:abstractNumId w:val="16"/>
  </w:num>
  <w:num w:numId="7">
    <w:abstractNumId w:val="26"/>
  </w:num>
  <w:num w:numId="8">
    <w:abstractNumId w:val="5"/>
  </w:num>
  <w:num w:numId="9">
    <w:abstractNumId w:val="10"/>
  </w:num>
  <w:num w:numId="10">
    <w:abstractNumId w:val="29"/>
  </w:num>
  <w:num w:numId="11">
    <w:abstractNumId w:val="31"/>
  </w:num>
  <w:num w:numId="12">
    <w:abstractNumId w:val="0"/>
  </w:num>
  <w:num w:numId="13">
    <w:abstractNumId w:val="2"/>
  </w:num>
  <w:num w:numId="14">
    <w:abstractNumId w:val="25"/>
  </w:num>
  <w:num w:numId="15">
    <w:abstractNumId w:val="1"/>
  </w:num>
  <w:num w:numId="16">
    <w:abstractNumId w:val="15"/>
  </w:num>
  <w:num w:numId="17">
    <w:abstractNumId w:val="11"/>
  </w:num>
  <w:num w:numId="18">
    <w:abstractNumId w:val="7"/>
  </w:num>
  <w:num w:numId="19">
    <w:abstractNumId w:val="17"/>
  </w:num>
  <w:num w:numId="20">
    <w:abstractNumId w:val="27"/>
  </w:num>
  <w:num w:numId="21">
    <w:abstractNumId w:val="3"/>
  </w:num>
  <w:num w:numId="22">
    <w:abstractNumId w:val="9"/>
  </w:num>
  <w:num w:numId="23">
    <w:abstractNumId w:val="28"/>
  </w:num>
  <w:num w:numId="24">
    <w:abstractNumId w:val="21"/>
  </w:num>
  <w:num w:numId="25">
    <w:abstractNumId w:val="23"/>
  </w:num>
  <w:num w:numId="26">
    <w:abstractNumId w:val="19"/>
  </w:num>
  <w:num w:numId="27">
    <w:abstractNumId w:val="13"/>
  </w:num>
  <w:num w:numId="28">
    <w:abstractNumId w:val="4"/>
  </w:num>
  <w:num w:numId="29">
    <w:abstractNumId w:val="8"/>
  </w:num>
  <w:num w:numId="30">
    <w:abstractNumId w:val="12"/>
  </w:num>
  <w:num w:numId="31">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4FF"/>
    <w:rsid w:val="00002161"/>
    <w:rsid w:val="0000242A"/>
    <w:rsid w:val="00002A92"/>
    <w:rsid w:val="00002E28"/>
    <w:rsid w:val="000039CF"/>
    <w:rsid w:val="00004E18"/>
    <w:rsid w:val="0000559C"/>
    <w:rsid w:val="000062BF"/>
    <w:rsid w:val="00007E94"/>
    <w:rsid w:val="0001042F"/>
    <w:rsid w:val="000142A2"/>
    <w:rsid w:val="000143D9"/>
    <w:rsid w:val="000149D1"/>
    <w:rsid w:val="00016035"/>
    <w:rsid w:val="00020121"/>
    <w:rsid w:val="00021A9E"/>
    <w:rsid w:val="00027629"/>
    <w:rsid w:val="00030111"/>
    <w:rsid w:val="00031100"/>
    <w:rsid w:val="00031EB5"/>
    <w:rsid w:val="0003231A"/>
    <w:rsid w:val="000364FD"/>
    <w:rsid w:val="00040AF6"/>
    <w:rsid w:val="0004233F"/>
    <w:rsid w:val="000426DF"/>
    <w:rsid w:val="000502FF"/>
    <w:rsid w:val="000529AD"/>
    <w:rsid w:val="0005506B"/>
    <w:rsid w:val="000550B0"/>
    <w:rsid w:val="00055E78"/>
    <w:rsid w:val="00057589"/>
    <w:rsid w:val="00057D09"/>
    <w:rsid w:val="00064683"/>
    <w:rsid w:val="00071B95"/>
    <w:rsid w:val="0007395B"/>
    <w:rsid w:val="000745E2"/>
    <w:rsid w:val="0007703B"/>
    <w:rsid w:val="000774FD"/>
    <w:rsid w:val="00081F4E"/>
    <w:rsid w:val="000905A8"/>
    <w:rsid w:val="00091878"/>
    <w:rsid w:val="000957FC"/>
    <w:rsid w:val="00095D71"/>
    <w:rsid w:val="000979A0"/>
    <w:rsid w:val="00097B02"/>
    <w:rsid w:val="000A1618"/>
    <w:rsid w:val="000B3121"/>
    <w:rsid w:val="000B3E13"/>
    <w:rsid w:val="000B68F6"/>
    <w:rsid w:val="000B6BE5"/>
    <w:rsid w:val="000B6FEA"/>
    <w:rsid w:val="000B75E8"/>
    <w:rsid w:val="000C258A"/>
    <w:rsid w:val="000C29BF"/>
    <w:rsid w:val="000C6080"/>
    <w:rsid w:val="000C60A8"/>
    <w:rsid w:val="000D016E"/>
    <w:rsid w:val="000D151B"/>
    <w:rsid w:val="000D1993"/>
    <w:rsid w:val="000D733F"/>
    <w:rsid w:val="000E1AE9"/>
    <w:rsid w:val="000E4573"/>
    <w:rsid w:val="000E7297"/>
    <w:rsid w:val="000E7A8D"/>
    <w:rsid w:val="000F2D94"/>
    <w:rsid w:val="000F4D6C"/>
    <w:rsid w:val="000F5658"/>
    <w:rsid w:val="000F7AFE"/>
    <w:rsid w:val="0010008C"/>
    <w:rsid w:val="00100485"/>
    <w:rsid w:val="00100AA2"/>
    <w:rsid w:val="00106185"/>
    <w:rsid w:val="00106BDC"/>
    <w:rsid w:val="0010729C"/>
    <w:rsid w:val="001077C7"/>
    <w:rsid w:val="00112E97"/>
    <w:rsid w:val="001139DE"/>
    <w:rsid w:val="00114751"/>
    <w:rsid w:val="001154CA"/>
    <w:rsid w:val="001171DE"/>
    <w:rsid w:val="00120FC7"/>
    <w:rsid w:val="00122038"/>
    <w:rsid w:val="001227C3"/>
    <w:rsid w:val="001234F8"/>
    <w:rsid w:val="0012429A"/>
    <w:rsid w:val="0012465C"/>
    <w:rsid w:val="001258C6"/>
    <w:rsid w:val="00126C18"/>
    <w:rsid w:val="0012793C"/>
    <w:rsid w:val="00131A9A"/>
    <w:rsid w:val="00131FF0"/>
    <w:rsid w:val="00132003"/>
    <w:rsid w:val="00133AAD"/>
    <w:rsid w:val="00134007"/>
    <w:rsid w:val="00134B3A"/>
    <w:rsid w:val="00135806"/>
    <w:rsid w:val="001366B4"/>
    <w:rsid w:val="0013738D"/>
    <w:rsid w:val="001375E3"/>
    <w:rsid w:val="00141A30"/>
    <w:rsid w:val="00141C84"/>
    <w:rsid w:val="00143053"/>
    <w:rsid w:val="0014411B"/>
    <w:rsid w:val="001444B4"/>
    <w:rsid w:val="001448E7"/>
    <w:rsid w:val="00147846"/>
    <w:rsid w:val="0015043E"/>
    <w:rsid w:val="00151F7E"/>
    <w:rsid w:val="00152DFD"/>
    <w:rsid w:val="00154EF9"/>
    <w:rsid w:val="001558C5"/>
    <w:rsid w:val="00157858"/>
    <w:rsid w:val="00160650"/>
    <w:rsid w:val="001612CE"/>
    <w:rsid w:val="001624FB"/>
    <w:rsid w:val="001650DE"/>
    <w:rsid w:val="0016544D"/>
    <w:rsid w:val="001657F1"/>
    <w:rsid w:val="00167331"/>
    <w:rsid w:val="0016740F"/>
    <w:rsid w:val="00173C6E"/>
    <w:rsid w:val="00180B19"/>
    <w:rsid w:val="0018196F"/>
    <w:rsid w:val="001829BB"/>
    <w:rsid w:val="0018305E"/>
    <w:rsid w:val="0018353A"/>
    <w:rsid w:val="001848F0"/>
    <w:rsid w:val="00185E71"/>
    <w:rsid w:val="001915E3"/>
    <w:rsid w:val="001919B1"/>
    <w:rsid w:val="0019212E"/>
    <w:rsid w:val="00192498"/>
    <w:rsid w:val="001943B6"/>
    <w:rsid w:val="00194806"/>
    <w:rsid w:val="0019502C"/>
    <w:rsid w:val="001A1FD0"/>
    <w:rsid w:val="001A374B"/>
    <w:rsid w:val="001B1A0C"/>
    <w:rsid w:val="001B24A5"/>
    <w:rsid w:val="001B2948"/>
    <w:rsid w:val="001B41CD"/>
    <w:rsid w:val="001B714C"/>
    <w:rsid w:val="001C15AA"/>
    <w:rsid w:val="001C1EA0"/>
    <w:rsid w:val="001C31B9"/>
    <w:rsid w:val="001C397E"/>
    <w:rsid w:val="001C4092"/>
    <w:rsid w:val="001C507E"/>
    <w:rsid w:val="001C700E"/>
    <w:rsid w:val="001C7117"/>
    <w:rsid w:val="001C745A"/>
    <w:rsid w:val="001C7DDD"/>
    <w:rsid w:val="001D20FC"/>
    <w:rsid w:val="001D210A"/>
    <w:rsid w:val="001D6059"/>
    <w:rsid w:val="001D7E98"/>
    <w:rsid w:val="001E4BDE"/>
    <w:rsid w:val="001E6635"/>
    <w:rsid w:val="001E6EEA"/>
    <w:rsid w:val="001F12A2"/>
    <w:rsid w:val="001F1C4D"/>
    <w:rsid w:val="001F3EF6"/>
    <w:rsid w:val="001F48C5"/>
    <w:rsid w:val="001F5CB1"/>
    <w:rsid w:val="001F5D1E"/>
    <w:rsid w:val="001F61A8"/>
    <w:rsid w:val="001F7480"/>
    <w:rsid w:val="00201174"/>
    <w:rsid w:val="00202880"/>
    <w:rsid w:val="002028C1"/>
    <w:rsid w:val="00202E4E"/>
    <w:rsid w:val="00203BCC"/>
    <w:rsid w:val="002045A8"/>
    <w:rsid w:val="00205E0B"/>
    <w:rsid w:val="00205F2B"/>
    <w:rsid w:val="002115BD"/>
    <w:rsid w:val="00211F93"/>
    <w:rsid w:val="002126BA"/>
    <w:rsid w:val="00212B27"/>
    <w:rsid w:val="0021515C"/>
    <w:rsid w:val="002227A9"/>
    <w:rsid w:val="00224267"/>
    <w:rsid w:val="00226DEE"/>
    <w:rsid w:val="00231D45"/>
    <w:rsid w:val="002331A3"/>
    <w:rsid w:val="002335A9"/>
    <w:rsid w:val="002343CF"/>
    <w:rsid w:val="00235D29"/>
    <w:rsid w:val="002363D9"/>
    <w:rsid w:val="0023686F"/>
    <w:rsid w:val="00236B8C"/>
    <w:rsid w:val="00237C4B"/>
    <w:rsid w:val="00240D59"/>
    <w:rsid w:val="002441D5"/>
    <w:rsid w:val="00246E5F"/>
    <w:rsid w:val="00261E78"/>
    <w:rsid w:val="00263779"/>
    <w:rsid w:val="00263F5F"/>
    <w:rsid w:val="002642D2"/>
    <w:rsid w:val="00270898"/>
    <w:rsid w:val="00272AF0"/>
    <w:rsid w:val="00273C6F"/>
    <w:rsid w:val="00273D12"/>
    <w:rsid w:val="00274EEF"/>
    <w:rsid w:val="00275C42"/>
    <w:rsid w:val="002770C0"/>
    <w:rsid w:val="00277A64"/>
    <w:rsid w:val="00280049"/>
    <w:rsid w:val="00283D7E"/>
    <w:rsid w:val="002849B4"/>
    <w:rsid w:val="002911A4"/>
    <w:rsid w:val="00291F1C"/>
    <w:rsid w:val="0029308D"/>
    <w:rsid w:val="00296FB0"/>
    <w:rsid w:val="00297FA7"/>
    <w:rsid w:val="002A15F4"/>
    <w:rsid w:val="002A1935"/>
    <w:rsid w:val="002A1A79"/>
    <w:rsid w:val="002A21D1"/>
    <w:rsid w:val="002A22F7"/>
    <w:rsid w:val="002A4D70"/>
    <w:rsid w:val="002A70F5"/>
    <w:rsid w:val="002B1F66"/>
    <w:rsid w:val="002B31B3"/>
    <w:rsid w:val="002B433A"/>
    <w:rsid w:val="002B61A8"/>
    <w:rsid w:val="002B6EBE"/>
    <w:rsid w:val="002B79D4"/>
    <w:rsid w:val="002C1E00"/>
    <w:rsid w:val="002C1EDD"/>
    <w:rsid w:val="002C639B"/>
    <w:rsid w:val="002D1328"/>
    <w:rsid w:val="002D5D7B"/>
    <w:rsid w:val="002D5E67"/>
    <w:rsid w:val="002D6914"/>
    <w:rsid w:val="002D6DF0"/>
    <w:rsid w:val="002D7FFA"/>
    <w:rsid w:val="002E55EA"/>
    <w:rsid w:val="002E5604"/>
    <w:rsid w:val="002F2FD1"/>
    <w:rsid w:val="002F479A"/>
    <w:rsid w:val="002F54F3"/>
    <w:rsid w:val="002F5A14"/>
    <w:rsid w:val="00303038"/>
    <w:rsid w:val="0030318A"/>
    <w:rsid w:val="00306734"/>
    <w:rsid w:val="00310426"/>
    <w:rsid w:val="00310974"/>
    <w:rsid w:val="00315135"/>
    <w:rsid w:val="00315D13"/>
    <w:rsid w:val="003167E5"/>
    <w:rsid w:val="00320854"/>
    <w:rsid w:val="00320FCE"/>
    <w:rsid w:val="00321DC4"/>
    <w:rsid w:val="003223F8"/>
    <w:rsid w:val="0032292A"/>
    <w:rsid w:val="00322D92"/>
    <w:rsid w:val="0032486D"/>
    <w:rsid w:val="003260C0"/>
    <w:rsid w:val="003266E1"/>
    <w:rsid w:val="00326B5A"/>
    <w:rsid w:val="003275D0"/>
    <w:rsid w:val="003279FD"/>
    <w:rsid w:val="003327F8"/>
    <w:rsid w:val="00335F19"/>
    <w:rsid w:val="003363C7"/>
    <w:rsid w:val="00341177"/>
    <w:rsid w:val="003412F5"/>
    <w:rsid w:val="00341311"/>
    <w:rsid w:val="00342BF7"/>
    <w:rsid w:val="00343B25"/>
    <w:rsid w:val="00345B8E"/>
    <w:rsid w:val="00346AEB"/>
    <w:rsid w:val="00347EE5"/>
    <w:rsid w:val="00351ACA"/>
    <w:rsid w:val="00352AE5"/>
    <w:rsid w:val="00353C05"/>
    <w:rsid w:val="00357648"/>
    <w:rsid w:val="00357AF7"/>
    <w:rsid w:val="00360662"/>
    <w:rsid w:val="00371F53"/>
    <w:rsid w:val="00372E1B"/>
    <w:rsid w:val="003743C8"/>
    <w:rsid w:val="00375C9E"/>
    <w:rsid w:val="00383294"/>
    <w:rsid w:val="00383F3F"/>
    <w:rsid w:val="00384342"/>
    <w:rsid w:val="00385A4C"/>
    <w:rsid w:val="00390116"/>
    <w:rsid w:val="00390E6C"/>
    <w:rsid w:val="00392981"/>
    <w:rsid w:val="00393307"/>
    <w:rsid w:val="00395CFA"/>
    <w:rsid w:val="003A0880"/>
    <w:rsid w:val="003A149F"/>
    <w:rsid w:val="003A27D2"/>
    <w:rsid w:val="003A2D7B"/>
    <w:rsid w:val="003A74BF"/>
    <w:rsid w:val="003B122C"/>
    <w:rsid w:val="003B2756"/>
    <w:rsid w:val="003B2EEB"/>
    <w:rsid w:val="003C0D1D"/>
    <w:rsid w:val="003C0F14"/>
    <w:rsid w:val="003C288C"/>
    <w:rsid w:val="003C31EE"/>
    <w:rsid w:val="003C5F4A"/>
    <w:rsid w:val="003C7721"/>
    <w:rsid w:val="003D081D"/>
    <w:rsid w:val="003D0EC6"/>
    <w:rsid w:val="003D1C6C"/>
    <w:rsid w:val="003D2E2F"/>
    <w:rsid w:val="003D44F4"/>
    <w:rsid w:val="003D4B41"/>
    <w:rsid w:val="003D5CB6"/>
    <w:rsid w:val="003D767B"/>
    <w:rsid w:val="003E0A3E"/>
    <w:rsid w:val="003E0E66"/>
    <w:rsid w:val="003E4982"/>
    <w:rsid w:val="003E63B3"/>
    <w:rsid w:val="003E7AA9"/>
    <w:rsid w:val="003F09C1"/>
    <w:rsid w:val="003F2C31"/>
    <w:rsid w:val="003F30BE"/>
    <w:rsid w:val="003F7D14"/>
    <w:rsid w:val="00403152"/>
    <w:rsid w:val="00403AAA"/>
    <w:rsid w:val="00406000"/>
    <w:rsid w:val="00407C01"/>
    <w:rsid w:val="00411F8A"/>
    <w:rsid w:val="00412707"/>
    <w:rsid w:val="00413539"/>
    <w:rsid w:val="0041396D"/>
    <w:rsid w:val="00415A92"/>
    <w:rsid w:val="0041730D"/>
    <w:rsid w:val="00420E02"/>
    <w:rsid w:val="004228CD"/>
    <w:rsid w:val="00424E46"/>
    <w:rsid w:val="0042527A"/>
    <w:rsid w:val="00426354"/>
    <w:rsid w:val="004309E9"/>
    <w:rsid w:val="0043747B"/>
    <w:rsid w:val="00437C95"/>
    <w:rsid w:val="00441E77"/>
    <w:rsid w:val="00443639"/>
    <w:rsid w:val="004450BD"/>
    <w:rsid w:val="004453CE"/>
    <w:rsid w:val="00445A3B"/>
    <w:rsid w:val="00445ACA"/>
    <w:rsid w:val="00445C4E"/>
    <w:rsid w:val="00446742"/>
    <w:rsid w:val="00452A89"/>
    <w:rsid w:val="0045475F"/>
    <w:rsid w:val="00462000"/>
    <w:rsid w:val="00466C98"/>
    <w:rsid w:val="00467C3F"/>
    <w:rsid w:val="00467CE4"/>
    <w:rsid w:val="00470115"/>
    <w:rsid w:val="00475E7F"/>
    <w:rsid w:val="00476CD7"/>
    <w:rsid w:val="0047710F"/>
    <w:rsid w:val="00481777"/>
    <w:rsid w:val="004866C1"/>
    <w:rsid w:val="00490BDE"/>
    <w:rsid w:val="00490E13"/>
    <w:rsid w:val="00494504"/>
    <w:rsid w:val="004957EC"/>
    <w:rsid w:val="00496F8D"/>
    <w:rsid w:val="00497FFD"/>
    <w:rsid w:val="004A1B40"/>
    <w:rsid w:val="004A568F"/>
    <w:rsid w:val="004A7400"/>
    <w:rsid w:val="004B0B78"/>
    <w:rsid w:val="004B201A"/>
    <w:rsid w:val="004B41B9"/>
    <w:rsid w:val="004B64F3"/>
    <w:rsid w:val="004C02E7"/>
    <w:rsid w:val="004C07F3"/>
    <w:rsid w:val="004C36CF"/>
    <w:rsid w:val="004C4A3E"/>
    <w:rsid w:val="004C59EA"/>
    <w:rsid w:val="004C65C6"/>
    <w:rsid w:val="004C660D"/>
    <w:rsid w:val="004C7E92"/>
    <w:rsid w:val="004D0699"/>
    <w:rsid w:val="004D1529"/>
    <w:rsid w:val="004D19CE"/>
    <w:rsid w:val="004D23F6"/>
    <w:rsid w:val="004D2ED0"/>
    <w:rsid w:val="004D4522"/>
    <w:rsid w:val="004E01E9"/>
    <w:rsid w:val="004E3E40"/>
    <w:rsid w:val="004E570D"/>
    <w:rsid w:val="004E6400"/>
    <w:rsid w:val="004E642E"/>
    <w:rsid w:val="004E6924"/>
    <w:rsid w:val="004E6A61"/>
    <w:rsid w:val="004E6E33"/>
    <w:rsid w:val="004E702A"/>
    <w:rsid w:val="004F06AB"/>
    <w:rsid w:val="004F0C2D"/>
    <w:rsid w:val="004F3D7E"/>
    <w:rsid w:val="004F4630"/>
    <w:rsid w:val="004F521E"/>
    <w:rsid w:val="004F6FEE"/>
    <w:rsid w:val="004F7D4E"/>
    <w:rsid w:val="00500EB4"/>
    <w:rsid w:val="00501CD2"/>
    <w:rsid w:val="00503974"/>
    <w:rsid w:val="00503F2A"/>
    <w:rsid w:val="0050439B"/>
    <w:rsid w:val="0050460A"/>
    <w:rsid w:val="005051AA"/>
    <w:rsid w:val="0050529F"/>
    <w:rsid w:val="00506A51"/>
    <w:rsid w:val="00507C14"/>
    <w:rsid w:val="005110C3"/>
    <w:rsid w:val="00511959"/>
    <w:rsid w:val="00514B5E"/>
    <w:rsid w:val="005157C1"/>
    <w:rsid w:val="00515954"/>
    <w:rsid w:val="00515E3D"/>
    <w:rsid w:val="005208AC"/>
    <w:rsid w:val="0052286C"/>
    <w:rsid w:val="00522AB9"/>
    <w:rsid w:val="0052354E"/>
    <w:rsid w:val="005265B9"/>
    <w:rsid w:val="0052779A"/>
    <w:rsid w:val="005307E8"/>
    <w:rsid w:val="0053175E"/>
    <w:rsid w:val="00533533"/>
    <w:rsid w:val="00534CCB"/>
    <w:rsid w:val="00535C99"/>
    <w:rsid w:val="00535E24"/>
    <w:rsid w:val="00537E02"/>
    <w:rsid w:val="00542718"/>
    <w:rsid w:val="00543224"/>
    <w:rsid w:val="005440F6"/>
    <w:rsid w:val="00544CCD"/>
    <w:rsid w:val="0054557A"/>
    <w:rsid w:val="00546DD6"/>
    <w:rsid w:val="00550F52"/>
    <w:rsid w:val="0055172C"/>
    <w:rsid w:val="00555638"/>
    <w:rsid w:val="0055771D"/>
    <w:rsid w:val="00565055"/>
    <w:rsid w:val="00565635"/>
    <w:rsid w:val="00567042"/>
    <w:rsid w:val="00567FCF"/>
    <w:rsid w:val="00570765"/>
    <w:rsid w:val="005732BD"/>
    <w:rsid w:val="00573E59"/>
    <w:rsid w:val="00575295"/>
    <w:rsid w:val="0057571B"/>
    <w:rsid w:val="00581C01"/>
    <w:rsid w:val="0058242D"/>
    <w:rsid w:val="00582AB9"/>
    <w:rsid w:val="005845CB"/>
    <w:rsid w:val="0058498A"/>
    <w:rsid w:val="00584C77"/>
    <w:rsid w:val="00586350"/>
    <w:rsid w:val="0059461A"/>
    <w:rsid w:val="00594CB6"/>
    <w:rsid w:val="00596D06"/>
    <w:rsid w:val="00597520"/>
    <w:rsid w:val="005A18C5"/>
    <w:rsid w:val="005A3ED5"/>
    <w:rsid w:val="005A511C"/>
    <w:rsid w:val="005A7CF6"/>
    <w:rsid w:val="005B2E37"/>
    <w:rsid w:val="005B42EE"/>
    <w:rsid w:val="005B7C71"/>
    <w:rsid w:val="005B7D04"/>
    <w:rsid w:val="005C4A6B"/>
    <w:rsid w:val="005C6324"/>
    <w:rsid w:val="005C661F"/>
    <w:rsid w:val="005D2A59"/>
    <w:rsid w:val="005D2ABA"/>
    <w:rsid w:val="005E6999"/>
    <w:rsid w:val="005F0C00"/>
    <w:rsid w:val="005F15ED"/>
    <w:rsid w:val="005F33F2"/>
    <w:rsid w:val="005F460C"/>
    <w:rsid w:val="005F51F6"/>
    <w:rsid w:val="005F74D0"/>
    <w:rsid w:val="0060117A"/>
    <w:rsid w:val="00612E14"/>
    <w:rsid w:val="00613511"/>
    <w:rsid w:val="00617F30"/>
    <w:rsid w:val="00623BC9"/>
    <w:rsid w:val="0062472A"/>
    <w:rsid w:val="0062598A"/>
    <w:rsid w:val="00625A52"/>
    <w:rsid w:val="0062686B"/>
    <w:rsid w:val="00626A36"/>
    <w:rsid w:val="0063026E"/>
    <w:rsid w:val="00633621"/>
    <w:rsid w:val="00633A74"/>
    <w:rsid w:val="00637549"/>
    <w:rsid w:val="00640544"/>
    <w:rsid w:val="00640AF5"/>
    <w:rsid w:val="00642A6F"/>
    <w:rsid w:val="00642E50"/>
    <w:rsid w:val="00646049"/>
    <w:rsid w:val="00647FBA"/>
    <w:rsid w:val="0065268F"/>
    <w:rsid w:val="0065391A"/>
    <w:rsid w:val="0065679C"/>
    <w:rsid w:val="00657108"/>
    <w:rsid w:val="00661307"/>
    <w:rsid w:val="00663306"/>
    <w:rsid w:val="00663909"/>
    <w:rsid w:val="00663E95"/>
    <w:rsid w:val="006659FF"/>
    <w:rsid w:val="00666BEB"/>
    <w:rsid w:val="006671BC"/>
    <w:rsid w:val="0067299B"/>
    <w:rsid w:val="00673287"/>
    <w:rsid w:val="0067387A"/>
    <w:rsid w:val="00680679"/>
    <w:rsid w:val="00680F83"/>
    <w:rsid w:val="0068146D"/>
    <w:rsid w:val="00682070"/>
    <w:rsid w:val="00682DB1"/>
    <w:rsid w:val="006835F0"/>
    <w:rsid w:val="00683FFB"/>
    <w:rsid w:val="0068768A"/>
    <w:rsid w:val="00690BEA"/>
    <w:rsid w:val="00691345"/>
    <w:rsid w:val="00692CB6"/>
    <w:rsid w:val="00693D63"/>
    <w:rsid w:val="00695279"/>
    <w:rsid w:val="00697C69"/>
    <w:rsid w:val="006A2D13"/>
    <w:rsid w:val="006B0F12"/>
    <w:rsid w:val="006B1119"/>
    <w:rsid w:val="006B1DE8"/>
    <w:rsid w:val="006B33A7"/>
    <w:rsid w:val="006C0918"/>
    <w:rsid w:val="006C1260"/>
    <w:rsid w:val="006C2232"/>
    <w:rsid w:val="006C2D41"/>
    <w:rsid w:val="006C6800"/>
    <w:rsid w:val="006D0BC5"/>
    <w:rsid w:val="006D2CF2"/>
    <w:rsid w:val="006D2E37"/>
    <w:rsid w:val="006D34C3"/>
    <w:rsid w:val="006E327C"/>
    <w:rsid w:val="006E7795"/>
    <w:rsid w:val="006E7E9F"/>
    <w:rsid w:val="006E7FA8"/>
    <w:rsid w:val="006F00DB"/>
    <w:rsid w:val="006F31B3"/>
    <w:rsid w:val="006F4623"/>
    <w:rsid w:val="006F4B40"/>
    <w:rsid w:val="006F5A86"/>
    <w:rsid w:val="006F6CBC"/>
    <w:rsid w:val="00701FEA"/>
    <w:rsid w:val="007040D1"/>
    <w:rsid w:val="007053C8"/>
    <w:rsid w:val="007069F7"/>
    <w:rsid w:val="00706DE1"/>
    <w:rsid w:val="00710059"/>
    <w:rsid w:val="00710337"/>
    <w:rsid w:val="007110C9"/>
    <w:rsid w:val="00712349"/>
    <w:rsid w:val="00712FCE"/>
    <w:rsid w:val="00714BA3"/>
    <w:rsid w:val="0071537B"/>
    <w:rsid w:val="007167AE"/>
    <w:rsid w:val="00721098"/>
    <w:rsid w:val="0072495B"/>
    <w:rsid w:val="00727DDD"/>
    <w:rsid w:val="007311E0"/>
    <w:rsid w:val="00733487"/>
    <w:rsid w:val="007360D3"/>
    <w:rsid w:val="0073644C"/>
    <w:rsid w:val="00737641"/>
    <w:rsid w:val="00737C72"/>
    <w:rsid w:val="007452F9"/>
    <w:rsid w:val="0074660C"/>
    <w:rsid w:val="00747B69"/>
    <w:rsid w:val="00747E37"/>
    <w:rsid w:val="00750E77"/>
    <w:rsid w:val="00751449"/>
    <w:rsid w:val="00755D95"/>
    <w:rsid w:val="00756B0E"/>
    <w:rsid w:val="00757BAA"/>
    <w:rsid w:val="00761E74"/>
    <w:rsid w:val="0076263B"/>
    <w:rsid w:val="00762B9C"/>
    <w:rsid w:val="00766232"/>
    <w:rsid w:val="00766BCF"/>
    <w:rsid w:val="00767F39"/>
    <w:rsid w:val="007705BC"/>
    <w:rsid w:val="007726E1"/>
    <w:rsid w:val="00774F4B"/>
    <w:rsid w:val="00782315"/>
    <w:rsid w:val="00786740"/>
    <w:rsid w:val="00790F6E"/>
    <w:rsid w:val="0079256F"/>
    <w:rsid w:val="0079307B"/>
    <w:rsid w:val="007941CF"/>
    <w:rsid w:val="007947AF"/>
    <w:rsid w:val="0079505C"/>
    <w:rsid w:val="00796F48"/>
    <w:rsid w:val="007A29A6"/>
    <w:rsid w:val="007A2A5E"/>
    <w:rsid w:val="007A3C6A"/>
    <w:rsid w:val="007A5821"/>
    <w:rsid w:val="007A6B87"/>
    <w:rsid w:val="007B0EBF"/>
    <w:rsid w:val="007B12EF"/>
    <w:rsid w:val="007B1909"/>
    <w:rsid w:val="007B51E2"/>
    <w:rsid w:val="007B6F81"/>
    <w:rsid w:val="007B6FF1"/>
    <w:rsid w:val="007C08B4"/>
    <w:rsid w:val="007C4AB2"/>
    <w:rsid w:val="007D52CA"/>
    <w:rsid w:val="007D5D8D"/>
    <w:rsid w:val="007D7261"/>
    <w:rsid w:val="007E10A5"/>
    <w:rsid w:val="007E2A95"/>
    <w:rsid w:val="007E3896"/>
    <w:rsid w:val="007E3D71"/>
    <w:rsid w:val="007F0036"/>
    <w:rsid w:val="007F2841"/>
    <w:rsid w:val="007F3E30"/>
    <w:rsid w:val="0080096B"/>
    <w:rsid w:val="00800B90"/>
    <w:rsid w:val="00802A66"/>
    <w:rsid w:val="00805ADD"/>
    <w:rsid w:val="008064B8"/>
    <w:rsid w:val="00807026"/>
    <w:rsid w:val="008103A0"/>
    <w:rsid w:val="00810DE3"/>
    <w:rsid w:val="00821541"/>
    <w:rsid w:val="00821A06"/>
    <w:rsid w:val="008220F3"/>
    <w:rsid w:val="00822273"/>
    <w:rsid w:val="008235DB"/>
    <w:rsid w:val="00826760"/>
    <w:rsid w:val="00826FE4"/>
    <w:rsid w:val="00830647"/>
    <w:rsid w:val="00830E80"/>
    <w:rsid w:val="00831C2C"/>
    <w:rsid w:val="00832911"/>
    <w:rsid w:val="00833EB7"/>
    <w:rsid w:val="0084092F"/>
    <w:rsid w:val="00844C87"/>
    <w:rsid w:val="00850A87"/>
    <w:rsid w:val="00851F65"/>
    <w:rsid w:val="008532FB"/>
    <w:rsid w:val="008538F2"/>
    <w:rsid w:val="008540F0"/>
    <w:rsid w:val="008568C0"/>
    <w:rsid w:val="00864874"/>
    <w:rsid w:val="008651FA"/>
    <w:rsid w:val="00870C39"/>
    <w:rsid w:val="0087157D"/>
    <w:rsid w:val="00871CA1"/>
    <w:rsid w:val="00874457"/>
    <w:rsid w:val="00874F47"/>
    <w:rsid w:val="00877D87"/>
    <w:rsid w:val="00880255"/>
    <w:rsid w:val="008810FA"/>
    <w:rsid w:val="0088112E"/>
    <w:rsid w:val="00884878"/>
    <w:rsid w:val="00885B9C"/>
    <w:rsid w:val="00886D18"/>
    <w:rsid w:val="00892103"/>
    <w:rsid w:val="00892303"/>
    <w:rsid w:val="008932A4"/>
    <w:rsid w:val="00894774"/>
    <w:rsid w:val="00895931"/>
    <w:rsid w:val="00896927"/>
    <w:rsid w:val="00897E16"/>
    <w:rsid w:val="008A144E"/>
    <w:rsid w:val="008A310A"/>
    <w:rsid w:val="008A5A4E"/>
    <w:rsid w:val="008A6603"/>
    <w:rsid w:val="008B5F65"/>
    <w:rsid w:val="008C0FBD"/>
    <w:rsid w:val="008C1CBB"/>
    <w:rsid w:val="008C4903"/>
    <w:rsid w:val="008C5617"/>
    <w:rsid w:val="008C64C4"/>
    <w:rsid w:val="008C6687"/>
    <w:rsid w:val="008C70BD"/>
    <w:rsid w:val="008C79C7"/>
    <w:rsid w:val="008C7AC8"/>
    <w:rsid w:val="008D0242"/>
    <w:rsid w:val="008D27EF"/>
    <w:rsid w:val="008D28DF"/>
    <w:rsid w:val="008D2DC8"/>
    <w:rsid w:val="008D34F9"/>
    <w:rsid w:val="008D745E"/>
    <w:rsid w:val="008E29AB"/>
    <w:rsid w:val="008E44A5"/>
    <w:rsid w:val="008E4EF2"/>
    <w:rsid w:val="008F06F2"/>
    <w:rsid w:val="008F1E28"/>
    <w:rsid w:val="008F4C4B"/>
    <w:rsid w:val="008F5D80"/>
    <w:rsid w:val="008F636B"/>
    <w:rsid w:val="008F7B8C"/>
    <w:rsid w:val="009006D2"/>
    <w:rsid w:val="009049D1"/>
    <w:rsid w:val="009103F3"/>
    <w:rsid w:val="009126A4"/>
    <w:rsid w:val="009163AF"/>
    <w:rsid w:val="00916D52"/>
    <w:rsid w:val="00923B12"/>
    <w:rsid w:val="00923D3D"/>
    <w:rsid w:val="00924CCB"/>
    <w:rsid w:val="0092520A"/>
    <w:rsid w:val="00927978"/>
    <w:rsid w:val="00932FAD"/>
    <w:rsid w:val="00936ECF"/>
    <w:rsid w:val="00937307"/>
    <w:rsid w:val="0094094D"/>
    <w:rsid w:val="009445BA"/>
    <w:rsid w:val="00945130"/>
    <w:rsid w:val="00945B0A"/>
    <w:rsid w:val="00946F68"/>
    <w:rsid w:val="009475F3"/>
    <w:rsid w:val="00951562"/>
    <w:rsid w:val="00951651"/>
    <w:rsid w:val="00953CAB"/>
    <w:rsid w:val="00954EF3"/>
    <w:rsid w:val="0095603B"/>
    <w:rsid w:val="00957948"/>
    <w:rsid w:val="009668EF"/>
    <w:rsid w:val="00967834"/>
    <w:rsid w:val="009713CF"/>
    <w:rsid w:val="0097250D"/>
    <w:rsid w:val="009729A9"/>
    <w:rsid w:val="009761F8"/>
    <w:rsid w:val="00976AF1"/>
    <w:rsid w:val="00976FB3"/>
    <w:rsid w:val="0098030D"/>
    <w:rsid w:val="00981E62"/>
    <w:rsid w:val="00985197"/>
    <w:rsid w:val="00986306"/>
    <w:rsid w:val="00987E5E"/>
    <w:rsid w:val="009928E1"/>
    <w:rsid w:val="00994D57"/>
    <w:rsid w:val="00994E93"/>
    <w:rsid w:val="00996460"/>
    <w:rsid w:val="0099677B"/>
    <w:rsid w:val="009A1E07"/>
    <w:rsid w:val="009A25EB"/>
    <w:rsid w:val="009A290D"/>
    <w:rsid w:val="009B5190"/>
    <w:rsid w:val="009B5381"/>
    <w:rsid w:val="009B654F"/>
    <w:rsid w:val="009B695F"/>
    <w:rsid w:val="009C16DF"/>
    <w:rsid w:val="009C1FDC"/>
    <w:rsid w:val="009C4804"/>
    <w:rsid w:val="009C4880"/>
    <w:rsid w:val="009D104E"/>
    <w:rsid w:val="009D1FDF"/>
    <w:rsid w:val="009D3524"/>
    <w:rsid w:val="009D384B"/>
    <w:rsid w:val="009D4D2B"/>
    <w:rsid w:val="009D5236"/>
    <w:rsid w:val="009E1667"/>
    <w:rsid w:val="009E1CA8"/>
    <w:rsid w:val="009E28E1"/>
    <w:rsid w:val="009E38C1"/>
    <w:rsid w:val="009E6780"/>
    <w:rsid w:val="009E79EC"/>
    <w:rsid w:val="009F4D99"/>
    <w:rsid w:val="009F50F0"/>
    <w:rsid w:val="00A01327"/>
    <w:rsid w:val="00A018E7"/>
    <w:rsid w:val="00A03911"/>
    <w:rsid w:val="00A05140"/>
    <w:rsid w:val="00A06FC9"/>
    <w:rsid w:val="00A10DE1"/>
    <w:rsid w:val="00A11D59"/>
    <w:rsid w:val="00A123C7"/>
    <w:rsid w:val="00A13029"/>
    <w:rsid w:val="00A14E44"/>
    <w:rsid w:val="00A14E66"/>
    <w:rsid w:val="00A16117"/>
    <w:rsid w:val="00A20730"/>
    <w:rsid w:val="00A21476"/>
    <w:rsid w:val="00A22538"/>
    <w:rsid w:val="00A22FDD"/>
    <w:rsid w:val="00A27783"/>
    <w:rsid w:val="00A27E2B"/>
    <w:rsid w:val="00A30915"/>
    <w:rsid w:val="00A33B7B"/>
    <w:rsid w:val="00A34039"/>
    <w:rsid w:val="00A3552E"/>
    <w:rsid w:val="00A417FA"/>
    <w:rsid w:val="00A42760"/>
    <w:rsid w:val="00A443C7"/>
    <w:rsid w:val="00A458B3"/>
    <w:rsid w:val="00A45B60"/>
    <w:rsid w:val="00A45E73"/>
    <w:rsid w:val="00A47E01"/>
    <w:rsid w:val="00A5551F"/>
    <w:rsid w:val="00A62E17"/>
    <w:rsid w:val="00A65CAA"/>
    <w:rsid w:val="00A662CF"/>
    <w:rsid w:val="00A6695D"/>
    <w:rsid w:val="00A67F39"/>
    <w:rsid w:val="00A71CCD"/>
    <w:rsid w:val="00A72FD1"/>
    <w:rsid w:val="00A7597E"/>
    <w:rsid w:val="00A766FD"/>
    <w:rsid w:val="00A80353"/>
    <w:rsid w:val="00A820E7"/>
    <w:rsid w:val="00A82DF8"/>
    <w:rsid w:val="00A912A7"/>
    <w:rsid w:val="00A9333E"/>
    <w:rsid w:val="00A94EC5"/>
    <w:rsid w:val="00A9554E"/>
    <w:rsid w:val="00A96B06"/>
    <w:rsid w:val="00AA31F2"/>
    <w:rsid w:val="00AA406C"/>
    <w:rsid w:val="00AA4F9F"/>
    <w:rsid w:val="00AA5E1B"/>
    <w:rsid w:val="00AA7256"/>
    <w:rsid w:val="00AA79A4"/>
    <w:rsid w:val="00AB0148"/>
    <w:rsid w:val="00AB0987"/>
    <w:rsid w:val="00AB1699"/>
    <w:rsid w:val="00AB2608"/>
    <w:rsid w:val="00AB3900"/>
    <w:rsid w:val="00AB49A1"/>
    <w:rsid w:val="00AB7149"/>
    <w:rsid w:val="00AB7215"/>
    <w:rsid w:val="00AC005D"/>
    <w:rsid w:val="00AC14DE"/>
    <w:rsid w:val="00AC56C2"/>
    <w:rsid w:val="00AC5E19"/>
    <w:rsid w:val="00AC6F49"/>
    <w:rsid w:val="00AD1F45"/>
    <w:rsid w:val="00AD2723"/>
    <w:rsid w:val="00AD3015"/>
    <w:rsid w:val="00AD445D"/>
    <w:rsid w:val="00AD4F8B"/>
    <w:rsid w:val="00AD6F47"/>
    <w:rsid w:val="00AE1053"/>
    <w:rsid w:val="00AE2781"/>
    <w:rsid w:val="00AE57B9"/>
    <w:rsid w:val="00AE5C52"/>
    <w:rsid w:val="00AE6D76"/>
    <w:rsid w:val="00AE6E0A"/>
    <w:rsid w:val="00AF045F"/>
    <w:rsid w:val="00AF0FA2"/>
    <w:rsid w:val="00AF0FDD"/>
    <w:rsid w:val="00AF209E"/>
    <w:rsid w:val="00AF5A70"/>
    <w:rsid w:val="00AF5C5C"/>
    <w:rsid w:val="00AF782A"/>
    <w:rsid w:val="00B03FB1"/>
    <w:rsid w:val="00B056B1"/>
    <w:rsid w:val="00B0754A"/>
    <w:rsid w:val="00B14488"/>
    <w:rsid w:val="00B15829"/>
    <w:rsid w:val="00B17A9D"/>
    <w:rsid w:val="00B20636"/>
    <w:rsid w:val="00B206FA"/>
    <w:rsid w:val="00B210D6"/>
    <w:rsid w:val="00B21C2F"/>
    <w:rsid w:val="00B249B7"/>
    <w:rsid w:val="00B24B03"/>
    <w:rsid w:val="00B2764E"/>
    <w:rsid w:val="00B30E77"/>
    <w:rsid w:val="00B33F27"/>
    <w:rsid w:val="00B34B88"/>
    <w:rsid w:val="00B37A25"/>
    <w:rsid w:val="00B416FB"/>
    <w:rsid w:val="00B44032"/>
    <w:rsid w:val="00B456CC"/>
    <w:rsid w:val="00B478EF"/>
    <w:rsid w:val="00B5049B"/>
    <w:rsid w:val="00B51BAD"/>
    <w:rsid w:val="00B542B1"/>
    <w:rsid w:val="00B55BE4"/>
    <w:rsid w:val="00B564A3"/>
    <w:rsid w:val="00B56514"/>
    <w:rsid w:val="00B56551"/>
    <w:rsid w:val="00B57AE9"/>
    <w:rsid w:val="00B57CA2"/>
    <w:rsid w:val="00B638BD"/>
    <w:rsid w:val="00B65EB5"/>
    <w:rsid w:val="00B66555"/>
    <w:rsid w:val="00B71A22"/>
    <w:rsid w:val="00B72CEC"/>
    <w:rsid w:val="00B73156"/>
    <w:rsid w:val="00B73689"/>
    <w:rsid w:val="00B74929"/>
    <w:rsid w:val="00B76BB1"/>
    <w:rsid w:val="00B7716B"/>
    <w:rsid w:val="00B77495"/>
    <w:rsid w:val="00B777E6"/>
    <w:rsid w:val="00B80134"/>
    <w:rsid w:val="00B80707"/>
    <w:rsid w:val="00B828BA"/>
    <w:rsid w:val="00B861D4"/>
    <w:rsid w:val="00B8671B"/>
    <w:rsid w:val="00B86BB7"/>
    <w:rsid w:val="00B8737A"/>
    <w:rsid w:val="00B87675"/>
    <w:rsid w:val="00B90652"/>
    <w:rsid w:val="00B9093E"/>
    <w:rsid w:val="00B910DF"/>
    <w:rsid w:val="00B922B9"/>
    <w:rsid w:val="00B95043"/>
    <w:rsid w:val="00B97399"/>
    <w:rsid w:val="00B9749F"/>
    <w:rsid w:val="00BA184B"/>
    <w:rsid w:val="00BA3026"/>
    <w:rsid w:val="00BA3DFA"/>
    <w:rsid w:val="00BA3EFF"/>
    <w:rsid w:val="00BA4972"/>
    <w:rsid w:val="00BA5FE7"/>
    <w:rsid w:val="00BA6D66"/>
    <w:rsid w:val="00BB1C24"/>
    <w:rsid w:val="00BB2580"/>
    <w:rsid w:val="00BB27EC"/>
    <w:rsid w:val="00BB37EE"/>
    <w:rsid w:val="00BB530B"/>
    <w:rsid w:val="00BB58D3"/>
    <w:rsid w:val="00BC179B"/>
    <w:rsid w:val="00BC432E"/>
    <w:rsid w:val="00BC6774"/>
    <w:rsid w:val="00BC6C8B"/>
    <w:rsid w:val="00BC6EEF"/>
    <w:rsid w:val="00BC7980"/>
    <w:rsid w:val="00BD02F9"/>
    <w:rsid w:val="00BD23EA"/>
    <w:rsid w:val="00BD28C5"/>
    <w:rsid w:val="00BD2FEE"/>
    <w:rsid w:val="00BD4D43"/>
    <w:rsid w:val="00BD7695"/>
    <w:rsid w:val="00BD771F"/>
    <w:rsid w:val="00BE0D5C"/>
    <w:rsid w:val="00BE0EE1"/>
    <w:rsid w:val="00BE4BDF"/>
    <w:rsid w:val="00BE5FED"/>
    <w:rsid w:val="00BE65E4"/>
    <w:rsid w:val="00BE7D81"/>
    <w:rsid w:val="00BF0AA7"/>
    <w:rsid w:val="00BF2F97"/>
    <w:rsid w:val="00C00765"/>
    <w:rsid w:val="00C00E26"/>
    <w:rsid w:val="00C03A2E"/>
    <w:rsid w:val="00C06287"/>
    <w:rsid w:val="00C10061"/>
    <w:rsid w:val="00C12309"/>
    <w:rsid w:val="00C13763"/>
    <w:rsid w:val="00C1719F"/>
    <w:rsid w:val="00C20419"/>
    <w:rsid w:val="00C20D5E"/>
    <w:rsid w:val="00C23583"/>
    <w:rsid w:val="00C238BB"/>
    <w:rsid w:val="00C23913"/>
    <w:rsid w:val="00C25E73"/>
    <w:rsid w:val="00C309DF"/>
    <w:rsid w:val="00C312CC"/>
    <w:rsid w:val="00C34442"/>
    <w:rsid w:val="00C36C67"/>
    <w:rsid w:val="00C378DC"/>
    <w:rsid w:val="00C4066A"/>
    <w:rsid w:val="00C40D0E"/>
    <w:rsid w:val="00C440B2"/>
    <w:rsid w:val="00C452CA"/>
    <w:rsid w:val="00C469FC"/>
    <w:rsid w:val="00C4705F"/>
    <w:rsid w:val="00C51DF7"/>
    <w:rsid w:val="00C5255D"/>
    <w:rsid w:val="00C56BAB"/>
    <w:rsid w:val="00C57E14"/>
    <w:rsid w:val="00C602B7"/>
    <w:rsid w:val="00C60D92"/>
    <w:rsid w:val="00C64298"/>
    <w:rsid w:val="00C65930"/>
    <w:rsid w:val="00C65A81"/>
    <w:rsid w:val="00C7452F"/>
    <w:rsid w:val="00C75509"/>
    <w:rsid w:val="00C75AB0"/>
    <w:rsid w:val="00C80AE8"/>
    <w:rsid w:val="00C81F83"/>
    <w:rsid w:val="00C82AA4"/>
    <w:rsid w:val="00C8305C"/>
    <w:rsid w:val="00C844D6"/>
    <w:rsid w:val="00C85FF6"/>
    <w:rsid w:val="00C86B54"/>
    <w:rsid w:val="00C8709C"/>
    <w:rsid w:val="00C92E32"/>
    <w:rsid w:val="00C9326B"/>
    <w:rsid w:val="00C95691"/>
    <w:rsid w:val="00C95C53"/>
    <w:rsid w:val="00C96429"/>
    <w:rsid w:val="00C96A47"/>
    <w:rsid w:val="00C970CE"/>
    <w:rsid w:val="00CA1ECD"/>
    <w:rsid w:val="00CA4C7F"/>
    <w:rsid w:val="00CB02D7"/>
    <w:rsid w:val="00CB13B7"/>
    <w:rsid w:val="00CB1722"/>
    <w:rsid w:val="00CB37D6"/>
    <w:rsid w:val="00CB7087"/>
    <w:rsid w:val="00CB723D"/>
    <w:rsid w:val="00CC41EE"/>
    <w:rsid w:val="00CD061B"/>
    <w:rsid w:val="00CD0BF5"/>
    <w:rsid w:val="00CD0FA4"/>
    <w:rsid w:val="00CD1089"/>
    <w:rsid w:val="00CD1BCD"/>
    <w:rsid w:val="00CD1D85"/>
    <w:rsid w:val="00CD41F8"/>
    <w:rsid w:val="00CD5DE2"/>
    <w:rsid w:val="00CD6D61"/>
    <w:rsid w:val="00CD7D66"/>
    <w:rsid w:val="00CD7FFC"/>
    <w:rsid w:val="00CE2C6E"/>
    <w:rsid w:val="00CE2D75"/>
    <w:rsid w:val="00CE41E5"/>
    <w:rsid w:val="00CE61AE"/>
    <w:rsid w:val="00CE6C66"/>
    <w:rsid w:val="00CE799B"/>
    <w:rsid w:val="00CF321C"/>
    <w:rsid w:val="00CF4FE6"/>
    <w:rsid w:val="00CF556F"/>
    <w:rsid w:val="00CF5974"/>
    <w:rsid w:val="00D0030F"/>
    <w:rsid w:val="00D02E06"/>
    <w:rsid w:val="00D0445F"/>
    <w:rsid w:val="00D0608D"/>
    <w:rsid w:val="00D061D5"/>
    <w:rsid w:val="00D06E87"/>
    <w:rsid w:val="00D06EFC"/>
    <w:rsid w:val="00D074BF"/>
    <w:rsid w:val="00D07540"/>
    <w:rsid w:val="00D1197E"/>
    <w:rsid w:val="00D122E5"/>
    <w:rsid w:val="00D1619E"/>
    <w:rsid w:val="00D20CDD"/>
    <w:rsid w:val="00D216BA"/>
    <w:rsid w:val="00D219C1"/>
    <w:rsid w:val="00D22C33"/>
    <w:rsid w:val="00D23B6A"/>
    <w:rsid w:val="00D27373"/>
    <w:rsid w:val="00D30F78"/>
    <w:rsid w:val="00D32833"/>
    <w:rsid w:val="00D33DA7"/>
    <w:rsid w:val="00D3507E"/>
    <w:rsid w:val="00D354D0"/>
    <w:rsid w:val="00D37D29"/>
    <w:rsid w:val="00D41D9A"/>
    <w:rsid w:val="00D42F10"/>
    <w:rsid w:val="00D44228"/>
    <w:rsid w:val="00D45ABF"/>
    <w:rsid w:val="00D472D8"/>
    <w:rsid w:val="00D5255B"/>
    <w:rsid w:val="00D52B34"/>
    <w:rsid w:val="00D538F6"/>
    <w:rsid w:val="00D5457D"/>
    <w:rsid w:val="00D54EF5"/>
    <w:rsid w:val="00D56FF4"/>
    <w:rsid w:val="00D6213A"/>
    <w:rsid w:val="00D63E12"/>
    <w:rsid w:val="00D67092"/>
    <w:rsid w:val="00D70223"/>
    <w:rsid w:val="00D70BA2"/>
    <w:rsid w:val="00D73760"/>
    <w:rsid w:val="00D74036"/>
    <w:rsid w:val="00D802BD"/>
    <w:rsid w:val="00D808EE"/>
    <w:rsid w:val="00D8200B"/>
    <w:rsid w:val="00D87FE7"/>
    <w:rsid w:val="00D91885"/>
    <w:rsid w:val="00D93663"/>
    <w:rsid w:val="00D94097"/>
    <w:rsid w:val="00D95DDC"/>
    <w:rsid w:val="00D96B60"/>
    <w:rsid w:val="00DA0634"/>
    <w:rsid w:val="00DA3D9D"/>
    <w:rsid w:val="00DA3E6F"/>
    <w:rsid w:val="00DA62C5"/>
    <w:rsid w:val="00DA7A47"/>
    <w:rsid w:val="00DA7CB8"/>
    <w:rsid w:val="00DA7DA7"/>
    <w:rsid w:val="00DB0CB2"/>
    <w:rsid w:val="00DB0FFA"/>
    <w:rsid w:val="00DB446B"/>
    <w:rsid w:val="00DC08BC"/>
    <w:rsid w:val="00DC16A5"/>
    <w:rsid w:val="00DC1F63"/>
    <w:rsid w:val="00DC5126"/>
    <w:rsid w:val="00DD1011"/>
    <w:rsid w:val="00DD6BBB"/>
    <w:rsid w:val="00DE221F"/>
    <w:rsid w:val="00DE3A2A"/>
    <w:rsid w:val="00DE55E6"/>
    <w:rsid w:val="00DE5DBB"/>
    <w:rsid w:val="00DE63E0"/>
    <w:rsid w:val="00DF1020"/>
    <w:rsid w:val="00DF169D"/>
    <w:rsid w:val="00DF48F1"/>
    <w:rsid w:val="00DF5A87"/>
    <w:rsid w:val="00DF7AE1"/>
    <w:rsid w:val="00E0241F"/>
    <w:rsid w:val="00E04482"/>
    <w:rsid w:val="00E04D37"/>
    <w:rsid w:val="00E05840"/>
    <w:rsid w:val="00E07968"/>
    <w:rsid w:val="00E10BA8"/>
    <w:rsid w:val="00E12448"/>
    <w:rsid w:val="00E13DC5"/>
    <w:rsid w:val="00E1419A"/>
    <w:rsid w:val="00E14683"/>
    <w:rsid w:val="00E207DB"/>
    <w:rsid w:val="00E21EFB"/>
    <w:rsid w:val="00E2267F"/>
    <w:rsid w:val="00E235D4"/>
    <w:rsid w:val="00E23FB6"/>
    <w:rsid w:val="00E25FBA"/>
    <w:rsid w:val="00E270B7"/>
    <w:rsid w:val="00E27C9F"/>
    <w:rsid w:val="00E3286E"/>
    <w:rsid w:val="00E33585"/>
    <w:rsid w:val="00E36A50"/>
    <w:rsid w:val="00E41B22"/>
    <w:rsid w:val="00E43C87"/>
    <w:rsid w:val="00E44BDB"/>
    <w:rsid w:val="00E528EB"/>
    <w:rsid w:val="00E5370B"/>
    <w:rsid w:val="00E55405"/>
    <w:rsid w:val="00E56811"/>
    <w:rsid w:val="00E56A3E"/>
    <w:rsid w:val="00E6139F"/>
    <w:rsid w:val="00E61E1E"/>
    <w:rsid w:val="00E62387"/>
    <w:rsid w:val="00E64B3B"/>
    <w:rsid w:val="00E65E2A"/>
    <w:rsid w:val="00E67D97"/>
    <w:rsid w:val="00E71A05"/>
    <w:rsid w:val="00E72C7B"/>
    <w:rsid w:val="00E742BC"/>
    <w:rsid w:val="00E77ED8"/>
    <w:rsid w:val="00E80AB0"/>
    <w:rsid w:val="00E8435E"/>
    <w:rsid w:val="00E90657"/>
    <w:rsid w:val="00E90B9D"/>
    <w:rsid w:val="00E923F1"/>
    <w:rsid w:val="00E96A6F"/>
    <w:rsid w:val="00E97C24"/>
    <w:rsid w:val="00EA12A0"/>
    <w:rsid w:val="00EA1B79"/>
    <w:rsid w:val="00EA1EBF"/>
    <w:rsid w:val="00EA42B1"/>
    <w:rsid w:val="00EA6D03"/>
    <w:rsid w:val="00EB046E"/>
    <w:rsid w:val="00EB156E"/>
    <w:rsid w:val="00EB1D3D"/>
    <w:rsid w:val="00EB3BAA"/>
    <w:rsid w:val="00EB3D8A"/>
    <w:rsid w:val="00EB4AF9"/>
    <w:rsid w:val="00EB6139"/>
    <w:rsid w:val="00EB711D"/>
    <w:rsid w:val="00EC0476"/>
    <w:rsid w:val="00EC71ED"/>
    <w:rsid w:val="00EC7486"/>
    <w:rsid w:val="00ED04F4"/>
    <w:rsid w:val="00ED2536"/>
    <w:rsid w:val="00ED27A5"/>
    <w:rsid w:val="00ED49B6"/>
    <w:rsid w:val="00ED7450"/>
    <w:rsid w:val="00ED7B38"/>
    <w:rsid w:val="00EE0057"/>
    <w:rsid w:val="00EE0E84"/>
    <w:rsid w:val="00EE120A"/>
    <w:rsid w:val="00EE208F"/>
    <w:rsid w:val="00EE308D"/>
    <w:rsid w:val="00EE3ED5"/>
    <w:rsid w:val="00EE44C9"/>
    <w:rsid w:val="00EE4DE8"/>
    <w:rsid w:val="00EE5AE8"/>
    <w:rsid w:val="00EF087C"/>
    <w:rsid w:val="00EF2769"/>
    <w:rsid w:val="00EF366A"/>
    <w:rsid w:val="00EF4DF3"/>
    <w:rsid w:val="00F02F28"/>
    <w:rsid w:val="00F0799D"/>
    <w:rsid w:val="00F12744"/>
    <w:rsid w:val="00F12B53"/>
    <w:rsid w:val="00F13A73"/>
    <w:rsid w:val="00F13F24"/>
    <w:rsid w:val="00F1419E"/>
    <w:rsid w:val="00F14534"/>
    <w:rsid w:val="00F14AC2"/>
    <w:rsid w:val="00F209D8"/>
    <w:rsid w:val="00F259F9"/>
    <w:rsid w:val="00F27ED1"/>
    <w:rsid w:val="00F30CF8"/>
    <w:rsid w:val="00F31315"/>
    <w:rsid w:val="00F40408"/>
    <w:rsid w:val="00F42301"/>
    <w:rsid w:val="00F42C0C"/>
    <w:rsid w:val="00F42F5E"/>
    <w:rsid w:val="00F46297"/>
    <w:rsid w:val="00F46ABC"/>
    <w:rsid w:val="00F47305"/>
    <w:rsid w:val="00F5172B"/>
    <w:rsid w:val="00F53295"/>
    <w:rsid w:val="00F53655"/>
    <w:rsid w:val="00F53C1E"/>
    <w:rsid w:val="00F55290"/>
    <w:rsid w:val="00F55956"/>
    <w:rsid w:val="00F56BA4"/>
    <w:rsid w:val="00F56CA9"/>
    <w:rsid w:val="00F604D3"/>
    <w:rsid w:val="00F6071E"/>
    <w:rsid w:val="00F614AD"/>
    <w:rsid w:val="00F616C5"/>
    <w:rsid w:val="00F61B3F"/>
    <w:rsid w:val="00F62CFC"/>
    <w:rsid w:val="00F633E3"/>
    <w:rsid w:val="00F639E2"/>
    <w:rsid w:val="00F65284"/>
    <w:rsid w:val="00F711FF"/>
    <w:rsid w:val="00F71512"/>
    <w:rsid w:val="00F732DE"/>
    <w:rsid w:val="00F74363"/>
    <w:rsid w:val="00F74FA5"/>
    <w:rsid w:val="00F75FF4"/>
    <w:rsid w:val="00F7658C"/>
    <w:rsid w:val="00F769FF"/>
    <w:rsid w:val="00F77E6A"/>
    <w:rsid w:val="00F81D93"/>
    <w:rsid w:val="00F831FB"/>
    <w:rsid w:val="00F8440A"/>
    <w:rsid w:val="00F86C62"/>
    <w:rsid w:val="00F907B5"/>
    <w:rsid w:val="00F93164"/>
    <w:rsid w:val="00F93332"/>
    <w:rsid w:val="00F93A89"/>
    <w:rsid w:val="00F940A3"/>
    <w:rsid w:val="00F9413F"/>
    <w:rsid w:val="00F94A2D"/>
    <w:rsid w:val="00F94D21"/>
    <w:rsid w:val="00F96F4B"/>
    <w:rsid w:val="00F97D22"/>
    <w:rsid w:val="00FA11D0"/>
    <w:rsid w:val="00FA14EB"/>
    <w:rsid w:val="00FA344A"/>
    <w:rsid w:val="00FA39DE"/>
    <w:rsid w:val="00FA406D"/>
    <w:rsid w:val="00FA44DE"/>
    <w:rsid w:val="00FA4570"/>
    <w:rsid w:val="00FB3748"/>
    <w:rsid w:val="00FB5056"/>
    <w:rsid w:val="00FC015B"/>
    <w:rsid w:val="00FC019D"/>
    <w:rsid w:val="00FC19A6"/>
    <w:rsid w:val="00FC3C87"/>
    <w:rsid w:val="00FD0CB0"/>
    <w:rsid w:val="00FD1315"/>
    <w:rsid w:val="00FD19F3"/>
    <w:rsid w:val="00FD7BD8"/>
    <w:rsid w:val="00FE1536"/>
    <w:rsid w:val="00FE25EE"/>
    <w:rsid w:val="00FE4491"/>
    <w:rsid w:val="00FE52D4"/>
    <w:rsid w:val="00FE5718"/>
    <w:rsid w:val="00FE68CD"/>
    <w:rsid w:val="00FF061A"/>
    <w:rsid w:val="00FF2137"/>
    <w:rsid w:val="00FF2D07"/>
    <w:rsid w:val="00FF3DA4"/>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footer"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B9093E"/>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6D0BC5"/>
    <w:pPr>
      <w:keepNext w:val="0"/>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6D0BC5"/>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rsid w:val="009E79EC"/>
    <w:pPr>
      <w:spacing w:line="240" w:lineRule="atLeast"/>
    </w:pPr>
    <w:rPr>
      <w:sz w:val="18"/>
      <w:szCs w:val="18"/>
    </w:rPr>
  </w:style>
  <w:style w:type="character" w:customStyle="1" w:styleId="CommentTextChar">
    <w:name w:val="Comment Text Char"/>
    <w:basedOn w:val="DefaultParagraphFont"/>
    <w:link w:val="CommentText"/>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1171DE"/>
    <w:rPr>
      <w:rFonts w:ascii="Franklin Gothic Book" w:eastAsia="Times New Roman" w:hAnsi="Franklin Gothic Book" w:cs="Arial"/>
      <w:sz w:val="20"/>
      <w:szCs w:val="19"/>
    </w:rPr>
  </w:style>
  <w:style w:type="paragraph" w:styleId="FootnoteText">
    <w:name w:val="footnote text"/>
    <w:basedOn w:val="BodyText"/>
    <w:link w:val="FootnoteTextChar"/>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NoteNumber">
    <w:name w:val="Note Number"/>
    <w:basedOn w:val="TableTextEntries"/>
    <w:link w:val="NoteNumberCharChar"/>
    <w:rsid w:val="0019212E"/>
    <w:pPr>
      <w:numPr>
        <w:numId w:val="20"/>
      </w:numPr>
      <w:spacing w:after="0" w:line="180" w:lineRule="atLeast"/>
    </w:pPr>
    <w:rPr>
      <w:rFonts w:ascii="Times New Roman" w:hAnsi="Times New Roman"/>
      <w:iCs w:val="0"/>
      <w:sz w:val="14"/>
      <w:szCs w:val="14"/>
    </w:rPr>
  </w:style>
  <w:style w:type="character" w:customStyle="1" w:styleId="NoteNumberCharChar">
    <w:name w:val="Note Number Char Char"/>
    <w:link w:val="NoteNumber"/>
    <w:rsid w:val="0019212E"/>
    <w:rPr>
      <w:rFonts w:ascii="Times New Roman" w:eastAsia="Times New Roman" w:hAnsi="Times New Roman" w:cs="Times New Roman"/>
      <w:sz w:val="14"/>
      <w:szCs w:val="14"/>
      <w:lang w:eastAsia="en-US"/>
    </w:rPr>
  </w:style>
  <w:style w:type="character" w:customStyle="1" w:styleId="librios-ddef">
    <w:name w:val="librios-ddef"/>
    <w:basedOn w:val="DefaultParagraphFont"/>
    <w:rsid w:val="00A72F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footer"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B9093E"/>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6D0BC5"/>
    <w:pPr>
      <w:keepNext w:val="0"/>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6D0BC5"/>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rsid w:val="009E79EC"/>
    <w:pPr>
      <w:spacing w:line="240" w:lineRule="atLeast"/>
    </w:pPr>
    <w:rPr>
      <w:sz w:val="18"/>
      <w:szCs w:val="18"/>
    </w:rPr>
  </w:style>
  <w:style w:type="character" w:customStyle="1" w:styleId="CommentTextChar">
    <w:name w:val="Comment Text Char"/>
    <w:basedOn w:val="DefaultParagraphFont"/>
    <w:link w:val="CommentText"/>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1171DE"/>
    <w:rPr>
      <w:rFonts w:ascii="Franklin Gothic Book" w:eastAsia="Times New Roman" w:hAnsi="Franklin Gothic Book" w:cs="Arial"/>
      <w:sz w:val="20"/>
      <w:szCs w:val="19"/>
    </w:rPr>
  </w:style>
  <w:style w:type="paragraph" w:styleId="FootnoteText">
    <w:name w:val="footnote text"/>
    <w:basedOn w:val="BodyText"/>
    <w:link w:val="FootnoteTextChar"/>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NoteNumber">
    <w:name w:val="Note Number"/>
    <w:basedOn w:val="TableTextEntries"/>
    <w:link w:val="NoteNumberCharChar"/>
    <w:rsid w:val="0019212E"/>
    <w:pPr>
      <w:numPr>
        <w:numId w:val="20"/>
      </w:numPr>
      <w:spacing w:after="0" w:line="180" w:lineRule="atLeast"/>
    </w:pPr>
    <w:rPr>
      <w:rFonts w:ascii="Times New Roman" w:hAnsi="Times New Roman"/>
      <w:iCs w:val="0"/>
      <w:sz w:val="14"/>
      <w:szCs w:val="14"/>
    </w:rPr>
  </w:style>
  <w:style w:type="character" w:customStyle="1" w:styleId="NoteNumberCharChar">
    <w:name w:val="Note Number Char Char"/>
    <w:link w:val="NoteNumber"/>
    <w:rsid w:val="0019212E"/>
    <w:rPr>
      <w:rFonts w:ascii="Times New Roman" w:eastAsia="Times New Roman" w:hAnsi="Times New Roman" w:cs="Times New Roman"/>
      <w:sz w:val="14"/>
      <w:szCs w:val="14"/>
      <w:lang w:eastAsia="en-US"/>
    </w:rPr>
  </w:style>
  <w:style w:type="character" w:customStyle="1" w:styleId="librios-ddef">
    <w:name w:val="librios-ddef"/>
    <w:basedOn w:val="DefaultParagraphFont"/>
    <w:rsid w:val="00A72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184488014">
      <w:bodyDiv w:val="1"/>
      <w:marLeft w:val="0"/>
      <w:marRight w:val="0"/>
      <w:marTop w:val="0"/>
      <w:marBottom w:val="0"/>
      <w:divBdr>
        <w:top w:val="none" w:sz="0" w:space="0" w:color="auto"/>
        <w:left w:val="none" w:sz="0" w:space="0" w:color="auto"/>
        <w:bottom w:val="none" w:sz="0" w:space="0" w:color="auto"/>
        <w:right w:val="none" w:sz="0" w:space="0" w:color="auto"/>
      </w:divBdr>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54197036">
      <w:bodyDiv w:val="1"/>
      <w:marLeft w:val="0"/>
      <w:marRight w:val="0"/>
      <w:marTop w:val="0"/>
      <w:marBottom w:val="0"/>
      <w:divBdr>
        <w:top w:val="none" w:sz="0" w:space="0" w:color="auto"/>
        <w:left w:val="none" w:sz="0" w:space="0" w:color="auto"/>
        <w:bottom w:val="none" w:sz="0" w:space="0" w:color="auto"/>
        <w:right w:val="none" w:sz="0" w:space="0" w:color="auto"/>
      </w:divBdr>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349256115">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636137131">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741792">
      <w:bodyDiv w:val="1"/>
      <w:marLeft w:val="0"/>
      <w:marRight w:val="0"/>
      <w:marTop w:val="0"/>
      <w:marBottom w:val="0"/>
      <w:divBdr>
        <w:top w:val="none" w:sz="0" w:space="0" w:color="auto"/>
        <w:left w:val="none" w:sz="0" w:space="0" w:color="auto"/>
        <w:bottom w:val="none" w:sz="0" w:space="0" w:color="auto"/>
        <w:right w:val="none" w:sz="0" w:space="0" w:color="auto"/>
      </w:divBdr>
      <w:divsChild>
        <w:div w:id="1828277730">
          <w:marLeft w:val="0"/>
          <w:marRight w:val="0"/>
          <w:marTop w:val="0"/>
          <w:marBottom w:val="0"/>
          <w:divBdr>
            <w:top w:val="none" w:sz="0" w:space="0" w:color="auto"/>
            <w:left w:val="none" w:sz="0" w:space="0" w:color="auto"/>
            <w:bottom w:val="none" w:sz="0" w:space="0" w:color="auto"/>
            <w:right w:val="none" w:sz="0" w:space="0" w:color="auto"/>
          </w:divBdr>
          <w:divsChild>
            <w:div w:id="539055022">
              <w:marLeft w:val="0"/>
              <w:marRight w:val="0"/>
              <w:marTop w:val="0"/>
              <w:marBottom w:val="0"/>
              <w:divBdr>
                <w:top w:val="none" w:sz="0" w:space="0" w:color="auto"/>
                <w:left w:val="none" w:sz="0" w:space="0" w:color="auto"/>
                <w:bottom w:val="none" w:sz="0" w:space="0" w:color="auto"/>
                <w:right w:val="none" w:sz="0" w:space="0" w:color="auto"/>
              </w:divBdr>
              <w:divsChild>
                <w:div w:id="13920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customXml" Target="../customXml/item2.xml"/></Relationships>
</file>

<file path=word/_rels/foot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aid.dfat.gov.au/countries/eastasia/regional/Pages/home.aspx" TargetMode="External"/><Relationship Id="rId2" Type="http://schemas.openxmlformats.org/officeDocument/2006/relationships/hyperlink" Target="http://www.ilo.org/global/topics/forced-labour/publications/WCMS_182004/lang--en/index.htm" TargetMode="External"/><Relationship Id="rId1" Type="http://schemas.openxmlformats.org/officeDocument/2006/relationships/hyperlink" Target="http://povertydata.worldbank.org/poverty/region/EAP"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079003-9E08-46F4-A74B-FCC11A5D523E}"/>
</file>

<file path=customXml/itemProps2.xml><?xml version="1.0" encoding="utf-8"?>
<ds:datastoreItem xmlns:ds="http://schemas.openxmlformats.org/officeDocument/2006/customXml" ds:itemID="{9091919C-708B-4FA8-A106-4F827E0B5D1C}"/>
</file>

<file path=customXml/itemProps3.xml><?xml version="1.0" encoding="utf-8"?>
<ds:datastoreItem xmlns:ds="http://schemas.openxmlformats.org/officeDocument/2006/customXml" ds:itemID="{AA9849D0-5A00-42A7-97E7-0EEAC959A86C}"/>
</file>

<file path=customXml/itemProps4.xml><?xml version="1.0" encoding="utf-8"?>
<ds:datastoreItem xmlns:ds="http://schemas.openxmlformats.org/officeDocument/2006/customXml" ds:itemID="{516C2C4F-E423-49D9-8820-C63B10BD3788}"/>
</file>

<file path=docProps/app.xml><?xml version="1.0" encoding="utf-8"?>
<Properties xmlns="http://schemas.openxmlformats.org/officeDocument/2006/extended-properties" xmlns:vt="http://schemas.openxmlformats.org/officeDocument/2006/docPropsVTypes">
  <Template>31DEBC81</Template>
  <TotalTime>0</TotalTime>
  <Pages>25</Pages>
  <Words>9581</Words>
  <Characters>54614</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2014-11-05T05:22:00Z</dcterms:created>
  <dcterms:modified xsi:type="dcterms:W3CDTF">2014-11-05T05:22:00Z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908300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