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29F" w:rsidRPr="00D17249" w:rsidRDefault="00703B72" w:rsidP="00703B72">
      <w:pPr>
        <w:pStyle w:val="APPRTitle"/>
      </w:pPr>
      <w:r w:rsidRPr="00703B72">
        <w:t xml:space="preserve">East Asia Regional Organisations and Programs </w:t>
      </w:r>
      <w:r w:rsidR="003A05C5">
        <w:rPr>
          <w:noProof/>
          <w:lang w:val="en-US" w:eastAsia="en-US"/>
        </w:rPr>
        <w:drawing>
          <wp:anchor distT="0" distB="0" distL="114300" distR="114300" simplePos="0" relativeHeight="251657728" behindDoc="1" locked="0" layoutInCell="1" allowOverlap="1">
            <wp:simplePos x="0" y="0"/>
            <wp:positionH relativeFrom="page">
              <wp:posOffset>0</wp:posOffset>
            </wp:positionH>
            <wp:positionV relativeFrom="page">
              <wp:posOffset>3175</wp:posOffset>
            </wp:positionV>
            <wp:extent cx="7560310" cy="3024505"/>
            <wp:effectExtent l="0" t="0" r="2540" b="4445"/>
            <wp:wrapNone/>
            <wp:docPr id="66" name="Picture 2" descr="Description: AusAID Logo_facsheet_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usAID Logo_facsheet_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302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0529F" w:rsidRPr="00D17249">
        <w:t xml:space="preserve">Annual Program Performance Report 2011 </w:t>
      </w:r>
    </w:p>
    <w:p w:rsidR="00EF2769" w:rsidRDefault="002A1FB4" w:rsidP="007A7FB5">
      <w:pPr>
        <w:pStyle w:val="Date"/>
        <w:spacing w:after="1500"/>
      </w:pPr>
      <w:r>
        <w:t>August</w:t>
      </w:r>
      <w:r w:rsidR="0050529F" w:rsidRPr="00B638BD">
        <w:t xml:space="preserve"> 2012</w:t>
      </w:r>
    </w:p>
    <w:p w:rsidR="00811573" w:rsidRDefault="00811573">
      <w:pPr>
        <w:pStyle w:val="TOCHeading"/>
      </w:pPr>
      <w:r>
        <w:t>Contents</w:t>
      </w:r>
    </w:p>
    <w:p w:rsidR="00811573" w:rsidRDefault="00811573">
      <w:pPr>
        <w:pStyle w:val="TOC1"/>
        <w:rPr>
          <w:rFonts w:ascii="Calibri" w:hAnsi="Calibri" w:cs="Arial"/>
          <w:noProof/>
          <w:color w:val="auto"/>
          <w:sz w:val="22"/>
          <w:szCs w:val="22"/>
          <w:lang w:val="en-US" w:eastAsia="en-US"/>
        </w:rPr>
      </w:pPr>
      <w:r>
        <w:fldChar w:fldCharType="begin"/>
      </w:r>
      <w:r>
        <w:instrText xml:space="preserve"> TOC \o "1-3" \h \z \u </w:instrText>
      </w:r>
      <w:r>
        <w:fldChar w:fldCharType="separate"/>
      </w:r>
      <w:hyperlink w:anchor="_Toc360980031" w:history="1">
        <w:r w:rsidRPr="002A2882">
          <w:rPr>
            <w:rStyle w:val="Hyperlink"/>
            <w:noProof/>
          </w:rPr>
          <w:t>Summary</w:t>
        </w:r>
        <w:r>
          <w:rPr>
            <w:noProof/>
            <w:webHidden/>
          </w:rPr>
          <w:tab/>
        </w:r>
        <w:r>
          <w:rPr>
            <w:noProof/>
            <w:webHidden/>
          </w:rPr>
          <w:fldChar w:fldCharType="begin"/>
        </w:r>
        <w:r>
          <w:rPr>
            <w:noProof/>
            <w:webHidden/>
          </w:rPr>
          <w:instrText xml:space="preserve"> PAGEREF _Toc360980031 \h </w:instrText>
        </w:r>
        <w:r>
          <w:rPr>
            <w:noProof/>
            <w:webHidden/>
          </w:rPr>
        </w:r>
        <w:r>
          <w:rPr>
            <w:noProof/>
            <w:webHidden/>
          </w:rPr>
          <w:fldChar w:fldCharType="separate"/>
        </w:r>
        <w:r>
          <w:rPr>
            <w:noProof/>
            <w:webHidden/>
          </w:rPr>
          <w:t>1</w:t>
        </w:r>
        <w:r>
          <w:rPr>
            <w:noProof/>
            <w:webHidden/>
          </w:rPr>
          <w:fldChar w:fldCharType="end"/>
        </w:r>
      </w:hyperlink>
    </w:p>
    <w:p w:rsidR="00811573" w:rsidRDefault="00811573">
      <w:pPr>
        <w:pStyle w:val="TOC1"/>
        <w:rPr>
          <w:rFonts w:ascii="Calibri" w:hAnsi="Calibri" w:cs="Arial"/>
          <w:noProof/>
          <w:color w:val="auto"/>
          <w:sz w:val="22"/>
          <w:szCs w:val="22"/>
          <w:lang w:val="en-US" w:eastAsia="en-US"/>
        </w:rPr>
      </w:pPr>
      <w:hyperlink w:anchor="_Toc360980032" w:history="1">
        <w:r w:rsidRPr="002A2882">
          <w:rPr>
            <w:rStyle w:val="Hyperlink"/>
            <w:noProof/>
          </w:rPr>
          <w:t>Context</w:t>
        </w:r>
        <w:r>
          <w:rPr>
            <w:noProof/>
            <w:webHidden/>
          </w:rPr>
          <w:tab/>
        </w:r>
        <w:r>
          <w:rPr>
            <w:noProof/>
            <w:webHidden/>
          </w:rPr>
          <w:fldChar w:fldCharType="begin"/>
        </w:r>
        <w:r>
          <w:rPr>
            <w:noProof/>
            <w:webHidden/>
          </w:rPr>
          <w:instrText xml:space="preserve"> PAGEREF _Toc360980032 \h </w:instrText>
        </w:r>
        <w:r>
          <w:rPr>
            <w:noProof/>
            <w:webHidden/>
          </w:rPr>
        </w:r>
        <w:r>
          <w:rPr>
            <w:noProof/>
            <w:webHidden/>
          </w:rPr>
          <w:fldChar w:fldCharType="separate"/>
        </w:r>
        <w:r>
          <w:rPr>
            <w:noProof/>
            <w:webHidden/>
          </w:rPr>
          <w:t>1</w:t>
        </w:r>
        <w:r>
          <w:rPr>
            <w:noProof/>
            <w:webHidden/>
          </w:rPr>
          <w:fldChar w:fldCharType="end"/>
        </w:r>
      </w:hyperlink>
    </w:p>
    <w:p w:rsidR="00811573" w:rsidRDefault="00811573">
      <w:pPr>
        <w:pStyle w:val="TOC1"/>
        <w:rPr>
          <w:rFonts w:ascii="Calibri" w:hAnsi="Calibri" w:cs="Arial"/>
          <w:noProof/>
          <w:color w:val="auto"/>
          <w:sz w:val="22"/>
          <w:szCs w:val="22"/>
          <w:lang w:val="en-US" w:eastAsia="en-US"/>
        </w:rPr>
      </w:pPr>
      <w:hyperlink w:anchor="_Toc360980033" w:history="1">
        <w:r w:rsidRPr="002A2882">
          <w:rPr>
            <w:rStyle w:val="Hyperlink"/>
            <w:noProof/>
          </w:rPr>
          <w:t>Program objectives and strategy</w:t>
        </w:r>
        <w:r>
          <w:rPr>
            <w:noProof/>
            <w:webHidden/>
          </w:rPr>
          <w:tab/>
        </w:r>
        <w:r>
          <w:rPr>
            <w:noProof/>
            <w:webHidden/>
          </w:rPr>
          <w:fldChar w:fldCharType="begin"/>
        </w:r>
        <w:r>
          <w:rPr>
            <w:noProof/>
            <w:webHidden/>
          </w:rPr>
          <w:instrText xml:space="preserve"> PAGEREF _Toc360980033 \h </w:instrText>
        </w:r>
        <w:r>
          <w:rPr>
            <w:noProof/>
            <w:webHidden/>
          </w:rPr>
        </w:r>
        <w:r>
          <w:rPr>
            <w:noProof/>
            <w:webHidden/>
          </w:rPr>
          <w:fldChar w:fldCharType="separate"/>
        </w:r>
        <w:r>
          <w:rPr>
            <w:noProof/>
            <w:webHidden/>
          </w:rPr>
          <w:t>2</w:t>
        </w:r>
        <w:r>
          <w:rPr>
            <w:noProof/>
            <w:webHidden/>
          </w:rPr>
          <w:fldChar w:fldCharType="end"/>
        </w:r>
      </w:hyperlink>
    </w:p>
    <w:p w:rsidR="00811573" w:rsidRDefault="00811573">
      <w:pPr>
        <w:pStyle w:val="TOC2"/>
        <w:rPr>
          <w:rFonts w:ascii="Calibri" w:hAnsi="Calibri" w:cs="Arial"/>
          <w:noProof/>
          <w:color w:val="auto"/>
          <w:sz w:val="22"/>
          <w:szCs w:val="22"/>
          <w:lang w:val="en-US" w:eastAsia="en-US"/>
        </w:rPr>
      </w:pPr>
      <w:hyperlink w:anchor="_Toc360980034" w:history="1">
        <w:r w:rsidRPr="002A2882">
          <w:rPr>
            <w:rStyle w:val="Hyperlink"/>
            <w:noProof/>
          </w:rPr>
          <w:t>Expenditure</w:t>
        </w:r>
        <w:r>
          <w:rPr>
            <w:noProof/>
            <w:webHidden/>
          </w:rPr>
          <w:tab/>
        </w:r>
        <w:r>
          <w:rPr>
            <w:noProof/>
            <w:webHidden/>
          </w:rPr>
          <w:fldChar w:fldCharType="begin"/>
        </w:r>
        <w:r>
          <w:rPr>
            <w:noProof/>
            <w:webHidden/>
          </w:rPr>
          <w:instrText xml:space="preserve"> PAGEREF _Toc360980034 \h </w:instrText>
        </w:r>
        <w:r>
          <w:rPr>
            <w:noProof/>
            <w:webHidden/>
          </w:rPr>
        </w:r>
        <w:r>
          <w:rPr>
            <w:noProof/>
            <w:webHidden/>
          </w:rPr>
          <w:fldChar w:fldCharType="separate"/>
        </w:r>
        <w:r>
          <w:rPr>
            <w:noProof/>
            <w:webHidden/>
          </w:rPr>
          <w:t>4</w:t>
        </w:r>
        <w:r>
          <w:rPr>
            <w:noProof/>
            <w:webHidden/>
          </w:rPr>
          <w:fldChar w:fldCharType="end"/>
        </w:r>
      </w:hyperlink>
    </w:p>
    <w:p w:rsidR="00811573" w:rsidRDefault="00811573">
      <w:pPr>
        <w:pStyle w:val="TOC1"/>
        <w:rPr>
          <w:rFonts w:ascii="Calibri" w:hAnsi="Calibri" w:cs="Arial"/>
          <w:noProof/>
          <w:color w:val="auto"/>
          <w:sz w:val="22"/>
          <w:szCs w:val="22"/>
          <w:lang w:val="en-US" w:eastAsia="en-US"/>
        </w:rPr>
      </w:pPr>
      <w:hyperlink w:anchor="_Toc360980035" w:history="1">
        <w:r w:rsidRPr="002A2882">
          <w:rPr>
            <w:rStyle w:val="Hyperlink"/>
            <w:noProof/>
          </w:rPr>
          <w:t>Progress against objectives</w:t>
        </w:r>
        <w:r>
          <w:rPr>
            <w:noProof/>
            <w:webHidden/>
          </w:rPr>
          <w:tab/>
        </w:r>
        <w:r>
          <w:rPr>
            <w:noProof/>
            <w:webHidden/>
          </w:rPr>
          <w:fldChar w:fldCharType="begin"/>
        </w:r>
        <w:r>
          <w:rPr>
            <w:noProof/>
            <w:webHidden/>
          </w:rPr>
          <w:instrText xml:space="preserve"> PAGEREF _Toc360980035 \h </w:instrText>
        </w:r>
        <w:r>
          <w:rPr>
            <w:noProof/>
            <w:webHidden/>
          </w:rPr>
        </w:r>
        <w:r>
          <w:rPr>
            <w:noProof/>
            <w:webHidden/>
          </w:rPr>
          <w:fldChar w:fldCharType="separate"/>
        </w:r>
        <w:r>
          <w:rPr>
            <w:noProof/>
            <w:webHidden/>
          </w:rPr>
          <w:t>5</w:t>
        </w:r>
        <w:r>
          <w:rPr>
            <w:noProof/>
            <w:webHidden/>
          </w:rPr>
          <w:fldChar w:fldCharType="end"/>
        </w:r>
      </w:hyperlink>
    </w:p>
    <w:p w:rsidR="00811573" w:rsidRDefault="00811573">
      <w:pPr>
        <w:pStyle w:val="TOC2"/>
        <w:rPr>
          <w:rFonts w:ascii="Calibri" w:hAnsi="Calibri" w:cs="Arial"/>
          <w:noProof/>
          <w:color w:val="auto"/>
          <w:sz w:val="22"/>
          <w:szCs w:val="22"/>
          <w:lang w:val="en-US" w:eastAsia="en-US"/>
        </w:rPr>
      </w:pPr>
      <w:hyperlink w:anchor="_Toc360980036" w:history="1">
        <w:r w:rsidRPr="002A2882">
          <w:rPr>
            <w:rStyle w:val="Hyperlink"/>
            <w:noProof/>
          </w:rPr>
          <w:t>Factors affecting progress</w:t>
        </w:r>
        <w:r>
          <w:rPr>
            <w:noProof/>
            <w:webHidden/>
          </w:rPr>
          <w:tab/>
        </w:r>
        <w:r>
          <w:rPr>
            <w:noProof/>
            <w:webHidden/>
          </w:rPr>
          <w:fldChar w:fldCharType="begin"/>
        </w:r>
        <w:r>
          <w:rPr>
            <w:noProof/>
            <w:webHidden/>
          </w:rPr>
          <w:instrText xml:space="preserve"> PAGEREF _Toc360980036 \h </w:instrText>
        </w:r>
        <w:r>
          <w:rPr>
            <w:noProof/>
            <w:webHidden/>
          </w:rPr>
        </w:r>
        <w:r>
          <w:rPr>
            <w:noProof/>
            <w:webHidden/>
          </w:rPr>
          <w:fldChar w:fldCharType="separate"/>
        </w:r>
        <w:r>
          <w:rPr>
            <w:noProof/>
            <w:webHidden/>
          </w:rPr>
          <w:t>6</w:t>
        </w:r>
        <w:r>
          <w:rPr>
            <w:noProof/>
            <w:webHidden/>
          </w:rPr>
          <w:fldChar w:fldCharType="end"/>
        </w:r>
      </w:hyperlink>
    </w:p>
    <w:p w:rsidR="00811573" w:rsidRDefault="00811573">
      <w:pPr>
        <w:pStyle w:val="TOC1"/>
        <w:rPr>
          <w:rFonts w:ascii="Calibri" w:hAnsi="Calibri" w:cs="Arial"/>
          <w:noProof/>
          <w:color w:val="auto"/>
          <w:sz w:val="22"/>
          <w:szCs w:val="22"/>
          <w:lang w:val="en-US" w:eastAsia="en-US"/>
        </w:rPr>
      </w:pPr>
      <w:hyperlink w:anchor="_Toc360980037" w:history="1">
        <w:r w:rsidRPr="002A2882">
          <w:rPr>
            <w:rStyle w:val="Hyperlink"/>
            <w:noProof/>
          </w:rPr>
          <w:t>Objective 1: Improved capacity of regional organisations to address agreed priority development challenges</w:t>
        </w:r>
        <w:r>
          <w:rPr>
            <w:noProof/>
            <w:webHidden/>
          </w:rPr>
          <w:tab/>
        </w:r>
        <w:r>
          <w:rPr>
            <w:noProof/>
            <w:webHidden/>
          </w:rPr>
          <w:fldChar w:fldCharType="begin"/>
        </w:r>
        <w:r>
          <w:rPr>
            <w:noProof/>
            <w:webHidden/>
          </w:rPr>
          <w:instrText xml:space="preserve"> PAGEREF _Toc360980037 \h </w:instrText>
        </w:r>
        <w:r>
          <w:rPr>
            <w:noProof/>
            <w:webHidden/>
          </w:rPr>
        </w:r>
        <w:r>
          <w:rPr>
            <w:noProof/>
            <w:webHidden/>
          </w:rPr>
          <w:fldChar w:fldCharType="separate"/>
        </w:r>
        <w:r>
          <w:rPr>
            <w:noProof/>
            <w:webHidden/>
          </w:rPr>
          <w:t>6</w:t>
        </w:r>
        <w:r>
          <w:rPr>
            <w:noProof/>
            <w:webHidden/>
          </w:rPr>
          <w:fldChar w:fldCharType="end"/>
        </w:r>
      </w:hyperlink>
    </w:p>
    <w:p w:rsidR="00811573" w:rsidRDefault="00811573">
      <w:pPr>
        <w:pStyle w:val="TOC2"/>
        <w:rPr>
          <w:rFonts w:ascii="Calibri" w:hAnsi="Calibri" w:cs="Arial"/>
          <w:noProof/>
          <w:color w:val="auto"/>
          <w:sz w:val="22"/>
          <w:szCs w:val="22"/>
          <w:lang w:val="en-US" w:eastAsia="en-US"/>
        </w:rPr>
      </w:pPr>
      <w:hyperlink w:anchor="_Toc360980038" w:history="1">
        <w:r w:rsidRPr="002A2882">
          <w:rPr>
            <w:rStyle w:val="Hyperlink"/>
            <w:noProof/>
          </w:rPr>
          <w:t>Overall assessment</w:t>
        </w:r>
        <w:r>
          <w:rPr>
            <w:noProof/>
            <w:webHidden/>
          </w:rPr>
          <w:tab/>
        </w:r>
        <w:r>
          <w:rPr>
            <w:noProof/>
            <w:webHidden/>
          </w:rPr>
          <w:fldChar w:fldCharType="begin"/>
        </w:r>
        <w:r>
          <w:rPr>
            <w:noProof/>
            <w:webHidden/>
          </w:rPr>
          <w:instrText xml:space="preserve"> PAGEREF _Toc360980038 \h </w:instrText>
        </w:r>
        <w:r>
          <w:rPr>
            <w:noProof/>
            <w:webHidden/>
          </w:rPr>
        </w:r>
        <w:r>
          <w:rPr>
            <w:noProof/>
            <w:webHidden/>
          </w:rPr>
          <w:fldChar w:fldCharType="separate"/>
        </w:r>
        <w:r>
          <w:rPr>
            <w:noProof/>
            <w:webHidden/>
          </w:rPr>
          <w:t>6</w:t>
        </w:r>
        <w:r>
          <w:rPr>
            <w:noProof/>
            <w:webHidden/>
          </w:rPr>
          <w:fldChar w:fldCharType="end"/>
        </w:r>
      </w:hyperlink>
    </w:p>
    <w:p w:rsidR="00811573" w:rsidRDefault="00811573">
      <w:pPr>
        <w:pStyle w:val="TOC2"/>
        <w:rPr>
          <w:rFonts w:ascii="Calibri" w:hAnsi="Calibri" w:cs="Arial"/>
          <w:noProof/>
          <w:color w:val="auto"/>
          <w:sz w:val="22"/>
          <w:szCs w:val="22"/>
          <w:lang w:val="en-US" w:eastAsia="en-US"/>
        </w:rPr>
      </w:pPr>
      <w:hyperlink w:anchor="_Toc360980039" w:history="1">
        <w:r w:rsidRPr="002A2882">
          <w:rPr>
            <w:rStyle w:val="Hyperlink"/>
            <w:noProof/>
          </w:rPr>
          <w:t>Program achievements</w:t>
        </w:r>
        <w:r>
          <w:rPr>
            <w:noProof/>
            <w:webHidden/>
          </w:rPr>
          <w:tab/>
        </w:r>
        <w:r>
          <w:rPr>
            <w:noProof/>
            <w:webHidden/>
          </w:rPr>
          <w:fldChar w:fldCharType="begin"/>
        </w:r>
        <w:r>
          <w:rPr>
            <w:noProof/>
            <w:webHidden/>
          </w:rPr>
          <w:instrText xml:space="preserve"> PAGEREF _Toc360980039 \h </w:instrText>
        </w:r>
        <w:r>
          <w:rPr>
            <w:noProof/>
            <w:webHidden/>
          </w:rPr>
        </w:r>
        <w:r>
          <w:rPr>
            <w:noProof/>
            <w:webHidden/>
          </w:rPr>
          <w:fldChar w:fldCharType="separate"/>
        </w:r>
        <w:r>
          <w:rPr>
            <w:noProof/>
            <w:webHidden/>
          </w:rPr>
          <w:t>7</w:t>
        </w:r>
        <w:r>
          <w:rPr>
            <w:noProof/>
            <w:webHidden/>
          </w:rPr>
          <w:fldChar w:fldCharType="end"/>
        </w:r>
      </w:hyperlink>
    </w:p>
    <w:p w:rsidR="00811573" w:rsidRDefault="00811573">
      <w:pPr>
        <w:pStyle w:val="TOC1"/>
        <w:rPr>
          <w:rFonts w:ascii="Calibri" w:hAnsi="Calibri" w:cs="Arial"/>
          <w:noProof/>
          <w:color w:val="auto"/>
          <w:sz w:val="22"/>
          <w:szCs w:val="22"/>
          <w:lang w:val="en-US" w:eastAsia="en-US"/>
        </w:rPr>
      </w:pPr>
      <w:hyperlink w:anchor="_Toc360980040" w:history="1">
        <w:r w:rsidRPr="002A2882">
          <w:rPr>
            <w:rStyle w:val="Hyperlink"/>
            <w:noProof/>
          </w:rPr>
          <w:t>Objective 2: Promoting and managing economic integration</w:t>
        </w:r>
        <w:r>
          <w:rPr>
            <w:noProof/>
            <w:webHidden/>
          </w:rPr>
          <w:tab/>
        </w:r>
        <w:r>
          <w:rPr>
            <w:noProof/>
            <w:webHidden/>
          </w:rPr>
          <w:fldChar w:fldCharType="begin"/>
        </w:r>
        <w:r>
          <w:rPr>
            <w:noProof/>
            <w:webHidden/>
          </w:rPr>
          <w:instrText xml:space="preserve"> PAGEREF _Toc360980040 \h </w:instrText>
        </w:r>
        <w:r>
          <w:rPr>
            <w:noProof/>
            <w:webHidden/>
          </w:rPr>
        </w:r>
        <w:r>
          <w:rPr>
            <w:noProof/>
            <w:webHidden/>
          </w:rPr>
          <w:fldChar w:fldCharType="separate"/>
        </w:r>
        <w:r>
          <w:rPr>
            <w:noProof/>
            <w:webHidden/>
          </w:rPr>
          <w:t>9</w:t>
        </w:r>
        <w:r>
          <w:rPr>
            <w:noProof/>
            <w:webHidden/>
          </w:rPr>
          <w:fldChar w:fldCharType="end"/>
        </w:r>
      </w:hyperlink>
    </w:p>
    <w:p w:rsidR="00811573" w:rsidRDefault="00811573">
      <w:pPr>
        <w:pStyle w:val="TOC2"/>
        <w:rPr>
          <w:rFonts w:ascii="Calibri" w:hAnsi="Calibri" w:cs="Arial"/>
          <w:noProof/>
          <w:color w:val="auto"/>
          <w:sz w:val="22"/>
          <w:szCs w:val="22"/>
          <w:lang w:val="en-US" w:eastAsia="en-US"/>
        </w:rPr>
      </w:pPr>
      <w:hyperlink w:anchor="_Toc360980041" w:history="1">
        <w:r w:rsidRPr="002A2882">
          <w:rPr>
            <w:rStyle w:val="Hyperlink"/>
            <w:noProof/>
          </w:rPr>
          <w:t>Overall assessment</w:t>
        </w:r>
        <w:r>
          <w:rPr>
            <w:noProof/>
            <w:webHidden/>
          </w:rPr>
          <w:tab/>
        </w:r>
        <w:r>
          <w:rPr>
            <w:noProof/>
            <w:webHidden/>
          </w:rPr>
          <w:fldChar w:fldCharType="begin"/>
        </w:r>
        <w:r>
          <w:rPr>
            <w:noProof/>
            <w:webHidden/>
          </w:rPr>
          <w:instrText xml:space="preserve"> PAGEREF _Toc360980041 \h </w:instrText>
        </w:r>
        <w:r>
          <w:rPr>
            <w:noProof/>
            <w:webHidden/>
          </w:rPr>
        </w:r>
        <w:r>
          <w:rPr>
            <w:noProof/>
            <w:webHidden/>
          </w:rPr>
          <w:fldChar w:fldCharType="separate"/>
        </w:r>
        <w:r>
          <w:rPr>
            <w:noProof/>
            <w:webHidden/>
          </w:rPr>
          <w:t>9</w:t>
        </w:r>
        <w:r>
          <w:rPr>
            <w:noProof/>
            <w:webHidden/>
          </w:rPr>
          <w:fldChar w:fldCharType="end"/>
        </w:r>
      </w:hyperlink>
    </w:p>
    <w:p w:rsidR="00811573" w:rsidRDefault="00811573">
      <w:pPr>
        <w:pStyle w:val="TOC2"/>
        <w:rPr>
          <w:rFonts w:ascii="Calibri" w:hAnsi="Calibri" w:cs="Arial"/>
          <w:noProof/>
          <w:color w:val="auto"/>
          <w:sz w:val="22"/>
          <w:szCs w:val="22"/>
          <w:lang w:val="en-US" w:eastAsia="en-US"/>
        </w:rPr>
      </w:pPr>
      <w:hyperlink w:anchor="_Toc360980042" w:history="1">
        <w:r w:rsidRPr="002A2882">
          <w:rPr>
            <w:rStyle w:val="Hyperlink"/>
            <w:noProof/>
          </w:rPr>
          <w:t>Program achievements</w:t>
        </w:r>
        <w:r>
          <w:rPr>
            <w:noProof/>
            <w:webHidden/>
          </w:rPr>
          <w:tab/>
        </w:r>
        <w:r>
          <w:rPr>
            <w:noProof/>
            <w:webHidden/>
          </w:rPr>
          <w:fldChar w:fldCharType="begin"/>
        </w:r>
        <w:r>
          <w:rPr>
            <w:noProof/>
            <w:webHidden/>
          </w:rPr>
          <w:instrText xml:space="preserve"> PAGEREF _Toc360980042 \h </w:instrText>
        </w:r>
        <w:r>
          <w:rPr>
            <w:noProof/>
            <w:webHidden/>
          </w:rPr>
        </w:r>
        <w:r>
          <w:rPr>
            <w:noProof/>
            <w:webHidden/>
          </w:rPr>
          <w:fldChar w:fldCharType="separate"/>
        </w:r>
        <w:r>
          <w:rPr>
            <w:noProof/>
            <w:webHidden/>
          </w:rPr>
          <w:t>10</w:t>
        </w:r>
        <w:r>
          <w:rPr>
            <w:noProof/>
            <w:webHidden/>
          </w:rPr>
          <w:fldChar w:fldCharType="end"/>
        </w:r>
      </w:hyperlink>
    </w:p>
    <w:p w:rsidR="00811573" w:rsidRDefault="00811573">
      <w:pPr>
        <w:pStyle w:val="TOC1"/>
        <w:rPr>
          <w:rFonts w:ascii="Calibri" w:hAnsi="Calibri" w:cs="Arial"/>
          <w:noProof/>
          <w:color w:val="auto"/>
          <w:sz w:val="22"/>
          <w:szCs w:val="22"/>
          <w:lang w:val="en-US" w:eastAsia="en-US"/>
        </w:rPr>
      </w:pPr>
      <w:hyperlink w:anchor="_Toc360980043" w:history="1">
        <w:r w:rsidRPr="002A2882">
          <w:rPr>
            <w:rStyle w:val="Hyperlink"/>
            <w:noProof/>
          </w:rPr>
          <w:t>Objective 3: Addressing priority transboundary issues</w:t>
        </w:r>
        <w:r>
          <w:rPr>
            <w:noProof/>
            <w:webHidden/>
          </w:rPr>
          <w:tab/>
        </w:r>
        <w:r>
          <w:rPr>
            <w:noProof/>
            <w:webHidden/>
          </w:rPr>
          <w:fldChar w:fldCharType="begin"/>
        </w:r>
        <w:r>
          <w:rPr>
            <w:noProof/>
            <w:webHidden/>
          </w:rPr>
          <w:instrText xml:space="preserve"> PAGEREF _Toc360980043 \h </w:instrText>
        </w:r>
        <w:r>
          <w:rPr>
            <w:noProof/>
            <w:webHidden/>
          </w:rPr>
        </w:r>
        <w:r>
          <w:rPr>
            <w:noProof/>
            <w:webHidden/>
          </w:rPr>
          <w:fldChar w:fldCharType="separate"/>
        </w:r>
        <w:r>
          <w:rPr>
            <w:noProof/>
            <w:webHidden/>
          </w:rPr>
          <w:t>13</w:t>
        </w:r>
        <w:r>
          <w:rPr>
            <w:noProof/>
            <w:webHidden/>
          </w:rPr>
          <w:fldChar w:fldCharType="end"/>
        </w:r>
      </w:hyperlink>
    </w:p>
    <w:p w:rsidR="00811573" w:rsidRDefault="00811573">
      <w:pPr>
        <w:pStyle w:val="TOC2"/>
        <w:rPr>
          <w:rFonts w:ascii="Calibri" w:hAnsi="Calibri" w:cs="Arial"/>
          <w:noProof/>
          <w:color w:val="auto"/>
          <w:sz w:val="22"/>
          <w:szCs w:val="22"/>
          <w:lang w:val="en-US" w:eastAsia="en-US"/>
        </w:rPr>
      </w:pPr>
      <w:hyperlink w:anchor="_Toc360980044" w:history="1">
        <w:r w:rsidRPr="002A2882">
          <w:rPr>
            <w:rStyle w:val="Hyperlink"/>
            <w:noProof/>
          </w:rPr>
          <w:t>Overall assessment</w:t>
        </w:r>
        <w:r>
          <w:rPr>
            <w:noProof/>
            <w:webHidden/>
          </w:rPr>
          <w:tab/>
        </w:r>
        <w:r>
          <w:rPr>
            <w:noProof/>
            <w:webHidden/>
          </w:rPr>
          <w:fldChar w:fldCharType="begin"/>
        </w:r>
        <w:r>
          <w:rPr>
            <w:noProof/>
            <w:webHidden/>
          </w:rPr>
          <w:instrText xml:space="preserve"> PAGEREF _Toc360980044 \h </w:instrText>
        </w:r>
        <w:r>
          <w:rPr>
            <w:noProof/>
            <w:webHidden/>
          </w:rPr>
        </w:r>
        <w:r>
          <w:rPr>
            <w:noProof/>
            <w:webHidden/>
          </w:rPr>
          <w:fldChar w:fldCharType="separate"/>
        </w:r>
        <w:r>
          <w:rPr>
            <w:noProof/>
            <w:webHidden/>
          </w:rPr>
          <w:t>13</w:t>
        </w:r>
        <w:r>
          <w:rPr>
            <w:noProof/>
            <w:webHidden/>
          </w:rPr>
          <w:fldChar w:fldCharType="end"/>
        </w:r>
      </w:hyperlink>
    </w:p>
    <w:p w:rsidR="00811573" w:rsidRDefault="00811573">
      <w:pPr>
        <w:pStyle w:val="TOC2"/>
        <w:rPr>
          <w:rFonts w:ascii="Calibri" w:hAnsi="Calibri" w:cs="Arial"/>
          <w:noProof/>
          <w:color w:val="auto"/>
          <w:sz w:val="22"/>
          <w:szCs w:val="22"/>
          <w:lang w:val="en-US" w:eastAsia="en-US"/>
        </w:rPr>
      </w:pPr>
      <w:hyperlink w:anchor="_Toc360980045" w:history="1">
        <w:r w:rsidRPr="002A2882">
          <w:rPr>
            <w:rStyle w:val="Hyperlink"/>
            <w:noProof/>
          </w:rPr>
          <w:t>Program achievements</w:t>
        </w:r>
        <w:r>
          <w:rPr>
            <w:noProof/>
            <w:webHidden/>
          </w:rPr>
          <w:tab/>
        </w:r>
        <w:r>
          <w:rPr>
            <w:noProof/>
            <w:webHidden/>
          </w:rPr>
          <w:fldChar w:fldCharType="begin"/>
        </w:r>
        <w:r>
          <w:rPr>
            <w:noProof/>
            <w:webHidden/>
          </w:rPr>
          <w:instrText xml:space="preserve"> PAGEREF _Toc360980045 \h </w:instrText>
        </w:r>
        <w:r>
          <w:rPr>
            <w:noProof/>
            <w:webHidden/>
          </w:rPr>
        </w:r>
        <w:r>
          <w:rPr>
            <w:noProof/>
            <w:webHidden/>
          </w:rPr>
          <w:fldChar w:fldCharType="separate"/>
        </w:r>
        <w:r>
          <w:rPr>
            <w:noProof/>
            <w:webHidden/>
          </w:rPr>
          <w:t>15</w:t>
        </w:r>
        <w:r>
          <w:rPr>
            <w:noProof/>
            <w:webHidden/>
          </w:rPr>
          <w:fldChar w:fldCharType="end"/>
        </w:r>
      </w:hyperlink>
    </w:p>
    <w:p w:rsidR="00811573" w:rsidRDefault="00811573">
      <w:pPr>
        <w:pStyle w:val="TOC1"/>
        <w:rPr>
          <w:rFonts w:ascii="Calibri" w:hAnsi="Calibri" w:cs="Arial"/>
          <w:noProof/>
          <w:color w:val="auto"/>
          <w:sz w:val="22"/>
          <w:szCs w:val="22"/>
          <w:lang w:val="en-US" w:eastAsia="en-US"/>
        </w:rPr>
      </w:pPr>
      <w:hyperlink w:anchor="_Toc360980046" w:history="1">
        <w:r w:rsidRPr="002A2882">
          <w:rPr>
            <w:rStyle w:val="Hyperlink"/>
            <w:noProof/>
          </w:rPr>
          <w:t>Program quality</w:t>
        </w:r>
        <w:r>
          <w:rPr>
            <w:noProof/>
            <w:webHidden/>
          </w:rPr>
          <w:tab/>
        </w:r>
        <w:r>
          <w:rPr>
            <w:noProof/>
            <w:webHidden/>
          </w:rPr>
          <w:fldChar w:fldCharType="begin"/>
        </w:r>
        <w:r>
          <w:rPr>
            <w:noProof/>
            <w:webHidden/>
          </w:rPr>
          <w:instrText xml:space="preserve"> PAGEREF _Toc360980046 \h </w:instrText>
        </w:r>
        <w:r>
          <w:rPr>
            <w:noProof/>
            <w:webHidden/>
          </w:rPr>
        </w:r>
        <w:r>
          <w:rPr>
            <w:noProof/>
            <w:webHidden/>
          </w:rPr>
          <w:fldChar w:fldCharType="separate"/>
        </w:r>
        <w:r>
          <w:rPr>
            <w:noProof/>
            <w:webHidden/>
          </w:rPr>
          <w:t>19</w:t>
        </w:r>
        <w:r>
          <w:rPr>
            <w:noProof/>
            <w:webHidden/>
          </w:rPr>
          <w:fldChar w:fldCharType="end"/>
        </w:r>
      </w:hyperlink>
    </w:p>
    <w:p w:rsidR="00811573" w:rsidRDefault="00811573">
      <w:pPr>
        <w:pStyle w:val="TOC2"/>
        <w:rPr>
          <w:rFonts w:ascii="Calibri" w:hAnsi="Calibri" w:cs="Arial"/>
          <w:noProof/>
          <w:color w:val="auto"/>
          <w:sz w:val="22"/>
          <w:szCs w:val="22"/>
          <w:lang w:val="en-US" w:eastAsia="en-US"/>
        </w:rPr>
      </w:pPr>
      <w:hyperlink w:anchor="_Toc360980047" w:history="1">
        <w:r w:rsidRPr="002A2882">
          <w:rPr>
            <w:rStyle w:val="Hyperlink"/>
            <w:noProof/>
          </w:rPr>
          <w:t>Other crosscutting issues</w:t>
        </w:r>
        <w:r>
          <w:rPr>
            <w:noProof/>
            <w:webHidden/>
          </w:rPr>
          <w:tab/>
        </w:r>
        <w:r>
          <w:rPr>
            <w:noProof/>
            <w:webHidden/>
          </w:rPr>
          <w:fldChar w:fldCharType="begin"/>
        </w:r>
        <w:r>
          <w:rPr>
            <w:noProof/>
            <w:webHidden/>
          </w:rPr>
          <w:instrText xml:space="preserve"> PAGEREF _Toc360980047 \h </w:instrText>
        </w:r>
        <w:r>
          <w:rPr>
            <w:noProof/>
            <w:webHidden/>
          </w:rPr>
        </w:r>
        <w:r>
          <w:rPr>
            <w:noProof/>
            <w:webHidden/>
          </w:rPr>
          <w:fldChar w:fldCharType="separate"/>
        </w:r>
        <w:r>
          <w:rPr>
            <w:noProof/>
            <w:webHidden/>
          </w:rPr>
          <w:t>23</w:t>
        </w:r>
        <w:r>
          <w:rPr>
            <w:noProof/>
            <w:webHidden/>
          </w:rPr>
          <w:fldChar w:fldCharType="end"/>
        </w:r>
      </w:hyperlink>
    </w:p>
    <w:p w:rsidR="00811573" w:rsidRDefault="00811573">
      <w:pPr>
        <w:pStyle w:val="TOC2"/>
        <w:rPr>
          <w:rFonts w:ascii="Calibri" w:hAnsi="Calibri" w:cs="Arial"/>
          <w:noProof/>
          <w:color w:val="auto"/>
          <w:sz w:val="22"/>
          <w:szCs w:val="22"/>
          <w:lang w:val="en-US" w:eastAsia="en-US"/>
        </w:rPr>
      </w:pPr>
      <w:hyperlink w:anchor="_Toc360980048" w:history="1">
        <w:r w:rsidRPr="002A2882">
          <w:rPr>
            <w:rStyle w:val="Hyperlink"/>
            <w:noProof/>
          </w:rPr>
          <w:t>Multilateral performance assessment</w:t>
        </w:r>
        <w:r>
          <w:rPr>
            <w:noProof/>
            <w:webHidden/>
          </w:rPr>
          <w:tab/>
        </w:r>
        <w:r>
          <w:rPr>
            <w:noProof/>
            <w:webHidden/>
          </w:rPr>
          <w:fldChar w:fldCharType="begin"/>
        </w:r>
        <w:r>
          <w:rPr>
            <w:noProof/>
            <w:webHidden/>
          </w:rPr>
          <w:instrText xml:space="preserve"> PAGEREF _Toc360980048 \h </w:instrText>
        </w:r>
        <w:r>
          <w:rPr>
            <w:noProof/>
            <w:webHidden/>
          </w:rPr>
        </w:r>
        <w:r>
          <w:rPr>
            <w:noProof/>
            <w:webHidden/>
          </w:rPr>
          <w:fldChar w:fldCharType="separate"/>
        </w:r>
        <w:r>
          <w:rPr>
            <w:noProof/>
            <w:webHidden/>
          </w:rPr>
          <w:t>24</w:t>
        </w:r>
        <w:r>
          <w:rPr>
            <w:noProof/>
            <w:webHidden/>
          </w:rPr>
          <w:fldChar w:fldCharType="end"/>
        </w:r>
      </w:hyperlink>
    </w:p>
    <w:p w:rsidR="00811573" w:rsidRDefault="00811573">
      <w:pPr>
        <w:pStyle w:val="TOC1"/>
        <w:rPr>
          <w:rFonts w:ascii="Calibri" w:hAnsi="Calibri" w:cs="Arial"/>
          <w:noProof/>
          <w:color w:val="auto"/>
          <w:sz w:val="22"/>
          <w:szCs w:val="22"/>
          <w:lang w:val="en-US" w:eastAsia="en-US"/>
        </w:rPr>
      </w:pPr>
      <w:hyperlink w:anchor="_Toc360980049" w:history="1">
        <w:r w:rsidRPr="002A2882">
          <w:rPr>
            <w:rStyle w:val="Hyperlink"/>
            <w:noProof/>
          </w:rPr>
          <w:t>Management consequences – previous year</w:t>
        </w:r>
        <w:r>
          <w:rPr>
            <w:noProof/>
            <w:webHidden/>
          </w:rPr>
          <w:tab/>
        </w:r>
        <w:r>
          <w:rPr>
            <w:noProof/>
            <w:webHidden/>
          </w:rPr>
          <w:fldChar w:fldCharType="begin"/>
        </w:r>
        <w:r>
          <w:rPr>
            <w:noProof/>
            <w:webHidden/>
          </w:rPr>
          <w:instrText xml:space="preserve"> PAGEREF _Toc360980049 \h </w:instrText>
        </w:r>
        <w:r>
          <w:rPr>
            <w:noProof/>
            <w:webHidden/>
          </w:rPr>
        </w:r>
        <w:r>
          <w:rPr>
            <w:noProof/>
            <w:webHidden/>
          </w:rPr>
          <w:fldChar w:fldCharType="separate"/>
        </w:r>
        <w:r>
          <w:rPr>
            <w:noProof/>
            <w:webHidden/>
          </w:rPr>
          <w:t>25</w:t>
        </w:r>
        <w:r>
          <w:rPr>
            <w:noProof/>
            <w:webHidden/>
          </w:rPr>
          <w:fldChar w:fldCharType="end"/>
        </w:r>
      </w:hyperlink>
    </w:p>
    <w:p w:rsidR="00811573" w:rsidRDefault="00811573">
      <w:pPr>
        <w:pStyle w:val="TOC1"/>
        <w:rPr>
          <w:rFonts w:ascii="Calibri" w:hAnsi="Calibri" w:cs="Arial"/>
          <w:noProof/>
          <w:color w:val="auto"/>
          <w:sz w:val="22"/>
          <w:szCs w:val="22"/>
          <w:lang w:val="en-US" w:eastAsia="en-US"/>
        </w:rPr>
      </w:pPr>
      <w:hyperlink w:anchor="_Toc360980050" w:history="1">
        <w:r w:rsidRPr="002A2882">
          <w:rPr>
            <w:rStyle w:val="Hyperlink"/>
            <w:noProof/>
          </w:rPr>
          <w:t>Management consequences from period of review</w:t>
        </w:r>
        <w:r>
          <w:rPr>
            <w:noProof/>
            <w:webHidden/>
          </w:rPr>
          <w:tab/>
        </w:r>
        <w:r>
          <w:rPr>
            <w:noProof/>
            <w:webHidden/>
          </w:rPr>
          <w:fldChar w:fldCharType="begin"/>
        </w:r>
        <w:r>
          <w:rPr>
            <w:noProof/>
            <w:webHidden/>
          </w:rPr>
          <w:instrText xml:space="preserve"> PAGEREF _Toc360980050 \h </w:instrText>
        </w:r>
        <w:r>
          <w:rPr>
            <w:noProof/>
            <w:webHidden/>
          </w:rPr>
        </w:r>
        <w:r>
          <w:rPr>
            <w:noProof/>
            <w:webHidden/>
          </w:rPr>
          <w:fldChar w:fldCharType="separate"/>
        </w:r>
        <w:r>
          <w:rPr>
            <w:noProof/>
            <w:webHidden/>
          </w:rPr>
          <w:t>27</w:t>
        </w:r>
        <w:r>
          <w:rPr>
            <w:noProof/>
            <w:webHidden/>
          </w:rPr>
          <w:fldChar w:fldCharType="end"/>
        </w:r>
      </w:hyperlink>
    </w:p>
    <w:p w:rsidR="00811573" w:rsidRDefault="00811573">
      <w:pPr>
        <w:pStyle w:val="TOC2"/>
        <w:rPr>
          <w:rFonts w:ascii="Calibri" w:hAnsi="Calibri" w:cs="Arial"/>
          <w:noProof/>
          <w:color w:val="auto"/>
          <w:sz w:val="22"/>
          <w:szCs w:val="22"/>
          <w:lang w:val="en-US" w:eastAsia="en-US"/>
        </w:rPr>
      </w:pPr>
      <w:hyperlink w:anchor="_Toc360980051" w:history="1">
        <w:r w:rsidRPr="002A2882">
          <w:rPr>
            <w:rStyle w:val="Hyperlink"/>
            <w:noProof/>
          </w:rPr>
          <w:t>Risks</w:t>
        </w:r>
        <w:r>
          <w:rPr>
            <w:noProof/>
            <w:webHidden/>
          </w:rPr>
          <w:tab/>
        </w:r>
        <w:r>
          <w:rPr>
            <w:noProof/>
            <w:webHidden/>
          </w:rPr>
          <w:fldChar w:fldCharType="begin"/>
        </w:r>
        <w:r>
          <w:rPr>
            <w:noProof/>
            <w:webHidden/>
          </w:rPr>
          <w:instrText xml:space="preserve"> PAGEREF _Toc360980051 \h </w:instrText>
        </w:r>
        <w:r>
          <w:rPr>
            <w:noProof/>
            <w:webHidden/>
          </w:rPr>
        </w:r>
        <w:r>
          <w:rPr>
            <w:noProof/>
            <w:webHidden/>
          </w:rPr>
          <w:fldChar w:fldCharType="separate"/>
        </w:r>
        <w:r>
          <w:rPr>
            <w:noProof/>
            <w:webHidden/>
          </w:rPr>
          <w:t>31</w:t>
        </w:r>
        <w:r>
          <w:rPr>
            <w:noProof/>
            <w:webHidden/>
          </w:rPr>
          <w:fldChar w:fldCharType="end"/>
        </w:r>
      </w:hyperlink>
    </w:p>
    <w:p w:rsidR="00811573" w:rsidRDefault="00811573">
      <w:pPr>
        <w:pStyle w:val="TOC2"/>
        <w:rPr>
          <w:rFonts w:ascii="Calibri" w:hAnsi="Calibri" w:cs="Arial"/>
          <w:noProof/>
          <w:color w:val="auto"/>
          <w:sz w:val="22"/>
          <w:szCs w:val="22"/>
          <w:lang w:val="en-US" w:eastAsia="en-US"/>
        </w:rPr>
      </w:pPr>
      <w:hyperlink w:anchor="_Toc360980052" w:history="1">
        <w:r w:rsidRPr="002A2882">
          <w:rPr>
            <w:rStyle w:val="Hyperlink"/>
            <w:noProof/>
          </w:rPr>
          <w:t>Strategic priorities and direction</w:t>
        </w:r>
        <w:r>
          <w:rPr>
            <w:noProof/>
            <w:webHidden/>
          </w:rPr>
          <w:tab/>
        </w:r>
        <w:r>
          <w:rPr>
            <w:noProof/>
            <w:webHidden/>
          </w:rPr>
          <w:fldChar w:fldCharType="begin"/>
        </w:r>
        <w:r>
          <w:rPr>
            <w:noProof/>
            <w:webHidden/>
          </w:rPr>
          <w:instrText xml:space="preserve"> PAGEREF _Toc360980052 \h </w:instrText>
        </w:r>
        <w:r>
          <w:rPr>
            <w:noProof/>
            <w:webHidden/>
          </w:rPr>
        </w:r>
        <w:r>
          <w:rPr>
            <w:noProof/>
            <w:webHidden/>
          </w:rPr>
          <w:fldChar w:fldCharType="separate"/>
        </w:r>
        <w:r>
          <w:rPr>
            <w:noProof/>
            <w:webHidden/>
          </w:rPr>
          <w:t>33</w:t>
        </w:r>
        <w:r>
          <w:rPr>
            <w:noProof/>
            <w:webHidden/>
          </w:rPr>
          <w:fldChar w:fldCharType="end"/>
        </w:r>
      </w:hyperlink>
    </w:p>
    <w:p w:rsidR="00811573" w:rsidRDefault="00811573">
      <w:r>
        <w:fldChar w:fldCharType="end"/>
      </w:r>
    </w:p>
    <w:p w:rsidR="007A7FB5" w:rsidRPr="007A7FB5" w:rsidRDefault="000534A7" w:rsidP="007A7FB5">
      <w:pPr>
        <w:pStyle w:val="H1"/>
      </w:pPr>
      <w:bookmarkStart w:id="0" w:name="_Toc360980031"/>
      <w:r w:rsidRPr="007A7FB5">
        <w:lastRenderedPageBreak/>
        <w:t>Summary</w:t>
      </w:r>
      <w:bookmarkEnd w:id="0"/>
    </w:p>
    <w:p w:rsidR="00703B72" w:rsidRPr="00703B72" w:rsidRDefault="00703B72" w:rsidP="0081667A">
      <w:pPr>
        <w:pStyle w:val="BodyText"/>
      </w:pPr>
      <w:r w:rsidRPr="00703B72">
        <w:t>This report summarises progress in 2011 towards the objectives of the East Asia regional programs. Australia’s aid strategy for East Asia regional programs 2011–2015 is to assist key regional organisations and address agreed transboundary development priorities. Our regional programs are an opportunity to address regional development needs by providing aid that complements our bilateral programs.</w:t>
      </w:r>
    </w:p>
    <w:p w:rsidR="00703B72" w:rsidRPr="00703B72" w:rsidRDefault="00703B72" w:rsidP="002E5304">
      <w:pPr>
        <w:pStyle w:val="H1"/>
      </w:pPr>
      <w:bookmarkStart w:id="1" w:name="_Toc360980032"/>
      <w:r w:rsidRPr="00703B72">
        <w:t>Context</w:t>
      </w:r>
      <w:bookmarkEnd w:id="1"/>
      <w:r w:rsidRPr="00703B72">
        <w:t xml:space="preserve"> </w:t>
      </w:r>
    </w:p>
    <w:p w:rsidR="00703B72" w:rsidRPr="00703B72" w:rsidRDefault="00703B72" w:rsidP="0081667A">
      <w:pPr>
        <w:pStyle w:val="BodyText"/>
      </w:pPr>
      <w:r w:rsidRPr="00703B72">
        <w:t>The East Asia region is diverse. Development has been uneven, with income, education and service access inequality, and gaps in infrastructure and connectivity. The global financial crisis and natural disasters of 2011 lowered incomes and living standards and highlighted the vulnerability of the poor in East Asia.</w:t>
      </w:r>
      <w:r w:rsidRPr="00703B72">
        <w:rPr>
          <w:vertAlign w:val="superscript"/>
        </w:rPr>
        <w:footnoteReference w:id="1"/>
      </w:r>
    </w:p>
    <w:p w:rsidR="00703B72" w:rsidRPr="00703B72" w:rsidRDefault="00703B72" w:rsidP="0081667A">
      <w:pPr>
        <w:pStyle w:val="BodyText"/>
      </w:pPr>
      <w:r w:rsidRPr="00703B72">
        <w:t>Developing countries in the region are increasingly viewing economic integration, including through regional trading agreements, as a useful way to drive domestic reforms and increase market access. Association of Southeast Asian Nations (ASEAN) regional integration and participation in the global multilateral trading system has progressed. More than half of total ASEAN exports are now in manufacturing components integral to regional supply chains.</w:t>
      </w:r>
    </w:p>
    <w:p w:rsidR="00703B72" w:rsidRPr="00703B72" w:rsidRDefault="00703B72" w:rsidP="0081667A">
      <w:pPr>
        <w:pStyle w:val="BodyText"/>
      </w:pPr>
      <w:r w:rsidRPr="00703B72">
        <w:t xml:space="preserve">To achieve sustained economic growth however, the region will need to focus on improving productivity growth, including from increased competitiveness, innovation and new ideas. This will be dependent on further reforms which the East Asia regional economic programs seek to encourage and facilitate. There is continuing demand for capacity building assistance in this area. </w:t>
      </w:r>
    </w:p>
    <w:p w:rsidR="00703B72" w:rsidRPr="00703B72" w:rsidRDefault="00703B72" w:rsidP="0081667A">
      <w:pPr>
        <w:pStyle w:val="BodyText"/>
      </w:pPr>
      <w:r w:rsidRPr="00703B72">
        <w:t>While increased regional economic integration has delivered growth and new income-generating opportunities for many, it also raises some new and often complex development issues that stretch across borders, such as pandemic risk and increased trafficking in persons. Greater attention is being paid to the impact of natural disasters in the region, and this is seen as an important area for further cooperation.</w:t>
      </w:r>
    </w:p>
    <w:p w:rsidR="00703B72" w:rsidRPr="00703B72" w:rsidRDefault="00703B72" w:rsidP="0081667A">
      <w:pPr>
        <w:pStyle w:val="BodyText"/>
      </w:pPr>
      <w:r w:rsidRPr="00703B72">
        <w:t>Many of the development challenges in East Asia are regional in character. For example, the increased opportunity to migrate for work has bought new opportunities for people previously excluded from the gains of development. However the growing number of trafficked persons and high instance of exploitative labour conditions highlight the need for specific regional responses to these and other potentially negative consequences of greater integration and increased economic activity.</w:t>
      </w:r>
    </w:p>
    <w:p w:rsidR="00703B72" w:rsidRPr="00703B72" w:rsidRDefault="00703B72" w:rsidP="0081667A">
      <w:pPr>
        <w:pStyle w:val="BodyText"/>
      </w:pPr>
      <w:r w:rsidRPr="00703B72">
        <w:t>Trafficking in persons is a global phenomenon that contravenes fundamental human rights, and denies basic and broadly accepted individual freedoms to women, men and children. It has wide economic, social and political impacts, and is a development issue of real consequence for East Asia. Diverse but carefully integrated responses are necessary to combat the problem.</w:t>
      </w:r>
    </w:p>
    <w:p w:rsidR="00703B72" w:rsidRPr="00703B72" w:rsidRDefault="00703B72" w:rsidP="0081667A">
      <w:pPr>
        <w:pStyle w:val="BodyText"/>
      </w:pPr>
      <w:r w:rsidRPr="00703B72">
        <w:t xml:space="preserve">In addition, factors such as demography, cross-border livestock trade, remote small-value farming, and new patterns of migration, contribute to East Asia remaining a high-risk region for the outbreak of pandemics and infectious disease. Improving </w:t>
      </w:r>
      <w:r w:rsidRPr="00703B72">
        <w:lastRenderedPageBreak/>
        <w:t>animal health systems in the region will help to control infectious diseases such as avian influenza and rabies, and livestock diseases such as foot and mouth disease. Improving animal health systems also reduces the risk of the emergence of new pandemic diseases that pose a direct threat to human life.</w:t>
      </w:r>
    </w:p>
    <w:p w:rsidR="00703B72" w:rsidRPr="00703B72" w:rsidRDefault="00703B72" w:rsidP="0081667A">
      <w:pPr>
        <w:pStyle w:val="BodyText"/>
      </w:pPr>
      <w:r w:rsidRPr="00703B72">
        <w:t>The key to halting the increasing spread of HIV in the region is preventing new infections. HIV incidence associated with injecting drug use continues to be a significant driver of HIV epidemics in the Greater Mekong Sub-region. HIV remains endemic among sex workers, clients of sex workers and their sexual partners. In addition, incidence among men who have sex with men is becoming the largest single driver of the epidemic in the region.</w:t>
      </w:r>
    </w:p>
    <w:p w:rsidR="00703B72" w:rsidRPr="00703B72" w:rsidRDefault="00703B72" w:rsidP="0081667A">
      <w:pPr>
        <w:pStyle w:val="BodyText"/>
      </w:pPr>
      <w:r w:rsidRPr="00703B72">
        <w:t xml:space="preserve">A small number of key organisations and forums bring together national leaders to shape regional cooperation including the Asia-Pacific Economic Cooperation (APEC), ASEAN and the </w:t>
      </w:r>
      <w:r w:rsidRPr="00703B72">
        <w:rPr>
          <w:lang w:val="en"/>
        </w:rPr>
        <w:t>East Asia Summit</w:t>
      </w:r>
      <w:r w:rsidRPr="00703B72">
        <w:t>. Working with and through these organisations and forums contributes to sustainable economic development, effective governance and humanitarian preparedness and response in the region.</w:t>
      </w:r>
    </w:p>
    <w:p w:rsidR="00703B72" w:rsidRPr="00703B72" w:rsidRDefault="00703B72" w:rsidP="0081667A">
      <w:pPr>
        <w:pStyle w:val="BodyText"/>
      </w:pPr>
      <w:r w:rsidRPr="00703B72">
        <w:t xml:space="preserve">Regional architecture in East Asia is evolving. The </w:t>
      </w:r>
      <w:r w:rsidRPr="00703B72">
        <w:rPr>
          <w:lang w:val="en"/>
        </w:rPr>
        <w:t xml:space="preserve">East Asia Summit </w:t>
      </w:r>
      <w:r w:rsidRPr="00703B72">
        <w:t xml:space="preserve">is becoming an increasingly important forum with wider membership and there is an expectation that it will become a key security and political forum over time. Australia supports ASEAN’s central role within regional architecture, including the </w:t>
      </w:r>
      <w:r w:rsidRPr="00703B72">
        <w:rPr>
          <w:lang w:val="en"/>
        </w:rPr>
        <w:t>East Asia Summit</w:t>
      </w:r>
      <w:r w:rsidRPr="00703B72">
        <w:t>.</w:t>
      </w:r>
    </w:p>
    <w:p w:rsidR="00703B72" w:rsidRPr="00703B72" w:rsidRDefault="00703B72" w:rsidP="0081667A">
      <w:pPr>
        <w:pStyle w:val="BodyText"/>
      </w:pPr>
      <w:r w:rsidRPr="00703B72">
        <w:t xml:space="preserve">Institutional capacity to support the regional architecture is relatively under-developed and funding from member countries is restricted. The </w:t>
      </w:r>
      <w:r w:rsidRPr="00703B72">
        <w:rPr>
          <w:lang w:val="en"/>
        </w:rPr>
        <w:t xml:space="preserve">East Asia Summit </w:t>
      </w:r>
      <w:r w:rsidRPr="00703B72">
        <w:t xml:space="preserve">has limited administrative foundations to support its increasing role, and relies on the ASEAN Secretariat for support. Lack of capacity is exacerbated by the evolving role of regional institutions: from limited coordination to an increased role in implementation and policy development. </w:t>
      </w:r>
    </w:p>
    <w:p w:rsidR="00703B72" w:rsidRPr="00703B72" w:rsidRDefault="00703B72" w:rsidP="0081667A">
      <w:pPr>
        <w:pStyle w:val="BodyText"/>
      </w:pPr>
      <w:r w:rsidRPr="00703B72">
        <w:t>There is scope to deepen partnerships with regional institutions such as the ASEAN Secretariat and like-minded donors to enhance aid effectiveness and broader Australian interests.</w:t>
      </w:r>
    </w:p>
    <w:p w:rsidR="00703B72" w:rsidRPr="00703B72" w:rsidRDefault="00703B72" w:rsidP="002E5304">
      <w:pPr>
        <w:pStyle w:val="H1"/>
      </w:pPr>
      <w:bookmarkStart w:id="2" w:name="_Toc360980033"/>
      <w:r w:rsidRPr="00703B72">
        <w:t>Program objectives and strategy</w:t>
      </w:r>
      <w:bookmarkEnd w:id="2"/>
    </w:p>
    <w:p w:rsidR="00703B72" w:rsidRPr="00703B72" w:rsidRDefault="00703B72" w:rsidP="0081667A">
      <w:pPr>
        <w:pStyle w:val="BodyText"/>
      </w:pPr>
      <w:r w:rsidRPr="00703B72">
        <w:t>East Asia regional programs aim to work with and through key regional organisations to improve regional development outcomes. They seek to address three objectives:</w:t>
      </w:r>
    </w:p>
    <w:p w:rsidR="00703B72" w:rsidRPr="00703B72" w:rsidRDefault="00703B72" w:rsidP="0081667A">
      <w:pPr>
        <w:pStyle w:val="ListParagraph"/>
      </w:pPr>
      <w:r w:rsidRPr="00703B72">
        <w:t>Objective 1: improved capacity of regional organisations to address agreed priority development challenges.</w:t>
      </w:r>
    </w:p>
    <w:p w:rsidR="00703B72" w:rsidRPr="00703B72" w:rsidRDefault="00703B72" w:rsidP="0081667A">
      <w:pPr>
        <w:pStyle w:val="ListParagraph"/>
      </w:pPr>
      <w:r w:rsidRPr="00703B72">
        <w:t>Objective 2: promoting and managing economic integration.</w:t>
      </w:r>
    </w:p>
    <w:p w:rsidR="00703B72" w:rsidRPr="00703B72" w:rsidRDefault="00703B72" w:rsidP="0081667A">
      <w:pPr>
        <w:pStyle w:val="ListParagraph"/>
      </w:pPr>
      <w:r w:rsidRPr="00703B72">
        <w:t>Objective 3: addressing priority transboundary issues.</w:t>
      </w:r>
    </w:p>
    <w:p w:rsidR="00703B72" w:rsidRPr="00703B72" w:rsidRDefault="00703B72" w:rsidP="0081667A">
      <w:pPr>
        <w:pStyle w:val="BodyText"/>
      </w:pPr>
      <w:r w:rsidRPr="00703B72">
        <w:t>Australia is tracking well in the regional donor landscape. For example:</w:t>
      </w:r>
    </w:p>
    <w:p w:rsidR="00703B72" w:rsidRPr="00703B72" w:rsidRDefault="00703B72" w:rsidP="0081667A">
      <w:pPr>
        <w:pStyle w:val="ListParagraph"/>
      </w:pPr>
      <w:r w:rsidRPr="00703B72">
        <w:t xml:space="preserve">Over the past eight years, Australia has carved out a leadership role on combatting trafficking in persons in East Asia and is now the largest donor in the sector. Our leadership is built on our recognised holistic approach to combating trafficking that seeks to both raise awareness of and strengthen the criminal justice response to the crime in the region. </w:t>
      </w:r>
    </w:p>
    <w:p w:rsidR="00703B72" w:rsidRPr="00703B72" w:rsidRDefault="00703B72" w:rsidP="0081667A">
      <w:pPr>
        <w:pStyle w:val="ListParagraph"/>
      </w:pPr>
      <w:r w:rsidRPr="00703B72">
        <w:lastRenderedPageBreak/>
        <w:t>Australia leads on coordination with other donors to ensure our efforts to combat trafficking in persons are contributing to greater sector coherence, supporting critical gaps in analysis and improving aid effectiveness.</w:t>
      </w:r>
    </w:p>
    <w:p w:rsidR="00703B72" w:rsidRPr="00703B72" w:rsidRDefault="00703B72" w:rsidP="0081667A">
      <w:pPr>
        <w:pStyle w:val="ListParagraph"/>
      </w:pPr>
      <w:r w:rsidRPr="00703B72">
        <w:t>Australia has worked with the International Labour Organization to pioneer a tripartite dialogue model in East Asia, which brings together government, key industry and employee groups. This work has strengthened migrant worker protection and is building policy frameworks to better support a sustainable migrant labour sector in East Asia.</w:t>
      </w:r>
    </w:p>
    <w:p w:rsidR="00703B72" w:rsidRPr="00703B72" w:rsidRDefault="00703B72" w:rsidP="0081667A">
      <w:pPr>
        <w:pStyle w:val="ListParagraph"/>
      </w:pPr>
      <w:r w:rsidRPr="00703B72">
        <w:t>Australia supports the MTV End Exploitation and Trafficking campaign in partnership with the United States, which aims to raise awareness and educate young people and other vulnerable populations in Cambodia, Burma, the Philippines and Vietnam about the dangers of trafficking in persons.</w:t>
      </w:r>
    </w:p>
    <w:p w:rsidR="00703B72" w:rsidRPr="00703B72" w:rsidRDefault="00703B72" w:rsidP="0081667A">
      <w:pPr>
        <w:pStyle w:val="ListParagraph"/>
      </w:pPr>
      <w:r w:rsidRPr="00703B72">
        <w:t xml:space="preserve">Australia is the biggest donor supporting foot and mouth disease eradication in South East Asia since 1997. Through the Stop Transboundary Animal Disease and Zoonoses initiative, we have assisted governments in developing national plans that are consistent with international standards, and in mobilising domestic funds to implement these. AusAID’s work with the World Organisation for Animal Health also pioneered assistance to South East Asian developing countries in the staged and systematic process of improving their national veterinary services based on international animal health standards. </w:t>
      </w:r>
    </w:p>
    <w:p w:rsidR="00703B72" w:rsidRPr="00703B72" w:rsidRDefault="00703B72" w:rsidP="0081667A">
      <w:pPr>
        <w:pStyle w:val="ListParagraph"/>
      </w:pPr>
      <w:r w:rsidRPr="00703B72">
        <w:t>Australia is one of a very few donors working on HIV harm reduction for people who inject drugs in the Greater Mekong Sub-region. Through eight years of program investments and disseminating program lessons, we have established a unique working relationship with Greater Mekong Sub-region</w:t>
      </w:r>
      <w:r w:rsidRPr="00703B72" w:rsidDel="00491B1D">
        <w:t xml:space="preserve"> </w:t>
      </w:r>
      <w:r w:rsidRPr="00703B72">
        <w:t xml:space="preserve">governments, United Nations agencies, local and international non-government organisations, research bodies, and community groups. This has allowed us to contribute to development of critical policy and legislation that promotes a public health model approach and is supportive of HIV harm reduction for people who inject drugs. </w:t>
      </w:r>
    </w:p>
    <w:p w:rsidR="00703B72" w:rsidRPr="00703B72" w:rsidRDefault="00703B72" w:rsidP="0081667A">
      <w:pPr>
        <w:pStyle w:val="ListParagraph"/>
      </w:pPr>
      <w:r w:rsidRPr="00703B72">
        <w:t>Australia has pioneered a partnering approach with the ASEAN Secretariat and ranks second as a donor to ASEAN behind Japan and in front of the United States.</w:t>
      </w:r>
      <w:r w:rsidRPr="00703B72">
        <w:rPr>
          <w:vertAlign w:val="superscript"/>
        </w:rPr>
        <w:footnoteReference w:id="2"/>
      </w:r>
      <w:r w:rsidRPr="00703B72">
        <w:t xml:space="preserve"> Australia’s support for economic integration is a major focus of ASEAN-Australia development cooperation, through programs such as the ASEAN-Australia Development Cooperation Program Phase II and the ASEAN-Australia-New Zealand Free Trade Agreement Economic Cooperation Support Program. </w:t>
      </w:r>
    </w:p>
    <w:p w:rsidR="00703B72" w:rsidRPr="00703B72" w:rsidRDefault="00703B72" w:rsidP="0081667A">
      <w:pPr>
        <w:pStyle w:val="ListParagraph"/>
      </w:pPr>
      <w:r w:rsidRPr="00703B72">
        <w:t>Australia has been one of the most influential APEC members promoting assistance to developing economies within APEC and is the leading contributor to those members through the APEC Secretariat-managed APEC Support Fund. Australia ranks third in overall direct contributions to APEC, behind the United States and Japan.</w:t>
      </w:r>
      <w:r w:rsidRPr="00703B72">
        <w:rPr>
          <w:vertAlign w:val="superscript"/>
        </w:rPr>
        <w:footnoteReference w:id="3"/>
      </w:r>
    </w:p>
    <w:p w:rsidR="00703B72" w:rsidRPr="00703B72" w:rsidRDefault="00703B72" w:rsidP="0081667A">
      <w:pPr>
        <w:pStyle w:val="ListParagraph"/>
      </w:pPr>
      <w:r w:rsidRPr="00703B72">
        <w:lastRenderedPageBreak/>
        <w:t xml:space="preserve">Australia is leading support for disaster management through the East Asia Summit. Australia is assisting the ASEAN Secretariat to implement disaster management initiatives under the ASEAN Agreement on Disaster Management and Emergency Response, and to establish the ASEAN Coordinating Centre for Humanitarian Assistance on Disaster Response. </w:t>
      </w:r>
    </w:p>
    <w:p w:rsidR="00703B72" w:rsidRPr="00703B72" w:rsidRDefault="00703B72" w:rsidP="0081667A">
      <w:pPr>
        <w:pStyle w:val="BodyText"/>
      </w:pPr>
      <w:r w:rsidRPr="00703B72">
        <w:t>Australia’s key partners in the region for delivering the aid program are the ASEAN and APEC Secretariats. In addition, for transboundary issues, multilateral organisations such as the International Labour Organization and United Nations Office on Drugs and Crime, and non-government organisations such as World Vision Australia, play a role, as do national governments and inter-governmental organisations such as the World Organisation for Animal Health.</w:t>
      </w:r>
    </w:p>
    <w:p w:rsidR="002F46F5" w:rsidRPr="002F46F5" w:rsidRDefault="00703B72" w:rsidP="002F46F5">
      <w:pPr>
        <w:pStyle w:val="H2"/>
      </w:pPr>
      <w:bookmarkStart w:id="3" w:name="_Toc360980034"/>
      <w:r w:rsidRPr="00703B72">
        <w:t>Expenditure</w:t>
      </w:r>
      <w:bookmarkEnd w:id="3"/>
    </w:p>
    <w:p w:rsidR="006A30F5" w:rsidRPr="006A30F5" w:rsidRDefault="00703B72" w:rsidP="002F46F5">
      <w:pPr>
        <w:pStyle w:val="BodyText"/>
        <w:spacing w:after="400"/>
      </w:pPr>
      <w:r w:rsidRPr="00703B72">
        <w:t>Estimated expenditure on East Asia regional programs for 2011–12 will be directed to promoting and managing economic integration (39 per cent) and addressing priority transboundary issues (56 per cent) such as combatting trafficking in persons, labour exploitation, and supporting regional health initiatives. With the inclusion of support for the capacity of the East Asia Summit in early 2012, the proportion expected to be spent on improving the capacity of regional organisations will have doubled from the 2009–10 figure of $1 million.</w:t>
      </w:r>
      <w:r w:rsidRPr="00703B72">
        <w:rPr>
          <w:vertAlign w:val="superscript"/>
        </w:rPr>
        <w:footnoteReference w:id="4"/>
      </w:r>
    </w:p>
    <w:p w:rsidR="00FA5F1F" w:rsidRPr="00FA5F1F" w:rsidRDefault="00FA5F1F" w:rsidP="00FA5F1F">
      <w:pPr>
        <w:pStyle w:val="Caption"/>
      </w:pPr>
      <w:r w:rsidRPr="00FA5F1F">
        <w:t xml:space="preserve">Table 1: Estimated expenditure in 2011–12 </w:t>
      </w:r>
    </w:p>
    <w:tbl>
      <w:tblPr>
        <w:tblpPr w:leftFromText="180" w:rightFromText="180" w:vertAnchor="text" w:tblpY="1"/>
        <w:tblW w:w="5000" w:type="pct"/>
        <w:tblCellSpacing w:w="14" w:type="dxa"/>
        <w:tblBorders>
          <w:top w:val="single" w:sz="12" w:space="0" w:color="000000"/>
          <w:bottom w:val="single" w:sz="12" w:space="0" w:color="000000"/>
        </w:tblBorders>
        <w:tblLayout w:type="fixed"/>
        <w:tblLook w:val="0000" w:firstRow="0" w:lastRow="0" w:firstColumn="0" w:lastColumn="0" w:noHBand="0" w:noVBand="0"/>
      </w:tblPr>
      <w:tblGrid>
        <w:gridCol w:w="5527"/>
        <w:gridCol w:w="1293"/>
        <w:gridCol w:w="1730"/>
      </w:tblGrid>
      <w:tr w:rsidR="00FA5F1F" w:rsidRPr="00FA5F1F" w:rsidTr="002F46F5">
        <w:trPr>
          <w:cantSplit/>
          <w:tblHeader/>
          <w:tblCellSpacing w:w="14" w:type="dxa"/>
        </w:trPr>
        <w:tc>
          <w:tcPr>
            <w:tcW w:w="3686" w:type="dxa"/>
            <w:shd w:val="clear" w:color="auto" w:fill="auto"/>
          </w:tcPr>
          <w:p w:rsidR="00FA5F1F" w:rsidRPr="00FA5F1F" w:rsidRDefault="00FA5F1F" w:rsidP="00AF7987">
            <w:pPr>
              <w:pStyle w:val="TableTextColumnHeading"/>
            </w:pPr>
            <w:r w:rsidRPr="00FA5F1F">
              <w:t>Objective</w:t>
            </w:r>
          </w:p>
        </w:tc>
        <w:tc>
          <w:tcPr>
            <w:tcW w:w="850" w:type="dxa"/>
            <w:shd w:val="clear" w:color="auto" w:fill="auto"/>
          </w:tcPr>
          <w:p w:rsidR="00FA5F1F" w:rsidRPr="00FA5F1F" w:rsidRDefault="00FA5F1F" w:rsidP="00AF7987">
            <w:pPr>
              <w:pStyle w:val="TableTextColumnHeading"/>
            </w:pPr>
            <w:r w:rsidRPr="00FA5F1F">
              <w:t>A$ million</w:t>
            </w:r>
          </w:p>
        </w:tc>
        <w:tc>
          <w:tcPr>
            <w:tcW w:w="1134" w:type="dxa"/>
            <w:shd w:val="clear" w:color="auto" w:fill="auto"/>
          </w:tcPr>
          <w:p w:rsidR="00FA5F1F" w:rsidRPr="00FA5F1F" w:rsidRDefault="00FA5F1F" w:rsidP="00AF7987">
            <w:pPr>
              <w:pStyle w:val="TableTextColumnHeading"/>
            </w:pPr>
            <w:r w:rsidRPr="00FA5F1F">
              <w:t>% of regional program</w:t>
            </w:r>
          </w:p>
        </w:tc>
      </w:tr>
      <w:tr w:rsidR="00FA5F1F" w:rsidRPr="00FA5F1F" w:rsidTr="002F46F5">
        <w:trPr>
          <w:cantSplit/>
          <w:tblCellSpacing w:w="14" w:type="dxa"/>
        </w:trPr>
        <w:tc>
          <w:tcPr>
            <w:tcW w:w="3686" w:type="dxa"/>
            <w:shd w:val="clear" w:color="auto" w:fill="auto"/>
          </w:tcPr>
          <w:p w:rsidR="00FA5F1F" w:rsidRPr="00FA5F1F" w:rsidRDefault="00FA5F1F" w:rsidP="00AF7987">
            <w:pPr>
              <w:pStyle w:val="TableTextEntries"/>
            </w:pPr>
            <w:r w:rsidRPr="00FA5F1F">
              <w:t xml:space="preserve">Objective 1: Improved capacity of regional organisations to address agreed priority development challenges </w:t>
            </w:r>
            <w:r w:rsidRPr="00AF7987">
              <w:rPr>
                <w:vertAlign w:val="superscript"/>
              </w:rPr>
              <w:t>ab</w:t>
            </w:r>
          </w:p>
        </w:tc>
        <w:tc>
          <w:tcPr>
            <w:tcW w:w="850" w:type="dxa"/>
            <w:shd w:val="clear" w:color="auto" w:fill="auto"/>
          </w:tcPr>
          <w:p w:rsidR="00FA5F1F" w:rsidRPr="00FA5F1F" w:rsidRDefault="00FA5F1F" w:rsidP="00AF7987">
            <w:pPr>
              <w:pStyle w:val="TableTextEntries"/>
            </w:pPr>
            <w:r w:rsidRPr="00FA5F1F">
              <w:t>2.04</w:t>
            </w:r>
          </w:p>
        </w:tc>
        <w:tc>
          <w:tcPr>
            <w:tcW w:w="1134" w:type="dxa"/>
            <w:shd w:val="clear" w:color="auto" w:fill="auto"/>
          </w:tcPr>
          <w:p w:rsidR="00FA5F1F" w:rsidRPr="00FA5F1F" w:rsidRDefault="00FA5F1F" w:rsidP="00AF7987">
            <w:pPr>
              <w:pStyle w:val="TableTextEntries"/>
            </w:pPr>
            <w:r w:rsidRPr="00FA5F1F">
              <w:t>5%</w:t>
            </w:r>
          </w:p>
        </w:tc>
      </w:tr>
      <w:tr w:rsidR="00FA5F1F" w:rsidRPr="00FA5F1F" w:rsidTr="002F46F5">
        <w:trPr>
          <w:cantSplit/>
          <w:tblCellSpacing w:w="14" w:type="dxa"/>
        </w:trPr>
        <w:tc>
          <w:tcPr>
            <w:tcW w:w="3686" w:type="dxa"/>
            <w:shd w:val="clear" w:color="auto" w:fill="auto"/>
          </w:tcPr>
          <w:p w:rsidR="00FA5F1F" w:rsidRPr="00FA5F1F" w:rsidRDefault="00FA5F1F" w:rsidP="00AF7987">
            <w:pPr>
              <w:pStyle w:val="TableTextEntries"/>
            </w:pPr>
            <w:r w:rsidRPr="00FA5F1F">
              <w:t>Objective 2: Promoting and managing economic integration</w:t>
            </w:r>
          </w:p>
        </w:tc>
        <w:tc>
          <w:tcPr>
            <w:tcW w:w="850" w:type="dxa"/>
            <w:shd w:val="clear" w:color="auto" w:fill="auto"/>
          </w:tcPr>
          <w:p w:rsidR="00FA5F1F" w:rsidRPr="00FA5F1F" w:rsidRDefault="00FA5F1F" w:rsidP="00AF7987">
            <w:pPr>
              <w:pStyle w:val="TableTextEntries"/>
            </w:pPr>
            <w:r w:rsidRPr="00FA5F1F">
              <w:t>14.20</w:t>
            </w:r>
          </w:p>
        </w:tc>
        <w:tc>
          <w:tcPr>
            <w:tcW w:w="1134" w:type="dxa"/>
            <w:shd w:val="clear" w:color="auto" w:fill="auto"/>
          </w:tcPr>
          <w:p w:rsidR="00FA5F1F" w:rsidRPr="00FA5F1F" w:rsidRDefault="00FA5F1F" w:rsidP="00AF7987">
            <w:pPr>
              <w:pStyle w:val="TableTextEntries"/>
            </w:pPr>
            <w:r w:rsidRPr="00FA5F1F">
              <w:t>39%</w:t>
            </w:r>
          </w:p>
        </w:tc>
      </w:tr>
      <w:tr w:rsidR="00FA5F1F" w:rsidRPr="00FA5F1F" w:rsidTr="002F46F5">
        <w:trPr>
          <w:cantSplit/>
          <w:tblCellSpacing w:w="14" w:type="dxa"/>
        </w:trPr>
        <w:tc>
          <w:tcPr>
            <w:tcW w:w="3686" w:type="dxa"/>
            <w:shd w:val="clear" w:color="auto" w:fill="auto"/>
          </w:tcPr>
          <w:p w:rsidR="00FA5F1F" w:rsidRPr="00FA5F1F" w:rsidRDefault="00FA5F1F" w:rsidP="00AF7987">
            <w:pPr>
              <w:pStyle w:val="TableTextEntries"/>
            </w:pPr>
            <w:r w:rsidRPr="00FA5F1F">
              <w:t xml:space="preserve">Objective 3: Addressing priority transboundary issues </w:t>
            </w:r>
            <w:r w:rsidRPr="00AF7987">
              <w:rPr>
                <w:vertAlign w:val="superscript"/>
              </w:rPr>
              <w:t>c</w:t>
            </w:r>
          </w:p>
        </w:tc>
        <w:tc>
          <w:tcPr>
            <w:tcW w:w="850" w:type="dxa"/>
            <w:shd w:val="clear" w:color="auto" w:fill="auto"/>
          </w:tcPr>
          <w:p w:rsidR="00FA5F1F" w:rsidRPr="00FA5F1F" w:rsidRDefault="00FA5F1F" w:rsidP="00AF7987">
            <w:pPr>
              <w:pStyle w:val="TableTextEntries"/>
            </w:pPr>
            <w:r w:rsidRPr="00FA5F1F">
              <w:t>20.41</w:t>
            </w:r>
          </w:p>
        </w:tc>
        <w:tc>
          <w:tcPr>
            <w:tcW w:w="1134" w:type="dxa"/>
            <w:shd w:val="clear" w:color="auto" w:fill="auto"/>
          </w:tcPr>
          <w:p w:rsidR="00FA5F1F" w:rsidRPr="00FA5F1F" w:rsidRDefault="00FA5F1F" w:rsidP="00AF7987">
            <w:pPr>
              <w:pStyle w:val="TableTextEntries"/>
            </w:pPr>
            <w:r w:rsidRPr="00FA5F1F">
              <w:t>56%</w:t>
            </w:r>
          </w:p>
        </w:tc>
      </w:tr>
    </w:tbl>
    <w:p w:rsidR="00FA5F1F" w:rsidRPr="00FA5F1F" w:rsidRDefault="00FA5F1F" w:rsidP="00FA5F1F">
      <w:pPr>
        <w:pStyle w:val="Note"/>
      </w:pPr>
      <w:r w:rsidRPr="00FA5F1F">
        <w:rPr>
          <w:vertAlign w:val="superscript"/>
        </w:rPr>
        <w:br/>
        <w:t>a</w:t>
      </w:r>
      <w:r w:rsidRPr="00FA5F1F">
        <w:t xml:space="preserve"> Includes anticipated funding for the functioning of the ASEAN Committee on Disaster Management as part of the </w:t>
      </w:r>
      <w:r w:rsidRPr="00FA5F1F">
        <w:rPr>
          <w:lang w:val="en"/>
        </w:rPr>
        <w:t xml:space="preserve">East Asia Summit </w:t>
      </w:r>
      <w:r w:rsidRPr="00FA5F1F">
        <w:t>institutional framework.</w:t>
      </w:r>
    </w:p>
    <w:p w:rsidR="00FA5F1F" w:rsidRPr="00FA5F1F" w:rsidRDefault="00FA5F1F" w:rsidP="00FA5F1F">
      <w:pPr>
        <w:pStyle w:val="Note"/>
      </w:pPr>
      <w:r w:rsidRPr="00FA5F1F">
        <w:rPr>
          <w:vertAlign w:val="superscript"/>
        </w:rPr>
        <w:t>b</w:t>
      </w:r>
      <w:r w:rsidRPr="00FA5F1F">
        <w:t xml:space="preserve"> Funding for the support unit in the ASEAN Secretariat under the ASEAN-Australia-New Zealand Free Trade Agreement Economic Cooperation Support Program is included under objective 2.</w:t>
      </w:r>
    </w:p>
    <w:p w:rsidR="00FA5F1F" w:rsidRPr="00FA5F1F" w:rsidRDefault="00FA5F1F" w:rsidP="00FA5F1F">
      <w:pPr>
        <w:pStyle w:val="Note"/>
      </w:pPr>
      <w:r w:rsidRPr="00FA5F1F">
        <w:rPr>
          <w:vertAlign w:val="superscript"/>
        </w:rPr>
        <w:t>c</w:t>
      </w:r>
      <w:r w:rsidRPr="00FA5F1F">
        <w:t xml:space="preserve"> Includes funding of $12.86 million for regional health initiatives.</w:t>
      </w:r>
    </w:p>
    <w:p w:rsidR="00FA5F1F" w:rsidRPr="00FA5F1F" w:rsidRDefault="00FA5F1F" w:rsidP="002F46F5">
      <w:pPr>
        <w:pStyle w:val="Note"/>
        <w:spacing w:after="60"/>
      </w:pPr>
      <w:r w:rsidRPr="00FA5F1F">
        <w:t>Source: AidWorks.</w:t>
      </w:r>
    </w:p>
    <w:p w:rsidR="00FA5F1F" w:rsidRPr="00FA5F1F" w:rsidRDefault="00FA5F1F" w:rsidP="002F46F5">
      <w:pPr>
        <w:pStyle w:val="BodyText"/>
        <w:spacing w:before="120"/>
      </w:pPr>
      <w:r w:rsidRPr="00FA5F1F">
        <w:t>This expenditure reflects the increasing importance of addressing transboundary issues in the region. However, an important focus of the East Asia Regional program remains promoting and managing regional economic integration. These objectives have been supported by efforts to improve the capacity of key regional organisations to be responsive to regional development needs, and to influence the policy decision of members in support of these goals.</w:t>
      </w:r>
    </w:p>
    <w:p w:rsidR="006A30F5" w:rsidRPr="00FA5F1F" w:rsidRDefault="00FA5F1F" w:rsidP="0081667A">
      <w:pPr>
        <w:pStyle w:val="BodyText"/>
        <w:rPr>
          <w:u w:val="single"/>
        </w:rPr>
      </w:pPr>
      <w:r w:rsidRPr="00FA5F1F">
        <w:t xml:space="preserve">This strategy remains relevant given the context outlined above. However in 2012 preparation of the regional situation analysis and revised strategy for East Asia regional organisations and programs (2011–2015) will provide an opportunity to review this approach. </w:t>
      </w:r>
    </w:p>
    <w:p w:rsidR="00FA5F1F" w:rsidRPr="00FA5F1F" w:rsidRDefault="00FA5F1F" w:rsidP="002F46F5">
      <w:pPr>
        <w:pStyle w:val="H1"/>
      </w:pPr>
      <w:bookmarkStart w:id="4" w:name="_Toc360980035"/>
      <w:r w:rsidRPr="00FA5F1F">
        <w:lastRenderedPageBreak/>
        <w:t>Progress against objectives</w:t>
      </w:r>
      <w:bookmarkEnd w:id="4"/>
    </w:p>
    <w:p w:rsidR="00FA5F1F" w:rsidRPr="00FA5F1F" w:rsidRDefault="00FA5F1F" w:rsidP="0081667A">
      <w:pPr>
        <w:pStyle w:val="BodyText"/>
      </w:pPr>
      <w:r w:rsidRPr="00FA5F1F">
        <w:t xml:space="preserve">Overall the East Asia regional program is tracking well. It has established multi-year initiatives that have adapted to initial implementation delays and look well placed to grow. ASEAN initiatives have used their more clearly defined focus to develop improved engagement with senior ASEAN officials. Engagement with Australian whole-of-government partners has been more proactive, with cooperative efforts in key areas, especially in relation to APEC and the </w:t>
      </w:r>
      <w:r w:rsidRPr="00FA5F1F">
        <w:rPr>
          <w:lang w:val="en"/>
        </w:rPr>
        <w:t>East Asia Summit</w:t>
      </w:r>
      <w:r w:rsidRPr="00FA5F1F">
        <w:t>. East Asia regional programs are seeing results in the human security sector and are working closely with partners to make progress in establishing necessary new programs.</w:t>
      </w:r>
    </w:p>
    <w:p w:rsidR="00FA5F1F" w:rsidRPr="00FA5F1F" w:rsidRDefault="00FA5F1F" w:rsidP="0081667A">
      <w:pPr>
        <w:pStyle w:val="BodyText"/>
      </w:pPr>
      <w:r w:rsidRPr="00FA5F1F">
        <w:t xml:space="preserve">Ratings of progress towards objectives are listed in table 2. Progress against objective 1 and 2 has been growing steadily, although generally slower than originally anticipated. Additional work to support the limited institutional capacity of the </w:t>
      </w:r>
      <w:r w:rsidRPr="00FA5F1F">
        <w:rPr>
          <w:lang w:val="en"/>
        </w:rPr>
        <w:t xml:space="preserve">East Asia Summit </w:t>
      </w:r>
      <w:r w:rsidRPr="00FA5F1F">
        <w:t>is required.</w:t>
      </w:r>
    </w:p>
    <w:p w:rsidR="00FA5F1F" w:rsidRPr="00FA5F1F" w:rsidRDefault="00FA5F1F" w:rsidP="0081667A">
      <w:pPr>
        <w:pStyle w:val="BodyText"/>
      </w:pPr>
      <w:r w:rsidRPr="00FA5F1F">
        <w:t>Progress against objective 3 has been significant, as documented in the independent completion report for the Asia Regional Trafficking in Persons Project. Early program results from the Tripartite Action to Protect Migrants from Labour Exploitation project have demonstrated both the need and opportunity to build stronger migrant worker frameworks in East Asia to support a sustainable migrant worker sector.</w:t>
      </w:r>
    </w:p>
    <w:p w:rsidR="000534A7" w:rsidRDefault="00FA5F1F" w:rsidP="002F46F5">
      <w:pPr>
        <w:pStyle w:val="BodyText"/>
        <w:spacing w:after="320"/>
      </w:pPr>
      <w:r w:rsidRPr="00FA5F1F">
        <w:t>However, more work is required to maintain momentum in the sector by developing a new phase of work to succeed the Asia Regional Trafficking in Persons Project, improving the effectiveness of the initiative to combat child sexual exploitation in tourism, and by establishing forward-looking initiatives to combat labour exploitation, promote decent work and strengthen social protections for low-income workers.</w:t>
      </w:r>
    </w:p>
    <w:p w:rsidR="00FA5F1F" w:rsidRPr="00FA5F1F" w:rsidRDefault="00FA5F1F" w:rsidP="00FA5F1F">
      <w:pPr>
        <w:pStyle w:val="Caption"/>
      </w:pPr>
      <w:r w:rsidRPr="00FA5F1F">
        <w:t xml:space="preserve">Table 2: Ratings of the program’s progress towards the objectives </w:t>
      </w:r>
    </w:p>
    <w:tbl>
      <w:tblPr>
        <w:tblW w:w="0" w:type="auto"/>
        <w:tblCellSpacing w:w="14" w:type="dxa"/>
        <w:tblBorders>
          <w:top w:val="single" w:sz="12" w:space="0" w:color="000000"/>
          <w:bottom w:val="single" w:sz="12" w:space="0" w:color="000000"/>
        </w:tblBorders>
        <w:tblLook w:val="01E0" w:firstRow="1" w:lastRow="1" w:firstColumn="1" w:lastColumn="1" w:noHBand="0" w:noVBand="0"/>
      </w:tblPr>
      <w:tblGrid>
        <w:gridCol w:w="5767"/>
        <w:gridCol w:w="924"/>
        <w:gridCol w:w="1358"/>
      </w:tblGrid>
      <w:tr w:rsidR="00FA5F1F" w:rsidRPr="00FA5F1F" w:rsidTr="00AF7987">
        <w:trPr>
          <w:tblCellSpacing w:w="14" w:type="dxa"/>
        </w:trPr>
        <w:tc>
          <w:tcPr>
            <w:tcW w:w="5725" w:type="dxa"/>
            <w:tcBorders>
              <w:top w:val="nil"/>
              <w:bottom w:val="nil"/>
            </w:tcBorders>
            <w:shd w:val="clear" w:color="auto" w:fill="auto"/>
          </w:tcPr>
          <w:p w:rsidR="00FA5F1F" w:rsidRPr="00FA5F1F" w:rsidRDefault="00FA5F1F" w:rsidP="00FA5F1F">
            <w:pPr>
              <w:pStyle w:val="TableTextColumnHeading"/>
              <w:rPr>
                <w:b w:val="0"/>
              </w:rPr>
            </w:pPr>
            <w:r w:rsidRPr="00FA5F1F">
              <w:t>Objective</w:t>
            </w:r>
          </w:p>
        </w:tc>
        <w:tc>
          <w:tcPr>
            <w:tcW w:w="896" w:type="dxa"/>
            <w:tcBorders>
              <w:top w:val="nil"/>
              <w:bottom w:val="nil"/>
            </w:tcBorders>
            <w:shd w:val="clear" w:color="auto" w:fill="auto"/>
          </w:tcPr>
          <w:p w:rsidR="00FA5F1F" w:rsidRPr="00FA5F1F" w:rsidRDefault="00FA5F1F" w:rsidP="00FA5F1F">
            <w:pPr>
              <w:pStyle w:val="TableTextColumnHeading"/>
              <w:rPr>
                <w:b w:val="0"/>
              </w:rPr>
            </w:pPr>
            <w:r w:rsidRPr="00FA5F1F">
              <w:t xml:space="preserve">Current rating </w:t>
            </w:r>
          </w:p>
        </w:tc>
        <w:tc>
          <w:tcPr>
            <w:tcW w:w="1316" w:type="dxa"/>
            <w:tcBorders>
              <w:top w:val="nil"/>
              <w:bottom w:val="nil"/>
            </w:tcBorders>
            <w:shd w:val="clear" w:color="auto" w:fill="auto"/>
          </w:tcPr>
          <w:p w:rsidR="00FA5F1F" w:rsidRPr="00FA5F1F" w:rsidRDefault="00FA5F1F" w:rsidP="00FA5F1F">
            <w:pPr>
              <w:pStyle w:val="TableTextColumnHeading"/>
              <w:rPr>
                <w:b w:val="0"/>
              </w:rPr>
            </w:pPr>
            <w:r w:rsidRPr="00FA5F1F">
              <w:t xml:space="preserve">Relative to </w:t>
            </w:r>
            <w:r w:rsidRPr="00FA5F1F">
              <w:br/>
              <w:t>previous rating</w:t>
            </w:r>
          </w:p>
        </w:tc>
      </w:tr>
      <w:tr w:rsidR="00FA5F1F" w:rsidRPr="00FA5F1F" w:rsidTr="00AF7987">
        <w:trPr>
          <w:tblCellSpacing w:w="14" w:type="dxa"/>
        </w:trPr>
        <w:tc>
          <w:tcPr>
            <w:tcW w:w="5725" w:type="dxa"/>
            <w:shd w:val="clear" w:color="auto" w:fill="auto"/>
          </w:tcPr>
          <w:p w:rsidR="00FA5F1F" w:rsidRPr="00FA5F1F" w:rsidRDefault="00FA5F1F" w:rsidP="00FA5F1F">
            <w:pPr>
              <w:pStyle w:val="TableTextEntries"/>
            </w:pPr>
            <w:r w:rsidRPr="00FA5F1F">
              <w:t>Objective 1: Improved capacity of regional organisations to address agreed priority development challenges</w:t>
            </w:r>
          </w:p>
        </w:tc>
        <w:tc>
          <w:tcPr>
            <w:tcW w:w="896" w:type="dxa"/>
            <w:shd w:val="clear" w:color="auto" w:fill="auto"/>
          </w:tcPr>
          <w:p w:rsidR="00FA5F1F" w:rsidRPr="00AF7987" w:rsidRDefault="003A05C5" w:rsidP="00FA5F1F">
            <w:pPr>
              <w:pStyle w:val="TableTextEntries"/>
              <w:rPr>
                <w:color w:val="F79646"/>
              </w:rPr>
            </w:pPr>
            <w:r>
              <w:rPr>
                <w:noProof/>
                <w:color w:val="F79646"/>
                <w:lang w:val="en-US"/>
              </w:rPr>
              <mc:AlternateContent>
                <mc:Choice Requires="wps">
                  <w:drawing>
                    <wp:inline distT="0" distB="0" distL="0" distR="0">
                      <wp:extent cx="90805" cy="90805"/>
                      <wp:effectExtent l="0" t="3810" r="0" b="635"/>
                      <wp:docPr id="65" name="Rectangle 4" descr="A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Amber"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" fillcolor="#f79646" stroked="f">
                      <w10:anchorlock/>
                    </v:rect>
                  </w:pict>
                </mc:Fallback>
              </mc:AlternateContent>
            </w:r>
          </w:p>
        </w:tc>
        <w:tc>
          <w:tcPr>
            <w:tcW w:w="1316" w:type="dxa"/>
            <w:shd w:val="clear" w:color="auto" w:fill="auto"/>
          </w:tcPr>
          <w:p w:rsidR="00FA5F1F" w:rsidRPr="00AF7987" w:rsidRDefault="00FA5F1F" w:rsidP="00FA5F1F">
            <w:pPr>
              <w:pStyle w:val="TableTextEntries"/>
              <w:rPr>
                <w:bCs/>
              </w:rPr>
            </w:pPr>
            <w:r w:rsidRPr="00AF7987">
              <w:rPr>
                <w:bCs/>
              </w:rPr>
              <w:t>Unchanged</w:t>
            </w:r>
          </w:p>
          <w:p w:rsidR="00FA5F1F" w:rsidRPr="00FA5F1F" w:rsidRDefault="00FA5F1F" w:rsidP="00FA5F1F">
            <w:pPr>
              <w:pStyle w:val="TableTextEntries"/>
            </w:pPr>
          </w:p>
        </w:tc>
      </w:tr>
      <w:tr w:rsidR="00FA5F1F" w:rsidRPr="00FA5F1F" w:rsidTr="00AF7987">
        <w:trPr>
          <w:tblCellSpacing w:w="14" w:type="dxa"/>
        </w:trPr>
        <w:tc>
          <w:tcPr>
            <w:tcW w:w="5725" w:type="dxa"/>
            <w:shd w:val="clear" w:color="auto" w:fill="auto"/>
          </w:tcPr>
          <w:p w:rsidR="00FA5F1F" w:rsidRPr="00FA5F1F" w:rsidRDefault="00FA5F1F" w:rsidP="00FA5F1F">
            <w:pPr>
              <w:pStyle w:val="TableTextEntries"/>
            </w:pPr>
            <w:r w:rsidRPr="00FA5F1F">
              <w:t>Objective 2: Promoting and managing economic integration</w:t>
            </w:r>
          </w:p>
        </w:tc>
        <w:tc>
          <w:tcPr>
            <w:tcW w:w="896" w:type="dxa"/>
            <w:shd w:val="clear" w:color="auto" w:fill="auto"/>
          </w:tcPr>
          <w:p w:rsidR="00FA5F1F" w:rsidRPr="00AF7987" w:rsidRDefault="003A05C5" w:rsidP="00FA5F1F">
            <w:pPr>
              <w:pStyle w:val="TableTextEntries"/>
              <w:rPr>
                <w:color w:val="F79646"/>
              </w:rPr>
            </w:pPr>
            <w:r>
              <w:rPr>
                <w:noProof/>
                <w:color w:val="F79646"/>
                <w:lang w:val="en-US"/>
              </w:rPr>
              <mc:AlternateContent>
                <mc:Choice Requires="wps">
                  <w:drawing>
                    <wp:inline distT="0" distB="0" distL="0" distR="0">
                      <wp:extent cx="90805" cy="90805"/>
                      <wp:effectExtent l="0" t="3810" r="0" b="635"/>
                      <wp:docPr id="64" name="Rectangle 5" descr="A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Amber"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" fillcolor="#f79646" stroked="f">
                      <w10:anchorlock/>
                    </v:rect>
                  </w:pict>
                </mc:Fallback>
              </mc:AlternateContent>
            </w:r>
          </w:p>
        </w:tc>
        <w:tc>
          <w:tcPr>
            <w:tcW w:w="1316" w:type="dxa"/>
            <w:shd w:val="clear" w:color="auto" w:fill="auto"/>
          </w:tcPr>
          <w:p w:rsidR="00FA5F1F" w:rsidRPr="00AF7987" w:rsidRDefault="00FA5F1F" w:rsidP="00FA5F1F">
            <w:pPr>
              <w:pStyle w:val="TableTextEntries"/>
              <w:rPr>
                <w:bCs/>
              </w:rPr>
            </w:pPr>
            <w:r w:rsidRPr="00AF7987">
              <w:rPr>
                <w:bCs/>
              </w:rPr>
              <w:t>Unchanged</w:t>
            </w:r>
          </w:p>
        </w:tc>
      </w:tr>
      <w:tr w:rsidR="00FA5F1F" w:rsidRPr="00FA5F1F" w:rsidTr="00AF7987">
        <w:trPr>
          <w:tblCellSpacing w:w="14" w:type="dxa"/>
        </w:trPr>
        <w:tc>
          <w:tcPr>
            <w:tcW w:w="5725" w:type="dxa"/>
            <w:shd w:val="clear" w:color="auto" w:fill="auto"/>
          </w:tcPr>
          <w:p w:rsidR="00FA5F1F" w:rsidRPr="00FA5F1F" w:rsidRDefault="00FA5F1F" w:rsidP="00FA5F1F">
            <w:pPr>
              <w:pStyle w:val="TableTextEntries"/>
            </w:pPr>
            <w:r w:rsidRPr="00FA5F1F">
              <w:t>Objective 3: Addressing priority transboundary issues</w:t>
            </w:r>
          </w:p>
        </w:tc>
        <w:tc>
          <w:tcPr>
            <w:tcW w:w="896" w:type="dxa"/>
            <w:shd w:val="clear" w:color="auto" w:fill="auto"/>
          </w:tcPr>
          <w:p w:rsidR="00FA5F1F" w:rsidRPr="00AF7987" w:rsidRDefault="003A05C5" w:rsidP="00FA5F1F">
            <w:pPr>
              <w:pStyle w:val="TableTextEntries"/>
              <w:rPr>
                <w:color w:val="F79646"/>
              </w:rPr>
            </w:pPr>
            <w:r>
              <w:rPr>
                <w:noProof/>
                <w:color w:val="F79646"/>
                <w:lang w:val="en-US"/>
              </w:rPr>
              <mc:AlternateContent>
                <mc:Choice Requires="wps">
                  <w:drawing>
                    <wp:inline distT="0" distB="0" distL="0" distR="0">
                      <wp:extent cx="90805" cy="90805"/>
                      <wp:effectExtent l="0" t="3810" r="0" b="635"/>
                      <wp:docPr id="63" name="Rectangle 6" descr="A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Amber"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" fillcolor="#f79646" stroked="f">
                      <w10:anchorlock/>
                    </v:rect>
                  </w:pict>
                </mc:Fallback>
              </mc:AlternateContent>
            </w:r>
          </w:p>
        </w:tc>
        <w:tc>
          <w:tcPr>
            <w:tcW w:w="1316" w:type="dxa"/>
            <w:shd w:val="clear" w:color="auto" w:fill="auto"/>
          </w:tcPr>
          <w:p w:rsidR="00FA5F1F" w:rsidRPr="00AF7987" w:rsidRDefault="00FA5F1F" w:rsidP="00FA5F1F">
            <w:pPr>
              <w:pStyle w:val="TableTextEntries"/>
              <w:rPr>
                <w:bCs/>
              </w:rPr>
            </w:pPr>
            <w:r w:rsidRPr="00AF7987">
              <w:rPr>
                <w:bCs/>
              </w:rPr>
              <w:t>Unchanged</w:t>
            </w:r>
          </w:p>
        </w:tc>
      </w:tr>
    </w:tbl>
    <w:p w:rsidR="00FA5F1F" w:rsidRPr="00FA5F1F" w:rsidRDefault="00FA5F1F" w:rsidP="00FA5F1F">
      <w:pPr>
        <w:pStyle w:val="Note"/>
      </w:pPr>
      <w:r w:rsidRPr="00FA5F1F">
        <w:t xml:space="preserve">Note: </w:t>
      </w:r>
    </w:p>
    <w:p w:rsidR="00FA5F1F" w:rsidRPr="00FA5F1F" w:rsidRDefault="003A05C5" w:rsidP="003A05C5">
      <w:pPr>
        <w:pStyle w:val="Note"/>
      </w:pPr>
      <w:r>
        <w:rPr>
          <w:noProof/>
          <w:color w:val="F79646"/>
          <w:lang w:val="en-US" w:eastAsia="en-US"/>
        </w:rPr>
        <mc:AlternateContent>
          <mc:Choice Requires="wps">
            <w:drawing>
              <wp:inline distT="0" distB="0" distL="0" distR="0">
                <wp:extent cx="90805" cy="90805"/>
                <wp:effectExtent l="0" t="3810" r="0" b="635"/>
                <wp:docPr id="62" name="Rectangle 3" descr="A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chemeClr val="accent6">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Amber"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" fillcolor="#f79646 [3209]" stroked="f">
                <w10:anchorlock/>
              </v:rect>
            </w:pict>
          </mc:Fallback>
        </mc:AlternateContent>
      </w:r>
      <w:r w:rsidR="00FA5F1F" w:rsidRPr="00FA5F1F">
        <w:rPr>
          <w:rFonts w:eastAsia="Arial Unicode MS"/>
        </w:rPr>
        <w:t> </w:t>
      </w:r>
      <w:r w:rsidR="00FA5F1F" w:rsidRPr="00FA5F1F">
        <w:t>The objective will be partly achieved within the timeframe of the strategy.</w:t>
      </w:r>
    </w:p>
    <w:p w:rsidR="00FA5F1F" w:rsidRDefault="00FA5F1F" w:rsidP="00654E8A"/>
    <w:p w:rsidR="00FA5F1F" w:rsidRPr="00FA5F1F" w:rsidRDefault="00FA5F1F" w:rsidP="002F46F5">
      <w:pPr>
        <w:pStyle w:val="H2"/>
      </w:pPr>
      <w:bookmarkStart w:id="5" w:name="_Toc360980036"/>
      <w:r w:rsidRPr="00FA5F1F">
        <w:t>Factors affecting progress</w:t>
      </w:r>
      <w:bookmarkEnd w:id="5"/>
    </w:p>
    <w:p w:rsidR="00FA5F1F" w:rsidRPr="00FA5F1F" w:rsidRDefault="00FA5F1F" w:rsidP="0081667A">
      <w:pPr>
        <w:pStyle w:val="BodyText"/>
      </w:pPr>
      <w:r w:rsidRPr="00FA5F1F">
        <w:t>The over-riding factor affecting progress in the East Asia regional programs is a mismatch between the desires of agenda setters and the priorities and capacities of the implementing agencies. This can be as true for regional organisations and their secretariats (where they exist), as it is for Australian Government agencies.</w:t>
      </w:r>
    </w:p>
    <w:p w:rsidR="00FA5F1F" w:rsidRPr="00FA5F1F" w:rsidRDefault="00FA5F1F" w:rsidP="0081667A">
      <w:pPr>
        <w:pStyle w:val="BodyText"/>
      </w:pPr>
      <w:r w:rsidRPr="00FA5F1F">
        <w:t xml:space="preserve">For example, the ASEAN Secretariat has traditionally been focused on and resourced for arranging ASEAN meetings. With the establishment of the ASEAN Charter and ambitious plans for regional integration, the secretariat is now responding to greatly </w:t>
      </w:r>
      <w:r w:rsidRPr="00FA5F1F">
        <w:lastRenderedPageBreak/>
        <w:t>increased demand for services to assist ASEAN to achieve progress. This requires developing and implementing effective regional programs, or at the least, the coordination of donors to undertake this assistance.</w:t>
      </w:r>
    </w:p>
    <w:p w:rsidR="00FA5F1F" w:rsidRPr="00FA5F1F" w:rsidRDefault="00FA5F1F" w:rsidP="0081667A">
      <w:pPr>
        <w:pStyle w:val="BodyText"/>
      </w:pPr>
      <w:r w:rsidRPr="00FA5F1F">
        <w:t>Within much of the Australian Government, the focus is on creating policy rather than implementing programs. Even so, many recognise that regional projects (even small ones) are useful to raise the profile of key issues, share best practice solutions to challenges, and provide confidence and skills development to help influence specific policies or actions within participants’ countries. This can lead to an expectation that public sector organisations should undertake regional activities, especially in areas of importance to Australia.</w:t>
      </w:r>
    </w:p>
    <w:p w:rsidR="00FA5F1F" w:rsidRPr="00FA5F1F" w:rsidRDefault="00FA5F1F" w:rsidP="0081667A">
      <w:pPr>
        <w:pStyle w:val="BodyText"/>
      </w:pPr>
      <w:r w:rsidRPr="00FA5F1F">
        <w:t>AusAID offers support for these activities through flexible funding mechanisms such as the Public Sector Linkages Program. However, many Australian Government agencies have limited capacity (including staff, budget and specialist skills in project design, monitoring and evaluation) to develop and implement effective projects. In addition, the priority for an agency may change from year to year, limiting the possibility of a stream of work that could build on the networks and understanding created during earlier activities.</w:t>
      </w:r>
    </w:p>
    <w:p w:rsidR="00FA5F1F" w:rsidRPr="00FA5F1F" w:rsidRDefault="00FA5F1F" w:rsidP="0081667A">
      <w:pPr>
        <w:pStyle w:val="BodyText"/>
      </w:pPr>
      <w:r w:rsidRPr="00FA5F1F">
        <w:t>East Asia regional program’s goal has been to deliver high quality, genuinely regional activities that have clear objectives. This requires the political will to focus on work that has potential development outcomes, and to better articulate AusAID areas of expertise and partner organisation responsibilities.</w:t>
      </w:r>
    </w:p>
    <w:p w:rsidR="00FA5F1F" w:rsidRPr="00FA5F1F" w:rsidRDefault="00FA5F1F" w:rsidP="0081667A">
      <w:pPr>
        <w:pStyle w:val="BodyText"/>
      </w:pPr>
      <w:r w:rsidRPr="00FA5F1F">
        <w:t>This also requires encouraging a coordinated approach to key issues, both within the Australian Government and between donors and members of regional organisations. Driving this approach has been challenging but benefits are emerging, for example in AusAID’s cooperative work with the ASEAN Secretariat through the ASEAN-Australia Development Cooperation Program Phase II, and with the Department of Foreign Affairs and Trade on structural reform work within APEC.</w:t>
      </w:r>
    </w:p>
    <w:p w:rsidR="00851D3D" w:rsidRPr="00851D3D" w:rsidRDefault="00851D3D" w:rsidP="002F46F5">
      <w:pPr>
        <w:pStyle w:val="H1"/>
      </w:pPr>
      <w:bookmarkStart w:id="6" w:name="_Toc360980037"/>
      <w:r w:rsidRPr="00851D3D">
        <w:t>Objective 1: Improved capacity of regional organisations to address agreed priority development challenges</w:t>
      </w:r>
      <w:bookmarkEnd w:id="6"/>
    </w:p>
    <w:p w:rsidR="00851D3D" w:rsidRPr="00851D3D" w:rsidRDefault="00851D3D" w:rsidP="002F46F5">
      <w:pPr>
        <w:pStyle w:val="H2"/>
      </w:pPr>
      <w:bookmarkStart w:id="7" w:name="_Toc360980038"/>
      <w:r w:rsidRPr="00851D3D">
        <w:t>Overall assessment</w:t>
      </w:r>
      <w:bookmarkEnd w:id="7"/>
    </w:p>
    <w:p w:rsidR="00851D3D" w:rsidRPr="00851D3D" w:rsidRDefault="00851D3D" w:rsidP="0081667A">
      <w:pPr>
        <w:pStyle w:val="BodyText"/>
      </w:pPr>
      <w:r w:rsidRPr="00851D3D">
        <w:t>An important element of the initiatives that work to support the capacity of regional organisations has been the placement of an AusAID seconded officer in the APEC and ASEAN secretariats. Both undertake project management within secretariat systems, while working with relevant bodies to reform those systems and processes. This aims to increase the quality and effectiveness of the work done by and through the organisation, assisting them to implement their respective mandates and progress priority issues that contribute to regional economic development.</w:t>
      </w:r>
    </w:p>
    <w:p w:rsidR="00851D3D" w:rsidRPr="00851D3D" w:rsidRDefault="00851D3D" w:rsidP="0081667A">
      <w:pPr>
        <w:pStyle w:val="BodyText"/>
      </w:pPr>
      <w:r w:rsidRPr="00851D3D">
        <w:t xml:space="preserve">East Asia regional programs’ partnering approach with the ASEAN Secretariat is building a strong relationship between the secretariat and AusAID, and is supporting the relationship between ASEAN and Australia (reflected, for example, during the ASEAN-Australia Forum meetings). In addition, it has encouraged international financial institutions (such as the World Bank) to collaborate with the secretariat on projects under the program which should deliver activities that meet both the </w:t>
      </w:r>
      <w:r w:rsidRPr="00851D3D">
        <w:lastRenderedPageBreak/>
        <w:t>secretariat’s and ASEAN needs and priorities. These partnerships are important given the potential contribution of ASEAN to regional economic development.</w:t>
      </w:r>
    </w:p>
    <w:p w:rsidR="00851D3D" w:rsidRPr="00851D3D" w:rsidRDefault="00851D3D" w:rsidP="0081667A">
      <w:pPr>
        <w:pStyle w:val="BodyText"/>
      </w:pPr>
      <w:r w:rsidRPr="00851D3D">
        <w:t>Australia is a member of APEC and so the partnership has a different character than that with the ASEAN Secretariat. The reform and capacity building agenda is progressed through membership of APEC groups and senior officials meetings, led by the Department of Foreign Affairs and Trade. The program focuses on the inclusion of developing member economies in APEC policy dialogues and capacity building activities to promote and manage reforms that could lead to further economic development in the region.</w:t>
      </w:r>
    </w:p>
    <w:p w:rsidR="00851D3D" w:rsidRPr="00851D3D" w:rsidRDefault="00851D3D" w:rsidP="0081667A">
      <w:pPr>
        <w:pStyle w:val="BodyText"/>
      </w:pPr>
      <w:r w:rsidRPr="00851D3D">
        <w:t>It is generally recognised that even the relatively small current investment (5 per cent) has progressed the project management reform agenda (particularly within APEC) and has encouraged the development of strategies to address corporate system issues (especially within the ASEAN Secretariat) that should lead to higher quality, better targeted projects and more effective systems and processes. However, work on measuring and evaluating progress in this area, and project results generally, is advancing slowly. Priority needs to be given to measuring results and helping our partners to understand the usefulness of this in promoting success stories.</w:t>
      </w:r>
    </w:p>
    <w:p w:rsidR="00851D3D" w:rsidRPr="00851D3D" w:rsidRDefault="00851D3D" w:rsidP="002F46F5">
      <w:pPr>
        <w:pStyle w:val="H2"/>
      </w:pPr>
      <w:bookmarkStart w:id="8" w:name="_Toc360980039"/>
      <w:r w:rsidRPr="00851D3D">
        <w:t>Program achievements</w:t>
      </w:r>
      <w:bookmarkEnd w:id="8"/>
    </w:p>
    <w:p w:rsidR="00851D3D" w:rsidRPr="00851D3D" w:rsidRDefault="00851D3D" w:rsidP="0081667A">
      <w:pPr>
        <w:pStyle w:val="BodyText"/>
      </w:pPr>
      <w:r w:rsidRPr="00851D3D">
        <w:t>The $66.7 million (2008–2015) ASEAN-Australia Development Cooperation Program Phase II aims to strengthen the ASEAN Secretariat’s capacity to implement its mandate effectively through sound strategic planning and effective project management. It has been doing this by filling skill gaps in priority areas, increasing expertise in program delivery, and by supporting improved internal management and administration in areas such as procurement.</w:t>
      </w:r>
    </w:p>
    <w:p w:rsidR="00851D3D" w:rsidRPr="00851D3D" w:rsidRDefault="00851D3D" w:rsidP="0081667A">
      <w:pPr>
        <w:pStyle w:val="BodyText"/>
      </w:pPr>
      <w:r w:rsidRPr="00851D3D">
        <w:t>AusAID is providing program management and monitoring and evaluation support. This includes placing an AusAID officer in the secretariat as the program director and additional staffing support for the secretariat in key positions, such as economics, monitoring and evaluation, contracts and finance personnel.</w:t>
      </w:r>
    </w:p>
    <w:p w:rsidR="00851D3D" w:rsidRPr="00851D3D" w:rsidRDefault="00851D3D" w:rsidP="0081667A">
      <w:pPr>
        <w:pStyle w:val="BodyText"/>
      </w:pPr>
      <w:r w:rsidRPr="00851D3D">
        <w:t>The ASEAN-Australia Development Cooperation Program Phase II</w:t>
      </w:r>
      <w:r w:rsidRPr="00851D3D" w:rsidDel="0028016E">
        <w:t xml:space="preserve"> </w:t>
      </w:r>
      <w:r w:rsidRPr="00851D3D">
        <w:t>is demonstrating success through a pragmatic approach to partnering, resulting in a strong relationship between AusAID and the ASEAN Secretariat. The program has proactively sought to overcome obstacles, remain positive and responsive, and adhere to its core principles of joint governance and management in a program directed by ASEAN priorities.</w:t>
      </w:r>
    </w:p>
    <w:p w:rsidR="00851D3D" w:rsidRPr="00851D3D" w:rsidRDefault="00851D3D" w:rsidP="0081667A">
      <w:pPr>
        <w:pStyle w:val="BodyText"/>
      </w:pPr>
      <w:r w:rsidRPr="00851D3D">
        <w:t>Positive outcomes from the strong partnership, and the introduction of the work-stream approach to program management, have been faster implementation of proposals and activities, advanced reform and capacity building in the secretariat, and a more streamlined and efficient program. Preliminary findings from the program’s independent progress report, undertaken April to June 2012, confirm that the program is in good shape. However, it recognised the significant challenges to program implementation posed by the ASEAN Secretariat’s limited capacity and resourcing, and the lack of clarity regarding its role and mandate.</w:t>
      </w:r>
    </w:p>
    <w:p w:rsidR="00851D3D" w:rsidRPr="00851D3D" w:rsidRDefault="00851D3D" w:rsidP="0081667A">
      <w:pPr>
        <w:pStyle w:val="BodyText"/>
      </w:pPr>
      <w:r w:rsidRPr="00851D3D">
        <w:t xml:space="preserve">Program activities focusing on improving corporate governance may lead to cooperation on long-term changes as the secretariat identifies high priority corporate development needs. The program is working closely with the secretariat to implement </w:t>
      </w:r>
      <w:r w:rsidRPr="00851D3D">
        <w:lastRenderedPageBreak/>
        <w:t>a number of reforms that will address key concerns in the human resources, finance and project management areas.</w:t>
      </w:r>
    </w:p>
    <w:p w:rsidR="00851D3D" w:rsidRPr="00851D3D" w:rsidRDefault="00851D3D" w:rsidP="0081667A">
      <w:pPr>
        <w:pStyle w:val="BodyText"/>
      </w:pPr>
      <w:r w:rsidRPr="00851D3D">
        <w:t>The ASEAN Committee of Permanent Representatives is asserting an increasingly significant role in the governance of the ASEAN Secretariat and donor programs. With other dialogue partners, AusAID is working with the secretariat to enhance its program and project management skills in line with its new mandate under the ASEAN charter. The establishment of the ASEAN-Australia Joint Cooperation Committee has enabled the Joint Program Review Committee to focus on ASEAN-Australia Development Cooperation Program Phase II</w:t>
      </w:r>
      <w:r w:rsidRPr="00851D3D" w:rsidDel="0028016E">
        <w:t xml:space="preserve"> </w:t>
      </w:r>
      <w:r w:rsidRPr="00851D3D">
        <w:t>matters.</w:t>
      </w:r>
    </w:p>
    <w:p w:rsidR="00851D3D" w:rsidRPr="00851D3D" w:rsidRDefault="00851D3D" w:rsidP="0081667A">
      <w:pPr>
        <w:pStyle w:val="BodyText"/>
      </w:pPr>
      <w:r w:rsidRPr="00851D3D">
        <w:t>While the ASEAN-Australia-New Zealand Free Trade Agreement (AANZFTA) Economic Cooperation Support Program helps achieve the East Asia Regional Program’s second objective of promoting and managing economic integration, it also helps to improve ASEAN Secretariat capacity. The program provides funds for staff and activities to help the secretariat manage the implementation of the free trade agreement. The support unit now has a full complement of six staff.</w:t>
      </w:r>
    </w:p>
    <w:p w:rsidR="00851D3D" w:rsidRPr="00851D3D" w:rsidRDefault="00851D3D" w:rsidP="0081667A">
      <w:pPr>
        <w:pStyle w:val="BodyText"/>
      </w:pPr>
      <w:r w:rsidRPr="00851D3D">
        <w:t>It is intended that the knowledge and skills gained from this program will also help the ASEAN Secretariat manage implementation of other ASEAN free trade agreements by establishing ongoing processes, networks and an information base within its secretariat. However, this capacity building element is not yet significant enough to be separated from the program delivery total that is included under objective 2 in table 1.</w:t>
      </w:r>
    </w:p>
    <w:p w:rsidR="00851D3D" w:rsidRPr="00851D3D" w:rsidRDefault="00851D3D" w:rsidP="0081667A">
      <w:pPr>
        <w:pStyle w:val="BodyText"/>
      </w:pPr>
      <w:r w:rsidRPr="00851D3D">
        <w:t>Australia has been one of the most influential APEC members promoting assistance to developing economies within APEC through effective project management support. Australia established the APEC Secretariat Project Management Unit in 2006 to manage the APEC Support Fund and other project funds. An AusAID seconded officer is the project management unit program director.</w:t>
      </w:r>
    </w:p>
    <w:p w:rsidR="00851D3D" w:rsidRPr="00851D3D" w:rsidRDefault="00851D3D" w:rsidP="0081667A">
      <w:pPr>
        <w:pStyle w:val="BodyText"/>
      </w:pPr>
      <w:r w:rsidRPr="00851D3D">
        <w:t>Australia has also provided an effectiveness grant ($1.5 million 2007–2011) to support efforts to improve the quality of APEC projects. It funds a project development specialist within the project management unit and supports advice and training for those developing APEC projects.</w:t>
      </w:r>
    </w:p>
    <w:p w:rsidR="00851D3D" w:rsidRPr="00851D3D" w:rsidRDefault="00851D3D" w:rsidP="0081667A">
      <w:pPr>
        <w:pStyle w:val="BodyText"/>
      </w:pPr>
      <w:r w:rsidRPr="00851D3D">
        <w:t xml:space="preserve">Australia is a key player in leading reform of the APEC Secretariat’s project management systems to ensure that projects are more effective. For example project concepts are now ranked and chosen according to agreed APEC priority issues for each year and new procurement systems have improved the transparency and accountability of project contracting. In 2012, AusAID will work closely with the secretariat to ensure that these reforms are practically embedded into APEC’s systems and processes. </w:t>
      </w:r>
    </w:p>
    <w:p w:rsidR="00851D3D" w:rsidRPr="00851D3D" w:rsidRDefault="00851D3D" w:rsidP="0081667A">
      <w:pPr>
        <w:pStyle w:val="BodyText"/>
      </w:pPr>
      <w:r w:rsidRPr="00851D3D">
        <w:t xml:space="preserve">The East Asia Summit is an emerging regional leaders’ forum of which Australia is a member. Delivering assistance through the summit is challenging, as it does not yet have stand-alone secretariat support and relies on the ASEAN Secretariat, which itself has considerable capacity constraints. </w:t>
      </w:r>
    </w:p>
    <w:p w:rsidR="00851D3D" w:rsidRPr="00851D3D" w:rsidRDefault="00851D3D" w:rsidP="0081667A">
      <w:pPr>
        <w:pStyle w:val="BodyText"/>
      </w:pPr>
      <w:r w:rsidRPr="00851D3D">
        <w:t xml:space="preserve">AusAID is supporting the established East Asia Summit priority areas (disaster management, education, energy and environment, finance, health and avian influenza) in cooperation with Australian whole-of-government partners. In 2011, summit leaders agreed to a joint Australia and Indonesia initiative to improve regional </w:t>
      </w:r>
      <w:r w:rsidRPr="00851D3D">
        <w:lastRenderedPageBreak/>
        <w:t xml:space="preserve">coordination in responding to natural disasters. In 2012, AusAID will work with whole-of-government partners and other summit members to begin implementing the initiative. </w:t>
      </w:r>
    </w:p>
    <w:p w:rsidR="00851D3D" w:rsidRPr="00851D3D" w:rsidRDefault="00851D3D" w:rsidP="0081667A">
      <w:pPr>
        <w:pStyle w:val="BodyText"/>
      </w:pPr>
      <w:r w:rsidRPr="00851D3D">
        <w:t xml:space="preserve">In addition, the East Asia regional program has provided a small amount of support ($1 million 2010 to 2011) to whole-of-government partners for development activities that address other summit priority areas. </w:t>
      </w:r>
    </w:p>
    <w:p w:rsidR="00851D3D" w:rsidRPr="00851D3D" w:rsidRDefault="00851D3D" w:rsidP="002F46F5">
      <w:pPr>
        <w:pStyle w:val="H1"/>
      </w:pPr>
      <w:bookmarkStart w:id="9" w:name="_Toc360980040"/>
      <w:r w:rsidRPr="00851D3D">
        <w:t>Objective 2: Promoting and managing economic integration</w:t>
      </w:r>
      <w:bookmarkEnd w:id="9"/>
    </w:p>
    <w:p w:rsidR="00851D3D" w:rsidRPr="00851D3D" w:rsidRDefault="00851D3D" w:rsidP="002F46F5">
      <w:pPr>
        <w:pStyle w:val="H2"/>
      </w:pPr>
      <w:bookmarkStart w:id="10" w:name="_Toc360980041"/>
      <w:r w:rsidRPr="00851D3D">
        <w:t>Overall assessment</w:t>
      </w:r>
      <w:bookmarkEnd w:id="10"/>
    </w:p>
    <w:p w:rsidR="00851D3D" w:rsidRPr="00851D3D" w:rsidRDefault="00851D3D" w:rsidP="0081667A">
      <w:pPr>
        <w:pStyle w:val="BodyText"/>
      </w:pPr>
      <w:r w:rsidRPr="00851D3D">
        <w:t>The two main elements of the East Asia regional program’s support for the promotion and management of economic integration have been:</w:t>
      </w:r>
    </w:p>
    <w:p w:rsidR="00851D3D" w:rsidRPr="00851D3D" w:rsidRDefault="00851D3D" w:rsidP="0081667A">
      <w:pPr>
        <w:pStyle w:val="ListParagraph"/>
      </w:pPr>
      <w:r w:rsidRPr="00851D3D">
        <w:t>funding relevant activities delivered by the ASEAN and APEC secretariats and whole-of-government activities normally delivered by the AusAID Public Sector Linkages Program</w:t>
      </w:r>
    </w:p>
    <w:p w:rsidR="00851D3D" w:rsidRPr="00851D3D" w:rsidRDefault="00851D3D" w:rsidP="0081667A">
      <w:pPr>
        <w:pStyle w:val="ListParagraph"/>
      </w:pPr>
      <w:r w:rsidRPr="00851D3D">
        <w:t>support for strategic whole-of-government and ministerial engagement in regional meetings that are important in promoting and managing economic integration.</w:t>
      </w:r>
    </w:p>
    <w:p w:rsidR="00851D3D" w:rsidRPr="00851D3D" w:rsidRDefault="00851D3D" w:rsidP="0081667A">
      <w:pPr>
        <w:pStyle w:val="BodyText"/>
      </w:pPr>
      <w:r w:rsidRPr="00851D3D">
        <w:t xml:space="preserve">The focus on promoting and managing economic integration remains relevant given that this continues to be the core priority for Australian work within APEC, it is the focus of the most established of the three ASEAN blueprints, and it is central to the implementation of the ASEAN-Australia-New Zealand Free Trade Agreement. Trade and economic integration drive economic growth that is central to improving the daily lives of citizens in developing countries. </w:t>
      </w:r>
    </w:p>
    <w:p w:rsidR="00851D3D" w:rsidRPr="00851D3D" w:rsidRDefault="00851D3D" w:rsidP="0081667A">
      <w:pPr>
        <w:pStyle w:val="BodyText"/>
      </w:pPr>
      <w:r w:rsidRPr="00851D3D">
        <w:t>For groups of which Australia is a member (such as APEC and the ASEAN-Australia-New Zealand Free Trade Agreement), the assistance through regional activities contributes to greater understanding and more open dialogue on issues, and in some cases has led to practical outcomes. For example, a recent APEC workshop promoting the use of new airport safety technology resulted in updated training materials and the adoption of new concepts for runway safety, lighting and marking, and emergency response.</w:t>
      </w:r>
    </w:p>
    <w:p w:rsidR="00851D3D" w:rsidRPr="00851D3D" w:rsidRDefault="00851D3D" w:rsidP="0081667A">
      <w:pPr>
        <w:pStyle w:val="BodyText"/>
      </w:pPr>
      <w:r w:rsidRPr="00851D3D">
        <w:t>Appreciation of Australia’s active participation in, and support for, developing members of regional organisations has been expressed at senior levels (for example at the 2011 ASEAN-CER Trade Minister’s meeting and the third 2011 APEC Senior Official’s meeting). The linkages formed between officials and their counterparts have been enhanced through participation in these activities.</w:t>
      </w:r>
      <w:r w:rsidRPr="00851D3D">
        <w:rPr>
          <w:vertAlign w:val="superscript"/>
        </w:rPr>
        <w:footnoteReference w:id="5"/>
      </w:r>
      <w:r w:rsidRPr="00851D3D">
        <w:t xml:space="preserve"> This in turn has helped to build confidence to explore reforms that will ultimately promote regional economic integration.</w:t>
      </w:r>
    </w:p>
    <w:p w:rsidR="00851D3D" w:rsidRPr="00851D3D" w:rsidRDefault="00851D3D" w:rsidP="0081667A">
      <w:pPr>
        <w:pStyle w:val="BodyText"/>
      </w:pPr>
      <w:r w:rsidRPr="00851D3D">
        <w:t xml:space="preserve">Support for ASEAN, of which Australia is not a member, needs to be led by ASEAN, and so the partnering approach of East Asia regional’s largest initiative has been important. This approach, and the scoping studies already undertaken, have established a basis for mutually identified, well-targeted work in the coming years. </w:t>
      </w:r>
    </w:p>
    <w:p w:rsidR="00851D3D" w:rsidRPr="00851D3D" w:rsidRDefault="00851D3D" w:rsidP="0081667A">
      <w:pPr>
        <w:pStyle w:val="BodyText"/>
      </w:pPr>
      <w:r w:rsidRPr="00851D3D">
        <w:lastRenderedPageBreak/>
        <w:t>Work under objective 1 to build skills in areas such as project management, monitoring and evaluation and corporate services, has supported the successful approval during 2011 of steps toward the evaluation of project results. These steps are in the early stages of implementation and therefore no results are available for 2011.</w:t>
      </w:r>
    </w:p>
    <w:p w:rsidR="00851D3D" w:rsidRPr="00851D3D" w:rsidRDefault="00851D3D" w:rsidP="0081667A">
      <w:pPr>
        <w:pStyle w:val="BodyText"/>
      </w:pPr>
      <w:r w:rsidRPr="00851D3D">
        <w:t>In future, priority needs to be place on helping our partners understand the role of evaluations in improving effectiveness, and the need to accurately capture results to tell success stories for the organisation.</w:t>
      </w:r>
    </w:p>
    <w:p w:rsidR="00851D3D" w:rsidRPr="00851D3D" w:rsidRDefault="00851D3D" w:rsidP="002F46F5">
      <w:pPr>
        <w:pStyle w:val="H2"/>
      </w:pPr>
      <w:bookmarkStart w:id="11" w:name="_Toc360980042"/>
      <w:r w:rsidRPr="00851D3D">
        <w:t>Program achievements</w:t>
      </w:r>
      <w:bookmarkEnd w:id="11"/>
    </w:p>
    <w:p w:rsidR="00851D3D" w:rsidRPr="00851D3D" w:rsidRDefault="00851D3D" w:rsidP="0081667A">
      <w:pPr>
        <w:pStyle w:val="BodyText"/>
      </w:pPr>
      <w:r w:rsidRPr="00851D3D">
        <w:t>The overall objective of the ASEAN-Australia Development Cooperation Program Phase II is to support ASEAN’s goal of an ASEAN economic community by 2015. The focus of work has been on economic integration activities to strengthen the ASEAN Secretariat’s ability to support regional mechanisms and the capacity for implementing selected high priority ASEAN Economic Community Blueprint activities at the national level (for example, investment, services, consumer protection and agriculture).</w:t>
      </w:r>
    </w:p>
    <w:p w:rsidR="00851D3D" w:rsidRPr="00851D3D" w:rsidRDefault="00851D3D" w:rsidP="0081667A">
      <w:pPr>
        <w:pStyle w:val="BodyText"/>
      </w:pPr>
      <w:r w:rsidRPr="00851D3D">
        <w:t xml:space="preserve">At this point, halfway through the program, less than one quarter of the program budget of $57 million available to the ASEAN Secretariat has been expensed. This has been due in part to the delayed start in implementation and the need to establish processes and systems to enable the development and implementation of activities. </w:t>
      </w:r>
    </w:p>
    <w:p w:rsidR="00851D3D" w:rsidRPr="00851D3D" w:rsidRDefault="00851D3D" w:rsidP="0081667A">
      <w:pPr>
        <w:pStyle w:val="BodyText"/>
      </w:pPr>
      <w:r w:rsidRPr="00851D3D">
        <w:t xml:space="preserve">However, activity pipeline projections are more encouraging. At current projections of $6 to 7 million annually, by 2015 the total expenditure would be approximately $40 million or 70 per cent of the total budget available. </w:t>
      </w:r>
    </w:p>
    <w:p w:rsidR="00851D3D" w:rsidRPr="00851D3D" w:rsidRDefault="00851D3D" w:rsidP="0081667A">
      <w:pPr>
        <w:pStyle w:val="ListParagraph"/>
      </w:pPr>
      <w:r w:rsidRPr="00851D3D">
        <w:t>Thirty-eight activities are either completed or underway and the activity pipeline has the potential to increase the number of projects for the remaining years of the program.</w:t>
      </w:r>
    </w:p>
    <w:p w:rsidR="00851D3D" w:rsidRPr="00851D3D" w:rsidRDefault="00851D3D" w:rsidP="0081667A">
      <w:pPr>
        <w:pStyle w:val="ListParagraph"/>
      </w:pPr>
      <w:r w:rsidRPr="00851D3D">
        <w:t>Significant long-term activities are currently being developed with multilateral agencies. This collaboration represents an important and potentially sustainable development in the program, facilitated by the strong partnership that has developed between AusAID and the secretariat.</w:t>
      </w:r>
    </w:p>
    <w:p w:rsidR="00851D3D" w:rsidRPr="00851D3D" w:rsidRDefault="00851D3D" w:rsidP="0081667A">
      <w:pPr>
        <w:pStyle w:val="BodyText"/>
      </w:pPr>
      <w:r w:rsidRPr="00851D3D">
        <w:t>The introduction of the work-stream program management approach to ASEAN-Australia Development Cooperation Program Phase II activity implementation has been a key success. It shows clear linkages between the activities in the evolving framework of the program and the objectives of the program, and ultimately to key elements of the ASEAN Economic Community Blueprint.</w:t>
      </w:r>
    </w:p>
    <w:p w:rsidR="00851D3D" w:rsidRPr="00851D3D" w:rsidRDefault="00851D3D" w:rsidP="0081667A">
      <w:pPr>
        <w:pStyle w:val="BodyText"/>
      </w:pPr>
      <w:r w:rsidRPr="00851D3D">
        <w:t>The AANZFTA Economic Cooperation Support Program will provide up to $20 million over five years (2009–10 to 2013–14) to support ASEAN member states to implement the free trade area, which came into force on 1 January 2010. The program will assist developing member countries to participate in the benefits of more open trade and economic integration and achieve faster growth and development. The free trade area is also setting a benchmark for other ASEAN free trade agreements by encouraging and facilitating cooperation more broadly in the region, particularly through activities that focus on capacity building and delivering activities through partnerships with other regional and multilateral organisations.</w:t>
      </w:r>
    </w:p>
    <w:p w:rsidR="00851D3D" w:rsidRPr="00851D3D" w:rsidRDefault="00851D3D" w:rsidP="0081667A">
      <w:pPr>
        <w:pStyle w:val="BodyText"/>
      </w:pPr>
      <w:r w:rsidRPr="00851D3D">
        <w:lastRenderedPageBreak/>
        <w:t>The program has made good initial progress in supporting the effective implementation of the free trade area through the rollout of economic cooperation work program activities and the servicing of the Free Trade Agreement Joint Committee through secretariat systems. There are 24 completed, ongoing and approved activities to date. In 2011 alone, activities involved an estimated 1100 participants.</w:t>
      </w:r>
      <w:r w:rsidRPr="00851D3D">
        <w:rPr>
          <w:vertAlign w:val="superscript"/>
        </w:rPr>
        <w:footnoteReference w:id="6"/>
      </w:r>
      <w:r w:rsidRPr="00851D3D">
        <w:t xml:space="preserve"> </w:t>
      </w:r>
    </w:p>
    <w:p w:rsidR="00851D3D" w:rsidRPr="00851D3D" w:rsidRDefault="00851D3D" w:rsidP="0081667A">
      <w:pPr>
        <w:pStyle w:val="BodyText"/>
      </w:pPr>
      <w:r w:rsidRPr="00851D3D">
        <w:t xml:space="preserve">A number of proposals are shifting to activities that are longer term and more strategic in scope. Capacity building is acquiring greater depth as parties gain both a better understanding of the capacity building requirements and build experience of working under the agreement. Follow-up activities, particularly in areas such as monitoring of free trade agreement implementation, rules of origin certification, services statistics, capacity building and intellectual property, are targeting identified high priority needs. This will help increase the sustainability of these individual capacity building measures and the program generally. </w:t>
      </w:r>
    </w:p>
    <w:p w:rsidR="00851D3D" w:rsidRPr="00851D3D" w:rsidRDefault="00851D3D" w:rsidP="0081667A">
      <w:pPr>
        <w:pStyle w:val="BodyText"/>
      </w:pPr>
      <w:r w:rsidRPr="00851D3D">
        <w:t>The program made positive steps in 2011 towards establishing a system for gathering and reporting results that is able to be implemented and meets the needs of its stakeholders. The system aims to measure the effectiveness of the activities within the program and to assess its overall performance as well as that of the support unit in achieving the results desired by program participants.</w:t>
      </w:r>
    </w:p>
    <w:p w:rsidR="00851D3D" w:rsidRPr="00851D3D" w:rsidRDefault="00851D3D" w:rsidP="0081667A">
      <w:pPr>
        <w:pStyle w:val="BodyText"/>
      </w:pPr>
      <w:r w:rsidRPr="00851D3D">
        <w:t xml:space="preserve">Australia established the APEC Support Fund in 2004 to fund projects that benefit APEC developing economies. To date, Australia has contributed more than $16 million, which has been used to fund policy dialogues, and practical workshops that build understanding and skills in areas such as transportation safety and efficiency, financial system regulation reform, emergency preparedness, food security, education cooperation, and increased ease of doing business. Support for a range of generally small activities provides a challenge for the APEC Secretariat in relation to project impact and gathering evidence of effectiveness. </w:t>
      </w:r>
    </w:p>
    <w:p w:rsidR="00851D3D" w:rsidRPr="00851D3D" w:rsidRDefault="00851D3D" w:rsidP="0081667A">
      <w:pPr>
        <w:pStyle w:val="ListParagraph"/>
      </w:pPr>
      <w:r w:rsidRPr="00851D3D">
        <w:t>Australia has promoted the development of new initiatives aimed at achieving better outcomes, with the first multi-year projects approved in late 2011.</w:t>
      </w:r>
    </w:p>
    <w:p w:rsidR="00851D3D" w:rsidRPr="00851D3D" w:rsidRDefault="00851D3D" w:rsidP="0081667A">
      <w:pPr>
        <w:pStyle w:val="ListParagraph"/>
      </w:pPr>
      <w:r w:rsidRPr="00851D3D">
        <w:t>AusAID will participate in a small working group to assist the APEC Secretariat to undertake the first large scale evaluation of APEC project effectiveness, approved for the second half of 2012.</w:t>
      </w:r>
    </w:p>
    <w:p w:rsidR="00851D3D" w:rsidRPr="00851D3D" w:rsidRDefault="00851D3D" w:rsidP="0081667A">
      <w:pPr>
        <w:pStyle w:val="BodyText"/>
      </w:pPr>
      <w:r w:rsidRPr="00851D3D">
        <w:t xml:space="preserve">Australia will also work to support APEC developing economies to implement structural reform in nominated areas by 2015, as announced by the Prime Minister at the 2010 and 2011 APEC Leaders’ Meetings. This will involve the development of a pilot ‘twinning’ program with the Productivity Commission for 2012 ($0.5 million), and continued support for Australia’s Structural Reform Initiative (2011–2013) through the APEC Secretariat ($2.5 million) and the Department of Foreign Affairs and Trade ($0.5 million). </w:t>
      </w:r>
    </w:p>
    <w:p w:rsidR="00851D3D" w:rsidRPr="00851D3D" w:rsidRDefault="00851D3D" w:rsidP="0081667A">
      <w:pPr>
        <w:pStyle w:val="BodyText"/>
      </w:pPr>
      <w:r w:rsidRPr="00851D3D">
        <w:t xml:space="preserve">Australia has coordinated structural reform support efforts with the United States. For example, in 2011 the Department of Foreign Affairs and Trade held a symposium and then a more practical capacity building workshop to motivate and assist APEC economies to prepare structural reform implementation plans. The United States followed this with a workshop focused on indicators that could be used to monitor the </w:t>
      </w:r>
      <w:r w:rsidRPr="00851D3D">
        <w:lastRenderedPageBreak/>
        <w:t>progress of reform and further assist in the completion of plans. All APEC economies submitted structural reform implementation plans by the leaders’ meeting in November 2011.</w:t>
      </w:r>
    </w:p>
    <w:p w:rsidR="00851D3D" w:rsidRPr="00851D3D" w:rsidRDefault="00851D3D" w:rsidP="0081667A">
      <w:pPr>
        <w:pStyle w:val="ListParagraph"/>
      </w:pPr>
      <w:r w:rsidRPr="00851D3D">
        <w:t xml:space="preserve">The Department of Foreign Affairs and Trade will coordinate a practical workshop in July 2012 for APEC developing economies in Southeast Asia and Papua New Guinea, which should result in project proposals which address specific implementation issues for each participant. The department will also contribute to a similar workshop run by the United States for the Latin American APEC developing economies in August. APEC developing economies will then have the opportunity to apply to the APEC Secretariat for funding for the proposals, using Australia’s contribution. </w:t>
      </w:r>
    </w:p>
    <w:p w:rsidR="00851D3D" w:rsidRPr="00851D3D" w:rsidRDefault="00851D3D" w:rsidP="0081667A">
      <w:pPr>
        <w:pStyle w:val="BodyText"/>
      </w:pPr>
      <w:r w:rsidRPr="00851D3D">
        <w:t xml:space="preserve">Complementing work through the APEC Secretariat is the APEC Public Sector Linkages Program which aims to promote closer cooperation and linkages between Australian public sector organisations and their counterparts in APEC developing country member economies. It provides capacity building and technical assistance in APEC priority areas, including trade and investment liberalisation, structural reform, public private partnerships in infrastructure, financial institution regulations, and transport security. </w:t>
      </w:r>
    </w:p>
    <w:p w:rsidR="00851D3D" w:rsidRPr="00851D3D" w:rsidRDefault="00851D3D" w:rsidP="0081667A">
      <w:pPr>
        <w:pStyle w:val="ListParagraph"/>
      </w:pPr>
      <w:r w:rsidRPr="00851D3D">
        <w:t>Australia, through targeted capacity building programs conducted as part of the APEC Asia Region Funds Passport initiative, has supported several developing economies</w:t>
      </w:r>
      <w:r w:rsidRPr="00851D3D">
        <w:footnoteReference w:id="7"/>
      </w:r>
      <w:r w:rsidRPr="00851D3D">
        <w:t xml:space="preserve"> in their efforts to reform their domestic financial market systems and policies. These programs continue to help economies establish robust policies and enforce regulations that will ensure greater financial market stability, investor protection and access to cross border trading of financial products and services.</w:t>
      </w:r>
    </w:p>
    <w:p w:rsidR="00851D3D" w:rsidRPr="00851D3D" w:rsidRDefault="00851D3D" w:rsidP="0081667A">
      <w:pPr>
        <w:pStyle w:val="BodyText"/>
      </w:pPr>
      <w:r w:rsidRPr="00851D3D">
        <w:t>Since 2005, there have been 18 APEC Public Sector Linkages Program rounds, which have attracted 258 concept proposals. Of these, 96 have been funded with a cumulative value of $18 million. The program is well regarded by AusAID’s whole-of-government partners and remains one of relatively few avenues through which Australian public sector organisations can access funding for development-related work they would otherwise be unable to perform.</w:t>
      </w:r>
    </w:p>
    <w:p w:rsidR="00851D3D" w:rsidRPr="00851D3D" w:rsidRDefault="00851D3D" w:rsidP="0081667A">
      <w:pPr>
        <w:pStyle w:val="BodyText"/>
      </w:pPr>
      <w:r w:rsidRPr="00851D3D">
        <w:t>The program is a flexible and efficient way of providing funding for short-term, small-value projects that are highly relevant to APEC’s priorities. However, the short-term nature of the projects means that they tend to score lower in effectiveness and sustainability assessments.</w:t>
      </w:r>
    </w:p>
    <w:p w:rsidR="00851D3D" w:rsidRPr="00851D3D" w:rsidRDefault="00851D3D" w:rsidP="0081667A">
      <w:pPr>
        <w:pStyle w:val="BodyText"/>
      </w:pPr>
      <w:r w:rsidRPr="00851D3D">
        <w:t>I</w:t>
      </w:r>
      <w:r w:rsidRPr="00851D3D">
        <w:rPr>
          <w:lang w:val="en-US"/>
        </w:rPr>
        <w:t xml:space="preserve">n 2011, a review of the Asia </w:t>
      </w:r>
      <w:r w:rsidRPr="00851D3D">
        <w:t xml:space="preserve">Public Sector Linkages Program </w:t>
      </w:r>
      <w:r w:rsidRPr="00851D3D">
        <w:rPr>
          <w:lang w:val="en-US"/>
        </w:rPr>
        <w:t xml:space="preserve">recommended introducing the possibility of longer-term projects and expanding monitoring and evaluation of the progress and impact of projects. A series of activities that either target an issue in a comprehensive way, or build towards a result over time, should lead to greater impact in that area of work. The first APEC multi-year proposal was approved in 2011 and in 2012 the whole </w:t>
      </w:r>
      <w:r w:rsidRPr="00851D3D">
        <w:t xml:space="preserve">Public Sector Linkages Program </w:t>
      </w:r>
      <w:r w:rsidRPr="00851D3D">
        <w:rPr>
          <w:lang w:val="en-US"/>
        </w:rPr>
        <w:t xml:space="preserve">is being redesigned to increase its efficiency and effectiveness. </w:t>
      </w:r>
    </w:p>
    <w:p w:rsidR="00851D3D" w:rsidRPr="00851D3D" w:rsidRDefault="00851D3D" w:rsidP="0081667A">
      <w:pPr>
        <w:pStyle w:val="BodyText"/>
      </w:pPr>
      <w:r w:rsidRPr="00851D3D">
        <w:lastRenderedPageBreak/>
        <w:t xml:space="preserve">The ASEAN Public Sector Linkages Program serves a similar purpose to the APEC program, but focuses on ASEAN developing countries. In 2011 it was expanded to include </w:t>
      </w:r>
      <w:r w:rsidRPr="00851D3D">
        <w:rPr>
          <w:lang w:val="en"/>
        </w:rPr>
        <w:t xml:space="preserve">East Asia Summit </w:t>
      </w:r>
      <w:r w:rsidRPr="00851D3D">
        <w:t>priorities. Given its start date in March 2009, results are limited, with expenditure to date of $1.74 million. As it is only a small program, a quality at implementation report has not been completed.</w:t>
      </w:r>
    </w:p>
    <w:p w:rsidR="00C47C71" w:rsidRPr="00C47C71" w:rsidRDefault="00C47C71" w:rsidP="002F46F5">
      <w:pPr>
        <w:pStyle w:val="H1"/>
      </w:pPr>
      <w:bookmarkStart w:id="12" w:name="_Toc360980043"/>
      <w:r w:rsidRPr="00C47C71">
        <w:t>Objective 3: Addressing priority transboundary issues</w:t>
      </w:r>
      <w:bookmarkEnd w:id="12"/>
    </w:p>
    <w:p w:rsidR="00C47C71" w:rsidRPr="00C47C71" w:rsidRDefault="00C47C71" w:rsidP="002F46F5">
      <w:pPr>
        <w:pStyle w:val="H2"/>
      </w:pPr>
      <w:bookmarkStart w:id="13" w:name="_Toc360980044"/>
      <w:r w:rsidRPr="00C47C71">
        <w:t>Overall assessment</w:t>
      </w:r>
      <w:bookmarkEnd w:id="13"/>
    </w:p>
    <w:p w:rsidR="00C47C71" w:rsidRPr="00C47C71" w:rsidRDefault="00C47C71" w:rsidP="0081667A">
      <w:pPr>
        <w:pStyle w:val="BodyText"/>
      </w:pPr>
      <w:r w:rsidRPr="00C47C71">
        <w:t xml:space="preserve">Four main transboundary issues resulting from, or presenting threats to, closer regional integration, affect economic growth and stability in the region: </w:t>
      </w:r>
    </w:p>
    <w:p w:rsidR="00C47C71" w:rsidRPr="00C47C71" w:rsidRDefault="00C47C71" w:rsidP="0081667A">
      <w:pPr>
        <w:pStyle w:val="ListParagraph"/>
      </w:pPr>
      <w:r w:rsidRPr="00C47C71">
        <w:t>health issues, including HIV/AIDS, emerging and pandemic diseases, and drug-resistance to anti-malarials and tuberculosis treatment</w:t>
      </w:r>
    </w:p>
    <w:p w:rsidR="00C47C71" w:rsidRPr="00C47C71" w:rsidRDefault="00C47C71" w:rsidP="0081667A">
      <w:pPr>
        <w:pStyle w:val="ListParagraph"/>
      </w:pPr>
      <w:r w:rsidRPr="00C47C71">
        <w:t>natural disasters</w:t>
      </w:r>
    </w:p>
    <w:p w:rsidR="00C47C71" w:rsidRPr="00C47C71" w:rsidRDefault="00C47C71" w:rsidP="0081667A">
      <w:pPr>
        <w:pStyle w:val="ListParagraph"/>
      </w:pPr>
      <w:r w:rsidRPr="00C47C71">
        <w:t>trafficking in persons</w:t>
      </w:r>
    </w:p>
    <w:p w:rsidR="00C47C71" w:rsidRPr="00C47C71" w:rsidRDefault="00C47C71" w:rsidP="0081667A">
      <w:pPr>
        <w:pStyle w:val="ListParagraph"/>
      </w:pPr>
      <w:r w:rsidRPr="00C47C71">
        <w:t>labour exploitation and the sexual exploitation of children in tourism.</w:t>
      </w:r>
    </w:p>
    <w:p w:rsidR="00C47C71" w:rsidRPr="00C47C71" w:rsidRDefault="00C47C71" w:rsidP="0081667A">
      <w:pPr>
        <w:pStyle w:val="BodyText"/>
      </w:pPr>
      <w:r w:rsidRPr="00C47C71">
        <w:t>Progress has been significant under the Asia Regional Trafficking in Persons Project. In 2003 when work started on its predecessor project, the issue of trafficking in persons was a low regional priority. This is no longer the case. Over the past eight years, Australia has shown leadership on combating trafficking in persons in South East Asia through support to the criminal justice sector and sustainable, long-term projects.</w:t>
      </w:r>
    </w:p>
    <w:p w:rsidR="00C47C71" w:rsidRPr="00C47C71" w:rsidRDefault="00C47C71" w:rsidP="0081667A">
      <w:pPr>
        <w:pStyle w:val="BodyText"/>
      </w:pPr>
      <w:r w:rsidRPr="00C47C71">
        <w:t>This leadership role is recognised internationally, and is welcomed by Australia’s development partners. However, the incidence of trafficking in persons continues to rise both globally and in the region. Combating these increases will require commitment over several decades. Building consensus on practical needs, coordination priorities, and national-level policy development is critical for a stronger regional anti-trafficking response.</w:t>
      </w:r>
    </w:p>
    <w:p w:rsidR="00C47C71" w:rsidRPr="00C47C71" w:rsidRDefault="00C47C71" w:rsidP="0081667A">
      <w:pPr>
        <w:pStyle w:val="BodyText"/>
      </w:pPr>
      <w:r w:rsidRPr="00C47C71">
        <w:t>In light of this, a new anti-trafficking in persons program (estimated at approximately $50 million over five years) is being developed to continue work on strengthening the criminal justice response to trafficking. The new program seeks to achieve change in both perceptions toward trafficking and practical anti-trafficking measures delivered through strengthened ASEAN structures in the region.</w:t>
      </w:r>
    </w:p>
    <w:p w:rsidR="00C47C71" w:rsidRPr="00C47C71" w:rsidRDefault="00C47C71" w:rsidP="0081667A">
      <w:pPr>
        <w:pStyle w:val="BodyText"/>
      </w:pPr>
      <w:r w:rsidRPr="00C47C71">
        <w:t xml:space="preserve">New initiatives were established in 2011 to build capacity in the important and challenging areas of combating child sexual exploitation in tourism and reducing labour exploitation. However, additional work is required to strengthen coordination between regional delivery partners in the program to combat child sexual exploitation to improve its overall effectiveness. </w:t>
      </w:r>
    </w:p>
    <w:p w:rsidR="00C47C71" w:rsidRPr="00C47C71" w:rsidRDefault="00C47C71" w:rsidP="0081667A">
      <w:pPr>
        <w:pStyle w:val="BodyText"/>
      </w:pPr>
      <w:r w:rsidRPr="00C47C71">
        <w:t xml:space="preserve">In 2011, an important new regional focus for AusAID was strengthening national veterinary services and systems to conform to international health standards. Most emerging infectious diseases capable of affecting humans originate in animals, and rapid action to prevent diseases before transmission to humans, or any further spread as a pandemic, is critical. Work commenced through support to an inter-governmental </w:t>
      </w:r>
      <w:r w:rsidRPr="00C47C71">
        <w:lastRenderedPageBreak/>
        <w:t>organisation responsible for the global prevention and control of animal diseases. The project continued the excellent progress made since 1997 on regional eradication of foot and mouth disease in South East Asia.</w:t>
      </w:r>
    </w:p>
    <w:p w:rsidR="00C47C71" w:rsidRPr="00C47C71" w:rsidRDefault="00C47C71" w:rsidP="0081667A">
      <w:pPr>
        <w:pStyle w:val="BodyText"/>
      </w:pPr>
      <w:r w:rsidRPr="00C47C71">
        <w:t>Australia has established a unique niche in HIV harm reduction efforts in the Greater Mekong Sub-region through the HIV/AIDS Asia Regional Program. However, the operating context remains challenging as some drug policies in the region continue to contradict sustainable HIV harm reduction prevention and care policies. Stigma and discrimination for people who inject drugs still persist which hinders any progress made on harm reduction. Needle and syringe programs, a cornerstone of HIV harm reduction, remain highly sensitive and politically contentious in some countries.</w:t>
      </w:r>
    </w:p>
    <w:p w:rsidR="00C47C71" w:rsidRPr="00C47C71" w:rsidRDefault="00C47C71" w:rsidP="0081667A">
      <w:pPr>
        <w:pStyle w:val="BodyText"/>
      </w:pPr>
      <w:r w:rsidRPr="00C47C71">
        <w:t xml:space="preserve">There are changing drivers to support HIV-related harm reduction efforts through new global and regional platforms for financial and technical consolidation. As a result, Australia’s regional model addressing harm reduction will need to be rebalanced to focus on a more effective and sustainable model for in-country delivery. </w:t>
      </w:r>
    </w:p>
    <w:p w:rsidR="00C47C71" w:rsidRPr="00C47C71" w:rsidRDefault="00C47C71" w:rsidP="0081667A">
      <w:pPr>
        <w:pStyle w:val="BodyText"/>
      </w:pPr>
      <w:r w:rsidRPr="00C47C71">
        <w:t>In this regard, AusAID plans to develop country support units in each of the HIV/AIDS Asia Regional Program countries to bring vital technical resources in country. Where practical, these country support units will be co-located with government services leading to increased country ownership and sustainability of harm reduction programs. The country support units will be supported by a regional knowledge management system coordinated by AusAID Bangkok. This transition process to the new model will be ongoing over the next year. The aim is to support the sustainable transition to national partner governments before the end of the current program in 2015.</w:t>
      </w:r>
    </w:p>
    <w:p w:rsidR="00C47C71" w:rsidRPr="00C47C71" w:rsidRDefault="00C47C71" w:rsidP="0081667A">
      <w:pPr>
        <w:pStyle w:val="BodyText"/>
      </w:pPr>
      <w:r w:rsidRPr="00C47C71">
        <w:t xml:space="preserve">AusAID collaborated with donors and multilateral agencies to conduct joint strategic assessments on regional and country responses to HIV/AIDS and drug-resistant malaria. These assessments recognised the importance of the changing regional context, including the dynamics and drivers of infectious diseases, the shift in the regional geopolitical architecture, and global financial crisis. </w:t>
      </w:r>
    </w:p>
    <w:p w:rsidR="00C47C71" w:rsidRPr="00C47C71" w:rsidRDefault="00C47C71" w:rsidP="0081667A">
      <w:pPr>
        <w:pStyle w:val="BodyText"/>
      </w:pPr>
      <w:r w:rsidRPr="00C47C71">
        <w:t xml:space="preserve">Continued engagement with regional multilateral partners and donors on both policy and strategy will be required to progress the regional public health agendas identified through these assessments. For example, a new program in partnership with USAID is being designed to prevent emerging infectious diseases among high-risk populations in communities across the Mekong. This program will reduce those risky behaviours that increase the chance of infection by these diseases. </w:t>
      </w:r>
    </w:p>
    <w:p w:rsidR="00C47C71" w:rsidRPr="00C47C71" w:rsidRDefault="00C47C71" w:rsidP="0081667A">
      <w:pPr>
        <w:pStyle w:val="BodyText"/>
      </w:pPr>
      <w:r w:rsidRPr="00C47C71">
        <w:t xml:space="preserve">The </w:t>
      </w:r>
      <w:r w:rsidRPr="00C47C71">
        <w:rPr>
          <w:lang w:val="en"/>
        </w:rPr>
        <w:t xml:space="preserve">East Asia Summit </w:t>
      </w:r>
      <w:r w:rsidRPr="00C47C71">
        <w:t>has increased in importance as a regional forum encompassing non-economic priority areas. Its priority areas include the environment and energy, health and avian influenza, and disaster preparedness in addition to education and finance.</w:t>
      </w:r>
    </w:p>
    <w:p w:rsidR="00C47C71" w:rsidRPr="00C47C71" w:rsidRDefault="00C47C71" w:rsidP="0081667A">
      <w:pPr>
        <w:pStyle w:val="BodyText"/>
      </w:pPr>
      <w:r w:rsidRPr="00C47C71">
        <w:t xml:space="preserve">In 2011, East Asia regional programs undertook preliminary work to support fledgling institutional mechanisms and to promote issues with potential development outcomes, such as drug resistant malaria. Support for expert participation by Emergency Management Australia in the new </w:t>
      </w:r>
      <w:r w:rsidRPr="00C47C71">
        <w:rPr>
          <w:lang w:val="en"/>
        </w:rPr>
        <w:t xml:space="preserve">East Asia Summit </w:t>
      </w:r>
      <w:r w:rsidRPr="00C47C71">
        <w:t>disaster management networks and structures (under objective 1) should further progress the transboundary issue of disaster management (objective 3).</w:t>
      </w:r>
    </w:p>
    <w:p w:rsidR="00C47C71" w:rsidRPr="00C47C71" w:rsidRDefault="00C47C71" w:rsidP="0081667A">
      <w:pPr>
        <w:pStyle w:val="BodyText"/>
      </w:pPr>
      <w:r w:rsidRPr="00C47C71">
        <w:lastRenderedPageBreak/>
        <w:t>Given the wide range of transboundary issues, and the multiple areas within AusAID that manage these issues, it could be useful to prepare an overall delivery strategy for this area to review whether improvements could be made to how this objective is progressed. Specialised expertise and resources at Posts will be needed to boost AusAID’s technical, policy, and strategic engagement with regional donors and multilateral partners.</w:t>
      </w:r>
    </w:p>
    <w:p w:rsidR="00C47C71" w:rsidRPr="00C47C71" w:rsidRDefault="00C47C71" w:rsidP="002F46F5">
      <w:pPr>
        <w:pStyle w:val="H2"/>
      </w:pPr>
      <w:bookmarkStart w:id="14" w:name="_Toc360980045"/>
      <w:r w:rsidRPr="00C47C71">
        <w:t>Program achievements</w:t>
      </w:r>
      <w:bookmarkEnd w:id="14"/>
    </w:p>
    <w:p w:rsidR="00C47C71" w:rsidRPr="00C47C71" w:rsidRDefault="00C47C71" w:rsidP="0081667A">
      <w:pPr>
        <w:pStyle w:val="BodyText"/>
      </w:pPr>
      <w:r w:rsidRPr="00C47C71">
        <w:t>The Asia Regional Trafficking in Persons Project is a five-year, $21 million initiative to help combat trafficking in persons in the South East Asia Region. Partner countries are Burma, Cambodia, Indonesia, Lao People’s Democratic Republic, the Philippines, Thailand and Vietnam. The project has achieved genuine transformative change in a number of areas, including in building regional cooperation and coordination on the issue.</w:t>
      </w:r>
    </w:p>
    <w:p w:rsidR="00C47C71" w:rsidRPr="00C47C71" w:rsidRDefault="00C47C71" w:rsidP="0081667A">
      <w:pPr>
        <w:pStyle w:val="BodyText"/>
      </w:pPr>
      <w:r w:rsidRPr="00C47C71">
        <w:t xml:space="preserve">Through the program, ASEAN has taken greater ownership of trafficking in persons in regular meetings between the senior police who head specialist anti-trafficking units, and a regular Working Group on Trafficking in Persons under the ASEAN Senior Officials Meeting on Transnational Crime. The project trained over 7000 police officers, prosecutors and judges, and prepared world-class training materials, standard operating procedures and handbooks. </w:t>
      </w:r>
    </w:p>
    <w:p w:rsidR="00C47C71" w:rsidRPr="00C47C71" w:rsidRDefault="00C47C71" w:rsidP="0081667A">
      <w:pPr>
        <w:pStyle w:val="BodyText"/>
      </w:pPr>
      <w:r w:rsidRPr="00C47C71">
        <w:t>Other significant achievements include in:</w:t>
      </w:r>
    </w:p>
    <w:p w:rsidR="00C47C71" w:rsidRPr="00C47C71" w:rsidRDefault="00C47C71" w:rsidP="0081667A">
      <w:pPr>
        <w:pStyle w:val="ListParagraph"/>
      </w:pPr>
      <w:r w:rsidRPr="00C47C71">
        <w:t>the ASEAN region, where between October 2011 and February 2012, investigators and police trained through the project were involved in identifying and rescuing at least 53 victims of trafficking. Ten recruiters and traffickers have been arrested or prosecuted in relation to these cases</w:t>
      </w:r>
    </w:p>
    <w:p w:rsidR="00C47C71" w:rsidRPr="00C47C71" w:rsidRDefault="00C47C71" w:rsidP="0081667A">
      <w:pPr>
        <w:pStyle w:val="ListParagraph"/>
      </w:pPr>
      <w:r w:rsidRPr="00C47C71">
        <w:t>the Philippines, where specific measures have been put in place to improve the pace and rates of trafficking investigations and prosecutions by prioritising and expediting cases. The rate of prosecution and conviction has increased seven-fold in the last year from 29 prosecutions (2003–2010) to 31 prosecutions in 2011 alone</w:t>
      </w:r>
    </w:p>
    <w:p w:rsidR="00C47C71" w:rsidRPr="00C47C71" w:rsidRDefault="00C47C71" w:rsidP="0081667A">
      <w:pPr>
        <w:pStyle w:val="ListParagraph"/>
      </w:pPr>
      <w:r w:rsidRPr="00C47C71">
        <w:t>Cambodia’s Ministry of Justice, where a central authority was established that has the capacity to effect international legal cooperation on transnational crimes. For the first time, Cambodia can formally cooperate with other countries on transnational crimes, including trafficking in persons. Technical support from the project resulted in the creation of the central authority.</w:t>
      </w:r>
    </w:p>
    <w:p w:rsidR="00C47C71" w:rsidRPr="00C47C71" w:rsidRDefault="00C47C71" w:rsidP="0081667A">
      <w:pPr>
        <w:pStyle w:val="BodyText"/>
      </w:pPr>
      <w:r w:rsidRPr="00C47C71">
        <w:t xml:space="preserve">Following formal completion of the project, it entered a scaled back transition phase to preserve its critical elements. Over the next four years, Australia and ASEAN will continue to support programs to strengthen the criminal justice sector response to trafficking in persons, particularly through a new five-year program across East Asia, which is expected to commence in early 2013. This initiative will be informed by the achievements of the Asia Regional Trafficking in Persons Project. </w:t>
      </w:r>
    </w:p>
    <w:p w:rsidR="00C47C71" w:rsidRPr="00C47C71" w:rsidRDefault="00C47C71" w:rsidP="0081667A">
      <w:pPr>
        <w:pStyle w:val="BodyText"/>
      </w:pPr>
      <w:r w:rsidRPr="00C47C71">
        <w:t xml:space="preserve">As migrant workers cross borders to take up jobs in informal or poorly regulated labour markets, they are often at risk of exploitation. The Tripartite Action to Protect Migrants from Labour Exploitation (TRIANGLE) project is a five-year, $10.5 million initiative that aims to improve labour protection measures, increase community </w:t>
      </w:r>
      <w:r w:rsidRPr="00C47C71">
        <w:lastRenderedPageBreak/>
        <w:t xml:space="preserve">awareness of exploitative practices, promote legal and safe migration and create decent work opportunities for migrant workers in the Greater Mekong Sub-region. The International Labour Organization is implementing the initiative in partnership with Cambodia, Lao PDR, Thailand, Vietnam, China and Malaysia. </w:t>
      </w:r>
    </w:p>
    <w:p w:rsidR="00C47C71" w:rsidRPr="00C47C71" w:rsidRDefault="00C47C71" w:rsidP="0081667A">
      <w:pPr>
        <w:pStyle w:val="BodyText"/>
      </w:pPr>
      <w:r w:rsidRPr="00C47C71">
        <w:t>TRIANGLE pursues law reform, awareness raising campaigns, capacity building programs, and improved legal assistance for migrants, and works with governments, trade unions, recruitment agencies and civil society. The project’s cross-sectional response is balanced but there is a risk that this broad scope may limit deeper engagement on issues that need sustained attention. It is too early to tell.</w:t>
      </w:r>
    </w:p>
    <w:p w:rsidR="00C47C71" w:rsidRPr="00C47C71" w:rsidRDefault="00C47C71" w:rsidP="0081667A">
      <w:pPr>
        <w:pStyle w:val="BodyText"/>
      </w:pPr>
      <w:r w:rsidRPr="00C47C71">
        <w:t xml:space="preserve">The International Labour Organization has demonstrated that it can effectively influence national and regional dialogue on migrant workers. In the first two years of the project, there has been considerable buy-in from government, industry and workers. </w:t>
      </w:r>
    </w:p>
    <w:p w:rsidR="00C47C71" w:rsidRPr="00C47C71" w:rsidRDefault="00C47C71" w:rsidP="0081667A">
      <w:pPr>
        <w:pStyle w:val="BodyText"/>
      </w:pPr>
      <w:r w:rsidRPr="00C47C71">
        <w:t>The project is on course to reach its targets under objectives on policy development, capacity building and support services, and has achieved significant results in the last two years including:</w:t>
      </w:r>
    </w:p>
    <w:p w:rsidR="00C47C71" w:rsidRPr="00C47C71" w:rsidRDefault="00C47C71" w:rsidP="0081667A">
      <w:pPr>
        <w:pStyle w:val="ListParagraph"/>
      </w:pPr>
      <w:r w:rsidRPr="00C47C71">
        <w:t>training 261 public servants from central and provincial level governments (48 per cent women and 52 per cent men) in Cambodia, Thailand, Vietnam and Malaysia on safe labour migration and protection for men and women migrant workers</w:t>
      </w:r>
    </w:p>
    <w:p w:rsidR="00C47C71" w:rsidRPr="00C47C71" w:rsidRDefault="00C47C71" w:rsidP="0081667A">
      <w:pPr>
        <w:pStyle w:val="ListParagraph"/>
      </w:pPr>
      <w:r w:rsidRPr="00C47C71">
        <w:t xml:space="preserve">providing counselling or training on safe migration and rights at work for 2025 women and men in Cambodia, Lao PDR and Vietnam </w:t>
      </w:r>
    </w:p>
    <w:p w:rsidR="00C47C71" w:rsidRPr="00C47C71" w:rsidRDefault="00C47C71" w:rsidP="0081667A">
      <w:pPr>
        <w:pStyle w:val="ListParagraph"/>
      </w:pPr>
      <w:r w:rsidRPr="00C47C71">
        <w:t xml:space="preserve">providing legal assistance to 3216 women and men migrants in Malaysia and Thailand </w:t>
      </w:r>
    </w:p>
    <w:p w:rsidR="00C47C71" w:rsidRPr="00C47C71" w:rsidRDefault="00C47C71" w:rsidP="0081667A">
      <w:pPr>
        <w:pStyle w:val="ListParagraph"/>
      </w:pPr>
      <w:r w:rsidRPr="00C47C71">
        <w:t xml:space="preserve">providing counselling or training on safe migration and rights at work for 1788 women and men migrants in Malaysia and Thailand </w:t>
      </w:r>
    </w:p>
    <w:p w:rsidR="00C47C71" w:rsidRPr="00C47C71" w:rsidRDefault="00C47C71" w:rsidP="0081667A">
      <w:pPr>
        <w:pStyle w:val="ListParagraph"/>
      </w:pPr>
      <w:r w:rsidRPr="00C47C71">
        <w:t>helping 2184 women and men migrants in Malaysia and Thailand to join trade unions, migrant networks or associations.</w:t>
      </w:r>
    </w:p>
    <w:p w:rsidR="00C47C71" w:rsidRPr="00C47C71" w:rsidRDefault="00C47C71" w:rsidP="0081667A">
      <w:pPr>
        <w:pStyle w:val="BodyText"/>
      </w:pPr>
      <w:r w:rsidRPr="00C47C71">
        <w:t>The MTV End Exploitation and Trafficking (EXIT)</w:t>
      </w:r>
      <w:r w:rsidRPr="00C47C71">
        <w:rPr>
          <w:b/>
        </w:rPr>
        <w:t xml:space="preserve"> </w:t>
      </w:r>
      <w:r w:rsidRPr="00C47C71">
        <w:t>campaign, in partnership with USAID, continued to raise awareness, affect change and increase youth engagement and empowerment on the issue of trafficking in persons. This was undertaken through educational and creative arts workshops, youth sessions, concerts, radio, television and digital communication. The reach of the campaign, now in its third phase, was recently demonstrated by the rescue of a 20-year-old Cambodian and his three friends from a Thai fishing boat.</w:t>
      </w:r>
    </w:p>
    <w:p w:rsidR="00C47C71" w:rsidRPr="00C47C71" w:rsidRDefault="00C47C71" w:rsidP="0081667A">
      <w:pPr>
        <w:pStyle w:val="ListParagraph"/>
      </w:pPr>
      <w:r w:rsidRPr="00C47C71">
        <w:t>The men had been trafficked onto the boat more than four years previously, and had suffered regular beatings using a pipe. When the men docked at a port in Thailand, they happened to see a MTV EXIT advertisement about trafficking on television. The advertisement flashed a free hotline number in both Thai and Cambodian. The men called the number and immigration authorities responded immediately. They were freed and subsequently returned to Cambodia.</w:t>
      </w:r>
    </w:p>
    <w:p w:rsidR="00C47C71" w:rsidRPr="00C47C71" w:rsidRDefault="00C47C71" w:rsidP="0081667A">
      <w:pPr>
        <w:pStyle w:val="BodyText"/>
      </w:pPr>
      <w:r w:rsidRPr="00C47C71">
        <w:t xml:space="preserve">Project Childhood builds on more than 10 years of Australian Government efforts to combat child sexual exploitation in tourism in South East Asia. During 2011, key </w:t>
      </w:r>
      <w:r w:rsidRPr="00C47C71">
        <w:lastRenderedPageBreak/>
        <w:t>partnerships and an evidence base have been built from which our engagement on this issue can expand and deepen. This groundwork will allow us to undertake capacity building and awareness-raising efforts with governments and vulnerable communities in the Mekong. The project has had challenges in establishing a coordinated approach across the protection and prevention components of the program. AusAID has invested considerable time and attention to strengthening this coordination and will need to continue these efforts in 2012.</w:t>
      </w:r>
    </w:p>
    <w:p w:rsidR="00C47C71" w:rsidRPr="00C47C71" w:rsidRDefault="00C47C71" w:rsidP="0081667A">
      <w:pPr>
        <w:pStyle w:val="BodyText"/>
      </w:pPr>
      <w:r w:rsidRPr="00C47C71">
        <w:t>The Stop Transboundary Animal Disease and Zoonoses (STANDZ) initiative consolidates AusAID’s long-standing support to the intergovernmental World Organisation for Animal Health South East Asia regional foot and mouth disease eradication campaign and to strengthening countries’ veterinary services. STANDZ aims to save human lives by preventing the spread of emerging infectious diseases, 75 per cent of which come from animals. Further, these diseases are a likely source of any potential pandemic. STANDZ also sustains rural economic development by preventing the spread of livestock diseases that hinder rural farmers’ ability to overcome poverty. For instance, foot and mouth disease outbreaks have reduced rural agricultural households’ monthly income by 20 to 85 per cent mainly due to people’s inability to trade and sell livestock.</w:t>
      </w:r>
    </w:p>
    <w:p w:rsidR="00C47C71" w:rsidRPr="00C47C71" w:rsidRDefault="00C47C71" w:rsidP="0081667A">
      <w:pPr>
        <w:pStyle w:val="BodyText"/>
      </w:pPr>
      <w:r w:rsidRPr="00C47C71">
        <w:t>Through support to the World Organisation for Animal Health</w:t>
      </w:r>
      <w:r w:rsidRPr="00C47C71" w:rsidDel="00375F90">
        <w:t xml:space="preserve"> </w:t>
      </w:r>
      <w:r w:rsidRPr="00C47C71">
        <w:t>since 1997, STANDZ has contributed to:</w:t>
      </w:r>
    </w:p>
    <w:p w:rsidR="00C47C71" w:rsidRPr="00C47C71" w:rsidRDefault="00C47C71" w:rsidP="0081667A">
      <w:pPr>
        <w:pStyle w:val="ListParagraph"/>
      </w:pPr>
      <w:r w:rsidRPr="00C47C71">
        <w:t>eradicating foot and mouth disease in the Philippines in conjunction with AusAID bilateral support. In May 2011, the whole country was officially declared foot and mouth disease-free making it the region’s second eradication case after Indonesia, with programs supported substantially by Australia</w:t>
      </w:r>
    </w:p>
    <w:p w:rsidR="00C47C71" w:rsidRPr="00C47C71" w:rsidRDefault="00C47C71" w:rsidP="0081667A">
      <w:pPr>
        <w:pStyle w:val="ListParagraph"/>
      </w:pPr>
      <w:r w:rsidRPr="00C47C71">
        <w:t>maintaining the foot and mouth disease-free status of Brunei, Indonesia, Singapore, and Sabah and Sarawak, Malaysia</w:t>
      </w:r>
    </w:p>
    <w:p w:rsidR="00C47C71" w:rsidRPr="00C47C71" w:rsidRDefault="00C47C71" w:rsidP="0081667A">
      <w:pPr>
        <w:pStyle w:val="ListParagraph"/>
      </w:pPr>
      <w:r w:rsidRPr="00C47C71">
        <w:t>enhancing regional diagnostic capacity by supporting the region’s first and only World Organisation for Animal Health-accredited foot and mouth disease regional reference laboratory based in Thailand</w:t>
      </w:r>
    </w:p>
    <w:p w:rsidR="00C47C71" w:rsidRPr="00C47C71" w:rsidRDefault="00C47C71" w:rsidP="0081667A">
      <w:pPr>
        <w:pStyle w:val="ListParagraph"/>
      </w:pPr>
      <w:r w:rsidRPr="00C47C71">
        <w:t>facilitating the participation of six countries in independent country evaluations and gap analysis of the veterinary services sector. Philippines and Vietnam have started to develop their respective national versus strategic plans in line with World Organisation for Animal Health global standards.</w:t>
      </w:r>
    </w:p>
    <w:p w:rsidR="00C47C71" w:rsidRPr="00C47C71" w:rsidRDefault="00C47C71" w:rsidP="0081667A">
      <w:pPr>
        <w:pStyle w:val="BodyText"/>
      </w:pPr>
      <w:r w:rsidRPr="00C47C71">
        <w:t>In 2011, STANDZ helped:</w:t>
      </w:r>
    </w:p>
    <w:p w:rsidR="00C47C71" w:rsidRPr="00C47C71" w:rsidRDefault="00C47C71" w:rsidP="0081667A">
      <w:pPr>
        <w:pStyle w:val="ListParagraph"/>
      </w:pPr>
      <w:r w:rsidRPr="00C47C71">
        <w:t>provide 20 000 doses of foot and mouth disease vaccines to four hotspot provinces in Laos which protected 20 000 cattle from outbreaks and benefited the livelihoods of 3343 farmers (2081 of who are women)</w:t>
      </w:r>
    </w:p>
    <w:p w:rsidR="00C47C71" w:rsidRPr="00C47C71" w:rsidRDefault="00C47C71" w:rsidP="0081667A">
      <w:pPr>
        <w:pStyle w:val="ListParagraph"/>
      </w:pPr>
      <w:r w:rsidRPr="00C47C71">
        <w:t>develop a Global Foot and Mouth Disease Control Strategy. Lessons learnt and best practices from implementing the regional South East Asia and China Foot and Mouth Disease Campaign since 1997 influenced the development of this global strategy. The success of the campaign led to the selection of Thailand as the venue of the second Global Conference on Foot and Mouth Disease Control in June 2012 where the control strategy will be endorsed.</w:t>
      </w:r>
    </w:p>
    <w:p w:rsidR="00C47C71" w:rsidRPr="00C47C71" w:rsidRDefault="00C47C71" w:rsidP="0081667A">
      <w:pPr>
        <w:pStyle w:val="ListParagraph"/>
      </w:pPr>
      <w:r w:rsidRPr="00C47C71">
        <w:lastRenderedPageBreak/>
        <w:t>increase government commitments to national foot and mouth disease plans. Vietnam allocated US$31 million to fund its national plan for 2011–2015, while Thailand invested US$5.64 million in 2011 for eradication (increasing from US$2.1 million in 2010)</w:t>
      </w:r>
    </w:p>
    <w:p w:rsidR="00C47C71" w:rsidRPr="00C47C71" w:rsidRDefault="00C47C71" w:rsidP="0081667A">
      <w:pPr>
        <w:pStyle w:val="ListParagraph"/>
      </w:pPr>
      <w:r w:rsidRPr="00C47C71">
        <w:t>Burma, Cambodia, and Laos revise their respective national foot and mouth disease plans to align with the regional 2020 roadmap for foot and mouth disease eradication</w:t>
      </w:r>
    </w:p>
    <w:p w:rsidR="00C47C71" w:rsidRPr="00C47C71" w:rsidRDefault="00C47C71" w:rsidP="0081667A">
      <w:pPr>
        <w:pStyle w:val="ListParagraph"/>
      </w:pPr>
      <w:r w:rsidRPr="00C47C71">
        <w:t>facilitate south-south cooperation with Thailand assisting Burma to improve foot and mouth disease vaccine production and quality control</w:t>
      </w:r>
    </w:p>
    <w:p w:rsidR="00C47C71" w:rsidRPr="00C47C71" w:rsidRDefault="00C47C71" w:rsidP="0081667A">
      <w:pPr>
        <w:pStyle w:val="ListParagraph"/>
      </w:pPr>
      <w:r w:rsidRPr="00C47C71">
        <w:t xml:space="preserve">public private partnerships in Malaysia by establishing private quarantine stations. This has resulted in a 50 per cent decrease in foot and mouth disease outbreaks (52 outbreaks in 2010 to 26 outbreaks in 2011). </w:t>
      </w:r>
    </w:p>
    <w:p w:rsidR="00C47C71" w:rsidRPr="00C47C71" w:rsidRDefault="00C47C71" w:rsidP="0081667A">
      <w:pPr>
        <w:pStyle w:val="BodyText"/>
      </w:pPr>
      <w:r w:rsidRPr="00C47C71">
        <w:t xml:space="preserve">The HIV/AIDS Asia Regional Program is an eight-year, $59 million harm reduction program in partnership with the governments of Cambodia, Vietnam, China, Burma and Lao PDR. The program is implemented through the United Nations Office on Drugs and Crime in Burma and Lao PDR. It is aligned with harm reduction policies in national HIV/AIDS plans and is implemented through government health centres with joint oversight by AusAID and the partner government. Governments provide counterpart funding and staff contributions to the program. In China and Vietnam, program funds are channelled through the government finance and procurement systems. For example, the delivery of needle and syringe exchange programs is managed by the national governments of these two countries. </w:t>
      </w:r>
    </w:p>
    <w:p w:rsidR="00C47C71" w:rsidRPr="00C47C71" w:rsidRDefault="00C47C71" w:rsidP="0081667A">
      <w:pPr>
        <w:pStyle w:val="BodyText"/>
      </w:pPr>
      <w:r w:rsidRPr="00C47C71">
        <w:t>The program’s goal is to reduce the spread of HIV associated with injecting drug use. Working closely with governments maximises opportunities to mainstream harm reduction into national health systems and to build government capacity and commitment to manage, deliver and monitor effective harm reduction and HIV prevention for people who inject drugs.</w:t>
      </w:r>
    </w:p>
    <w:p w:rsidR="00C47C71" w:rsidRPr="00C47C71" w:rsidRDefault="00C47C71" w:rsidP="0081667A">
      <w:pPr>
        <w:pStyle w:val="BodyText"/>
      </w:pPr>
      <w:r w:rsidRPr="00C47C71">
        <w:t>Last financial year the program reached out to 34 504 people who inject drugs, dispensed over 1 million condoms, 1.33 million sterile water vials and 5.2 million needles and syringes. In addition to the country programs, the HIV/AIDS Asia Regional Program runs a cross border program between China, Burma, Vietnam and Cambodia. As part of this, 1.4 million condoms, 1.1 million needles and 14 500 sterile water vials were distributed in 2011.</w:t>
      </w:r>
    </w:p>
    <w:p w:rsidR="00C47C71" w:rsidRPr="00C47C71" w:rsidRDefault="00C47C71" w:rsidP="0081667A">
      <w:pPr>
        <w:pStyle w:val="BodyText"/>
      </w:pPr>
      <w:r w:rsidRPr="00C47C71">
        <w:t>Over the past five years, the program has made impressive gains in the Greater Mekong Sub-region towards a political environment that is more supportive of harm reduction and building local capacity to deliver harm reduction services.</w:t>
      </w:r>
    </w:p>
    <w:p w:rsidR="00C47C71" w:rsidRPr="00C47C71" w:rsidRDefault="00C47C71" w:rsidP="0081667A">
      <w:pPr>
        <w:pStyle w:val="ListParagraph"/>
      </w:pPr>
      <w:r w:rsidRPr="00C47C71">
        <w:t>One of the major achievements has been establishing condom distribution, voluntary HIV testing and methadone maintenance treatment clinics in countries and locations where this was previously not possible. In July 2010, with AusAID support, the first methadone maintenance treatment clinic was established in Phnom Penh, Cambodia and now treats over 150 heroin users every day. A further three sites will be established in Cambodia in 2013.</w:t>
      </w:r>
    </w:p>
    <w:p w:rsidR="00C47C71" w:rsidRPr="00C47C71" w:rsidRDefault="00C47C71" w:rsidP="0081667A">
      <w:pPr>
        <w:pStyle w:val="ListParagraph"/>
      </w:pPr>
      <w:r w:rsidRPr="00C47C71">
        <w:t xml:space="preserve">In 2011, the program made a significant breakthrough with the Government of Vietnam, which for the first time agreed to provide access to condoms in detention centres and prisons. In 2012, the program will support Vietnam to </w:t>
      </w:r>
      <w:r w:rsidRPr="00C47C71">
        <w:lastRenderedPageBreak/>
        <w:t>expand its own methadone maintenance treatment program in line with international best practice standards of treatment, with two clinics expected to open by March 2013.</w:t>
      </w:r>
    </w:p>
    <w:p w:rsidR="00C47C71" w:rsidRPr="00C47C71" w:rsidRDefault="00C47C71" w:rsidP="0081667A">
      <w:pPr>
        <w:pStyle w:val="ListParagraph"/>
      </w:pPr>
      <w:r w:rsidRPr="00C47C71">
        <w:t>In 2012, the China country program is set to end and its success has led to the Chinese government taking full ownership of the program-established centres. The government will independently fund and implement its own harm reduction program.</w:t>
      </w:r>
    </w:p>
    <w:p w:rsidR="00C47C71" w:rsidRPr="00C47C71" w:rsidRDefault="00C47C71" w:rsidP="0081667A">
      <w:pPr>
        <w:pStyle w:val="ListParagraph"/>
      </w:pPr>
      <w:r w:rsidRPr="00C47C71">
        <w:t>In 2013, the Cambodian government is moving towards integrating harm reduction into the national health system under its Ministry of Health. Aided by the HIV/AIDS Asia Regional Program, the government has developed its own national harm-reduction training curriculum for police, which has been nationally integrated into the existing law-enforcement training program.</w:t>
      </w:r>
    </w:p>
    <w:p w:rsidR="00C47C71" w:rsidRPr="00C47C71" w:rsidRDefault="00C47C71" w:rsidP="002F46F5">
      <w:pPr>
        <w:pStyle w:val="H1"/>
      </w:pPr>
      <w:bookmarkStart w:id="15" w:name="_Toc360980046"/>
      <w:r w:rsidRPr="00C47C71">
        <w:t>Program quality</w:t>
      </w:r>
      <w:bookmarkEnd w:id="15"/>
    </w:p>
    <w:p w:rsidR="00C47C71" w:rsidRPr="00C47C71" w:rsidRDefault="00C47C71" w:rsidP="0081667A">
      <w:pPr>
        <w:pStyle w:val="BodyText"/>
      </w:pPr>
      <w:r w:rsidRPr="00C47C71">
        <w:t xml:space="preserve">The quality ratings for activities have been established after monitoring and assessment, communication with implementing partners and a participatory moderation process. The Quality at Implementation system compares Australia’s activities against the internationally tested development quality assurance framework used by the Organisation for Economic Cooperation and Development, Development Assistance Committee. </w:t>
      </w:r>
    </w:p>
    <w:p w:rsidR="00C47C71" w:rsidRPr="00C47C71" w:rsidRDefault="00C47C71" w:rsidP="0081667A">
      <w:pPr>
        <w:pStyle w:val="BodyText"/>
      </w:pPr>
      <w:r w:rsidRPr="00C47C71">
        <w:t>The findings against selected quality criteria for the East Asia Regional program in 2011 are summarised in table 3 and below. Where a change has occurred from the previous year’s ratings, this is indicated (for example ‘+2’ indicates that the rating improved by 2 out of a total 6 on the rating scale). In addition to the nine monitored activities outlined in table 3, five other initiatives with expenditure greater than $500</w:t>
      </w:r>
      <w:r>
        <w:t> </w:t>
      </w:r>
      <w:r w:rsidRPr="00C47C71">
        <w:t>000 were undertaken with a combined estimated expenditure in 2011–12 of $4.6</w:t>
      </w:r>
      <w:r>
        <w:t> </w:t>
      </w:r>
      <w:r w:rsidRPr="00C47C71">
        <w:t>million.</w:t>
      </w:r>
    </w:p>
    <w:p w:rsidR="00C47C71" w:rsidRPr="00C47C71" w:rsidRDefault="00C47C71" w:rsidP="00C47C71">
      <w:pPr>
        <w:pStyle w:val="Caption"/>
      </w:pPr>
      <w:r w:rsidRPr="00C47C71">
        <w:t>Table 3: Summary of Asia Regional’s quality reporting results for 2011</w:t>
      </w:r>
    </w:p>
    <w:tbl>
      <w:tblPr>
        <w:tblpPr w:leftFromText="180" w:rightFromText="180" w:vertAnchor="text" w:horzAnchor="margin" w:tblpY="56"/>
        <w:tblW w:w="9039" w:type="dxa"/>
        <w:tblCellSpacing w:w="14" w:type="dxa"/>
        <w:tblBorders>
          <w:top w:val="single" w:sz="12" w:space="0" w:color="000000"/>
          <w:bottom w:val="single" w:sz="12" w:space="0" w:color="000000"/>
        </w:tblBorders>
        <w:tblLayout w:type="fixed"/>
        <w:tblLook w:val="0000" w:firstRow="0" w:lastRow="0" w:firstColumn="0" w:lastColumn="0" w:noHBand="0" w:noVBand="0"/>
      </w:tblPr>
      <w:tblGrid>
        <w:gridCol w:w="850"/>
        <w:gridCol w:w="3172"/>
        <w:gridCol w:w="857"/>
        <w:gridCol w:w="856"/>
        <w:gridCol w:w="857"/>
        <w:gridCol w:w="856"/>
        <w:gridCol w:w="857"/>
        <w:gridCol w:w="734"/>
      </w:tblGrid>
      <w:tr w:rsidR="00C47C71" w:rsidRPr="00C47C71" w:rsidTr="002F46F5">
        <w:trPr>
          <w:trHeight w:val="1530"/>
          <w:tblHeader/>
          <w:tblCellSpacing w:w="14" w:type="dxa"/>
        </w:trPr>
        <w:tc>
          <w:tcPr>
            <w:tcW w:w="808" w:type="dxa"/>
            <w:tcBorders>
              <w:top w:val="nil"/>
              <w:bottom w:val="single" w:sz="12" w:space="0" w:color="000000"/>
            </w:tcBorders>
            <w:shd w:val="clear" w:color="auto" w:fill="auto"/>
          </w:tcPr>
          <w:p w:rsidR="00C47C71" w:rsidRPr="00C47C71" w:rsidRDefault="00C47C71" w:rsidP="00AF7987">
            <w:pPr>
              <w:pStyle w:val="TableTextColumnHeading"/>
            </w:pPr>
          </w:p>
        </w:tc>
        <w:tc>
          <w:tcPr>
            <w:tcW w:w="3144" w:type="dxa"/>
            <w:tcBorders>
              <w:top w:val="nil"/>
              <w:bottom w:val="single" w:sz="12" w:space="0" w:color="000000"/>
            </w:tcBorders>
            <w:shd w:val="clear" w:color="auto" w:fill="auto"/>
          </w:tcPr>
          <w:p w:rsidR="00C47C71" w:rsidRPr="00C47C71" w:rsidRDefault="00C47C71" w:rsidP="00AF7987">
            <w:pPr>
              <w:pStyle w:val="TableTextColumnHeading"/>
            </w:pPr>
            <w:r w:rsidRPr="00C47C71">
              <w:t>Initiative</w:t>
            </w:r>
          </w:p>
        </w:tc>
        <w:tc>
          <w:tcPr>
            <w:tcW w:w="829" w:type="dxa"/>
            <w:tcBorders>
              <w:top w:val="nil"/>
              <w:bottom w:val="single" w:sz="12" w:space="0" w:color="000000"/>
            </w:tcBorders>
            <w:shd w:val="clear" w:color="auto" w:fill="auto"/>
            <w:textDirection w:val="btLr"/>
          </w:tcPr>
          <w:p w:rsidR="00C47C71" w:rsidRPr="00C47C71" w:rsidRDefault="00C47C71" w:rsidP="00AF7987">
            <w:pPr>
              <w:pStyle w:val="TableTextColumnHeading"/>
            </w:pPr>
            <w:r w:rsidRPr="00C47C71">
              <w:t>Relevance</w:t>
            </w:r>
          </w:p>
        </w:tc>
        <w:tc>
          <w:tcPr>
            <w:tcW w:w="828" w:type="dxa"/>
            <w:tcBorders>
              <w:top w:val="nil"/>
              <w:bottom w:val="single" w:sz="12" w:space="0" w:color="000000"/>
            </w:tcBorders>
            <w:shd w:val="clear" w:color="auto" w:fill="auto"/>
            <w:textDirection w:val="btLr"/>
          </w:tcPr>
          <w:p w:rsidR="00C47C71" w:rsidRPr="00C47C71" w:rsidRDefault="00C47C71" w:rsidP="00AF7987">
            <w:pPr>
              <w:pStyle w:val="TableTextColumnHeading"/>
            </w:pPr>
            <w:r w:rsidRPr="00C47C71">
              <w:t>Effectiveness</w:t>
            </w:r>
          </w:p>
        </w:tc>
        <w:tc>
          <w:tcPr>
            <w:tcW w:w="829" w:type="dxa"/>
            <w:tcBorders>
              <w:top w:val="nil"/>
              <w:bottom w:val="single" w:sz="12" w:space="0" w:color="000000"/>
            </w:tcBorders>
            <w:shd w:val="clear" w:color="auto" w:fill="auto"/>
            <w:textDirection w:val="btLr"/>
          </w:tcPr>
          <w:p w:rsidR="00C47C71" w:rsidRPr="00C47C71" w:rsidRDefault="00C47C71" w:rsidP="00AF7987">
            <w:pPr>
              <w:pStyle w:val="TableTextColumnHeading"/>
            </w:pPr>
            <w:r w:rsidRPr="00C47C71">
              <w:t>Efficiency</w:t>
            </w:r>
          </w:p>
        </w:tc>
        <w:tc>
          <w:tcPr>
            <w:tcW w:w="828" w:type="dxa"/>
            <w:tcBorders>
              <w:top w:val="nil"/>
              <w:bottom w:val="single" w:sz="12" w:space="0" w:color="000000"/>
            </w:tcBorders>
            <w:shd w:val="clear" w:color="auto" w:fill="auto"/>
            <w:textDirection w:val="btLr"/>
          </w:tcPr>
          <w:p w:rsidR="00C47C71" w:rsidRPr="00C47C71" w:rsidRDefault="00C47C71" w:rsidP="00AF7987">
            <w:pPr>
              <w:pStyle w:val="TableTextColumnHeading"/>
            </w:pPr>
            <w:r w:rsidRPr="00C47C71">
              <w:t>Monitoring and evaluation</w:t>
            </w:r>
          </w:p>
        </w:tc>
        <w:tc>
          <w:tcPr>
            <w:tcW w:w="829" w:type="dxa"/>
            <w:tcBorders>
              <w:top w:val="nil"/>
              <w:bottom w:val="single" w:sz="12" w:space="0" w:color="000000"/>
            </w:tcBorders>
            <w:shd w:val="clear" w:color="auto" w:fill="auto"/>
            <w:textDirection w:val="btLr"/>
          </w:tcPr>
          <w:p w:rsidR="00C47C71" w:rsidRPr="00C47C71" w:rsidRDefault="00C47C71" w:rsidP="00AF7987">
            <w:pPr>
              <w:pStyle w:val="TableTextColumnHeading"/>
            </w:pPr>
            <w:r w:rsidRPr="00C47C71">
              <w:t>Sustainability</w:t>
            </w:r>
          </w:p>
        </w:tc>
        <w:tc>
          <w:tcPr>
            <w:tcW w:w="692" w:type="dxa"/>
            <w:tcBorders>
              <w:top w:val="nil"/>
              <w:bottom w:val="single" w:sz="12" w:space="0" w:color="000000"/>
            </w:tcBorders>
            <w:shd w:val="clear" w:color="auto" w:fill="auto"/>
            <w:textDirection w:val="btLr"/>
          </w:tcPr>
          <w:p w:rsidR="00C47C71" w:rsidRPr="00C47C71" w:rsidRDefault="00C47C71" w:rsidP="00AF7987">
            <w:pPr>
              <w:pStyle w:val="TableTextColumnHeading"/>
            </w:pPr>
            <w:r w:rsidRPr="00C47C71">
              <w:t>Gender equality</w:t>
            </w:r>
          </w:p>
        </w:tc>
      </w:tr>
      <w:tr w:rsidR="00C47C71" w:rsidRPr="00C47C71" w:rsidTr="00AF7987">
        <w:trPr>
          <w:tblCellSpacing w:w="14" w:type="dxa"/>
        </w:trPr>
        <w:tc>
          <w:tcPr>
            <w:tcW w:w="808" w:type="dxa"/>
            <w:shd w:val="clear" w:color="auto" w:fill="auto"/>
          </w:tcPr>
          <w:p w:rsidR="00C47C71" w:rsidRPr="00C47C71" w:rsidRDefault="00C47C71" w:rsidP="00AF7987">
            <w:pPr>
              <w:pStyle w:val="TableTextEntries"/>
            </w:pPr>
            <w:r w:rsidRPr="00C47C71">
              <w:t>INH157</w:t>
            </w:r>
          </w:p>
        </w:tc>
        <w:tc>
          <w:tcPr>
            <w:tcW w:w="3144" w:type="dxa"/>
            <w:shd w:val="clear" w:color="auto" w:fill="auto"/>
          </w:tcPr>
          <w:p w:rsidR="00C47C71" w:rsidRPr="00C47C71" w:rsidRDefault="00C47C71" w:rsidP="00AF7987">
            <w:pPr>
              <w:pStyle w:val="TableTextEntries"/>
            </w:pPr>
            <w:r w:rsidRPr="00C47C71">
              <w:t>ASEAN-Australia Development Cooperation Program Phase II</w:t>
            </w:r>
          </w:p>
        </w:tc>
        <w:tc>
          <w:tcPr>
            <w:tcW w:w="829" w:type="dxa"/>
            <w:shd w:val="clear" w:color="auto" w:fill="auto"/>
          </w:tcPr>
          <w:p w:rsidR="00C47C71" w:rsidRPr="00AF7987" w:rsidRDefault="003A05C5" w:rsidP="00AF7987">
            <w:pPr>
              <w:pStyle w:val="TableTextEntries"/>
              <w:rPr>
                <w:color w:val="92D050"/>
              </w:rPr>
            </w:pPr>
            <w:r>
              <w:rPr>
                <w:noProof/>
                <w:lang w:val="en-US"/>
              </w:rPr>
              <w:drawing>
                <wp:inline distT="0" distB="0" distL="0" distR="0">
                  <wp:extent cx="107315" cy="107315"/>
                  <wp:effectExtent l="0" t="0" r="6985" b="6985"/>
                  <wp:docPr id="61" name="Picture 1"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C47C71" w:rsidRPr="00BD1FAB">
              <w:t>+2</w:t>
            </w:r>
          </w:p>
        </w:tc>
        <w:tc>
          <w:tcPr>
            <w:tcW w:w="828" w:type="dxa"/>
            <w:shd w:val="clear" w:color="auto" w:fill="auto"/>
          </w:tcPr>
          <w:p w:rsidR="00C47C71" w:rsidRPr="00C47C71" w:rsidRDefault="003A05C5" w:rsidP="00AF7987">
            <w:pPr>
              <w:pStyle w:val="TableTextEntries"/>
            </w:pPr>
            <w:r>
              <w:rPr>
                <w:noProof/>
                <w:color w:val="F79646"/>
                <w:lang w:val="en-US"/>
              </w:rPr>
              <w:drawing>
                <wp:inline distT="0" distB="0" distL="0" distR="0">
                  <wp:extent cx="123190" cy="123190"/>
                  <wp:effectExtent l="0" t="0" r="0" b="0"/>
                  <wp:docPr id="2" name="Picture 2" descr="am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be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tc>
        <w:tc>
          <w:tcPr>
            <w:tcW w:w="829" w:type="dxa"/>
            <w:shd w:val="clear" w:color="auto" w:fill="auto"/>
          </w:tcPr>
          <w:p w:rsidR="00C47C71" w:rsidRPr="00C47C71" w:rsidRDefault="003A05C5" w:rsidP="00AF7987">
            <w:pPr>
              <w:pStyle w:val="TableTextEntries"/>
            </w:pPr>
            <w:r>
              <w:rPr>
                <w:noProof/>
                <w:color w:val="FFFF00"/>
                <w:lang w:val="en-US"/>
              </w:rPr>
              <w:drawing>
                <wp:inline distT="0" distB="0" distL="0" distR="0">
                  <wp:extent cx="107315" cy="107315"/>
                  <wp:effectExtent l="0" t="0" r="6985" b="6985"/>
                  <wp:docPr id="3" name="Picture 3"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C47C71" w:rsidRPr="00C47C71">
              <w:t>+2</w:t>
            </w:r>
          </w:p>
        </w:tc>
        <w:tc>
          <w:tcPr>
            <w:tcW w:w="828" w:type="dxa"/>
            <w:shd w:val="clear" w:color="auto" w:fill="auto"/>
          </w:tcPr>
          <w:p w:rsidR="00C47C71" w:rsidRPr="00C47C71" w:rsidRDefault="003A05C5" w:rsidP="00AF7987">
            <w:pPr>
              <w:pStyle w:val="TableTextEntries"/>
            </w:pPr>
            <w:r>
              <w:rPr>
                <w:noProof/>
                <w:color w:val="FFFF00"/>
                <w:lang w:val="en-US"/>
              </w:rPr>
              <w:drawing>
                <wp:inline distT="0" distB="0" distL="0" distR="0">
                  <wp:extent cx="115570" cy="115570"/>
                  <wp:effectExtent l="0" t="0" r="0" b="0"/>
                  <wp:docPr id="4" name="Picture 4"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29" w:type="dxa"/>
            <w:shd w:val="clear" w:color="auto" w:fill="auto"/>
          </w:tcPr>
          <w:p w:rsidR="00C47C71" w:rsidRPr="00C47C71" w:rsidRDefault="003A05C5" w:rsidP="00AF7987">
            <w:pPr>
              <w:pStyle w:val="TableTextEntries"/>
            </w:pPr>
            <w:r>
              <w:rPr>
                <w:noProof/>
                <w:color w:val="F79646"/>
                <w:lang w:val="en-US"/>
              </w:rPr>
              <w:drawing>
                <wp:inline distT="0" distB="0" distL="0" distR="0">
                  <wp:extent cx="107315" cy="107315"/>
                  <wp:effectExtent l="0" t="0" r="6985" b="6985"/>
                  <wp:docPr id="5" name="Picture 5" descr="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692" w:type="dxa"/>
            <w:shd w:val="clear" w:color="auto" w:fill="auto"/>
          </w:tcPr>
          <w:p w:rsidR="00C47C71" w:rsidRPr="00C47C71" w:rsidRDefault="003A05C5" w:rsidP="00AF7987">
            <w:pPr>
              <w:pStyle w:val="TableTextEntries"/>
            </w:pPr>
            <w:r>
              <w:rPr>
                <w:noProof/>
                <w:color w:val="F79646"/>
                <w:lang w:val="en-US"/>
              </w:rPr>
              <w:drawing>
                <wp:inline distT="0" distB="0" distL="0" distR="0">
                  <wp:extent cx="115570" cy="115570"/>
                  <wp:effectExtent l="0" t="0" r="0" b="0"/>
                  <wp:docPr id="6" name="Picture 6" descr="am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be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00BD1FAB" w:rsidRPr="00AF7987">
              <w:rPr>
                <w:color w:val="F79646"/>
              </w:rPr>
              <w:t xml:space="preserve"> </w:t>
            </w:r>
            <w:r w:rsidR="00C47C71" w:rsidRPr="00C47C71">
              <w:t>-1</w:t>
            </w:r>
          </w:p>
        </w:tc>
      </w:tr>
      <w:tr w:rsidR="00C47C71" w:rsidRPr="00C47C71" w:rsidTr="00AF7987">
        <w:trPr>
          <w:tblCellSpacing w:w="14" w:type="dxa"/>
        </w:trPr>
        <w:tc>
          <w:tcPr>
            <w:tcW w:w="808" w:type="dxa"/>
            <w:shd w:val="clear" w:color="auto" w:fill="auto"/>
          </w:tcPr>
          <w:p w:rsidR="00C47C71" w:rsidRPr="00AF7987" w:rsidRDefault="00C47C71" w:rsidP="00AF7987">
            <w:pPr>
              <w:pStyle w:val="TableTextEntries"/>
              <w:rPr>
                <w:i/>
              </w:rPr>
            </w:pPr>
            <w:r w:rsidRPr="00C47C71">
              <w:t>INI358</w:t>
            </w:r>
          </w:p>
        </w:tc>
        <w:tc>
          <w:tcPr>
            <w:tcW w:w="3144" w:type="dxa"/>
            <w:shd w:val="clear" w:color="auto" w:fill="auto"/>
          </w:tcPr>
          <w:p w:rsidR="00C47C71" w:rsidRPr="00C47C71" w:rsidRDefault="00C47C71" w:rsidP="00AF7987">
            <w:pPr>
              <w:pStyle w:val="TableTextEntries"/>
            </w:pPr>
            <w:r w:rsidRPr="00C47C71">
              <w:t>ASEAN-Australia-New Zealand Free Trade Agreement Economic Cooperation Support Program</w:t>
            </w:r>
          </w:p>
        </w:tc>
        <w:tc>
          <w:tcPr>
            <w:tcW w:w="829" w:type="dxa"/>
            <w:shd w:val="clear" w:color="auto" w:fill="auto"/>
          </w:tcPr>
          <w:p w:rsidR="00C47C71" w:rsidRPr="00AF7987" w:rsidRDefault="003A05C5" w:rsidP="00AF7987">
            <w:pPr>
              <w:pStyle w:val="TableTextEntries"/>
              <w:rPr>
                <w:color w:val="92D050"/>
              </w:rPr>
            </w:pPr>
            <w:r>
              <w:rPr>
                <w:noProof/>
                <w:lang w:val="en-US"/>
              </w:rPr>
              <w:drawing>
                <wp:inline distT="0" distB="0" distL="0" distR="0">
                  <wp:extent cx="107315" cy="107315"/>
                  <wp:effectExtent l="0" t="0" r="6985" b="6985"/>
                  <wp:docPr id="7" name="Picture 7"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828" w:type="dxa"/>
            <w:shd w:val="clear" w:color="auto" w:fill="auto"/>
          </w:tcPr>
          <w:p w:rsidR="00C47C71" w:rsidRPr="00C47C71" w:rsidRDefault="00BD1FAB" w:rsidP="00AF7987">
            <w:pPr>
              <w:pStyle w:val="TableTextEntries"/>
            </w:pPr>
            <w:r>
              <w:t xml:space="preserve"> </w:t>
            </w:r>
            <w:r w:rsidR="003A05C5">
              <w:rPr>
                <w:noProof/>
                <w:lang w:val="en-US"/>
              </w:rPr>
              <w:drawing>
                <wp:inline distT="0" distB="0" distL="0" distR="0">
                  <wp:extent cx="115570" cy="115570"/>
                  <wp:effectExtent l="0" t="0" r="0" b="0"/>
                  <wp:docPr id="8" name="Picture 8"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00C47C71" w:rsidRPr="00C47C71">
              <w:t>-1</w:t>
            </w:r>
          </w:p>
        </w:tc>
        <w:tc>
          <w:tcPr>
            <w:tcW w:w="829" w:type="dxa"/>
            <w:shd w:val="clear" w:color="auto" w:fill="auto"/>
          </w:tcPr>
          <w:p w:rsidR="00C47C71" w:rsidRPr="00C47C71" w:rsidRDefault="003A05C5" w:rsidP="00AF7987">
            <w:pPr>
              <w:pStyle w:val="TableTextEntries"/>
            </w:pPr>
            <w:r>
              <w:rPr>
                <w:noProof/>
                <w:color w:val="FFFF00"/>
                <w:lang w:val="en-US"/>
              </w:rPr>
              <w:drawing>
                <wp:inline distT="0" distB="0" distL="0" distR="0">
                  <wp:extent cx="107315" cy="107315"/>
                  <wp:effectExtent l="0" t="0" r="6985" b="6985"/>
                  <wp:docPr id="9" name="Picture 9"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828" w:type="dxa"/>
            <w:shd w:val="clear" w:color="auto" w:fill="auto"/>
          </w:tcPr>
          <w:p w:rsidR="00C47C71" w:rsidRPr="00C47C71" w:rsidRDefault="003A05C5" w:rsidP="00AF7987">
            <w:pPr>
              <w:pStyle w:val="TableTextEntries"/>
            </w:pPr>
            <w:r>
              <w:rPr>
                <w:noProof/>
                <w:color w:val="F79646"/>
                <w:lang w:val="en-US"/>
              </w:rPr>
              <w:drawing>
                <wp:inline distT="0" distB="0" distL="0" distR="0">
                  <wp:extent cx="115570" cy="115570"/>
                  <wp:effectExtent l="0" t="0" r="0" b="0"/>
                  <wp:docPr id="10" name="Picture 10" descr="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29" w:type="dxa"/>
            <w:shd w:val="clear" w:color="auto" w:fill="auto"/>
          </w:tcPr>
          <w:p w:rsidR="00C47C71" w:rsidRPr="00C47C71" w:rsidRDefault="003A05C5" w:rsidP="00AF7987">
            <w:pPr>
              <w:pStyle w:val="TableTextEntries"/>
            </w:pPr>
            <w:r>
              <w:rPr>
                <w:noProof/>
                <w:color w:val="FFFF00"/>
                <w:lang w:val="en-US"/>
              </w:rPr>
              <w:drawing>
                <wp:inline distT="0" distB="0" distL="0" distR="0">
                  <wp:extent cx="107315" cy="107315"/>
                  <wp:effectExtent l="0" t="0" r="6985" b="6985"/>
                  <wp:docPr id="11" name="Picture 11"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692" w:type="dxa"/>
            <w:shd w:val="clear" w:color="auto" w:fill="auto"/>
          </w:tcPr>
          <w:p w:rsidR="00C47C71" w:rsidRPr="00C47C71" w:rsidRDefault="003A05C5" w:rsidP="00AF7987">
            <w:pPr>
              <w:pStyle w:val="TableTextEntries"/>
            </w:pPr>
            <w:r>
              <w:rPr>
                <w:noProof/>
                <w:color w:val="F79646"/>
                <w:lang w:val="en-US"/>
              </w:rPr>
              <w:drawing>
                <wp:inline distT="0" distB="0" distL="0" distR="0">
                  <wp:extent cx="115570" cy="115570"/>
                  <wp:effectExtent l="0" t="0" r="0" b="0"/>
                  <wp:docPr id="12" name="Picture 12" descr="am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mbe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00BD1FAB">
              <w:t xml:space="preserve"> </w:t>
            </w:r>
            <w:r w:rsidR="00C47C71" w:rsidRPr="00C47C71">
              <w:t>-1</w:t>
            </w:r>
          </w:p>
        </w:tc>
      </w:tr>
      <w:tr w:rsidR="00C47C71" w:rsidRPr="00C47C71" w:rsidTr="00AF7987">
        <w:trPr>
          <w:tblCellSpacing w:w="14" w:type="dxa"/>
        </w:trPr>
        <w:tc>
          <w:tcPr>
            <w:tcW w:w="808" w:type="dxa"/>
            <w:shd w:val="clear" w:color="auto" w:fill="auto"/>
          </w:tcPr>
          <w:p w:rsidR="00C47C71" w:rsidRPr="00C47C71" w:rsidRDefault="00C47C71" w:rsidP="00AF7987">
            <w:pPr>
              <w:pStyle w:val="TableTextEntries"/>
            </w:pPr>
            <w:r w:rsidRPr="00C47C71">
              <w:t>INH446</w:t>
            </w:r>
          </w:p>
        </w:tc>
        <w:tc>
          <w:tcPr>
            <w:tcW w:w="3144" w:type="dxa"/>
            <w:shd w:val="clear" w:color="auto" w:fill="auto"/>
          </w:tcPr>
          <w:p w:rsidR="00C47C71" w:rsidRPr="00C47C71" w:rsidRDefault="00C116F7" w:rsidP="00AF7987">
            <w:pPr>
              <w:pStyle w:val="TableTextEntries"/>
            </w:pPr>
            <w:hyperlink r:id="rId12" w:history="1">
              <w:r w:rsidR="00C47C71" w:rsidRPr="00AF7987">
                <w:rPr>
                  <w:rStyle w:val="Hyperlink"/>
                  <w:color w:val="auto"/>
                  <w:sz w:val="17"/>
                  <w:szCs w:val="17"/>
                </w:rPr>
                <w:t xml:space="preserve">APEC Secretariat Support </w:t>
              </w:r>
            </w:hyperlink>
          </w:p>
        </w:tc>
        <w:tc>
          <w:tcPr>
            <w:tcW w:w="829" w:type="dxa"/>
            <w:shd w:val="clear" w:color="auto" w:fill="auto"/>
          </w:tcPr>
          <w:p w:rsidR="00C47C71" w:rsidRPr="00AF7987" w:rsidRDefault="003A05C5" w:rsidP="00AF7987">
            <w:pPr>
              <w:pStyle w:val="TableTextEntries"/>
              <w:rPr>
                <w:color w:val="92D050"/>
              </w:rPr>
            </w:pPr>
            <w:r>
              <w:rPr>
                <w:noProof/>
                <w:lang w:val="en-US"/>
              </w:rPr>
              <w:drawing>
                <wp:inline distT="0" distB="0" distL="0" distR="0">
                  <wp:extent cx="107315" cy="107315"/>
                  <wp:effectExtent l="0" t="0" r="6985" b="6985"/>
                  <wp:docPr id="13" name="Picture 13"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828" w:type="dxa"/>
            <w:shd w:val="clear" w:color="auto" w:fill="auto"/>
          </w:tcPr>
          <w:p w:rsidR="00C47C71" w:rsidRPr="00C47C71" w:rsidRDefault="003A05C5" w:rsidP="00AF7987">
            <w:pPr>
              <w:pStyle w:val="TableTextEntries"/>
            </w:pPr>
            <w:r>
              <w:rPr>
                <w:noProof/>
                <w:color w:val="FFFF00"/>
                <w:lang w:val="en-US"/>
              </w:rPr>
              <w:drawing>
                <wp:inline distT="0" distB="0" distL="0" distR="0">
                  <wp:extent cx="115570" cy="115570"/>
                  <wp:effectExtent l="0" t="0" r="0" b="0"/>
                  <wp:docPr id="14" name="Picture 14"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29" w:type="dxa"/>
            <w:shd w:val="clear" w:color="auto" w:fill="auto"/>
          </w:tcPr>
          <w:p w:rsidR="00C47C71" w:rsidRPr="00C47C71" w:rsidRDefault="003A05C5" w:rsidP="00AF7987">
            <w:pPr>
              <w:pStyle w:val="TableTextEntries"/>
            </w:pPr>
            <w:r>
              <w:rPr>
                <w:noProof/>
                <w:color w:val="FFFF00"/>
                <w:lang w:val="en-US"/>
              </w:rPr>
              <w:drawing>
                <wp:inline distT="0" distB="0" distL="0" distR="0">
                  <wp:extent cx="107315" cy="107315"/>
                  <wp:effectExtent l="0" t="0" r="6985" b="6985"/>
                  <wp:docPr id="15" name="Picture 15"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828" w:type="dxa"/>
            <w:shd w:val="clear" w:color="auto" w:fill="auto"/>
          </w:tcPr>
          <w:p w:rsidR="00C47C71" w:rsidRPr="00C47C71" w:rsidRDefault="003A05C5" w:rsidP="00AF7987">
            <w:pPr>
              <w:pStyle w:val="TableTextEntries"/>
            </w:pPr>
            <w:r>
              <w:rPr>
                <w:noProof/>
                <w:color w:val="F79646"/>
                <w:lang w:val="en-US"/>
              </w:rPr>
              <w:drawing>
                <wp:inline distT="0" distB="0" distL="0" distR="0">
                  <wp:extent cx="115570" cy="115570"/>
                  <wp:effectExtent l="0" t="0" r="0" b="0"/>
                  <wp:docPr id="16" name="Picture 16" descr="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m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29" w:type="dxa"/>
            <w:shd w:val="clear" w:color="auto" w:fill="auto"/>
          </w:tcPr>
          <w:p w:rsidR="00C47C71" w:rsidRPr="00C47C71" w:rsidRDefault="003A05C5" w:rsidP="00AF7987">
            <w:pPr>
              <w:pStyle w:val="TableTextEntries"/>
            </w:pPr>
            <w:r>
              <w:rPr>
                <w:noProof/>
                <w:color w:val="FFFF00"/>
                <w:lang w:val="en-US"/>
              </w:rPr>
              <w:drawing>
                <wp:inline distT="0" distB="0" distL="0" distR="0">
                  <wp:extent cx="107315" cy="107315"/>
                  <wp:effectExtent l="0" t="0" r="6985" b="6985"/>
                  <wp:docPr id="17" name="Picture 17"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692" w:type="dxa"/>
            <w:shd w:val="clear" w:color="auto" w:fill="auto"/>
          </w:tcPr>
          <w:p w:rsidR="00C47C71" w:rsidRPr="00C47C71" w:rsidRDefault="003A05C5" w:rsidP="00AF7987">
            <w:pPr>
              <w:pStyle w:val="TableTextEntries"/>
            </w:pPr>
            <w:r>
              <w:rPr>
                <w:noProof/>
                <w:color w:val="FFFF00"/>
                <w:lang w:val="en-US"/>
              </w:rPr>
              <w:drawing>
                <wp:inline distT="0" distB="0" distL="0" distR="0">
                  <wp:extent cx="115570" cy="115570"/>
                  <wp:effectExtent l="0" t="0" r="0" b="0"/>
                  <wp:docPr id="18" name="Picture 18"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00C47C71" w:rsidRPr="00C47C71">
              <w:t>+1</w:t>
            </w:r>
          </w:p>
        </w:tc>
      </w:tr>
      <w:tr w:rsidR="00C47C71" w:rsidRPr="00C47C71" w:rsidTr="00AF7987">
        <w:trPr>
          <w:tblCellSpacing w:w="14" w:type="dxa"/>
        </w:trPr>
        <w:tc>
          <w:tcPr>
            <w:tcW w:w="808" w:type="dxa"/>
            <w:shd w:val="clear" w:color="auto" w:fill="auto"/>
          </w:tcPr>
          <w:p w:rsidR="00C47C71" w:rsidRPr="00C47C71" w:rsidRDefault="00C47C71" w:rsidP="00AF7987">
            <w:pPr>
              <w:pStyle w:val="TableTextEntries"/>
            </w:pPr>
            <w:r w:rsidRPr="00C47C71">
              <w:t>ING088</w:t>
            </w:r>
          </w:p>
        </w:tc>
        <w:tc>
          <w:tcPr>
            <w:tcW w:w="3144" w:type="dxa"/>
            <w:shd w:val="clear" w:color="auto" w:fill="auto"/>
          </w:tcPr>
          <w:p w:rsidR="00C47C71" w:rsidRPr="00C47C71" w:rsidRDefault="00C47C71" w:rsidP="00AF7987">
            <w:pPr>
              <w:pStyle w:val="TableTextEntries"/>
            </w:pPr>
            <w:r w:rsidRPr="00C47C71">
              <w:t xml:space="preserve">APEC Public Sector Linkages Program </w:t>
            </w:r>
          </w:p>
        </w:tc>
        <w:tc>
          <w:tcPr>
            <w:tcW w:w="829" w:type="dxa"/>
            <w:shd w:val="clear" w:color="auto" w:fill="auto"/>
          </w:tcPr>
          <w:p w:rsidR="00C47C71" w:rsidRPr="00AF7987" w:rsidRDefault="003A05C5" w:rsidP="00AF7987">
            <w:pPr>
              <w:pStyle w:val="TableTextEntries"/>
              <w:rPr>
                <w:color w:val="92D050"/>
              </w:rPr>
            </w:pPr>
            <w:r>
              <w:rPr>
                <w:noProof/>
                <w:lang w:val="en-US"/>
              </w:rPr>
              <w:drawing>
                <wp:inline distT="0" distB="0" distL="0" distR="0">
                  <wp:extent cx="107315" cy="107315"/>
                  <wp:effectExtent l="0" t="0" r="6985" b="6985"/>
                  <wp:docPr id="19" name="Picture 19"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828" w:type="dxa"/>
            <w:shd w:val="clear" w:color="auto" w:fill="auto"/>
          </w:tcPr>
          <w:p w:rsidR="00C47C71" w:rsidRPr="00C47C71" w:rsidRDefault="003A05C5" w:rsidP="00AF7987">
            <w:pPr>
              <w:pStyle w:val="TableTextEntries"/>
            </w:pPr>
            <w:r>
              <w:rPr>
                <w:noProof/>
                <w:color w:val="F79646"/>
                <w:lang w:val="en-US"/>
              </w:rPr>
              <w:drawing>
                <wp:inline distT="0" distB="0" distL="0" distR="0">
                  <wp:extent cx="123190" cy="123190"/>
                  <wp:effectExtent l="0" t="0" r="0" b="0"/>
                  <wp:docPr id="20" name="Picture 20" descr="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m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tc>
        <w:tc>
          <w:tcPr>
            <w:tcW w:w="829" w:type="dxa"/>
            <w:shd w:val="clear" w:color="auto" w:fill="auto"/>
          </w:tcPr>
          <w:p w:rsidR="00C47C71" w:rsidRPr="00C47C71" w:rsidRDefault="003A05C5" w:rsidP="00AF7987">
            <w:pPr>
              <w:pStyle w:val="TableTextEntries"/>
            </w:pPr>
            <w:r>
              <w:rPr>
                <w:noProof/>
                <w:color w:val="92D050"/>
                <w:lang w:val="en-US"/>
              </w:rPr>
              <w:drawing>
                <wp:inline distT="0" distB="0" distL="0" distR="0">
                  <wp:extent cx="107315" cy="107315"/>
                  <wp:effectExtent l="0" t="0" r="6985" b="6985"/>
                  <wp:docPr id="21" name="Picture 21"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828" w:type="dxa"/>
            <w:shd w:val="clear" w:color="auto" w:fill="auto"/>
          </w:tcPr>
          <w:p w:rsidR="00C47C71" w:rsidRPr="00C47C71" w:rsidRDefault="003A05C5" w:rsidP="00AF7987">
            <w:pPr>
              <w:pStyle w:val="TableTextEntries"/>
            </w:pPr>
            <w:r>
              <w:rPr>
                <w:noProof/>
                <w:color w:val="F79646"/>
                <w:lang w:val="en-US"/>
              </w:rPr>
              <w:drawing>
                <wp:inline distT="0" distB="0" distL="0" distR="0">
                  <wp:extent cx="115570" cy="115570"/>
                  <wp:effectExtent l="0" t="0" r="0" b="0"/>
                  <wp:docPr id="22" name="Picture 22" descr="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m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29" w:type="dxa"/>
            <w:shd w:val="clear" w:color="auto" w:fill="auto"/>
          </w:tcPr>
          <w:p w:rsidR="00C47C71" w:rsidRPr="00C47C71" w:rsidRDefault="003A05C5" w:rsidP="00AF7987">
            <w:pPr>
              <w:pStyle w:val="TableTextEntries"/>
            </w:pPr>
            <w:r>
              <w:rPr>
                <w:noProof/>
                <w:color w:val="FF0000"/>
                <w:lang w:val="en-US"/>
              </w:rPr>
              <w:drawing>
                <wp:inline distT="0" distB="0" distL="0" distR="0">
                  <wp:extent cx="107315" cy="107315"/>
                  <wp:effectExtent l="0" t="0" r="6985" b="6985"/>
                  <wp:docPr id="23" name="Picture 23" desc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692" w:type="dxa"/>
            <w:shd w:val="clear" w:color="auto" w:fill="auto"/>
          </w:tcPr>
          <w:p w:rsidR="00C47C71" w:rsidRPr="00C47C71" w:rsidRDefault="003A05C5" w:rsidP="00AF7987">
            <w:pPr>
              <w:pStyle w:val="TableTextEntries"/>
            </w:pPr>
            <w:r>
              <w:rPr>
                <w:noProof/>
                <w:color w:val="FF0000"/>
                <w:lang w:val="en-US"/>
              </w:rPr>
              <w:drawing>
                <wp:inline distT="0" distB="0" distL="0" distR="0">
                  <wp:extent cx="115570" cy="115570"/>
                  <wp:effectExtent l="0" t="0" r="0" b="0"/>
                  <wp:docPr id="24" name="Picture 24" desc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r>
      <w:tr w:rsidR="00C47C71" w:rsidRPr="00C47C71" w:rsidTr="00AF7987">
        <w:trPr>
          <w:tblCellSpacing w:w="14" w:type="dxa"/>
        </w:trPr>
        <w:tc>
          <w:tcPr>
            <w:tcW w:w="808" w:type="dxa"/>
            <w:shd w:val="clear" w:color="auto" w:fill="auto"/>
          </w:tcPr>
          <w:p w:rsidR="00C47C71" w:rsidRPr="00C47C71" w:rsidRDefault="00C47C71" w:rsidP="00AF7987">
            <w:pPr>
              <w:pStyle w:val="TableTextEntries"/>
            </w:pPr>
            <w:r w:rsidRPr="00C47C71">
              <w:t>ING262</w:t>
            </w:r>
          </w:p>
        </w:tc>
        <w:tc>
          <w:tcPr>
            <w:tcW w:w="3144" w:type="dxa"/>
            <w:shd w:val="clear" w:color="auto" w:fill="auto"/>
          </w:tcPr>
          <w:p w:rsidR="00C47C71" w:rsidRPr="00C47C71" w:rsidRDefault="00C47C71" w:rsidP="00AF7987">
            <w:pPr>
              <w:pStyle w:val="TableTextEntries"/>
            </w:pPr>
            <w:r w:rsidRPr="00C47C71">
              <w:t>Asia Regional Trafficking in Persons Project (independent completion report)</w:t>
            </w:r>
          </w:p>
        </w:tc>
        <w:tc>
          <w:tcPr>
            <w:tcW w:w="829" w:type="dxa"/>
            <w:shd w:val="clear" w:color="auto" w:fill="auto"/>
          </w:tcPr>
          <w:p w:rsidR="00C47C71" w:rsidRPr="00AF7987" w:rsidRDefault="003A05C5" w:rsidP="00AF7987">
            <w:pPr>
              <w:pStyle w:val="TableTextEntries"/>
              <w:rPr>
                <w:color w:val="92D050"/>
              </w:rPr>
            </w:pPr>
            <w:r>
              <w:rPr>
                <w:noProof/>
                <w:lang w:val="en-US"/>
              </w:rPr>
              <w:drawing>
                <wp:inline distT="0" distB="0" distL="0" distR="0">
                  <wp:extent cx="107315" cy="107315"/>
                  <wp:effectExtent l="0" t="0" r="6985" b="6985"/>
                  <wp:docPr id="25" name="Picture 25"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828" w:type="dxa"/>
            <w:shd w:val="clear" w:color="auto" w:fill="auto"/>
          </w:tcPr>
          <w:p w:rsidR="00C47C71" w:rsidRPr="00C47C71" w:rsidRDefault="003A05C5" w:rsidP="00AF7987">
            <w:pPr>
              <w:pStyle w:val="TableTextEntries"/>
            </w:pPr>
            <w:r>
              <w:rPr>
                <w:noProof/>
                <w:lang w:val="en-US"/>
              </w:rPr>
              <w:drawing>
                <wp:inline distT="0" distB="0" distL="0" distR="0">
                  <wp:extent cx="123190" cy="123190"/>
                  <wp:effectExtent l="0" t="0" r="0" b="0"/>
                  <wp:docPr id="26" name="Picture 26"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00C47C71" w:rsidRPr="00C47C71">
              <w:t>+2</w:t>
            </w:r>
          </w:p>
        </w:tc>
        <w:tc>
          <w:tcPr>
            <w:tcW w:w="829" w:type="dxa"/>
            <w:shd w:val="clear" w:color="auto" w:fill="auto"/>
          </w:tcPr>
          <w:p w:rsidR="00C47C71" w:rsidRPr="00C47C71" w:rsidRDefault="003A05C5" w:rsidP="00AF7987">
            <w:pPr>
              <w:pStyle w:val="TableTextEntries"/>
            </w:pPr>
            <w:r>
              <w:rPr>
                <w:noProof/>
                <w:color w:val="92D050"/>
                <w:lang w:val="en-US"/>
              </w:rPr>
              <w:drawing>
                <wp:inline distT="0" distB="0" distL="0" distR="0">
                  <wp:extent cx="107315" cy="107315"/>
                  <wp:effectExtent l="0" t="0" r="6985" b="6985"/>
                  <wp:docPr id="27" name="Picture 27"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828" w:type="dxa"/>
            <w:shd w:val="clear" w:color="auto" w:fill="auto"/>
          </w:tcPr>
          <w:p w:rsidR="00C47C71" w:rsidRPr="00C47C71" w:rsidRDefault="003A05C5" w:rsidP="00AF7987">
            <w:pPr>
              <w:pStyle w:val="TableTextEntries"/>
            </w:pPr>
            <w:r>
              <w:rPr>
                <w:noProof/>
                <w:color w:val="FFFF00"/>
                <w:lang w:val="en-US"/>
              </w:rPr>
              <w:drawing>
                <wp:inline distT="0" distB="0" distL="0" distR="0">
                  <wp:extent cx="115570" cy="115570"/>
                  <wp:effectExtent l="0" t="0" r="0" b="0"/>
                  <wp:docPr id="28" name="Picture 28"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29" w:type="dxa"/>
            <w:shd w:val="clear" w:color="auto" w:fill="auto"/>
          </w:tcPr>
          <w:p w:rsidR="00C47C71" w:rsidRPr="00C47C71" w:rsidRDefault="003A05C5" w:rsidP="00AF7987">
            <w:pPr>
              <w:pStyle w:val="TableTextEntries"/>
            </w:pPr>
            <w:r>
              <w:rPr>
                <w:noProof/>
                <w:color w:val="92D050"/>
                <w:lang w:val="en-US"/>
              </w:rPr>
              <w:drawing>
                <wp:inline distT="0" distB="0" distL="0" distR="0">
                  <wp:extent cx="115570" cy="115570"/>
                  <wp:effectExtent l="0" t="0" r="0" b="0"/>
                  <wp:docPr id="29" name="Picture 29"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00C47C71" w:rsidRPr="00C47C71">
              <w:t>+2</w:t>
            </w:r>
          </w:p>
        </w:tc>
        <w:tc>
          <w:tcPr>
            <w:tcW w:w="692" w:type="dxa"/>
            <w:shd w:val="clear" w:color="auto" w:fill="auto"/>
          </w:tcPr>
          <w:p w:rsidR="00C47C71" w:rsidRPr="00C47C71" w:rsidRDefault="003A05C5" w:rsidP="00AF7987">
            <w:pPr>
              <w:pStyle w:val="TableTextEntries"/>
            </w:pPr>
            <w:r>
              <w:rPr>
                <w:noProof/>
                <w:color w:val="92D050"/>
                <w:lang w:val="en-US"/>
              </w:rPr>
              <w:drawing>
                <wp:inline distT="0" distB="0" distL="0" distR="0">
                  <wp:extent cx="115570" cy="115570"/>
                  <wp:effectExtent l="0" t="0" r="0" b="0"/>
                  <wp:docPr id="30" name="Picture 30"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r>
      <w:tr w:rsidR="00C47C71" w:rsidRPr="00C47C71" w:rsidTr="00AF7987">
        <w:trPr>
          <w:tblCellSpacing w:w="14" w:type="dxa"/>
        </w:trPr>
        <w:tc>
          <w:tcPr>
            <w:tcW w:w="808" w:type="dxa"/>
            <w:shd w:val="clear" w:color="auto" w:fill="auto"/>
          </w:tcPr>
          <w:p w:rsidR="00C47C71" w:rsidRPr="00AF7987" w:rsidRDefault="00C47C71" w:rsidP="00AF7987">
            <w:pPr>
              <w:pStyle w:val="TableTextEntries"/>
              <w:rPr>
                <w:i/>
              </w:rPr>
            </w:pPr>
            <w:r w:rsidRPr="00C47C71">
              <w:t>INI358</w:t>
            </w:r>
          </w:p>
        </w:tc>
        <w:tc>
          <w:tcPr>
            <w:tcW w:w="3144" w:type="dxa"/>
            <w:shd w:val="clear" w:color="auto" w:fill="auto"/>
          </w:tcPr>
          <w:p w:rsidR="00C47C71" w:rsidRPr="00C47C71" w:rsidRDefault="00C47C71" w:rsidP="00AF7987">
            <w:pPr>
              <w:pStyle w:val="TableTextEntries"/>
            </w:pPr>
            <w:r w:rsidRPr="00C47C71">
              <w:t>Project TRIANGLE (first year)</w:t>
            </w:r>
          </w:p>
        </w:tc>
        <w:tc>
          <w:tcPr>
            <w:tcW w:w="829" w:type="dxa"/>
            <w:shd w:val="clear" w:color="auto" w:fill="auto"/>
          </w:tcPr>
          <w:p w:rsidR="00C47C71" w:rsidRPr="00AF7987" w:rsidRDefault="003A05C5" w:rsidP="00AF7987">
            <w:pPr>
              <w:pStyle w:val="TableTextEntries"/>
              <w:rPr>
                <w:color w:val="92D050"/>
              </w:rPr>
            </w:pPr>
            <w:r>
              <w:rPr>
                <w:noProof/>
                <w:lang w:val="en-US"/>
              </w:rPr>
              <w:drawing>
                <wp:inline distT="0" distB="0" distL="0" distR="0">
                  <wp:extent cx="107315" cy="107315"/>
                  <wp:effectExtent l="0" t="0" r="6985" b="6985"/>
                  <wp:docPr id="31" name="Picture 31"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828" w:type="dxa"/>
            <w:shd w:val="clear" w:color="auto" w:fill="auto"/>
          </w:tcPr>
          <w:p w:rsidR="00C47C71" w:rsidRPr="00AF7987" w:rsidRDefault="003A05C5" w:rsidP="00AF7987">
            <w:pPr>
              <w:pStyle w:val="TableTextEntries"/>
              <w:rPr>
                <w:color w:val="FFFF00"/>
              </w:rPr>
            </w:pPr>
            <w:r>
              <w:rPr>
                <w:noProof/>
                <w:color w:val="FFFF00"/>
                <w:lang w:val="en-US"/>
              </w:rPr>
              <w:drawing>
                <wp:inline distT="0" distB="0" distL="0" distR="0">
                  <wp:extent cx="115570" cy="115570"/>
                  <wp:effectExtent l="0" t="0" r="0" b="0"/>
                  <wp:docPr id="32" name="Picture 32"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29" w:type="dxa"/>
            <w:shd w:val="clear" w:color="auto" w:fill="auto"/>
          </w:tcPr>
          <w:p w:rsidR="00C47C71" w:rsidRPr="00AF7987" w:rsidRDefault="003A05C5" w:rsidP="00AF7987">
            <w:pPr>
              <w:pStyle w:val="TableTextEntries"/>
              <w:rPr>
                <w:color w:val="FFFF00"/>
              </w:rPr>
            </w:pPr>
            <w:r>
              <w:rPr>
                <w:noProof/>
                <w:color w:val="FFFF00"/>
                <w:lang w:val="en-US"/>
              </w:rPr>
              <w:drawing>
                <wp:inline distT="0" distB="0" distL="0" distR="0">
                  <wp:extent cx="107315" cy="107315"/>
                  <wp:effectExtent l="0" t="0" r="6985" b="6985"/>
                  <wp:docPr id="33" name="Picture 33"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828" w:type="dxa"/>
            <w:shd w:val="clear" w:color="auto" w:fill="auto"/>
          </w:tcPr>
          <w:p w:rsidR="00C47C71" w:rsidRPr="00AF7987" w:rsidRDefault="003A05C5" w:rsidP="00AF7987">
            <w:pPr>
              <w:pStyle w:val="TableTextEntries"/>
              <w:rPr>
                <w:color w:val="FFFF00"/>
              </w:rPr>
            </w:pPr>
            <w:r>
              <w:rPr>
                <w:noProof/>
                <w:color w:val="FFFF00"/>
                <w:lang w:val="en-US"/>
              </w:rPr>
              <w:drawing>
                <wp:inline distT="0" distB="0" distL="0" distR="0">
                  <wp:extent cx="115570" cy="115570"/>
                  <wp:effectExtent l="0" t="0" r="0" b="0"/>
                  <wp:docPr id="34" name="Picture 34"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29" w:type="dxa"/>
            <w:shd w:val="clear" w:color="auto" w:fill="auto"/>
          </w:tcPr>
          <w:p w:rsidR="00C47C71" w:rsidRPr="00AF7987" w:rsidRDefault="003A05C5" w:rsidP="00AF7987">
            <w:pPr>
              <w:pStyle w:val="TableTextEntries"/>
              <w:rPr>
                <w:color w:val="FFFF00"/>
              </w:rPr>
            </w:pPr>
            <w:r>
              <w:rPr>
                <w:noProof/>
                <w:color w:val="FFFF00"/>
                <w:lang w:val="en-US"/>
              </w:rPr>
              <w:drawing>
                <wp:inline distT="0" distB="0" distL="0" distR="0">
                  <wp:extent cx="107315" cy="107315"/>
                  <wp:effectExtent l="0" t="0" r="6985" b="6985"/>
                  <wp:docPr id="35" name="Picture 35"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692" w:type="dxa"/>
            <w:shd w:val="clear" w:color="auto" w:fill="auto"/>
          </w:tcPr>
          <w:p w:rsidR="00C47C71" w:rsidRPr="00C47C71" w:rsidRDefault="003A05C5" w:rsidP="00AF7987">
            <w:pPr>
              <w:pStyle w:val="TableTextEntries"/>
            </w:pPr>
            <w:r>
              <w:rPr>
                <w:noProof/>
                <w:color w:val="92D050"/>
                <w:lang w:val="en-US"/>
              </w:rPr>
              <w:drawing>
                <wp:inline distT="0" distB="0" distL="0" distR="0">
                  <wp:extent cx="115570" cy="115570"/>
                  <wp:effectExtent l="0" t="0" r="0" b="0"/>
                  <wp:docPr id="36" name="Picture 36"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r>
      <w:tr w:rsidR="00C47C71" w:rsidRPr="00C47C71" w:rsidTr="00AF7987">
        <w:trPr>
          <w:tblCellSpacing w:w="14" w:type="dxa"/>
        </w:trPr>
        <w:tc>
          <w:tcPr>
            <w:tcW w:w="808" w:type="dxa"/>
            <w:shd w:val="clear" w:color="auto" w:fill="auto"/>
          </w:tcPr>
          <w:p w:rsidR="00C47C71" w:rsidRPr="00AF7987" w:rsidRDefault="00C47C71" w:rsidP="00AF7987">
            <w:pPr>
              <w:pStyle w:val="TableTextEntries"/>
              <w:rPr>
                <w:i/>
              </w:rPr>
            </w:pPr>
            <w:r w:rsidRPr="00C47C71">
              <w:t>INI358</w:t>
            </w:r>
          </w:p>
        </w:tc>
        <w:tc>
          <w:tcPr>
            <w:tcW w:w="3144" w:type="dxa"/>
            <w:shd w:val="clear" w:color="auto" w:fill="auto"/>
          </w:tcPr>
          <w:p w:rsidR="00C47C71" w:rsidRPr="00C47C71" w:rsidRDefault="00C47C71" w:rsidP="00AF7987">
            <w:pPr>
              <w:pStyle w:val="TableTextEntries"/>
            </w:pPr>
            <w:r w:rsidRPr="00C47C71">
              <w:t>Project Childhood (first year)</w:t>
            </w:r>
          </w:p>
        </w:tc>
        <w:tc>
          <w:tcPr>
            <w:tcW w:w="829" w:type="dxa"/>
            <w:shd w:val="clear" w:color="auto" w:fill="auto"/>
          </w:tcPr>
          <w:p w:rsidR="00C47C71" w:rsidRPr="00AF7987" w:rsidRDefault="003A05C5" w:rsidP="00AF7987">
            <w:pPr>
              <w:pStyle w:val="TableTextEntries"/>
              <w:rPr>
                <w:color w:val="92D050"/>
              </w:rPr>
            </w:pPr>
            <w:r>
              <w:rPr>
                <w:noProof/>
                <w:color w:val="FFFF00"/>
                <w:lang w:val="en-US"/>
              </w:rPr>
              <w:drawing>
                <wp:inline distT="0" distB="0" distL="0" distR="0">
                  <wp:extent cx="115570" cy="115570"/>
                  <wp:effectExtent l="0" t="0" r="0" b="0"/>
                  <wp:docPr id="37" name="Picture 37"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28" w:type="dxa"/>
            <w:shd w:val="clear" w:color="auto" w:fill="auto"/>
          </w:tcPr>
          <w:p w:rsidR="00C47C71" w:rsidRPr="00AF7987" w:rsidRDefault="003A05C5" w:rsidP="00AF7987">
            <w:pPr>
              <w:pStyle w:val="TableTextEntries"/>
              <w:rPr>
                <w:color w:val="FF0000"/>
              </w:rPr>
            </w:pPr>
            <w:r>
              <w:rPr>
                <w:noProof/>
                <w:color w:val="FF0000"/>
                <w:lang w:val="en-US"/>
              </w:rPr>
              <w:drawing>
                <wp:inline distT="0" distB="0" distL="0" distR="0">
                  <wp:extent cx="115570" cy="115570"/>
                  <wp:effectExtent l="0" t="0" r="0" b="0"/>
                  <wp:docPr id="38" name="Picture 38" desc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29" w:type="dxa"/>
            <w:shd w:val="clear" w:color="auto" w:fill="auto"/>
          </w:tcPr>
          <w:p w:rsidR="00C47C71" w:rsidRPr="00AF7987" w:rsidRDefault="003A05C5" w:rsidP="00AF7987">
            <w:pPr>
              <w:pStyle w:val="TableTextEntries"/>
              <w:rPr>
                <w:color w:val="FF0000"/>
              </w:rPr>
            </w:pPr>
            <w:r>
              <w:rPr>
                <w:noProof/>
                <w:color w:val="FF0000"/>
                <w:lang w:val="en-US"/>
              </w:rPr>
              <w:drawing>
                <wp:inline distT="0" distB="0" distL="0" distR="0">
                  <wp:extent cx="107315" cy="107315"/>
                  <wp:effectExtent l="0" t="0" r="6985" b="6985"/>
                  <wp:docPr id="39" name="Picture 39" desc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828" w:type="dxa"/>
            <w:shd w:val="clear" w:color="auto" w:fill="auto"/>
          </w:tcPr>
          <w:p w:rsidR="00C47C71" w:rsidRPr="00AF7987" w:rsidRDefault="003A05C5" w:rsidP="00AF7987">
            <w:pPr>
              <w:pStyle w:val="TableTextEntries"/>
              <w:rPr>
                <w:color w:val="FF0000"/>
              </w:rPr>
            </w:pPr>
            <w:r>
              <w:rPr>
                <w:noProof/>
                <w:color w:val="FFFF00"/>
                <w:lang w:val="en-US"/>
              </w:rPr>
              <w:drawing>
                <wp:inline distT="0" distB="0" distL="0" distR="0">
                  <wp:extent cx="115570" cy="115570"/>
                  <wp:effectExtent l="0" t="0" r="0" b="0"/>
                  <wp:docPr id="40" name="Picture 40"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29" w:type="dxa"/>
            <w:shd w:val="clear" w:color="auto" w:fill="auto"/>
          </w:tcPr>
          <w:p w:rsidR="00C47C71" w:rsidRPr="00C47C71" w:rsidRDefault="003A05C5" w:rsidP="00AF7987">
            <w:pPr>
              <w:pStyle w:val="TableTextEntries"/>
            </w:pPr>
            <w:r>
              <w:rPr>
                <w:noProof/>
                <w:color w:val="FF0000"/>
                <w:lang w:val="en-US"/>
              </w:rPr>
              <w:drawing>
                <wp:inline distT="0" distB="0" distL="0" distR="0">
                  <wp:extent cx="107315" cy="107315"/>
                  <wp:effectExtent l="0" t="0" r="6985" b="6985"/>
                  <wp:docPr id="41" name="Picture 41" desc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692" w:type="dxa"/>
            <w:shd w:val="clear" w:color="auto" w:fill="auto"/>
          </w:tcPr>
          <w:p w:rsidR="00C47C71" w:rsidRPr="00AF7987" w:rsidRDefault="003A05C5" w:rsidP="00AF7987">
            <w:pPr>
              <w:pStyle w:val="TableTextEntries"/>
              <w:rPr>
                <w:color w:val="FFC000"/>
              </w:rPr>
            </w:pPr>
            <w:r>
              <w:rPr>
                <w:noProof/>
                <w:color w:val="FFC000"/>
                <w:lang w:val="en-US"/>
              </w:rPr>
              <w:drawing>
                <wp:inline distT="0" distB="0" distL="0" distR="0">
                  <wp:extent cx="115570" cy="115570"/>
                  <wp:effectExtent l="0" t="0" r="0" b="0"/>
                  <wp:docPr id="42" name="Picture 42" descr="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m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r>
      <w:tr w:rsidR="00C47C71" w:rsidRPr="00C47C71" w:rsidTr="00AF7987">
        <w:trPr>
          <w:tblCellSpacing w:w="14" w:type="dxa"/>
        </w:trPr>
        <w:tc>
          <w:tcPr>
            <w:tcW w:w="808" w:type="dxa"/>
            <w:shd w:val="clear" w:color="auto" w:fill="auto"/>
          </w:tcPr>
          <w:p w:rsidR="00C47C71" w:rsidRPr="00C47C71" w:rsidRDefault="00C47C71" w:rsidP="00AF7987">
            <w:pPr>
              <w:pStyle w:val="TableTextEntries"/>
            </w:pPr>
            <w:r w:rsidRPr="00C47C71">
              <w:t>ING221</w:t>
            </w:r>
          </w:p>
        </w:tc>
        <w:tc>
          <w:tcPr>
            <w:tcW w:w="3144" w:type="dxa"/>
            <w:shd w:val="clear" w:color="auto" w:fill="auto"/>
          </w:tcPr>
          <w:p w:rsidR="00C47C71" w:rsidRPr="00C47C71" w:rsidRDefault="00C47C71" w:rsidP="00AF7987">
            <w:pPr>
              <w:pStyle w:val="TableTextEntries"/>
            </w:pPr>
            <w:r w:rsidRPr="00C47C71">
              <w:t>HIV/AIDS Asia Regional Program</w:t>
            </w:r>
          </w:p>
        </w:tc>
        <w:tc>
          <w:tcPr>
            <w:tcW w:w="829" w:type="dxa"/>
            <w:shd w:val="clear" w:color="auto" w:fill="auto"/>
          </w:tcPr>
          <w:p w:rsidR="00C47C71" w:rsidRPr="00AF7987" w:rsidRDefault="003A05C5" w:rsidP="00AF7987">
            <w:pPr>
              <w:pStyle w:val="TableTextEntries"/>
              <w:rPr>
                <w:color w:val="92D050"/>
              </w:rPr>
            </w:pPr>
            <w:r>
              <w:rPr>
                <w:noProof/>
                <w:lang w:val="en-US"/>
              </w:rPr>
              <w:drawing>
                <wp:inline distT="0" distB="0" distL="0" distR="0">
                  <wp:extent cx="107315" cy="107315"/>
                  <wp:effectExtent l="0" t="0" r="6985" b="6985"/>
                  <wp:docPr id="43" name="Picture 43"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828" w:type="dxa"/>
            <w:shd w:val="clear" w:color="auto" w:fill="auto"/>
          </w:tcPr>
          <w:p w:rsidR="00C47C71" w:rsidRPr="00C47C71" w:rsidRDefault="003A05C5" w:rsidP="00AF7987">
            <w:pPr>
              <w:pStyle w:val="TableTextEntries"/>
            </w:pPr>
            <w:r>
              <w:rPr>
                <w:noProof/>
                <w:color w:val="FFFF00"/>
                <w:lang w:val="en-US"/>
              </w:rPr>
              <w:drawing>
                <wp:inline distT="0" distB="0" distL="0" distR="0">
                  <wp:extent cx="115570" cy="115570"/>
                  <wp:effectExtent l="0" t="0" r="0" b="0"/>
                  <wp:docPr id="44" name="Picture 44"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29" w:type="dxa"/>
            <w:shd w:val="clear" w:color="auto" w:fill="auto"/>
          </w:tcPr>
          <w:p w:rsidR="00C47C71" w:rsidRPr="00AF7987" w:rsidRDefault="003A05C5" w:rsidP="00AF7987">
            <w:pPr>
              <w:pStyle w:val="TableTextEntries"/>
              <w:rPr>
                <w:color w:val="F79646"/>
              </w:rPr>
            </w:pPr>
            <w:r>
              <w:rPr>
                <w:noProof/>
                <w:color w:val="F79646"/>
                <w:lang w:val="en-US"/>
              </w:rPr>
              <w:drawing>
                <wp:inline distT="0" distB="0" distL="0" distR="0">
                  <wp:extent cx="115570" cy="115570"/>
                  <wp:effectExtent l="0" t="0" r="0" b="0"/>
                  <wp:docPr id="45" name="Picture 45" descr="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m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28" w:type="dxa"/>
            <w:shd w:val="clear" w:color="auto" w:fill="auto"/>
          </w:tcPr>
          <w:p w:rsidR="00C47C71" w:rsidRPr="00AF7987" w:rsidRDefault="003A05C5" w:rsidP="00AF7987">
            <w:pPr>
              <w:pStyle w:val="TableTextEntries"/>
              <w:rPr>
                <w:color w:val="F79646"/>
              </w:rPr>
            </w:pPr>
            <w:r>
              <w:rPr>
                <w:noProof/>
                <w:color w:val="F79646"/>
                <w:lang w:val="en-US"/>
              </w:rPr>
              <w:drawing>
                <wp:inline distT="0" distB="0" distL="0" distR="0">
                  <wp:extent cx="115570" cy="115570"/>
                  <wp:effectExtent l="0" t="0" r="0" b="0"/>
                  <wp:docPr id="46" name="Picture 46" descr="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m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29" w:type="dxa"/>
            <w:shd w:val="clear" w:color="auto" w:fill="auto"/>
          </w:tcPr>
          <w:p w:rsidR="00C47C71" w:rsidRPr="00C47C71" w:rsidRDefault="003A05C5" w:rsidP="00AF7987">
            <w:pPr>
              <w:pStyle w:val="TableTextEntries"/>
            </w:pPr>
            <w:r>
              <w:rPr>
                <w:noProof/>
                <w:color w:val="FFFF00"/>
                <w:lang w:val="en-US"/>
              </w:rPr>
              <w:drawing>
                <wp:inline distT="0" distB="0" distL="0" distR="0">
                  <wp:extent cx="107315" cy="107315"/>
                  <wp:effectExtent l="0" t="0" r="6985" b="6985"/>
                  <wp:docPr id="47" name="Picture 47"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692" w:type="dxa"/>
            <w:shd w:val="clear" w:color="auto" w:fill="auto"/>
          </w:tcPr>
          <w:p w:rsidR="00C47C71" w:rsidRPr="00C47C71" w:rsidRDefault="003A05C5" w:rsidP="00AF7987">
            <w:pPr>
              <w:pStyle w:val="TableTextEntries"/>
            </w:pPr>
            <w:r>
              <w:rPr>
                <w:noProof/>
                <w:color w:val="92D050"/>
                <w:lang w:val="en-US"/>
              </w:rPr>
              <w:drawing>
                <wp:inline distT="0" distB="0" distL="0" distR="0">
                  <wp:extent cx="115570" cy="115570"/>
                  <wp:effectExtent l="0" t="0" r="0" b="0"/>
                  <wp:docPr id="48" name="Picture 48"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00C47C71" w:rsidRPr="00C47C71">
              <w:t>+1</w:t>
            </w:r>
          </w:p>
        </w:tc>
      </w:tr>
      <w:tr w:rsidR="00C47C71" w:rsidRPr="00C47C71" w:rsidTr="00AF7987">
        <w:trPr>
          <w:tblCellSpacing w:w="14" w:type="dxa"/>
        </w:trPr>
        <w:tc>
          <w:tcPr>
            <w:tcW w:w="808" w:type="dxa"/>
            <w:shd w:val="clear" w:color="auto" w:fill="auto"/>
          </w:tcPr>
          <w:p w:rsidR="00C47C71" w:rsidRPr="00AF7987" w:rsidRDefault="00C47C71" w:rsidP="00AF7987">
            <w:pPr>
              <w:pStyle w:val="TableTextEntries"/>
              <w:rPr>
                <w:i/>
              </w:rPr>
            </w:pPr>
            <w:r w:rsidRPr="00C47C71">
              <w:lastRenderedPageBreak/>
              <w:t>INJ703</w:t>
            </w:r>
          </w:p>
        </w:tc>
        <w:tc>
          <w:tcPr>
            <w:tcW w:w="3144" w:type="dxa"/>
            <w:shd w:val="clear" w:color="auto" w:fill="auto"/>
          </w:tcPr>
          <w:p w:rsidR="00C47C71" w:rsidRPr="00C47C71" w:rsidRDefault="00C47C71" w:rsidP="00AF7987">
            <w:pPr>
              <w:pStyle w:val="TableTextEntries"/>
            </w:pPr>
            <w:r w:rsidRPr="00C47C71">
              <w:t>Stop Transboundary Animal Disease and Zoonoses Initiative (first year)</w:t>
            </w:r>
          </w:p>
        </w:tc>
        <w:tc>
          <w:tcPr>
            <w:tcW w:w="829" w:type="dxa"/>
            <w:shd w:val="clear" w:color="auto" w:fill="auto"/>
          </w:tcPr>
          <w:p w:rsidR="00C47C71" w:rsidRPr="00AF7987" w:rsidRDefault="003A05C5" w:rsidP="00AF7987">
            <w:pPr>
              <w:pStyle w:val="TableTextEntries"/>
              <w:rPr>
                <w:color w:val="92D050"/>
              </w:rPr>
            </w:pPr>
            <w:r>
              <w:rPr>
                <w:noProof/>
                <w:color w:val="92D050"/>
                <w:lang w:val="en-US"/>
              </w:rPr>
              <w:drawing>
                <wp:inline distT="0" distB="0" distL="0" distR="0">
                  <wp:extent cx="107315" cy="107315"/>
                  <wp:effectExtent l="0" t="0" r="6985" b="6985"/>
                  <wp:docPr id="49" name="Picture 49"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828" w:type="dxa"/>
            <w:shd w:val="clear" w:color="auto" w:fill="auto"/>
          </w:tcPr>
          <w:p w:rsidR="00C47C71" w:rsidRPr="00C47C71" w:rsidRDefault="003A05C5" w:rsidP="00AF7987">
            <w:pPr>
              <w:pStyle w:val="TableTextEntries"/>
            </w:pPr>
            <w:r>
              <w:rPr>
                <w:noProof/>
                <w:color w:val="FFFF00"/>
                <w:lang w:val="en-US"/>
              </w:rPr>
              <w:drawing>
                <wp:inline distT="0" distB="0" distL="0" distR="0">
                  <wp:extent cx="115570" cy="115570"/>
                  <wp:effectExtent l="0" t="0" r="0" b="0"/>
                  <wp:docPr id="50" name="Picture 50"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29" w:type="dxa"/>
            <w:shd w:val="clear" w:color="auto" w:fill="auto"/>
          </w:tcPr>
          <w:p w:rsidR="00C47C71" w:rsidRPr="00C47C71" w:rsidRDefault="003A05C5" w:rsidP="00AF7987">
            <w:pPr>
              <w:pStyle w:val="TableTextEntries"/>
            </w:pPr>
            <w:r>
              <w:rPr>
                <w:noProof/>
                <w:color w:val="92D050"/>
                <w:lang w:val="en-US"/>
              </w:rPr>
              <w:drawing>
                <wp:inline distT="0" distB="0" distL="0" distR="0">
                  <wp:extent cx="115570" cy="115570"/>
                  <wp:effectExtent l="0" t="0" r="0" b="0"/>
                  <wp:docPr id="51" name="Picture 51"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828" w:type="dxa"/>
            <w:shd w:val="clear" w:color="auto" w:fill="auto"/>
          </w:tcPr>
          <w:p w:rsidR="00C47C71" w:rsidRPr="00C47C71" w:rsidRDefault="003A05C5" w:rsidP="00AF7987">
            <w:pPr>
              <w:pStyle w:val="TableTextEntries"/>
            </w:pPr>
            <w:r>
              <w:rPr>
                <w:noProof/>
                <w:color w:val="FFFF00"/>
                <w:lang w:val="en-US"/>
              </w:rPr>
              <w:drawing>
                <wp:inline distT="0" distB="0" distL="0" distR="0">
                  <wp:extent cx="107315" cy="107315"/>
                  <wp:effectExtent l="0" t="0" r="6985" b="6985"/>
                  <wp:docPr id="52" name="Picture 52"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c>
          <w:tcPr>
            <w:tcW w:w="829" w:type="dxa"/>
            <w:shd w:val="clear" w:color="auto" w:fill="auto"/>
          </w:tcPr>
          <w:p w:rsidR="00C47C71" w:rsidRPr="00C47C71" w:rsidRDefault="003A05C5" w:rsidP="00AF7987">
            <w:pPr>
              <w:pStyle w:val="TableTextEntries"/>
            </w:pPr>
            <w:r>
              <w:rPr>
                <w:noProof/>
                <w:color w:val="92D050"/>
                <w:lang w:val="en-US"/>
              </w:rPr>
              <w:drawing>
                <wp:inline distT="0" distB="0" distL="0" distR="0">
                  <wp:extent cx="115570" cy="115570"/>
                  <wp:effectExtent l="0" t="0" r="0" b="0"/>
                  <wp:docPr id="53" name="Picture 53"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tc>
        <w:tc>
          <w:tcPr>
            <w:tcW w:w="692" w:type="dxa"/>
            <w:shd w:val="clear" w:color="auto" w:fill="auto"/>
          </w:tcPr>
          <w:p w:rsidR="00C47C71" w:rsidRPr="00C47C71" w:rsidRDefault="003A05C5" w:rsidP="00AF7987">
            <w:pPr>
              <w:pStyle w:val="TableTextEntries"/>
            </w:pPr>
            <w:r>
              <w:rPr>
                <w:noProof/>
                <w:color w:val="FFFF00"/>
                <w:lang w:val="en-US"/>
              </w:rPr>
              <w:drawing>
                <wp:inline distT="0" distB="0" distL="0" distR="0">
                  <wp:extent cx="107315" cy="107315"/>
                  <wp:effectExtent l="0" t="0" r="6985" b="6985"/>
                  <wp:docPr id="54" name="Picture 54" descr="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Yellow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p>
        </w:tc>
      </w:tr>
      <w:tr w:rsidR="00C47C71" w:rsidRPr="00C47C71" w:rsidTr="00AF7987">
        <w:trPr>
          <w:tblCellSpacing w:w="14" w:type="dxa"/>
        </w:trPr>
        <w:tc>
          <w:tcPr>
            <w:tcW w:w="808" w:type="dxa"/>
            <w:shd w:val="clear" w:color="auto" w:fill="auto"/>
          </w:tcPr>
          <w:p w:rsidR="00C47C71" w:rsidRPr="00C47C71" w:rsidRDefault="00C47C71" w:rsidP="00AF7987">
            <w:pPr>
              <w:pStyle w:val="TableTextEntries"/>
            </w:pPr>
          </w:p>
        </w:tc>
        <w:tc>
          <w:tcPr>
            <w:tcW w:w="3144" w:type="dxa"/>
            <w:shd w:val="clear" w:color="auto" w:fill="auto"/>
          </w:tcPr>
          <w:p w:rsidR="00C47C71" w:rsidRPr="00AF7987" w:rsidDel="005C3543" w:rsidRDefault="00C47C71" w:rsidP="00AF7987">
            <w:pPr>
              <w:pStyle w:val="TableTextEntries"/>
              <w:rPr>
                <w:b/>
              </w:rPr>
            </w:pPr>
            <w:r w:rsidRPr="00AF7987">
              <w:rPr>
                <w:b/>
              </w:rPr>
              <w:t>Total number of initiatives satisfactory (4–6 rating)</w:t>
            </w:r>
          </w:p>
        </w:tc>
        <w:tc>
          <w:tcPr>
            <w:tcW w:w="829" w:type="dxa"/>
            <w:shd w:val="clear" w:color="auto" w:fill="auto"/>
          </w:tcPr>
          <w:p w:rsidR="00C47C71" w:rsidRPr="00C47C71" w:rsidRDefault="00C47C71" w:rsidP="00AF7987">
            <w:pPr>
              <w:pStyle w:val="TableTextEntries"/>
            </w:pPr>
            <w:r w:rsidRPr="00C47C71">
              <w:t>9</w:t>
            </w:r>
          </w:p>
        </w:tc>
        <w:tc>
          <w:tcPr>
            <w:tcW w:w="828" w:type="dxa"/>
            <w:shd w:val="clear" w:color="auto" w:fill="auto"/>
          </w:tcPr>
          <w:p w:rsidR="00C47C71" w:rsidRPr="00C47C71" w:rsidRDefault="00C47C71" w:rsidP="00AF7987">
            <w:pPr>
              <w:pStyle w:val="TableTextEntries"/>
            </w:pPr>
            <w:r w:rsidRPr="00C47C71">
              <w:t>6</w:t>
            </w:r>
          </w:p>
        </w:tc>
        <w:tc>
          <w:tcPr>
            <w:tcW w:w="829" w:type="dxa"/>
            <w:shd w:val="clear" w:color="auto" w:fill="auto"/>
          </w:tcPr>
          <w:p w:rsidR="00C47C71" w:rsidRPr="00C47C71" w:rsidRDefault="00C47C71" w:rsidP="00AF7987">
            <w:pPr>
              <w:pStyle w:val="TableTextEntries"/>
            </w:pPr>
            <w:r w:rsidRPr="00C47C71">
              <w:t>7</w:t>
            </w:r>
          </w:p>
        </w:tc>
        <w:tc>
          <w:tcPr>
            <w:tcW w:w="828" w:type="dxa"/>
            <w:shd w:val="clear" w:color="auto" w:fill="auto"/>
          </w:tcPr>
          <w:p w:rsidR="00C47C71" w:rsidRPr="00C47C71" w:rsidRDefault="00C47C71" w:rsidP="00AF7987">
            <w:pPr>
              <w:pStyle w:val="TableTextEntries"/>
            </w:pPr>
            <w:r w:rsidRPr="00C47C71">
              <w:t>4</w:t>
            </w:r>
          </w:p>
        </w:tc>
        <w:tc>
          <w:tcPr>
            <w:tcW w:w="829" w:type="dxa"/>
            <w:shd w:val="clear" w:color="auto" w:fill="auto"/>
          </w:tcPr>
          <w:p w:rsidR="00C47C71" w:rsidRPr="00C47C71" w:rsidRDefault="00C47C71" w:rsidP="00AF7987">
            <w:pPr>
              <w:pStyle w:val="TableTextEntries"/>
            </w:pPr>
            <w:r w:rsidRPr="00C47C71">
              <w:t>6</w:t>
            </w:r>
          </w:p>
        </w:tc>
        <w:tc>
          <w:tcPr>
            <w:tcW w:w="692" w:type="dxa"/>
            <w:shd w:val="clear" w:color="auto" w:fill="auto"/>
          </w:tcPr>
          <w:p w:rsidR="00C47C71" w:rsidRPr="00C47C71" w:rsidRDefault="00C47C71" w:rsidP="00AF7987">
            <w:pPr>
              <w:pStyle w:val="TableTextEntries"/>
            </w:pPr>
            <w:r w:rsidRPr="00C47C71">
              <w:t>5</w:t>
            </w:r>
          </w:p>
        </w:tc>
      </w:tr>
      <w:tr w:rsidR="00C47C71" w:rsidRPr="00C47C71" w:rsidTr="00AF7987">
        <w:trPr>
          <w:trHeight w:val="528"/>
          <w:tblCellSpacing w:w="14" w:type="dxa"/>
        </w:trPr>
        <w:tc>
          <w:tcPr>
            <w:tcW w:w="808" w:type="dxa"/>
            <w:shd w:val="clear" w:color="auto" w:fill="auto"/>
          </w:tcPr>
          <w:p w:rsidR="00C47C71" w:rsidRPr="00C47C71" w:rsidRDefault="00C47C71" w:rsidP="00AF7987">
            <w:pPr>
              <w:pStyle w:val="TableTextEntries"/>
            </w:pPr>
          </w:p>
        </w:tc>
        <w:tc>
          <w:tcPr>
            <w:tcW w:w="3144" w:type="dxa"/>
            <w:shd w:val="clear" w:color="auto" w:fill="auto"/>
          </w:tcPr>
          <w:p w:rsidR="00C47C71" w:rsidRPr="00AF7987" w:rsidRDefault="00C47C71" w:rsidP="00AF7987">
            <w:pPr>
              <w:pStyle w:val="TableTextEntries"/>
              <w:rPr>
                <w:b/>
              </w:rPr>
            </w:pPr>
            <w:r w:rsidRPr="00AF7987">
              <w:rPr>
                <w:b/>
              </w:rPr>
              <w:t>Total number of initiatives needing work to improve (1–3 rating)</w:t>
            </w:r>
          </w:p>
        </w:tc>
        <w:tc>
          <w:tcPr>
            <w:tcW w:w="829" w:type="dxa"/>
            <w:shd w:val="clear" w:color="auto" w:fill="auto"/>
          </w:tcPr>
          <w:p w:rsidR="00C47C71" w:rsidRPr="00C47C71" w:rsidRDefault="00C47C71" w:rsidP="00AF7987">
            <w:pPr>
              <w:pStyle w:val="TableTextEntries"/>
            </w:pPr>
            <w:r w:rsidRPr="00C47C71">
              <w:t>0</w:t>
            </w:r>
          </w:p>
        </w:tc>
        <w:tc>
          <w:tcPr>
            <w:tcW w:w="828" w:type="dxa"/>
            <w:shd w:val="clear" w:color="auto" w:fill="auto"/>
          </w:tcPr>
          <w:p w:rsidR="00C47C71" w:rsidRPr="00C47C71" w:rsidRDefault="00C47C71" w:rsidP="00AF7987">
            <w:pPr>
              <w:pStyle w:val="TableTextEntries"/>
            </w:pPr>
            <w:r w:rsidRPr="00C47C71">
              <w:t>3</w:t>
            </w:r>
          </w:p>
        </w:tc>
        <w:tc>
          <w:tcPr>
            <w:tcW w:w="829" w:type="dxa"/>
            <w:shd w:val="clear" w:color="auto" w:fill="auto"/>
          </w:tcPr>
          <w:p w:rsidR="00C47C71" w:rsidRPr="00C47C71" w:rsidRDefault="00C47C71" w:rsidP="00AF7987">
            <w:pPr>
              <w:pStyle w:val="TableTextEntries"/>
            </w:pPr>
            <w:r w:rsidRPr="00C47C71">
              <w:t>2</w:t>
            </w:r>
          </w:p>
        </w:tc>
        <w:tc>
          <w:tcPr>
            <w:tcW w:w="828" w:type="dxa"/>
            <w:shd w:val="clear" w:color="auto" w:fill="auto"/>
          </w:tcPr>
          <w:p w:rsidR="00C47C71" w:rsidRPr="00C47C71" w:rsidRDefault="00C47C71" w:rsidP="00AF7987">
            <w:pPr>
              <w:pStyle w:val="TableTextEntries"/>
            </w:pPr>
            <w:r w:rsidRPr="00C47C71">
              <w:t>5</w:t>
            </w:r>
          </w:p>
        </w:tc>
        <w:tc>
          <w:tcPr>
            <w:tcW w:w="829" w:type="dxa"/>
            <w:shd w:val="clear" w:color="auto" w:fill="auto"/>
          </w:tcPr>
          <w:p w:rsidR="00C47C71" w:rsidRPr="00C47C71" w:rsidRDefault="00C47C71" w:rsidP="00AF7987">
            <w:pPr>
              <w:pStyle w:val="TableTextEntries"/>
            </w:pPr>
            <w:r w:rsidRPr="00C47C71">
              <w:t>3</w:t>
            </w:r>
          </w:p>
        </w:tc>
        <w:tc>
          <w:tcPr>
            <w:tcW w:w="692" w:type="dxa"/>
            <w:shd w:val="clear" w:color="auto" w:fill="auto"/>
          </w:tcPr>
          <w:p w:rsidR="00C47C71" w:rsidRPr="00C47C71" w:rsidRDefault="00C47C71" w:rsidP="00AF7987">
            <w:pPr>
              <w:pStyle w:val="TableTextEntries"/>
            </w:pPr>
            <w:r w:rsidRPr="00C47C71">
              <w:t>4</w:t>
            </w:r>
          </w:p>
        </w:tc>
      </w:tr>
    </w:tbl>
    <w:p w:rsidR="0039799D" w:rsidRPr="000774FD" w:rsidRDefault="0039799D" w:rsidP="0039799D">
      <w:pPr>
        <w:pStyle w:val="Note"/>
      </w:pPr>
      <w:r w:rsidRPr="000774FD">
        <w:t>Definitions of rating scale: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115"/>
        <w:gridCol w:w="4163"/>
      </w:tblGrid>
      <w:tr w:rsidR="0039799D" w:rsidRPr="000774FD" w:rsidTr="0039799D">
        <w:trPr>
          <w:cantSplit/>
        </w:trPr>
        <w:tc>
          <w:tcPr>
            <w:tcW w:w="4115" w:type="dxa"/>
            <w:tcBorders>
              <w:top w:val="nil"/>
              <w:left w:val="nil"/>
              <w:bottom w:val="nil"/>
              <w:right w:val="nil"/>
            </w:tcBorders>
            <w:noWrap/>
          </w:tcPr>
          <w:p w:rsidR="0039799D" w:rsidRPr="00811573" w:rsidRDefault="0039799D" w:rsidP="00C116F7">
            <w:pPr>
              <w:pStyle w:val="Note"/>
              <w:rPr>
                <w:lang w:val="en-AU" w:eastAsia="en-AU"/>
              </w:rPr>
            </w:pPr>
            <w:r w:rsidRPr="00811573">
              <w:rPr>
                <w:lang w:val="en-AU" w:eastAsia="en-AU"/>
              </w:rPr>
              <w:t>Satisfactory (4, 5 and 6)</w:t>
            </w:r>
          </w:p>
        </w:tc>
        <w:tc>
          <w:tcPr>
            <w:tcW w:w="4163" w:type="dxa"/>
            <w:tcBorders>
              <w:top w:val="nil"/>
              <w:left w:val="nil"/>
              <w:bottom w:val="nil"/>
              <w:right w:val="nil"/>
            </w:tcBorders>
            <w:noWrap/>
          </w:tcPr>
          <w:p w:rsidR="0039799D" w:rsidRPr="00811573" w:rsidRDefault="0039799D" w:rsidP="00C116F7">
            <w:pPr>
              <w:pStyle w:val="Note"/>
              <w:rPr>
                <w:lang w:val="en-AU" w:eastAsia="en-AU"/>
              </w:rPr>
            </w:pPr>
            <w:r w:rsidRPr="00811573">
              <w:rPr>
                <w:lang w:val="en-AU" w:eastAsia="en-AU"/>
              </w:rPr>
              <w:t>Less than satisfactory (1, 2 and 3)</w:t>
            </w:r>
          </w:p>
        </w:tc>
      </w:tr>
      <w:tr w:rsidR="0039799D" w:rsidRPr="00D7139C" w:rsidTr="0039799D">
        <w:trPr>
          <w:cantSplit/>
        </w:trPr>
        <w:tc>
          <w:tcPr>
            <w:tcW w:w="4115" w:type="dxa"/>
            <w:tcBorders>
              <w:top w:val="nil"/>
              <w:left w:val="nil"/>
              <w:bottom w:val="nil"/>
              <w:right w:val="nil"/>
            </w:tcBorders>
            <w:shd w:val="clear" w:color="auto" w:fill="auto"/>
            <w:noWrap/>
            <w:tcMar>
              <w:top w:w="0" w:type="dxa"/>
              <w:bottom w:w="0" w:type="dxa"/>
            </w:tcMar>
          </w:tcPr>
          <w:p w:rsidR="0039799D" w:rsidRPr="00811573" w:rsidRDefault="003A05C5" w:rsidP="00C116F7">
            <w:pPr>
              <w:pStyle w:val="Note"/>
              <w:rPr>
                <w:lang w:val="en-AU" w:eastAsia="en-AU"/>
              </w:rPr>
            </w:pPr>
            <w:r>
              <w:rPr>
                <w:noProof/>
                <w:color w:val="92D050"/>
                <w:lang w:val="en-US" w:eastAsia="en-US"/>
              </w:rPr>
              <w:drawing>
                <wp:inline distT="0" distB="0" distL="0" distR="0">
                  <wp:extent cx="92075" cy="92075"/>
                  <wp:effectExtent l="0" t="0" r="3175" b="3175"/>
                  <wp:docPr id="55" name="Picture 55"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075" cy="92075"/>
                          </a:xfrm>
                          <a:prstGeom prst="rect">
                            <a:avLst/>
                          </a:prstGeom>
                          <a:noFill/>
                          <a:ln>
                            <a:noFill/>
                          </a:ln>
                        </pic:spPr>
                      </pic:pic>
                    </a:graphicData>
                  </a:graphic>
                </wp:inline>
              </w:drawing>
            </w:r>
            <w:r w:rsidR="0039799D" w:rsidRPr="00811573">
              <w:rPr>
                <w:lang w:val="en-AU" w:eastAsia="en-AU"/>
              </w:rPr>
              <w:t xml:space="preserve"> = 6 = Very high quality; needs ongoing management and monitoring only</w:t>
            </w:r>
          </w:p>
        </w:tc>
        <w:tc>
          <w:tcPr>
            <w:tcW w:w="4163" w:type="dxa"/>
            <w:tcBorders>
              <w:top w:val="nil"/>
              <w:left w:val="nil"/>
              <w:bottom w:val="nil"/>
              <w:right w:val="nil"/>
            </w:tcBorders>
            <w:shd w:val="clear" w:color="auto" w:fill="auto"/>
            <w:noWrap/>
            <w:tcMar>
              <w:top w:w="0" w:type="dxa"/>
              <w:bottom w:w="0" w:type="dxa"/>
            </w:tcMar>
          </w:tcPr>
          <w:p w:rsidR="0039799D" w:rsidRPr="00811573" w:rsidRDefault="003A05C5" w:rsidP="00C116F7">
            <w:pPr>
              <w:pStyle w:val="Note"/>
              <w:rPr>
                <w:lang w:val="en-AU" w:eastAsia="en-AU"/>
              </w:rPr>
            </w:pPr>
            <w:r>
              <w:rPr>
                <w:noProof/>
                <w:color w:val="F79646"/>
                <w:lang w:val="en-US" w:eastAsia="en-US"/>
              </w:rPr>
              <w:drawing>
                <wp:inline distT="0" distB="0" distL="0" distR="0">
                  <wp:extent cx="92075" cy="92075"/>
                  <wp:effectExtent l="0" t="0" r="3175" b="3175"/>
                  <wp:docPr id="56" name="Picture 56" descr="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m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075" cy="92075"/>
                          </a:xfrm>
                          <a:prstGeom prst="rect">
                            <a:avLst/>
                          </a:prstGeom>
                          <a:noFill/>
                          <a:ln>
                            <a:noFill/>
                          </a:ln>
                        </pic:spPr>
                      </pic:pic>
                    </a:graphicData>
                  </a:graphic>
                </wp:inline>
              </w:drawing>
            </w:r>
            <w:r w:rsidR="0039799D" w:rsidRPr="00811573">
              <w:rPr>
                <w:lang w:val="en-AU" w:eastAsia="en-AU"/>
              </w:rPr>
              <w:t xml:space="preserve"> = 3 = Less than adequate quality; needs work to improve in core areas</w:t>
            </w:r>
          </w:p>
        </w:tc>
      </w:tr>
      <w:tr w:rsidR="0039799D" w:rsidRPr="00D7139C" w:rsidTr="0039799D">
        <w:trPr>
          <w:cantSplit/>
        </w:trPr>
        <w:tc>
          <w:tcPr>
            <w:tcW w:w="4115" w:type="dxa"/>
            <w:tcBorders>
              <w:top w:val="nil"/>
              <w:left w:val="nil"/>
              <w:bottom w:val="nil"/>
              <w:right w:val="nil"/>
            </w:tcBorders>
            <w:shd w:val="clear" w:color="auto" w:fill="auto"/>
            <w:noWrap/>
            <w:tcMar>
              <w:top w:w="0" w:type="dxa"/>
              <w:bottom w:w="0" w:type="dxa"/>
            </w:tcMar>
          </w:tcPr>
          <w:p w:rsidR="0039799D" w:rsidRPr="00811573" w:rsidRDefault="003A05C5" w:rsidP="00C116F7">
            <w:pPr>
              <w:pStyle w:val="Note"/>
              <w:rPr>
                <w:lang w:val="en-AU" w:eastAsia="en-AU"/>
              </w:rPr>
            </w:pPr>
            <w:r>
              <w:rPr>
                <w:noProof/>
                <w:color w:val="92D050"/>
                <w:lang w:val="en-US" w:eastAsia="en-US"/>
              </w:rPr>
              <w:drawing>
                <wp:inline distT="0" distB="0" distL="0" distR="0">
                  <wp:extent cx="92075" cy="92075"/>
                  <wp:effectExtent l="0" t="0" r="3175" b="3175"/>
                  <wp:docPr id="57" name="Picture 57" descr="Gre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Green&#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075" cy="92075"/>
                          </a:xfrm>
                          <a:prstGeom prst="rect">
                            <a:avLst/>
                          </a:prstGeom>
                          <a:noFill/>
                          <a:ln>
                            <a:noFill/>
                          </a:ln>
                        </pic:spPr>
                      </pic:pic>
                    </a:graphicData>
                  </a:graphic>
                </wp:inline>
              </w:drawing>
            </w:r>
            <w:r w:rsidR="0039799D" w:rsidRPr="00811573">
              <w:rPr>
                <w:lang w:val="en-AU" w:eastAsia="en-AU"/>
              </w:rPr>
              <w:t>= 5 = Good quality; needs minor work to improve in some areas</w:t>
            </w:r>
          </w:p>
        </w:tc>
        <w:tc>
          <w:tcPr>
            <w:tcW w:w="4163" w:type="dxa"/>
            <w:tcBorders>
              <w:top w:val="nil"/>
              <w:left w:val="nil"/>
              <w:bottom w:val="nil"/>
              <w:right w:val="nil"/>
            </w:tcBorders>
            <w:shd w:val="clear" w:color="auto" w:fill="auto"/>
            <w:noWrap/>
            <w:tcMar>
              <w:top w:w="0" w:type="dxa"/>
              <w:bottom w:w="0" w:type="dxa"/>
            </w:tcMar>
          </w:tcPr>
          <w:p w:rsidR="0039799D" w:rsidRPr="00811573" w:rsidRDefault="003A05C5" w:rsidP="00C116F7">
            <w:pPr>
              <w:pStyle w:val="Note"/>
              <w:rPr>
                <w:lang w:val="en-AU" w:eastAsia="en-AU"/>
              </w:rPr>
            </w:pPr>
            <w:r>
              <w:rPr>
                <w:noProof/>
                <w:color w:val="FF0000"/>
                <w:lang w:val="en-US" w:eastAsia="en-US"/>
              </w:rPr>
              <w:drawing>
                <wp:inline distT="0" distB="0" distL="0" distR="0">
                  <wp:extent cx="92075" cy="92075"/>
                  <wp:effectExtent l="0" t="0" r="3175" b="3175"/>
                  <wp:docPr id="58" name="Picture 58" descr="R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d&#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 cy="92075"/>
                          </a:xfrm>
                          <a:prstGeom prst="rect">
                            <a:avLst/>
                          </a:prstGeom>
                          <a:noFill/>
                          <a:ln>
                            <a:noFill/>
                          </a:ln>
                        </pic:spPr>
                      </pic:pic>
                    </a:graphicData>
                  </a:graphic>
                </wp:inline>
              </w:drawing>
            </w:r>
            <w:r w:rsidR="0039799D" w:rsidRPr="00811573">
              <w:rPr>
                <w:lang w:val="en-AU" w:eastAsia="en-AU"/>
              </w:rPr>
              <w:t xml:space="preserve"> = 2 = Poor quality; needs major work to improve</w:t>
            </w:r>
          </w:p>
        </w:tc>
      </w:tr>
      <w:tr w:rsidR="0039799D" w:rsidRPr="00D7139C" w:rsidTr="0039799D">
        <w:trPr>
          <w:cantSplit/>
        </w:trPr>
        <w:tc>
          <w:tcPr>
            <w:tcW w:w="4115" w:type="dxa"/>
            <w:tcBorders>
              <w:top w:val="nil"/>
              <w:left w:val="nil"/>
              <w:bottom w:val="nil"/>
              <w:right w:val="nil"/>
            </w:tcBorders>
            <w:shd w:val="clear" w:color="auto" w:fill="auto"/>
            <w:noWrap/>
            <w:tcMar>
              <w:top w:w="0" w:type="dxa"/>
              <w:bottom w:w="0" w:type="dxa"/>
            </w:tcMar>
          </w:tcPr>
          <w:p w:rsidR="0039799D" w:rsidRPr="00811573" w:rsidRDefault="003A05C5" w:rsidP="00C116F7">
            <w:pPr>
              <w:pStyle w:val="Note"/>
              <w:rPr>
                <w:lang w:val="en-AU" w:eastAsia="en-AU"/>
              </w:rPr>
            </w:pPr>
            <w:r>
              <w:rPr>
                <w:noProof/>
                <w:color w:val="FFFF00"/>
                <w:lang w:val="en-US" w:eastAsia="en-US"/>
              </w:rPr>
              <w:drawing>
                <wp:inline distT="0" distB="0" distL="0" distR="0">
                  <wp:extent cx="92075" cy="92075"/>
                  <wp:effectExtent l="0" t="0" r="3175" b="3175"/>
                  <wp:docPr id="59" name="Picture 59" descr="Yello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Yellow&#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075" cy="92075"/>
                          </a:xfrm>
                          <a:prstGeom prst="rect">
                            <a:avLst/>
                          </a:prstGeom>
                          <a:noFill/>
                          <a:ln>
                            <a:noFill/>
                          </a:ln>
                        </pic:spPr>
                      </pic:pic>
                    </a:graphicData>
                  </a:graphic>
                </wp:inline>
              </w:drawing>
            </w:r>
            <w:r w:rsidR="0039799D" w:rsidRPr="00811573">
              <w:rPr>
                <w:lang w:val="en-AU" w:eastAsia="en-AU"/>
              </w:rPr>
              <w:t xml:space="preserve"> = 4 = Adequate quality; needs some work to improve</w:t>
            </w:r>
          </w:p>
        </w:tc>
        <w:tc>
          <w:tcPr>
            <w:tcW w:w="4163" w:type="dxa"/>
            <w:tcBorders>
              <w:top w:val="nil"/>
              <w:left w:val="nil"/>
              <w:bottom w:val="nil"/>
              <w:right w:val="nil"/>
            </w:tcBorders>
            <w:shd w:val="clear" w:color="auto" w:fill="auto"/>
            <w:noWrap/>
            <w:tcMar>
              <w:top w:w="0" w:type="dxa"/>
              <w:bottom w:w="0" w:type="dxa"/>
            </w:tcMar>
          </w:tcPr>
          <w:p w:rsidR="0039799D" w:rsidRPr="00811573" w:rsidRDefault="003A05C5" w:rsidP="0039799D">
            <w:pPr>
              <w:pStyle w:val="Note"/>
              <w:rPr>
                <w:lang w:val="en-AU" w:eastAsia="en-AU"/>
              </w:rPr>
            </w:pPr>
            <w:r>
              <w:rPr>
                <w:noProof/>
                <w:color w:val="FF0000"/>
                <w:lang w:val="en-US" w:eastAsia="en-US"/>
              </w:rPr>
              <w:drawing>
                <wp:inline distT="0" distB="0" distL="0" distR="0">
                  <wp:extent cx="92075" cy="92075"/>
                  <wp:effectExtent l="0" t="0" r="3175" b="3175"/>
                  <wp:docPr id="60" name="Picture 60" desc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 cy="92075"/>
                          </a:xfrm>
                          <a:prstGeom prst="rect">
                            <a:avLst/>
                          </a:prstGeom>
                          <a:noFill/>
                          <a:ln>
                            <a:noFill/>
                          </a:ln>
                        </pic:spPr>
                      </pic:pic>
                    </a:graphicData>
                  </a:graphic>
                </wp:inline>
              </w:drawing>
            </w:r>
            <w:r w:rsidR="0039799D" w:rsidRPr="00811573">
              <w:rPr>
                <w:lang w:val="en-AU" w:eastAsia="en-AU"/>
              </w:rPr>
              <w:t xml:space="preserve"> = 1 = Very poor quality; needs major overhaul</w:t>
            </w:r>
          </w:p>
        </w:tc>
      </w:tr>
    </w:tbl>
    <w:p w:rsidR="00C47C71" w:rsidRPr="00C47C71" w:rsidRDefault="00C47C71" w:rsidP="002F46F5">
      <w:pPr>
        <w:pStyle w:val="BodyText"/>
        <w:spacing w:before="400"/>
      </w:pPr>
      <w:r w:rsidRPr="00C47C71">
        <w:rPr>
          <w:b/>
        </w:rPr>
        <w:t>Relevance:</w:t>
      </w:r>
      <w:r w:rsidRPr="00C47C71">
        <w:t xml:space="preserve"> Quality ratings against this criterion were all satisfactory, though efforts need to continue to focus on the </w:t>
      </w:r>
      <w:r w:rsidRPr="00C47C71">
        <w:rPr>
          <w:i/>
        </w:rPr>
        <w:t>most</w:t>
      </w:r>
      <w:r w:rsidRPr="00C47C71">
        <w:t xml:space="preserve"> relevant or highest priority issues through each program’s annual planning processes. </w:t>
      </w:r>
    </w:p>
    <w:p w:rsidR="00C47C71" w:rsidRPr="00C47C71" w:rsidRDefault="00C47C71" w:rsidP="0081667A">
      <w:pPr>
        <w:pStyle w:val="ListParagraph"/>
      </w:pPr>
      <w:r w:rsidRPr="00C47C71">
        <w:t xml:space="preserve">There was a significant improvement for the ASEAN-Australia Development Cooperation Program Phase II with the implementation of the work-stream program management approach. This breaks down the program into streams and focus areas, which provide a basis for measuring the program’s effectiveness and which show clear linkages between the activities, the objectives of the program, and ultimately to key elements of the ASEAN Economic Community Blueprint. </w:t>
      </w:r>
    </w:p>
    <w:p w:rsidR="00C47C71" w:rsidRPr="00C47C71" w:rsidRDefault="00C47C71" w:rsidP="0081667A">
      <w:pPr>
        <w:pStyle w:val="BodyText"/>
      </w:pPr>
      <w:r w:rsidRPr="00C47C71">
        <w:rPr>
          <w:b/>
        </w:rPr>
        <w:t xml:space="preserve">Effectiveness: </w:t>
      </w:r>
      <w:r w:rsidRPr="00C47C71">
        <w:t xml:space="preserve">Quality ratings against this criterion varied greatly, reflecting at one end the difficulties experienced during the early stages of Project Childhood and at the other some excellent achievements recognised in the Independent Completion Review of the Asia Regional Trafficking in Persons Project (see </w:t>
      </w:r>
      <w:r w:rsidRPr="00C47C71">
        <w:rPr>
          <w:i/>
        </w:rPr>
        <w:t>Progress against objectives</w:t>
      </w:r>
      <w:r w:rsidRPr="00C47C71">
        <w:t xml:space="preserve"> and </w:t>
      </w:r>
      <w:r w:rsidRPr="00C47C71">
        <w:rPr>
          <w:i/>
        </w:rPr>
        <w:t>Multilateral assessment</w:t>
      </w:r>
      <w:r w:rsidRPr="00C47C71">
        <w:t xml:space="preserve"> of the United Nations Office on Drugs and Crime.</w:t>
      </w:r>
    </w:p>
    <w:p w:rsidR="00C47C71" w:rsidRPr="00C47C71" w:rsidRDefault="00C47C71" w:rsidP="0081667A">
      <w:pPr>
        <w:pStyle w:val="ListParagraph"/>
      </w:pPr>
      <w:r w:rsidRPr="00C47C71">
        <w:t>Effectiveness of the programs within the ASEAN Secretariat continued to be affected by the secretariat’s level of strength and capacity, notably staff shortages, resource shortages and weak corporate systems. Program activities focused on improving corporate governance may lead to cooperation on long-term changes to address structural issues if the political will can be found.</w:t>
      </w:r>
    </w:p>
    <w:p w:rsidR="00C47C71" w:rsidRPr="00C47C71" w:rsidRDefault="00C47C71" w:rsidP="0081667A">
      <w:pPr>
        <w:pStyle w:val="ListParagraph"/>
      </w:pPr>
      <w:r w:rsidRPr="00C47C71">
        <w:t xml:space="preserve">The AANZFTA Economic Cooperation Support Program, APEC Support Fund and the APEC Public Sector Linkages Program have all moved to include multi-year capacity building activities. However, time and improved monitoring and evaluation systems will be required to determine the impact. </w:t>
      </w:r>
    </w:p>
    <w:p w:rsidR="00C47C71" w:rsidRPr="00C47C71" w:rsidRDefault="00C47C71" w:rsidP="0081667A">
      <w:pPr>
        <w:pStyle w:val="BodyText"/>
      </w:pPr>
      <w:r w:rsidRPr="00C47C71">
        <w:rPr>
          <w:b/>
        </w:rPr>
        <w:t>Efficiency:</w:t>
      </w:r>
      <w:r w:rsidRPr="00C47C71">
        <w:t xml:space="preserve"> Quality ratings were satisfactory for most programs. Once again, Project Childhood has been flagged as needing continued attention. The need for a program facilitator has been identified to assist with difficulties in coordination and cooperation between the prevention and protection pillars of the program. </w:t>
      </w:r>
    </w:p>
    <w:p w:rsidR="00C47C71" w:rsidRPr="00C47C71" w:rsidRDefault="00C47C71" w:rsidP="0081667A">
      <w:pPr>
        <w:pStyle w:val="ListParagraph"/>
      </w:pPr>
      <w:r w:rsidRPr="00C47C71">
        <w:t xml:space="preserve">The efficiency of the ASEAN-Australia Development Cooperation Program Phase II has been significantly improved by finding ways to work around difficulties in the ASEAN Secretariat environment, largely due to the level of trust developed within the partnership. For example, expanded procurement options have shortened the time required to engage consultants, and simplified </w:t>
      </w:r>
      <w:r w:rsidRPr="00C47C71">
        <w:lastRenderedPageBreak/>
        <w:t xml:space="preserve">and shortened internal approval procedures, including more administrative delegation to the program director, have been put in place. </w:t>
      </w:r>
    </w:p>
    <w:p w:rsidR="00C47C71" w:rsidRPr="00C47C71" w:rsidRDefault="00C47C71" w:rsidP="0081667A">
      <w:pPr>
        <w:pStyle w:val="ListParagraph"/>
      </w:pPr>
      <w:r w:rsidRPr="00C47C71">
        <w:t xml:space="preserve">The Public Sector Linkages Program remains a highly efficient method with an established secretariat and processes for handling a wide range of relatively small whole-of-government proposals. </w:t>
      </w:r>
    </w:p>
    <w:p w:rsidR="00C47C71" w:rsidRPr="00C47C71" w:rsidRDefault="00C47C71" w:rsidP="0081667A">
      <w:pPr>
        <w:pStyle w:val="BodyText"/>
      </w:pPr>
      <w:r w:rsidRPr="00C47C71">
        <w:rPr>
          <w:b/>
        </w:rPr>
        <w:t>Monitoring and evaluation:</w:t>
      </w:r>
      <w:r w:rsidRPr="00C47C71">
        <w:t xml:space="preserve"> In more than half the programs,</w:t>
      </w:r>
      <w:r w:rsidRPr="00C47C71" w:rsidDel="00C53F8D">
        <w:t xml:space="preserve"> </w:t>
      </w:r>
      <w:r w:rsidRPr="00C47C71">
        <w:t>quality ratings were only adequate or less than adequate with work needed to improve core areas. The Independent Completion Review of the Asia Regional Trafficking in Persons Project was the only independent evaluation conducted on East Asia Regional initiatives in 2011.</w:t>
      </w:r>
    </w:p>
    <w:p w:rsidR="00C47C71" w:rsidRPr="00C47C71" w:rsidRDefault="00C47C71" w:rsidP="0081667A">
      <w:pPr>
        <w:pStyle w:val="ListParagraph"/>
      </w:pPr>
      <w:r w:rsidRPr="00C47C71">
        <w:t>The second annual review of the ASEAN-Australia Development Cooperation Program Phase II was generally positive concerning the program’s progress. However, while a day-to-day monitoring system is in place that is adequate and efficient, this could be improved with more detailed management information to enable more strategic decision making.</w:t>
      </w:r>
    </w:p>
    <w:p w:rsidR="00C47C71" w:rsidRPr="00C47C71" w:rsidRDefault="00C47C71" w:rsidP="0081667A">
      <w:pPr>
        <w:pStyle w:val="ListParagraph"/>
      </w:pPr>
      <w:r w:rsidRPr="00C47C71">
        <w:t xml:space="preserve">Difficulties continue in the ability of the ASEAN-Australia Development Cooperation Program Phase II’s monitoring and evaluation system to gather information about the program’s overall achievements due largely to the fact that the objectives have been set too high. The independent progress report in mid-2012 may include recommendations for the program to change its objectives and to develop a more flexible monitoring and evaluation methodology. </w:t>
      </w:r>
    </w:p>
    <w:p w:rsidR="00C47C71" w:rsidRPr="00C47C71" w:rsidRDefault="00C47C71" w:rsidP="0081667A">
      <w:pPr>
        <w:pStyle w:val="ListParagraph"/>
      </w:pPr>
      <w:r w:rsidRPr="00C47C71">
        <w:t>Ongoing work will be required with the World Organisation for Animal Health to improve the Stop Transboundary Animal Disease and Zoonoses Initiative monitoring and evaluation system, including outcome reporting and gender mainstreaming. A more robust monitoring and evaluation system is especially relevant as the initiative will be piloting rabies vaccination and prevention activities in high prevalence areas in Indonesia and the Philippines, and will be targeting more community level training in animal disease outbreak response.</w:t>
      </w:r>
    </w:p>
    <w:p w:rsidR="00C47C71" w:rsidRPr="00C47C71" w:rsidRDefault="00C47C71" w:rsidP="0081667A">
      <w:pPr>
        <w:pStyle w:val="ListParagraph"/>
      </w:pPr>
      <w:r w:rsidRPr="00C47C71">
        <w:t xml:space="preserve">Restricting the HIV/AIDS Asia Regional Program’s monitoring and evaluation to service delivery data limits its ability to demonstrate country leadership, long-term sustainability and effectiveness of harm reduction, and changes within the enabling environment. Extracting good practices to inform a performance story will be a focus in 2012 as this is fundamental to the program’s advocacy efforts for governments to sustain effective harm reduction services. </w:t>
      </w:r>
    </w:p>
    <w:p w:rsidR="00C47C71" w:rsidRPr="00C47C71" w:rsidRDefault="00C47C71" w:rsidP="0081667A">
      <w:pPr>
        <w:pStyle w:val="ListParagraph"/>
      </w:pPr>
      <w:r w:rsidRPr="00C47C71">
        <w:t xml:space="preserve">Other programs have laid a good monitoring and evaluation system foundation that now needs to be implemented. The AANZFTA Economic Cooperation Support Program had a new monitoring and evaluation framework approved in 2011 and the APEC Support Fund had a large-scale evaluation of APEC projects approved. The Public Sector Linkages Program is undergoing a re-design with a stronger focus on monitoring and evaluation to be implemented. </w:t>
      </w:r>
    </w:p>
    <w:p w:rsidR="00C47C71" w:rsidRPr="00C47C71" w:rsidRDefault="00C47C71" w:rsidP="0081667A">
      <w:pPr>
        <w:pStyle w:val="BodyText"/>
      </w:pPr>
      <w:r w:rsidRPr="00C47C71">
        <w:rPr>
          <w:b/>
        </w:rPr>
        <w:lastRenderedPageBreak/>
        <w:t>Sustainability:</w:t>
      </w:r>
      <w:r w:rsidRPr="00C47C71">
        <w:t xml:space="preserve"> Quality ratings against this criterion varied greatly, once again reflecting at one end the difficulties experienced during the early stages of Project Childhood and at the other some likely ongoing benefits recognised during the Independent Completion Review of the Asia Regional Trafficking in Persons project (refer to </w:t>
      </w:r>
      <w:r w:rsidRPr="00C47C71">
        <w:rPr>
          <w:i/>
        </w:rPr>
        <w:t>Progress against objectives</w:t>
      </w:r>
      <w:r w:rsidRPr="00C47C71">
        <w:t xml:space="preserve"> and </w:t>
      </w:r>
      <w:r w:rsidRPr="00C47C71">
        <w:rPr>
          <w:i/>
        </w:rPr>
        <w:t>Multilateral assessment</w:t>
      </w:r>
      <w:r w:rsidRPr="00C47C71">
        <w:t xml:space="preserve"> of the United Nations Office on Drugs and Crime). </w:t>
      </w:r>
    </w:p>
    <w:p w:rsidR="00C47C71" w:rsidRPr="00C47C71" w:rsidRDefault="00C47C71" w:rsidP="0081667A">
      <w:pPr>
        <w:pStyle w:val="ListParagraph"/>
      </w:pPr>
      <w:r w:rsidRPr="00C47C71">
        <w:t>Many of the Asia Regional Trafficking in Persons Project’s products and approaches have promoted sustainability, including the establishment of definitive, ASEAN-branded norms and standards; production of definitive training guides, training materials and handbooks (translated into the national languages of the region); and the emphasis on establishing a cadre of competent national trainers in each country. In addition, the project has contributed to the adjustment and strengthening of the policies, institutions and processes in the criminal justice systems of the region so that trafficking in persons is likely to be better identified, investigated and prosecuted into the future.</w:t>
      </w:r>
    </w:p>
    <w:p w:rsidR="00C47C71" w:rsidRPr="00C47C71" w:rsidRDefault="00C47C71" w:rsidP="0081667A">
      <w:pPr>
        <w:pStyle w:val="ListParagraph"/>
      </w:pPr>
      <w:r w:rsidRPr="00C47C71">
        <w:t>The partnership approach within the ASEAN-Australia Development Cooperation Program Phase II has increased the likelihood of sustainability by helping to develop ASEAN Secretariat staff skills in program/project development, and monitoring and evaluation. The employment of specialist staff within the secretariat by both the ASEAN-Australia Development Cooperation Program Phase II and AANZFTA Economic Cooperation Support Program is partly to establish sustainable systems requiring fewer people once the projects are complete. However, staff turnover continues to limit the sustainability of capacity building.</w:t>
      </w:r>
    </w:p>
    <w:p w:rsidR="00C47C71" w:rsidRPr="00C47C71" w:rsidRDefault="00C47C71" w:rsidP="0081667A">
      <w:pPr>
        <w:pStyle w:val="ListParagraph"/>
      </w:pPr>
      <w:r w:rsidRPr="00C47C71">
        <w:t xml:space="preserve">The approval of the first multi-year projects within the APEC Support Fund and the APEC Public Sector Linkages Program provides an increased likelihood of sustainable benefits in the future, but most projects implemented within 2011 were smaller scale, short term activities. </w:t>
      </w:r>
    </w:p>
    <w:p w:rsidR="00C47C71" w:rsidRPr="00C47C71" w:rsidRDefault="00C47C71" w:rsidP="0081667A">
      <w:pPr>
        <w:pStyle w:val="ListParagraph"/>
      </w:pPr>
      <w:r w:rsidRPr="00C47C71">
        <w:t>While it is still early days, Project Childhood has work to do to ensure that each aspect of the project is integrated with counterparts in partner governments and that partner-government ownership of the work is promoted. The aim is that the project is ‘nested as a whole’ within the child protection and law enforcement sectors in the participating countries.</w:t>
      </w:r>
    </w:p>
    <w:p w:rsidR="00C47C71" w:rsidRPr="00C47C71" w:rsidRDefault="00C47C71" w:rsidP="0081667A">
      <w:pPr>
        <w:pStyle w:val="BodyText"/>
      </w:pPr>
      <w:r w:rsidRPr="00C47C71">
        <w:rPr>
          <w:b/>
        </w:rPr>
        <w:t>Gender equality:</w:t>
      </w:r>
      <w:r w:rsidRPr="00C47C71">
        <w:t xml:space="preserve"> Quality ratings varied considerably from good to poor. Gender equality needs to be addressed and advanced beyond inclusion in design, policy commitments and provision of gender-disaggregated data, towards evidence of gender outcomes and benefits. </w:t>
      </w:r>
    </w:p>
    <w:p w:rsidR="00C47C71" w:rsidRPr="00C47C71" w:rsidRDefault="00C47C71" w:rsidP="0081667A">
      <w:pPr>
        <w:pStyle w:val="ListParagraph"/>
      </w:pPr>
      <w:r w:rsidRPr="00C47C71">
        <w:t xml:space="preserve">The Asia Regional Trafficking in Persons project integrated gender into training materials and other project outputs such as the baseline analysis products. A gender log-frame was set up as part of the project’s monitoring and evaluation tool and the project maintained gender-disaggregated training and capacity building data. However, it is not clear what overall outcomes the project achieved in terms of promoting gender equality. This approach to gender will need to be strengthened in the next phase of work by integrating </w:t>
      </w:r>
      <w:r w:rsidRPr="00C47C71">
        <w:lastRenderedPageBreak/>
        <w:t xml:space="preserve">gender as a key area of concern in all areas of work, and backing this up with a strong, qualitative analysis and evidence base. </w:t>
      </w:r>
    </w:p>
    <w:p w:rsidR="00C47C71" w:rsidRPr="00C47C71" w:rsidRDefault="00C47C71" w:rsidP="0081667A">
      <w:pPr>
        <w:pStyle w:val="ListParagraph"/>
      </w:pPr>
      <w:r w:rsidRPr="00C47C71">
        <w:t xml:space="preserve">Recognising that men and women experience different kinds of challenges and constraints when migrating for work, the International Labour Organization’s TRIANGLE project has chosen to focus key interventions in highly gendered industries, such as domestic work (in which migrant women and girls are exploited) and the fishing industry (where migrant men and boys encounter exploitation and trafficking). </w:t>
      </w:r>
    </w:p>
    <w:p w:rsidR="00C47C71" w:rsidRPr="00C47C71" w:rsidRDefault="00C47C71" w:rsidP="0081667A">
      <w:pPr>
        <w:pStyle w:val="ListParagraph"/>
      </w:pPr>
      <w:r w:rsidRPr="00C47C71">
        <w:t>Tackling gender equality in programs focusing on economic projects is hampered by the question of the degree to which the activity should deal with gender as a core issue or the amount of gender analysis that is viable. Gender considerations are included in all designs or proposals (through proposal templates and review by gender focal points) but expertise in applying gender to this area and understanding the linkages is not strong and there is no demand for high levels of gender analysis. For example, despite advocacy from Australia to the ASEAN Secretariat on the importance of gender equality for sound development practice, gender is not high among the competing priorities for the secretariat or ASEAN more broadly.</w:t>
      </w:r>
    </w:p>
    <w:p w:rsidR="00C47C71" w:rsidRPr="00C47C71" w:rsidRDefault="00C47C71" w:rsidP="0081667A">
      <w:pPr>
        <w:pStyle w:val="ListParagraph"/>
      </w:pPr>
      <w:r w:rsidRPr="00C47C71">
        <w:t xml:space="preserve">The HIV/AIDS Asia Regional Program has made significant efforts to ensure gender specific programming was built into the program. In 2011, an analysis was undertaken to better understand the needs of female drug users and partners of people who inject drugs. Program activities in Burma, China, Cambodia and Vietnam have implemented strategies to improve service access for women and to address stigma of female drug users. </w:t>
      </w:r>
    </w:p>
    <w:p w:rsidR="00C47C71" w:rsidRPr="00C47C71" w:rsidRDefault="00C47C71" w:rsidP="002F46F5">
      <w:pPr>
        <w:pStyle w:val="H2"/>
      </w:pPr>
      <w:bookmarkStart w:id="16" w:name="_Toc360980047"/>
      <w:r w:rsidRPr="00C47C71">
        <w:t>Other crosscutting issues</w:t>
      </w:r>
      <w:bookmarkEnd w:id="16"/>
      <w:r w:rsidRPr="00C47C71">
        <w:t xml:space="preserve"> </w:t>
      </w:r>
    </w:p>
    <w:p w:rsidR="00C47C71" w:rsidRPr="00C47C71" w:rsidRDefault="00C47C71" w:rsidP="0081667A">
      <w:pPr>
        <w:pStyle w:val="BodyText"/>
      </w:pPr>
      <w:r w:rsidRPr="00C47C71">
        <w:t xml:space="preserve">Demonstrating the benefits of the </w:t>
      </w:r>
      <w:r w:rsidRPr="00C47C71">
        <w:rPr>
          <w:i/>
        </w:rPr>
        <w:t>partnering approach</w:t>
      </w:r>
      <w:r w:rsidRPr="00C47C71">
        <w:t xml:space="preserve"> is vital to the success of the ASEAN-Australia Development Cooperation Program Phase II and the AANZFTA Economic Cooperation Support Program in terms of institutional capacity building, moving ahead with promoting and managing economic integration activities, and for Australia’s broader relationship with ASEAN. The ASEAN-Australia Development Cooperation Program Phase II in particular has forged a viable partnership with strong elements of trust and willingness to innovate and adapt in the face of difficulties.</w:t>
      </w:r>
    </w:p>
    <w:p w:rsidR="00C47C71" w:rsidRPr="00C47C71" w:rsidRDefault="00C47C71" w:rsidP="0081667A">
      <w:pPr>
        <w:pStyle w:val="BodyText"/>
      </w:pPr>
      <w:r w:rsidRPr="00C47C71">
        <w:t xml:space="preserve">This will also support the </w:t>
      </w:r>
      <w:r w:rsidRPr="00C47C71">
        <w:rPr>
          <w:i/>
        </w:rPr>
        <w:t>visibility</w:t>
      </w:r>
      <w:r w:rsidRPr="00C47C71">
        <w:t xml:space="preserve"> of Australian aid within the ASEAN Secretariat, which has also been raised through the program’s support for key corporate positions in the secretariat, communications material developed during 2011, and through forums such as the ASEAN- Australia Joint Cooperation Committee. The process of reform, promoted by Australia, has given Australia a high profile in APEC. </w:t>
      </w:r>
    </w:p>
    <w:p w:rsidR="00C47C71" w:rsidRPr="00C47C71" w:rsidRDefault="00C47C71" w:rsidP="0081667A">
      <w:pPr>
        <w:pStyle w:val="BodyText"/>
      </w:pPr>
      <w:r w:rsidRPr="00C47C71">
        <w:rPr>
          <w:i/>
        </w:rPr>
        <w:t>Financial management</w:t>
      </w:r>
      <w:r w:rsidRPr="00C47C71">
        <w:t xml:space="preserve"> remains sound in both the ASEAN and APEC secretariats, with processes in place, well developed trust account systems, independent reviews of those trusts and sharing of audit reports. However, a fraud investigation is still underway into small breaches by managing contractors in a separate program that was terminated in 2009, demonstrating AusAID’s zero tolerance for fraud. </w:t>
      </w:r>
    </w:p>
    <w:p w:rsidR="00C47C71" w:rsidRPr="00C47C71" w:rsidRDefault="00C47C71" w:rsidP="0081667A">
      <w:pPr>
        <w:pStyle w:val="BodyText"/>
      </w:pPr>
      <w:r w:rsidRPr="00C47C71">
        <w:lastRenderedPageBreak/>
        <w:t xml:space="preserve">With an increasing number of donors in the region, </w:t>
      </w:r>
      <w:r w:rsidRPr="00C47C71">
        <w:rPr>
          <w:i/>
        </w:rPr>
        <w:t>donor coordination</w:t>
      </w:r>
      <w:r w:rsidRPr="00C47C71">
        <w:t xml:space="preserve"> is becoming more important. The AANZFTA Economic Cooperation Support Program is working with other donors and partners on the development and delivery of projects including the European Union, Germany, World Intellectual Property Organization, UNESCO and the OECD. The ASEAN-Australia Development Cooperation Program Phase II has started engaging institutions such as the World Bank and the Asian Development Bank Institute to assist the ASEAN Secretariat gain greater impact through longer term and more strategic activities.</w:t>
      </w:r>
    </w:p>
    <w:p w:rsidR="00C47C71" w:rsidRPr="00C47C71" w:rsidRDefault="00C47C71" w:rsidP="002F46F5">
      <w:pPr>
        <w:pStyle w:val="H2"/>
      </w:pPr>
      <w:bookmarkStart w:id="17" w:name="_Toc360980048"/>
      <w:r w:rsidRPr="00C47C71">
        <w:t>Multilateral performance assessment</w:t>
      </w:r>
      <w:bookmarkEnd w:id="17"/>
    </w:p>
    <w:p w:rsidR="00C47C71" w:rsidRPr="00C47C71" w:rsidRDefault="00C47C71" w:rsidP="0081667A">
      <w:pPr>
        <w:pStyle w:val="BodyText"/>
      </w:pPr>
      <w:r w:rsidRPr="00C47C71">
        <w:t xml:space="preserve">The performance of East Asia regional program multilateral partners has been mixed. </w:t>
      </w:r>
    </w:p>
    <w:p w:rsidR="00C47C71" w:rsidRPr="00C47C71" w:rsidRDefault="00C47C71" w:rsidP="0081667A">
      <w:pPr>
        <w:pStyle w:val="BodyText"/>
      </w:pPr>
      <w:r w:rsidRPr="00C47C71">
        <w:t xml:space="preserve">The International Labour Organization is implementing the TRIANGLE project. Its social dialogue model and the experience it brings to the sector as the bearer of the global mandate on social justice has led to considerable buy-in from government and other stakeholders. Already, TRIANGLE has demonstrated the value-add of the organisation’s technical advisory services in addressing challenges related to the recruitment and protection of migrant workers. The willingness of national constituents to work with the organisation is also a reflection of the relevance of the TRIANGLE project to national needs, as well as the needs of migrant workers. </w:t>
      </w:r>
    </w:p>
    <w:p w:rsidR="00C47C71" w:rsidRPr="00C47C71" w:rsidRDefault="00C47C71" w:rsidP="0081667A">
      <w:pPr>
        <w:pStyle w:val="BodyText"/>
      </w:pPr>
      <w:r w:rsidRPr="00C47C71">
        <w:t>The International Labour Organization has sought to ensure value for money by cooperating on some activities on a cost-sharing basis with governments and other international organisations with a shared interest in the project. To reduce administrative overheads, human resourcing has been combined with other International Labour Organization projects in some country offices.</w:t>
      </w:r>
    </w:p>
    <w:p w:rsidR="00C47C71" w:rsidRPr="00C47C71" w:rsidRDefault="00C47C71" w:rsidP="0081667A">
      <w:pPr>
        <w:pStyle w:val="BodyText"/>
      </w:pPr>
      <w:r w:rsidRPr="00C47C71">
        <w:t>The United Nations Office of Drugs and Crime and Interpol implement the Protection Pillar of Project Childhood. An external review of the project implementation plan in 2011 revealed that the office was struggling to deliver the project to AusAID quality standards, particularly in the areas of gender and monitoring and evaluation. This indicates that there are not sufficient resources to deliver some key areas of development work.</w:t>
      </w:r>
    </w:p>
    <w:p w:rsidR="00C47C71" w:rsidRPr="00C47C71" w:rsidRDefault="00C47C71" w:rsidP="0081667A">
      <w:pPr>
        <w:pStyle w:val="BodyText"/>
      </w:pPr>
      <w:r w:rsidRPr="00C47C71">
        <w:t>AusAID has delivered the message that program quality will need to improve and that gender and monitoring and evaluation expertise must be engaged to ensure the program is equipped with the right systems and tools to make an impact and measure results.</w:t>
      </w:r>
    </w:p>
    <w:p w:rsidR="00C47C71" w:rsidRPr="00C47C71" w:rsidRDefault="00C47C71" w:rsidP="0081667A">
      <w:pPr>
        <w:pStyle w:val="BodyText"/>
      </w:pPr>
      <w:r w:rsidRPr="00C47C71">
        <w:t>The United Nations Office of Drugs and Crime</w:t>
      </w:r>
      <w:r w:rsidRPr="00C47C71" w:rsidDel="00E83A86">
        <w:t xml:space="preserve"> </w:t>
      </w:r>
      <w:r w:rsidRPr="00C47C71">
        <w:t xml:space="preserve">is also the multilateral partner that implements work under the HIV/AIDS Asia Regional Program within Burma and Lao PDR. Delays in work plan delivery and implementation on the part of United Nations Office of Drugs and Crime, combined with delays due to internal government consultation and restrictions, have resulted in significant bottlenecks in implementation, underspends, and a lower than expected fund disbursement rate in Burma and Laos. </w:t>
      </w:r>
    </w:p>
    <w:p w:rsidR="00C47C71" w:rsidRPr="00C47C71" w:rsidRDefault="00C47C71" w:rsidP="0081667A">
      <w:pPr>
        <w:pStyle w:val="BodyText"/>
      </w:pPr>
      <w:r w:rsidRPr="00C47C71">
        <w:t xml:space="preserve">The contract for work in Laos ends in July 2012 and will be extended for six months until December 2012 as we go through the transition to country support units. This will ensure that there is no disruption to harm reduction service delivery and to the peer educatory network. The contract will not be renewed beyond this period given </w:t>
      </w:r>
      <w:r w:rsidRPr="00C47C71">
        <w:lastRenderedPageBreak/>
        <w:t xml:space="preserve">the establishment of new Laos implementation arrangements for the program by January 2013. </w:t>
      </w:r>
    </w:p>
    <w:p w:rsidR="00C47C71" w:rsidRDefault="00C47C71" w:rsidP="0081667A">
      <w:pPr>
        <w:pStyle w:val="BodyText"/>
      </w:pPr>
      <w:r w:rsidRPr="00C47C71">
        <w:t>The United Nations Office of Drugs and Crime</w:t>
      </w:r>
      <w:r w:rsidRPr="00C47C71" w:rsidDel="00E83A86">
        <w:t xml:space="preserve"> </w:t>
      </w:r>
      <w:r w:rsidRPr="00C47C71">
        <w:t xml:space="preserve">contract for work in Burma ends in December 2012 and a transition plan for HIV/AIDS Asia Regional Program services will be submitted to AusAID by end of June 2012. An independent review of the program in Burma will be completed in 2012 to assess previous implementation and inform AusAID of existing gaps to </w:t>
      </w:r>
      <w:r w:rsidR="00B328DA">
        <w:t>be addressed from 2013 to 2015.</w:t>
      </w:r>
    </w:p>
    <w:p w:rsidR="00B328DA" w:rsidRPr="00B328DA" w:rsidRDefault="00B328DA" w:rsidP="002F46F5">
      <w:pPr>
        <w:pStyle w:val="H1"/>
      </w:pPr>
      <w:bookmarkStart w:id="18" w:name="_Toc360980049"/>
      <w:r w:rsidRPr="00B328DA">
        <w:t>Management consequences – previous year</w:t>
      </w:r>
      <w:bookmarkEnd w:id="18"/>
    </w:p>
    <w:p w:rsidR="00B328DA" w:rsidRPr="00B328DA" w:rsidRDefault="00B328DA" w:rsidP="0081667A">
      <w:pPr>
        <w:pStyle w:val="BodyText"/>
      </w:pPr>
      <w:r w:rsidRPr="00B328DA">
        <w:t>The following progress has been made to address the previous year’s program management issues.</w:t>
      </w:r>
    </w:p>
    <w:p w:rsidR="00B328DA" w:rsidRPr="00B328DA" w:rsidRDefault="00B328DA" w:rsidP="00AC14D4">
      <w:pPr>
        <w:pStyle w:val="numberedlist"/>
      </w:pPr>
      <w:r w:rsidRPr="00B328DA">
        <w:t>An appropriate engagement forum between the ASEAN Committee of Permanent Representatives and senior AusAID officials has been established. The ASEAN–Australia Joint Cooperation Committee met for the first time in October 2011 with a focus broadly on development cooperation between AusAID and ASEAN. This will enable the ASEAN-Australia Develo</w:t>
      </w:r>
      <w:r w:rsidR="00FD3698">
        <w:t>pment Cooperation Program Phase </w:t>
      </w:r>
      <w:r w:rsidRPr="00B328DA">
        <w:t xml:space="preserve">II Joint Program Review Committee to focus on program matters. </w:t>
      </w:r>
    </w:p>
    <w:p w:rsidR="00B328DA" w:rsidRPr="00B328DA" w:rsidRDefault="00B328DA" w:rsidP="00AC14D4">
      <w:pPr>
        <w:pStyle w:val="numberedlist"/>
      </w:pPr>
      <w:r w:rsidRPr="00B328DA">
        <w:t>Senior AusAID officers continued to develop and foster relationships with senior officials in ASEAN and APEC through attendance at key regional senior official and ministerial meetings.</w:t>
      </w:r>
    </w:p>
    <w:p w:rsidR="00B328DA" w:rsidRPr="00B328DA" w:rsidRDefault="00B328DA" w:rsidP="00AC14D4">
      <w:pPr>
        <w:pStyle w:val="numberedlist"/>
      </w:pPr>
      <w:r w:rsidRPr="00B328DA">
        <w:t xml:space="preserve">Support was provided to whole-of-government partners for development activities that address </w:t>
      </w:r>
      <w:r w:rsidRPr="00B328DA">
        <w:rPr>
          <w:lang w:val="en"/>
        </w:rPr>
        <w:t xml:space="preserve">East Asia Summit </w:t>
      </w:r>
      <w:r w:rsidRPr="00B328DA">
        <w:t xml:space="preserve">priority areas relevant to their portfolio, including by broadening the ASEAN Public Sector Linkages Program to encompass </w:t>
      </w:r>
      <w:r w:rsidRPr="00B328DA">
        <w:rPr>
          <w:lang w:val="en"/>
        </w:rPr>
        <w:t xml:space="preserve">East Asia Summit </w:t>
      </w:r>
      <w:r w:rsidRPr="00B328DA">
        <w:t>priorities:</w:t>
      </w:r>
    </w:p>
    <w:p w:rsidR="00B328DA" w:rsidRPr="00B328DA" w:rsidRDefault="00B328DA" w:rsidP="0081667A">
      <w:pPr>
        <w:pStyle w:val="ListParagraph"/>
      </w:pPr>
      <w:r w:rsidRPr="00B328DA">
        <w:t xml:space="preserve">work was undertaken with whole-of-government partners and Indonesia to develop a new </w:t>
      </w:r>
      <w:r w:rsidRPr="00B328DA">
        <w:rPr>
          <w:lang w:val="en"/>
        </w:rPr>
        <w:t xml:space="preserve">East Asia Summit </w:t>
      </w:r>
      <w:r w:rsidRPr="00B328DA">
        <w:t xml:space="preserve">initiative to coordinate responses to natural disasters across the region more effectively. </w:t>
      </w:r>
      <w:r w:rsidRPr="00B328DA">
        <w:rPr>
          <w:lang w:val="en"/>
        </w:rPr>
        <w:t xml:space="preserve">East Asia Summit </w:t>
      </w:r>
      <w:r w:rsidRPr="00B328DA">
        <w:t>leaders endorsed this new joint initiative in November 2011.</w:t>
      </w:r>
    </w:p>
    <w:p w:rsidR="00B328DA" w:rsidRPr="00B328DA" w:rsidRDefault="00B328DA" w:rsidP="00AC14D4">
      <w:pPr>
        <w:pStyle w:val="numberedlist"/>
      </w:pPr>
      <w:r w:rsidRPr="00B328DA">
        <w:t xml:space="preserve">Various actions to assess and improve the capacity of the ASEAN-Australia Development Cooperation Program Phase II to fully expend the $57 million allocation were undertaken: </w:t>
      </w:r>
    </w:p>
    <w:p w:rsidR="00B328DA" w:rsidRPr="00B328DA" w:rsidRDefault="00B328DA" w:rsidP="0081667A">
      <w:pPr>
        <w:pStyle w:val="ListParagraph"/>
      </w:pPr>
      <w:r w:rsidRPr="00B328DA">
        <w:t>progress was made towards improving the scale of activities through collaborating with international financial institutions to develop and implement joint project proposals</w:t>
      </w:r>
    </w:p>
    <w:p w:rsidR="00B328DA" w:rsidRPr="00B328DA" w:rsidRDefault="00B328DA" w:rsidP="0081667A">
      <w:pPr>
        <w:pStyle w:val="ListParagraph"/>
      </w:pPr>
      <w:r w:rsidRPr="00B328DA">
        <w:t xml:space="preserve">initial steps were made towards closer cooperation between Jakarta Post and the ASEAN Secretariat. The program is due to be fully devolved to the Post by July 2012. The program director will report to the regional counsellor – an upgraded position </w:t>
      </w:r>
    </w:p>
    <w:p w:rsidR="00B328DA" w:rsidRPr="00B328DA" w:rsidRDefault="00B328DA" w:rsidP="0081667A">
      <w:pPr>
        <w:pStyle w:val="ListParagraph"/>
      </w:pPr>
      <w:r w:rsidRPr="00B328DA">
        <w:t>the second annual review report was delivered in January 2012. The independent progress report is planned for April to June 2012.</w:t>
      </w:r>
    </w:p>
    <w:p w:rsidR="00B328DA" w:rsidRPr="00B328DA" w:rsidRDefault="00B328DA" w:rsidP="00AC14D4">
      <w:pPr>
        <w:pStyle w:val="numberedlist"/>
      </w:pPr>
      <w:r w:rsidRPr="00B328DA">
        <w:t xml:space="preserve">The full complement of staff are now employed in the ASEAN-Australia-New Zealand Free Trade Agreement Support Unit within the ASEAN Secretariat, and as familiarity and experience have increased confidence, AusAID staff have been </w:t>
      </w:r>
      <w:r w:rsidRPr="00B328DA">
        <w:lastRenderedPageBreak/>
        <w:t>able to gradually disengage from day-to-day management of the Economic Cooperation Support Program. Canberra retains strategic and financial management and continues to provide guidance where required. In addition, the decision-making and governance arrangements relating to operational matters under the mandate of the ad hoc budget review committee have been clarified.</w:t>
      </w:r>
    </w:p>
    <w:p w:rsidR="00B328DA" w:rsidRPr="00B328DA" w:rsidRDefault="00B328DA" w:rsidP="00AC14D4">
      <w:pPr>
        <w:pStyle w:val="numberedlist"/>
      </w:pPr>
      <w:r w:rsidRPr="00B328DA">
        <w:t xml:space="preserve">A foundation has been laid for improvements in the effectiveness and efficiency of the APEC program: </w:t>
      </w:r>
    </w:p>
    <w:p w:rsidR="00B328DA" w:rsidRPr="00B328DA" w:rsidRDefault="00B328DA" w:rsidP="0081667A">
      <w:pPr>
        <w:pStyle w:val="ListParagraph"/>
      </w:pPr>
      <w:r w:rsidRPr="00B328DA">
        <w:t>a review of the Asia Public Sector Linkages Program was undertaken, which included both the APEC and ASEAN/</w:t>
      </w:r>
      <w:r w:rsidRPr="00B328DA">
        <w:rPr>
          <w:lang w:val="en"/>
        </w:rPr>
        <w:t xml:space="preserve">East Asia Summit </w:t>
      </w:r>
      <w:r w:rsidRPr="00B328DA">
        <w:t>Public Sector Linkages Program. It recommended merging the Pacific and Asia programs into a single secretariat and re-designing the program with an increased emphasis on monitoring and evaluation and activity design. Implementation of this work is being undertaken in 2012</w:t>
      </w:r>
    </w:p>
    <w:p w:rsidR="00B328DA" w:rsidRPr="00B328DA" w:rsidRDefault="00B328DA" w:rsidP="0081667A">
      <w:pPr>
        <w:pStyle w:val="ListParagraph"/>
      </w:pPr>
      <w:r w:rsidRPr="00B328DA">
        <w:t>multi-year projects have been approved within the APEC Public Sector Linkages Program and the APEC Support Fund that have the potential to improve project effectiveness and the sustainability of benefits</w:t>
      </w:r>
    </w:p>
    <w:p w:rsidR="00B328DA" w:rsidRPr="00B328DA" w:rsidRDefault="00B328DA" w:rsidP="0081667A">
      <w:pPr>
        <w:pStyle w:val="ListParagraph"/>
      </w:pPr>
      <w:r w:rsidRPr="00B328DA">
        <w:t>a large-scale evaluation of APEC project effectiveness was approved in 2011, which will be undertaken by the APEC Secretariat in the second half of 2012</w:t>
      </w:r>
    </w:p>
    <w:p w:rsidR="00B328DA" w:rsidRPr="00B328DA" w:rsidRDefault="00B328DA" w:rsidP="0081667A">
      <w:pPr>
        <w:pStyle w:val="ListParagraph"/>
      </w:pPr>
      <w:r w:rsidRPr="00B328DA">
        <w:t xml:space="preserve">support was provided to the APEC Secretariat to progress these issues and to embed project management reforms, including project prioritisation, in APEC processes. </w:t>
      </w:r>
    </w:p>
    <w:p w:rsidR="00B328DA" w:rsidRPr="00B328DA" w:rsidRDefault="00B328DA" w:rsidP="00AC14D4">
      <w:pPr>
        <w:pStyle w:val="numberedlist"/>
      </w:pPr>
      <w:r w:rsidRPr="00B328DA">
        <w:t>The successor program to the Asia Regional Trafficking in Persons Project is expected to commence in early 2013 and will aim to build on and extend the project’s achievements.</w:t>
      </w:r>
    </w:p>
    <w:p w:rsidR="00B328DA" w:rsidRPr="00B328DA" w:rsidRDefault="00B328DA" w:rsidP="00AC14D4">
      <w:pPr>
        <w:pStyle w:val="numberedlist"/>
      </w:pPr>
      <w:r w:rsidRPr="00B328DA">
        <w:t xml:space="preserve">Consultations between Bangkok and the five bilateral participating Posts were held to scope options for preparing the HIV/AIDS Asia Regional Program for its final program phase. A delivery option has been endorsed by the regional minister counsellor, which involves the transition of program resources from the former Regional Technical Support Unit in Bangkok to country support units in all program countries, with complementary regional advice and policy advocacy support provided by AusAID Bangkok. </w:t>
      </w:r>
    </w:p>
    <w:p w:rsidR="00B328DA" w:rsidRPr="00B328DA" w:rsidRDefault="00B328DA" w:rsidP="00AC14D4">
      <w:pPr>
        <w:pStyle w:val="numberedlist"/>
      </w:pPr>
      <w:r w:rsidRPr="00B328DA">
        <w:t xml:space="preserve">In June 2012, an AusAID-USAID partnership was confirmed for a community-based emerging infectious disease risk reduction initiative in the Mekong. AusAID contributed funds to USAID’s existing PREVENT project in Cambodia, Laos, Vietnam, and potentially in Burma. This initiative has been conducting research on local practices that exposes people to higher risk of being infected with novel diseases that could potentially escalate into a pandemic. PREVENT will use evidence from research to implement behavioural change communication activities to reduce these risks among vulnerable groups. </w:t>
      </w:r>
    </w:p>
    <w:p w:rsidR="00B328DA" w:rsidRPr="00B328DA" w:rsidRDefault="00B328DA" w:rsidP="00AC14D4">
      <w:pPr>
        <w:pStyle w:val="numberedlist"/>
      </w:pPr>
      <w:r w:rsidRPr="00B328DA">
        <w:t xml:space="preserve">Work has not yet begun on a program performance assessment framework. Discussion on priorities for a pipeline of activities was undertaken as input to the Comprehensive Aid Policy Framework and to guide forward budget planning decisions. In November 2011, AusAID Posts in the Mekong discussed the current status and possible scope of future regional health programs. These discussions will inform the process of developing a regional health delivery strategy in 2012. </w:t>
      </w:r>
    </w:p>
    <w:p w:rsidR="00B328DA" w:rsidRPr="00B328DA" w:rsidRDefault="00B328DA" w:rsidP="00AC14D4">
      <w:pPr>
        <w:pStyle w:val="numberedlist"/>
      </w:pPr>
      <w:r w:rsidRPr="00B328DA">
        <w:lastRenderedPageBreak/>
        <w:t>A decision was made not to undertake a review or analysis to improve gender equality on the ground across programs with an economic focus. This was due to the ASEAN Secretariat’s lack of engagement on gender issues and the need to take a more pragmatic approach. As part of this approach programs undertook practical steps towards gender considerations through activity designs and viewing gender as an evolving long-term agenda to progress.</w:t>
      </w:r>
    </w:p>
    <w:p w:rsidR="00FD3698" w:rsidRPr="00FD3698" w:rsidRDefault="00FD3698" w:rsidP="002F46F5">
      <w:pPr>
        <w:pStyle w:val="H1"/>
      </w:pPr>
      <w:bookmarkStart w:id="19" w:name="_Toc360980050"/>
      <w:r w:rsidRPr="00FD3698">
        <w:t>Management consequences from period of review</w:t>
      </w:r>
      <w:bookmarkEnd w:id="19"/>
    </w:p>
    <w:p w:rsidR="00FD3698" w:rsidRPr="00FD3698" w:rsidRDefault="00FD3698" w:rsidP="0081667A">
      <w:pPr>
        <w:pStyle w:val="BodyText"/>
      </w:pPr>
      <w:r w:rsidRPr="00FD3698">
        <w:t>The key management consequence from the period of review is the need for a greater focus on results by:</w:t>
      </w:r>
    </w:p>
    <w:p w:rsidR="00FD3698" w:rsidRPr="00FD3698" w:rsidRDefault="00FD3698" w:rsidP="0081667A">
      <w:pPr>
        <w:pStyle w:val="ListParagraph"/>
      </w:pPr>
      <w:r w:rsidRPr="00FD3698">
        <w:t>improving the effectiveness and impact of the program</w:t>
      </w:r>
    </w:p>
    <w:p w:rsidR="00FD3698" w:rsidRPr="00FD3698" w:rsidRDefault="00FD3698" w:rsidP="0081667A">
      <w:pPr>
        <w:pStyle w:val="ListParagraph"/>
      </w:pPr>
      <w:r w:rsidRPr="00FD3698">
        <w:t>developing a better narrative and evidence base for reporting results.</w:t>
      </w:r>
    </w:p>
    <w:p w:rsidR="00FD3698" w:rsidRPr="0081667A" w:rsidRDefault="00FD3698" w:rsidP="0081667A">
      <w:pPr>
        <w:pStyle w:val="BodyText"/>
      </w:pPr>
      <w:r w:rsidRPr="0081667A">
        <w:t>The focus on results will be strengthened through closer coordination with donors and partners, especially in key regional decision-making forums.</w:t>
      </w:r>
    </w:p>
    <w:p w:rsidR="00FD3698" w:rsidRPr="0081667A" w:rsidRDefault="00FD3698" w:rsidP="0081667A">
      <w:pPr>
        <w:pStyle w:val="BodyText"/>
      </w:pPr>
      <w:r w:rsidRPr="0081667A">
        <w:t>With this focus in mind, the key milestones or deliverables for 2012 are:</w:t>
      </w:r>
    </w:p>
    <w:p w:rsidR="00FD3698" w:rsidRPr="0081667A" w:rsidRDefault="00FD3698" w:rsidP="0081667A">
      <w:pPr>
        <w:pStyle w:val="BodyText"/>
        <w:rPr>
          <w:i/>
        </w:rPr>
      </w:pPr>
      <w:r w:rsidRPr="0081667A">
        <w:rPr>
          <w:i/>
        </w:rPr>
        <w:t>General program management</w:t>
      </w:r>
    </w:p>
    <w:p w:rsidR="00FD3698" w:rsidRPr="0081667A" w:rsidRDefault="00FD3698" w:rsidP="00657398">
      <w:pPr>
        <w:pStyle w:val="numberedlist"/>
        <w:numPr>
          <w:ilvl w:val="0"/>
          <w:numId w:val="19"/>
        </w:numPr>
      </w:pPr>
      <w:r w:rsidRPr="0081667A">
        <w:t>Complete the regional situation analysis and revised strategy.</w:t>
      </w:r>
    </w:p>
    <w:p w:rsidR="00FD3698" w:rsidRPr="0081667A" w:rsidRDefault="00FD3698" w:rsidP="00657398">
      <w:pPr>
        <w:pStyle w:val="numberedlist"/>
        <w:numPr>
          <w:ilvl w:val="0"/>
          <w:numId w:val="19"/>
        </w:numPr>
      </w:pPr>
      <w:r w:rsidRPr="0081667A">
        <w:t>Complete economic and health delivery strategies. A social protection delivery strategy and a performance assessment framework for the program are being targeted for completion by June 2013.</w:t>
      </w:r>
    </w:p>
    <w:p w:rsidR="00FD3698" w:rsidRPr="0081667A" w:rsidRDefault="00FD3698" w:rsidP="00657398">
      <w:pPr>
        <w:pStyle w:val="numberedlist"/>
        <w:numPr>
          <w:ilvl w:val="0"/>
          <w:numId w:val="19"/>
        </w:numPr>
      </w:pPr>
      <w:r w:rsidRPr="0081667A">
        <w:t>Devolve ASEAN-Australia Development Cooperation Program Phase II management to the regional counsellor in Jakarta.</w:t>
      </w:r>
    </w:p>
    <w:p w:rsidR="00FD3698" w:rsidRPr="0081667A" w:rsidRDefault="00FD3698" w:rsidP="00657398">
      <w:pPr>
        <w:pStyle w:val="numberedlist"/>
        <w:numPr>
          <w:ilvl w:val="0"/>
          <w:numId w:val="19"/>
        </w:numPr>
      </w:pPr>
      <w:r w:rsidRPr="0081667A">
        <w:t>Undertake analysis to inform future programming under the ASEAN socio-cultural and political-security pillars.</w:t>
      </w:r>
    </w:p>
    <w:p w:rsidR="00FD3698" w:rsidRPr="002F46F5" w:rsidRDefault="0039799D" w:rsidP="007520E4">
      <w:pPr>
        <w:spacing w:before="600" w:after="200" w:line="276" w:lineRule="auto"/>
        <w:rPr>
          <w:rFonts w:eastAsia="Times New Roman"/>
          <w:i/>
          <w:sz w:val="24"/>
        </w:rPr>
      </w:pPr>
      <w:r>
        <w:rPr>
          <w:i/>
        </w:rPr>
        <w:br w:type="page"/>
      </w:r>
      <w:r w:rsidR="00FD3698" w:rsidRPr="0081667A">
        <w:rPr>
          <w:i/>
        </w:rPr>
        <w:lastRenderedPageBreak/>
        <w:t xml:space="preserve">ASEAN-Australia Development Cooperation Program Phase II </w:t>
      </w:r>
    </w:p>
    <w:p w:rsidR="00FD3698" w:rsidRPr="00FD3698" w:rsidRDefault="00FD3698" w:rsidP="00AC14D4">
      <w:pPr>
        <w:pStyle w:val="numberedlist"/>
      </w:pPr>
      <w:r w:rsidRPr="00FD3698">
        <w:t xml:space="preserve">Implement recommendations jointly agreed by AusAID and the ASEAN Secretariat from the independent progress report of June 2012. This will include finalising the monitoring and evaluation framework and continuing the momentum for building longer term programming. </w:t>
      </w:r>
    </w:p>
    <w:p w:rsidR="00FD3698" w:rsidRPr="00FD3698" w:rsidRDefault="00FD3698" w:rsidP="00AC14D4">
      <w:pPr>
        <w:pStyle w:val="numberedlist"/>
      </w:pPr>
      <w:r w:rsidRPr="00FD3698">
        <w:t xml:space="preserve">Assist ASEAN to deliver over 30 projects contributing to ASEAN’s economic integration goals (10 should be completed by December 2012 with the rest by June 2013). </w:t>
      </w:r>
    </w:p>
    <w:p w:rsidR="00FD3698" w:rsidRPr="0081667A" w:rsidRDefault="00FD3698" w:rsidP="0081667A">
      <w:pPr>
        <w:pStyle w:val="BodyText"/>
        <w:rPr>
          <w:i/>
        </w:rPr>
      </w:pPr>
      <w:r w:rsidRPr="0081667A">
        <w:rPr>
          <w:i/>
        </w:rPr>
        <w:t xml:space="preserve">ASEAN-Australia-New Zealand Free Trade Agreement </w:t>
      </w:r>
    </w:p>
    <w:p w:rsidR="00FD3698" w:rsidRPr="00FD3698" w:rsidRDefault="00FD3698" w:rsidP="00AC14D4">
      <w:pPr>
        <w:pStyle w:val="numberedlist"/>
      </w:pPr>
      <w:r w:rsidRPr="00FD3698">
        <w:t xml:space="preserve">Operationalise the monitoring and evaluation framework and build the capacity of the support unit in the ASEAN Secretariat to manage it. </w:t>
      </w:r>
    </w:p>
    <w:p w:rsidR="00FD3698" w:rsidRPr="00FD3698" w:rsidRDefault="00FD3698" w:rsidP="00AC14D4">
      <w:pPr>
        <w:pStyle w:val="numberedlist"/>
      </w:pPr>
      <w:r w:rsidRPr="00FD3698">
        <w:t>Participate in free trade agreement joint committee meetings (May 2012) and engage with the Department of Foreign Affairs and Trade and the support unit to advocate for and support:</w:t>
      </w:r>
    </w:p>
    <w:p w:rsidR="00FD3698" w:rsidRPr="00FD3698" w:rsidRDefault="00FD3698" w:rsidP="0081667A">
      <w:pPr>
        <w:pStyle w:val="ListParagraph"/>
      </w:pPr>
      <w:r w:rsidRPr="00FD3698">
        <w:t>the upward trend in numbers and quality/maturity of project proposals</w:t>
      </w:r>
    </w:p>
    <w:p w:rsidR="00FD3698" w:rsidRPr="00FD3698" w:rsidRDefault="00FD3698" w:rsidP="0081667A">
      <w:pPr>
        <w:pStyle w:val="ListParagraph"/>
      </w:pPr>
      <w:r w:rsidRPr="00FD3698">
        <w:t>the maintenance of support unit resources at optimum levels</w:t>
      </w:r>
    </w:p>
    <w:p w:rsidR="00FD3698" w:rsidRPr="00FD3698" w:rsidRDefault="00FD3698" w:rsidP="0081667A">
      <w:pPr>
        <w:pStyle w:val="ListParagraph"/>
      </w:pPr>
      <w:r w:rsidRPr="00FD3698">
        <w:t>continuing ASEAN Secretariat support for the program.</w:t>
      </w:r>
    </w:p>
    <w:p w:rsidR="00FD3698" w:rsidRPr="00FD3698" w:rsidRDefault="00FD3698" w:rsidP="00AC14D4">
      <w:pPr>
        <w:pStyle w:val="numberedlist"/>
      </w:pPr>
      <w:r w:rsidRPr="00FD3698">
        <w:t>Prepare for an independent progress report in 2013 to gather and report information on outcomes and lessons learned to high-level stakeholders.</w:t>
      </w:r>
    </w:p>
    <w:p w:rsidR="00FD3698" w:rsidRPr="0081667A" w:rsidRDefault="00FD3698" w:rsidP="0081667A">
      <w:pPr>
        <w:pStyle w:val="BodyText"/>
        <w:rPr>
          <w:i/>
        </w:rPr>
      </w:pPr>
      <w:r w:rsidRPr="0081667A">
        <w:rPr>
          <w:i/>
          <w:lang w:val="en"/>
        </w:rPr>
        <w:t>East Asia Summit</w:t>
      </w:r>
      <w:r w:rsidRPr="0081667A">
        <w:rPr>
          <w:i/>
        </w:rPr>
        <w:t xml:space="preserve"> </w:t>
      </w:r>
    </w:p>
    <w:p w:rsidR="00FD3698" w:rsidRPr="00FD3698" w:rsidRDefault="00FD3698" w:rsidP="00AC14D4">
      <w:pPr>
        <w:pStyle w:val="numberedlist"/>
      </w:pPr>
      <w:r w:rsidRPr="00FD3698">
        <w:t>Assist Australian whole-of-government partners to pursue development objectives in the region through the East Asia Summit/ASEAN Public Sector Linkages Program (March, September 2012), and the establishment of a new South East Asia Regional Fund for the Department of Foreign Affairs and Trade (first half of 2012).</w:t>
      </w:r>
    </w:p>
    <w:p w:rsidR="00FD3698" w:rsidRPr="00FD3698" w:rsidRDefault="00FD3698" w:rsidP="00AC14D4">
      <w:pPr>
        <w:pStyle w:val="numberedlist"/>
      </w:pPr>
      <w:r w:rsidRPr="00FD3698">
        <w:t>Support Australian government officials and ministers to participle in the East Asia Summit</w:t>
      </w:r>
      <w:r w:rsidRPr="00FD3698" w:rsidDel="0011362B">
        <w:t xml:space="preserve"> </w:t>
      </w:r>
      <w:r w:rsidRPr="00FD3698">
        <w:t xml:space="preserve">and related meetings (July and November 2012), including through strategy and briefing input and introducing further development initiatives into the summit (including on drug resistant malaria). </w:t>
      </w:r>
    </w:p>
    <w:p w:rsidR="00FD3698" w:rsidRPr="0081667A" w:rsidRDefault="00FD3698" w:rsidP="0081667A">
      <w:pPr>
        <w:pStyle w:val="BodyText"/>
        <w:rPr>
          <w:i/>
        </w:rPr>
      </w:pPr>
      <w:r w:rsidRPr="0081667A">
        <w:rPr>
          <w:i/>
        </w:rPr>
        <w:t xml:space="preserve">APEC </w:t>
      </w:r>
    </w:p>
    <w:p w:rsidR="00FD3698" w:rsidRPr="00FD3698" w:rsidRDefault="00FD3698" w:rsidP="00AC14D4">
      <w:pPr>
        <w:pStyle w:val="numberedlist"/>
      </w:pPr>
      <w:r w:rsidRPr="00FD3698">
        <w:t>Support the APEC Secretariat to conduct the first large-scale evaluation of APEC project effectiveness by the end of 2012 (through participation in the APEC Budget and Management Committee small working group).</w:t>
      </w:r>
    </w:p>
    <w:p w:rsidR="00FD3698" w:rsidRPr="00FD3698" w:rsidRDefault="00FD3698" w:rsidP="00AC14D4">
      <w:pPr>
        <w:pStyle w:val="numberedlist"/>
      </w:pPr>
      <w:r w:rsidRPr="00FD3698">
        <w:t>Assist the Department of Foreign Affairs and Trade to hold the planned structural reform workshop in July 2012 to help developing economies prepare well-designed projects that can be funded under the APEC Support Fund APEC New Strategy for Structural Reform sub fund (contributed by Australia).</w:t>
      </w:r>
    </w:p>
    <w:p w:rsidR="00FD3698" w:rsidRPr="00FD3698" w:rsidRDefault="00FD3698" w:rsidP="00AC14D4">
      <w:pPr>
        <w:pStyle w:val="numberedlist"/>
        <w:rPr>
          <w:u w:val="single"/>
        </w:rPr>
      </w:pPr>
      <w:r w:rsidRPr="00FD3698">
        <w:t xml:space="preserve">Coordinate a limited review of the APEC program in light of the new East Asia Regional Situation Analysis and Strategy, possibly covering the focus, balance </w:t>
      </w:r>
      <w:r w:rsidRPr="00FD3698">
        <w:lastRenderedPageBreak/>
        <w:t>and outcomes to date, with recommendations for a delivery strategy over the next three to five years.</w:t>
      </w:r>
    </w:p>
    <w:p w:rsidR="00FD3698" w:rsidRPr="0081667A" w:rsidRDefault="00FD3698" w:rsidP="0081667A">
      <w:pPr>
        <w:pStyle w:val="BodyText"/>
        <w:rPr>
          <w:i/>
        </w:rPr>
      </w:pPr>
      <w:r w:rsidRPr="0081667A">
        <w:rPr>
          <w:i/>
        </w:rPr>
        <w:t>Disaster management</w:t>
      </w:r>
    </w:p>
    <w:p w:rsidR="00FD3698" w:rsidRPr="00FD3698" w:rsidRDefault="00FD3698" w:rsidP="00AC14D4">
      <w:pPr>
        <w:pStyle w:val="numberedlist"/>
      </w:pPr>
      <w:r w:rsidRPr="00FD3698">
        <w:t xml:space="preserve">Work with the Department of Foreign Affairs and Trade and other areas of AusAID to deliver the ASEAN Regional Forum Inter-Sessional Meeting on Disaster Management, April 2012, and related initiative design. </w:t>
      </w:r>
    </w:p>
    <w:p w:rsidR="0081667A" w:rsidRPr="0081667A" w:rsidRDefault="0081667A" w:rsidP="0081667A">
      <w:pPr>
        <w:pStyle w:val="BodyText"/>
        <w:rPr>
          <w:i/>
        </w:rPr>
      </w:pPr>
      <w:r w:rsidRPr="0081667A">
        <w:rPr>
          <w:i/>
        </w:rPr>
        <w:t>Trafficking in Persons</w:t>
      </w:r>
    </w:p>
    <w:p w:rsidR="0081667A" w:rsidRPr="0081667A" w:rsidRDefault="0081667A" w:rsidP="00AC14D4">
      <w:pPr>
        <w:pStyle w:val="numberedlist"/>
      </w:pPr>
      <w:r w:rsidRPr="0081667A">
        <w:t>Develop an AusAID strategic policy on human security to guide the agency’s approach to investment in and development of programs to assist human security issues.</w:t>
      </w:r>
    </w:p>
    <w:p w:rsidR="0081667A" w:rsidRPr="0081667A" w:rsidRDefault="0081667A" w:rsidP="00AC14D4">
      <w:pPr>
        <w:pStyle w:val="numberedlist"/>
      </w:pPr>
      <w:r w:rsidRPr="0081667A">
        <w:t>Complete the design of a new program to build on the successes of the Asia Regional Trafficking in Persons Project, and facilitate commencement of the program in 2013.</w:t>
      </w:r>
    </w:p>
    <w:p w:rsidR="0081667A" w:rsidRPr="0081667A" w:rsidRDefault="0081667A" w:rsidP="00AC14D4">
      <w:pPr>
        <w:pStyle w:val="numberedlist"/>
      </w:pPr>
      <w:r w:rsidRPr="0081667A">
        <w:t>Continue to support ASEAN partners in the important work of building consensus on practical needs, coordination priorities, and policy development for a stronger, more cohesive regional response to combatting trafficking in persons.</w:t>
      </w:r>
    </w:p>
    <w:p w:rsidR="0081667A" w:rsidRPr="0081667A" w:rsidRDefault="0081667A" w:rsidP="00AC14D4">
      <w:pPr>
        <w:pStyle w:val="numberedlist"/>
      </w:pPr>
      <w:r w:rsidRPr="0081667A">
        <w:t>Continue through AusAID Bangkok to foster closer coordination with our development partners in the region, particularly with USAID through our partnership on MTV EXIT.</w:t>
      </w:r>
    </w:p>
    <w:p w:rsidR="0081667A" w:rsidRPr="0081667A" w:rsidRDefault="0081667A" w:rsidP="0081667A">
      <w:pPr>
        <w:pStyle w:val="BodyText"/>
        <w:rPr>
          <w:i/>
        </w:rPr>
      </w:pPr>
      <w:r w:rsidRPr="0081667A">
        <w:rPr>
          <w:i/>
        </w:rPr>
        <w:t>TRIANGLE</w:t>
      </w:r>
    </w:p>
    <w:p w:rsidR="0081667A" w:rsidRPr="0081667A" w:rsidRDefault="0081667A" w:rsidP="00AC14D4">
      <w:pPr>
        <w:pStyle w:val="numberedlist"/>
      </w:pPr>
      <w:r w:rsidRPr="0081667A">
        <w:t>AusAID Bangkok to conduct at least two monitoring visits to migrant worker support service centres during 2012 and have input into the International Labour Organization’s TRIANGLE mid-term evaluation terms of reference and mission, scheduled to commence in November 2012.</w:t>
      </w:r>
    </w:p>
    <w:p w:rsidR="0081667A" w:rsidRPr="0081667A" w:rsidRDefault="0081667A" w:rsidP="00AC14D4">
      <w:pPr>
        <w:pStyle w:val="numberedlist"/>
      </w:pPr>
      <w:r w:rsidRPr="0081667A">
        <w:t>AusAID Bangkok to closely coordinate with the Canadian International Development Agency on TRIANGLE—Canada is supporting an ASEAN-focused arm of TRIANGLE (2011–2015).</w:t>
      </w:r>
    </w:p>
    <w:p w:rsidR="0081667A" w:rsidRPr="0081667A" w:rsidRDefault="0081667A" w:rsidP="00AC14D4">
      <w:pPr>
        <w:pStyle w:val="numberedlist"/>
      </w:pPr>
      <w:r w:rsidRPr="0081667A">
        <w:t>AusAID to attend at least one project advisory committee meeting during the first half of 2012 in one of the TRIANGLE project countries to monitor national ownership of the project and ensure that it is progressing across its activities as planned.</w:t>
      </w:r>
    </w:p>
    <w:p w:rsidR="0081667A" w:rsidRPr="0081667A" w:rsidRDefault="0081667A" w:rsidP="0081667A">
      <w:pPr>
        <w:pStyle w:val="BodyText"/>
        <w:rPr>
          <w:i/>
        </w:rPr>
      </w:pPr>
      <w:r w:rsidRPr="0081667A">
        <w:rPr>
          <w:i/>
        </w:rPr>
        <w:t xml:space="preserve">Project Childhood </w:t>
      </w:r>
    </w:p>
    <w:p w:rsidR="0081667A" w:rsidRPr="0081667A" w:rsidRDefault="0081667A" w:rsidP="00AC14D4">
      <w:pPr>
        <w:pStyle w:val="numberedlist"/>
      </w:pPr>
      <w:r w:rsidRPr="0081667A">
        <w:t xml:space="preserve">Engage a program facilitator for Project Childhood by May 2012 whose priority will be to work alongside the United Nations Office on Drugs and Crime, INTERPOL and World Vision to facilitate planning for the first Project Childhood Coordination Committee meeting (second half 2012). </w:t>
      </w:r>
    </w:p>
    <w:p w:rsidR="0081667A" w:rsidRPr="0081667A" w:rsidRDefault="0081667A" w:rsidP="00AC14D4">
      <w:pPr>
        <w:pStyle w:val="numberedlist"/>
      </w:pPr>
      <w:r w:rsidRPr="0081667A">
        <w:t>Decide whether an escalation of AusAID’s management response to partners is required should Project Childhood not be on track to achieve the first coordination committee meeting by the end of May 2012.</w:t>
      </w:r>
    </w:p>
    <w:p w:rsidR="0081667A" w:rsidRPr="0081667A" w:rsidRDefault="0081667A" w:rsidP="00AC14D4">
      <w:pPr>
        <w:pStyle w:val="numberedlist"/>
      </w:pPr>
      <w:r w:rsidRPr="0081667A">
        <w:t xml:space="preserve">Ensure the Protection Pillar partner engages a gender advisor to refine and strengthen its gender strategy, and engages an external consultant to rework the </w:t>
      </w:r>
      <w:r w:rsidRPr="0081667A">
        <w:lastRenderedPageBreak/>
        <w:t>monitoring and evaluation framework before the next tranche payment is released to United Nations Office on Drugs and Crime.</w:t>
      </w:r>
    </w:p>
    <w:p w:rsidR="0081667A" w:rsidRPr="007520E4" w:rsidRDefault="0039799D" w:rsidP="007520E4">
      <w:pPr>
        <w:spacing w:before="600" w:after="200" w:line="276" w:lineRule="auto"/>
        <w:rPr>
          <w:rFonts w:eastAsia="Times New Roman"/>
          <w:i/>
          <w:sz w:val="24"/>
        </w:rPr>
      </w:pPr>
      <w:r>
        <w:rPr>
          <w:i/>
        </w:rPr>
        <w:br w:type="page"/>
      </w:r>
      <w:r w:rsidR="0081667A" w:rsidRPr="0081667A">
        <w:rPr>
          <w:i/>
        </w:rPr>
        <w:lastRenderedPageBreak/>
        <w:t>Health</w:t>
      </w:r>
    </w:p>
    <w:p w:rsidR="0081667A" w:rsidRPr="0081667A" w:rsidRDefault="0081667A" w:rsidP="00AC14D4">
      <w:pPr>
        <w:pStyle w:val="numberedlist"/>
      </w:pPr>
      <w:r w:rsidRPr="0081667A">
        <w:t>Develop a delivery strategy to guide AusAID’s regional programming of health initiatives in East Asia.</w:t>
      </w:r>
    </w:p>
    <w:p w:rsidR="0081667A" w:rsidRPr="0081667A" w:rsidRDefault="0081667A" w:rsidP="00AC14D4">
      <w:pPr>
        <w:pStyle w:val="numberedlist"/>
      </w:pPr>
      <w:r w:rsidRPr="0081667A">
        <w:t>Re-allocate HIV/AIDS Asia Regional Program resources to the national level and establish country support units across bilateral Posts for more effective and sustainable management, in-country advocacy, improved monitoring and evaluation, and mainstreaming of HIV harm reduction activities.</w:t>
      </w:r>
    </w:p>
    <w:p w:rsidR="0081667A" w:rsidRPr="0081667A" w:rsidRDefault="0081667A" w:rsidP="00AC14D4">
      <w:pPr>
        <w:pStyle w:val="numberedlist"/>
      </w:pPr>
      <w:r w:rsidRPr="0081667A">
        <w:t>Work with the World Organisation for Animal Health in improving program monitoring and evaluation, outcome reporting and gender mainstreaming.</w:t>
      </w:r>
    </w:p>
    <w:p w:rsidR="0081667A" w:rsidRPr="0081667A" w:rsidRDefault="0081667A" w:rsidP="00AC14D4">
      <w:pPr>
        <w:pStyle w:val="numberedlist"/>
      </w:pPr>
      <w:r w:rsidRPr="0081667A">
        <w:t>Assist three countries in confirming nation animal disease strategic plans, pilot rabies vaccination and prevention activities in high prevalence areas in Indonesia and the Philippines, and train 300 community animal health workers in foot and mouth disease outbreak response through the Stop Transboundary Animal Disease and Zoonoses Initiative.</w:t>
      </w:r>
    </w:p>
    <w:p w:rsidR="0081667A" w:rsidRPr="0081667A" w:rsidRDefault="0081667A" w:rsidP="007520E4">
      <w:pPr>
        <w:pStyle w:val="H2"/>
      </w:pPr>
      <w:bookmarkStart w:id="20" w:name="_Toc360980051"/>
      <w:r w:rsidRPr="0081667A">
        <w:t>Risks</w:t>
      </w:r>
      <w:bookmarkEnd w:id="20"/>
    </w:p>
    <w:p w:rsidR="0081667A" w:rsidRPr="0081667A" w:rsidRDefault="0081667A" w:rsidP="0081667A">
      <w:pPr>
        <w:pStyle w:val="BodyText"/>
      </w:pPr>
      <w:r w:rsidRPr="0081667A">
        <w:t>The most significant or emerging risks for the East Asia regional program and the focus of mitigating actions are as follows:</w:t>
      </w:r>
    </w:p>
    <w:p w:rsidR="0081667A" w:rsidRPr="0081667A" w:rsidRDefault="0081667A" w:rsidP="00657398">
      <w:pPr>
        <w:pStyle w:val="numberedlist"/>
        <w:numPr>
          <w:ilvl w:val="0"/>
          <w:numId w:val="20"/>
        </w:numPr>
      </w:pPr>
      <w:r w:rsidRPr="0081667A">
        <w:t xml:space="preserve">The complex operating environment of the ASEAN and APEC Secretariat – including changes in senior staff, rapid staff turnover, a lack of adequate resources, inadequate systems and processes, and political sensitivities – and uneven levels of support for progress within regional forums, decreases efficiency and effectiveness and leads to limited demonstrable results. Specifically for the ASEAN Secretariat, a key risk of impact on the effectiveness and sustainability of the partnership is the reliance on a small number of secretariat staff to drive success of the programs, the lack of succession planning for these key people, and its limited resources to deal with an expanding agenda. </w:t>
      </w:r>
    </w:p>
    <w:p w:rsidR="0081667A" w:rsidRPr="0081667A" w:rsidRDefault="0081667A" w:rsidP="00AC14D4">
      <w:pPr>
        <w:pStyle w:val="BodyText"/>
        <w:ind w:left="357"/>
      </w:pPr>
      <w:r w:rsidRPr="0081667A">
        <w:t xml:space="preserve">Actions focus on: </w:t>
      </w:r>
    </w:p>
    <w:p w:rsidR="0081667A" w:rsidRPr="0081667A" w:rsidRDefault="0081667A" w:rsidP="00AC14D4">
      <w:pPr>
        <w:pStyle w:val="ListParagraph"/>
      </w:pPr>
      <w:r w:rsidRPr="0081667A">
        <w:t>the key role of the AusAID secondee in managing risk on the ground through building partnerships and networks, understanding and navigating secretariat systems, promoting and embedding system and process efficiencies and reform, and helping to manage AusAID resources invested in and through the secretariats</w:t>
      </w:r>
    </w:p>
    <w:p w:rsidR="0081667A" w:rsidRPr="0081667A" w:rsidRDefault="0081667A" w:rsidP="00AC14D4">
      <w:pPr>
        <w:pStyle w:val="ListParagraph"/>
      </w:pPr>
      <w:r w:rsidRPr="0081667A">
        <w:t>support for reform champions (within the secretariats, Australian whole-of-government partners and other donors) and the importance of showing how reform can support each secretariat to efficiently and effectively progress their mandates and ASEAN and APEC priority issues more broadly</w:t>
      </w:r>
    </w:p>
    <w:p w:rsidR="0081667A" w:rsidRPr="0081667A" w:rsidRDefault="0081667A" w:rsidP="00AC14D4">
      <w:pPr>
        <w:pStyle w:val="ListParagraph"/>
      </w:pPr>
      <w:r w:rsidRPr="0081667A">
        <w:t>support for sufficient secretariat resources through participation in budget and management committee processes (APEC and ASEAN-Australia-New Zealand Free Trade Agreement) and through assisting with donor coordination and engaging a wider range of donors such as multilaterals (ASEAN)</w:t>
      </w:r>
    </w:p>
    <w:p w:rsidR="0081667A" w:rsidRPr="0081667A" w:rsidRDefault="0081667A" w:rsidP="00AC14D4">
      <w:pPr>
        <w:pStyle w:val="ListParagraph"/>
      </w:pPr>
      <w:r w:rsidRPr="0081667A">
        <w:lastRenderedPageBreak/>
        <w:t xml:space="preserve">continued senior AusAID staff engagement with appropriate ASEAN, East Asia Summit and APEC officials and secretariat staff to develop and strengthen relationships and to clarify and manage expectations. </w:t>
      </w:r>
    </w:p>
    <w:p w:rsidR="0081667A" w:rsidRPr="0081667A" w:rsidRDefault="0081667A" w:rsidP="00AC14D4">
      <w:pPr>
        <w:pStyle w:val="numberedlist"/>
      </w:pPr>
      <w:r w:rsidRPr="0081667A">
        <w:t>The lack of an evidence base for measuring program effectiveness because of the attitude to monitoring and evaluation, under-developed skills and systems, and no regular analysis of what is reported, leads to limited evidence of program performance.</w:t>
      </w:r>
    </w:p>
    <w:p w:rsidR="0081667A" w:rsidRPr="0081667A" w:rsidRDefault="0081667A" w:rsidP="00AC14D4">
      <w:pPr>
        <w:pStyle w:val="BodyText"/>
        <w:ind w:left="357"/>
      </w:pPr>
      <w:r w:rsidRPr="0081667A">
        <w:t>Actions focus on:</w:t>
      </w:r>
    </w:p>
    <w:p w:rsidR="0081667A" w:rsidRPr="0081667A" w:rsidRDefault="0081667A" w:rsidP="00AC14D4">
      <w:pPr>
        <w:pStyle w:val="ListParagraph"/>
      </w:pPr>
      <w:r w:rsidRPr="0081667A">
        <w:t>the key role of the AusAID secondee in managing risk on the ground by managing project systems and overseeing project quality, promoting a positive attitude to monitoring and evaluation and supervising project specialist staff</w:t>
      </w:r>
    </w:p>
    <w:p w:rsidR="0081667A" w:rsidRPr="0081667A" w:rsidRDefault="0081667A" w:rsidP="00AC14D4">
      <w:pPr>
        <w:pStyle w:val="ListParagraph"/>
      </w:pPr>
      <w:r w:rsidRPr="0081667A">
        <w:t xml:space="preserve">investing in monitoring and evaluation from Canberra through program and partnership reviews (ASEAN-Australia Development Cooperation Program Phase II), specialist assistance (ASEAN-Australia Development Cooperation Program Phase II and the AANZFTA Economic Cooperation Support Program), dedicated funds available for project quality, and monitoring and evaluation (APEC Secretariat) </w:t>
      </w:r>
    </w:p>
    <w:p w:rsidR="0081667A" w:rsidRPr="0081667A" w:rsidRDefault="0081667A" w:rsidP="00AC14D4">
      <w:pPr>
        <w:pStyle w:val="ListParagraph"/>
      </w:pPr>
      <w:r w:rsidRPr="0081667A">
        <w:t>scope for more analysis of data that is gathered and follow-up surveys for clusters of activities.</w:t>
      </w:r>
    </w:p>
    <w:p w:rsidR="0081667A" w:rsidRPr="0081667A" w:rsidRDefault="0081667A" w:rsidP="00AC14D4">
      <w:pPr>
        <w:pStyle w:val="numberedlist"/>
      </w:pPr>
      <w:r w:rsidRPr="0081667A">
        <w:t>Reputational risk is created by media scrutiny of programs in sensitive areas, including HIV/AIDS harm reduction and child protection, through multilateral partners that have weak capacity (particularly the United Nations Office on Drugs and Crime), and with country partners with governance and transparency issues.</w:t>
      </w:r>
    </w:p>
    <w:p w:rsidR="0081667A" w:rsidRPr="0081667A" w:rsidRDefault="0081667A" w:rsidP="00AC14D4">
      <w:pPr>
        <w:pStyle w:val="BodyText"/>
        <w:ind w:left="357"/>
      </w:pPr>
      <w:r w:rsidRPr="0081667A">
        <w:t>Actions focus on:</w:t>
      </w:r>
    </w:p>
    <w:p w:rsidR="0081667A" w:rsidRPr="0081667A" w:rsidRDefault="0081667A" w:rsidP="00AC14D4">
      <w:pPr>
        <w:pStyle w:val="ListParagraph"/>
      </w:pPr>
      <w:r w:rsidRPr="0081667A">
        <w:t>monitoring and timely responses should criticism of multilateral or country partners occur</w:t>
      </w:r>
    </w:p>
    <w:p w:rsidR="0081667A" w:rsidRPr="0081667A" w:rsidRDefault="0081667A" w:rsidP="00AC14D4">
      <w:pPr>
        <w:pStyle w:val="ListParagraph"/>
      </w:pPr>
      <w:r w:rsidRPr="0081667A">
        <w:t>developing an exit strategy and managing reputational repercussions with the Laos government and the United Nations family regarding the end of the the United Nations Office on Drugs and Crime contract in Laos in December 2012 (under the HIV/AIDS Asia Regional Program)</w:t>
      </w:r>
    </w:p>
    <w:p w:rsidR="0081667A" w:rsidRPr="0081667A" w:rsidRDefault="0081667A" w:rsidP="00AC14D4">
      <w:pPr>
        <w:pStyle w:val="ListParagraph"/>
      </w:pPr>
      <w:r w:rsidRPr="0081667A">
        <w:t>engaging a program facilitator for Project Childhood who will work alongside the Nations Office on Drugs and Crime, INTERPOL and World Vision to facilitate planning of the first Project Childhood Coordination Committee meeting (second half 2012), and be responsible for cross-pillar work on communication.</w:t>
      </w:r>
    </w:p>
    <w:p w:rsidR="0081667A" w:rsidRPr="0081667A" w:rsidRDefault="0081667A" w:rsidP="00AC14D4">
      <w:pPr>
        <w:pStyle w:val="numberedlist"/>
      </w:pPr>
      <w:r w:rsidRPr="0081667A">
        <w:t>A lack of staff with sectoral expertise in the Jakarta and Bangkok Posts limits engagement with regional donors and multilateral partners on in-depth technical and strategic health policy, resulting in missed opportunities for AusAID to influence the regional health agenda.</w:t>
      </w:r>
    </w:p>
    <w:p w:rsidR="0081667A" w:rsidRPr="0081667A" w:rsidRDefault="0081667A" w:rsidP="00BD1FAB">
      <w:pPr>
        <w:pStyle w:val="BodyText"/>
        <w:ind w:left="357"/>
      </w:pPr>
      <w:r w:rsidRPr="0081667A">
        <w:t>Action focuses on:</w:t>
      </w:r>
    </w:p>
    <w:p w:rsidR="0081667A" w:rsidRPr="0081667A" w:rsidRDefault="0081667A" w:rsidP="00AC14D4">
      <w:pPr>
        <w:pStyle w:val="ListParagraph"/>
      </w:pPr>
      <w:r w:rsidRPr="0081667A">
        <w:t xml:space="preserve">recruiting an anticipated Mekong health adviser position that will increase the regional Post’s technical policy and strategic engagement capacity in management and advocacy of regional health programs. </w:t>
      </w:r>
    </w:p>
    <w:p w:rsidR="0081667A" w:rsidRPr="0081667A" w:rsidRDefault="0081667A" w:rsidP="007520E4">
      <w:pPr>
        <w:pStyle w:val="H2"/>
      </w:pPr>
      <w:bookmarkStart w:id="21" w:name="_Toc360980052"/>
      <w:r w:rsidRPr="0081667A">
        <w:lastRenderedPageBreak/>
        <w:t>Strategic priorities and direction</w:t>
      </w:r>
      <w:bookmarkEnd w:id="21"/>
    </w:p>
    <w:p w:rsidR="0081667A" w:rsidRPr="00AC14D4" w:rsidRDefault="0081667A" w:rsidP="00AC14D4">
      <w:pPr>
        <w:pStyle w:val="BodyText"/>
      </w:pPr>
      <w:r w:rsidRPr="00AC14D4">
        <w:t xml:space="preserve">The preparation of the regional situation analysis and revised strategy for East Asia regional organisations and programs (2011–2015) in 2012 will articulate strategic priorities for the program in the short and medium term. </w:t>
      </w:r>
    </w:p>
    <w:p w:rsidR="0081667A" w:rsidRPr="00AC14D4" w:rsidRDefault="0081667A" w:rsidP="00AC14D4">
      <w:pPr>
        <w:pStyle w:val="BodyText"/>
      </w:pPr>
      <w:r w:rsidRPr="00AC14D4">
        <w:t xml:space="preserve">The two sets of analysis planned for 2012—on the program’s approach to supporting economic integration, and on the delivery of health programs—should inform future direction on these aspects. This is likely to see, for example, consolidation within the regional transboundary program in line with aid effectiveness principles laid out in </w:t>
      </w:r>
      <w:r w:rsidRPr="00AC14D4">
        <w:rPr>
          <w:i/>
        </w:rPr>
        <w:t>An effective aid program for Australia: making a real difference – delivering real results.</w:t>
      </w:r>
    </w:p>
    <w:p w:rsidR="00657398" w:rsidRDefault="0081667A" w:rsidP="007520E4">
      <w:pPr>
        <w:pStyle w:val="BodyText"/>
      </w:pPr>
      <w:r w:rsidRPr="00AC14D4">
        <w:t>In particular, the current regional focus will increasingly be on an overarching human security approach to programming. Three pillars of focus are central to this approach: emerging infectious diseases, trafficking in persons and the governance of the labour migrant sector in the region. These c</w:t>
      </w:r>
      <w:bookmarkStart w:id="22" w:name="_GoBack"/>
      <w:bookmarkEnd w:id="22"/>
      <w:r w:rsidRPr="00AC14D4">
        <w:t>hanges will involve scoping new work on promoting decent work for labour migrants. The focus on infectious diseases will include a response to the emerging public health threat from drug-resistant malaria in the Greater Mekong Sub-region and strengthening the regional health architecture on important diseases such as malaria and HIV/AIDS.</w:t>
      </w:r>
    </w:p>
    <w:sectPr w:rsidR="00657398" w:rsidSect="00657398">
      <w:headerReference w:type="default" r:id="rId14"/>
      <w:footerReference w:type="default" r:id="rId15"/>
      <w:pgSz w:w="11906" w:h="16838"/>
      <w:pgMar w:top="2381" w:right="1814" w:bottom="851" w:left="1814"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3D5" w:rsidRDefault="006863D5" w:rsidP="0050529F">
      <w:r>
        <w:separator/>
      </w:r>
    </w:p>
  </w:endnote>
  <w:endnote w:type="continuationSeparator" w:id="0">
    <w:p w:rsidR="006863D5" w:rsidRDefault="006863D5" w:rsidP="0050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D3" w:rsidRPr="00591D81" w:rsidRDefault="00591D81" w:rsidP="00591D81">
    <w:pPr>
      <w:tabs>
        <w:tab w:val="left" w:pos="0"/>
        <w:tab w:val="right" w:pos="7938"/>
        <w:tab w:val="right" w:pos="8505"/>
      </w:tabs>
      <w:spacing w:line="180" w:lineRule="exact"/>
      <w:ind w:left="-567" w:right="-567"/>
      <w:rPr>
        <w:rFonts w:ascii="Franklin Gothic Medium" w:eastAsia="Times New Roman" w:hAnsi="Franklin Gothic Medium"/>
        <w:color w:val="5A9A98"/>
        <w:sz w:val="14"/>
        <w:szCs w:val="14"/>
      </w:rPr>
    </w:pPr>
    <w:r>
      <w:rPr>
        <w:rFonts w:ascii="Franklin Gothic Medium" w:eastAsia="Times New Roman" w:hAnsi="Franklin Gothic Medium"/>
        <w:color w:val="5A9A98"/>
        <w:sz w:val="14"/>
        <w:szCs w:val="14"/>
      </w:rPr>
      <w:tab/>
    </w:r>
    <w:r w:rsidRPr="0050529F">
      <w:rPr>
        <w:rFonts w:ascii="Franklin Gothic Medium" w:eastAsia="Times New Roman" w:hAnsi="Franklin Gothic Medium"/>
        <w:color w:val="5A9A98"/>
        <w:sz w:val="14"/>
        <w:szCs w:val="14"/>
      </w:rPr>
      <w:fldChar w:fldCharType="begin"/>
    </w:r>
    <w:r w:rsidRPr="0050529F">
      <w:rPr>
        <w:rFonts w:ascii="Franklin Gothic Medium" w:eastAsia="Times New Roman" w:hAnsi="Franklin Gothic Medium"/>
        <w:color w:val="5A9A98"/>
        <w:sz w:val="14"/>
        <w:szCs w:val="14"/>
      </w:rPr>
      <w:instrText xml:space="preserve"> STYLEREF  "APPR Title" </w:instrText>
    </w:r>
    <w:r w:rsidRPr="0050529F">
      <w:rPr>
        <w:rFonts w:ascii="Franklin Gothic Medium" w:eastAsia="Times New Roman" w:hAnsi="Franklin Gothic Medium"/>
        <w:color w:val="5A9A98"/>
        <w:sz w:val="14"/>
        <w:szCs w:val="14"/>
      </w:rPr>
      <w:fldChar w:fldCharType="separate"/>
    </w:r>
    <w:r w:rsidR="003A05C5">
      <w:rPr>
        <w:rFonts w:ascii="Franklin Gothic Medium" w:eastAsia="Times New Roman" w:hAnsi="Franklin Gothic Medium"/>
        <w:noProof/>
        <w:color w:val="5A9A98"/>
        <w:sz w:val="14"/>
        <w:szCs w:val="14"/>
      </w:rPr>
      <w:t>East Asia Regional Organisations and Programs Annual Program Performance Report 2011</w:t>
    </w:r>
    <w:r w:rsidRPr="0050529F">
      <w:rPr>
        <w:rFonts w:ascii="Franklin Gothic Medium" w:eastAsia="Times New Roman" w:hAnsi="Franklin Gothic Medium"/>
        <w:color w:val="5A9A98"/>
        <w:sz w:val="14"/>
        <w:szCs w:val="14"/>
      </w:rPr>
      <w:fldChar w:fldCharType="end"/>
    </w:r>
    <w:r w:rsidRPr="0050529F">
      <w:rPr>
        <w:rFonts w:ascii="Franklin Gothic Medium" w:eastAsia="Times New Roman" w:hAnsi="Franklin Gothic Medium"/>
        <w:color w:val="5A9A98"/>
        <w:sz w:val="14"/>
        <w:szCs w:val="14"/>
      </w:rPr>
      <w:tab/>
    </w:r>
    <w:r w:rsidRPr="0050529F">
      <w:rPr>
        <w:rFonts w:ascii="Franklin Gothic Medium" w:eastAsia="Times New Roman" w:hAnsi="Franklin Gothic Medium"/>
        <w:color w:val="5A9A98"/>
        <w:sz w:val="14"/>
        <w:szCs w:val="14"/>
      </w:rPr>
      <w:tab/>
    </w:r>
    <w:r w:rsidRPr="0050529F">
      <w:rPr>
        <w:rFonts w:ascii="Franklin Gothic Medium" w:eastAsia="Times New Roman" w:hAnsi="Franklin Gothic Medium"/>
        <w:color w:val="54534A"/>
        <w:sz w:val="14"/>
        <w:szCs w:val="14"/>
      </w:rPr>
      <w:fldChar w:fldCharType="begin"/>
    </w:r>
    <w:r w:rsidRPr="0050529F">
      <w:rPr>
        <w:rFonts w:ascii="Franklin Gothic Medium" w:eastAsia="Times New Roman" w:hAnsi="Franklin Gothic Medium"/>
        <w:color w:val="54534A"/>
        <w:sz w:val="14"/>
        <w:szCs w:val="14"/>
      </w:rPr>
      <w:instrText xml:space="preserve"> PAGE </w:instrText>
    </w:r>
    <w:r w:rsidRPr="0050529F">
      <w:rPr>
        <w:rFonts w:ascii="Franklin Gothic Medium" w:eastAsia="Times New Roman" w:hAnsi="Franklin Gothic Medium"/>
        <w:color w:val="54534A"/>
        <w:sz w:val="14"/>
        <w:szCs w:val="14"/>
      </w:rPr>
      <w:fldChar w:fldCharType="separate"/>
    </w:r>
    <w:r w:rsidR="003A05C5">
      <w:rPr>
        <w:rFonts w:ascii="Franklin Gothic Medium" w:eastAsia="Times New Roman" w:hAnsi="Franklin Gothic Medium"/>
        <w:noProof/>
        <w:color w:val="54534A"/>
        <w:sz w:val="14"/>
        <w:szCs w:val="14"/>
      </w:rPr>
      <w:t>34</w:t>
    </w:r>
    <w:r w:rsidRPr="0050529F">
      <w:rPr>
        <w:rFonts w:ascii="Franklin Gothic Medium" w:eastAsia="Times New Roman" w:hAnsi="Franklin Gothic Medium"/>
        <w:color w:val="54534A"/>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3D5" w:rsidRDefault="006863D5" w:rsidP="0050529F">
      <w:r>
        <w:separator/>
      </w:r>
    </w:p>
  </w:footnote>
  <w:footnote w:type="continuationSeparator" w:id="0">
    <w:p w:rsidR="006863D5" w:rsidRDefault="006863D5" w:rsidP="0050529F">
      <w:r>
        <w:continuationSeparator/>
      </w:r>
    </w:p>
  </w:footnote>
  <w:footnote w:id="1">
    <w:p w:rsidR="00AD1CD3" w:rsidRDefault="00AD1CD3" w:rsidP="0081667A">
      <w:pPr>
        <w:pStyle w:val="FootnoteText"/>
      </w:pPr>
      <w:r w:rsidRPr="00CC04CC">
        <w:rPr>
          <w:rStyle w:val="FootnoteReference"/>
        </w:rPr>
        <w:footnoteRef/>
      </w:r>
      <w:r w:rsidRPr="00CC04CC">
        <w:rPr>
          <w:rStyle w:val="FootnoteReference"/>
        </w:rPr>
        <w:t xml:space="preserve"> </w:t>
      </w:r>
      <w:r w:rsidRPr="005F4347">
        <w:t xml:space="preserve">Average real </w:t>
      </w:r>
      <w:r>
        <w:t>Gross Domestic Product</w:t>
      </w:r>
      <w:r w:rsidRPr="005F4347">
        <w:t xml:space="preserve"> growth for the </w:t>
      </w:r>
      <w:r>
        <w:t>six</w:t>
      </w:r>
      <w:r w:rsidRPr="005F4347">
        <w:t xml:space="preserve"> countries (Indonesia, Malaysia, Philippines, Singapore, Thailand and Viet</w:t>
      </w:r>
      <w:r>
        <w:t>n</w:t>
      </w:r>
      <w:r w:rsidRPr="005F4347">
        <w:t xml:space="preserve">am) </w:t>
      </w:r>
      <w:r>
        <w:t>was</w:t>
      </w:r>
      <w:r w:rsidRPr="005F4347">
        <w:t xml:space="preserve"> 7.6 per cent in 2010 and 5.0 per cent in 2011. </w:t>
      </w:r>
      <w:r w:rsidRPr="005F4347">
        <w:rPr>
          <w:i/>
        </w:rPr>
        <w:t xml:space="preserve">South-East Asian </w:t>
      </w:r>
      <w:r>
        <w:rPr>
          <w:i/>
        </w:rPr>
        <w:t>e</w:t>
      </w:r>
      <w:r w:rsidRPr="005F4347">
        <w:rPr>
          <w:i/>
        </w:rPr>
        <w:t xml:space="preserve">conomic </w:t>
      </w:r>
      <w:r>
        <w:rPr>
          <w:i/>
        </w:rPr>
        <w:t>o</w:t>
      </w:r>
      <w:r w:rsidRPr="005F4347">
        <w:rPr>
          <w:i/>
        </w:rPr>
        <w:t>utlook 2011</w:t>
      </w:r>
      <w:r>
        <w:rPr>
          <w:i/>
        </w:rPr>
        <w:t>–</w:t>
      </w:r>
      <w:r w:rsidRPr="005F4347">
        <w:rPr>
          <w:i/>
        </w:rPr>
        <w:t>12</w:t>
      </w:r>
      <w:r w:rsidRPr="005F4347">
        <w:t>. OECD</w:t>
      </w:r>
      <w:r>
        <w:t>,</w:t>
      </w:r>
      <w:r w:rsidRPr="005F4347">
        <w:t xml:space="preserve"> 2012.</w:t>
      </w:r>
    </w:p>
  </w:footnote>
  <w:footnote w:id="2">
    <w:p w:rsidR="00AD1CD3" w:rsidRPr="002D4D3E" w:rsidRDefault="00AD1CD3" w:rsidP="00703B72">
      <w:pPr>
        <w:rPr>
          <w:rFonts w:ascii="Franklin Gothic Book" w:hAnsi="Franklin Gothic Book"/>
          <w:sz w:val="14"/>
          <w:szCs w:val="14"/>
          <w:lang w:eastAsia="en-US"/>
        </w:rPr>
      </w:pPr>
      <w:r>
        <w:rPr>
          <w:rStyle w:val="FootnoteReference"/>
        </w:rPr>
        <w:footnoteRef/>
      </w:r>
      <w:r>
        <w:t xml:space="preserve"> </w:t>
      </w:r>
      <w:r w:rsidRPr="002D4D3E">
        <w:rPr>
          <w:rFonts w:ascii="Franklin Gothic Book" w:hAnsi="Franklin Gothic Book"/>
          <w:sz w:val="14"/>
          <w:szCs w:val="14"/>
          <w:lang w:eastAsia="en-US"/>
        </w:rPr>
        <w:t>OECD figures</w:t>
      </w:r>
      <w:r>
        <w:rPr>
          <w:rFonts w:ascii="Franklin Gothic Book" w:hAnsi="Franklin Gothic Book"/>
          <w:sz w:val="14"/>
          <w:szCs w:val="14"/>
          <w:lang w:eastAsia="en-US"/>
        </w:rPr>
        <w:t>.</w:t>
      </w:r>
    </w:p>
  </w:footnote>
  <w:footnote w:id="3">
    <w:p w:rsidR="00AD1CD3" w:rsidRDefault="00AD1CD3" w:rsidP="00703B72">
      <w:r w:rsidRPr="002D4D3E">
        <w:rPr>
          <w:sz w:val="14"/>
          <w:szCs w:val="14"/>
          <w:lang w:eastAsia="en-US"/>
        </w:rPr>
        <w:footnoteRef/>
      </w:r>
      <w:r w:rsidRPr="002D4D3E">
        <w:rPr>
          <w:rFonts w:ascii="Franklin Gothic Book" w:hAnsi="Franklin Gothic Book"/>
          <w:sz w:val="14"/>
          <w:szCs w:val="14"/>
          <w:lang w:eastAsia="en-US"/>
        </w:rPr>
        <w:t xml:space="preserve"> APEC Secretariat</w:t>
      </w:r>
      <w:r>
        <w:rPr>
          <w:rFonts w:ascii="Franklin Gothic Book" w:hAnsi="Franklin Gothic Book"/>
          <w:sz w:val="14"/>
          <w:szCs w:val="14"/>
          <w:lang w:eastAsia="en-US"/>
        </w:rPr>
        <w:t>.</w:t>
      </w:r>
    </w:p>
  </w:footnote>
  <w:footnote w:id="4">
    <w:p w:rsidR="00AD1CD3" w:rsidRDefault="00AD1CD3" w:rsidP="0081667A">
      <w:pPr>
        <w:pStyle w:val="FootnoteText"/>
      </w:pPr>
      <w:r>
        <w:rPr>
          <w:rStyle w:val="FootnoteReference"/>
        </w:rPr>
        <w:footnoteRef/>
      </w:r>
      <w:r>
        <w:t xml:space="preserve"> As reported in the </w:t>
      </w:r>
      <w:r w:rsidRPr="007746B1">
        <w:t xml:space="preserve">East Asia </w:t>
      </w:r>
      <w:r>
        <w:t>r</w:t>
      </w:r>
      <w:r w:rsidRPr="007746B1">
        <w:t xml:space="preserve">egional </w:t>
      </w:r>
      <w:r>
        <w:t>d</w:t>
      </w:r>
      <w:r w:rsidRPr="007746B1">
        <w:t xml:space="preserve">evelopment </w:t>
      </w:r>
      <w:r>
        <w:t>c</w:t>
      </w:r>
      <w:r w:rsidRPr="007746B1">
        <w:t xml:space="preserve">ooperation </w:t>
      </w:r>
      <w:r>
        <w:t>r</w:t>
      </w:r>
      <w:r w:rsidRPr="007746B1">
        <w:t>eport 2010, June 2011</w:t>
      </w:r>
      <w:r>
        <w:t>.</w:t>
      </w:r>
    </w:p>
  </w:footnote>
  <w:footnote w:id="5">
    <w:p w:rsidR="00AD1CD3" w:rsidRPr="00884EAD" w:rsidRDefault="00AD1CD3" w:rsidP="0081667A">
      <w:pPr>
        <w:pStyle w:val="FootnoteText"/>
        <w:rPr>
          <w:lang w:eastAsia="en-US"/>
        </w:rPr>
      </w:pPr>
      <w:r w:rsidRPr="00851D3D">
        <w:rPr>
          <w:rStyle w:val="FootnoteReference"/>
        </w:rPr>
        <w:footnoteRef/>
      </w:r>
      <w:r w:rsidRPr="00851D3D">
        <w:rPr>
          <w:rStyle w:val="FootnoteReference"/>
        </w:rPr>
        <w:t xml:space="preserve"> </w:t>
      </w:r>
      <w:r w:rsidRPr="00884EAD">
        <w:rPr>
          <w:lang w:eastAsia="en-US"/>
        </w:rPr>
        <w:t xml:space="preserve">Asia </w:t>
      </w:r>
      <w:r>
        <w:rPr>
          <w:lang w:eastAsia="en-US"/>
        </w:rPr>
        <w:t>Public Sector Linkages Program</w:t>
      </w:r>
      <w:r w:rsidRPr="00884EAD">
        <w:rPr>
          <w:lang w:eastAsia="en-US"/>
        </w:rPr>
        <w:t xml:space="preserve"> </w:t>
      </w:r>
      <w:r>
        <w:rPr>
          <w:lang w:eastAsia="en-US"/>
        </w:rPr>
        <w:t>r</w:t>
      </w:r>
      <w:r w:rsidRPr="00884EAD">
        <w:rPr>
          <w:lang w:eastAsia="en-US"/>
        </w:rPr>
        <w:t>eview, 2011</w:t>
      </w:r>
    </w:p>
  </w:footnote>
  <w:footnote w:id="6">
    <w:p w:rsidR="00AD1CD3" w:rsidRPr="00851D3D" w:rsidRDefault="00AD1CD3" w:rsidP="0081667A">
      <w:pPr>
        <w:pStyle w:val="FootnoteText"/>
      </w:pPr>
      <w:r w:rsidRPr="00851D3D">
        <w:rPr>
          <w:rStyle w:val="FootnoteReference"/>
        </w:rPr>
        <w:footnoteRef/>
      </w:r>
      <w:r w:rsidRPr="00851D3D">
        <w:rPr>
          <w:rStyle w:val="FootnoteReference"/>
        </w:rPr>
        <w:t xml:space="preserve"> </w:t>
      </w:r>
      <w:r w:rsidRPr="00851D3D">
        <w:t>This figure is drawn from participant lists for each activity.</w:t>
      </w:r>
    </w:p>
  </w:footnote>
  <w:footnote w:id="7">
    <w:p w:rsidR="00AD1CD3" w:rsidRPr="00851D3D" w:rsidRDefault="00AD1CD3" w:rsidP="0081667A">
      <w:pPr>
        <w:pStyle w:val="FootnoteText"/>
      </w:pPr>
      <w:r w:rsidRPr="00851D3D">
        <w:rPr>
          <w:rStyle w:val="FootnoteReference"/>
        </w:rPr>
        <w:footnoteRef/>
      </w:r>
      <w:r w:rsidRPr="00851D3D">
        <w:rPr>
          <w:rStyle w:val="FootnoteReference"/>
        </w:rPr>
        <w:t xml:space="preserve"> </w:t>
      </w:r>
      <w:r w:rsidRPr="00851D3D">
        <w:t>Under the APEC Asia Region Funds Passport initiative four developing economies (Indonesia, Thailand, the Philippines and Vietnam) have been supported in collaboration with 12 other economies to develop and progress this work. Three economies (Australia, Malaysia and Chinese Taipei) are serving as active providers of the capacity building component.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398" w:rsidRDefault="003A05C5">
    <w:pPr>
      <w:pStyle w:val="Header"/>
    </w:pPr>
    <w:r>
      <w:rPr>
        <w:noProof/>
        <w:lang w:val="en-US" w:eastAsia="en-US"/>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0310" cy="10695305"/>
          <wp:effectExtent l="0" t="0" r="2540" b="0"/>
          <wp:wrapNone/>
          <wp:docPr id="1" name="Picture 1" descr="Description: AusAID_facsheet_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usAID_facsheet_D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60310" cy="10695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25pt;height:7.25pt" o:bullet="t">
        <v:imagedata r:id="rId1" o:title="GREEN"/>
      </v:shape>
    </w:pict>
  </w:numPicBullet>
  <w:numPicBullet w:numPicBulletId="1">
    <w:pict>
      <v:shape id="_x0000_i1042" type="#_x0000_t75" style="width:7.25pt;height:7.25pt" o:bullet="t">
        <v:imagedata r:id="rId2" o:title="_"/>
      </v:shape>
    </w:pict>
  </w:numPicBullet>
  <w:numPicBullet w:numPicBulletId="2">
    <w:pict>
      <v:shape id="_x0000_i1043" type="#_x0000_t75" style="width:7.25pt;height:7.25pt" o:bullet="t">
        <v:imagedata r:id="rId3" o:title="RED"/>
      </v:shape>
    </w:pict>
  </w:numPicBullet>
  <w:numPicBullet w:numPicBulletId="3">
    <w:pict>
      <v:shape id="_x0000_i1044" type="#_x0000_t75" style="width:7.25pt;height:7.25pt" o:bullet="t">
        <v:imagedata r:id="rId4" o:title="ambeer"/>
      </v:shape>
    </w:pict>
  </w:numPicBullet>
  <w:abstractNum w:abstractNumId="0">
    <w:nsid w:val="0796268C"/>
    <w:multiLevelType w:val="hybridMultilevel"/>
    <w:tmpl w:val="A1DE3950"/>
    <w:lvl w:ilvl="0" w:tplc="0C090001">
      <w:start w:val="1"/>
      <w:numFmt w:val="bullet"/>
      <w:lvlText w:val=""/>
      <w:lvlJc w:val="left"/>
      <w:pPr>
        <w:ind w:left="360" w:hanging="360"/>
      </w:pPr>
      <w:rPr>
        <w:rFonts w:ascii="Symbol" w:hAnsi="Symbol" w:hint="default"/>
      </w:rPr>
    </w:lvl>
    <w:lvl w:ilvl="1" w:tplc="230855C6">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4621CE7"/>
    <w:multiLevelType w:val="hybridMultilevel"/>
    <w:tmpl w:val="0D18B67E"/>
    <w:lvl w:ilvl="0" w:tplc="ACFA6F56">
      <w:start w:val="1"/>
      <w:numFmt w:val="bullet"/>
      <w:pStyle w:val="TableListBullet2"/>
      <w:lvlText w:val="–"/>
      <w:lvlJc w:val="left"/>
      <w:pPr>
        <w:tabs>
          <w:tab w:val="num" w:pos="454"/>
        </w:tabs>
        <w:ind w:left="454" w:hanging="22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7B7DD8"/>
    <w:multiLevelType w:val="hybridMultilevel"/>
    <w:tmpl w:val="3EA6F6DE"/>
    <w:lvl w:ilvl="0" w:tplc="FFFFFFFF">
      <w:start w:val="1"/>
      <w:numFmt w:val="lowerLetter"/>
      <w:pStyle w:val="TableListNumber2"/>
      <w:lvlText w:val="%1."/>
      <w:lvlJc w:val="left"/>
      <w:pPr>
        <w:tabs>
          <w:tab w:val="num" w:pos="454"/>
        </w:tabs>
        <w:ind w:left="454" w:hanging="22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F2B798C"/>
    <w:multiLevelType w:val="hybridMultilevel"/>
    <w:tmpl w:val="32D80232"/>
    <w:lvl w:ilvl="0" w:tplc="A120C8FE">
      <w:start w:val="1"/>
      <w:numFmt w:val="bullet"/>
      <w:pStyle w:val="ListParagraph"/>
      <w:lvlText w:val=""/>
      <w:lvlJc w:val="left"/>
      <w:pPr>
        <w:ind w:left="68" w:hanging="360"/>
      </w:pPr>
      <w:rPr>
        <w:rFonts w:ascii="Symbol" w:hAnsi="Symbol" w:hint="default"/>
        <w:color w:val="auto"/>
        <w:sz w:val="24"/>
      </w:rPr>
    </w:lvl>
    <w:lvl w:ilvl="1" w:tplc="0C090003" w:tentative="1">
      <w:start w:val="1"/>
      <w:numFmt w:val="bullet"/>
      <w:lvlText w:val="o"/>
      <w:lvlJc w:val="left"/>
      <w:pPr>
        <w:ind w:left="788" w:hanging="360"/>
      </w:pPr>
      <w:rPr>
        <w:rFonts w:ascii="Courier New" w:hAnsi="Courier New" w:cs="Courier New" w:hint="default"/>
      </w:rPr>
    </w:lvl>
    <w:lvl w:ilvl="2" w:tplc="0C090005" w:tentative="1">
      <w:start w:val="1"/>
      <w:numFmt w:val="bullet"/>
      <w:lvlText w:val=""/>
      <w:lvlJc w:val="left"/>
      <w:pPr>
        <w:ind w:left="1508" w:hanging="360"/>
      </w:pPr>
      <w:rPr>
        <w:rFonts w:ascii="Wingdings" w:hAnsi="Wingdings" w:hint="default"/>
      </w:rPr>
    </w:lvl>
    <w:lvl w:ilvl="3" w:tplc="0C090001" w:tentative="1">
      <w:start w:val="1"/>
      <w:numFmt w:val="bullet"/>
      <w:lvlText w:val=""/>
      <w:lvlJc w:val="left"/>
      <w:pPr>
        <w:ind w:left="2228" w:hanging="360"/>
      </w:pPr>
      <w:rPr>
        <w:rFonts w:ascii="Symbol" w:hAnsi="Symbol" w:hint="default"/>
      </w:rPr>
    </w:lvl>
    <w:lvl w:ilvl="4" w:tplc="0C090003" w:tentative="1">
      <w:start w:val="1"/>
      <w:numFmt w:val="bullet"/>
      <w:lvlText w:val="o"/>
      <w:lvlJc w:val="left"/>
      <w:pPr>
        <w:ind w:left="2948" w:hanging="360"/>
      </w:pPr>
      <w:rPr>
        <w:rFonts w:ascii="Courier New" w:hAnsi="Courier New" w:cs="Courier New" w:hint="default"/>
      </w:rPr>
    </w:lvl>
    <w:lvl w:ilvl="5" w:tplc="0C090005" w:tentative="1">
      <w:start w:val="1"/>
      <w:numFmt w:val="bullet"/>
      <w:lvlText w:val=""/>
      <w:lvlJc w:val="left"/>
      <w:pPr>
        <w:ind w:left="3668" w:hanging="360"/>
      </w:pPr>
      <w:rPr>
        <w:rFonts w:ascii="Wingdings" w:hAnsi="Wingdings" w:hint="default"/>
      </w:rPr>
    </w:lvl>
    <w:lvl w:ilvl="6" w:tplc="0C090001" w:tentative="1">
      <w:start w:val="1"/>
      <w:numFmt w:val="bullet"/>
      <w:lvlText w:val=""/>
      <w:lvlJc w:val="left"/>
      <w:pPr>
        <w:ind w:left="4388" w:hanging="360"/>
      </w:pPr>
      <w:rPr>
        <w:rFonts w:ascii="Symbol" w:hAnsi="Symbol" w:hint="default"/>
      </w:rPr>
    </w:lvl>
    <w:lvl w:ilvl="7" w:tplc="0C090003" w:tentative="1">
      <w:start w:val="1"/>
      <w:numFmt w:val="bullet"/>
      <w:lvlText w:val="o"/>
      <w:lvlJc w:val="left"/>
      <w:pPr>
        <w:ind w:left="5108" w:hanging="360"/>
      </w:pPr>
      <w:rPr>
        <w:rFonts w:ascii="Courier New" w:hAnsi="Courier New" w:cs="Courier New" w:hint="default"/>
      </w:rPr>
    </w:lvl>
    <w:lvl w:ilvl="8" w:tplc="0C090005" w:tentative="1">
      <w:start w:val="1"/>
      <w:numFmt w:val="bullet"/>
      <w:lvlText w:val=""/>
      <w:lvlJc w:val="left"/>
      <w:pPr>
        <w:ind w:left="5828" w:hanging="360"/>
      </w:pPr>
      <w:rPr>
        <w:rFonts w:ascii="Wingdings" w:hAnsi="Wingdings" w:hint="default"/>
      </w:rPr>
    </w:lvl>
  </w:abstractNum>
  <w:abstractNum w:abstractNumId="4">
    <w:nsid w:val="209B02A7"/>
    <w:multiLevelType w:val="singleLevel"/>
    <w:tmpl w:val="38C655C0"/>
    <w:lvl w:ilvl="0">
      <w:start w:val="1"/>
      <w:numFmt w:val="bullet"/>
      <w:pStyle w:val="ListBullet2"/>
      <w:lvlText w:val="–"/>
      <w:lvlJc w:val="left"/>
      <w:pPr>
        <w:tabs>
          <w:tab w:val="num" w:pos="567"/>
        </w:tabs>
        <w:ind w:left="567" w:hanging="283"/>
      </w:pPr>
      <w:rPr>
        <w:rFonts w:cs="Times New Roman" w:hint="default"/>
        <w:color w:val="auto"/>
        <w:sz w:val="21"/>
        <w:szCs w:val="21"/>
      </w:rPr>
    </w:lvl>
  </w:abstractNum>
  <w:abstractNum w:abstractNumId="5">
    <w:nsid w:val="382D65A6"/>
    <w:multiLevelType w:val="hybridMultilevel"/>
    <w:tmpl w:val="A7446C82"/>
    <w:lvl w:ilvl="0" w:tplc="B70A9096">
      <w:start w:val="1"/>
      <w:numFmt w:val="decimal"/>
      <w:pStyle w:val="BoxListNumb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307C0E"/>
    <w:multiLevelType w:val="hybridMultilevel"/>
    <w:tmpl w:val="BE82F8E0"/>
    <w:lvl w:ilvl="0" w:tplc="6C7EA77C">
      <w:start w:val="1"/>
      <w:numFmt w:val="decimal"/>
      <w:pStyle w:val="numberedlist"/>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46CD579B"/>
    <w:multiLevelType w:val="hybridMultilevel"/>
    <w:tmpl w:val="36F2514A"/>
    <w:lvl w:ilvl="0" w:tplc="FFFFFFFF">
      <w:start w:val="1"/>
      <w:numFmt w:val="bullet"/>
      <w:pStyle w:val="BoxListBullet"/>
      <w:lvlText w:val="&gt;"/>
      <w:lvlJc w:val="left"/>
      <w:pPr>
        <w:tabs>
          <w:tab w:val="num" w:pos="284"/>
        </w:tabs>
        <w:ind w:left="284" w:hanging="284"/>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2B943C2"/>
    <w:multiLevelType w:val="hybridMultilevel"/>
    <w:tmpl w:val="5A18D8E8"/>
    <w:lvl w:ilvl="0" w:tplc="F036122A">
      <w:start w:val="1"/>
      <w:numFmt w:val="bullet"/>
      <w:pStyle w:val="Ratingamber"/>
      <w:lvlText w:val=""/>
      <w:lvlJc w:val="left"/>
      <w:pPr>
        <w:tabs>
          <w:tab w:val="num" w:pos="567"/>
        </w:tabs>
        <w:ind w:left="567" w:hanging="567"/>
      </w:pPr>
      <w:rPr>
        <w:rFonts w:ascii="Webdings" w:hAnsi="Webdings" w:hint="default"/>
        <w:color w:val="FF9900"/>
        <w:spacing w:val="0"/>
        <w:position w:val="-2"/>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692D64"/>
    <w:multiLevelType w:val="hybridMultilevel"/>
    <w:tmpl w:val="3544D402"/>
    <w:lvl w:ilvl="0" w:tplc="49BABBDA">
      <w:start w:val="1"/>
      <w:numFmt w:val="bullet"/>
      <w:pStyle w:val="BoxListBullet2"/>
      <w:lvlText w:val="–"/>
      <w:lvlJc w:val="left"/>
      <w:pPr>
        <w:tabs>
          <w:tab w:val="num" w:pos="567"/>
        </w:tabs>
        <w:ind w:left="567" w:hanging="283"/>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598A5214"/>
    <w:multiLevelType w:val="hybridMultilevel"/>
    <w:tmpl w:val="0B5AC610"/>
    <w:lvl w:ilvl="0" w:tplc="FFFFFFFF">
      <w:start w:val="1"/>
      <w:numFmt w:val="decimal"/>
      <w:pStyle w:val="TableListNumber"/>
      <w:lvlText w:val="%1."/>
      <w:lvlJc w:val="left"/>
      <w:pPr>
        <w:tabs>
          <w:tab w:val="num" w:pos="227"/>
        </w:tabs>
        <w:ind w:left="227" w:hanging="22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63EC277D"/>
    <w:multiLevelType w:val="hybridMultilevel"/>
    <w:tmpl w:val="5622DCD2"/>
    <w:lvl w:ilvl="0" w:tplc="F280E2B4">
      <w:start w:val="1"/>
      <w:numFmt w:val="bullet"/>
      <w:pStyle w:val="QuoteBullet"/>
      <w:lvlText w:val="•"/>
      <w:lvlJc w:val="left"/>
      <w:pPr>
        <w:tabs>
          <w:tab w:val="num" w:pos="567"/>
        </w:tabs>
        <w:ind w:left="567" w:hanging="283"/>
      </w:pPr>
      <w:rPr>
        <w:rFonts w:ascii="Garamond" w:hAnsi="Garamond"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F264CF"/>
    <w:multiLevelType w:val="multilevel"/>
    <w:tmpl w:val="537047AE"/>
    <w:lvl w:ilvl="0">
      <w:start w:val="1"/>
      <w:numFmt w:val="none"/>
      <w:suff w:val="nothing"/>
      <w:lvlText w:val=""/>
      <w:lvlJc w:val="left"/>
      <w:pPr>
        <w:ind w:left="-32767" w:firstLine="0"/>
      </w:pPr>
      <w:rPr>
        <w:rFonts w:hint="default"/>
        <w:b w:val="0"/>
        <w:i w:val="0"/>
        <w:color w:val="54534A"/>
      </w:rPr>
    </w:lvl>
    <w:lvl w:ilvl="1">
      <w:start w:val="1"/>
      <w:numFmt w:val="none"/>
      <w:pStyle w:val="Heading2"/>
      <w:suff w:val="nothing"/>
      <w:lvlText w:val=""/>
      <w:lvlJc w:val="left"/>
      <w:pPr>
        <w:ind w:left="-32767"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pStyle w:val="Heading4"/>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pStyle w:val="Heading6"/>
      <w:lvlText w:val="%6"/>
      <w:lvlJc w:val="left"/>
      <w:pPr>
        <w:tabs>
          <w:tab w:val="num" w:pos="709"/>
        </w:tabs>
        <w:ind w:left="709" w:hanging="709"/>
      </w:pPr>
      <w:rPr>
        <w:rFonts w:ascii="Franklin Gothic Book" w:hAnsi="Franklin Gothic Book" w:hint="default"/>
        <w:b w:val="0"/>
        <w:i w:val="0"/>
        <w:caps w:val="0"/>
        <w:color w:val="54534A"/>
        <w:position w:val="0"/>
        <w:sz w:val="50"/>
        <w:szCs w:val="50"/>
      </w:rPr>
    </w:lvl>
    <w:lvl w:ilvl="6">
      <w:start w:val="1"/>
      <w:numFmt w:val="none"/>
      <w:lvlRestart w:val="0"/>
      <w:pStyle w:val="Heading7"/>
      <w:suff w:val="nothing"/>
      <w:lvlText w:val=""/>
      <w:lvlJc w:val="left"/>
      <w:pPr>
        <w:ind w:left="0" w:firstLine="0"/>
      </w:pPr>
      <w:rPr>
        <w:rFonts w:hint="default"/>
        <w:caps/>
        <w:sz w:val="22"/>
        <w:szCs w:val="22"/>
      </w:rPr>
    </w:lvl>
    <w:lvl w:ilvl="7">
      <w:start w:val="1"/>
      <w:numFmt w:val="none"/>
      <w:lvlRestart w:val="0"/>
      <w:suff w:val="nothing"/>
      <w:lvlText w:val=""/>
      <w:lvlJc w:val="left"/>
      <w:pPr>
        <w:ind w:left="0" w:firstLine="0"/>
      </w:pPr>
      <w:rPr>
        <w:rFonts w:hint="default"/>
      </w:rPr>
    </w:lvl>
    <w:lvl w:ilvl="8">
      <w:start w:val="1"/>
      <w:numFmt w:val="none"/>
      <w:lvlRestart w:val="0"/>
      <w:pStyle w:val="Heading9"/>
      <w:suff w:val="nothing"/>
      <w:lvlText w:val=""/>
      <w:lvlJc w:val="left"/>
      <w:pPr>
        <w:ind w:left="0" w:firstLine="0"/>
      </w:pPr>
      <w:rPr>
        <w:rFonts w:hint="default"/>
      </w:rPr>
    </w:lvl>
  </w:abstractNum>
  <w:abstractNum w:abstractNumId="13">
    <w:nsid w:val="66C55035"/>
    <w:multiLevelType w:val="hybridMultilevel"/>
    <w:tmpl w:val="A0C89EE8"/>
    <w:lvl w:ilvl="0" w:tplc="D3782208">
      <w:start w:val="1"/>
      <w:numFmt w:val="bullet"/>
      <w:pStyle w:val="TableListBullet"/>
      <w:lvlText w:val="&gt;"/>
      <w:lvlJc w:val="left"/>
      <w:pPr>
        <w:tabs>
          <w:tab w:val="num" w:pos="227"/>
        </w:tabs>
        <w:ind w:left="227" w:hanging="227"/>
      </w:pPr>
      <w:rPr>
        <w:rFonts w:hint="default"/>
        <w:color w:val="auto"/>
        <w:spacing w:val="0"/>
        <w:w w:val="100"/>
        <w:position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6CA95AF5"/>
    <w:multiLevelType w:val="multilevel"/>
    <w:tmpl w:val="AA96A81E"/>
    <w:lvl w:ilvl="0">
      <w:start w:val="1"/>
      <w:numFmt w:val="lowerLetter"/>
      <w:lvlRestart w:val="0"/>
      <w:pStyle w:val="NoteNumber"/>
      <w:lvlText w:val="%1"/>
      <w:lvlJc w:val="left"/>
      <w:pPr>
        <w:tabs>
          <w:tab w:val="num" w:pos="170"/>
        </w:tabs>
        <w:ind w:left="0" w:firstLine="0"/>
      </w:pPr>
      <w:rPr>
        <w:rFonts w:ascii="Times New Roman" w:hAnsi="Times New Roman" w:cs="Times New Roman" w:hint="default"/>
        <w:b w:val="0"/>
        <w:bCs w:val="0"/>
        <w:i w:val="0"/>
        <w:iCs w:val="0"/>
        <w:caps w:val="0"/>
        <w:smallCaps w:val="0"/>
        <w:strike w:val="0"/>
        <w:dstrike w:val="0"/>
        <w:noProof w:val="0"/>
        <w:vanish w:val="0"/>
        <w:spacing w:val="0"/>
        <w:kern w:val="0"/>
        <w:position w:val="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440"/>
        </w:tabs>
        <w:ind w:left="1440" w:hanging="363"/>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15">
    <w:nsid w:val="6CF363E8"/>
    <w:multiLevelType w:val="hybridMultilevel"/>
    <w:tmpl w:val="663688F2"/>
    <w:lvl w:ilvl="0" w:tplc="02A4C866">
      <w:start w:val="1"/>
      <w:numFmt w:val="bullet"/>
      <w:pStyle w:val="Ratinggreen"/>
      <w:lvlText w:val=""/>
      <w:lvlJc w:val="left"/>
      <w:pPr>
        <w:tabs>
          <w:tab w:val="num" w:pos="567"/>
        </w:tabs>
        <w:ind w:left="567" w:hanging="567"/>
      </w:pPr>
      <w:rPr>
        <w:rFonts w:ascii="Webdings" w:hAnsi="Webdings" w:hint="default"/>
        <w:color w:val="99CC00"/>
        <w:spacing w:val="0"/>
        <w:position w:val="-2"/>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E1124E"/>
    <w:multiLevelType w:val="hybridMultilevel"/>
    <w:tmpl w:val="6D42E656"/>
    <w:lvl w:ilvl="0" w:tplc="FFFFFFFF">
      <w:start w:val="1"/>
      <w:numFmt w:val="lowerLetter"/>
      <w:pStyle w:val="ListNumber2"/>
      <w:lvlText w:val="%1."/>
      <w:lvlJc w:val="left"/>
      <w:pPr>
        <w:tabs>
          <w:tab w:val="num" w:pos="567"/>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F7A528B"/>
    <w:multiLevelType w:val="hybridMultilevel"/>
    <w:tmpl w:val="4ADC517C"/>
    <w:lvl w:ilvl="0" w:tplc="FFFFFFFF">
      <w:start w:val="1"/>
      <w:numFmt w:val="bullet"/>
      <w:pStyle w:val="ListBullet"/>
      <w:lvlText w:val="&gt;"/>
      <w:lvlJc w:val="left"/>
      <w:pPr>
        <w:tabs>
          <w:tab w:val="num" w:pos="284"/>
        </w:tabs>
        <w:ind w:left="284" w:hanging="284"/>
      </w:pPr>
      <w:rPr>
        <w:rFonts w:hint="default"/>
        <w:color w:val="auto"/>
        <w:position w:val="3"/>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3"/>
  </w:num>
  <w:num w:numId="4">
    <w:abstractNumId w:val="10"/>
  </w:num>
  <w:num w:numId="5">
    <w:abstractNumId w:val="2"/>
  </w:num>
  <w:num w:numId="6">
    <w:abstractNumId w:val="9"/>
  </w:num>
  <w:num w:numId="7">
    <w:abstractNumId w:val="7"/>
  </w:num>
  <w:num w:numId="8">
    <w:abstractNumId w:val="5"/>
  </w:num>
  <w:num w:numId="9">
    <w:abstractNumId w:val="13"/>
  </w:num>
  <w:num w:numId="10">
    <w:abstractNumId w:val="1"/>
  </w:num>
  <w:num w:numId="11">
    <w:abstractNumId w:val="8"/>
  </w:num>
  <w:num w:numId="12">
    <w:abstractNumId w:val="15"/>
  </w:num>
  <w:num w:numId="13">
    <w:abstractNumId w:val="4"/>
  </w:num>
  <w:num w:numId="14">
    <w:abstractNumId w:val="16"/>
  </w:num>
  <w:num w:numId="15">
    <w:abstractNumId w:val="17"/>
  </w:num>
  <w:num w:numId="16">
    <w:abstractNumId w:val="11"/>
  </w:num>
  <w:num w:numId="17">
    <w:abstractNumId w:val="0"/>
  </w:num>
  <w:num w:numId="18">
    <w:abstractNumId w:val="6"/>
  </w:num>
  <w:num w:numId="19">
    <w:abstractNumId w:val="6"/>
    <w:lvlOverride w:ilvl="0">
      <w:startOverride w:val="1"/>
    </w:lvlOverride>
  </w:num>
  <w:num w:numId="20">
    <w:abstractNumId w:val="6"/>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efaultTableStyle w:val="APPR"/>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9F"/>
    <w:rsid w:val="0001007E"/>
    <w:rsid w:val="00020D1E"/>
    <w:rsid w:val="00030111"/>
    <w:rsid w:val="000534A7"/>
    <w:rsid w:val="0006514E"/>
    <w:rsid w:val="000745E2"/>
    <w:rsid w:val="000774FD"/>
    <w:rsid w:val="000C29BF"/>
    <w:rsid w:val="000C6080"/>
    <w:rsid w:val="000C60A8"/>
    <w:rsid w:val="001100BD"/>
    <w:rsid w:val="00112E97"/>
    <w:rsid w:val="00120FC7"/>
    <w:rsid w:val="0017492E"/>
    <w:rsid w:val="001B01F6"/>
    <w:rsid w:val="001D20FC"/>
    <w:rsid w:val="001D210A"/>
    <w:rsid w:val="001E6CF1"/>
    <w:rsid w:val="00227071"/>
    <w:rsid w:val="00231D45"/>
    <w:rsid w:val="00255D0C"/>
    <w:rsid w:val="002A1FB4"/>
    <w:rsid w:val="002A22F7"/>
    <w:rsid w:val="002B433A"/>
    <w:rsid w:val="002E5304"/>
    <w:rsid w:val="002F46F5"/>
    <w:rsid w:val="002F479A"/>
    <w:rsid w:val="003223F8"/>
    <w:rsid w:val="0032486D"/>
    <w:rsid w:val="003327F8"/>
    <w:rsid w:val="00352AE5"/>
    <w:rsid w:val="00357AF7"/>
    <w:rsid w:val="0036262C"/>
    <w:rsid w:val="00395CFA"/>
    <w:rsid w:val="0039799D"/>
    <w:rsid w:val="003A05C5"/>
    <w:rsid w:val="003A1145"/>
    <w:rsid w:val="003A7D64"/>
    <w:rsid w:val="00401F30"/>
    <w:rsid w:val="00406302"/>
    <w:rsid w:val="0041147F"/>
    <w:rsid w:val="00415A92"/>
    <w:rsid w:val="00445A3B"/>
    <w:rsid w:val="0045166A"/>
    <w:rsid w:val="004757A6"/>
    <w:rsid w:val="004C660D"/>
    <w:rsid w:val="004D00B2"/>
    <w:rsid w:val="004D1529"/>
    <w:rsid w:val="004E7F30"/>
    <w:rsid w:val="00503974"/>
    <w:rsid w:val="0050529F"/>
    <w:rsid w:val="005265B9"/>
    <w:rsid w:val="00535E24"/>
    <w:rsid w:val="0054557A"/>
    <w:rsid w:val="00575295"/>
    <w:rsid w:val="00591D81"/>
    <w:rsid w:val="0060695B"/>
    <w:rsid w:val="00617F30"/>
    <w:rsid w:val="00627AF1"/>
    <w:rsid w:val="00640C24"/>
    <w:rsid w:val="00654E8A"/>
    <w:rsid w:val="00657398"/>
    <w:rsid w:val="00683FFB"/>
    <w:rsid w:val="006863D5"/>
    <w:rsid w:val="00697EDB"/>
    <w:rsid w:val="006A30F5"/>
    <w:rsid w:val="006C6800"/>
    <w:rsid w:val="006E120D"/>
    <w:rsid w:val="006E7FA8"/>
    <w:rsid w:val="006F4623"/>
    <w:rsid w:val="00701FEA"/>
    <w:rsid w:val="00702945"/>
    <w:rsid w:val="00703B72"/>
    <w:rsid w:val="00706DE1"/>
    <w:rsid w:val="00714BA3"/>
    <w:rsid w:val="00721098"/>
    <w:rsid w:val="00750E77"/>
    <w:rsid w:val="007520E4"/>
    <w:rsid w:val="00767F39"/>
    <w:rsid w:val="007A3C6A"/>
    <w:rsid w:val="007A5821"/>
    <w:rsid w:val="007A7FB5"/>
    <w:rsid w:val="007B4D08"/>
    <w:rsid w:val="00811573"/>
    <w:rsid w:val="0081667A"/>
    <w:rsid w:val="00830647"/>
    <w:rsid w:val="00830E80"/>
    <w:rsid w:val="0084763C"/>
    <w:rsid w:val="00851D3D"/>
    <w:rsid w:val="00881CA9"/>
    <w:rsid w:val="008D745E"/>
    <w:rsid w:val="008E4366"/>
    <w:rsid w:val="008F711E"/>
    <w:rsid w:val="00954EF3"/>
    <w:rsid w:val="009A1E07"/>
    <w:rsid w:val="009C4804"/>
    <w:rsid w:val="009F0F18"/>
    <w:rsid w:val="00A05140"/>
    <w:rsid w:val="00A10DE1"/>
    <w:rsid w:val="00A3552E"/>
    <w:rsid w:val="00AC14D4"/>
    <w:rsid w:val="00AD1CD3"/>
    <w:rsid w:val="00AE136C"/>
    <w:rsid w:val="00AF0FDD"/>
    <w:rsid w:val="00AF7987"/>
    <w:rsid w:val="00B21A36"/>
    <w:rsid w:val="00B2497B"/>
    <w:rsid w:val="00B328DA"/>
    <w:rsid w:val="00B56551"/>
    <w:rsid w:val="00B638BD"/>
    <w:rsid w:val="00B80707"/>
    <w:rsid w:val="00B84832"/>
    <w:rsid w:val="00BC1984"/>
    <w:rsid w:val="00BD1FAB"/>
    <w:rsid w:val="00BE0D5C"/>
    <w:rsid w:val="00BF0AA7"/>
    <w:rsid w:val="00C116F7"/>
    <w:rsid w:val="00C36C67"/>
    <w:rsid w:val="00C47C71"/>
    <w:rsid w:val="00C73401"/>
    <w:rsid w:val="00C75AB0"/>
    <w:rsid w:val="00C83741"/>
    <w:rsid w:val="00CA4C7F"/>
    <w:rsid w:val="00CC04CC"/>
    <w:rsid w:val="00CD3B96"/>
    <w:rsid w:val="00D05E89"/>
    <w:rsid w:val="00D05ED7"/>
    <w:rsid w:val="00D0608D"/>
    <w:rsid w:val="00D1619E"/>
    <w:rsid w:val="00D56FF4"/>
    <w:rsid w:val="00D707CE"/>
    <w:rsid w:val="00D74036"/>
    <w:rsid w:val="00D76E5C"/>
    <w:rsid w:val="00D94097"/>
    <w:rsid w:val="00D97E6C"/>
    <w:rsid w:val="00DA7DA7"/>
    <w:rsid w:val="00DF2ACE"/>
    <w:rsid w:val="00E1199E"/>
    <w:rsid w:val="00E27C9F"/>
    <w:rsid w:val="00E45605"/>
    <w:rsid w:val="00E56811"/>
    <w:rsid w:val="00E6139F"/>
    <w:rsid w:val="00EA70E9"/>
    <w:rsid w:val="00EB3D8A"/>
    <w:rsid w:val="00ED2536"/>
    <w:rsid w:val="00EF2769"/>
    <w:rsid w:val="00F6071E"/>
    <w:rsid w:val="00F65284"/>
    <w:rsid w:val="00F654FE"/>
    <w:rsid w:val="00F73FCA"/>
    <w:rsid w:val="00F9413F"/>
    <w:rsid w:val="00FA5F1F"/>
    <w:rsid w:val="00FD3698"/>
    <w:rsid w:val="00FE1536"/>
    <w:rsid w:val="00FE25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annotation text" w:uiPriority="0"/>
    <w:lsdException w:name="header" w:uiPriority="0"/>
    <w:lsdException w:name="footer" w:uiPriority="0"/>
    <w:lsdException w:name="caption"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4CC"/>
    <w:rPr>
      <w:rFonts w:ascii="Times New Roman" w:eastAsia="SimSun" w:hAnsi="Times New Roman"/>
      <w:szCs w:val="24"/>
      <w:lang w:val="en-AU" w:eastAsia="en-AU"/>
    </w:rPr>
  </w:style>
  <w:style w:type="paragraph" w:styleId="Heading1">
    <w:name w:val="heading 1"/>
    <w:basedOn w:val="Normal"/>
    <w:next w:val="Normal"/>
    <w:link w:val="Heading1Char"/>
    <w:qFormat/>
    <w:rsid w:val="0050529F"/>
    <w:pPr>
      <w:keepNext/>
      <w:keepLines/>
      <w:spacing w:before="480"/>
      <w:outlineLvl w:val="0"/>
    </w:pPr>
    <w:rPr>
      <w:rFonts w:ascii="Cambria" w:eastAsia="Times New Roman" w:hAnsi="Cambria"/>
      <w:b/>
      <w:bCs/>
      <w:color w:val="365F91"/>
      <w:sz w:val="28"/>
      <w:szCs w:val="28"/>
      <w:lang w:val="x-none" w:eastAsia="x-none"/>
    </w:rPr>
  </w:style>
  <w:style w:type="paragraph" w:styleId="Heading2">
    <w:name w:val="heading 2"/>
    <w:basedOn w:val="Heading1"/>
    <w:next w:val="BodyText"/>
    <w:link w:val="Heading2Char"/>
    <w:qFormat/>
    <w:rsid w:val="0050529F"/>
    <w:pPr>
      <w:keepNext w:val="0"/>
      <w:keepLines w:val="0"/>
      <w:numPr>
        <w:ilvl w:val="1"/>
        <w:numId w:val="1"/>
      </w:numPr>
      <w:spacing w:before="380" w:line="280" w:lineRule="atLeast"/>
      <w:outlineLvl w:val="1"/>
    </w:pPr>
    <w:rPr>
      <w:rFonts w:ascii="Franklin Gothic Medium" w:hAnsi="Franklin Gothic Medium"/>
      <w:b w:val="0"/>
      <w:bCs w:val="0"/>
      <w:color w:val="5A9A98"/>
      <w:sz w:val="24"/>
      <w:szCs w:val="24"/>
    </w:rPr>
  </w:style>
  <w:style w:type="paragraph" w:styleId="Heading3">
    <w:name w:val="heading 3"/>
    <w:basedOn w:val="Heading2"/>
    <w:link w:val="Heading3Char"/>
    <w:autoRedefine/>
    <w:qFormat/>
    <w:rsid w:val="00535E24"/>
    <w:pPr>
      <w:keepNext/>
      <w:numPr>
        <w:ilvl w:val="2"/>
        <w:numId w:val="0"/>
      </w:numPr>
      <w:spacing w:before="300" w:line="260" w:lineRule="atLeast"/>
      <w:outlineLvl w:val="2"/>
    </w:pPr>
    <w:rPr>
      <w:color w:val="54534A"/>
      <w:sz w:val="20"/>
      <w:szCs w:val="20"/>
      <w:lang w:eastAsia="zh-CN"/>
    </w:rPr>
  </w:style>
  <w:style w:type="paragraph" w:styleId="Heading4">
    <w:name w:val="heading 4"/>
    <w:basedOn w:val="BodyText"/>
    <w:next w:val="BodyText"/>
    <w:link w:val="Heading4Char"/>
    <w:qFormat/>
    <w:rsid w:val="0050529F"/>
    <w:pPr>
      <w:numPr>
        <w:ilvl w:val="3"/>
        <w:numId w:val="1"/>
      </w:numPr>
      <w:spacing w:before="320" w:after="0"/>
      <w:outlineLvl w:val="3"/>
    </w:pPr>
    <w:rPr>
      <w:b/>
      <w:color w:val="54534A"/>
      <w:sz w:val="20"/>
      <w:szCs w:val="20"/>
    </w:rPr>
  </w:style>
  <w:style w:type="paragraph" w:styleId="Heading5">
    <w:name w:val="heading 5"/>
    <w:basedOn w:val="BodyText"/>
    <w:next w:val="BodyText"/>
    <w:link w:val="Heading5Char"/>
    <w:qFormat/>
    <w:rsid w:val="0050529F"/>
    <w:pPr>
      <w:keepNext/>
      <w:numPr>
        <w:ilvl w:val="4"/>
        <w:numId w:val="1"/>
      </w:numPr>
      <w:spacing w:before="320" w:after="0"/>
      <w:outlineLvl w:val="4"/>
    </w:pPr>
    <w:rPr>
      <w:b/>
      <w:color w:val="54534A"/>
    </w:rPr>
  </w:style>
  <w:style w:type="paragraph" w:styleId="Heading6">
    <w:name w:val="heading 6"/>
    <w:basedOn w:val="Heading1"/>
    <w:next w:val="BodyText"/>
    <w:link w:val="Heading6Char"/>
    <w:qFormat/>
    <w:rsid w:val="0050529F"/>
    <w:pPr>
      <w:keepNext w:val="0"/>
      <w:keepLines w:val="0"/>
      <w:numPr>
        <w:ilvl w:val="5"/>
        <w:numId w:val="1"/>
      </w:numPr>
      <w:spacing w:before="0" w:after="240" w:line="280" w:lineRule="atLeast"/>
      <w:outlineLvl w:val="5"/>
    </w:pPr>
    <w:rPr>
      <w:rFonts w:ascii="Times New Roman" w:hAnsi="Times New Roman"/>
      <w:b w:val="0"/>
      <w:color w:val="auto"/>
      <w:sz w:val="24"/>
      <w:szCs w:val="19"/>
    </w:rPr>
  </w:style>
  <w:style w:type="paragraph" w:styleId="Heading7">
    <w:name w:val="heading 7"/>
    <w:basedOn w:val="Heading2"/>
    <w:next w:val="BodyText"/>
    <w:link w:val="Heading7Char"/>
    <w:qFormat/>
    <w:rsid w:val="0050529F"/>
    <w:pPr>
      <w:numPr>
        <w:ilvl w:val="6"/>
      </w:numPr>
      <w:outlineLvl w:val="6"/>
    </w:pPr>
    <w:rPr>
      <w:rFonts w:ascii="Franklin Gothic Demi" w:hAnsi="Franklin Gothic Demi"/>
      <w:sz w:val="28"/>
      <w:szCs w:val="28"/>
    </w:rPr>
  </w:style>
  <w:style w:type="paragraph" w:styleId="Heading8">
    <w:name w:val="heading 8"/>
    <w:basedOn w:val="Heading3"/>
    <w:next w:val="BodyText"/>
    <w:link w:val="Heading8Char"/>
    <w:qFormat/>
    <w:rsid w:val="0050529F"/>
    <w:pPr>
      <w:numPr>
        <w:ilvl w:val="7"/>
      </w:numPr>
      <w:outlineLvl w:val="7"/>
    </w:pPr>
    <w:rPr>
      <w:lang w:eastAsia="x-none"/>
    </w:rPr>
  </w:style>
  <w:style w:type="paragraph" w:styleId="Heading9">
    <w:name w:val="heading 9"/>
    <w:basedOn w:val="Heading4"/>
    <w:next w:val="BodyText"/>
    <w:link w:val="Heading9Char"/>
    <w:qFormat/>
    <w:rsid w:val="0050529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Subtitle"/>
    <w:next w:val="BodyText"/>
    <w:link w:val="DateChar"/>
    <w:semiHidden/>
    <w:rsid w:val="00B638BD"/>
    <w:pPr>
      <w:numPr>
        <w:ilvl w:val="0"/>
      </w:numPr>
      <w:spacing w:before="80" w:after="80" w:line="280" w:lineRule="atLeast"/>
    </w:pPr>
    <w:rPr>
      <w:rFonts w:ascii="Arial" w:hAnsi="Arial"/>
      <w:i w:val="0"/>
      <w:iCs w:val="0"/>
      <w:color w:val="FFFFFF"/>
      <w:spacing w:val="-10"/>
      <w:kern w:val="28"/>
    </w:rPr>
  </w:style>
  <w:style w:type="character" w:customStyle="1" w:styleId="DateChar">
    <w:name w:val="Date Char"/>
    <w:link w:val="Date"/>
    <w:semiHidden/>
    <w:rsid w:val="00B638BD"/>
    <w:rPr>
      <w:rFonts w:ascii="Arial" w:eastAsia="Times New Roman" w:hAnsi="Arial" w:cs="Arial"/>
      <w:color w:val="FFFFFF"/>
      <w:spacing w:val="-10"/>
      <w:kern w:val="28"/>
      <w:sz w:val="24"/>
      <w:szCs w:val="24"/>
    </w:rPr>
  </w:style>
  <w:style w:type="paragraph" w:customStyle="1" w:styleId="APPRTitle">
    <w:name w:val="APPR Title"/>
    <w:basedOn w:val="Title"/>
    <w:autoRedefine/>
    <w:qFormat/>
    <w:rsid w:val="00703B72"/>
    <w:pPr>
      <w:pageBreakBefore/>
      <w:pBdr>
        <w:bottom w:val="none" w:sz="0" w:space="0" w:color="auto"/>
      </w:pBdr>
      <w:spacing w:before="80" w:after="80" w:line="280" w:lineRule="atLeast"/>
      <w:ind w:right="-567"/>
      <w:contextualSpacing w:val="0"/>
    </w:pPr>
    <w:rPr>
      <w:rFonts w:ascii="Arial" w:hAnsi="Arial"/>
      <w:color w:val="AD495D"/>
      <w:spacing w:val="-10"/>
      <w:sz w:val="40"/>
      <w:szCs w:val="20"/>
    </w:rPr>
  </w:style>
  <w:style w:type="paragraph" w:styleId="Subtitle">
    <w:name w:val="Subtitle"/>
    <w:basedOn w:val="Normal"/>
    <w:next w:val="Normal"/>
    <w:link w:val="SubtitleChar"/>
    <w:qFormat/>
    <w:rsid w:val="0050529F"/>
    <w:pPr>
      <w:numPr>
        <w:ilvl w:val="1"/>
      </w:numPr>
    </w:pPr>
    <w:rPr>
      <w:rFonts w:ascii="Cambria" w:eastAsia="Times New Roman" w:hAnsi="Cambria"/>
      <w:i/>
      <w:iCs/>
      <w:color w:val="4F81BD"/>
      <w:spacing w:val="15"/>
      <w:sz w:val="24"/>
      <w:lang w:val="x-none" w:eastAsia="x-none"/>
    </w:rPr>
  </w:style>
  <w:style w:type="character" w:customStyle="1" w:styleId="SubtitleChar">
    <w:name w:val="Subtitle Char"/>
    <w:link w:val="Subtitle"/>
    <w:rsid w:val="0050529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50529F"/>
    <w:pPr>
      <w:pBdr>
        <w:bottom w:val="single" w:sz="8" w:space="4" w:color="4F81BD"/>
      </w:pBdr>
      <w:spacing w:after="300"/>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rsid w:val="0050529F"/>
    <w:rPr>
      <w:rFonts w:ascii="Cambria" w:eastAsia="Times New Roman" w:hAnsi="Cambria" w:cs="Times New Roman"/>
      <w:color w:val="17365D"/>
      <w:spacing w:val="5"/>
      <w:kern w:val="28"/>
      <w:sz w:val="52"/>
      <w:szCs w:val="52"/>
    </w:rPr>
  </w:style>
  <w:style w:type="paragraph" w:styleId="Header">
    <w:name w:val="header"/>
    <w:basedOn w:val="Normal"/>
    <w:link w:val="HeaderChar"/>
    <w:unhideWhenUsed/>
    <w:rsid w:val="0050529F"/>
    <w:pPr>
      <w:tabs>
        <w:tab w:val="center" w:pos="4513"/>
        <w:tab w:val="right" w:pos="9026"/>
      </w:tabs>
    </w:pPr>
  </w:style>
  <w:style w:type="character" w:customStyle="1" w:styleId="HeaderChar">
    <w:name w:val="Header Char"/>
    <w:basedOn w:val="DefaultParagraphFont"/>
    <w:link w:val="Header"/>
    <w:uiPriority w:val="99"/>
    <w:rsid w:val="0050529F"/>
  </w:style>
  <w:style w:type="paragraph" w:styleId="Footer">
    <w:name w:val="footer"/>
    <w:basedOn w:val="Normal"/>
    <w:link w:val="FooterChar"/>
    <w:unhideWhenUsed/>
    <w:rsid w:val="0050529F"/>
    <w:pPr>
      <w:tabs>
        <w:tab w:val="center" w:pos="4513"/>
        <w:tab w:val="right" w:pos="9026"/>
      </w:tabs>
    </w:pPr>
  </w:style>
  <w:style w:type="character" w:customStyle="1" w:styleId="FooterChar">
    <w:name w:val="Footer Char"/>
    <w:basedOn w:val="DefaultParagraphFont"/>
    <w:link w:val="Footer"/>
    <w:uiPriority w:val="99"/>
    <w:rsid w:val="0050529F"/>
  </w:style>
  <w:style w:type="paragraph" w:styleId="BodyText">
    <w:name w:val="Body Text"/>
    <w:basedOn w:val="Normal"/>
    <w:link w:val="BodyTextChar"/>
    <w:uiPriority w:val="99"/>
    <w:qFormat/>
    <w:rsid w:val="0081667A"/>
    <w:pPr>
      <w:spacing w:after="120"/>
    </w:pPr>
    <w:rPr>
      <w:rFonts w:eastAsia="Times New Roman"/>
      <w:sz w:val="24"/>
      <w:lang w:val="x-none" w:eastAsia="x-none"/>
    </w:rPr>
  </w:style>
  <w:style w:type="character" w:customStyle="1" w:styleId="BodyTextChar">
    <w:name w:val="Body Text Char"/>
    <w:link w:val="BodyText"/>
    <w:uiPriority w:val="99"/>
    <w:rsid w:val="0081667A"/>
    <w:rPr>
      <w:rFonts w:ascii="Times New Roman" w:eastAsia="Times New Roman" w:hAnsi="Times New Roman" w:cs="Times New Roman"/>
      <w:sz w:val="24"/>
      <w:szCs w:val="24"/>
    </w:rPr>
  </w:style>
  <w:style w:type="character" w:styleId="FootnoteReference">
    <w:name w:val="footnote reference"/>
    <w:rsid w:val="00954EF3"/>
    <w:rPr>
      <w:rFonts w:ascii="Times New Roman" w:hAnsi="Times New Roman"/>
      <w:position w:val="6"/>
      <w:sz w:val="16"/>
      <w:szCs w:val="16"/>
    </w:rPr>
  </w:style>
  <w:style w:type="paragraph" w:styleId="FootnoteText">
    <w:name w:val="footnote text"/>
    <w:basedOn w:val="BodyText"/>
    <w:link w:val="FootnoteTextChar"/>
    <w:uiPriority w:val="99"/>
    <w:rsid w:val="0050529F"/>
    <w:pPr>
      <w:spacing w:after="0" w:line="180" w:lineRule="atLeast"/>
    </w:pPr>
    <w:rPr>
      <w:sz w:val="14"/>
      <w:szCs w:val="14"/>
    </w:rPr>
  </w:style>
  <w:style w:type="character" w:customStyle="1" w:styleId="FootnoteTextChar">
    <w:name w:val="Footnote Text Char"/>
    <w:link w:val="FootnoteText"/>
    <w:uiPriority w:val="99"/>
    <w:rsid w:val="0050529F"/>
    <w:rPr>
      <w:rFonts w:ascii="Times New Roman" w:eastAsia="Times New Roman" w:hAnsi="Times New Roman" w:cs="Times New Roman"/>
      <w:sz w:val="14"/>
      <w:szCs w:val="14"/>
    </w:rPr>
  </w:style>
  <w:style w:type="paragraph" w:customStyle="1" w:styleId="APPRHeading1">
    <w:name w:val="APPR Heading 1"/>
    <w:basedOn w:val="Normal"/>
    <w:next w:val="BodyText"/>
    <w:autoRedefine/>
    <w:qFormat/>
    <w:rsid w:val="00EF2769"/>
    <w:pPr>
      <w:keepNext/>
      <w:spacing w:before="360" w:after="120"/>
      <w:outlineLvl w:val="0"/>
    </w:pPr>
    <w:rPr>
      <w:rFonts w:ascii="Arial" w:eastAsia="Times New Roman" w:hAnsi="Arial" w:cs="Arial"/>
      <w:b/>
      <w:color w:val="AD495D"/>
      <w:kern w:val="28"/>
      <w:sz w:val="28"/>
      <w:szCs w:val="28"/>
    </w:rPr>
  </w:style>
  <w:style w:type="character" w:customStyle="1" w:styleId="Heading2Char">
    <w:name w:val="Heading 2 Char"/>
    <w:link w:val="Heading2"/>
    <w:rsid w:val="0050529F"/>
    <w:rPr>
      <w:rFonts w:ascii="Franklin Gothic Medium" w:eastAsia="Times New Roman" w:hAnsi="Franklin Gothic Medium" w:cs="Times New Roman"/>
      <w:color w:val="5A9A98"/>
      <w:sz w:val="24"/>
      <w:szCs w:val="24"/>
    </w:rPr>
  </w:style>
  <w:style w:type="character" w:customStyle="1" w:styleId="Heading3Char">
    <w:name w:val="Heading 3 Char"/>
    <w:link w:val="Heading3"/>
    <w:rsid w:val="00535E24"/>
    <w:rPr>
      <w:rFonts w:ascii="Franklin Gothic Medium" w:eastAsia="Times New Roman" w:hAnsi="Franklin Gothic Medium" w:cs="Times New Roman"/>
      <w:color w:val="54534A"/>
      <w:lang w:eastAsia="zh-CN"/>
    </w:rPr>
  </w:style>
  <w:style w:type="character" w:customStyle="1" w:styleId="Heading4Char">
    <w:name w:val="Heading 4 Char"/>
    <w:link w:val="Heading4"/>
    <w:rsid w:val="0050529F"/>
    <w:rPr>
      <w:rFonts w:ascii="Times New Roman" w:eastAsia="Times New Roman" w:hAnsi="Times New Roman" w:cs="Times New Roman"/>
      <w:b/>
      <w:color w:val="54534A"/>
    </w:rPr>
  </w:style>
  <w:style w:type="character" w:customStyle="1" w:styleId="Heading5Char">
    <w:name w:val="Heading 5 Char"/>
    <w:link w:val="Heading5"/>
    <w:rsid w:val="0050529F"/>
    <w:rPr>
      <w:rFonts w:ascii="Times New Roman" w:eastAsia="Times New Roman" w:hAnsi="Times New Roman" w:cs="Times New Roman"/>
      <w:b/>
      <w:color w:val="54534A"/>
      <w:sz w:val="24"/>
      <w:szCs w:val="24"/>
    </w:rPr>
  </w:style>
  <w:style w:type="character" w:customStyle="1" w:styleId="Heading6Char">
    <w:name w:val="Heading 6 Char"/>
    <w:link w:val="Heading6"/>
    <w:rsid w:val="0050529F"/>
    <w:rPr>
      <w:rFonts w:ascii="Times New Roman" w:eastAsia="Times New Roman" w:hAnsi="Times New Roman" w:cs="Times New Roman"/>
      <w:bCs/>
      <w:sz w:val="24"/>
      <w:szCs w:val="19"/>
    </w:rPr>
  </w:style>
  <w:style w:type="character" w:customStyle="1" w:styleId="Heading7Char">
    <w:name w:val="Heading 7 Char"/>
    <w:link w:val="Heading7"/>
    <w:rsid w:val="0050529F"/>
    <w:rPr>
      <w:rFonts w:ascii="Franklin Gothic Demi" w:eastAsia="Times New Roman" w:hAnsi="Franklin Gothic Demi" w:cs="Times New Roman"/>
      <w:color w:val="5A9A98"/>
      <w:sz w:val="28"/>
      <w:szCs w:val="28"/>
    </w:rPr>
  </w:style>
  <w:style w:type="character" w:customStyle="1" w:styleId="Heading8Char">
    <w:name w:val="Heading 8 Char"/>
    <w:link w:val="Heading8"/>
    <w:rsid w:val="0050529F"/>
    <w:rPr>
      <w:rFonts w:ascii="Franklin Gothic Medium" w:eastAsia="Times New Roman" w:hAnsi="Franklin Gothic Medium" w:cs="Times New Roman"/>
      <w:color w:val="54534A"/>
    </w:rPr>
  </w:style>
  <w:style w:type="character" w:customStyle="1" w:styleId="Heading9Char">
    <w:name w:val="Heading 9 Char"/>
    <w:link w:val="Heading9"/>
    <w:rsid w:val="0050529F"/>
    <w:rPr>
      <w:rFonts w:ascii="Times New Roman" w:eastAsia="Times New Roman" w:hAnsi="Times New Roman" w:cs="Times New Roman"/>
      <w:b/>
      <w:color w:val="54534A"/>
    </w:rPr>
  </w:style>
  <w:style w:type="paragraph" w:styleId="Caption">
    <w:name w:val="caption"/>
    <w:basedOn w:val="Normal"/>
    <w:next w:val="BodyText"/>
    <w:uiPriority w:val="99"/>
    <w:qFormat/>
    <w:rsid w:val="0050529F"/>
    <w:pPr>
      <w:keepNext/>
      <w:spacing w:before="80" w:after="80" w:line="280" w:lineRule="atLeast"/>
    </w:pPr>
    <w:rPr>
      <w:rFonts w:ascii="Arial" w:eastAsia="Times New Roman" w:hAnsi="Arial" w:cs="Arial"/>
      <w:color w:val="7E6D5F"/>
      <w:szCs w:val="19"/>
    </w:rPr>
  </w:style>
  <w:style w:type="paragraph" w:customStyle="1" w:styleId="Note">
    <w:name w:val="Note"/>
    <w:basedOn w:val="TableTextEntries"/>
    <w:next w:val="Normal"/>
    <w:link w:val="NoteCharChar"/>
    <w:autoRedefine/>
    <w:rsid w:val="00D74036"/>
    <w:pPr>
      <w:keepNext/>
      <w:spacing w:before="20" w:after="20" w:line="180" w:lineRule="atLeast"/>
    </w:pPr>
    <w:rPr>
      <w:iCs/>
      <w:sz w:val="14"/>
      <w:szCs w:val="14"/>
      <w:lang w:val="x-none" w:eastAsia="x-none"/>
    </w:rPr>
  </w:style>
  <w:style w:type="paragraph" w:customStyle="1" w:styleId="TableTextEntries">
    <w:name w:val="Table Text Entries"/>
    <w:basedOn w:val="Normal"/>
    <w:rsid w:val="0050529F"/>
    <w:pPr>
      <w:keepLines/>
      <w:spacing w:before="40" w:after="40" w:line="200" w:lineRule="atLeast"/>
    </w:pPr>
    <w:rPr>
      <w:rFonts w:ascii="Franklin Gothic Book" w:eastAsia="Times New Roman" w:hAnsi="Franklin Gothic Book"/>
      <w:sz w:val="17"/>
      <w:szCs w:val="17"/>
      <w:lang w:eastAsia="en-US"/>
    </w:rPr>
  </w:style>
  <w:style w:type="paragraph" w:customStyle="1" w:styleId="TableDataEntries">
    <w:name w:val="Table Data Entries"/>
    <w:basedOn w:val="TableTextEntries"/>
    <w:uiPriority w:val="99"/>
    <w:rsid w:val="0050529F"/>
    <w:pPr>
      <w:jc w:val="right"/>
    </w:pPr>
  </w:style>
  <w:style w:type="paragraph" w:customStyle="1" w:styleId="TableDataColumnHeading">
    <w:name w:val="Table Data Column Heading"/>
    <w:basedOn w:val="TableDataEntries"/>
    <w:uiPriority w:val="99"/>
    <w:rsid w:val="0050529F"/>
    <w:pPr>
      <w:spacing w:before="80" w:after="80"/>
    </w:pPr>
    <w:rPr>
      <w:rFonts w:ascii="Franklin Gothic Medium" w:hAnsi="Franklin Gothic Medium"/>
    </w:rPr>
  </w:style>
  <w:style w:type="paragraph" w:customStyle="1" w:styleId="TableTextColumnHeading">
    <w:name w:val="Table Text Column Heading"/>
    <w:basedOn w:val="TableDataColumnHeading"/>
    <w:autoRedefine/>
    <w:rsid w:val="006A30F5"/>
    <w:pPr>
      <w:jc w:val="left"/>
    </w:pPr>
    <w:rPr>
      <w:b/>
    </w:rPr>
  </w:style>
  <w:style w:type="paragraph" w:customStyle="1" w:styleId="NoteNumber">
    <w:name w:val="Note Number"/>
    <w:basedOn w:val="TableTextEntries"/>
    <w:link w:val="NoteNumberCharChar"/>
    <w:rsid w:val="00701FEA"/>
    <w:pPr>
      <w:numPr>
        <w:numId w:val="2"/>
      </w:numPr>
      <w:spacing w:after="0" w:line="180" w:lineRule="atLeast"/>
    </w:pPr>
    <w:rPr>
      <w:rFonts w:ascii="Times New Roman" w:hAnsi="Times New Roman"/>
      <w:sz w:val="14"/>
      <w:szCs w:val="14"/>
      <w:lang w:val="x-none"/>
    </w:rPr>
  </w:style>
  <w:style w:type="character" w:customStyle="1" w:styleId="NoteCharChar">
    <w:name w:val="Note Char Char"/>
    <w:link w:val="Note"/>
    <w:rsid w:val="00D74036"/>
    <w:rPr>
      <w:rFonts w:ascii="Franklin Gothic Book" w:eastAsia="Times New Roman" w:hAnsi="Franklin Gothic Book" w:cs="Times New Roman"/>
      <w:iCs/>
      <w:sz w:val="14"/>
      <w:szCs w:val="14"/>
    </w:rPr>
  </w:style>
  <w:style w:type="character" w:customStyle="1" w:styleId="NoteNumberCharChar">
    <w:name w:val="Note Number Char Char"/>
    <w:link w:val="NoteNumber"/>
    <w:rsid w:val="00701FEA"/>
    <w:rPr>
      <w:rFonts w:ascii="Times New Roman" w:eastAsia="Times New Roman" w:hAnsi="Times New Roman" w:cs="Times New Roman"/>
      <w:sz w:val="14"/>
      <w:szCs w:val="14"/>
      <w:lang w:eastAsia="en-US"/>
    </w:rPr>
  </w:style>
  <w:style w:type="paragraph" w:customStyle="1" w:styleId="Ratingbullet">
    <w:name w:val="Rating bullet"/>
    <w:basedOn w:val="TableTextEntries"/>
    <w:semiHidden/>
    <w:rsid w:val="0050529F"/>
    <w:pPr>
      <w:jc w:val="center"/>
    </w:pPr>
    <w:rPr>
      <w:sz w:val="22"/>
      <w:szCs w:val="22"/>
    </w:rPr>
  </w:style>
  <w:style w:type="character" w:customStyle="1" w:styleId="Heading1Char">
    <w:name w:val="Heading 1 Char"/>
    <w:link w:val="Heading1"/>
    <w:rsid w:val="0050529F"/>
    <w:rPr>
      <w:rFonts w:ascii="Cambria" w:eastAsia="Times New Roman" w:hAnsi="Cambria" w:cs="Times New Roman"/>
      <w:b/>
      <w:bCs/>
      <w:color w:val="365F91"/>
      <w:sz w:val="28"/>
      <w:szCs w:val="28"/>
    </w:rPr>
  </w:style>
  <w:style w:type="paragraph" w:customStyle="1" w:styleId="APPRHeading2">
    <w:name w:val="APPR Heading 2"/>
    <w:basedOn w:val="APPRHeading1"/>
    <w:next w:val="BodyText"/>
    <w:qFormat/>
    <w:rsid w:val="00BE0D5C"/>
    <w:pPr>
      <w:outlineLvl w:val="1"/>
    </w:pPr>
    <w:rPr>
      <w:sz w:val="24"/>
    </w:rPr>
  </w:style>
  <w:style w:type="paragraph" w:styleId="ListParagraph">
    <w:name w:val="List Paragraph"/>
    <w:basedOn w:val="BodyText"/>
    <w:autoRedefine/>
    <w:uiPriority w:val="34"/>
    <w:qFormat/>
    <w:rsid w:val="00830647"/>
    <w:pPr>
      <w:numPr>
        <w:numId w:val="3"/>
      </w:numPr>
      <w:ind w:left="714" w:hanging="357"/>
    </w:pPr>
  </w:style>
  <w:style w:type="character" w:customStyle="1" w:styleId="DraftingNote">
    <w:name w:val="Drafting Note"/>
    <w:semiHidden/>
    <w:rsid w:val="0050529F"/>
    <w:rPr>
      <w:rFonts w:ascii="Georgia" w:hAnsi="Georgia"/>
      <w:b/>
      <w:color w:val="FF0000"/>
      <w:sz w:val="19"/>
      <w:szCs w:val="19"/>
      <w:u w:val="dotted"/>
    </w:rPr>
  </w:style>
  <w:style w:type="paragraph" w:customStyle="1" w:styleId="QuoteBullet">
    <w:name w:val="Quote Bullet"/>
    <w:rsid w:val="0050529F"/>
    <w:pPr>
      <w:numPr>
        <w:numId w:val="16"/>
      </w:numPr>
      <w:tabs>
        <w:tab w:val="clear" w:pos="567"/>
        <w:tab w:val="num" w:pos="284"/>
      </w:tabs>
      <w:spacing w:after="240" w:line="260" w:lineRule="atLeast"/>
      <w:ind w:left="284" w:hanging="284"/>
    </w:pPr>
    <w:rPr>
      <w:rFonts w:ascii="Times New Roman" w:eastAsia="Times New Roman" w:hAnsi="Times New Roman"/>
      <w:sz w:val="17"/>
      <w:szCs w:val="17"/>
      <w:lang w:val="en-AU" w:eastAsia="en-AU"/>
    </w:rPr>
  </w:style>
  <w:style w:type="paragraph" w:customStyle="1" w:styleId="Abbreviation">
    <w:name w:val="Abbreviation"/>
    <w:basedOn w:val="BodyText"/>
    <w:rsid w:val="0050529F"/>
    <w:pPr>
      <w:ind w:left="1418" w:hanging="1418"/>
    </w:pPr>
  </w:style>
  <w:style w:type="paragraph" w:customStyle="1" w:styleId="Ratingamber">
    <w:name w:val="Rating amber"/>
    <w:basedOn w:val="Normal"/>
    <w:semiHidden/>
    <w:rsid w:val="0050529F"/>
    <w:pPr>
      <w:numPr>
        <w:numId w:val="11"/>
      </w:numPr>
      <w:spacing w:before="80" w:after="80" w:line="280" w:lineRule="atLeast"/>
    </w:pPr>
    <w:rPr>
      <w:rFonts w:ascii="Georgia" w:eastAsia="Times New Roman" w:hAnsi="Georgia"/>
      <w:sz w:val="19"/>
      <w:szCs w:val="19"/>
    </w:rPr>
  </w:style>
  <w:style w:type="paragraph" w:styleId="ListBullet">
    <w:name w:val="List Bullet"/>
    <w:basedOn w:val="BodyText"/>
    <w:rsid w:val="0050529F"/>
    <w:pPr>
      <w:numPr>
        <w:numId w:val="15"/>
      </w:numPr>
    </w:pPr>
  </w:style>
  <w:style w:type="paragraph" w:styleId="ListBullet2">
    <w:name w:val="List Bullet 2"/>
    <w:basedOn w:val="ListBullet"/>
    <w:rsid w:val="0050529F"/>
    <w:pPr>
      <w:numPr>
        <w:numId w:val="13"/>
      </w:numPr>
      <w:ind w:left="568" w:hanging="284"/>
    </w:pPr>
  </w:style>
  <w:style w:type="paragraph" w:styleId="ListNumber">
    <w:name w:val="List Number"/>
    <w:basedOn w:val="ListBullet"/>
    <w:rsid w:val="0050529F"/>
  </w:style>
  <w:style w:type="paragraph" w:styleId="ListNumber2">
    <w:name w:val="List Number 2"/>
    <w:basedOn w:val="ListNumber"/>
    <w:rsid w:val="0050529F"/>
    <w:pPr>
      <w:numPr>
        <w:numId w:val="14"/>
      </w:numPr>
      <w:ind w:left="568" w:hanging="284"/>
    </w:pPr>
  </w:style>
  <w:style w:type="paragraph" w:customStyle="1" w:styleId="Ratinggreen">
    <w:name w:val="Rating green"/>
    <w:basedOn w:val="Ratingamber"/>
    <w:semiHidden/>
    <w:rsid w:val="0050529F"/>
    <w:pPr>
      <w:numPr>
        <w:numId w:val="12"/>
      </w:numPr>
    </w:pPr>
  </w:style>
  <w:style w:type="paragraph" w:customStyle="1" w:styleId="Reference">
    <w:name w:val="Reference"/>
    <w:basedOn w:val="BodyText"/>
    <w:semiHidden/>
    <w:rsid w:val="0050529F"/>
    <w:pPr>
      <w:keepLines/>
      <w:spacing w:before="60" w:after="60" w:line="260" w:lineRule="atLeast"/>
      <w:ind w:left="284" w:hanging="284"/>
    </w:pPr>
    <w:rPr>
      <w:sz w:val="17"/>
      <w:szCs w:val="17"/>
    </w:rPr>
  </w:style>
  <w:style w:type="paragraph" w:customStyle="1" w:styleId="Contents">
    <w:name w:val="Contents"/>
    <w:basedOn w:val="Normal"/>
    <w:next w:val="BodyText"/>
    <w:semiHidden/>
    <w:rsid w:val="0050529F"/>
    <w:pPr>
      <w:spacing w:before="460" w:after="100" w:line="320" w:lineRule="atLeast"/>
    </w:pPr>
    <w:rPr>
      <w:rFonts w:ascii="Franklin Gothic Demi" w:eastAsia="Times New Roman" w:hAnsi="Franklin Gothic Demi"/>
      <w:color w:val="AD495D"/>
      <w:kern w:val="28"/>
      <w:sz w:val="28"/>
      <w:szCs w:val="28"/>
    </w:rPr>
  </w:style>
  <w:style w:type="character" w:styleId="PageNumber">
    <w:name w:val="page number"/>
    <w:semiHidden/>
    <w:rsid w:val="0050529F"/>
    <w:rPr>
      <w:rFonts w:ascii="Franklin Gothic Medium" w:hAnsi="Franklin Gothic Medium"/>
      <w:color w:val="54534A"/>
      <w:sz w:val="14"/>
      <w:szCs w:val="14"/>
    </w:rPr>
  </w:style>
  <w:style w:type="paragraph" w:styleId="TOC1">
    <w:name w:val="toc 1"/>
    <w:basedOn w:val="BodyText"/>
    <w:next w:val="BodyText"/>
    <w:uiPriority w:val="39"/>
    <w:rsid w:val="0050529F"/>
    <w:pPr>
      <w:tabs>
        <w:tab w:val="left" w:pos="397"/>
        <w:tab w:val="right" w:pos="7938"/>
      </w:tabs>
      <w:spacing w:before="180" w:after="0"/>
      <w:ind w:left="397" w:right="567" w:hanging="397"/>
    </w:pPr>
    <w:rPr>
      <w:rFonts w:ascii="Franklin Gothic Medium" w:hAnsi="Franklin Gothic Medium"/>
      <w:color w:val="54534A"/>
    </w:rPr>
  </w:style>
  <w:style w:type="paragraph" w:styleId="TOC2">
    <w:name w:val="toc 2"/>
    <w:basedOn w:val="TOC1"/>
    <w:next w:val="TOC1"/>
    <w:uiPriority w:val="39"/>
    <w:rsid w:val="0050529F"/>
    <w:pPr>
      <w:spacing w:before="120" w:line="200" w:lineRule="atLeast"/>
      <w:ind w:left="0" w:firstLine="0"/>
    </w:pPr>
    <w:rPr>
      <w:rFonts w:ascii="Franklin Gothic Book" w:hAnsi="Franklin Gothic Book"/>
      <w:color w:val="5A9A98"/>
      <w:sz w:val="21"/>
      <w:szCs w:val="21"/>
    </w:rPr>
  </w:style>
  <w:style w:type="paragraph" w:customStyle="1" w:styleId="Reporttype">
    <w:name w:val="Report type"/>
    <w:basedOn w:val="BodyText"/>
    <w:semiHidden/>
    <w:rsid w:val="0050529F"/>
    <w:pPr>
      <w:spacing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50529F"/>
    <w:rPr>
      <w:rFonts w:ascii="Franklin Gothic Book" w:hAnsi="Franklin Gothic Book"/>
      <w:color w:val="auto"/>
      <w:sz w:val="17"/>
      <w:szCs w:val="17"/>
    </w:rPr>
  </w:style>
  <w:style w:type="paragraph" w:customStyle="1" w:styleId="Invisiblepara">
    <w:name w:val="Invisible para"/>
    <w:basedOn w:val="Normal"/>
    <w:semiHidden/>
    <w:rsid w:val="0050529F"/>
    <w:pPr>
      <w:keepNext/>
      <w:spacing w:before="320" w:line="80" w:lineRule="exact"/>
    </w:pPr>
    <w:rPr>
      <w:rFonts w:eastAsia="Times New Roman"/>
      <w:sz w:val="21"/>
      <w:szCs w:val="20"/>
    </w:rPr>
  </w:style>
  <w:style w:type="paragraph" w:customStyle="1" w:styleId="BoxListBullet">
    <w:name w:val="Box List Bullet"/>
    <w:basedOn w:val="BoxText"/>
    <w:rsid w:val="0050529F"/>
    <w:pPr>
      <w:keepLines/>
      <w:numPr>
        <w:numId w:val="7"/>
      </w:numPr>
      <w:tabs>
        <w:tab w:val="clear" w:pos="284"/>
        <w:tab w:val="num" w:pos="454"/>
      </w:tabs>
      <w:spacing w:before="0"/>
      <w:ind w:left="454" w:hanging="227"/>
    </w:pPr>
    <w:rPr>
      <w:szCs w:val="20"/>
    </w:rPr>
  </w:style>
  <w:style w:type="character" w:customStyle="1" w:styleId="NoteLabel">
    <w:name w:val="Note Label"/>
    <w:rsid w:val="00701FEA"/>
    <w:rPr>
      <w:rFonts w:ascii="Times New Roman" w:hAnsi="Times New Roman"/>
      <w:color w:val="auto"/>
      <w:position w:val="4"/>
      <w:sz w:val="14"/>
      <w:szCs w:val="14"/>
    </w:rPr>
  </w:style>
  <w:style w:type="paragraph" w:customStyle="1" w:styleId="Source">
    <w:name w:val="Source"/>
    <w:basedOn w:val="Note"/>
    <w:next w:val="BodyText"/>
    <w:uiPriority w:val="99"/>
    <w:rsid w:val="0050529F"/>
    <w:pPr>
      <w:spacing w:after="240"/>
    </w:pPr>
  </w:style>
  <w:style w:type="paragraph" w:customStyle="1" w:styleId="BoxHeading1">
    <w:name w:val="Box Heading 1"/>
    <w:basedOn w:val="BoxText"/>
    <w:next w:val="BoxText"/>
    <w:rsid w:val="0050529F"/>
    <w:pPr>
      <w:spacing w:before="180" w:after="0" w:line="220" w:lineRule="atLeast"/>
    </w:pPr>
    <w:rPr>
      <w:rFonts w:ascii="Franklin Gothic Demi" w:hAnsi="Franklin Gothic Demi"/>
      <w:color w:val="000000"/>
    </w:rPr>
  </w:style>
  <w:style w:type="paragraph" w:customStyle="1" w:styleId="BoxHeading2">
    <w:name w:val="Box Heading 2"/>
    <w:basedOn w:val="BoxHeading1"/>
    <w:next w:val="BoxText"/>
    <w:rsid w:val="0050529F"/>
    <w:pPr>
      <w:spacing w:before="140"/>
    </w:pPr>
    <w:rPr>
      <w:rFonts w:ascii="Franklin Gothic Book" w:hAnsi="Franklin Gothic Book"/>
      <w:i/>
      <w:color w:val="auto"/>
    </w:rPr>
  </w:style>
  <w:style w:type="paragraph" w:customStyle="1" w:styleId="TableListBullet">
    <w:name w:val="Table List Bullet"/>
    <w:basedOn w:val="TableTextEntries"/>
    <w:rsid w:val="0050529F"/>
    <w:pPr>
      <w:numPr>
        <w:numId w:val="9"/>
      </w:numPr>
    </w:pPr>
  </w:style>
  <w:style w:type="paragraph" w:styleId="TableofFigures">
    <w:name w:val="table of figures"/>
    <w:basedOn w:val="BodyText"/>
    <w:next w:val="BodyText"/>
    <w:semiHidden/>
    <w:rsid w:val="0050529F"/>
    <w:pPr>
      <w:tabs>
        <w:tab w:val="left" w:pos="1077"/>
        <w:tab w:val="right" w:pos="8505"/>
      </w:tabs>
      <w:spacing w:before="60" w:line="260" w:lineRule="atLeast"/>
      <w:ind w:left="1077" w:right="567" w:hanging="1077"/>
    </w:pPr>
  </w:style>
  <w:style w:type="paragraph" w:styleId="TOC3">
    <w:name w:val="toc 3"/>
    <w:basedOn w:val="TOC2"/>
    <w:next w:val="BodyText"/>
    <w:semiHidden/>
    <w:rsid w:val="0050529F"/>
    <w:pPr>
      <w:tabs>
        <w:tab w:val="clear" w:pos="397"/>
      </w:tabs>
      <w:spacing w:before="40" w:line="230" w:lineRule="atLeast"/>
      <w:ind w:left="567" w:hanging="567"/>
    </w:pPr>
    <w:rPr>
      <w:rFonts w:ascii="Georgia" w:hAnsi="Georgia"/>
      <w:color w:val="auto"/>
      <w:sz w:val="19"/>
      <w:szCs w:val="19"/>
    </w:rPr>
  </w:style>
  <w:style w:type="paragraph" w:customStyle="1" w:styleId="Continued">
    <w:name w:val="Continued"/>
    <w:basedOn w:val="Source"/>
    <w:next w:val="BodyText"/>
    <w:semiHidden/>
    <w:rsid w:val="0050529F"/>
    <w:pPr>
      <w:jc w:val="right"/>
    </w:pPr>
  </w:style>
  <w:style w:type="paragraph" w:customStyle="1" w:styleId="Recommendation">
    <w:name w:val="Recommendation"/>
    <w:basedOn w:val="BodyText"/>
    <w:next w:val="BodyText"/>
    <w:semiHidden/>
    <w:rsid w:val="0050529F"/>
    <w:pPr>
      <w:tabs>
        <w:tab w:val="left" w:pos="284"/>
      </w:tabs>
      <w:ind w:left="284" w:hanging="284"/>
    </w:pPr>
    <w:rPr>
      <w:rFonts w:eastAsia="MS Mincho" w:cs="MS Mincho"/>
      <w:b/>
    </w:rPr>
  </w:style>
  <w:style w:type="paragraph" w:styleId="TOC6">
    <w:name w:val="toc 6"/>
    <w:basedOn w:val="BodyText"/>
    <w:next w:val="BodyText"/>
    <w:semiHidden/>
    <w:rsid w:val="0050529F"/>
    <w:pPr>
      <w:tabs>
        <w:tab w:val="left" w:pos="284"/>
        <w:tab w:val="right" w:pos="8222"/>
      </w:tabs>
      <w:ind w:left="284" w:right="567" w:hanging="284"/>
    </w:pPr>
  </w:style>
  <w:style w:type="character" w:styleId="CommentReference">
    <w:name w:val="annotation reference"/>
    <w:semiHidden/>
    <w:rsid w:val="0050529F"/>
    <w:rPr>
      <w:rFonts w:ascii="Franklin Gothic Medium" w:hAnsi="Franklin Gothic Medium"/>
      <w:vanish/>
      <w:color w:val="FF00FF"/>
      <w:sz w:val="16"/>
      <w:szCs w:val="16"/>
    </w:rPr>
  </w:style>
  <w:style w:type="paragraph" w:styleId="CommentText">
    <w:name w:val="annotation text"/>
    <w:basedOn w:val="BodyText"/>
    <w:link w:val="CommentTextChar"/>
    <w:semiHidden/>
    <w:rsid w:val="0050529F"/>
    <w:pPr>
      <w:spacing w:line="240" w:lineRule="atLeast"/>
    </w:pPr>
    <w:rPr>
      <w:rFonts w:ascii="Calibri" w:hAnsi="Calibri"/>
      <w:sz w:val="18"/>
      <w:szCs w:val="18"/>
    </w:rPr>
  </w:style>
  <w:style w:type="character" w:customStyle="1" w:styleId="CommentTextChar">
    <w:name w:val="Comment Text Char"/>
    <w:link w:val="CommentText"/>
    <w:semiHidden/>
    <w:rsid w:val="0050529F"/>
    <w:rPr>
      <w:rFonts w:ascii="Calibri" w:eastAsia="Times New Roman" w:hAnsi="Calibri" w:cs="Times New Roman"/>
      <w:sz w:val="18"/>
      <w:szCs w:val="18"/>
    </w:rPr>
  </w:style>
  <w:style w:type="character" w:styleId="Hyperlink">
    <w:name w:val="Hyperlink"/>
    <w:uiPriority w:val="99"/>
    <w:rsid w:val="0050529F"/>
    <w:rPr>
      <w:color w:val="00467F"/>
      <w:sz w:val="20"/>
      <w:szCs w:val="20"/>
      <w:u w:val="none"/>
    </w:rPr>
  </w:style>
  <w:style w:type="paragraph" w:customStyle="1" w:styleId="ChartText">
    <w:name w:val="Chart Text"/>
    <w:basedOn w:val="BodyText"/>
    <w:semiHidden/>
    <w:rsid w:val="0050529F"/>
    <w:pPr>
      <w:spacing w:before="100" w:line="190" w:lineRule="exact"/>
    </w:pPr>
    <w:rPr>
      <w:rFonts w:ascii="Arial" w:hAnsi="Arial"/>
      <w:sz w:val="17"/>
    </w:rPr>
  </w:style>
  <w:style w:type="paragraph" w:customStyle="1" w:styleId="ChartBoldText">
    <w:name w:val="Chart Bold Text"/>
    <w:basedOn w:val="ChartText"/>
    <w:next w:val="ChartText"/>
    <w:semiHidden/>
    <w:rsid w:val="0050529F"/>
    <w:pPr>
      <w:spacing w:before="0"/>
      <w:jc w:val="center"/>
    </w:pPr>
    <w:rPr>
      <w:rFonts w:ascii="Arial Bold" w:hAnsi="Arial Bold"/>
      <w:b/>
      <w:color w:val="073771"/>
      <w:szCs w:val="17"/>
    </w:rPr>
  </w:style>
  <w:style w:type="paragraph" w:customStyle="1" w:styleId="ChartHighlight">
    <w:name w:val="Chart Highlight"/>
    <w:basedOn w:val="ChartBoldText"/>
    <w:semiHidden/>
    <w:rsid w:val="0050529F"/>
    <w:pPr>
      <w:spacing w:line="210" w:lineRule="exact"/>
    </w:pPr>
    <w:rPr>
      <w:caps/>
      <w:sz w:val="19"/>
    </w:rPr>
  </w:style>
  <w:style w:type="paragraph" w:customStyle="1" w:styleId="ChartListBullet">
    <w:name w:val="Chart List Bullet"/>
    <w:basedOn w:val="TableListBullet"/>
    <w:semiHidden/>
    <w:rsid w:val="0050529F"/>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50529F"/>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50529F"/>
    <w:pPr>
      <w:tabs>
        <w:tab w:val="num" w:pos="227"/>
      </w:tabs>
      <w:spacing w:before="60"/>
      <w:ind w:left="227" w:hanging="227"/>
    </w:pPr>
  </w:style>
  <w:style w:type="paragraph" w:styleId="TOC7">
    <w:name w:val="toc 7"/>
    <w:basedOn w:val="TOC1"/>
    <w:next w:val="TOC1"/>
    <w:semiHidden/>
    <w:rsid w:val="0050529F"/>
    <w:pPr>
      <w:tabs>
        <w:tab w:val="left" w:pos="1418"/>
      </w:tabs>
      <w:ind w:left="1418" w:hanging="1418"/>
    </w:pPr>
  </w:style>
  <w:style w:type="paragraph" w:customStyle="1" w:styleId="Author">
    <w:name w:val="Author"/>
    <w:basedOn w:val="Date"/>
    <w:next w:val="Position"/>
    <w:link w:val="AuthorCharChar"/>
    <w:semiHidden/>
    <w:rsid w:val="0050529F"/>
    <w:pPr>
      <w:spacing w:before="180" w:after="0" w:line="260" w:lineRule="atLeast"/>
    </w:pPr>
    <w:rPr>
      <w:rFonts w:ascii="Franklin Gothic Medium" w:hAnsi="Franklin Gothic Medium"/>
      <w:color w:val="auto"/>
      <w:spacing w:val="-2"/>
      <w:sz w:val="20"/>
      <w:szCs w:val="20"/>
    </w:rPr>
  </w:style>
  <w:style w:type="paragraph" w:customStyle="1" w:styleId="Position">
    <w:name w:val="Position"/>
    <w:basedOn w:val="Author"/>
    <w:next w:val="Author"/>
    <w:link w:val="PositionCharChar"/>
    <w:semiHidden/>
    <w:rsid w:val="0050529F"/>
    <w:pPr>
      <w:spacing w:before="0"/>
    </w:pPr>
    <w:rPr>
      <w:rFonts w:ascii="Franklin Gothic Book" w:hAnsi="Franklin Gothic Book"/>
    </w:rPr>
  </w:style>
  <w:style w:type="paragraph" w:customStyle="1" w:styleId="CharChar">
    <w:name w:val="Char Char"/>
    <w:basedOn w:val="BoxText"/>
    <w:semiHidden/>
    <w:rsid w:val="0050529F"/>
  </w:style>
  <w:style w:type="paragraph" w:customStyle="1" w:styleId="Client">
    <w:name w:val="Client"/>
    <w:basedOn w:val="Author"/>
    <w:semiHidden/>
    <w:rsid w:val="0050529F"/>
  </w:style>
  <w:style w:type="paragraph" w:customStyle="1" w:styleId="TableHeading1">
    <w:name w:val="Table Heading 1"/>
    <w:basedOn w:val="TableTextEntries"/>
    <w:next w:val="TableTextEntries"/>
    <w:rsid w:val="0050529F"/>
    <w:pPr>
      <w:spacing w:before="80" w:after="80"/>
    </w:pPr>
    <w:rPr>
      <w:rFonts w:ascii="Franklin Gothic Medium" w:hAnsi="Franklin Gothic Medium"/>
    </w:rPr>
  </w:style>
  <w:style w:type="paragraph" w:customStyle="1" w:styleId="TableHeading2">
    <w:name w:val="Table Heading 2"/>
    <w:basedOn w:val="TableHeading1"/>
    <w:next w:val="TableTextEntries"/>
    <w:rsid w:val="0050529F"/>
    <w:pPr>
      <w:spacing w:before="40" w:after="40"/>
    </w:pPr>
    <w:rPr>
      <w:rFonts w:ascii="Franklin Gothic Book" w:hAnsi="Franklin Gothic Book"/>
      <w:i/>
    </w:rPr>
  </w:style>
  <w:style w:type="paragraph" w:customStyle="1" w:styleId="TableListBullet2">
    <w:name w:val="Table List Bullet 2"/>
    <w:basedOn w:val="TableListBullet"/>
    <w:link w:val="TableListBullet2CharChar"/>
    <w:rsid w:val="0050529F"/>
    <w:pPr>
      <w:numPr>
        <w:numId w:val="10"/>
      </w:numPr>
    </w:pPr>
    <w:rPr>
      <w:lang w:val="x-none"/>
    </w:rPr>
  </w:style>
  <w:style w:type="paragraph" w:customStyle="1" w:styleId="TableListNumber">
    <w:name w:val="Table List Number"/>
    <w:basedOn w:val="TableTextEntries"/>
    <w:rsid w:val="0050529F"/>
    <w:pPr>
      <w:numPr>
        <w:numId w:val="4"/>
      </w:numPr>
    </w:pPr>
  </w:style>
  <w:style w:type="paragraph" w:customStyle="1" w:styleId="TableListNumber2">
    <w:name w:val="Table List Number 2"/>
    <w:basedOn w:val="TableListNumber"/>
    <w:rsid w:val="0050529F"/>
    <w:pPr>
      <w:numPr>
        <w:numId w:val="5"/>
      </w:numPr>
    </w:pPr>
  </w:style>
  <w:style w:type="paragraph" w:customStyle="1" w:styleId="TableUnit">
    <w:name w:val="Table Unit"/>
    <w:basedOn w:val="TableDataColumnHeading"/>
    <w:next w:val="TableDataEntries"/>
    <w:semiHidden/>
    <w:rsid w:val="0050529F"/>
    <w:pPr>
      <w:keepNext/>
    </w:pPr>
    <w:rPr>
      <w:rFonts w:ascii="Franklin Gothic Book" w:hAnsi="Franklin Gothic Book"/>
    </w:rPr>
  </w:style>
  <w:style w:type="character" w:styleId="FollowedHyperlink">
    <w:name w:val="FollowedHyperlink"/>
    <w:semiHidden/>
    <w:rsid w:val="0050529F"/>
    <w:rPr>
      <w:color w:val="333399"/>
      <w:u w:val="none"/>
    </w:rPr>
  </w:style>
  <w:style w:type="paragraph" w:customStyle="1" w:styleId="Blurb">
    <w:name w:val="Blurb"/>
    <w:basedOn w:val="Caption"/>
    <w:semiHidden/>
    <w:rsid w:val="0050529F"/>
    <w:pPr>
      <w:spacing w:before="180" w:after="0"/>
    </w:pPr>
    <w:rPr>
      <w:color w:val="FFFFFF"/>
    </w:rPr>
  </w:style>
  <w:style w:type="paragraph" w:customStyle="1" w:styleId="Figure">
    <w:name w:val="Figure"/>
    <w:basedOn w:val="BodyText"/>
    <w:next w:val="BodyText"/>
    <w:semiHidden/>
    <w:rsid w:val="0050529F"/>
    <w:pPr>
      <w:spacing w:line="200" w:lineRule="atLeast"/>
    </w:pPr>
    <w:rPr>
      <w:sz w:val="18"/>
      <w:szCs w:val="18"/>
    </w:rPr>
  </w:style>
  <w:style w:type="paragraph" w:customStyle="1" w:styleId="BoxListBullet2">
    <w:name w:val="Box List Bullet 2"/>
    <w:basedOn w:val="BoxListBullet"/>
    <w:rsid w:val="0050529F"/>
    <w:pPr>
      <w:numPr>
        <w:numId w:val="6"/>
      </w:numPr>
      <w:tabs>
        <w:tab w:val="clear" w:pos="567"/>
        <w:tab w:val="num" w:pos="227"/>
      </w:tabs>
      <w:ind w:left="227" w:hanging="227"/>
    </w:pPr>
    <w:rPr>
      <w:szCs w:val="18"/>
    </w:rPr>
  </w:style>
  <w:style w:type="paragraph" w:customStyle="1" w:styleId="BoxText">
    <w:name w:val="Box Text"/>
    <w:basedOn w:val="Normal"/>
    <w:link w:val="BoxTextChar"/>
    <w:autoRedefine/>
    <w:qFormat/>
    <w:rsid w:val="008D745E"/>
    <w:pPr>
      <w:spacing w:before="120" w:after="120" w:line="260" w:lineRule="atLeast"/>
    </w:pPr>
    <w:rPr>
      <w:rFonts w:eastAsia="Times New Roman"/>
      <w:sz w:val="18"/>
      <w:szCs w:val="18"/>
      <w:lang w:val="x-none" w:eastAsia="x-none"/>
    </w:rPr>
  </w:style>
  <w:style w:type="paragraph" w:customStyle="1" w:styleId="BoxListNumber">
    <w:name w:val="Box List Number"/>
    <w:basedOn w:val="BoxText"/>
    <w:rsid w:val="0050529F"/>
    <w:pPr>
      <w:numPr>
        <w:numId w:val="8"/>
      </w:numPr>
      <w:tabs>
        <w:tab w:val="clear" w:pos="284"/>
        <w:tab w:val="num" w:pos="567"/>
      </w:tabs>
      <w:spacing w:before="0"/>
      <w:ind w:left="567" w:hanging="283"/>
    </w:pPr>
  </w:style>
  <w:style w:type="paragraph" w:customStyle="1" w:styleId="BoxListNumber2">
    <w:name w:val="Box List Number 2"/>
    <w:basedOn w:val="BoxListNumber"/>
    <w:rsid w:val="0050529F"/>
    <w:pPr>
      <w:tabs>
        <w:tab w:val="clear" w:pos="567"/>
      </w:tabs>
      <w:ind w:left="68" w:hanging="360"/>
    </w:pPr>
  </w:style>
  <w:style w:type="paragraph" w:customStyle="1" w:styleId="BoxNoteSource">
    <w:name w:val="Box Note/Source"/>
    <w:basedOn w:val="BoxText"/>
    <w:rsid w:val="00701FEA"/>
    <w:pPr>
      <w:spacing w:before="100" w:after="100" w:line="180" w:lineRule="atLeast"/>
    </w:pPr>
    <w:rPr>
      <w:sz w:val="14"/>
      <w:szCs w:val="14"/>
    </w:rPr>
  </w:style>
  <w:style w:type="paragraph" w:customStyle="1" w:styleId="BoxQuote">
    <w:name w:val="Box Quote"/>
    <w:basedOn w:val="BoxText"/>
    <w:next w:val="BoxText"/>
    <w:rsid w:val="0050529F"/>
    <w:pPr>
      <w:spacing w:before="0" w:line="240" w:lineRule="atLeast"/>
      <w:ind w:left="284"/>
    </w:pPr>
    <w:rPr>
      <w:sz w:val="16"/>
      <w:szCs w:val="16"/>
    </w:rPr>
  </w:style>
  <w:style w:type="character" w:customStyle="1" w:styleId="TableListBullet2CharChar">
    <w:name w:val="Table List Bullet 2 Char Char"/>
    <w:link w:val="TableListBullet2"/>
    <w:rsid w:val="0050529F"/>
    <w:rPr>
      <w:rFonts w:ascii="Franklin Gothic Book" w:eastAsia="Times New Roman" w:hAnsi="Franklin Gothic Book" w:cs="Times New Roman"/>
      <w:sz w:val="17"/>
      <w:szCs w:val="17"/>
      <w:lang w:eastAsia="en-US"/>
    </w:rPr>
  </w:style>
  <w:style w:type="character" w:customStyle="1" w:styleId="AuthorCharChar">
    <w:name w:val="Author Char Char"/>
    <w:link w:val="Author"/>
    <w:semiHidden/>
    <w:rsid w:val="0050529F"/>
    <w:rPr>
      <w:rFonts w:ascii="Franklin Gothic Medium" w:eastAsia="Times New Roman" w:hAnsi="Franklin Gothic Medium" w:cs="Times New Roman"/>
      <w:spacing w:val="-2"/>
      <w:kern w:val="28"/>
      <w:sz w:val="20"/>
      <w:szCs w:val="20"/>
    </w:rPr>
  </w:style>
  <w:style w:type="character" w:customStyle="1" w:styleId="PositionCharChar">
    <w:name w:val="Position Char Char"/>
    <w:link w:val="Position"/>
    <w:semiHidden/>
    <w:rsid w:val="0050529F"/>
    <w:rPr>
      <w:rFonts w:ascii="Franklin Gothic Book" w:eastAsia="Times New Roman" w:hAnsi="Franklin Gothic Book" w:cs="Times New Roman"/>
      <w:spacing w:val="-2"/>
      <w:kern w:val="28"/>
      <w:sz w:val="20"/>
      <w:szCs w:val="20"/>
    </w:rPr>
  </w:style>
  <w:style w:type="paragraph" w:customStyle="1" w:styleId="Appendix">
    <w:name w:val="Appendix"/>
    <w:basedOn w:val="Normal"/>
    <w:semiHidden/>
    <w:rsid w:val="0050529F"/>
    <w:pPr>
      <w:framePr w:wrap="around" w:vAnchor="text" w:hAnchor="text" w:y="1"/>
    </w:pPr>
    <w:rPr>
      <w:rFonts w:ascii="Franklin Gothic Medium" w:eastAsia="Times New Roman" w:hAnsi="Franklin Gothic Medium"/>
      <w:color w:val="7E6D5F"/>
      <w:sz w:val="32"/>
      <w:szCs w:val="32"/>
    </w:rPr>
  </w:style>
  <w:style w:type="paragraph" w:customStyle="1" w:styleId="Photocaption">
    <w:name w:val="Photo caption"/>
    <w:basedOn w:val="Normal"/>
    <w:next w:val="BodyText"/>
    <w:semiHidden/>
    <w:rsid w:val="0050529F"/>
    <w:pPr>
      <w:spacing w:before="140" w:after="240" w:line="180" w:lineRule="exact"/>
    </w:pPr>
    <w:rPr>
      <w:rFonts w:ascii="Franklin Gothic Medium" w:eastAsia="Times New Roman" w:hAnsi="Franklin Gothic Medium"/>
      <w:color w:val="54534A"/>
      <w:sz w:val="14"/>
      <w:szCs w:val="14"/>
    </w:rPr>
  </w:style>
  <w:style w:type="paragraph" w:customStyle="1" w:styleId="CharChar3">
    <w:name w:val="Char Char3"/>
    <w:basedOn w:val="Normal"/>
    <w:semiHidden/>
    <w:rsid w:val="0050529F"/>
    <w:pPr>
      <w:spacing w:before="180" w:line="280" w:lineRule="atLeast"/>
    </w:pPr>
    <w:rPr>
      <w:rFonts w:ascii="Arial" w:eastAsia="Times New Roman" w:hAnsi="Arial"/>
      <w:szCs w:val="20"/>
      <w:lang w:eastAsia="en-US"/>
    </w:rPr>
  </w:style>
  <w:style w:type="table" w:styleId="TableGrid">
    <w:name w:val="Table Grid"/>
    <w:basedOn w:val="TableNormal"/>
    <w:uiPriority w:val="59"/>
    <w:rsid w:val="005052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tingred">
    <w:name w:val="Rating red"/>
    <w:basedOn w:val="ListBullet"/>
    <w:semiHidden/>
    <w:rsid w:val="0050529F"/>
  </w:style>
  <w:style w:type="paragraph" w:styleId="CommentSubject">
    <w:name w:val="annotation subject"/>
    <w:basedOn w:val="CommentText"/>
    <w:next w:val="CommentText"/>
    <w:link w:val="CommentSubjectChar"/>
    <w:semiHidden/>
    <w:rsid w:val="0050529F"/>
    <w:pPr>
      <w:spacing w:after="0" w:line="240" w:lineRule="auto"/>
    </w:pPr>
    <w:rPr>
      <w:rFonts w:ascii="Times New Roman" w:hAnsi="Times New Roman"/>
      <w:b/>
      <w:bCs/>
      <w:sz w:val="20"/>
      <w:szCs w:val="20"/>
    </w:rPr>
  </w:style>
  <w:style w:type="character" w:customStyle="1" w:styleId="CommentSubjectChar">
    <w:name w:val="Comment Subject Char"/>
    <w:link w:val="CommentSubject"/>
    <w:semiHidden/>
    <w:rsid w:val="0050529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50529F"/>
    <w:rPr>
      <w:rFonts w:ascii="Tahoma" w:eastAsia="Times New Roman" w:hAnsi="Tahoma"/>
      <w:sz w:val="16"/>
      <w:szCs w:val="16"/>
      <w:lang w:val="x-none" w:eastAsia="x-none"/>
    </w:rPr>
  </w:style>
  <w:style w:type="character" w:customStyle="1" w:styleId="BalloonTextChar">
    <w:name w:val="Balloon Text Char"/>
    <w:link w:val="BalloonText"/>
    <w:semiHidden/>
    <w:rsid w:val="0050529F"/>
    <w:rPr>
      <w:rFonts w:ascii="Tahoma" w:eastAsia="Times New Roman" w:hAnsi="Tahoma" w:cs="Tahoma"/>
      <w:sz w:val="16"/>
      <w:szCs w:val="16"/>
    </w:rPr>
  </w:style>
  <w:style w:type="paragraph" w:customStyle="1" w:styleId="Rating">
    <w:name w:val="Rating"/>
    <w:basedOn w:val="BodyText"/>
    <w:next w:val="BodyText"/>
    <w:semiHidden/>
    <w:rsid w:val="0050529F"/>
    <w:pPr>
      <w:tabs>
        <w:tab w:val="left" w:pos="567"/>
      </w:tabs>
    </w:pPr>
  </w:style>
  <w:style w:type="paragraph" w:customStyle="1" w:styleId="GuidanceText">
    <w:name w:val="Guidance Text"/>
    <w:basedOn w:val="BodyText"/>
    <w:semiHidden/>
    <w:rsid w:val="0050529F"/>
    <w:pPr>
      <w:spacing w:before="60" w:after="60" w:line="240" w:lineRule="atLeast"/>
    </w:pPr>
    <w:rPr>
      <w:rFonts w:ascii="Calibri" w:hAnsi="Calibri"/>
      <w:color w:val="0000FF"/>
      <w:sz w:val="20"/>
      <w:szCs w:val="20"/>
    </w:rPr>
  </w:style>
  <w:style w:type="character" w:customStyle="1" w:styleId="CharChar4">
    <w:name w:val="Char Char4"/>
    <w:rsid w:val="0050529F"/>
    <w:rPr>
      <w:rFonts w:ascii="Georgia" w:hAnsi="Georgia"/>
      <w:sz w:val="19"/>
      <w:szCs w:val="19"/>
      <w:lang w:val="en-AU" w:eastAsia="en-AU" w:bidi="ar-SA"/>
    </w:rPr>
  </w:style>
  <w:style w:type="character" w:customStyle="1" w:styleId="BoxTextChar">
    <w:name w:val="Box Text Char"/>
    <w:link w:val="BoxText"/>
    <w:rsid w:val="008D745E"/>
    <w:rPr>
      <w:rFonts w:ascii="Times New Roman" w:eastAsia="Times New Roman" w:hAnsi="Times New Roman" w:cs="Times New Roman"/>
      <w:sz w:val="18"/>
      <w:szCs w:val="18"/>
    </w:rPr>
  </w:style>
  <w:style w:type="character" w:customStyle="1" w:styleId="CharChar1">
    <w:name w:val="Char Char1"/>
    <w:locked/>
    <w:rsid w:val="0050529F"/>
    <w:rPr>
      <w:rFonts w:ascii="Georgia" w:hAnsi="Georgia"/>
      <w:sz w:val="19"/>
      <w:szCs w:val="19"/>
      <w:lang w:val="en-AU" w:eastAsia="en-AU" w:bidi="ar-SA"/>
    </w:rPr>
  </w:style>
  <w:style w:type="character" w:customStyle="1" w:styleId="CharChar41">
    <w:name w:val="Char Char41"/>
    <w:locked/>
    <w:rsid w:val="0050529F"/>
    <w:rPr>
      <w:rFonts w:ascii="Georgia" w:hAnsi="Georgia"/>
      <w:sz w:val="19"/>
      <w:szCs w:val="19"/>
      <w:lang w:val="en-AU" w:eastAsia="en-AU" w:bidi="ar-SA"/>
    </w:rPr>
  </w:style>
  <w:style w:type="paragraph" w:customStyle="1" w:styleId="List-bullet-1">
    <w:name w:val="List-bullet-1"/>
    <w:basedOn w:val="Normal"/>
    <w:link w:val="List-bullet-1Char"/>
    <w:rsid w:val="0050529F"/>
    <w:pPr>
      <w:spacing w:before="120"/>
    </w:pPr>
    <w:rPr>
      <w:rFonts w:ascii="Arial" w:eastAsia="Times New Roman" w:hAnsi="Arial"/>
      <w:szCs w:val="20"/>
      <w:lang w:val="x-none" w:eastAsia="en-US"/>
    </w:rPr>
  </w:style>
  <w:style w:type="character" w:customStyle="1" w:styleId="List-bullet-1Char">
    <w:name w:val="List-bullet-1 Char"/>
    <w:link w:val="List-bullet-1"/>
    <w:rsid w:val="0050529F"/>
    <w:rPr>
      <w:rFonts w:ascii="Arial" w:eastAsia="Times New Roman" w:hAnsi="Arial" w:cs="Arial"/>
      <w:sz w:val="20"/>
      <w:lang w:eastAsia="en-US"/>
    </w:rPr>
  </w:style>
  <w:style w:type="paragraph" w:customStyle="1" w:styleId="tabletextentries0">
    <w:name w:val="tabletextentries"/>
    <w:basedOn w:val="Normal"/>
    <w:rsid w:val="0050529F"/>
    <w:pPr>
      <w:spacing w:before="40" w:after="40" w:line="200" w:lineRule="atLeast"/>
    </w:pPr>
    <w:rPr>
      <w:rFonts w:ascii="Franklin Gothic Book" w:eastAsia="Times New Roman" w:hAnsi="Franklin Gothic Book"/>
      <w:sz w:val="17"/>
      <w:szCs w:val="17"/>
    </w:rPr>
  </w:style>
  <w:style w:type="paragraph" w:customStyle="1" w:styleId="msolistparagraph0">
    <w:name w:val="msolistparagraph"/>
    <w:basedOn w:val="Normal"/>
    <w:uiPriority w:val="99"/>
    <w:rsid w:val="0050529F"/>
    <w:pPr>
      <w:ind w:left="720"/>
    </w:pPr>
    <w:rPr>
      <w:rFonts w:eastAsia="Calibri"/>
      <w:sz w:val="24"/>
    </w:rPr>
  </w:style>
  <w:style w:type="table" w:styleId="MediumGrid2-Accent2">
    <w:name w:val="Medium Grid 2 Accent 2"/>
    <w:basedOn w:val="TableNormal"/>
    <w:uiPriority w:val="68"/>
    <w:rsid w:val="0050529F"/>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APPR">
    <w:name w:val="APPR"/>
    <w:basedOn w:val="TableNormal"/>
    <w:uiPriority w:val="99"/>
    <w:rsid w:val="00FA5F1F"/>
    <w:rPr>
      <w:rFonts w:ascii="Franklin Gothic Book" w:hAnsi="Franklin Gothic Book"/>
      <w:sz w:val="17"/>
    </w:rPr>
    <w:tblPr>
      <w:tblCellSpacing w:w="14" w:type="dxa"/>
      <w:tblInd w:w="0" w:type="dxa"/>
      <w:tblBorders>
        <w:top w:val="single" w:sz="12" w:space="0" w:color="000000"/>
        <w:bottom w:val="single" w:sz="12" w:space="0" w:color="000000"/>
      </w:tblBorders>
      <w:tblCellMar>
        <w:top w:w="0" w:type="dxa"/>
        <w:left w:w="108" w:type="dxa"/>
        <w:bottom w:w="0" w:type="dxa"/>
        <w:right w:w="108" w:type="dxa"/>
      </w:tblCellMar>
    </w:tblPr>
    <w:trPr>
      <w:tblCellSpacing w:w="14" w:type="dxa"/>
    </w:trPr>
    <w:tblStylePr w:type="firstRow">
      <w:rPr>
        <w:rFonts w:ascii="Papyrus" w:hAnsi="Papyrus"/>
        <w:b/>
        <w:sz w:val="17"/>
      </w:rPr>
      <w:tblPr/>
      <w:tcPr>
        <w:tcBorders>
          <w:bottom w:val="single" w:sz="12" w:space="0" w:color="auto"/>
        </w:tcBorders>
      </w:tcPr>
    </w:tblStylePr>
  </w:style>
  <w:style w:type="table" w:customStyle="1" w:styleId="LightShading">
    <w:name w:val="Light Shading"/>
    <w:basedOn w:val="TableNormal"/>
    <w:uiPriority w:val="60"/>
    <w:rsid w:val="00706DE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Accent5">
    <w:name w:val="Medium Shading 2 Accent 5"/>
    <w:basedOn w:val="TableNormal"/>
    <w:uiPriority w:val="64"/>
    <w:rsid w:val="00706DE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
    <w:name w:val="Light Shading Accent 1"/>
    <w:basedOn w:val="TableNormal"/>
    <w:uiPriority w:val="60"/>
    <w:rsid w:val="00706DE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PPRbody">
    <w:name w:val="APPR body"/>
    <w:basedOn w:val="BodyText"/>
    <w:link w:val="APPRbodyChar"/>
    <w:qFormat/>
    <w:rsid w:val="00EF2769"/>
    <w:pPr>
      <w:spacing w:before="80" w:after="80"/>
    </w:pPr>
    <w:rPr>
      <w:rFonts w:ascii="Georgia" w:eastAsia="SimSun" w:hAnsi="Georgia"/>
    </w:rPr>
  </w:style>
  <w:style w:type="character" w:customStyle="1" w:styleId="APPRbodyChar">
    <w:name w:val="APPR body Char"/>
    <w:link w:val="APPRbody"/>
    <w:rsid w:val="00EF2769"/>
    <w:rPr>
      <w:rFonts w:ascii="Georgia" w:eastAsia="SimSun" w:hAnsi="Georgia" w:cs="Times New Roman"/>
      <w:sz w:val="24"/>
      <w:szCs w:val="24"/>
    </w:rPr>
  </w:style>
  <w:style w:type="paragraph" w:customStyle="1" w:styleId="CharChar2">
    <w:name w:val="Char Char2"/>
    <w:basedOn w:val="Normal"/>
    <w:semiHidden/>
    <w:rsid w:val="00750E77"/>
    <w:pPr>
      <w:spacing w:before="180" w:line="280" w:lineRule="atLeast"/>
    </w:pPr>
    <w:rPr>
      <w:rFonts w:ascii="Arial" w:eastAsia="Times New Roman" w:hAnsi="Arial"/>
      <w:sz w:val="22"/>
      <w:szCs w:val="20"/>
      <w:lang w:eastAsia="en-US"/>
    </w:rPr>
  </w:style>
  <w:style w:type="character" w:styleId="BookTitle">
    <w:name w:val="Book Title"/>
    <w:uiPriority w:val="33"/>
    <w:qFormat/>
    <w:rsid w:val="0001007E"/>
    <w:rPr>
      <w:b/>
      <w:bCs/>
      <w:smallCaps/>
      <w:spacing w:val="5"/>
    </w:rPr>
  </w:style>
  <w:style w:type="paragraph" w:customStyle="1" w:styleId="numberedlist">
    <w:name w:val="numbered list"/>
    <w:basedOn w:val="ListParagraph"/>
    <w:next w:val="BodyText"/>
    <w:autoRedefine/>
    <w:qFormat/>
    <w:rsid w:val="00AC14D4"/>
    <w:pPr>
      <w:numPr>
        <w:numId w:val="18"/>
      </w:numPr>
    </w:pPr>
  </w:style>
  <w:style w:type="paragraph" w:customStyle="1" w:styleId="H1">
    <w:name w:val="H1"/>
    <w:basedOn w:val="APPRHeading1"/>
    <w:qFormat/>
    <w:rsid w:val="007A7FB5"/>
  </w:style>
  <w:style w:type="paragraph" w:customStyle="1" w:styleId="H2">
    <w:name w:val="H2"/>
    <w:basedOn w:val="APPRHeading2"/>
    <w:qFormat/>
    <w:rsid w:val="002F46F5"/>
  </w:style>
  <w:style w:type="paragraph" w:styleId="TOCHeading">
    <w:name w:val="TOC Heading"/>
    <w:basedOn w:val="Heading1"/>
    <w:next w:val="Normal"/>
    <w:uiPriority w:val="39"/>
    <w:semiHidden/>
    <w:unhideWhenUsed/>
    <w:qFormat/>
    <w:rsid w:val="00811573"/>
    <w:pPr>
      <w:spacing w:line="276" w:lineRule="auto"/>
      <w:outlineLvl w:val="9"/>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annotation text" w:uiPriority="0"/>
    <w:lsdException w:name="header" w:uiPriority="0"/>
    <w:lsdException w:name="footer" w:uiPriority="0"/>
    <w:lsdException w:name="caption"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4CC"/>
    <w:rPr>
      <w:rFonts w:ascii="Times New Roman" w:eastAsia="SimSun" w:hAnsi="Times New Roman"/>
      <w:szCs w:val="24"/>
      <w:lang w:val="en-AU" w:eastAsia="en-AU"/>
    </w:rPr>
  </w:style>
  <w:style w:type="paragraph" w:styleId="Heading1">
    <w:name w:val="heading 1"/>
    <w:basedOn w:val="Normal"/>
    <w:next w:val="Normal"/>
    <w:link w:val="Heading1Char"/>
    <w:qFormat/>
    <w:rsid w:val="0050529F"/>
    <w:pPr>
      <w:keepNext/>
      <w:keepLines/>
      <w:spacing w:before="480"/>
      <w:outlineLvl w:val="0"/>
    </w:pPr>
    <w:rPr>
      <w:rFonts w:ascii="Cambria" w:eastAsia="Times New Roman" w:hAnsi="Cambria"/>
      <w:b/>
      <w:bCs/>
      <w:color w:val="365F91"/>
      <w:sz w:val="28"/>
      <w:szCs w:val="28"/>
      <w:lang w:val="x-none" w:eastAsia="x-none"/>
    </w:rPr>
  </w:style>
  <w:style w:type="paragraph" w:styleId="Heading2">
    <w:name w:val="heading 2"/>
    <w:basedOn w:val="Heading1"/>
    <w:next w:val="BodyText"/>
    <w:link w:val="Heading2Char"/>
    <w:qFormat/>
    <w:rsid w:val="0050529F"/>
    <w:pPr>
      <w:keepNext w:val="0"/>
      <w:keepLines w:val="0"/>
      <w:numPr>
        <w:ilvl w:val="1"/>
        <w:numId w:val="1"/>
      </w:numPr>
      <w:spacing w:before="380" w:line="280" w:lineRule="atLeast"/>
      <w:outlineLvl w:val="1"/>
    </w:pPr>
    <w:rPr>
      <w:rFonts w:ascii="Franklin Gothic Medium" w:hAnsi="Franklin Gothic Medium"/>
      <w:b w:val="0"/>
      <w:bCs w:val="0"/>
      <w:color w:val="5A9A98"/>
      <w:sz w:val="24"/>
      <w:szCs w:val="24"/>
    </w:rPr>
  </w:style>
  <w:style w:type="paragraph" w:styleId="Heading3">
    <w:name w:val="heading 3"/>
    <w:basedOn w:val="Heading2"/>
    <w:link w:val="Heading3Char"/>
    <w:autoRedefine/>
    <w:qFormat/>
    <w:rsid w:val="00535E24"/>
    <w:pPr>
      <w:keepNext/>
      <w:numPr>
        <w:ilvl w:val="2"/>
        <w:numId w:val="0"/>
      </w:numPr>
      <w:spacing w:before="300" w:line="260" w:lineRule="atLeast"/>
      <w:outlineLvl w:val="2"/>
    </w:pPr>
    <w:rPr>
      <w:color w:val="54534A"/>
      <w:sz w:val="20"/>
      <w:szCs w:val="20"/>
      <w:lang w:eastAsia="zh-CN"/>
    </w:rPr>
  </w:style>
  <w:style w:type="paragraph" w:styleId="Heading4">
    <w:name w:val="heading 4"/>
    <w:basedOn w:val="BodyText"/>
    <w:next w:val="BodyText"/>
    <w:link w:val="Heading4Char"/>
    <w:qFormat/>
    <w:rsid w:val="0050529F"/>
    <w:pPr>
      <w:numPr>
        <w:ilvl w:val="3"/>
        <w:numId w:val="1"/>
      </w:numPr>
      <w:spacing w:before="320" w:after="0"/>
      <w:outlineLvl w:val="3"/>
    </w:pPr>
    <w:rPr>
      <w:b/>
      <w:color w:val="54534A"/>
      <w:sz w:val="20"/>
      <w:szCs w:val="20"/>
    </w:rPr>
  </w:style>
  <w:style w:type="paragraph" w:styleId="Heading5">
    <w:name w:val="heading 5"/>
    <w:basedOn w:val="BodyText"/>
    <w:next w:val="BodyText"/>
    <w:link w:val="Heading5Char"/>
    <w:qFormat/>
    <w:rsid w:val="0050529F"/>
    <w:pPr>
      <w:keepNext/>
      <w:numPr>
        <w:ilvl w:val="4"/>
        <w:numId w:val="1"/>
      </w:numPr>
      <w:spacing w:before="320" w:after="0"/>
      <w:outlineLvl w:val="4"/>
    </w:pPr>
    <w:rPr>
      <w:b/>
      <w:color w:val="54534A"/>
    </w:rPr>
  </w:style>
  <w:style w:type="paragraph" w:styleId="Heading6">
    <w:name w:val="heading 6"/>
    <w:basedOn w:val="Heading1"/>
    <w:next w:val="BodyText"/>
    <w:link w:val="Heading6Char"/>
    <w:qFormat/>
    <w:rsid w:val="0050529F"/>
    <w:pPr>
      <w:keepNext w:val="0"/>
      <w:keepLines w:val="0"/>
      <w:numPr>
        <w:ilvl w:val="5"/>
        <w:numId w:val="1"/>
      </w:numPr>
      <w:spacing w:before="0" w:after="240" w:line="280" w:lineRule="atLeast"/>
      <w:outlineLvl w:val="5"/>
    </w:pPr>
    <w:rPr>
      <w:rFonts w:ascii="Times New Roman" w:hAnsi="Times New Roman"/>
      <w:b w:val="0"/>
      <w:color w:val="auto"/>
      <w:sz w:val="24"/>
      <w:szCs w:val="19"/>
    </w:rPr>
  </w:style>
  <w:style w:type="paragraph" w:styleId="Heading7">
    <w:name w:val="heading 7"/>
    <w:basedOn w:val="Heading2"/>
    <w:next w:val="BodyText"/>
    <w:link w:val="Heading7Char"/>
    <w:qFormat/>
    <w:rsid w:val="0050529F"/>
    <w:pPr>
      <w:numPr>
        <w:ilvl w:val="6"/>
      </w:numPr>
      <w:outlineLvl w:val="6"/>
    </w:pPr>
    <w:rPr>
      <w:rFonts w:ascii="Franklin Gothic Demi" w:hAnsi="Franklin Gothic Demi"/>
      <w:sz w:val="28"/>
      <w:szCs w:val="28"/>
    </w:rPr>
  </w:style>
  <w:style w:type="paragraph" w:styleId="Heading8">
    <w:name w:val="heading 8"/>
    <w:basedOn w:val="Heading3"/>
    <w:next w:val="BodyText"/>
    <w:link w:val="Heading8Char"/>
    <w:qFormat/>
    <w:rsid w:val="0050529F"/>
    <w:pPr>
      <w:numPr>
        <w:ilvl w:val="7"/>
      </w:numPr>
      <w:outlineLvl w:val="7"/>
    </w:pPr>
    <w:rPr>
      <w:lang w:eastAsia="x-none"/>
    </w:rPr>
  </w:style>
  <w:style w:type="paragraph" w:styleId="Heading9">
    <w:name w:val="heading 9"/>
    <w:basedOn w:val="Heading4"/>
    <w:next w:val="BodyText"/>
    <w:link w:val="Heading9Char"/>
    <w:qFormat/>
    <w:rsid w:val="0050529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Subtitle"/>
    <w:next w:val="BodyText"/>
    <w:link w:val="DateChar"/>
    <w:semiHidden/>
    <w:rsid w:val="00B638BD"/>
    <w:pPr>
      <w:numPr>
        <w:ilvl w:val="0"/>
      </w:numPr>
      <w:spacing w:before="80" w:after="80" w:line="280" w:lineRule="atLeast"/>
    </w:pPr>
    <w:rPr>
      <w:rFonts w:ascii="Arial" w:hAnsi="Arial"/>
      <w:i w:val="0"/>
      <w:iCs w:val="0"/>
      <w:color w:val="FFFFFF"/>
      <w:spacing w:val="-10"/>
      <w:kern w:val="28"/>
    </w:rPr>
  </w:style>
  <w:style w:type="character" w:customStyle="1" w:styleId="DateChar">
    <w:name w:val="Date Char"/>
    <w:link w:val="Date"/>
    <w:semiHidden/>
    <w:rsid w:val="00B638BD"/>
    <w:rPr>
      <w:rFonts w:ascii="Arial" w:eastAsia="Times New Roman" w:hAnsi="Arial" w:cs="Arial"/>
      <w:color w:val="FFFFFF"/>
      <w:spacing w:val="-10"/>
      <w:kern w:val="28"/>
      <w:sz w:val="24"/>
      <w:szCs w:val="24"/>
    </w:rPr>
  </w:style>
  <w:style w:type="paragraph" w:customStyle="1" w:styleId="APPRTitle">
    <w:name w:val="APPR Title"/>
    <w:basedOn w:val="Title"/>
    <w:autoRedefine/>
    <w:qFormat/>
    <w:rsid w:val="00703B72"/>
    <w:pPr>
      <w:pageBreakBefore/>
      <w:pBdr>
        <w:bottom w:val="none" w:sz="0" w:space="0" w:color="auto"/>
      </w:pBdr>
      <w:spacing w:before="80" w:after="80" w:line="280" w:lineRule="atLeast"/>
      <w:ind w:right="-567"/>
      <w:contextualSpacing w:val="0"/>
    </w:pPr>
    <w:rPr>
      <w:rFonts w:ascii="Arial" w:hAnsi="Arial"/>
      <w:color w:val="AD495D"/>
      <w:spacing w:val="-10"/>
      <w:sz w:val="40"/>
      <w:szCs w:val="20"/>
    </w:rPr>
  </w:style>
  <w:style w:type="paragraph" w:styleId="Subtitle">
    <w:name w:val="Subtitle"/>
    <w:basedOn w:val="Normal"/>
    <w:next w:val="Normal"/>
    <w:link w:val="SubtitleChar"/>
    <w:qFormat/>
    <w:rsid w:val="0050529F"/>
    <w:pPr>
      <w:numPr>
        <w:ilvl w:val="1"/>
      </w:numPr>
    </w:pPr>
    <w:rPr>
      <w:rFonts w:ascii="Cambria" w:eastAsia="Times New Roman" w:hAnsi="Cambria"/>
      <w:i/>
      <w:iCs/>
      <w:color w:val="4F81BD"/>
      <w:spacing w:val="15"/>
      <w:sz w:val="24"/>
      <w:lang w:val="x-none" w:eastAsia="x-none"/>
    </w:rPr>
  </w:style>
  <w:style w:type="character" w:customStyle="1" w:styleId="SubtitleChar">
    <w:name w:val="Subtitle Char"/>
    <w:link w:val="Subtitle"/>
    <w:rsid w:val="0050529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50529F"/>
    <w:pPr>
      <w:pBdr>
        <w:bottom w:val="single" w:sz="8" w:space="4" w:color="4F81BD"/>
      </w:pBdr>
      <w:spacing w:after="300"/>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rsid w:val="0050529F"/>
    <w:rPr>
      <w:rFonts w:ascii="Cambria" w:eastAsia="Times New Roman" w:hAnsi="Cambria" w:cs="Times New Roman"/>
      <w:color w:val="17365D"/>
      <w:spacing w:val="5"/>
      <w:kern w:val="28"/>
      <w:sz w:val="52"/>
      <w:szCs w:val="52"/>
    </w:rPr>
  </w:style>
  <w:style w:type="paragraph" w:styleId="Header">
    <w:name w:val="header"/>
    <w:basedOn w:val="Normal"/>
    <w:link w:val="HeaderChar"/>
    <w:unhideWhenUsed/>
    <w:rsid w:val="0050529F"/>
    <w:pPr>
      <w:tabs>
        <w:tab w:val="center" w:pos="4513"/>
        <w:tab w:val="right" w:pos="9026"/>
      </w:tabs>
    </w:pPr>
  </w:style>
  <w:style w:type="character" w:customStyle="1" w:styleId="HeaderChar">
    <w:name w:val="Header Char"/>
    <w:basedOn w:val="DefaultParagraphFont"/>
    <w:link w:val="Header"/>
    <w:uiPriority w:val="99"/>
    <w:rsid w:val="0050529F"/>
  </w:style>
  <w:style w:type="paragraph" w:styleId="Footer">
    <w:name w:val="footer"/>
    <w:basedOn w:val="Normal"/>
    <w:link w:val="FooterChar"/>
    <w:unhideWhenUsed/>
    <w:rsid w:val="0050529F"/>
    <w:pPr>
      <w:tabs>
        <w:tab w:val="center" w:pos="4513"/>
        <w:tab w:val="right" w:pos="9026"/>
      </w:tabs>
    </w:pPr>
  </w:style>
  <w:style w:type="character" w:customStyle="1" w:styleId="FooterChar">
    <w:name w:val="Footer Char"/>
    <w:basedOn w:val="DefaultParagraphFont"/>
    <w:link w:val="Footer"/>
    <w:uiPriority w:val="99"/>
    <w:rsid w:val="0050529F"/>
  </w:style>
  <w:style w:type="paragraph" w:styleId="BodyText">
    <w:name w:val="Body Text"/>
    <w:basedOn w:val="Normal"/>
    <w:link w:val="BodyTextChar"/>
    <w:uiPriority w:val="99"/>
    <w:qFormat/>
    <w:rsid w:val="0081667A"/>
    <w:pPr>
      <w:spacing w:after="120"/>
    </w:pPr>
    <w:rPr>
      <w:rFonts w:eastAsia="Times New Roman"/>
      <w:sz w:val="24"/>
      <w:lang w:val="x-none" w:eastAsia="x-none"/>
    </w:rPr>
  </w:style>
  <w:style w:type="character" w:customStyle="1" w:styleId="BodyTextChar">
    <w:name w:val="Body Text Char"/>
    <w:link w:val="BodyText"/>
    <w:uiPriority w:val="99"/>
    <w:rsid w:val="0081667A"/>
    <w:rPr>
      <w:rFonts w:ascii="Times New Roman" w:eastAsia="Times New Roman" w:hAnsi="Times New Roman" w:cs="Times New Roman"/>
      <w:sz w:val="24"/>
      <w:szCs w:val="24"/>
    </w:rPr>
  </w:style>
  <w:style w:type="character" w:styleId="FootnoteReference">
    <w:name w:val="footnote reference"/>
    <w:rsid w:val="00954EF3"/>
    <w:rPr>
      <w:rFonts w:ascii="Times New Roman" w:hAnsi="Times New Roman"/>
      <w:position w:val="6"/>
      <w:sz w:val="16"/>
      <w:szCs w:val="16"/>
    </w:rPr>
  </w:style>
  <w:style w:type="paragraph" w:styleId="FootnoteText">
    <w:name w:val="footnote text"/>
    <w:basedOn w:val="BodyText"/>
    <w:link w:val="FootnoteTextChar"/>
    <w:uiPriority w:val="99"/>
    <w:rsid w:val="0050529F"/>
    <w:pPr>
      <w:spacing w:after="0" w:line="180" w:lineRule="atLeast"/>
    </w:pPr>
    <w:rPr>
      <w:sz w:val="14"/>
      <w:szCs w:val="14"/>
    </w:rPr>
  </w:style>
  <w:style w:type="character" w:customStyle="1" w:styleId="FootnoteTextChar">
    <w:name w:val="Footnote Text Char"/>
    <w:link w:val="FootnoteText"/>
    <w:uiPriority w:val="99"/>
    <w:rsid w:val="0050529F"/>
    <w:rPr>
      <w:rFonts w:ascii="Times New Roman" w:eastAsia="Times New Roman" w:hAnsi="Times New Roman" w:cs="Times New Roman"/>
      <w:sz w:val="14"/>
      <w:szCs w:val="14"/>
    </w:rPr>
  </w:style>
  <w:style w:type="paragraph" w:customStyle="1" w:styleId="APPRHeading1">
    <w:name w:val="APPR Heading 1"/>
    <w:basedOn w:val="Normal"/>
    <w:next w:val="BodyText"/>
    <w:autoRedefine/>
    <w:qFormat/>
    <w:rsid w:val="00EF2769"/>
    <w:pPr>
      <w:keepNext/>
      <w:spacing w:before="360" w:after="120"/>
      <w:outlineLvl w:val="0"/>
    </w:pPr>
    <w:rPr>
      <w:rFonts w:ascii="Arial" w:eastAsia="Times New Roman" w:hAnsi="Arial" w:cs="Arial"/>
      <w:b/>
      <w:color w:val="AD495D"/>
      <w:kern w:val="28"/>
      <w:sz w:val="28"/>
      <w:szCs w:val="28"/>
    </w:rPr>
  </w:style>
  <w:style w:type="character" w:customStyle="1" w:styleId="Heading2Char">
    <w:name w:val="Heading 2 Char"/>
    <w:link w:val="Heading2"/>
    <w:rsid w:val="0050529F"/>
    <w:rPr>
      <w:rFonts w:ascii="Franklin Gothic Medium" w:eastAsia="Times New Roman" w:hAnsi="Franklin Gothic Medium" w:cs="Times New Roman"/>
      <w:color w:val="5A9A98"/>
      <w:sz w:val="24"/>
      <w:szCs w:val="24"/>
    </w:rPr>
  </w:style>
  <w:style w:type="character" w:customStyle="1" w:styleId="Heading3Char">
    <w:name w:val="Heading 3 Char"/>
    <w:link w:val="Heading3"/>
    <w:rsid w:val="00535E24"/>
    <w:rPr>
      <w:rFonts w:ascii="Franklin Gothic Medium" w:eastAsia="Times New Roman" w:hAnsi="Franklin Gothic Medium" w:cs="Times New Roman"/>
      <w:color w:val="54534A"/>
      <w:lang w:eastAsia="zh-CN"/>
    </w:rPr>
  </w:style>
  <w:style w:type="character" w:customStyle="1" w:styleId="Heading4Char">
    <w:name w:val="Heading 4 Char"/>
    <w:link w:val="Heading4"/>
    <w:rsid w:val="0050529F"/>
    <w:rPr>
      <w:rFonts w:ascii="Times New Roman" w:eastAsia="Times New Roman" w:hAnsi="Times New Roman" w:cs="Times New Roman"/>
      <w:b/>
      <w:color w:val="54534A"/>
    </w:rPr>
  </w:style>
  <w:style w:type="character" w:customStyle="1" w:styleId="Heading5Char">
    <w:name w:val="Heading 5 Char"/>
    <w:link w:val="Heading5"/>
    <w:rsid w:val="0050529F"/>
    <w:rPr>
      <w:rFonts w:ascii="Times New Roman" w:eastAsia="Times New Roman" w:hAnsi="Times New Roman" w:cs="Times New Roman"/>
      <w:b/>
      <w:color w:val="54534A"/>
      <w:sz w:val="24"/>
      <w:szCs w:val="24"/>
    </w:rPr>
  </w:style>
  <w:style w:type="character" w:customStyle="1" w:styleId="Heading6Char">
    <w:name w:val="Heading 6 Char"/>
    <w:link w:val="Heading6"/>
    <w:rsid w:val="0050529F"/>
    <w:rPr>
      <w:rFonts w:ascii="Times New Roman" w:eastAsia="Times New Roman" w:hAnsi="Times New Roman" w:cs="Times New Roman"/>
      <w:bCs/>
      <w:sz w:val="24"/>
      <w:szCs w:val="19"/>
    </w:rPr>
  </w:style>
  <w:style w:type="character" w:customStyle="1" w:styleId="Heading7Char">
    <w:name w:val="Heading 7 Char"/>
    <w:link w:val="Heading7"/>
    <w:rsid w:val="0050529F"/>
    <w:rPr>
      <w:rFonts w:ascii="Franklin Gothic Demi" w:eastAsia="Times New Roman" w:hAnsi="Franklin Gothic Demi" w:cs="Times New Roman"/>
      <w:color w:val="5A9A98"/>
      <w:sz w:val="28"/>
      <w:szCs w:val="28"/>
    </w:rPr>
  </w:style>
  <w:style w:type="character" w:customStyle="1" w:styleId="Heading8Char">
    <w:name w:val="Heading 8 Char"/>
    <w:link w:val="Heading8"/>
    <w:rsid w:val="0050529F"/>
    <w:rPr>
      <w:rFonts w:ascii="Franklin Gothic Medium" w:eastAsia="Times New Roman" w:hAnsi="Franklin Gothic Medium" w:cs="Times New Roman"/>
      <w:color w:val="54534A"/>
    </w:rPr>
  </w:style>
  <w:style w:type="character" w:customStyle="1" w:styleId="Heading9Char">
    <w:name w:val="Heading 9 Char"/>
    <w:link w:val="Heading9"/>
    <w:rsid w:val="0050529F"/>
    <w:rPr>
      <w:rFonts w:ascii="Times New Roman" w:eastAsia="Times New Roman" w:hAnsi="Times New Roman" w:cs="Times New Roman"/>
      <w:b/>
      <w:color w:val="54534A"/>
    </w:rPr>
  </w:style>
  <w:style w:type="paragraph" w:styleId="Caption">
    <w:name w:val="caption"/>
    <w:basedOn w:val="Normal"/>
    <w:next w:val="BodyText"/>
    <w:uiPriority w:val="99"/>
    <w:qFormat/>
    <w:rsid w:val="0050529F"/>
    <w:pPr>
      <w:keepNext/>
      <w:spacing w:before="80" w:after="80" w:line="280" w:lineRule="atLeast"/>
    </w:pPr>
    <w:rPr>
      <w:rFonts w:ascii="Arial" w:eastAsia="Times New Roman" w:hAnsi="Arial" w:cs="Arial"/>
      <w:color w:val="7E6D5F"/>
      <w:szCs w:val="19"/>
    </w:rPr>
  </w:style>
  <w:style w:type="paragraph" w:customStyle="1" w:styleId="Note">
    <w:name w:val="Note"/>
    <w:basedOn w:val="TableTextEntries"/>
    <w:next w:val="Normal"/>
    <w:link w:val="NoteCharChar"/>
    <w:autoRedefine/>
    <w:rsid w:val="00D74036"/>
    <w:pPr>
      <w:keepNext/>
      <w:spacing w:before="20" w:after="20" w:line="180" w:lineRule="atLeast"/>
    </w:pPr>
    <w:rPr>
      <w:iCs/>
      <w:sz w:val="14"/>
      <w:szCs w:val="14"/>
      <w:lang w:val="x-none" w:eastAsia="x-none"/>
    </w:rPr>
  </w:style>
  <w:style w:type="paragraph" w:customStyle="1" w:styleId="TableTextEntries">
    <w:name w:val="Table Text Entries"/>
    <w:basedOn w:val="Normal"/>
    <w:rsid w:val="0050529F"/>
    <w:pPr>
      <w:keepLines/>
      <w:spacing w:before="40" w:after="40" w:line="200" w:lineRule="atLeast"/>
    </w:pPr>
    <w:rPr>
      <w:rFonts w:ascii="Franklin Gothic Book" w:eastAsia="Times New Roman" w:hAnsi="Franklin Gothic Book"/>
      <w:sz w:val="17"/>
      <w:szCs w:val="17"/>
      <w:lang w:eastAsia="en-US"/>
    </w:rPr>
  </w:style>
  <w:style w:type="paragraph" w:customStyle="1" w:styleId="TableDataEntries">
    <w:name w:val="Table Data Entries"/>
    <w:basedOn w:val="TableTextEntries"/>
    <w:uiPriority w:val="99"/>
    <w:rsid w:val="0050529F"/>
    <w:pPr>
      <w:jc w:val="right"/>
    </w:pPr>
  </w:style>
  <w:style w:type="paragraph" w:customStyle="1" w:styleId="TableDataColumnHeading">
    <w:name w:val="Table Data Column Heading"/>
    <w:basedOn w:val="TableDataEntries"/>
    <w:uiPriority w:val="99"/>
    <w:rsid w:val="0050529F"/>
    <w:pPr>
      <w:spacing w:before="80" w:after="80"/>
    </w:pPr>
    <w:rPr>
      <w:rFonts w:ascii="Franklin Gothic Medium" w:hAnsi="Franklin Gothic Medium"/>
    </w:rPr>
  </w:style>
  <w:style w:type="paragraph" w:customStyle="1" w:styleId="TableTextColumnHeading">
    <w:name w:val="Table Text Column Heading"/>
    <w:basedOn w:val="TableDataColumnHeading"/>
    <w:autoRedefine/>
    <w:rsid w:val="006A30F5"/>
    <w:pPr>
      <w:jc w:val="left"/>
    </w:pPr>
    <w:rPr>
      <w:b/>
    </w:rPr>
  </w:style>
  <w:style w:type="paragraph" w:customStyle="1" w:styleId="NoteNumber">
    <w:name w:val="Note Number"/>
    <w:basedOn w:val="TableTextEntries"/>
    <w:link w:val="NoteNumberCharChar"/>
    <w:rsid w:val="00701FEA"/>
    <w:pPr>
      <w:numPr>
        <w:numId w:val="2"/>
      </w:numPr>
      <w:spacing w:after="0" w:line="180" w:lineRule="atLeast"/>
    </w:pPr>
    <w:rPr>
      <w:rFonts w:ascii="Times New Roman" w:hAnsi="Times New Roman"/>
      <w:sz w:val="14"/>
      <w:szCs w:val="14"/>
      <w:lang w:val="x-none"/>
    </w:rPr>
  </w:style>
  <w:style w:type="character" w:customStyle="1" w:styleId="NoteCharChar">
    <w:name w:val="Note Char Char"/>
    <w:link w:val="Note"/>
    <w:rsid w:val="00D74036"/>
    <w:rPr>
      <w:rFonts w:ascii="Franklin Gothic Book" w:eastAsia="Times New Roman" w:hAnsi="Franklin Gothic Book" w:cs="Times New Roman"/>
      <w:iCs/>
      <w:sz w:val="14"/>
      <w:szCs w:val="14"/>
    </w:rPr>
  </w:style>
  <w:style w:type="character" w:customStyle="1" w:styleId="NoteNumberCharChar">
    <w:name w:val="Note Number Char Char"/>
    <w:link w:val="NoteNumber"/>
    <w:rsid w:val="00701FEA"/>
    <w:rPr>
      <w:rFonts w:ascii="Times New Roman" w:eastAsia="Times New Roman" w:hAnsi="Times New Roman" w:cs="Times New Roman"/>
      <w:sz w:val="14"/>
      <w:szCs w:val="14"/>
      <w:lang w:eastAsia="en-US"/>
    </w:rPr>
  </w:style>
  <w:style w:type="paragraph" w:customStyle="1" w:styleId="Ratingbullet">
    <w:name w:val="Rating bullet"/>
    <w:basedOn w:val="TableTextEntries"/>
    <w:semiHidden/>
    <w:rsid w:val="0050529F"/>
    <w:pPr>
      <w:jc w:val="center"/>
    </w:pPr>
    <w:rPr>
      <w:sz w:val="22"/>
      <w:szCs w:val="22"/>
    </w:rPr>
  </w:style>
  <w:style w:type="character" w:customStyle="1" w:styleId="Heading1Char">
    <w:name w:val="Heading 1 Char"/>
    <w:link w:val="Heading1"/>
    <w:rsid w:val="0050529F"/>
    <w:rPr>
      <w:rFonts w:ascii="Cambria" w:eastAsia="Times New Roman" w:hAnsi="Cambria" w:cs="Times New Roman"/>
      <w:b/>
      <w:bCs/>
      <w:color w:val="365F91"/>
      <w:sz w:val="28"/>
      <w:szCs w:val="28"/>
    </w:rPr>
  </w:style>
  <w:style w:type="paragraph" w:customStyle="1" w:styleId="APPRHeading2">
    <w:name w:val="APPR Heading 2"/>
    <w:basedOn w:val="APPRHeading1"/>
    <w:next w:val="BodyText"/>
    <w:qFormat/>
    <w:rsid w:val="00BE0D5C"/>
    <w:pPr>
      <w:outlineLvl w:val="1"/>
    </w:pPr>
    <w:rPr>
      <w:sz w:val="24"/>
    </w:rPr>
  </w:style>
  <w:style w:type="paragraph" w:styleId="ListParagraph">
    <w:name w:val="List Paragraph"/>
    <w:basedOn w:val="BodyText"/>
    <w:autoRedefine/>
    <w:uiPriority w:val="34"/>
    <w:qFormat/>
    <w:rsid w:val="00830647"/>
    <w:pPr>
      <w:numPr>
        <w:numId w:val="3"/>
      </w:numPr>
      <w:ind w:left="714" w:hanging="357"/>
    </w:pPr>
  </w:style>
  <w:style w:type="character" w:customStyle="1" w:styleId="DraftingNote">
    <w:name w:val="Drafting Note"/>
    <w:semiHidden/>
    <w:rsid w:val="0050529F"/>
    <w:rPr>
      <w:rFonts w:ascii="Georgia" w:hAnsi="Georgia"/>
      <w:b/>
      <w:color w:val="FF0000"/>
      <w:sz w:val="19"/>
      <w:szCs w:val="19"/>
      <w:u w:val="dotted"/>
    </w:rPr>
  </w:style>
  <w:style w:type="paragraph" w:customStyle="1" w:styleId="QuoteBullet">
    <w:name w:val="Quote Bullet"/>
    <w:rsid w:val="0050529F"/>
    <w:pPr>
      <w:numPr>
        <w:numId w:val="16"/>
      </w:numPr>
      <w:tabs>
        <w:tab w:val="clear" w:pos="567"/>
        <w:tab w:val="num" w:pos="284"/>
      </w:tabs>
      <w:spacing w:after="240" w:line="260" w:lineRule="atLeast"/>
      <w:ind w:left="284" w:hanging="284"/>
    </w:pPr>
    <w:rPr>
      <w:rFonts w:ascii="Times New Roman" w:eastAsia="Times New Roman" w:hAnsi="Times New Roman"/>
      <w:sz w:val="17"/>
      <w:szCs w:val="17"/>
      <w:lang w:val="en-AU" w:eastAsia="en-AU"/>
    </w:rPr>
  </w:style>
  <w:style w:type="paragraph" w:customStyle="1" w:styleId="Abbreviation">
    <w:name w:val="Abbreviation"/>
    <w:basedOn w:val="BodyText"/>
    <w:rsid w:val="0050529F"/>
    <w:pPr>
      <w:ind w:left="1418" w:hanging="1418"/>
    </w:pPr>
  </w:style>
  <w:style w:type="paragraph" w:customStyle="1" w:styleId="Ratingamber">
    <w:name w:val="Rating amber"/>
    <w:basedOn w:val="Normal"/>
    <w:semiHidden/>
    <w:rsid w:val="0050529F"/>
    <w:pPr>
      <w:numPr>
        <w:numId w:val="11"/>
      </w:numPr>
      <w:spacing w:before="80" w:after="80" w:line="280" w:lineRule="atLeast"/>
    </w:pPr>
    <w:rPr>
      <w:rFonts w:ascii="Georgia" w:eastAsia="Times New Roman" w:hAnsi="Georgia"/>
      <w:sz w:val="19"/>
      <w:szCs w:val="19"/>
    </w:rPr>
  </w:style>
  <w:style w:type="paragraph" w:styleId="ListBullet">
    <w:name w:val="List Bullet"/>
    <w:basedOn w:val="BodyText"/>
    <w:rsid w:val="0050529F"/>
    <w:pPr>
      <w:numPr>
        <w:numId w:val="15"/>
      </w:numPr>
    </w:pPr>
  </w:style>
  <w:style w:type="paragraph" w:styleId="ListBullet2">
    <w:name w:val="List Bullet 2"/>
    <w:basedOn w:val="ListBullet"/>
    <w:rsid w:val="0050529F"/>
    <w:pPr>
      <w:numPr>
        <w:numId w:val="13"/>
      </w:numPr>
      <w:ind w:left="568" w:hanging="284"/>
    </w:pPr>
  </w:style>
  <w:style w:type="paragraph" w:styleId="ListNumber">
    <w:name w:val="List Number"/>
    <w:basedOn w:val="ListBullet"/>
    <w:rsid w:val="0050529F"/>
  </w:style>
  <w:style w:type="paragraph" w:styleId="ListNumber2">
    <w:name w:val="List Number 2"/>
    <w:basedOn w:val="ListNumber"/>
    <w:rsid w:val="0050529F"/>
    <w:pPr>
      <w:numPr>
        <w:numId w:val="14"/>
      </w:numPr>
      <w:ind w:left="568" w:hanging="284"/>
    </w:pPr>
  </w:style>
  <w:style w:type="paragraph" w:customStyle="1" w:styleId="Ratinggreen">
    <w:name w:val="Rating green"/>
    <w:basedOn w:val="Ratingamber"/>
    <w:semiHidden/>
    <w:rsid w:val="0050529F"/>
    <w:pPr>
      <w:numPr>
        <w:numId w:val="12"/>
      </w:numPr>
    </w:pPr>
  </w:style>
  <w:style w:type="paragraph" w:customStyle="1" w:styleId="Reference">
    <w:name w:val="Reference"/>
    <w:basedOn w:val="BodyText"/>
    <w:semiHidden/>
    <w:rsid w:val="0050529F"/>
    <w:pPr>
      <w:keepLines/>
      <w:spacing w:before="60" w:after="60" w:line="260" w:lineRule="atLeast"/>
      <w:ind w:left="284" w:hanging="284"/>
    </w:pPr>
    <w:rPr>
      <w:sz w:val="17"/>
      <w:szCs w:val="17"/>
    </w:rPr>
  </w:style>
  <w:style w:type="paragraph" w:customStyle="1" w:styleId="Contents">
    <w:name w:val="Contents"/>
    <w:basedOn w:val="Normal"/>
    <w:next w:val="BodyText"/>
    <w:semiHidden/>
    <w:rsid w:val="0050529F"/>
    <w:pPr>
      <w:spacing w:before="460" w:after="100" w:line="320" w:lineRule="atLeast"/>
    </w:pPr>
    <w:rPr>
      <w:rFonts w:ascii="Franklin Gothic Demi" w:eastAsia="Times New Roman" w:hAnsi="Franklin Gothic Demi"/>
      <w:color w:val="AD495D"/>
      <w:kern w:val="28"/>
      <w:sz w:val="28"/>
      <w:szCs w:val="28"/>
    </w:rPr>
  </w:style>
  <w:style w:type="character" w:styleId="PageNumber">
    <w:name w:val="page number"/>
    <w:semiHidden/>
    <w:rsid w:val="0050529F"/>
    <w:rPr>
      <w:rFonts w:ascii="Franklin Gothic Medium" w:hAnsi="Franklin Gothic Medium"/>
      <w:color w:val="54534A"/>
      <w:sz w:val="14"/>
      <w:szCs w:val="14"/>
    </w:rPr>
  </w:style>
  <w:style w:type="paragraph" w:styleId="TOC1">
    <w:name w:val="toc 1"/>
    <w:basedOn w:val="BodyText"/>
    <w:next w:val="BodyText"/>
    <w:uiPriority w:val="39"/>
    <w:rsid w:val="0050529F"/>
    <w:pPr>
      <w:tabs>
        <w:tab w:val="left" w:pos="397"/>
        <w:tab w:val="right" w:pos="7938"/>
      </w:tabs>
      <w:spacing w:before="180" w:after="0"/>
      <w:ind w:left="397" w:right="567" w:hanging="397"/>
    </w:pPr>
    <w:rPr>
      <w:rFonts w:ascii="Franklin Gothic Medium" w:hAnsi="Franklin Gothic Medium"/>
      <w:color w:val="54534A"/>
    </w:rPr>
  </w:style>
  <w:style w:type="paragraph" w:styleId="TOC2">
    <w:name w:val="toc 2"/>
    <w:basedOn w:val="TOC1"/>
    <w:next w:val="TOC1"/>
    <w:uiPriority w:val="39"/>
    <w:rsid w:val="0050529F"/>
    <w:pPr>
      <w:spacing w:before="120" w:line="200" w:lineRule="atLeast"/>
      <w:ind w:left="0" w:firstLine="0"/>
    </w:pPr>
    <w:rPr>
      <w:rFonts w:ascii="Franklin Gothic Book" w:hAnsi="Franklin Gothic Book"/>
      <w:color w:val="5A9A98"/>
      <w:sz w:val="21"/>
      <w:szCs w:val="21"/>
    </w:rPr>
  </w:style>
  <w:style w:type="paragraph" w:customStyle="1" w:styleId="Reporttype">
    <w:name w:val="Report type"/>
    <w:basedOn w:val="BodyText"/>
    <w:semiHidden/>
    <w:rsid w:val="0050529F"/>
    <w:pPr>
      <w:spacing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50529F"/>
    <w:rPr>
      <w:rFonts w:ascii="Franklin Gothic Book" w:hAnsi="Franklin Gothic Book"/>
      <w:color w:val="auto"/>
      <w:sz w:val="17"/>
      <w:szCs w:val="17"/>
    </w:rPr>
  </w:style>
  <w:style w:type="paragraph" w:customStyle="1" w:styleId="Invisiblepara">
    <w:name w:val="Invisible para"/>
    <w:basedOn w:val="Normal"/>
    <w:semiHidden/>
    <w:rsid w:val="0050529F"/>
    <w:pPr>
      <w:keepNext/>
      <w:spacing w:before="320" w:line="80" w:lineRule="exact"/>
    </w:pPr>
    <w:rPr>
      <w:rFonts w:eastAsia="Times New Roman"/>
      <w:sz w:val="21"/>
      <w:szCs w:val="20"/>
    </w:rPr>
  </w:style>
  <w:style w:type="paragraph" w:customStyle="1" w:styleId="BoxListBullet">
    <w:name w:val="Box List Bullet"/>
    <w:basedOn w:val="BoxText"/>
    <w:rsid w:val="0050529F"/>
    <w:pPr>
      <w:keepLines/>
      <w:numPr>
        <w:numId w:val="7"/>
      </w:numPr>
      <w:tabs>
        <w:tab w:val="clear" w:pos="284"/>
        <w:tab w:val="num" w:pos="454"/>
      </w:tabs>
      <w:spacing w:before="0"/>
      <w:ind w:left="454" w:hanging="227"/>
    </w:pPr>
    <w:rPr>
      <w:szCs w:val="20"/>
    </w:rPr>
  </w:style>
  <w:style w:type="character" w:customStyle="1" w:styleId="NoteLabel">
    <w:name w:val="Note Label"/>
    <w:rsid w:val="00701FEA"/>
    <w:rPr>
      <w:rFonts w:ascii="Times New Roman" w:hAnsi="Times New Roman"/>
      <w:color w:val="auto"/>
      <w:position w:val="4"/>
      <w:sz w:val="14"/>
      <w:szCs w:val="14"/>
    </w:rPr>
  </w:style>
  <w:style w:type="paragraph" w:customStyle="1" w:styleId="Source">
    <w:name w:val="Source"/>
    <w:basedOn w:val="Note"/>
    <w:next w:val="BodyText"/>
    <w:uiPriority w:val="99"/>
    <w:rsid w:val="0050529F"/>
    <w:pPr>
      <w:spacing w:after="240"/>
    </w:pPr>
  </w:style>
  <w:style w:type="paragraph" w:customStyle="1" w:styleId="BoxHeading1">
    <w:name w:val="Box Heading 1"/>
    <w:basedOn w:val="BoxText"/>
    <w:next w:val="BoxText"/>
    <w:rsid w:val="0050529F"/>
    <w:pPr>
      <w:spacing w:before="180" w:after="0" w:line="220" w:lineRule="atLeast"/>
    </w:pPr>
    <w:rPr>
      <w:rFonts w:ascii="Franklin Gothic Demi" w:hAnsi="Franklin Gothic Demi"/>
      <w:color w:val="000000"/>
    </w:rPr>
  </w:style>
  <w:style w:type="paragraph" w:customStyle="1" w:styleId="BoxHeading2">
    <w:name w:val="Box Heading 2"/>
    <w:basedOn w:val="BoxHeading1"/>
    <w:next w:val="BoxText"/>
    <w:rsid w:val="0050529F"/>
    <w:pPr>
      <w:spacing w:before="140"/>
    </w:pPr>
    <w:rPr>
      <w:rFonts w:ascii="Franklin Gothic Book" w:hAnsi="Franklin Gothic Book"/>
      <w:i/>
      <w:color w:val="auto"/>
    </w:rPr>
  </w:style>
  <w:style w:type="paragraph" w:customStyle="1" w:styleId="TableListBullet">
    <w:name w:val="Table List Bullet"/>
    <w:basedOn w:val="TableTextEntries"/>
    <w:rsid w:val="0050529F"/>
    <w:pPr>
      <w:numPr>
        <w:numId w:val="9"/>
      </w:numPr>
    </w:pPr>
  </w:style>
  <w:style w:type="paragraph" w:styleId="TableofFigures">
    <w:name w:val="table of figures"/>
    <w:basedOn w:val="BodyText"/>
    <w:next w:val="BodyText"/>
    <w:semiHidden/>
    <w:rsid w:val="0050529F"/>
    <w:pPr>
      <w:tabs>
        <w:tab w:val="left" w:pos="1077"/>
        <w:tab w:val="right" w:pos="8505"/>
      </w:tabs>
      <w:spacing w:before="60" w:line="260" w:lineRule="atLeast"/>
      <w:ind w:left="1077" w:right="567" w:hanging="1077"/>
    </w:pPr>
  </w:style>
  <w:style w:type="paragraph" w:styleId="TOC3">
    <w:name w:val="toc 3"/>
    <w:basedOn w:val="TOC2"/>
    <w:next w:val="BodyText"/>
    <w:semiHidden/>
    <w:rsid w:val="0050529F"/>
    <w:pPr>
      <w:tabs>
        <w:tab w:val="clear" w:pos="397"/>
      </w:tabs>
      <w:spacing w:before="40" w:line="230" w:lineRule="atLeast"/>
      <w:ind w:left="567" w:hanging="567"/>
    </w:pPr>
    <w:rPr>
      <w:rFonts w:ascii="Georgia" w:hAnsi="Georgia"/>
      <w:color w:val="auto"/>
      <w:sz w:val="19"/>
      <w:szCs w:val="19"/>
    </w:rPr>
  </w:style>
  <w:style w:type="paragraph" w:customStyle="1" w:styleId="Continued">
    <w:name w:val="Continued"/>
    <w:basedOn w:val="Source"/>
    <w:next w:val="BodyText"/>
    <w:semiHidden/>
    <w:rsid w:val="0050529F"/>
    <w:pPr>
      <w:jc w:val="right"/>
    </w:pPr>
  </w:style>
  <w:style w:type="paragraph" w:customStyle="1" w:styleId="Recommendation">
    <w:name w:val="Recommendation"/>
    <w:basedOn w:val="BodyText"/>
    <w:next w:val="BodyText"/>
    <w:semiHidden/>
    <w:rsid w:val="0050529F"/>
    <w:pPr>
      <w:tabs>
        <w:tab w:val="left" w:pos="284"/>
      </w:tabs>
      <w:ind w:left="284" w:hanging="284"/>
    </w:pPr>
    <w:rPr>
      <w:rFonts w:eastAsia="MS Mincho" w:cs="MS Mincho"/>
      <w:b/>
    </w:rPr>
  </w:style>
  <w:style w:type="paragraph" w:styleId="TOC6">
    <w:name w:val="toc 6"/>
    <w:basedOn w:val="BodyText"/>
    <w:next w:val="BodyText"/>
    <w:semiHidden/>
    <w:rsid w:val="0050529F"/>
    <w:pPr>
      <w:tabs>
        <w:tab w:val="left" w:pos="284"/>
        <w:tab w:val="right" w:pos="8222"/>
      </w:tabs>
      <w:ind w:left="284" w:right="567" w:hanging="284"/>
    </w:pPr>
  </w:style>
  <w:style w:type="character" w:styleId="CommentReference">
    <w:name w:val="annotation reference"/>
    <w:semiHidden/>
    <w:rsid w:val="0050529F"/>
    <w:rPr>
      <w:rFonts w:ascii="Franklin Gothic Medium" w:hAnsi="Franklin Gothic Medium"/>
      <w:vanish/>
      <w:color w:val="FF00FF"/>
      <w:sz w:val="16"/>
      <w:szCs w:val="16"/>
    </w:rPr>
  </w:style>
  <w:style w:type="paragraph" w:styleId="CommentText">
    <w:name w:val="annotation text"/>
    <w:basedOn w:val="BodyText"/>
    <w:link w:val="CommentTextChar"/>
    <w:semiHidden/>
    <w:rsid w:val="0050529F"/>
    <w:pPr>
      <w:spacing w:line="240" w:lineRule="atLeast"/>
    </w:pPr>
    <w:rPr>
      <w:rFonts w:ascii="Calibri" w:hAnsi="Calibri"/>
      <w:sz w:val="18"/>
      <w:szCs w:val="18"/>
    </w:rPr>
  </w:style>
  <w:style w:type="character" w:customStyle="1" w:styleId="CommentTextChar">
    <w:name w:val="Comment Text Char"/>
    <w:link w:val="CommentText"/>
    <w:semiHidden/>
    <w:rsid w:val="0050529F"/>
    <w:rPr>
      <w:rFonts w:ascii="Calibri" w:eastAsia="Times New Roman" w:hAnsi="Calibri" w:cs="Times New Roman"/>
      <w:sz w:val="18"/>
      <w:szCs w:val="18"/>
    </w:rPr>
  </w:style>
  <w:style w:type="character" w:styleId="Hyperlink">
    <w:name w:val="Hyperlink"/>
    <w:uiPriority w:val="99"/>
    <w:rsid w:val="0050529F"/>
    <w:rPr>
      <w:color w:val="00467F"/>
      <w:sz w:val="20"/>
      <w:szCs w:val="20"/>
      <w:u w:val="none"/>
    </w:rPr>
  </w:style>
  <w:style w:type="paragraph" w:customStyle="1" w:styleId="ChartText">
    <w:name w:val="Chart Text"/>
    <w:basedOn w:val="BodyText"/>
    <w:semiHidden/>
    <w:rsid w:val="0050529F"/>
    <w:pPr>
      <w:spacing w:before="100" w:line="190" w:lineRule="exact"/>
    </w:pPr>
    <w:rPr>
      <w:rFonts w:ascii="Arial" w:hAnsi="Arial"/>
      <w:sz w:val="17"/>
    </w:rPr>
  </w:style>
  <w:style w:type="paragraph" w:customStyle="1" w:styleId="ChartBoldText">
    <w:name w:val="Chart Bold Text"/>
    <w:basedOn w:val="ChartText"/>
    <w:next w:val="ChartText"/>
    <w:semiHidden/>
    <w:rsid w:val="0050529F"/>
    <w:pPr>
      <w:spacing w:before="0"/>
      <w:jc w:val="center"/>
    </w:pPr>
    <w:rPr>
      <w:rFonts w:ascii="Arial Bold" w:hAnsi="Arial Bold"/>
      <w:b/>
      <w:color w:val="073771"/>
      <w:szCs w:val="17"/>
    </w:rPr>
  </w:style>
  <w:style w:type="paragraph" w:customStyle="1" w:styleId="ChartHighlight">
    <w:name w:val="Chart Highlight"/>
    <w:basedOn w:val="ChartBoldText"/>
    <w:semiHidden/>
    <w:rsid w:val="0050529F"/>
    <w:pPr>
      <w:spacing w:line="210" w:lineRule="exact"/>
    </w:pPr>
    <w:rPr>
      <w:caps/>
      <w:sz w:val="19"/>
    </w:rPr>
  </w:style>
  <w:style w:type="paragraph" w:customStyle="1" w:styleId="ChartListBullet">
    <w:name w:val="Chart List Bullet"/>
    <w:basedOn w:val="TableListBullet"/>
    <w:semiHidden/>
    <w:rsid w:val="0050529F"/>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50529F"/>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50529F"/>
    <w:pPr>
      <w:tabs>
        <w:tab w:val="num" w:pos="227"/>
      </w:tabs>
      <w:spacing w:before="60"/>
      <w:ind w:left="227" w:hanging="227"/>
    </w:pPr>
  </w:style>
  <w:style w:type="paragraph" w:styleId="TOC7">
    <w:name w:val="toc 7"/>
    <w:basedOn w:val="TOC1"/>
    <w:next w:val="TOC1"/>
    <w:semiHidden/>
    <w:rsid w:val="0050529F"/>
    <w:pPr>
      <w:tabs>
        <w:tab w:val="left" w:pos="1418"/>
      </w:tabs>
      <w:ind w:left="1418" w:hanging="1418"/>
    </w:pPr>
  </w:style>
  <w:style w:type="paragraph" w:customStyle="1" w:styleId="Author">
    <w:name w:val="Author"/>
    <w:basedOn w:val="Date"/>
    <w:next w:val="Position"/>
    <w:link w:val="AuthorCharChar"/>
    <w:semiHidden/>
    <w:rsid w:val="0050529F"/>
    <w:pPr>
      <w:spacing w:before="180" w:after="0" w:line="260" w:lineRule="atLeast"/>
    </w:pPr>
    <w:rPr>
      <w:rFonts w:ascii="Franklin Gothic Medium" w:hAnsi="Franklin Gothic Medium"/>
      <w:color w:val="auto"/>
      <w:spacing w:val="-2"/>
      <w:sz w:val="20"/>
      <w:szCs w:val="20"/>
    </w:rPr>
  </w:style>
  <w:style w:type="paragraph" w:customStyle="1" w:styleId="Position">
    <w:name w:val="Position"/>
    <w:basedOn w:val="Author"/>
    <w:next w:val="Author"/>
    <w:link w:val="PositionCharChar"/>
    <w:semiHidden/>
    <w:rsid w:val="0050529F"/>
    <w:pPr>
      <w:spacing w:before="0"/>
    </w:pPr>
    <w:rPr>
      <w:rFonts w:ascii="Franklin Gothic Book" w:hAnsi="Franklin Gothic Book"/>
    </w:rPr>
  </w:style>
  <w:style w:type="paragraph" w:customStyle="1" w:styleId="CharChar">
    <w:name w:val="Char Char"/>
    <w:basedOn w:val="BoxText"/>
    <w:semiHidden/>
    <w:rsid w:val="0050529F"/>
  </w:style>
  <w:style w:type="paragraph" w:customStyle="1" w:styleId="Client">
    <w:name w:val="Client"/>
    <w:basedOn w:val="Author"/>
    <w:semiHidden/>
    <w:rsid w:val="0050529F"/>
  </w:style>
  <w:style w:type="paragraph" w:customStyle="1" w:styleId="TableHeading1">
    <w:name w:val="Table Heading 1"/>
    <w:basedOn w:val="TableTextEntries"/>
    <w:next w:val="TableTextEntries"/>
    <w:rsid w:val="0050529F"/>
    <w:pPr>
      <w:spacing w:before="80" w:after="80"/>
    </w:pPr>
    <w:rPr>
      <w:rFonts w:ascii="Franklin Gothic Medium" w:hAnsi="Franklin Gothic Medium"/>
    </w:rPr>
  </w:style>
  <w:style w:type="paragraph" w:customStyle="1" w:styleId="TableHeading2">
    <w:name w:val="Table Heading 2"/>
    <w:basedOn w:val="TableHeading1"/>
    <w:next w:val="TableTextEntries"/>
    <w:rsid w:val="0050529F"/>
    <w:pPr>
      <w:spacing w:before="40" w:after="40"/>
    </w:pPr>
    <w:rPr>
      <w:rFonts w:ascii="Franklin Gothic Book" w:hAnsi="Franklin Gothic Book"/>
      <w:i/>
    </w:rPr>
  </w:style>
  <w:style w:type="paragraph" w:customStyle="1" w:styleId="TableListBullet2">
    <w:name w:val="Table List Bullet 2"/>
    <w:basedOn w:val="TableListBullet"/>
    <w:link w:val="TableListBullet2CharChar"/>
    <w:rsid w:val="0050529F"/>
    <w:pPr>
      <w:numPr>
        <w:numId w:val="10"/>
      </w:numPr>
    </w:pPr>
    <w:rPr>
      <w:lang w:val="x-none"/>
    </w:rPr>
  </w:style>
  <w:style w:type="paragraph" w:customStyle="1" w:styleId="TableListNumber">
    <w:name w:val="Table List Number"/>
    <w:basedOn w:val="TableTextEntries"/>
    <w:rsid w:val="0050529F"/>
    <w:pPr>
      <w:numPr>
        <w:numId w:val="4"/>
      </w:numPr>
    </w:pPr>
  </w:style>
  <w:style w:type="paragraph" w:customStyle="1" w:styleId="TableListNumber2">
    <w:name w:val="Table List Number 2"/>
    <w:basedOn w:val="TableListNumber"/>
    <w:rsid w:val="0050529F"/>
    <w:pPr>
      <w:numPr>
        <w:numId w:val="5"/>
      </w:numPr>
    </w:pPr>
  </w:style>
  <w:style w:type="paragraph" w:customStyle="1" w:styleId="TableUnit">
    <w:name w:val="Table Unit"/>
    <w:basedOn w:val="TableDataColumnHeading"/>
    <w:next w:val="TableDataEntries"/>
    <w:semiHidden/>
    <w:rsid w:val="0050529F"/>
    <w:pPr>
      <w:keepNext/>
    </w:pPr>
    <w:rPr>
      <w:rFonts w:ascii="Franklin Gothic Book" w:hAnsi="Franklin Gothic Book"/>
    </w:rPr>
  </w:style>
  <w:style w:type="character" w:styleId="FollowedHyperlink">
    <w:name w:val="FollowedHyperlink"/>
    <w:semiHidden/>
    <w:rsid w:val="0050529F"/>
    <w:rPr>
      <w:color w:val="333399"/>
      <w:u w:val="none"/>
    </w:rPr>
  </w:style>
  <w:style w:type="paragraph" w:customStyle="1" w:styleId="Blurb">
    <w:name w:val="Blurb"/>
    <w:basedOn w:val="Caption"/>
    <w:semiHidden/>
    <w:rsid w:val="0050529F"/>
    <w:pPr>
      <w:spacing w:before="180" w:after="0"/>
    </w:pPr>
    <w:rPr>
      <w:color w:val="FFFFFF"/>
    </w:rPr>
  </w:style>
  <w:style w:type="paragraph" w:customStyle="1" w:styleId="Figure">
    <w:name w:val="Figure"/>
    <w:basedOn w:val="BodyText"/>
    <w:next w:val="BodyText"/>
    <w:semiHidden/>
    <w:rsid w:val="0050529F"/>
    <w:pPr>
      <w:spacing w:line="200" w:lineRule="atLeast"/>
    </w:pPr>
    <w:rPr>
      <w:sz w:val="18"/>
      <w:szCs w:val="18"/>
    </w:rPr>
  </w:style>
  <w:style w:type="paragraph" w:customStyle="1" w:styleId="BoxListBullet2">
    <w:name w:val="Box List Bullet 2"/>
    <w:basedOn w:val="BoxListBullet"/>
    <w:rsid w:val="0050529F"/>
    <w:pPr>
      <w:numPr>
        <w:numId w:val="6"/>
      </w:numPr>
      <w:tabs>
        <w:tab w:val="clear" w:pos="567"/>
        <w:tab w:val="num" w:pos="227"/>
      </w:tabs>
      <w:ind w:left="227" w:hanging="227"/>
    </w:pPr>
    <w:rPr>
      <w:szCs w:val="18"/>
    </w:rPr>
  </w:style>
  <w:style w:type="paragraph" w:customStyle="1" w:styleId="BoxText">
    <w:name w:val="Box Text"/>
    <w:basedOn w:val="Normal"/>
    <w:link w:val="BoxTextChar"/>
    <w:autoRedefine/>
    <w:qFormat/>
    <w:rsid w:val="008D745E"/>
    <w:pPr>
      <w:spacing w:before="120" w:after="120" w:line="260" w:lineRule="atLeast"/>
    </w:pPr>
    <w:rPr>
      <w:rFonts w:eastAsia="Times New Roman"/>
      <w:sz w:val="18"/>
      <w:szCs w:val="18"/>
      <w:lang w:val="x-none" w:eastAsia="x-none"/>
    </w:rPr>
  </w:style>
  <w:style w:type="paragraph" w:customStyle="1" w:styleId="BoxListNumber">
    <w:name w:val="Box List Number"/>
    <w:basedOn w:val="BoxText"/>
    <w:rsid w:val="0050529F"/>
    <w:pPr>
      <w:numPr>
        <w:numId w:val="8"/>
      </w:numPr>
      <w:tabs>
        <w:tab w:val="clear" w:pos="284"/>
        <w:tab w:val="num" w:pos="567"/>
      </w:tabs>
      <w:spacing w:before="0"/>
      <w:ind w:left="567" w:hanging="283"/>
    </w:pPr>
  </w:style>
  <w:style w:type="paragraph" w:customStyle="1" w:styleId="BoxListNumber2">
    <w:name w:val="Box List Number 2"/>
    <w:basedOn w:val="BoxListNumber"/>
    <w:rsid w:val="0050529F"/>
    <w:pPr>
      <w:tabs>
        <w:tab w:val="clear" w:pos="567"/>
      </w:tabs>
      <w:ind w:left="68" w:hanging="360"/>
    </w:pPr>
  </w:style>
  <w:style w:type="paragraph" w:customStyle="1" w:styleId="BoxNoteSource">
    <w:name w:val="Box Note/Source"/>
    <w:basedOn w:val="BoxText"/>
    <w:rsid w:val="00701FEA"/>
    <w:pPr>
      <w:spacing w:before="100" w:after="100" w:line="180" w:lineRule="atLeast"/>
    </w:pPr>
    <w:rPr>
      <w:sz w:val="14"/>
      <w:szCs w:val="14"/>
    </w:rPr>
  </w:style>
  <w:style w:type="paragraph" w:customStyle="1" w:styleId="BoxQuote">
    <w:name w:val="Box Quote"/>
    <w:basedOn w:val="BoxText"/>
    <w:next w:val="BoxText"/>
    <w:rsid w:val="0050529F"/>
    <w:pPr>
      <w:spacing w:before="0" w:line="240" w:lineRule="atLeast"/>
      <w:ind w:left="284"/>
    </w:pPr>
    <w:rPr>
      <w:sz w:val="16"/>
      <w:szCs w:val="16"/>
    </w:rPr>
  </w:style>
  <w:style w:type="character" w:customStyle="1" w:styleId="TableListBullet2CharChar">
    <w:name w:val="Table List Bullet 2 Char Char"/>
    <w:link w:val="TableListBullet2"/>
    <w:rsid w:val="0050529F"/>
    <w:rPr>
      <w:rFonts w:ascii="Franklin Gothic Book" w:eastAsia="Times New Roman" w:hAnsi="Franklin Gothic Book" w:cs="Times New Roman"/>
      <w:sz w:val="17"/>
      <w:szCs w:val="17"/>
      <w:lang w:eastAsia="en-US"/>
    </w:rPr>
  </w:style>
  <w:style w:type="character" w:customStyle="1" w:styleId="AuthorCharChar">
    <w:name w:val="Author Char Char"/>
    <w:link w:val="Author"/>
    <w:semiHidden/>
    <w:rsid w:val="0050529F"/>
    <w:rPr>
      <w:rFonts w:ascii="Franklin Gothic Medium" w:eastAsia="Times New Roman" w:hAnsi="Franklin Gothic Medium" w:cs="Times New Roman"/>
      <w:spacing w:val="-2"/>
      <w:kern w:val="28"/>
      <w:sz w:val="20"/>
      <w:szCs w:val="20"/>
    </w:rPr>
  </w:style>
  <w:style w:type="character" w:customStyle="1" w:styleId="PositionCharChar">
    <w:name w:val="Position Char Char"/>
    <w:link w:val="Position"/>
    <w:semiHidden/>
    <w:rsid w:val="0050529F"/>
    <w:rPr>
      <w:rFonts w:ascii="Franklin Gothic Book" w:eastAsia="Times New Roman" w:hAnsi="Franklin Gothic Book" w:cs="Times New Roman"/>
      <w:spacing w:val="-2"/>
      <w:kern w:val="28"/>
      <w:sz w:val="20"/>
      <w:szCs w:val="20"/>
    </w:rPr>
  </w:style>
  <w:style w:type="paragraph" w:customStyle="1" w:styleId="Appendix">
    <w:name w:val="Appendix"/>
    <w:basedOn w:val="Normal"/>
    <w:semiHidden/>
    <w:rsid w:val="0050529F"/>
    <w:pPr>
      <w:framePr w:wrap="around" w:vAnchor="text" w:hAnchor="text" w:y="1"/>
    </w:pPr>
    <w:rPr>
      <w:rFonts w:ascii="Franklin Gothic Medium" w:eastAsia="Times New Roman" w:hAnsi="Franklin Gothic Medium"/>
      <w:color w:val="7E6D5F"/>
      <w:sz w:val="32"/>
      <w:szCs w:val="32"/>
    </w:rPr>
  </w:style>
  <w:style w:type="paragraph" w:customStyle="1" w:styleId="Photocaption">
    <w:name w:val="Photo caption"/>
    <w:basedOn w:val="Normal"/>
    <w:next w:val="BodyText"/>
    <w:semiHidden/>
    <w:rsid w:val="0050529F"/>
    <w:pPr>
      <w:spacing w:before="140" w:after="240" w:line="180" w:lineRule="exact"/>
    </w:pPr>
    <w:rPr>
      <w:rFonts w:ascii="Franklin Gothic Medium" w:eastAsia="Times New Roman" w:hAnsi="Franklin Gothic Medium"/>
      <w:color w:val="54534A"/>
      <w:sz w:val="14"/>
      <w:szCs w:val="14"/>
    </w:rPr>
  </w:style>
  <w:style w:type="paragraph" w:customStyle="1" w:styleId="CharChar3">
    <w:name w:val="Char Char3"/>
    <w:basedOn w:val="Normal"/>
    <w:semiHidden/>
    <w:rsid w:val="0050529F"/>
    <w:pPr>
      <w:spacing w:before="180" w:line="280" w:lineRule="atLeast"/>
    </w:pPr>
    <w:rPr>
      <w:rFonts w:ascii="Arial" w:eastAsia="Times New Roman" w:hAnsi="Arial"/>
      <w:szCs w:val="20"/>
      <w:lang w:eastAsia="en-US"/>
    </w:rPr>
  </w:style>
  <w:style w:type="table" w:styleId="TableGrid">
    <w:name w:val="Table Grid"/>
    <w:basedOn w:val="TableNormal"/>
    <w:uiPriority w:val="59"/>
    <w:rsid w:val="005052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tingred">
    <w:name w:val="Rating red"/>
    <w:basedOn w:val="ListBullet"/>
    <w:semiHidden/>
    <w:rsid w:val="0050529F"/>
  </w:style>
  <w:style w:type="paragraph" w:styleId="CommentSubject">
    <w:name w:val="annotation subject"/>
    <w:basedOn w:val="CommentText"/>
    <w:next w:val="CommentText"/>
    <w:link w:val="CommentSubjectChar"/>
    <w:semiHidden/>
    <w:rsid w:val="0050529F"/>
    <w:pPr>
      <w:spacing w:after="0" w:line="240" w:lineRule="auto"/>
    </w:pPr>
    <w:rPr>
      <w:rFonts w:ascii="Times New Roman" w:hAnsi="Times New Roman"/>
      <w:b/>
      <w:bCs/>
      <w:sz w:val="20"/>
      <w:szCs w:val="20"/>
    </w:rPr>
  </w:style>
  <w:style w:type="character" w:customStyle="1" w:styleId="CommentSubjectChar">
    <w:name w:val="Comment Subject Char"/>
    <w:link w:val="CommentSubject"/>
    <w:semiHidden/>
    <w:rsid w:val="0050529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50529F"/>
    <w:rPr>
      <w:rFonts w:ascii="Tahoma" w:eastAsia="Times New Roman" w:hAnsi="Tahoma"/>
      <w:sz w:val="16"/>
      <w:szCs w:val="16"/>
      <w:lang w:val="x-none" w:eastAsia="x-none"/>
    </w:rPr>
  </w:style>
  <w:style w:type="character" w:customStyle="1" w:styleId="BalloonTextChar">
    <w:name w:val="Balloon Text Char"/>
    <w:link w:val="BalloonText"/>
    <w:semiHidden/>
    <w:rsid w:val="0050529F"/>
    <w:rPr>
      <w:rFonts w:ascii="Tahoma" w:eastAsia="Times New Roman" w:hAnsi="Tahoma" w:cs="Tahoma"/>
      <w:sz w:val="16"/>
      <w:szCs w:val="16"/>
    </w:rPr>
  </w:style>
  <w:style w:type="paragraph" w:customStyle="1" w:styleId="Rating">
    <w:name w:val="Rating"/>
    <w:basedOn w:val="BodyText"/>
    <w:next w:val="BodyText"/>
    <w:semiHidden/>
    <w:rsid w:val="0050529F"/>
    <w:pPr>
      <w:tabs>
        <w:tab w:val="left" w:pos="567"/>
      </w:tabs>
    </w:pPr>
  </w:style>
  <w:style w:type="paragraph" w:customStyle="1" w:styleId="GuidanceText">
    <w:name w:val="Guidance Text"/>
    <w:basedOn w:val="BodyText"/>
    <w:semiHidden/>
    <w:rsid w:val="0050529F"/>
    <w:pPr>
      <w:spacing w:before="60" w:after="60" w:line="240" w:lineRule="atLeast"/>
    </w:pPr>
    <w:rPr>
      <w:rFonts w:ascii="Calibri" w:hAnsi="Calibri"/>
      <w:color w:val="0000FF"/>
      <w:sz w:val="20"/>
      <w:szCs w:val="20"/>
    </w:rPr>
  </w:style>
  <w:style w:type="character" w:customStyle="1" w:styleId="CharChar4">
    <w:name w:val="Char Char4"/>
    <w:rsid w:val="0050529F"/>
    <w:rPr>
      <w:rFonts w:ascii="Georgia" w:hAnsi="Georgia"/>
      <w:sz w:val="19"/>
      <w:szCs w:val="19"/>
      <w:lang w:val="en-AU" w:eastAsia="en-AU" w:bidi="ar-SA"/>
    </w:rPr>
  </w:style>
  <w:style w:type="character" w:customStyle="1" w:styleId="BoxTextChar">
    <w:name w:val="Box Text Char"/>
    <w:link w:val="BoxText"/>
    <w:rsid w:val="008D745E"/>
    <w:rPr>
      <w:rFonts w:ascii="Times New Roman" w:eastAsia="Times New Roman" w:hAnsi="Times New Roman" w:cs="Times New Roman"/>
      <w:sz w:val="18"/>
      <w:szCs w:val="18"/>
    </w:rPr>
  </w:style>
  <w:style w:type="character" w:customStyle="1" w:styleId="CharChar1">
    <w:name w:val="Char Char1"/>
    <w:locked/>
    <w:rsid w:val="0050529F"/>
    <w:rPr>
      <w:rFonts w:ascii="Georgia" w:hAnsi="Georgia"/>
      <w:sz w:val="19"/>
      <w:szCs w:val="19"/>
      <w:lang w:val="en-AU" w:eastAsia="en-AU" w:bidi="ar-SA"/>
    </w:rPr>
  </w:style>
  <w:style w:type="character" w:customStyle="1" w:styleId="CharChar41">
    <w:name w:val="Char Char41"/>
    <w:locked/>
    <w:rsid w:val="0050529F"/>
    <w:rPr>
      <w:rFonts w:ascii="Georgia" w:hAnsi="Georgia"/>
      <w:sz w:val="19"/>
      <w:szCs w:val="19"/>
      <w:lang w:val="en-AU" w:eastAsia="en-AU" w:bidi="ar-SA"/>
    </w:rPr>
  </w:style>
  <w:style w:type="paragraph" w:customStyle="1" w:styleId="List-bullet-1">
    <w:name w:val="List-bullet-1"/>
    <w:basedOn w:val="Normal"/>
    <w:link w:val="List-bullet-1Char"/>
    <w:rsid w:val="0050529F"/>
    <w:pPr>
      <w:spacing w:before="120"/>
    </w:pPr>
    <w:rPr>
      <w:rFonts w:ascii="Arial" w:eastAsia="Times New Roman" w:hAnsi="Arial"/>
      <w:szCs w:val="20"/>
      <w:lang w:val="x-none" w:eastAsia="en-US"/>
    </w:rPr>
  </w:style>
  <w:style w:type="character" w:customStyle="1" w:styleId="List-bullet-1Char">
    <w:name w:val="List-bullet-1 Char"/>
    <w:link w:val="List-bullet-1"/>
    <w:rsid w:val="0050529F"/>
    <w:rPr>
      <w:rFonts w:ascii="Arial" w:eastAsia="Times New Roman" w:hAnsi="Arial" w:cs="Arial"/>
      <w:sz w:val="20"/>
      <w:lang w:eastAsia="en-US"/>
    </w:rPr>
  </w:style>
  <w:style w:type="paragraph" w:customStyle="1" w:styleId="tabletextentries0">
    <w:name w:val="tabletextentries"/>
    <w:basedOn w:val="Normal"/>
    <w:rsid w:val="0050529F"/>
    <w:pPr>
      <w:spacing w:before="40" w:after="40" w:line="200" w:lineRule="atLeast"/>
    </w:pPr>
    <w:rPr>
      <w:rFonts w:ascii="Franklin Gothic Book" w:eastAsia="Times New Roman" w:hAnsi="Franklin Gothic Book"/>
      <w:sz w:val="17"/>
      <w:szCs w:val="17"/>
    </w:rPr>
  </w:style>
  <w:style w:type="paragraph" w:customStyle="1" w:styleId="msolistparagraph0">
    <w:name w:val="msolistparagraph"/>
    <w:basedOn w:val="Normal"/>
    <w:uiPriority w:val="99"/>
    <w:rsid w:val="0050529F"/>
    <w:pPr>
      <w:ind w:left="720"/>
    </w:pPr>
    <w:rPr>
      <w:rFonts w:eastAsia="Calibri"/>
      <w:sz w:val="24"/>
    </w:rPr>
  </w:style>
  <w:style w:type="table" w:styleId="MediumGrid2-Accent2">
    <w:name w:val="Medium Grid 2 Accent 2"/>
    <w:basedOn w:val="TableNormal"/>
    <w:uiPriority w:val="68"/>
    <w:rsid w:val="0050529F"/>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APPR">
    <w:name w:val="APPR"/>
    <w:basedOn w:val="TableNormal"/>
    <w:uiPriority w:val="99"/>
    <w:rsid w:val="00FA5F1F"/>
    <w:rPr>
      <w:rFonts w:ascii="Franklin Gothic Book" w:hAnsi="Franklin Gothic Book"/>
      <w:sz w:val="17"/>
    </w:rPr>
    <w:tblPr>
      <w:tblCellSpacing w:w="14" w:type="dxa"/>
      <w:tblInd w:w="0" w:type="dxa"/>
      <w:tblBorders>
        <w:top w:val="single" w:sz="12" w:space="0" w:color="000000"/>
        <w:bottom w:val="single" w:sz="12" w:space="0" w:color="000000"/>
      </w:tblBorders>
      <w:tblCellMar>
        <w:top w:w="0" w:type="dxa"/>
        <w:left w:w="108" w:type="dxa"/>
        <w:bottom w:w="0" w:type="dxa"/>
        <w:right w:w="108" w:type="dxa"/>
      </w:tblCellMar>
    </w:tblPr>
    <w:trPr>
      <w:tblCellSpacing w:w="14" w:type="dxa"/>
    </w:trPr>
    <w:tblStylePr w:type="firstRow">
      <w:rPr>
        <w:rFonts w:ascii="Papyrus" w:hAnsi="Papyrus"/>
        <w:b/>
        <w:sz w:val="17"/>
      </w:rPr>
      <w:tblPr/>
      <w:tcPr>
        <w:tcBorders>
          <w:bottom w:val="single" w:sz="12" w:space="0" w:color="auto"/>
        </w:tcBorders>
      </w:tcPr>
    </w:tblStylePr>
  </w:style>
  <w:style w:type="table" w:customStyle="1" w:styleId="LightShading">
    <w:name w:val="Light Shading"/>
    <w:basedOn w:val="TableNormal"/>
    <w:uiPriority w:val="60"/>
    <w:rsid w:val="00706DE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Accent5">
    <w:name w:val="Medium Shading 2 Accent 5"/>
    <w:basedOn w:val="TableNormal"/>
    <w:uiPriority w:val="64"/>
    <w:rsid w:val="00706DE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
    <w:name w:val="Light Shading Accent 1"/>
    <w:basedOn w:val="TableNormal"/>
    <w:uiPriority w:val="60"/>
    <w:rsid w:val="00706DE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PPRbody">
    <w:name w:val="APPR body"/>
    <w:basedOn w:val="BodyText"/>
    <w:link w:val="APPRbodyChar"/>
    <w:qFormat/>
    <w:rsid w:val="00EF2769"/>
    <w:pPr>
      <w:spacing w:before="80" w:after="80"/>
    </w:pPr>
    <w:rPr>
      <w:rFonts w:ascii="Georgia" w:eastAsia="SimSun" w:hAnsi="Georgia"/>
    </w:rPr>
  </w:style>
  <w:style w:type="character" w:customStyle="1" w:styleId="APPRbodyChar">
    <w:name w:val="APPR body Char"/>
    <w:link w:val="APPRbody"/>
    <w:rsid w:val="00EF2769"/>
    <w:rPr>
      <w:rFonts w:ascii="Georgia" w:eastAsia="SimSun" w:hAnsi="Georgia" w:cs="Times New Roman"/>
      <w:sz w:val="24"/>
      <w:szCs w:val="24"/>
    </w:rPr>
  </w:style>
  <w:style w:type="paragraph" w:customStyle="1" w:styleId="CharChar2">
    <w:name w:val="Char Char2"/>
    <w:basedOn w:val="Normal"/>
    <w:semiHidden/>
    <w:rsid w:val="00750E77"/>
    <w:pPr>
      <w:spacing w:before="180" w:line="280" w:lineRule="atLeast"/>
    </w:pPr>
    <w:rPr>
      <w:rFonts w:ascii="Arial" w:eastAsia="Times New Roman" w:hAnsi="Arial"/>
      <w:sz w:val="22"/>
      <w:szCs w:val="20"/>
      <w:lang w:eastAsia="en-US"/>
    </w:rPr>
  </w:style>
  <w:style w:type="character" w:styleId="BookTitle">
    <w:name w:val="Book Title"/>
    <w:uiPriority w:val="33"/>
    <w:qFormat/>
    <w:rsid w:val="0001007E"/>
    <w:rPr>
      <w:b/>
      <w:bCs/>
      <w:smallCaps/>
      <w:spacing w:val="5"/>
    </w:rPr>
  </w:style>
  <w:style w:type="paragraph" w:customStyle="1" w:styleId="numberedlist">
    <w:name w:val="numbered list"/>
    <w:basedOn w:val="ListParagraph"/>
    <w:next w:val="BodyText"/>
    <w:autoRedefine/>
    <w:qFormat/>
    <w:rsid w:val="00AC14D4"/>
    <w:pPr>
      <w:numPr>
        <w:numId w:val="18"/>
      </w:numPr>
    </w:pPr>
  </w:style>
  <w:style w:type="paragraph" w:customStyle="1" w:styleId="H1">
    <w:name w:val="H1"/>
    <w:basedOn w:val="APPRHeading1"/>
    <w:qFormat/>
    <w:rsid w:val="007A7FB5"/>
  </w:style>
  <w:style w:type="paragraph" w:customStyle="1" w:styleId="H2">
    <w:name w:val="H2"/>
    <w:basedOn w:val="APPRHeading2"/>
    <w:qFormat/>
    <w:rsid w:val="002F46F5"/>
  </w:style>
  <w:style w:type="paragraph" w:styleId="TOCHeading">
    <w:name w:val="TOC Heading"/>
    <w:basedOn w:val="Heading1"/>
    <w:next w:val="Normal"/>
    <w:uiPriority w:val="39"/>
    <w:semiHidden/>
    <w:unhideWhenUsed/>
    <w:qFormat/>
    <w:rsid w:val="00811573"/>
    <w:pPr>
      <w:spacing w:line="276" w:lineRule="auto"/>
      <w:outlineLvl w:val="9"/>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43677">
      <w:bodyDiv w:val="1"/>
      <w:marLeft w:val="0"/>
      <w:marRight w:val="0"/>
      <w:marTop w:val="0"/>
      <w:marBottom w:val="0"/>
      <w:divBdr>
        <w:top w:val="none" w:sz="0" w:space="0" w:color="auto"/>
        <w:left w:val="none" w:sz="0" w:space="0" w:color="auto"/>
        <w:bottom w:val="none" w:sz="0" w:space="0" w:color="auto"/>
        <w:right w:val="none" w:sz="0" w:space="0" w:color="auto"/>
      </w:divBdr>
    </w:div>
    <w:div w:id="795761378">
      <w:bodyDiv w:val="1"/>
      <w:marLeft w:val="0"/>
      <w:marRight w:val="0"/>
      <w:marTop w:val="0"/>
      <w:marBottom w:val="0"/>
      <w:divBdr>
        <w:top w:val="none" w:sz="0" w:space="0" w:color="auto"/>
        <w:left w:val="none" w:sz="0" w:space="0" w:color="auto"/>
        <w:bottom w:val="none" w:sz="0" w:space="0" w:color="auto"/>
        <w:right w:val="none" w:sz="0" w:space="0" w:color="auto"/>
      </w:divBdr>
    </w:div>
    <w:div w:id="954018014">
      <w:bodyDiv w:val="1"/>
      <w:marLeft w:val="0"/>
      <w:marRight w:val="0"/>
      <w:marTop w:val="0"/>
      <w:marBottom w:val="0"/>
      <w:divBdr>
        <w:top w:val="none" w:sz="0" w:space="0" w:color="auto"/>
        <w:left w:val="none" w:sz="0" w:space="0" w:color="auto"/>
        <w:bottom w:val="none" w:sz="0" w:space="0" w:color="auto"/>
        <w:right w:val="none" w:sz="0" w:space="0" w:color="auto"/>
      </w:divBdr>
    </w:div>
    <w:div w:id="1065372112">
      <w:bodyDiv w:val="1"/>
      <w:marLeft w:val="0"/>
      <w:marRight w:val="0"/>
      <w:marTop w:val="0"/>
      <w:marBottom w:val="0"/>
      <w:divBdr>
        <w:top w:val="none" w:sz="0" w:space="0" w:color="auto"/>
        <w:left w:val="none" w:sz="0" w:space="0" w:color="auto"/>
        <w:bottom w:val="none" w:sz="0" w:space="0" w:color="auto"/>
        <w:right w:val="none" w:sz="0" w:space="0" w:color="auto"/>
      </w:divBdr>
    </w:div>
    <w:div w:id="1547790925">
      <w:bodyDiv w:val="1"/>
      <w:marLeft w:val="0"/>
      <w:marRight w:val="0"/>
      <w:marTop w:val="0"/>
      <w:marBottom w:val="0"/>
      <w:divBdr>
        <w:top w:val="none" w:sz="0" w:space="0" w:color="auto"/>
        <w:left w:val="none" w:sz="0" w:space="0" w:color="auto"/>
        <w:bottom w:val="none" w:sz="0" w:space="0" w:color="auto"/>
        <w:right w:val="none" w:sz="0" w:space="0" w:color="auto"/>
      </w:divBdr>
    </w:div>
    <w:div w:id="1724406314">
      <w:bodyDiv w:val="1"/>
      <w:marLeft w:val="0"/>
      <w:marRight w:val="0"/>
      <w:marTop w:val="0"/>
      <w:marBottom w:val="0"/>
      <w:divBdr>
        <w:top w:val="none" w:sz="0" w:space="0" w:color="auto"/>
        <w:left w:val="none" w:sz="0" w:space="0" w:color="auto"/>
        <w:bottom w:val="none" w:sz="0" w:space="0" w:color="auto"/>
        <w:right w:val="none" w:sz="0" w:space="0" w:color="auto"/>
      </w:divBdr>
    </w:div>
    <w:div w:id="1922369627">
      <w:bodyDiv w:val="1"/>
      <w:marLeft w:val="0"/>
      <w:marRight w:val="0"/>
      <w:marTop w:val="0"/>
      <w:marBottom w:val="0"/>
      <w:divBdr>
        <w:top w:val="none" w:sz="0" w:space="0" w:color="auto"/>
        <w:left w:val="none" w:sz="0" w:space="0" w:color="auto"/>
        <w:bottom w:val="none" w:sz="0" w:space="0" w:color="auto"/>
        <w:right w:val="none" w:sz="0" w:space="0" w:color="auto"/>
      </w:divBdr>
    </w:div>
    <w:div w:id="1958413886">
      <w:bodyDiv w:val="1"/>
      <w:marLeft w:val="0"/>
      <w:marRight w:val="0"/>
      <w:marTop w:val="0"/>
      <w:marBottom w:val="0"/>
      <w:divBdr>
        <w:top w:val="none" w:sz="0" w:space="0" w:color="auto"/>
        <w:left w:val="none" w:sz="0" w:space="0" w:color="auto"/>
        <w:bottom w:val="none" w:sz="0" w:space="0" w:color="auto"/>
        <w:right w:val="none" w:sz="0" w:space="0" w:color="auto"/>
      </w:divBdr>
    </w:div>
    <w:div w:id="204474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png"/><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idworks.ausaid.gov.au/Function/QualityReview/QualityReviewExtract.aspx?QualityReviewID=8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28C96-233B-4C82-ABC0-D2411C6AFCDD}"/>
</file>

<file path=customXml/itemProps2.xml><?xml version="1.0" encoding="utf-8"?>
<ds:datastoreItem xmlns:ds="http://schemas.openxmlformats.org/officeDocument/2006/customXml" ds:itemID="{0DE07161-44A8-4E36-AE39-6537C3F56544}"/>
</file>

<file path=customXml/itemProps3.xml><?xml version="1.0" encoding="utf-8"?>
<ds:datastoreItem xmlns:ds="http://schemas.openxmlformats.org/officeDocument/2006/customXml" ds:itemID="{5B1C8896-B91A-48F7-BC62-B6D72C4AEE69}"/>
</file>

<file path=docProps/app.xml><?xml version="1.0" encoding="utf-8"?>
<Properties xmlns="http://schemas.openxmlformats.org/officeDocument/2006/extended-properties" xmlns:vt="http://schemas.openxmlformats.org/officeDocument/2006/docPropsVTypes">
  <Template>Normal.dotm</Template>
  <TotalTime>0</TotalTime>
  <Pages>34</Pages>
  <Words>14145</Words>
  <Characters>80633</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94589</CharactersWithSpaces>
  <SharedDoc>false</SharedDoc>
  <HLinks>
    <vt:vector size="138" baseType="variant">
      <vt:variant>
        <vt:i4>3932218</vt:i4>
      </vt:variant>
      <vt:variant>
        <vt:i4>138</vt:i4>
      </vt:variant>
      <vt:variant>
        <vt:i4>0</vt:i4>
      </vt:variant>
      <vt:variant>
        <vt:i4>5</vt:i4>
      </vt:variant>
      <vt:variant>
        <vt:lpwstr>https://aidworks.ausaid.gov.au/Function/QualityReview/QualityReviewExtract.aspx?QualityReviewID=823</vt:lpwstr>
      </vt:variant>
      <vt:variant>
        <vt:lpwstr/>
      </vt:variant>
      <vt:variant>
        <vt:i4>1900603</vt:i4>
      </vt:variant>
      <vt:variant>
        <vt:i4>128</vt:i4>
      </vt:variant>
      <vt:variant>
        <vt:i4>0</vt:i4>
      </vt:variant>
      <vt:variant>
        <vt:i4>5</vt:i4>
      </vt:variant>
      <vt:variant>
        <vt:lpwstr/>
      </vt:variant>
      <vt:variant>
        <vt:lpwstr>_Toc360980052</vt:lpwstr>
      </vt:variant>
      <vt:variant>
        <vt:i4>1900603</vt:i4>
      </vt:variant>
      <vt:variant>
        <vt:i4>122</vt:i4>
      </vt:variant>
      <vt:variant>
        <vt:i4>0</vt:i4>
      </vt:variant>
      <vt:variant>
        <vt:i4>5</vt:i4>
      </vt:variant>
      <vt:variant>
        <vt:lpwstr/>
      </vt:variant>
      <vt:variant>
        <vt:lpwstr>_Toc360980051</vt:lpwstr>
      </vt:variant>
      <vt:variant>
        <vt:i4>1900603</vt:i4>
      </vt:variant>
      <vt:variant>
        <vt:i4>116</vt:i4>
      </vt:variant>
      <vt:variant>
        <vt:i4>0</vt:i4>
      </vt:variant>
      <vt:variant>
        <vt:i4>5</vt:i4>
      </vt:variant>
      <vt:variant>
        <vt:lpwstr/>
      </vt:variant>
      <vt:variant>
        <vt:lpwstr>_Toc360980050</vt:lpwstr>
      </vt:variant>
      <vt:variant>
        <vt:i4>1835067</vt:i4>
      </vt:variant>
      <vt:variant>
        <vt:i4>110</vt:i4>
      </vt:variant>
      <vt:variant>
        <vt:i4>0</vt:i4>
      </vt:variant>
      <vt:variant>
        <vt:i4>5</vt:i4>
      </vt:variant>
      <vt:variant>
        <vt:lpwstr/>
      </vt:variant>
      <vt:variant>
        <vt:lpwstr>_Toc360980049</vt:lpwstr>
      </vt:variant>
      <vt:variant>
        <vt:i4>1835067</vt:i4>
      </vt:variant>
      <vt:variant>
        <vt:i4>104</vt:i4>
      </vt:variant>
      <vt:variant>
        <vt:i4>0</vt:i4>
      </vt:variant>
      <vt:variant>
        <vt:i4>5</vt:i4>
      </vt:variant>
      <vt:variant>
        <vt:lpwstr/>
      </vt:variant>
      <vt:variant>
        <vt:lpwstr>_Toc360980048</vt:lpwstr>
      </vt:variant>
      <vt:variant>
        <vt:i4>1835067</vt:i4>
      </vt:variant>
      <vt:variant>
        <vt:i4>98</vt:i4>
      </vt:variant>
      <vt:variant>
        <vt:i4>0</vt:i4>
      </vt:variant>
      <vt:variant>
        <vt:i4>5</vt:i4>
      </vt:variant>
      <vt:variant>
        <vt:lpwstr/>
      </vt:variant>
      <vt:variant>
        <vt:lpwstr>_Toc360980047</vt:lpwstr>
      </vt:variant>
      <vt:variant>
        <vt:i4>1835067</vt:i4>
      </vt:variant>
      <vt:variant>
        <vt:i4>92</vt:i4>
      </vt:variant>
      <vt:variant>
        <vt:i4>0</vt:i4>
      </vt:variant>
      <vt:variant>
        <vt:i4>5</vt:i4>
      </vt:variant>
      <vt:variant>
        <vt:lpwstr/>
      </vt:variant>
      <vt:variant>
        <vt:lpwstr>_Toc360980046</vt:lpwstr>
      </vt:variant>
      <vt:variant>
        <vt:i4>1835067</vt:i4>
      </vt:variant>
      <vt:variant>
        <vt:i4>86</vt:i4>
      </vt:variant>
      <vt:variant>
        <vt:i4>0</vt:i4>
      </vt:variant>
      <vt:variant>
        <vt:i4>5</vt:i4>
      </vt:variant>
      <vt:variant>
        <vt:lpwstr/>
      </vt:variant>
      <vt:variant>
        <vt:lpwstr>_Toc360980045</vt:lpwstr>
      </vt:variant>
      <vt:variant>
        <vt:i4>1835067</vt:i4>
      </vt:variant>
      <vt:variant>
        <vt:i4>80</vt:i4>
      </vt:variant>
      <vt:variant>
        <vt:i4>0</vt:i4>
      </vt:variant>
      <vt:variant>
        <vt:i4>5</vt:i4>
      </vt:variant>
      <vt:variant>
        <vt:lpwstr/>
      </vt:variant>
      <vt:variant>
        <vt:lpwstr>_Toc360980044</vt:lpwstr>
      </vt:variant>
      <vt:variant>
        <vt:i4>1835067</vt:i4>
      </vt:variant>
      <vt:variant>
        <vt:i4>74</vt:i4>
      </vt:variant>
      <vt:variant>
        <vt:i4>0</vt:i4>
      </vt:variant>
      <vt:variant>
        <vt:i4>5</vt:i4>
      </vt:variant>
      <vt:variant>
        <vt:lpwstr/>
      </vt:variant>
      <vt:variant>
        <vt:lpwstr>_Toc360980043</vt:lpwstr>
      </vt:variant>
      <vt:variant>
        <vt:i4>1835067</vt:i4>
      </vt:variant>
      <vt:variant>
        <vt:i4>68</vt:i4>
      </vt:variant>
      <vt:variant>
        <vt:i4>0</vt:i4>
      </vt:variant>
      <vt:variant>
        <vt:i4>5</vt:i4>
      </vt:variant>
      <vt:variant>
        <vt:lpwstr/>
      </vt:variant>
      <vt:variant>
        <vt:lpwstr>_Toc360980042</vt:lpwstr>
      </vt:variant>
      <vt:variant>
        <vt:i4>1835067</vt:i4>
      </vt:variant>
      <vt:variant>
        <vt:i4>62</vt:i4>
      </vt:variant>
      <vt:variant>
        <vt:i4>0</vt:i4>
      </vt:variant>
      <vt:variant>
        <vt:i4>5</vt:i4>
      </vt:variant>
      <vt:variant>
        <vt:lpwstr/>
      </vt:variant>
      <vt:variant>
        <vt:lpwstr>_Toc360980041</vt:lpwstr>
      </vt:variant>
      <vt:variant>
        <vt:i4>1835067</vt:i4>
      </vt:variant>
      <vt:variant>
        <vt:i4>56</vt:i4>
      </vt:variant>
      <vt:variant>
        <vt:i4>0</vt:i4>
      </vt:variant>
      <vt:variant>
        <vt:i4>5</vt:i4>
      </vt:variant>
      <vt:variant>
        <vt:lpwstr/>
      </vt:variant>
      <vt:variant>
        <vt:lpwstr>_Toc360980040</vt:lpwstr>
      </vt:variant>
      <vt:variant>
        <vt:i4>1769531</vt:i4>
      </vt:variant>
      <vt:variant>
        <vt:i4>50</vt:i4>
      </vt:variant>
      <vt:variant>
        <vt:i4>0</vt:i4>
      </vt:variant>
      <vt:variant>
        <vt:i4>5</vt:i4>
      </vt:variant>
      <vt:variant>
        <vt:lpwstr/>
      </vt:variant>
      <vt:variant>
        <vt:lpwstr>_Toc360980039</vt:lpwstr>
      </vt:variant>
      <vt:variant>
        <vt:i4>1769531</vt:i4>
      </vt:variant>
      <vt:variant>
        <vt:i4>44</vt:i4>
      </vt:variant>
      <vt:variant>
        <vt:i4>0</vt:i4>
      </vt:variant>
      <vt:variant>
        <vt:i4>5</vt:i4>
      </vt:variant>
      <vt:variant>
        <vt:lpwstr/>
      </vt:variant>
      <vt:variant>
        <vt:lpwstr>_Toc360980038</vt:lpwstr>
      </vt:variant>
      <vt:variant>
        <vt:i4>1769531</vt:i4>
      </vt:variant>
      <vt:variant>
        <vt:i4>38</vt:i4>
      </vt:variant>
      <vt:variant>
        <vt:i4>0</vt:i4>
      </vt:variant>
      <vt:variant>
        <vt:i4>5</vt:i4>
      </vt:variant>
      <vt:variant>
        <vt:lpwstr/>
      </vt:variant>
      <vt:variant>
        <vt:lpwstr>_Toc360980037</vt:lpwstr>
      </vt:variant>
      <vt:variant>
        <vt:i4>1769531</vt:i4>
      </vt:variant>
      <vt:variant>
        <vt:i4>32</vt:i4>
      </vt:variant>
      <vt:variant>
        <vt:i4>0</vt:i4>
      </vt:variant>
      <vt:variant>
        <vt:i4>5</vt:i4>
      </vt:variant>
      <vt:variant>
        <vt:lpwstr/>
      </vt:variant>
      <vt:variant>
        <vt:lpwstr>_Toc360980036</vt:lpwstr>
      </vt:variant>
      <vt:variant>
        <vt:i4>1769531</vt:i4>
      </vt:variant>
      <vt:variant>
        <vt:i4>26</vt:i4>
      </vt:variant>
      <vt:variant>
        <vt:i4>0</vt:i4>
      </vt:variant>
      <vt:variant>
        <vt:i4>5</vt:i4>
      </vt:variant>
      <vt:variant>
        <vt:lpwstr/>
      </vt:variant>
      <vt:variant>
        <vt:lpwstr>_Toc360980035</vt:lpwstr>
      </vt:variant>
      <vt:variant>
        <vt:i4>1769531</vt:i4>
      </vt:variant>
      <vt:variant>
        <vt:i4>20</vt:i4>
      </vt:variant>
      <vt:variant>
        <vt:i4>0</vt:i4>
      </vt:variant>
      <vt:variant>
        <vt:i4>5</vt:i4>
      </vt:variant>
      <vt:variant>
        <vt:lpwstr/>
      </vt:variant>
      <vt:variant>
        <vt:lpwstr>_Toc360980034</vt:lpwstr>
      </vt:variant>
      <vt:variant>
        <vt:i4>1769531</vt:i4>
      </vt:variant>
      <vt:variant>
        <vt:i4>14</vt:i4>
      </vt:variant>
      <vt:variant>
        <vt:i4>0</vt:i4>
      </vt:variant>
      <vt:variant>
        <vt:i4>5</vt:i4>
      </vt:variant>
      <vt:variant>
        <vt:lpwstr/>
      </vt:variant>
      <vt:variant>
        <vt:lpwstr>_Toc360980033</vt:lpwstr>
      </vt:variant>
      <vt:variant>
        <vt:i4>1769531</vt:i4>
      </vt:variant>
      <vt:variant>
        <vt:i4>8</vt:i4>
      </vt:variant>
      <vt:variant>
        <vt:i4>0</vt:i4>
      </vt:variant>
      <vt:variant>
        <vt:i4>5</vt:i4>
      </vt:variant>
      <vt:variant>
        <vt:lpwstr/>
      </vt:variant>
      <vt:variant>
        <vt:lpwstr>_Toc360980032</vt:lpwstr>
      </vt:variant>
      <vt:variant>
        <vt:i4>1769531</vt:i4>
      </vt:variant>
      <vt:variant>
        <vt:i4>2</vt:i4>
      </vt:variant>
      <vt:variant>
        <vt:i4>0</vt:i4>
      </vt:variant>
      <vt:variant>
        <vt:i4>5</vt:i4>
      </vt:variant>
      <vt:variant>
        <vt:lpwstr/>
      </vt:variant>
      <vt:variant>
        <vt:lpwstr>_Toc360980031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Taylor</dc:creator>
  <cp:lastModifiedBy>Muhammad Khattab</cp:lastModifiedBy>
  <cp:revision>2</cp:revision>
  <cp:lastPrinted>2012-07-03T10:59:00Z</cp:lastPrinted>
  <dcterms:created xsi:type="dcterms:W3CDTF">2013-07-11T08:30:00Z</dcterms:created>
  <dcterms:modified xsi:type="dcterms:W3CDTF">2013-07-11T08:30:00Z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grationSourceURL">
    <vt:lpwstr/>
  </property>
  <property fmtid="{D5CDD505-2E9C-101B-9397-08002B2CF9AE}" pid="3" name="PublishingContact">
    <vt:lpwstr/>
  </property>
  <property fmtid="{D5CDD505-2E9C-101B-9397-08002B2CF9AE}" pid="4" name="AusAIDPageExpires">
    <vt:lpwstr/>
  </property>
  <property fmtid="{D5CDD505-2E9C-101B-9397-08002B2CF9AE}" pid="5" name="WCMSPublicationSubCategory">
    <vt:lpwstr/>
  </property>
  <property fmtid="{D5CDD505-2E9C-101B-9397-08002B2CF9AE}" pid="6" name="Order">
    <vt:r8>197700</vt:r8>
  </property>
  <property fmtid="{D5CDD505-2E9C-101B-9397-08002B2CF9AE}" pid="7" name="PublishingRollupImage">
    <vt:lpwstr/>
  </property>
  <property fmtid="{D5CDD505-2E9C-101B-9397-08002B2CF9AE}" pid="8" name="AusAIDAggregationLevel">
    <vt:lpwstr/>
  </property>
  <property fmtid="{D5CDD505-2E9C-101B-9397-08002B2CF9AE}" pid="9" name="WCMSStatus">
    <vt:lpwstr/>
  </property>
  <property fmtid="{D5CDD505-2E9C-101B-9397-08002B2CF9AE}" pid="10" name="WCMSIPSSubCategory">
    <vt:lpwstr/>
  </property>
  <property fmtid="{D5CDD505-2E9C-101B-9397-08002B2CF9AE}" pid="11" name="AusAIDModifiedDateMetadata">
    <vt:lpwstr/>
  </property>
  <property fmtid="{D5CDD505-2E9C-101B-9397-08002B2CF9AE}" pid="12" name="PublishingContactEmail">
    <vt:lpwstr/>
  </property>
  <property fmtid="{D5CDD505-2E9C-101B-9397-08002B2CF9AE}" pid="13" name="WCMSPrintedMedia">
    <vt:lpwstr/>
  </property>
  <property fmtid="{D5CDD505-2E9C-101B-9397-08002B2CF9AE}" pid="14" name="AusAIDPageDescriptionMetadata">
    <vt:lpwstr/>
  </property>
  <property fmtid="{D5CDD505-2E9C-101B-9397-08002B2CF9AE}" pid="15" name="WCMSTheme">
    <vt:lpwstr/>
  </property>
  <property fmtid="{D5CDD505-2E9C-101B-9397-08002B2CF9AE}" pid="16" name="WCMSISBNISSN">
    <vt:lpwstr/>
  </property>
  <property fmtid="{D5CDD505-2E9C-101B-9397-08002B2CF9AE}" pid="17" name="xd_Signature">
    <vt:lpwstr/>
  </property>
  <property fmtid="{D5CDD505-2E9C-101B-9397-08002B2CF9AE}" pid="18" name="AusAIDCreatedDateMetadata">
    <vt:lpwstr/>
  </property>
  <property fmtid="{D5CDD505-2E9C-101B-9397-08002B2CF9AE}" pid="19" name="WCMSIPSCategory">
    <vt:lpwstr/>
  </property>
  <property fmtid="{D5CDD505-2E9C-101B-9397-08002B2CF9AE}" pid="20" name="xd_ProgID">
    <vt:lpwstr/>
  </property>
  <property fmtid="{D5CDD505-2E9C-101B-9397-08002B2CF9AE}" pid="21" name="PublishingStartDate">
    <vt:lpwstr/>
  </property>
  <property fmtid="{D5CDD505-2E9C-101B-9397-08002B2CF9AE}" pid="22" name="PublishingExpirationDate">
    <vt:lpwstr/>
  </property>
  <property fmtid="{D5CDD505-2E9C-101B-9397-08002B2CF9AE}" pid="23" name="PublishingContactPicture">
    <vt:lpwstr/>
  </property>
  <property fmtid="{D5CDD505-2E9C-101B-9397-08002B2CF9AE}" pid="24" name="PublishingVariationGroupID">
    <vt:lpwstr/>
  </property>
  <property fmtid="{D5CDD505-2E9C-101B-9397-08002B2CF9AE}" pid="25" name="AusAIDIdentifierMetadata">
    <vt:lpwstr/>
  </property>
  <property fmtid="{D5CDD505-2E9C-101B-9397-08002B2CF9AE}" pid="26" name="RSS Feed Link">
    <vt:lpwstr/>
  </property>
  <property fmtid="{D5CDD505-2E9C-101B-9397-08002B2CF9AE}" pid="27" name="WCMSDocumentLink">
    <vt:lpwstr/>
  </property>
  <property fmtid="{D5CDD505-2E9C-101B-9397-08002B2CF9AE}" pid="28" name="WCMSElectronicMedia">
    <vt:lpwstr/>
  </property>
  <property fmtid="{D5CDD505-2E9C-101B-9397-08002B2CF9AE}" pid="29" name="WCMSReportDisclaimer">
    <vt:lpwstr/>
  </property>
  <property fmtid="{D5CDD505-2E9C-101B-9397-08002B2CF9AE}" pid="30" name="PublishingContactName">
    <vt:lpwstr/>
  </property>
  <property fmtid="{D5CDD505-2E9C-101B-9397-08002B2CF9AE}" pid="31" name="PublishingVariationRelationshipLinkFieldID">
    <vt:lpwstr/>
  </property>
  <property fmtid="{D5CDD505-2E9C-101B-9397-08002B2CF9AE}" pid="32" name="WCMSPublicationCategory">
    <vt:lpwstr/>
  </property>
  <property fmtid="{D5CDD505-2E9C-101B-9397-08002B2CF9AE}" pid="33" name="WCMSRegion">
    <vt:lpwstr/>
  </property>
  <property fmtid="{D5CDD505-2E9C-101B-9397-08002B2CF9AE}" pid="34" name="WCMSPublicationAuthor">
    <vt:lpwstr/>
  </property>
  <property fmtid="{D5CDD505-2E9C-101B-9397-08002B2CF9AE}" pid="35" name="_SourceUrl">
    <vt:lpwstr/>
  </property>
  <property fmtid="{D5CDD505-2E9C-101B-9397-08002B2CF9AE}" pid="36" name="_SharedFileIndex">
    <vt:lpwstr/>
  </property>
  <property fmtid="{D5CDD505-2E9C-101B-9397-08002B2CF9AE}" pid="37" name="Comments">
    <vt:lpwstr/>
  </property>
  <property fmtid="{D5CDD505-2E9C-101B-9397-08002B2CF9AE}" pid="38" name="PublishingPageLayout">
    <vt:lpwstr/>
  </property>
  <property fmtid="{D5CDD505-2E9C-101B-9397-08002B2CF9AE}" pid="39" name="WCMSCountry">
    <vt:lpwstr/>
  </property>
  <property fmtid="{D5CDD505-2E9C-101B-9397-08002B2CF9AE}" pid="40" name="WCMSSourceId">
    <vt:lpwstr/>
  </property>
  <property fmtid="{D5CDD505-2E9C-101B-9397-08002B2CF9AE}" pid="41" name="WCMSLatest">
    <vt:lpwstr/>
  </property>
  <property fmtid="{D5CDD505-2E9C-101B-9397-08002B2CF9AE}" pid="42" name="WCMSPublicationFormat">
    <vt:lpwstr/>
  </property>
  <property fmtid="{D5CDD505-2E9C-101B-9397-08002B2CF9AE}" pid="43" name="AusAIDPageSubjectMetadata">
    <vt:lpwstr/>
  </property>
  <property fmtid="{D5CDD505-2E9C-101B-9397-08002B2CF9AE}" pid="44" name="AusAIDCategoryMetadata">
    <vt:lpwstr/>
  </property>
  <property fmtid="{D5CDD505-2E9C-101B-9397-08002B2CF9AE}" pid="45" name="AusAIDDocumentTypeMetaData">
    <vt:lpwstr/>
  </property>
  <property fmtid="{D5CDD505-2E9C-101B-9397-08002B2CF9AE}" pid="46" name="WCMSLanguage">
    <vt:lpwstr/>
  </property>
  <property fmtid="{D5CDD505-2E9C-101B-9397-08002B2CF9AE}" pid="47" name="TemplateUrl">
    <vt:lpwstr/>
  </property>
  <property fmtid="{D5CDD505-2E9C-101B-9397-08002B2CF9AE}" pid="48" name="Audience">
    <vt:lpwstr/>
  </property>
  <property fmtid="{D5CDD505-2E9C-101B-9397-08002B2CF9AE}" pid="49" name="WCMSDescription">
    <vt:lpwstr/>
  </property>
  <property fmtid="{D5CDD505-2E9C-101B-9397-08002B2CF9AE}" pid="50" name="WCMSPublicationDate">
    <vt:lpwstr/>
  </property>
  <property fmtid="{D5CDD505-2E9C-101B-9397-08002B2CF9AE}" pid="51" name="WCMSOtherCategory">
    <vt:lpwstr/>
  </property>
  <property fmtid="{D5CDD505-2E9C-101B-9397-08002B2CF9AE}" pid="52" name="ContentTypeId">
    <vt:lpwstr>0x01010050F19AC2165D2E47A5E6B7F563E4CF00</vt:lpwstr>
  </property>
</Properties>
</file>