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0DD05" w14:textId="3E039C80" w:rsidR="00B20180" w:rsidRPr="000B4AC1" w:rsidRDefault="00254106" w:rsidP="00254106">
      <w:pPr>
        <w:ind w:left="-1276"/>
        <w:rPr>
          <w:rFonts w:cstheme="minorHAnsi"/>
        </w:rPr>
      </w:pPr>
      <w:r>
        <w:rPr>
          <w:rFonts w:cstheme="minorHAnsi"/>
          <w:noProof/>
          <w:lang w:eastAsia="en-AU"/>
        </w:rPr>
        <w:drawing>
          <wp:inline distT="0" distB="0" distL="0" distR="0" wp14:anchorId="2B97A7C1" wp14:editId="1B4C8D4E">
            <wp:extent cx="7556500" cy="10685401"/>
            <wp:effectExtent l="0" t="0" r="6350" b="1905"/>
            <wp:docPr id="1" name="Picture 1" descr="Title: &#10;Education Analytics Service: Teacher Development Multi-year Studies&#10;&#10;Insights on the challenges of limited data availability for measuring and reporting student learning outcomes&#10;&#10;By: Elizabeth Cassity and Debbie Wong&#10;&#10;Education Analytics Service is supported by the Australian Government&#10;and implemented by Australian Council for Educational Research. " title="Cover page with image, DFAT and ACE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ER2203_COVER_EAS_Data Availability_COVER_v4.1.png"/>
                    <pic:cNvPicPr/>
                  </pic:nvPicPr>
                  <pic:blipFill>
                    <a:blip r:embed="rId8">
                      <a:extLst>
                        <a:ext uri="{28A0092B-C50C-407E-A947-70E740481C1C}">
                          <a14:useLocalDpi xmlns:a14="http://schemas.microsoft.com/office/drawing/2010/main" val="0"/>
                        </a:ext>
                      </a:extLst>
                    </a:blip>
                    <a:stretch>
                      <a:fillRect/>
                    </a:stretch>
                  </pic:blipFill>
                  <pic:spPr>
                    <a:xfrm>
                      <a:off x="0" y="0"/>
                      <a:ext cx="7559436" cy="10689553"/>
                    </a:xfrm>
                    <a:prstGeom prst="rect">
                      <a:avLst/>
                    </a:prstGeom>
                  </pic:spPr>
                </pic:pic>
              </a:graphicData>
            </a:graphic>
          </wp:inline>
        </w:drawing>
      </w:r>
    </w:p>
    <w:p w14:paraId="615608C5" w14:textId="4E8FFDB7" w:rsidR="00B20180" w:rsidRPr="00302A78" w:rsidRDefault="00774723" w:rsidP="00984AC4">
      <w:pPr>
        <w:spacing w:before="60" w:after="120" w:line="240" w:lineRule="auto"/>
        <w:rPr>
          <w:rFonts w:cstheme="minorHAnsi"/>
          <w:sz w:val="20"/>
        </w:rPr>
      </w:pPr>
      <w:r>
        <w:rPr>
          <w:rFonts w:cstheme="minorHAnsi"/>
          <w:noProof/>
          <w:lang w:eastAsia="en-AU"/>
        </w:rPr>
        <w:lastRenderedPageBreak/>
        <mc:AlternateContent>
          <mc:Choice Requires="wps">
            <w:drawing>
              <wp:inline distT="0" distB="0" distL="0" distR="0" wp14:anchorId="516E851C" wp14:editId="21D3ECCA">
                <wp:extent cx="5904230" cy="4507832"/>
                <wp:effectExtent l="0" t="0" r="0" b="0"/>
                <wp:docPr id="94" name="Rectangle 94" title="decorative element"/>
                <wp:cNvGraphicFramePr/>
                <a:graphic xmlns:a="http://schemas.openxmlformats.org/drawingml/2006/main">
                  <a:graphicData uri="http://schemas.microsoft.com/office/word/2010/wordprocessingShape">
                    <wps:wsp>
                      <wps:cNvSpPr/>
                      <wps:spPr>
                        <a:xfrm>
                          <a:off x="0" y="0"/>
                          <a:ext cx="5904230" cy="45078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0E6741" id="Rectangle 94" o:spid="_x0000_s1026" alt="Title: decorative element" style="width:464.9pt;height:35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" filled="f" stroked="f" strokeweight="1pt">
                <w10:anchorlock/>
              </v:rect>
            </w:pict>
          </mc:Fallback>
        </mc:AlternateContent>
      </w:r>
      <w:r w:rsidR="00B20180" w:rsidRPr="00302A78">
        <w:rPr>
          <w:rFonts w:cstheme="minorHAnsi"/>
          <w:sz w:val="20"/>
        </w:rPr>
        <w:t>The Australian Counc</w:t>
      </w:r>
      <w:r w:rsidR="00984AC4" w:rsidRPr="00302A78">
        <w:rPr>
          <w:rFonts w:cstheme="minorHAnsi"/>
          <w:sz w:val="20"/>
        </w:rPr>
        <w:t>il for Educational Research Ltd</w:t>
      </w:r>
    </w:p>
    <w:p w14:paraId="2FC3C7C7" w14:textId="77777777" w:rsidR="00B20180" w:rsidRPr="00302A78" w:rsidRDefault="00B20180" w:rsidP="00984AC4">
      <w:pPr>
        <w:spacing w:before="60" w:after="120" w:line="240" w:lineRule="auto"/>
        <w:rPr>
          <w:sz w:val="20"/>
        </w:rPr>
      </w:pPr>
      <w:r w:rsidRPr="00302A78">
        <w:rPr>
          <w:sz w:val="20"/>
        </w:rPr>
        <w:t>19 Prospect Hill Road</w:t>
      </w:r>
    </w:p>
    <w:p w14:paraId="04D3E574" w14:textId="77777777" w:rsidR="00B20180" w:rsidRPr="00302A78" w:rsidRDefault="00B20180" w:rsidP="00984AC4">
      <w:pPr>
        <w:spacing w:before="60" w:after="120" w:line="240" w:lineRule="auto"/>
        <w:rPr>
          <w:sz w:val="20"/>
        </w:rPr>
      </w:pPr>
      <w:r w:rsidRPr="00302A78">
        <w:rPr>
          <w:sz w:val="20"/>
        </w:rPr>
        <w:t>Camberwell VIC 3124</w:t>
      </w:r>
    </w:p>
    <w:p w14:paraId="5016438B" w14:textId="77777777" w:rsidR="00B20180" w:rsidRPr="00302A78" w:rsidRDefault="00B20180" w:rsidP="00984AC4">
      <w:pPr>
        <w:spacing w:before="60" w:after="120" w:line="240" w:lineRule="auto"/>
        <w:rPr>
          <w:sz w:val="20"/>
        </w:rPr>
      </w:pPr>
      <w:r w:rsidRPr="00302A78">
        <w:rPr>
          <w:sz w:val="20"/>
        </w:rPr>
        <w:t>Phone: (03) 9277 5555</w:t>
      </w:r>
    </w:p>
    <w:p w14:paraId="012A1260" w14:textId="77777777" w:rsidR="00B20180" w:rsidRPr="00302A78" w:rsidRDefault="00B20180" w:rsidP="00984AC4">
      <w:pPr>
        <w:spacing w:before="60" w:after="120" w:line="240" w:lineRule="auto"/>
        <w:rPr>
          <w:sz w:val="20"/>
        </w:rPr>
      </w:pPr>
      <w:r w:rsidRPr="00302A78">
        <w:rPr>
          <w:sz w:val="20"/>
        </w:rPr>
        <w:t>ABN 19 004 398 145</w:t>
      </w:r>
    </w:p>
    <w:p w14:paraId="460FAF69" w14:textId="77777777" w:rsidR="00B20180" w:rsidRPr="00302A78" w:rsidRDefault="00B20180" w:rsidP="00B20180">
      <w:pPr>
        <w:rPr>
          <w:rFonts w:cstheme="minorHAnsi"/>
          <w:b/>
          <w:sz w:val="20"/>
        </w:rPr>
      </w:pPr>
      <w:r w:rsidRPr="00302A78">
        <w:rPr>
          <w:rFonts w:cstheme="minorHAnsi"/>
          <w:b/>
          <w:sz w:val="20"/>
        </w:rPr>
        <w:t>www.acer.org</w:t>
      </w:r>
    </w:p>
    <w:p w14:paraId="3D1EFE9F" w14:textId="77777777" w:rsidR="00984AC4" w:rsidRPr="00302A78" w:rsidRDefault="00984AC4" w:rsidP="00B20180">
      <w:pPr>
        <w:rPr>
          <w:rFonts w:cstheme="minorHAnsi"/>
          <w:sz w:val="20"/>
        </w:rPr>
      </w:pPr>
      <w:r w:rsidRPr="00302A78">
        <w:rPr>
          <w:rFonts w:cstheme="minorHAnsi"/>
          <w:sz w:val="20"/>
        </w:rPr>
        <w:t>ISBN 978-1-74286-677-2</w:t>
      </w:r>
    </w:p>
    <w:p w14:paraId="6ED582DF" w14:textId="77777777" w:rsidR="00984AC4" w:rsidRPr="00302A78" w:rsidRDefault="00984AC4" w:rsidP="00984AC4">
      <w:pPr>
        <w:rPr>
          <w:sz w:val="20"/>
        </w:rPr>
      </w:pPr>
      <w:r w:rsidRPr="00302A78">
        <w:rPr>
          <w:sz w:val="20"/>
        </w:rPr>
        <w:t>© 2022 The Commonwealth of Australia, represented by the Department of Foreign Affairs and Trade</w:t>
      </w:r>
    </w:p>
    <w:p w14:paraId="100A993B" w14:textId="77777777" w:rsidR="00984AC4" w:rsidRPr="00302A78" w:rsidRDefault="00984AC4" w:rsidP="00984AC4">
      <w:pPr>
        <w:rPr>
          <w:rFonts w:cstheme="minorHAnsi"/>
          <w:sz w:val="20"/>
        </w:rPr>
      </w:pPr>
      <w:r w:rsidRPr="00302A78">
        <w:rPr>
          <w:noProof/>
          <w:sz w:val="20"/>
          <w:lang w:eastAsia="en-AU"/>
        </w:rPr>
        <w:drawing>
          <wp:inline distT="0" distB="0" distL="0" distR="0" wp14:anchorId="3533916C" wp14:editId="165EB720">
            <wp:extent cx="902590" cy="344557"/>
            <wp:effectExtent l="0" t="0" r="0" b="0"/>
            <wp:docPr id="2" name="Picture 2" title="CC 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0582" cy="362878"/>
                    </a:xfrm>
                    <a:prstGeom prst="rect">
                      <a:avLst/>
                    </a:prstGeom>
                  </pic:spPr>
                </pic:pic>
              </a:graphicData>
            </a:graphic>
          </wp:inline>
        </w:drawing>
      </w:r>
    </w:p>
    <w:p w14:paraId="63848B01" w14:textId="4AA41244" w:rsidR="00984AC4" w:rsidRPr="00302A78" w:rsidRDefault="00984AC4" w:rsidP="00B20180">
      <w:pPr>
        <w:rPr>
          <w:sz w:val="20"/>
        </w:rPr>
      </w:pPr>
      <w:r w:rsidRPr="00302A78">
        <w:rPr>
          <w:sz w:val="20"/>
        </w:rPr>
        <w:t xml:space="preserve">With the exception of any material protected by a trademark, and where otherwise noted, all material presented in this report is licensed under the </w:t>
      </w:r>
      <w:hyperlink r:id="rId10" w:tooltip="https://creativecommons.org/licenses/by/4.0/" w:history="1">
        <w:r w:rsidRPr="00302A78">
          <w:rPr>
            <w:rStyle w:val="Hyperlink"/>
            <w:color w:val="0563C1"/>
            <w:sz w:val="20"/>
          </w:rPr>
          <w:t>Creative Commons Attribution 4.0 International licence.</w:t>
        </w:r>
      </w:hyperlink>
    </w:p>
    <w:p w14:paraId="107867D0" w14:textId="77777777" w:rsidR="00984AC4" w:rsidRPr="00302A78" w:rsidRDefault="00984AC4" w:rsidP="00984AC4">
      <w:pPr>
        <w:spacing w:before="60" w:after="120" w:line="240" w:lineRule="auto"/>
        <w:rPr>
          <w:b/>
          <w:sz w:val="20"/>
        </w:rPr>
      </w:pPr>
      <w:r w:rsidRPr="00302A78">
        <w:rPr>
          <w:b/>
          <w:sz w:val="20"/>
        </w:rPr>
        <w:t>Recommended attribution</w:t>
      </w:r>
    </w:p>
    <w:p w14:paraId="2B99019E" w14:textId="50AD2FCD" w:rsidR="00984AC4" w:rsidRPr="00302A78" w:rsidRDefault="00984AC4" w:rsidP="00984AC4">
      <w:pPr>
        <w:rPr>
          <w:sz w:val="20"/>
        </w:rPr>
      </w:pPr>
      <w:r w:rsidRPr="00302A78">
        <w:rPr>
          <w:sz w:val="20"/>
        </w:rPr>
        <w:t xml:space="preserve">The Department of Foreign Affairs and Trade must be attributed as the copyright holder of this publication and Elizabeth </w:t>
      </w:r>
      <w:proofErr w:type="spellStart"/>
      <w:r w:rsidRPr="00302A78">
        <w:rPr>
          <w:sz w:val="20"/>
        </w:rPr>
        <w:t>Cassity</w:t>
      </w:r>
      <w:proofErr w:type="spellEnd"/>
      <w:r w:rsidRPr="00302A78">
        <w:rPr>
          <w:sz w:val="20"/>
        </w:rPr>
        <w:t xml:space="preserve"> and Debbie Wong as the authors. You must also retain the copyright and licence information and provide a link to the original material.</w:t>
      </w:r>
    </w:p>
    <w:p w14:paraId="506F6A6C" w14:textId="77777777" w:rsidR="00984AC4" w:rsidRPr="00302A78" w:rsidRDefault="00984AC4" w:rsidP="00984AC4">
      <w:pPr>
        <w:spacing w:before="60" w:after="120" w:line="240" w:lineRule="auto"/>
        <w:rPr>
          <w:b/>
          <w:sz w:val="20"/>
        </w:rPr>
      </w:pPr>
      <w:r w:rsidRPr="00302A78">
        <w:rPr>
          <w:b/>
          <w:sz w:val="20"/>
        </w:rPr>
        <w:t>Recommended APA citation</w:t>
      </w:r>
    </w:p>
    <w:p w14:paraId="59683DD6" w14:textId="011A9D80" w:rsidR="00774723" w:rsidRPr="00302A78" w:rsidRDefault="00984AC4" w:rsidP="007B0589">
      <w:pPr>
        <w:rPr>
          <w:rFonts w:cstheme="minorHAnsi"/>
          <w:sz w:val="20"/>
          <w:highlight w:val="yellow"/>
        </w:rPr>
        <w:sectPr w:rsidR="00774723" w:rsidRPr="00302A78" w:rsidSect="002D7990">
          <w:footerReference w:type="default" r:id="rId11"/>
          <w:footerReference w:type="first" r:id="rId12"/>
          <w:pgSz w:w="11906" w:h="16838"/>
          <w:pgMar w:top="22" w:right="1304" w:bottom="1701" w:left="1304" w:header="0" w:footer="709" w:gutter="0"/>
          <w:pgNumType w:start="1"/>
          <w:cols w:space="708"/>
          <w:titlePg/>
          <w:docGrid w:linePitch="360"/>
        </w:sectPr>
      </w:pPr>
      <w:proofErr w:type="spellStart"/>
      <w:r w:rsidRPr="00302A78">
        <w:rPr>
          <w:sz w:val="20"/>
        </w:rPr>
        <w:t>Cassity</w:t>
      </w:r>
      <w:proofErr w:type="spellEnd"/>
      <w:r w:rsidRPr="00302A78">
        <w:rPr>
          <w:sz w:val="20"/>
        </w:rPr>
        <w:t xml:space="preserve">. E, &amp; Wong, D. (2022). </w:t>
      </w:r>
      <w:r w:rsidRPr="00302A78">
        <w:rPr>
          <w:i/>
          <w:sz w:val="20"/>
        </w:rPr>
        <w:t>Teacher development multi-year studies. Insights on the challenges of data availability for measuring and reporting on student learning outcomes.</w:t>
      </w:r>
      <w:r w:rsidRPr="00302A78">
        <w:rPr>
          <w:sz w:val="20"/>
        </w:rPr>
        <w:t xml:space="preserve"> Australian Council for Educational Research. </w:t>
      </w:r>
      <w:hyperlink r:id="rId13" w:tooltip="https://doi.org/10.37517/978-1-74286-677-2" w:history="1">
        <w:r w:rsidRPr="00302A78">
          <w:rPr>
            <w:rStyle w:val="Hyperlink"/>
            <w:color w:val="0563C1"/>
            <w:sz w:val="20"/>
          </w:rPr>
          <w:t>https://doi.org/10.37517/978-1-74286-677-2</w:t>
        </w:r>
      </w:hyperlink>
      <w:r w:rsidRPr="00302A78">
        <w:rPr>
          <w:color w:val="0563C1"/>
          <w:sz w:val="20"/>
        </w:rPr>
        <w:t xml:space="preserve"> </w:t>
      </w:r>
      <w:r w:rsidRPr="00302A78">
        <w:rPr>
          <w:color w:val="0563C1"/>
          <w:sz w:val="20"/>
        </w:rPr>
        <w:br/>
      </w:r>
      <w:hyperlink r:id="rId14" w:tooltip="https://research.acer.edu.au/eas/ " w:history="1">
        <w:r w:rsidR="00C03BC2" w:rsidRPr="00302A78">
          <w:rPr>
            <w:rStyle w:val="Hyperlink"/>
            <w:rFonts w:cstheme="minorHAnsi"/>
            <w:color w:val="0563C1"/>
            <w:sz w:val="20"/>
          </w:rPr>
          <w:t>https://research.acer.edu.au/eas/</w:t>
        </w:r>
      </w:hyperlink>
      <w:r w:rsidR="00C03BC2" w:rsidRPr="00302A78">
        <w:rPr>
          <w:rFonts w:cstheme="minorHAnsi"/>
          <w:sz w:val="20"/>
        </w:rPr>
        <w:t xml:space="preserve"> </w:t>
      </w:r>
    </w:p>
    <w:p w14:paraId="54B3CA54" w14:textId="401AA63D" w:rsidR="00D87A0B" w:rsidRPr="000B4AC1" w:rsidRDefault="00D87A0B" w:rsidP="00774723">
      <w:pPr>
        <w:pStyle w:val="Heading1"/>
      </w:pPr>
      <w:r w:rsidRPr="000B4AC1">
        <w:lastRenderedPageBreak/>
        <w:t xml:space="preserve">Executive </w:t>
      </w:r>
      <w:r w:rsidR="001631A5" w:rsidRPr="000B4AC1">
        <w:t>S</w:t>
      </w:r>
      <w:r w:rsidRPr="000B4AC1">
        <w:t>ummary</w:t>
      </w:r>
    </w:p>
    <w:p w14:paraId="30DE7538" w14:textId="77777777" w:rsidR="00802541" w:rsidRPr="000B4AC1" w:rsidRDefault="00802541" w:rsidP="00E869C6">
      <w:pPr>
        <w:rPr>
          <w:rFonts w:cstheme="minorHAnsi"/>
        </w:rPr>
        <w:sectPr w:rsidR="00802541" w:rsidRPr="000B4AC1" w:rsidSect="00254106">
          <w:headerReference w:type="first" r:id="rId15"/>
          <w:footerReference w:type="first" r:id="rId16"/>
          <w:pgSz w:w="11906" w:h="16838"/>
          <w:pgMar w:top="1440" w:right="1304" w:bottom="1701" w:left="1304" w:header="709" w:footer="709" w:gutter="0"/>
          <w:pgNumType w:start="1"/>
          <w:cols w:space="708"/>
          <w:titlePg/>
          <w:docGrid w:linePitch="360"/>
        </w:sectPr>
      </w:pPr>
    </w:p>
    <w:p w14:paraId="35FB9476" w14:textId="5F2F5058" w:rsidR="00150682" w:rsidRPr="00150682" w:rsidRDefault="00150682" w:rsidP="00150682">
      <w:pPr>
        <w:rPr>
          <w:rFonts w:cstheme="minorHAnsi"/>
        </w:rPr>
      </w:pPr>
      <w:r w:rsidRPr="00150682">
        <w:rPr>
          <w:rFonts w:cstheme="minorHAnsi"/>
        </w:rPr>
        <w:t>Student learning outcomes are an important source of evidence regarding improved teaching quality</w:t>
      </w:r>
      <w:r w:rsidR="00517BD7">
        <w:rPr>
          <w:rFonts w:cstheme="minorHAnsi"/>
        </w:rPr>
        <w:t>.</w:t>
      </w:r>
      <w:r w:rsidRPr="00150682">
        <w:rPr>
          <w:rFonts w:cstheme="minorHAnsi"/>
        </w:rPr>
        <w:t xml:space="preserve">  </w:t>
      </w:r>
      <w:r w:rsidR="00517BD7">
        <w:rPr>
          <w:rFonts w:cstheme="minorHAnsi"/>
        </w:rPr>
        <w:t>A</w:t>
      </w:r>
      <w:r w:rsidRPr="00150682">
        <w:rPr>
          <w:rFonts w:cstheme="minorHAnsi"/>
        </w:rPr>
        <w:t xml:space="preserve"> multi-year teacher development study series </w:t>
      </w:r>
      <w:r w:rsidR="00517BD7">
        <w:rPr>
          <w:rFonts w:cstheme="minorHAnsi"/>
        </w:rPr>
        <w:t>was commissioned</w:t>
      </w:r>
      <w:r w:rsidR="00517BD7" w:rsidRPr="00150682">
        <w:rPr>
          <w:rFonts w:cstheme="minorHAnsi"/>
        </w:rPr>
        <w:t xml:space="preserve"> </w:t>
      </w:r>
      <w:r w:rsidRPr="00150682">
        <w:rPr>
          <w:rFonts w:cstheme="minorHAnsi"/>
        </w:rPr>
        <w:t xml:space="preserve">by the Australian Government’s Department of Foreign Affairs and Trade (DFAT) </w:t>
      </w:r>
      <w:r w:rsidR="00517BD7">
        <w:rPr>
          <w:rFonts w:cstheme="minorHAnsi"/>
        </w:rPr>
        <w:t>to</w:t>
      </w:r>
      <w:r w:rsidRPr="00150682">
        <w:rPr>
          <w:rFonts w:cstheme="minorHAnsi"/>
        </w:rPr>
        <w:t xml:space="preserve"> investigat</w:t>
      </w:r>
      <w:r w:rsidR="00517BD7">
        <w:rPr>
          <w:rFonts w:cstheme="minorHAnsi"/>
        </w:rPr>
        <w:t>e</w:t>
      </w:r>
      <w:r w:rsidR="00FA2E43">
        <w:rPr>
          <w:rFonts w:cstheme="minorHAnsi"/>
        </w:rPr>
        <w:t xml:space="preserve"> </w:t>
      </w:r>
      <w:r w:rsidRPr="00150682">
        <w:rPr>
          <w:rFonts w:cstheme="minorHAnsi"/>
        </w:rPr>
        <w:t xml:space="preserve">teacher development initiatives in Lao People’s Democratic Republic (Laos), Timor-Leste and Vanuatu. </w:t>
      </w:r>
      <w:r w:rsidR="001F639E" w:rsidRPr="0096084A">
        <w:rPr>
          <w:rFonts w:cstheme="minorHAnsi"/>
          <w:lang w:val="en-GB"/>
        </w:rPr>
        <w:t xml:space="preserve">The overall aim of </w:t>
      </w:r>
      <w:r w:rsidR="001F639E">
        <w:rPr>
          <w:rFonts w:cstheme="minorHAnsi"/>
          <w:lang w:val="en-GB"/>
        </w:rPr>
        <w:t xml:space="preserve">the </w:t>
      </w:r>
      <w:r w:rsidR="001F639E" w:rsidRPr="0096084A">
        <w:rPr>
          <w:rFonts w:cstheme="minorHAnsi"/>
          <w:lang w:val="en-GB"/>
        </w:rPr>
        <w:t xml:space="preserve">study </w:t>
      </w:r>
      <w:r w:rsidR="001F639E">
        <w:rPr>
          <w:rFonts w:cstheme="minorHAnsi"/>
          <w:lang w:val="en-GB"/>
        </w:rPr>
        <w:t xml:space="preserve">series </w:t>
      </w:r>
      <w:r w:rsidR="001F639E" w:rsidRPr="0096084A">
        <w:rPr>
          <w:rFonts w:cstheme="minorHAnsi"/>
          <w:lang w:val="en-GB"/>
        </w:rPr>
        <w:t>is to understand the extent to which the Australian investment has improved teaching quality and student learning</w:t>
      </w:r>
      <w:r w:rsidR="001F639E" w:rsidRPr="008F712D">
        <w:rPr>
          <w:rFonts w:cstheme="minorHAnsi"/>
          <w:lang w:val="en-GB"/>
        </w:rPr>
        <w:t>.</w:t>
      </w:r>
      <w:r w:rsidR="00745A63" w:rsidRPr="008F712D">
        <w:rPr>
          <w:rFonts w:cstheme="minorHAnsi"/>
          <w:lang w:val="en-GB"/>
        </w:rPr>
        <w:t xml:space="preserve"> </w:t>
      </w:r>
      <w:r w:rsidRPr="008F712D">
        <w:rPr>
          <w:rFonts w:cstheme="minorHAnsi"/>
        </w:rPr>
        <w:t xml:space="preserve">This paper </w:t>
      </w:r>
      <w:r w:rsidR="008F712D" w:rsidRPr="008F712D">
        <w:rPr>
          <w:rFonts w:cstheme="minorHAnsi"/>
        </w:rPr>
        <w:t xml:space="preserve">outlines the different approaches to sourcing and using data in each country context, and then </w:t>
      </w:r>
      <w:r w:rsidRPr="008F712D">
        <w:rPr>
          <w:rFonts w:cstheme="minorHAnsi"/>
        </w:rPr>
        <w:t>presents initial insights</w:t>
      </w:r>
      <w:r w:rsidRPr="00150682">
        <w:rPr>
          <w:rFonts w:cstheme="minorHAnsi"/>
        </w:rPr>
        <w:t xml:space="preserve"> about the challenges associated with the limited availability of data for measuring and reporting student learning outcomes</w:t>
      </w:r>
      <w:r w:rsidR="001164E6">
        <w:rPr>
          <w:rFonts w:cstheme="minorHAnsi"/>
        </w:rPr>
        <w:t>, as a measure of teacher effectiveness</w:t>
      </w:r>
      <w:r w:rsidRPr="00150682">
        <w:rPr>
          <w:rFonts w:cstheme="minorHAnsi"/>
        </w:rPr>
        <w:t>.</w:t>
      </w:r>
      <w:r w:rsidR="001164E6">
        <w:rPr>
          <w:rFonts w:cstheme="minorHAnsi"/>
        </w:rPr>
        <w:t xml:space="preserve"> </w:t>
      </w:r>
      <w:r w:rsidRPr="00150682">
        <w:rPr>
          <w:rFonts w:cstheme="minorHAnsi"/>
        </w:rPr>
        <w:t xml:space="preserve">It presents key lessons learned about conducting research with limited existing student learning outcomes data </w:t>
      </w:r>
      <w:r w:rsidR="0088495A">
        <w:rPr>
          <w:rFonts w:cstheme="minorHAnsi"/>
        </w:rPr>
        <w:t xml:space="preserve">and offers </w:t>
      </w:r>
      <w:r w:rsidRPr="00150682">
        <w:rPr>
          <w:rFonts w:cstheme="minorHAnsi"/>
        </w:rPr>
        <w:t xml:space="preserve">some solutions </w:t>
      </w:r>
      <w:r w:rsidR="0088495A">
        <w:rPr>
          <w:rFonts w:cstheme="minorHAnsi"/>
        </w:rPr>
        <w:t>to</w:t>
      </w:r>
      <w:r w:rsidRPr="00150682">
        <w:rPr>
          <w:rFonts w:cstheme="minorHAnsi"/>
        </w:rPr>
        <w:t xml:space="preserve"> inform programs in other contexts.</w:t>
      </w:r>
    </w:p>
    <w:p w14:paraId="66BA9643" w14:textId="7F66475E" w:rsidR="001164E6" w:rsidRDefault="008F712D" w:rsidP="008103ED">
      <w:pPr>
        <w:rPr>
          <w:rFonts w:cstheme="minorHAnsi"/>
        </w:rPr>
      </w:pPr>
      <w:r>
        <w:rPr>
          <w:rFonts w:cstheme="minorHAnsi"/>
        </w:rPr>
        <w:t xml:space="preserve">Each study used a different approach </w:t>
      </w:r>
      <w:r w:rsidR="001164E6">
        <w:rPr>
          <w:rFonts w:cstheme="minorHAnsi"/>
        </w:rPr>
        <w:t>to sourcing and using data:</w:t>
      </w:r>
    </w:p>
    <w:p w14:paraId="2B1FD877" w14:textId="3E316A6C" w:rsidR="00BC560C" w:rsidRDefault="001164E6" w:rsidP="00254106">
      <w:pPr>
        <w:pStyle w:val="ListParagraph"/>
        <w:numPr>
          <w:ilvl w:val="0"/>
          <w:numId w:val="19"/>
        </w:numPr>
        <w:spacing w:after="240"/>
        <w:ind w:left="714" w:hanging="357"/>
        <w:contextualSpacing w:val="0"/>
        <w:rPr>
          <w:rFonts w:ascii="Calibri" w:hAnsi="Calibri" w:cs="Calibri"/>
        </w:rPr>
      </w:pPr>
      <w:r w:rsidRPr="00BC560C">
        <w:rPr>
          <w:rFonts w:ascii="Calibri" w:hAnsi="Calibri" w:cs="Calibri"/>
          <w:b/>
          <w:bCs/>
        </w:rPr>
        <w:t>Laos:</w:t>
      </w:r>
      <w:r>
        <w:rPr>
          <w:rFonts w:ascii="Calibri" w:hAnsi="Calibri" w:cs="Calibri"/>
        </w:rPr>
        <w:t xml:space="preserve"> The design of a fit-for-purpose student assessment linked to the new Lao language curriculum</w:t>
      </w:r>
      <w:r w:rsidR="00B317F9">
        <w:rPr>
          <w:rFonts w:ascii="Calibri" w:hAnsi="Calibri" w:cs="Calibri"/>
        </w:rPr>
        <w:t>.</w:t>
      </w:r>
      <w:r>
        <w:rPr>
          <w:rFonts w:ascii="Calibri" w:hAnsi="Calibri" w:cs="Calibri"/>
        </w:rPr>
        <w:t xml:space="preserve"> </w:t>
      </w:r>
      <w:r w:rsidR="00B317F9" w:rsidRPr="00B317F9">
        <w:rPr>
          <w:rFonts w:ascii="Calibri" w:hAnsi="Calibri" w:cs="Calibri"/>
        </w:rPr>
        <w:t xml:space="preserve">A one-on-one Lao language literacy test was developed to collect a snapshot of a few key literacy skills for Grade 1 students near the end of their school year. This </w:t>
      </w:r>
      <w:r w:rsidR="00B317F9">
        <w:rPr>
          <w:rFonts w:ascii="Calibri" w:hAnsi="Calibri" w:cs="Calibri"/>
        </w:rPr>
        <w:t>was intended to track student performance over a period of four years to coincide with the gradual rollout of the new primary curriculum.</w:t>
      </w:r>
      <w:r w:rsidR="00E4063F">
        <w:rPr>
          <w:rFonts w:ascii="Calibri" w:hAnsi="Calibri" w:cs="Calibri"/>
        </w:rPr>
        <w:t xml:space="preserve"> This was supplemented by surveys, stakeholder interviews and classroom observations, which provided a deeper understanding of teaching practice and stakeholder experiences with the new curriculum and associated professional learning support.</w:t>
      </w:r>
    </w:p>
    <w:p w14:paraId="5189778E" w14:textId="22F1CE56" w:rsidR="00BC560C" w:rsidRPr="00BC560C" w:rsidRDefault="00B317F9" w:rsidP="00254106">
      <w:pPr>
        <w:pStyle w:val="ListParagraph"/>
        <w:numPr>
          <w:ilvl w:val="0"/>
          <w:numId w:val="19"/>
        </w:numPr>
        <w:spacing w:after="240"/>
        <w:ind w:left="714" w:hanging="357"/>
        <w:contextualSpacing w:val="0"/>
        <w:rPr>
          <w:rFonts w:ascii="Calibri" w:hAnsi="Calibri" w:cs="Calibri"/>
        </w:rPr>
      </w:pPr>
      <w:r w:rsidRPr="00BC560C">
        <w:rPr>
          <w:rFonts w:ascii="Calibri" w:hAnsi="Calibri" w:cs="Calibri"/>
          <w:b/>
          <w:bCs/>
        </w:rPr>
        <w:t>Vanuatu:</w:t>
      </w:r>
      <w:r w:rsidRPr="00B317F9">
        <w:rPr>
          <w:rFonts w:ascii="Calibri" w:hAnsi="Calibri" w:cs="Calibri"/>
        </w:rPr>
        <w:t xml:space="preserve"> The use of existing national and regional student assessment data as a reference point for student learning in literacy and numeracy. This was supplemented by stakeholder interviews, which enabled a deeper insight into the complexities of teachers’ experience of the new curriculum, as well as professional learning and support related to the new curriculum.</w:t>
      </w:r>
    </w:p>
    <w:p w14:paraId="6AA09899" w14:textId="01FA0243" w:rsidR="00B317F9" w:rsidRPr="001164E6" w:rsidRDefault="00B317F9" w:rsidP="00254106">
      <w:pPr>
        <w:pStyle w:val="ListParagraph"/>
        <w:numPr>
          <w:ilvl w:val="0"/>
          <w:numId w:val="19"/>
        </w:numPr>
        <w:spacing w:after="240"/>
        <w:ind w:left="714" w:hanging="357"/>
        <w:contextualSpacing w:val="0"/>
        <w:rPr>
          <w:rFonts w:ascii="Calibri" w:hAnsi="Calibri" w:cs="Calibri"/>
        </w:rPr>
      </w:pPr>
      <w:r w:rsidRPr="00BC560C">
        <w:rPr>
          <w:rFonts w:ascii="Calibri" w:hAnsi="Calibri" w:cs="Calibri"/>
          <w:b/>
          <w:bCs/>
        </w:rPr>
        <w:t>Timor-Leste:</w:t>
      </w:r>
      <w:r>
        <w:rPr>
          <w:rFonts w:ascii="Calibri" w:hAnsi="Calibri" w:cs="Calibri"/>
        </w:rPr>
        <w:t xml:space="preserve"> </w:t>
      </w:r>
      <w:r w:rsidR="00BC560C">
        <w:rPr>
          <w:rFonts w:ascii="Calibri" w:hAnsi="Calibri" w:cs="Calibri"/>
        </w:rPr>
        <w:t xml:space="preserve">An adjustment to the study design to respond to gaps in student datasets. A study-specific classroom observation tool </w:t>
      </w:r>
      <w:r w:rsidR="00494BBA">
        <w:rPr>
          <w:rFonts w:ascii="Calibri" w:hAnsi="Calibri" w:cs="Calibri"/>
        </w:rPr>
        <w:t>will</w:t>
      </w:r>
      <w:r w:rsidR="00BC560C">
        <w:rPr>
          <w:rFonts w:ascii="Calibri" w:hAnsi="Calibri" w:cs="Calibri"/>
        </w:rPr>
        <w:t xml:space="preserve"> collect evidence of changes in teaching practice</w:t>
      </w:r>
      <w:r w:rsidR="00D45791">
        <w:rPr>
          <w:rFonts w:ascii="Calibri" w:hAnsi="Calibri" w:cs="Calibri"/>
        </w:rPr>
        <w:t>, which will supplement stakeholder reports</w:t>
      </w:r>
      <w:r w:rsidR="00BC560C">
        <w:rPr>
          <w:rFonts w:ascii="Calibri" w:hAnsi="Calibri" w:cs="Calibri"/>
        </w:rPr>
        <w:t xml:space="preserve">. </w:t>
      </w:r>
    </w:p>
    <w:p w14:paraId="67F6CF19" w14:textId="1CA450C0" w:rsidR="00517BD7" w:rsidRDefault="00150682" w:rsidP="008103ED">
      <w:pPr>
        <w:rPr>
          <w:rFonts w:cstheme="minorHAnsi"/>
        </w:rPr>
      </w:pPr>
      <w:r w:rsidRPr="00150682">
        <w:rPr>
          <w:rFonts w:cstheme="minorHAnsi"/>
        </w:rPr>
        <w:t>Three key lessons learned from this research are elaborated</w:t>
      </w:r>
      <w:r w:rsidR="00517BD7">
        <w:rPr>
          <w:rFonts w:cstheme="minorHAnsi"/>
        </w:rPr>
        <w:t>:</w:t>
      </w:r>
    </w:p>
    <w:p w14:paraId="417673CC" w14:textId="40C5D61D" w:rsidR="00517BD7" w:rsidRPr="00745A63" w:rsidRDefault="00FA2E43" w:rsidP="00254106">
      <w:pPr>
        <w:pStyle w:val="ListParagraph"/>
        <w:numPr>
          <w:ilvl w:val="0"/>
          <w:numId w:val="19"/>
        </w:numPr>
        <w:spacing w:after="240"/>
        <w:ind w:left="714" w:hanging="357"/>
        <w:contextualSpacing w:val="0"/>
      </w:pPr>
      <w:r w:rsidRPr="00745A63">
        <w:rPr>
          <w:rFonts w:ascii="Calibri" w:hAnsi="Calibri" w:cs="Calibri"/>
        </w:rPr>
        <w:t>A</w:t>
      </w:r>
      <w:r w:rsidR="00150682" w:rsidRPr="00745A63">
        <w:rPr>
          <w:rFonts w:ascii="Calibri" w:hAnsi="Calibri" w:cs="Calibri"/>
        </w:rPr>
        <w:t xml:space="preserve"> systematic approach to monitoring learning achievement over time is important for any education and learning system.</w:t>
      </w:r>
      <w:r w:rsidR="00150682" w:rsidRPr="00745A63">
        <w:rPr>
          <w:rFonts w:cstheme="minorHAnsi"/>
        </w:rPr>
        <w:t xml:space="preserve"> </w:t>
      </w:r>
      <w:r w:rsidR="002C147A" w:rsidRPr="00745A63">
        <w:rPr>
          <w:rFonts w:asciiTheme="minorHAnsi" w:hAnsiTheme="minorHAnsi" w:cstheme="minorHAnsi"/>
        </w:rPr>
        <w:t xml:space="preserve">Monitoring learning outcomes are important for education systems because such data enables governments make requisite changes to curricular, teaching, </w:t>
      </w:r>
      <w:proofErr w:type="gramStart"/>
      <w:r w:rsidR="002C147A" w:rsidRPr="00745A63">
        <w:rPr>
          <w:rFonts w:asciiTheme="minorHAnsi" w:hAnsiTheme="minorHAnsi" w:cstheme="minorHAnsi"/>
        </w:rPr>
        <w:t>assessment</w:t>
      </w:r>
      <w:proofErr w:type="gramEnd"/>
      <w:r w:rsidR="002C147A" w:rsidRPr="00745A63">
        <w:rPr>
          <w:rFonts w:asciiTheme="minorHAnsi" w:hAnsiTheme="minorHAnsi" w:cstheme="minorHAnsi"/>
        </w:rPr>
        <w:t xml:space="preserve"> and resourcing to lift student achievement levels and equity. Collecting and monitoring learning outcomes data is also critical to achieving the education targets outlined in Sustainable Development Goal (SDG) 4.</w:t>
      </w:r>
    </w:p>
    <w:p w14:paraId="5215496D" w14:textId="72F9076E" w:rsidR="002C147A" w:rsidRPr="00745A63" w:rsidRDefault="002C147A" w:rsidP="00254106">
      <w:pPr>
        <w:pStyle w:val="ListParagraph"/>
        <w:numPr>
          <w:ilvl w:val="0"/>
          <w:numId w:val="19"/>
        </w:numPr>
        <w:spacing w:after="240"/>
        <w:ind w:left="714" w:hanging="357"/>
        <w:contextualSpacing w:val="0"/>
      </w:pPr>
      <w:r w:rsidRPr="00745A63">
        <w:rPr>
          <w:rFonts w:asciiTheme="minorHAnsi" w:hAnsiTheme="minorHAnsi" w:cstheme="minorHAnsi"/>
        </w:rPr>
        <w:t xml:space="preserve">Sustained support is needed for the development of system-level capacity and resourcing to implement consistent cycles of </w:t>
      </w:r>
      <w:r w:rsidR="00494BBA" w:rsidRPr="00745A63">
        <w:rPr>
          <w:rFonts w:asciiTheme="minorHAnsi" w:hAnsiTheme="minorHAnsi" w:cstheme="minorHAnsi"/>
        </w:rPr>
        <w:t xml:space="preserve">collection of </w:t>
      </w:r>
      <w:r w:rsidRPr="00745A63">
        <w:rPr>
          <w:rFonts w:asciiTheme="minorHAnsi" w:hAnsiTheme="minorHAnsi" w:cstheme="minorHAnsi"/>
        </w:rPr>
        <w:t xml:space="preserve">student outcomes data. </w:t>
      </w:r>
    </w:p>
    <w:p w14:paraId="0F8D890A" w14:textId="1695E8A3" w:rsidR="00517BD7" w:rsidRPr="00745A63" w:rsidRDefault="002C147A" w:rsidP="00517BD7">
      <w:pPr>
        <w:pStyle w:val="ListParagraph"/>
        <w:numPr>
          <w:ilvl w:val="0"/>
          <w:numId w:val="19"/>
        </w:numPr>
      </w:pPr>
      <w:r w:rsidRPr="00745A63">
        <w:rPr>
          <w:rFonts w:asciiTheme="minorHAnsi" w:hAnsiTheme="minorHAnsi" w:cstheme="minorHAnsi"/>
        </w:rPr>
        <w:t>Data about teaching needs to come from a range of sources</w:t>
      </w:r>
      <w:r w:rsidR="00494BBA" w:rsidRPr="00745A63">
        <w:rPr>
          <w:rFonts w:asciiTheme="minorHAnsi" w:hAnsiTheme="minorHAnsi" w:cstheme="minorHAnsi"/>
        </w:rPr>
        <w:t xml:space="preserve">. </w:t>
      </w:r>
      <w:r w:rsidRPr="00745A63">
        <w:rPr>
          <w:rFonts w:ascii="Calibri" w:hAnsi="Calibri" w:cs="Calibri"/>
        </w:rPr>
        <w:t xml:space="preserve">Using a range of approaches including classroom observation data, teacher and education stakeholder </w:t>
      </w:r>
      <w:r w:rsidRPr="00745A63">
        <w:rPr>
          <w:rFonts w:asciiTheme="minorHAnsi" w:hAnsiTheme="minorHAnsi" w:cstheme="minorHAnsi"/>
        </w:rPr>
        <w:t>data, and fit-for-purpose student assessments, provide a more holistic view of teaching quality. Importantly, these approaches acknowledge the complex nature of teacher learning and that sustained change in teaching practice and student learning takes time.</w:t>
      </w:r>
    </w:p>
    <w:p w14:paraId="06C2825A" w14:textId="78FEBC8A" w:rsidR="00581CA1" w:rsidRPr="003D56CD" w:rsidRDefault="00D87A0B" w:rsidP="003D56CD">
      <w:pPr>
        <w:pStyle w:val="Heading1"/>
        <w:rPr>
          <w:rFonts w:cstheme="minorHAnsi"/>
          <w:sz w:val="56"/>
          <w:szCs w:val="56"/>
        </w:rPr>
        <w:sectPr w:rsidR="00581CA1" w:rsidRPr="003D56CD" w:rsidSect="00774723">
          <w:headerReference w:type="default" r:id="rId17"/>
          <w:footerReference w:type="default" r:id="rId18"/>
          <w:type w:val="continuous"/>
          <w:pgSz w:w="11906" w:h="16838"/>
          <w:pgMar w:top="1440" w:right="1304" w:bottom="1440" w:left="1304" w:header="709" w:footer="709" w:gutter="0"/>
          <w:cols w:space="710"/>
          <w:titlePg/>
          <w:docGrid w:linePitch="360"/>
        </w:sectPr>
      </w:pPr>
      <w:r w:rsidRPr="000B4AC1">
        <w:rPr>
          <w:rFonts w:cstheme="minorHAnsi"/>
          <w:sz w:val="56"/>
          <w:szCs w:val="56"/>
        </w:rPr>
        <w:lastRenderedPageBreak/>
        <w:t>Introduction</w:t>
      </w:r>
    </w:p>
    <w:p w14:paraId="220E5D4D" w14:textId="5FAD5A58" w:rsidR="00150682" w:rsidRPr="00150682"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Detailed information about what students know and can do is fundamentally linked to system</w:t>
      </w:r>
      <w:r w:rsidR="00602AF1">
        <w:rPr>
          <w:rFonts w:ascii="Calibri" w:eastAsia="Calibri" w:hAnsi="Calibri" w:cs="Calibri"/>
          <w:lang w:val="en-GB"/>
        </w:rPr>
        <w:t>s</w:t>
      </w:r>
      <w:r w:rsidRPr="00150682">
        <w:rPr>
          <w:rFonts w:ascii="Calibri" w:eastAsia="Calibri" w:hAnsi="Calibri" w:cs="Calibri"/>
          <w:lang w:val="en-GB"/>
        </w:rPr>
        <w:t xml:space="preserve"> support of teaching quality. </w:t>
      </w:r>
      <w:r w:rsidR="002367DB">
        <w:rPr>
          <w:rFonts w:ascii="Calibri" w:eastAsia="Calibri" w:hAnsi="Calibri" w:cs="Calibri"/>
          <w:lang w:val="en-GB"/>
        </w:rPr>
        <w:t xml:space="preserve">The DFAT is supporting </w:t>
      </w:r>
      <w:proofErr w:type="gramStart"/>
      <w:r w:rsidR="002367DB">
        <w:rPr>
          <w:rFonts w:ascii="Calibri" w:eastAsia="Calibri" w:hAnsi="Calibri" w:cs="Calibri"/>
          <w:lang w:val="en-GB"/>
        </w:rPr>
        <w:t>a number of</w:t>
      </w:r>
      <w:proofErr w:type="gramEnd"/>
      <w:r w:rsidR="002367DB">
        <w:rPr>
          <w:rFonts w:ascii="Calibri" w:eastAsia="Calibri" w:hAnsi="Calibri" w:cs="Calibri"/>
          <w:lang w:val="en-GB"/>
        </w:rPr>
        <w:t xml:space="preserve"> education reform initiatives in the Indo-Pacific, with a focus on </w:t>
      </w:r>
      <w:r w:rsidR="00602AF1">
        <w:rPr>
          <w:rFonts w:ascii="Calibri" w:eastAsia="Calibri" w:hAnsi="Calibri" w:cs="Calibri"/>
          <w:lang w:val="en-GB"/>
        </w:rPr>
        <w:t xml:space="preserve">strengthening </w:t>
      </w:r>
      <w:r w:rsidR="002367DB">
        <w:rPr>
          <w:rFonts w:ascii="Calibri" w:eastAsia="Calibri" w:hAnsi="Calibri" w:cs="Calibri"/>
          <w:lang w:val="en-GB"/>
        </w:rPr>
        <w:t>teaching practice</w:t>
      </w:r>
      <w:r w:rsidR="00602AF1">
        <w:rPr>
          <w:rFonts w:ascii="Calibri" w:eastAsia="Calibri" w:hAnsi="Calibri" w:cs="Calibri"/>
          <w:lang w:val="en-GB"/>
        </w:rPr>
        <w:t>s</w:t>
      </w:r>
      <w:r w:rsidR="002367DB">
        <w:rPr>
          <w:rFonts w:ascii="Calibri" w:eastAsia="Calibri" w:hAnsi="Calibri" w:cs="Calibri"/>
          <w:lang w:val="en-GB"/>
        </w:rPr>
        <w:t xml:space="preserve"> to support </w:t>
      </w:r>
      <w:r w:rsidR="00602AF1">
        <w:rPr>
          <w:rFonts w:ascii="Calibri" w:eastAsia="Calibri" w:hAnsi="Calibri" w:cs="Calibri"/>
          <w:lang w:val="en-GB"/>
        </w:rPr>
        <w:t xml:space="preserve">improved </w:t>
      </w:r>
      <w:r w:rsidR="002367DB">
        <w:rPr>
          <w:rFonts w:ascii="Calibri" w:eastAsia="Calibri" w:hAnsi="Calibri" w:cs="Calibri"/>
          <w:lang w:val="en-GB"/>
        </w:rPr>
        <w:t>student learning outcomes. This includes a multi-year teacher development study series</w:t>
      </w:r>
      <w:r w:rsidR="00602AF1">
        <w:rPr>
          <w:rFonts w:ascii="Calibri" w:eastAsia="Calibri" w:hAnsi="Calibri" w:cs="Calibri"/>
          <w:lang w:val="en-GB"/>
        </w:rPr>
        <w:t xml:space="preserve"> that investigates to what extent Australia’s investments in teacher development initiatives in Laos, Timor-Leste and Vanuatu has improved teaching quality and student learning</w:t>
      </w:r>
      <w:r w:rsidR="002367DB">
        <w:rPr>
          <w:rFonts w:ascii="Calibri" w:eastAsia="Calibri" w:hAnsi="Calibri" w:cs="Calibri"/>
          <w:lang w:val="en-GB"/>
        </w:rPr>
        <w:t xml:space="preserve">. </w:t>
      </w:r>
    </w:p>
    <w:p w14:paraId="1C1E1476" w14:textId="77777777" w:rsidR="00150682" w:rsidRPr="00150682"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 xml:space="preserve">Data on student learning outcomes is frequently referenced as an indicator of teaching quality. The </w:t>
      </w:r>
      <w:r w:rsidRPr="00150682">
        <w:rPr>
          <w:rFonts w:ascii="Calibri" w:eastAsia="Calibri" w:hAnsi="Calibri" w:cs="Calibri"/>
          <w:i/>
          <w:lang w:val="en-GB"/>
        </w:rPr>
        <w:t>2030 Agenda for Sustainable Development,</w:t>
      </w:r>
      <w:r w:rsidRPr="00150682">
        <w:rPr>
          <w:rFonts w:ascii="Calibri" w:eastAsia="Calibri" w:hAnsi="Calibri" w:cs="Calibri"/>
          <w:lang w:val="en-GB"/>
        </w:rPr>
        <w:t xml:space="preserve"> for example, states that: </w:t>
      </w:r>
    </w:p>
    <w:p w14:paraId="4903C344" w14:textId="77777777" w:rsidR="00150682" w:rsidRPr="00745A63" w:rsidRDefault="00150682" w:rsidP="00150682">
      <w:pPr>
        <w:spacing w:after="120" w:line="240" w:lineRule="auto"/>
        <w:ind w:left="284" w:right="608"/>
        <w:rPr>
          <w:rFonts w:ascii="Calibri" w:eastAsia="Calibri" w:hAnsi="Calibri" w:cs="Calibri"/>
          <w:i/>
          <w:iCs/>
          <w:lang w:val="en-GB"/>
        </w:rPr>
      </w:pPr>
      <w:r w:rsidRPr="00745A63">
        <w:rPr>
          <w:rFonts w:ascii="Calibri" w:eastAsia="Calibri" w:hAnsi="Calibri" w:cs="Calibri"/>
          <w:i/>
          <w:iCs/>
          <w:lang w:val="en-GB"/>
        </w:rPr>
        <w:t>Quality, accessible, timely and reliable data will be needed to help with measurement and progress to ensure that no one is left behind. Such data is key to decision-making. Data and information from existing reporting mechanisms should be used where possible. (UN General Assembly, 2015).</w:t>
      </w:r>
    </w:p>
    <w:p w14:paraId="3066DDB9" w14:textId="71D5239D" w:rsidR="00150682" w:rsidRPr="00150682"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 xml:space="preserve">Data is critical </w:t>
      </w:r>
      <w:r w:rsidR="00602AF1">
        <w:rPr>
          <w:rFonts w:ascii="Calibri" w:eastAsia="Calibri" w:hAnsi="Calibri" w:cs="Calibri"/>
          <w:lang w:val="en-GB"/>
        </w:rPr>
        <w:t>to</w:t>
      </w:r>
      <w:r w:rsidR="00602AF1" w:rsidRPr="00150682">
        <w:rPr>
          <w:rFonts w:ascii="Calibri" w:eastAsia="Calibri" w:hAnsi="Calibri" w:cs="Calibri"/>
          <w:lang w:val="en-GB"/>
        </w:rPr>
        <w:t xml:space="preserve"> </w:t>
      </w:r>
      <w:r w:rsidRPr="00150682">
        <w:rPr>
          <w:rFonts w:ascii="Calibri" w:eastAsia="Calibri" w:hAnsi="Calibri" w:cs="Calibri"/>
          <w:lang w:val="en-GB"/>
        </w:rPr>
        <w:t xml:space="preserve">achieving the education targets outlined in Sustainable Development Goal (SDG) 4, to “Ensure inclusive and equitable quality education and promote lifelong learning”. Specifically, target 4.1 refers to equitable and quality education that leads to relevant and effective learning outcomes, and target 4.C refers to increasing the supply of qualified teachers. However, </w:t>
      </w:r>
      <w:r w:rsidR="00F11526">
        <w:rPr>
          <w:rFonts w:ascii="Calibri" w:eastAsia="Calibri" w:hAnsi="Calibri" w:cs="Calibri"/>
          <w:lang w:val="en-GB"/>
        </w:rPr>
        <w:t xml:space="preserve">there is a gap in the </w:t>
      </w:r>
      <w:r w:rsidRPr="00150682">
        <w:rPr>
          <w:rFonts w:ascii="Calibri" w:eastAsia="Calibri" w:hAnsi="Calibri" w:cs="Calibri"/>
          <w:lang w:val="en-GB"/>
        </w:rPr>
        <w:t xml:space="preserve">availability of valid and reliable student learning outcomes data in </w:t>
      </w:r>
      <w:proofErr w:type="gramStart"/>
      <w:r w:rsidRPr="00150682">
        <w:rPr>
          <w:rFonts w:ascii="Calibri" w:eastAsia="Calibri" w:hAnsi="Calibri" w:cs="Calibri"/>
          <w:lang w:val="en-GB"/>
        </w:rPr>
        <w:t>a number of</w:t>
      </w:r>
      <w:proofErr w:type="gramEnd"/>
      <w:r w:rsidRPr="00150682">
        <w:rPr>
          <w:rFonts w:ascii="Calibri" w:eastAsia="Calibri" w:hAnsi="Calibri" w:cs="Calibri"/>
          <w:lang w:val="en-GB"/>
        </w:rPr>
        <w:t xml:space="preserve"> low-income countries. In fact, some countries do not </w:t>
      </w:r>
      <w:r w:rsidR="00602AF1">
        <w:rPr>
          <w:rFonts w:ascii="Calibri" w:eastAsia="Calibri" w:hAnsi="Calibri" w:cs="Calibri"/>
          <w:lang w:val="en-GB"/>
        </w:rPr>
        <w:t xml:space="preserve">yet </w:t>
      </w:r>
      <w:r w:rsidRPr="00150682">
        <w:rPr>
          <w:rFonts w:ascii="Calibri" w:eastAsia="Calibri" w:hAnsi="Calibri" w:cs="Calibri"/>
          <w:lang w:val="en-GB"/>
        </w:rPr>
        <w:t xml:space="preserve">have the system capacity to implement consistent cycles of learning </w:t>
      </w:r>
      <w:r w:rsidR="00F11526">
        <w:rPr>
          <w:rFonts w:ascii="Calibri" w:eastAsia="Calibri" w:hAnsi="Calibri" w:cs="Calibri"/>
          <w:lang w:val="en-GB"/>
        </w:rPr>
        <w:t>assessments</w:t>
      </w:r>
      <w:r w:rsidRPr="00150682">
        <w:rPr>
          <w:rFonts w:ascii="Calibri" w:eastAsia="Calibri" w:hAnsi="Calibri" w:cs="Calibri"/>
          <w:lang w:val="en-GB"/>
        </w:rPr>
        <w:t>; and in many countries</w:t>
      </w:r>
      <w:r w:rsidR="00FA2E43">
        <w:rPr>
          <w:rFonts w:ascii="Calibri" w:eastAsia="Calibri" w:hAnsi="Calibri" w:cs="Calibri"/>
          <w:lang w:val="en-GB"/>
        </w:rPr>
        <w:t>,</w:t>
      </w:r>
      <w:r w:rsidRPr="00150682">
        <w:rPr>
          <w:rFonts w:ascii="Calibri" w:eastAsia="Calibri" w:hAnsi="Calibri" w:cs="Calibri"/>
          <w:lang w:val="en-GB"/>
        </w:rPr>
        <w:t xml:space="preserve"> funding commitments for such data collection is not prioritised. A key question for government and development partner</w:t>
      </w:r>
      <w:r w:rsidR="00F11526">
        <w:rPr>
          <w:rFonts w:ascii="Calibri" w:eastAsia="Calibri" w:hAnsi="Calibri" w:cs="Calibri"/>
          <w:lang w:val="en-GB"/>
        </w:rPr>
        <w:t>s</w:t>
      </w:r>
      <w:r w:rsidRPr="00150682">
        <w:rPr>
          <w:rFonts w:ascii="Calibri" w:eastAsia="Calibri" w:hAnsi="Calibri" w:cs="Calibri"/>
          <w:lang w:val="en-GB"/>
        </w:rPr>
        <w:t xml:space="preserve"> is: how can student learning outcomes data be used to inform teaching quality when it is either non-existent or not fit-for-purpose? </w:t>
      </w:r>
    </w:p>
    <w:p w14:paraId="7554C9C3" w14:textId="2242039C" w:rsidR="00150682" w:rsidRPr="00150682"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 xml:space="preserve">The heart of the issue is addressed in the United Nations report </w:t>
      </w:r>
      <w:r w:rsidRPr="00150682">
        <w:rPr>
          <w:rFonts w:ascii="Calibri" w:eastAsia="Calibri" w:hAnsi="Calibri" w:cs="Calibri"/>
          <w:i/>
          <w:lang w:val="en-GB"/>
        </w:rPr>
        <w:t>A World that Counts</w:t>
      </w:r>
      <w:r w:rsidRPr="00150682">
        <w:rPr>
          <w:rFonts w:ascii="Calibri" w:eastAsia="Calibri" w:hAnsi="Calibri" w:cs="Calibri"/>
          <w:lang w:val="en-GB"/>
        </w:rPr>
        <w:t xml:space="preserve"> (2014), which highlights the significant inequalities in access to data and the ability to use data. </w:t>
      </w:r>
      <w:r w:rsidR="00E26605">
        <w:rPr>
          <w:rFonts w:ascii="Calibri" w:eastAsia="Calibri" w:hAnsi="Calibri" w:cs="Calibri"/>
          <w:lang w:val="en-GB"/>
        </w:rPr>
        <w:t>T</w:t>
      </w:r>
      <w:r w:rsidRPr="00150682">
        <w:rPr>
          <w:rFonts w:ascii="Calibri" w:eastAsia="Calibri" w:hAnsi="Calibri" w:cs="Calibri"/>
          <w:lang w:val="en-GB"/>
        </w:rPr>
        <w:t xml:space="preserve">he report notes that important outcomes are often not measured – with whole groups of people sometimes left out. In exploring the use of data in measuring the SDGs, </w:t>
      </w:r>
      <w:proofErr w:type="spellStart"/>
      <w:r w:rsidRPr="00150682">
        <w:rPr>
          <w:rFonts w:ascii="Calibri" w:eastAsia="Calibri" w:hAnsi="Calibri" w:cs="Calibri"/>
          <w:lang w:val="en-GB"/>
        </w:rPr>
        <w:t>MacFeely</w:t>
      </w:r>
      <w:proofErr w:type="spellEnd"/>
      <w:r w:rsidRPr="00150682">
        <w:rPr>
          <w:rFonts w:ascii="Calibri" w:eastAsia="Calibri" w:hAnsi="Calibri" w:cs="Calibri"/>
          <w:lang w:val="en-GB"/>
        </w:rPr>
        <w:t xml:space="preserve"> (2018) raises the issue of ownership</w:t>
      </w:r>
      <w:r w:rsidR="00E26605">
        <w:rPr>
          <w:rFonts w:ascii="Calibri" w:eastAsia="Calibri" w:hAnsi="Calibri" w:cs="Calibri"/>
          <w:lang w:val="en-GB"/>
        </w:rPr>
        <w:t xml:space="preserve"> </w:t>
      </w:r>
      <w:r w:rsidRPr="00150682">
        <w:rPr>
          <w:rFonts w:ascii="Calibri" w:eastAsia="Calibri" w:hAnsi="Calibri" w:cs="Calibri"/>
          <w:lang w:val="en-GB"/>
        </w:rPr>
        <w:t>of source data</w:t>
      </w:r>
      <w:r w:rsidR="00E26605">
        <w:rPr>
          <w:rFonts w:ascii="Calibri" w:eastAsia="Calibri" w:hAnsi="Calibri" w:cs="Calibri"/>
          <w:lang w:val="en-GB"/>
        </w:rPr>
        <w:t>, which can have</w:t>
      </w:r>
      <w:r w:rsidRPr="00150682">
        <w:rPr>
          <w:rFonts w:ascii="Calibri" w:eastAsia="Calibri" w:hAnsi="Calibri" w:cs="Calibri"/>
          <w:lang w:val="en-GB"/>
        </w:rPr>
        <w:t xml:space="preserve"> implications </w:t>
      </w:r>
      <w:r w:rsidR="00E26605">
        <w:rPr>
          <w:rFonts w:ascii="Calibri" w:eastAsia="Calibri" w:hAnsi="Calibri" w:cs="Calibri"/>
          <w:lang w:val="en-GB"/>
        </w:rPr>
        <w:t>the availability of collected</w:t>
      </w:r>
      <w:r w:rsidRPr="00150682">
        <w:rPr>
          <w:rFonts w:ascii="Calibri" w:eastAsia="Calibri" w:hAnsi="Calibri" w:cs="Calibri"/>
          <w:lang w:val="en-GB"/>
        </w:rPr>
        <w:t xml:space="preserve"> national student learning outcomes data to either government or research organisations. </w:t>
      </w:r>
    </w:p>
    <w:p w14:paraId="4B3C43A6" w14:textId="7E507DF6" w:rsidR="00602AF1"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 xml:space="preserve">Further, Pritchett (2015) </w:t>
      </w:r>
      <w:r w:rsidR="00E26605">
        <w:rPr>
          <w:rFonts w:ascii="Calibri" w:eastAsia="Calibri" w:hAnsi="Calibri" w:cs="Calibri"/>
          <w:lang w:val="en-GB"/>
        </w:rPr>
        <w:t>raises that</w:t>
      </w:r>
      <w:r w:rsidRPr="00150682">
        <w:rPr>
          <w:rFonts w:ascii="Calibri" w:eastAsia="Calibri" w:hAnsi="Calibri" w:cs="Calibri"/>
          <w:lang w:val="en-GB"/>
        </w:rPr>
        <w:t xml:space="preserve"> in many education systems, “There is often no delegation, finance, information or motivation connected with student learning at all” (p. 33). The implication of this lack of data is the absence of any feedback loop </w:t>
      </w:r>
      <w:r w:rsidR="00E26605">
        <w:rPr>
          <w:rFonts w:ascii="Calibri" w:eastAsia="Calibri" w:hAnsi="Calibri" w:cs="Calibri"/>
          <w:lang w:val="en-GB"/>
        </w:rPr>
        <w:t xml:space="preserve">on student learning to inform </w:t>
      </w:r>
      <w:r w:rsidRPr="00150682">
        <w:rPr>
          <w:rFonts w:ascii="Calibri" w:eastAsia="Calibri" w:hAnsi="Calibri" w:cs="Calibri"/>
          <w:lang w:val="en-GB"/>
        </w:rPr>
        <w:t xml:space="preserve">what is or what is not working in a system. </w:t>
      </w:r>
    </w:p>
    <w:p w14:paraId="50CD2996" w14:textId="4496355D" w:rsidR="00150682" w:rsidRPr="00150682"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 xml:space="preserve">The larger question, then, is how to frame a research agenda into the impacts of system reform, and one that includes data about student learning that is useful for policymakers, </w:t>
      </w:r>
      <w:proofErr w:type="gramStart"/>
      <w:r w:rsidRPr="00150682">
        <w:rPr>
          <w:rFonts w:ascii="Calibri" w:eastAsia="Calibri" w:hAnsi="Calibri" w:cs="Calibri"/>
          <w:lang w:val="en-GB"/>
        </w:rPr>
        <w:t>teachers</w:t>
      </w:r>
      <w:proofErr w:type="gramEnd"/>
      <w:r w:rsidRPr="00150682">
        <w:rPr>
          <w:rFonts w:ascii="Calibri" w:eastAsia="Calibri" w:hAnsi="Calibri" w:cs="Calibri"/>
          <w:lang w:val="en-GB"/>
        </w:rPr>
        <w:t xml:space="preserve"> and principals. </w:t>
      </w:r>
    </w:p>
    <w:p w14:paraId="69C1411F" w14:textId="3A1C52E6" w:rsidR="00150682" w:rsidRPr="00150682" w:rsidRDefault="00150682" w:rsidP="00150682">
      <w:pPr>
        <w:spacing w:after="120" w:line="240" w:lineRule="auto"/>
        <w:rPr>
          <w:rFonts w:ascii="Calibri" w:eastAsia="Calibri" w:hAnsi="Calibri" w:cs="Calibri"/>
          <w:lang w:val="en-GB"/>
        </w:rPr>
      </w:pPr>
      <w:r w:rsidRPr="00150682">
        <w:rPr>
          <w:rFonts w:ascii="Calibri" w:eastAsia="Calibri" w:hAnsi="Calibri" w:cs="Calibri"/>
          <w:lang w:val="en-GB"/>
        </w:rPr>
        <w:t>The experience of collecting existing and new data in the multi-year teacher development studies confirms the</w:t>
      </w:r>
      <w:r w:rsidR="00E26605">
        <w:rPr>
          <w:rFonts w:ascii="Calibri" w:eastAsia="Calibri" w:hAnsi="Calibri" w:cs="Calibri"/>
          <w:lang w:val="en-GB"/>
        </w:rPr>
        <w:t>se</w:t>
      </w:r>
      <w:r w:rsidRPr="00150682">
        <w:rPr>
          <w:rFonts w:ascii="Calibri" w:eastAsia="Calibri" w:hAnsi="Calibri" w:cs="Calibri"/>
          <w:lang w:val="en-GB"/>
        </w:rPr>
        <w:t xml:space="preserve"> challenges. While Timor-Leste currently does not have a national assessment strategy in place, the goals of ensuring quality and equitable access to education for all is central to the country’s </w:t>
      </w:r>
      <w:r w:rsidRPr="00150682">
        <w:rPr>
          <w:rFonts w:ascii="Calibri" w:eastAsia="Calibri" w:hAnsi="Calibri" w:cs="Calibri"/>
          <w:i/>
          <w:lang w:val="en-GB"/>
        </w:rPr>
        <w:t>National Education Strategic Plan 2011-2030</w:t>
      </w:r>
      <w:r w:rsidRPr="00150682">
        <w:rPr>
          <w:rFonts w:ascii="Calibri" w:eastAsia="Calibri" w:hAnsi="Calibri" w:cs="Calibri"/>
          <w:lang w:val="en-GB"/>
        </w:rPr>
        <w:t xml:space="preserve">. In the absence of an assessment system being in place, efforts have been made in Timor-Leste by development partners to collect project-based student learning outcomes data (Wong, 2018). </w:t>
      </w:r>
    </w:p>
    <w:p w14:paraId="4A1BD568" w14:textId="77777777" w:rsidR="006B530B" w:rsidRDefault="00F11526" w:rsidP="00150682">
      <w:pPr>
        <w:spacing w:after="120" w:line="240" w:lineRule="auto"/>
        <w:rPr>
          <w:rFonts w:ascii="Calibri" w:eastAsia="Calibri" w:hAnsi="Calibri" w:cs="Calibri"/>
          <w:lang w:val="en-GB"/>
        </w:rPr>
      </w:pPr>
      <w:r>
        <w:rPr>
          <w:rFonts w:ascii="Calibri" w:eastAsia="Calibri" w:hAnsi="Calibri" w:cs="Calibri"/>
          <w:lang w:val="en-GB"/>
        </w:rPr>
        <w:t xml:space="preserve">In </w:t>
      </w:r>
      <w:r w:rsidR="00150682" w:rsidRPr="00150682">
        <w:rPr>
          <w:rFonts w:ascii="Calibri" w:eastAsia="Calibri" w:hAnsi="Calibri" w:cs="Calibri"/>
          <w:lang w:val="en-GB"/>
        </w:rPr>
        <w:t>Laos</w:t>
      </w:r>
      <w:r>
        <w:rPr>
          <w:rFonts w:ascii="Calibri" w:eastAsia="Calibri" w:hAnsi="Calibri" w:cs="Calibri"/>
          <w:lang w:val="en-GB"/>
        </w:rPr>
        <w:t>, the lack of existing assessment data at the system level, provided an opportunity for the</w:t>
      </w:r>
      <w:r w:rsidR="00150682" w:rsidRPr="00150682">
        <w:rPr>
          <w:rFonts w:ascii="Calibri" w:eastAsia="Calibri" w:hAnsi="Calibri" w:cs="Calibri"/>
          <w:lang w:val="en-GB"/>
        </w:rPr>
        <w:t xml:space="preserve"> teacher development study</w:t>
      </w:r>
      <w:r w:rsidR="004A0139">
        <w:rPr>
          <w:rFonts w:ascii="Calibri" w:eastAsia="Calibri" w:hAnsi="Calibri" w:cs="Calibri"/>
          <w:lang w:val="en-GB"/>
        </w:rPr>
        <w:t xml:space="preserve"> </w:t>
      </w:r>
      <w:r w:rsidR="00150682" w:rsidRPr="00150682">
        <w:rPr>
          <w:rFonts w:ascii="Calibri" w:eastAsia="Calibri" w:hAnsi="Calibri" w:cs="Calibri"/>
          <w:lang w:val="en-GB"/>
        </w:rPr>
        <w:t>to design a fit-for</w:t>
      </w:r>
      <w:r w:rsidR="000E79B6">
        <w:rPr>
          <w:rFonts w:ascii="Calibri" w:eastAsia="Calibri" w:hAnsi="Calibri" w:cs="Calibri"/>
          <w:lang w:val="en-GB"/>
        </w:rPr>
        <w:t>-</w:t>
      </w:r>
      <w:r w:rsidR="00150682" w:rsidRPr="00150682">
        <w:rPr>
          <w:rFonts w:ascii="Calibri" w:eastAsia="Calibri" w:hAnsi="Calibri" w:cs="Calibri"/>
          <w:lang w:val="en-GB"/>
        </w:rPr>
        <w:t>purpose student learning assessment. In this way, the Laos study essentially fills a gap in information a</w:t>
      </w:r>
      <w:r w:rsidR="006B530B">
        <w:rPr>
          <w:rFonts w:ascii="Calibri" w:eastAsia="Calibri" w:hAnsi="Calibri" w:cs="Calibri"/>
          <w:lang w:val="en-GB"/>
        </w:rPr>
        <w:t>bout student learning outcomes.</w:t>
      </w:r>
    </w:p>
    <w:p w14:paraId="14DFCF34" w14:textId="1B3A2E24" w:rsidR="00150682" w:rsidRPr="00150682" w:rsidRDefault="005E7B20" w:rsidP="00150682">
      <w:pPr>
        <w:spacing w:after="120" w:line="240" w:lineRule="auto"/>
        <w:rPr>
          <w:rFonts w:ascii="Calibri" w:eastAsia="Calibri" w:hAnsi="Calibri" w:cs="Calibri"/>
          <w:lang w:val="en-GB"/>
        </w:rPr>
      </w:pPr>
      <w:r>
        <w:rPr>
          <w:rFonts w:ascii="Calibri" w:eastAsia="Calibri" w:hAnsi="Calibri" w:cs="Calibri"/>
          <w:lang w:val="en-GB"/>
        </w:rPr>
        <w:lastRenderedPageBreak/>
        <w:t>In</w:t>
      </w:r>
      <w:r w:rsidR="00150682" w:rsidRPr="00150682">
        <w:rPr>
          <w:rFonts w:ascii="Calibri" w:eastAsia="Calibri" w:hAnsi="Calibri" w:cs="Calibri"/>
          <w:lang w:val="en-GB"/>
        </w:rPr>
        <w:t xml:space="preserve"> Vanuatu</w:t>
      </w:r>
      <w:r>
        <w:rPr>
          <w:rFonts w:ascii="Calibri" w:eastAsia="Calibri" w:hAnsi="Calibri" w:cs="Calibri"/>
          <w:lang w:val="en-GB"/>
        </w:rPr>
        <w:t>, the</w:t>
      </w:r>
      <w:r w:rsidR="00150682" w:rsidRPr="00150682">
        <w:rPr>
          <w:rFonts w:ascii="Calibri" w:eastAsia="Calibri" w:hAnsi="Calibri" w:cs="Calibri"/>
          <w:lang w:val="en-GB"/>
        </w:rPr>
        <w:t xml:space="preserve"> multi-year</w:t>
      </w:r>
      <w:r>
        <w:rPr>
          <w:rFonts w:ascii="Calibri" w:eastAsia="Calibri" w:hAnsi="Calibri" w:cs="Calibri"/>
          <w:lang w:val="en-GB"/>
        </w:rPr>
        <w:t xml:space="preserve"> teacher </w:t>
      </w:r>
      <w:r w:rsidR="00602AF1">
        <w:rPr>
          <w:rFonts w:ascii="Calibri" w:eastAsia="Calibri" w:hAnsi="Calibri" w:cs="Calibri"/>
          <w:lang w:val="en-GB"/>
        </w:rPr>
        <w:t>development</w:t>
      </w:r>
      <w:r w:rsidR="00150682" w:rsidRPr="00150682">
        <w:rPr>
          <w:rFonts w:ascii="Calibri" w:eastAsia="Calibri" w:hAnsi="Calibri" w:cs="Calibri"/>
          <w:lang w:val="en-GB"/>
        </w:rPr>
        <w:t xml:space="preserve"> study demonstrates how the country’s implementation of a nationally standardised assessment, as well as its participation in a regional assessment, can </w:t>
      </w:r>
      <w:r w:rsidR="00150682" w:rsidRPr="00150682">
        <w:rPr>
          <w:rFonts w:ascii="Calibri" w:eastAsia="Calibri" w:hAnsi="Calibri" w:cs="Calibri"/>
          <w:lang w:val="en-GB"/>
        </w:rPr>
        <w:t>provide much needed valid and reliable learning outcomes data to inform policy and programming choices.</w:t>
      </w:r>
      <w:r w:rsidR="00E60A56" w:rsidRPr="00150682">
        <w:rPr>
          <w:rFonts w:ascii="Calibri" w:eastAsia="Calibri" w:hAnsi="Calibri" w:cs="Calibri"/>
          <w:lang w:val="en-GB"/>
        </w:rPr>
        <w:t xml:space="preserve"> </w:t>
      </w:r>
    </w:p>
    <w:p w14:paraId="33EEA8EE" w14:textId="1DFD7D9C" w:rsidR="00487757" w:rsidRPr="00886AF2" w:rsidRDefault="00487757" w:rsidP="002E7DD2">
      <w:pPr>
        <w:spacing w:after="220"/>
        <w:rPr>
          <w:rFonts w:cstheme="minorHAnsi"/>
        </w:rPr>
      </w:pPr>
      <w:r w:rsidRPr="00886AF2">
        <w:rPr>
          <w:rFonts w:cstheme="minorHAnsi"/>
        </w:rPr>
        <w:br w:type="page"/>
      </w:r>
    </w:p>
    <w:p w14:paraId="6FCD5758" w14:textId="77777777" w:rsidR="00150682" w:rsidRDefault="00150682" w:rsidP="00487757">
      <w:pPr>
        <w:pStyle w:val="Heading1"/>
        <w:rPr>
          <w:rFonts w:cstheme="minorHAnsi"/>
        </w:rPr>
        <w:sectPr w:rsidR="00150682" w:rsidSect="00150682">
          <w:type w:val="continuous"/>
          <w:pgSz w:w="11906" w:h="16838"/>
          <w:pgMar w:top="1440" w:right="1304" w:bottom="1702" w:left="1304" w:header="709" w:footer="709" w:gutter="0"/>
          <w:cols w:num="2" w:space="710"/>
          <w:docGrid w:linePitch="360"/>
        </w:sectPr>
      </w:pPr>
    </w:p>
    <w:p w14:paraId="0E7D7587" w14:textId="77777777" w:rsidR="00745A63" w:rsidRDefault="009230E9" w:rsidP="003D56CD">
      <w:pPr>
        <w:pStyle w:val="Heading1"/>
        <w:rPr>
          <w:rFonts w:cstheme="minorHAnsi"/>
        </w:rPr>
        <w:sectPr w:rsidR="00745A63" w:rsidSect="00745A63">
          <w:type w:val="continuous"/>
          <w:pgSz w:w="11906" w:h="16838"/>
          <w:pgMar w:top="1440" w:right="1304" w:bottom="1702" w:left="1304" w:header="709" w:footer="709" w:gutter="0"/>
          <w:cols w:space="710"/>
          <w:docGrid w:linePitch="360"/>
        </w:sectPr>
      </w:pPr>
      <w:r>
        <w:rPr>
          <w:rFonts w:cstheme="minorHAnsi"/>
        </w:rPr>
        <w:lastRenderedPageBreak/>
        <w:t>The need</w:t>
      </w:r>
      <w:r w:rsidR="007747EC">
        <w:rPr>
          <w:rFonts w:cstheme="minorHAnsi"/>
        </w:rPr>
        <w:t xml:space="preserve"> for</w:t>
      </w:r>
      <w:r>
        <w:rPr>
          <w:rFonts w:cstheme="minorHAnsi"/>
        </w:rPr>
        <w:t xml:space="preserve"> systemic collection of student learning outcome data</w:t>
      </w:r>
    </w:p>
    <w:p w14:paraId="66E338D4" w14:textId="046B5CCF" w:rsidR="008A0E87" w:rsidRDefault="00060D35" w:rsidP="00745A63">
      <w:pPr>
        <w:pStyle w:val="Heading2"/>
        <w:rPr>
          <w:lang w:val="en-GB"/>
        </w:rPr>
      </w:pPr>
      <w:r>
        <w:rPr>
          <w:lang w:val="en-GB"/>
        </w:rPr>
        <w:t xml:space="preserve">Overview of the </w:t>
      </w:r>
      <w:r w:rsidR="008A0E87">
        <w:rPr>
          <w:lang w:val="en-GB"/>
        </w:rPr>
        <w:t xml:space="preserve">Timor-Leste </w:t>
      </w:r>
      <w:r>
        <w:rPr>
          <w:lang w:val="en-GB"/>
        </w:rPr>
        <w:t>study</w:t>
      </w:r>
    </w:p>
    <w:p w14:paraId="74B9DA41" w14:textId="34F50B26" w:rsidR="00150682" w:rsidRPr="00150682" w:rsidRDefault="00150682" w:rsidP="00150682">
      <w:pPr>
        <w:rPr>
          <w:rFonts w:cstheme="minorHAnsi"/>
          <w:lang w:val="en-GB"/>
        </w:rPr>
      </w:pPr>
      <w:r w:rsidRPr="00150682">
        <w:rPr>
          <w:rFonts w:cstheme="minorHAnsi"/>
          <w:lang w:val="en-GB"/>
        </w:rPr>
        <w:t>The Timor-Leste teacher development study is a multi-year study</w:t>
      </w:r>
      <w:r w:rsidR="000E79B6">
        <w:rPr>
          <w:rFonts w:cstheme="minorHAnsi"/>
          <w:lang w:val="en-GB"/>
        </w:rPr>
        <w:t>, investigating</w:t>
      </w:r>
      <w:r w:rsidRPr="00150682">
        <w:rPr>
          <w:rFonts w:cstheme="minorHAnsi"/>
          <w:lang w:val="en-GB"/>
        </w:rPr>
        <w:t xml:space="preserve"> DFAT’s support </w:t>
      </w:r>
      <w:r w:rsidR="000E79B6">
        <w:rPr>
          <w:rFonts w:cstheme="minorHAnsi"/>
          <w:lang w:val="en-GB"/>
        </w:rPr>
        <w:t xml:space="preserve">to </w:t>
      </w:r>
      <w:r w:rsidRPr="00150682">
        <w:rPr>
          <w:rFonts w:cstheme="minorHAnsi"/>
          <w:lang w:val="en-GB"/>
        </w:rPr>
        <w:t>the Ministry of Education, Youth and Sport (</w:t>
      </w:r>
      <w:proofErr w:type="spellStart"/>
      <w:r w:rsidRPr="00150682">
        <w:rPr>
          <w:rFonts w:cstheme="minorHAnsi"/>
          <w:lang w:val="en-GB"/>
        </w:rPr>
        <w:t>MoEYS</w:t>
      </w:r>
      <w:proofErr w:type="spellEnd"/>
      <w:r w:rsidRPr="00150682">
        <w:rPr>
          <w:rFonts w:cstheme="minorHAnsi"/>
          <w:lang w:val="en-GB"/>
        </w:rPr>
        <w:t xml:space="preserve">) through building leadership and teacher capacity to implement the </w:t>
      </w:r>
      <w:r w:rsidRPr="00150682">
        <w:rPr>
          <w:rFonts w:cstheme="minorHAnsi"/>
          <w:i/>
          <w:lang w:val="en-GB"/>
        </w:rPr>
        <w:t>National Basic Education Curriculum</w:t>
      </w:r>
      <w:r w:rsidRPr="00150682">
        <w:rPr>
          <w:rFonts w:cstheme="minorHAnsi"/>
          <w:lang w:val="en-GB"/>
        </w:rPr>
        <w:t xml:space="preserve"> as part of the </w:t>
      </w:r>
      <w:proofErr w:type="spellStart"/>
      <w:r w:rsidRPr="00150682">
        <w:rPr>
          <w:rFonts w:cstheme="minorHAnsi"/>
          <w:lang w:val="en-GB"/>
        </w:rPr>
        <w:t>Apoio</w:t>
      </w:r>
      <w:proofErr w:type="spellEnd"/>
      <w:r w:rsidRPr="00150682">
        <w:rPr>
          <w:rFonts w:cstheme="minorHAnsi"/>
          <w:lang w:val="en-GB"/>
        </w:rPr>
        <w:t xml:space="preserve"> </w:t>
      </w:r>
      <w:proofErr w:type="spellStart"/>
      <w:r w:rsidRPr="00150682">
        <w:rPr>
          <w:rFonts w:cstheme="minorHAnsi"/>
          <w:lang w:val="en-GB"/>
        </w:rPr>
        <w:t>Lideransa</w:t>
      </w:r>
      <w:proofErr w:type="spellEnd"/>
      <w:r w:rsidRPr="00150682">
        <w:rPr>
          <w:rFonts w:cstheme="minorHAnsi"/>
          <w:lang w:val="en-GB"/>
        </w:rPr>
        <w:t xml:space="preserve"> </w:t>
      </w:r>
      <w:proofErr w:type="spellStart"/>
      <w:r w:rsidRPr="00150682">
        <w:rPr>
          <w:rFonts w:cstheme="minorHAnsi"/>
          <w:lang w:val="en-GB"/>
        </w:rPr>
        <w:t>liuhusi</w:t>
      </w:r>
      <w:proofErr w:type="spellEnd"/>
      <w:r w:rsidRPr="00150682">
        <w:rPr>
          <w:rFonts w:cstheme="minorHAnsi"/>
          <w:lang w:val="en-GB"/>
        </w:rPr>
        <w:t xml:space="preserve"> </w:t>
      </w:r>
      <w:proofErr w:type="spellStart"/>
      <w:r w:rsidRPr="00150682">
        <w:rPr>
          <w:rFonts w:cstheme="minorHAnsi"/>
          <w:lang w:val="en-GB"/>
        </w:rPr>
        <w:t>Mentoria</w:t>
      </w:r>
      <w:proofErr w:type="spellEnd"/>
      <w:r w:rsidRPr="00150682">
        <w:rPr>
          <w:rFonts w:cstheme="minorHAnsi"/>
          <w:lang w:val="en-GB"/>
        </w:rPr>
        <w:t xml:space="preserve"> no </w:t>
      </w:r>
      <w:proofErr w:type="spellStart"/>
      <w:r w:rsidRPr="00150682">
        <w:rPr>
          <w:rFonts w:cstheme="minorHAnsi"/>
          <w:lang w:val="en-GB"/>
        </w:rPr>
        <w:t>Aprendizajen</w:t>
      </w:r>
      <w:proofErr w:type="spellEnd"/>
      <w:r w:rsidRPr="00150682">
        <w:rPr>
          <w:rFonts w:cstheme="minorHAnsi"/>
          <w:lang w:val="en-GB"/>
        </w:rPr>
        <w:t xml:space="preserve"> (ALMA)</w:t>
      </w:r>
      <w:r w:rsidR="00311D5F">
        <w:rPr>
          <w:rFonts w:cstheme="minorHAnsi"/>
          <w:lang w:val="en-GB"/>
        </w:rPr>
        <w:t xml:space="preserve"> program</w:t>
      </w:r>
      <w:r w:rsidRPr="00150682">
        <w:rPr>
          <w:rFonts w:cstheme="minorHAnsi"/>
          <w:lang w:val="en-GB"/>
        </w:rPr>
        <w:t>.</w:t>
      </w:r>
      <w:r w:rsidRPr="00150682">
        <w:rPr>
          <w:rFonts w:cstheme="minorHAnsi"/>
          <w:vertAlign w:val="superscript"/>
          <w:lang w:val="en-GB"/>
        </w:rPr>
        <w:footnoteReference w:id="1"/>
      </w:r>
      <w:r w:rsidRPr="00150682">
        <w:rPr>
          <w:rFonts w:cstheme="minorHAnsi"/>
          <w:lang w:val="en-GB"/>
        </w:rPr>
        <w:t xml:space="preserve"> </w:t>
      </w:r>
    </w:p>
    <w:p w14:paraId="3C471E32" w14:textId="19E52968" w:rsidR="00150682" w:rsidRPr="00150682" w:rsidRDefault="00150682" w:rsidP="006B530B">
      <w:pPr>
        <w:rPr>
          <w:rFonts w:cstheme="minorHAnsi"/>
          <w:lang w:val="en-GB"/>
        </w:rPr>
      </w:pPr>
      <w:r w:rsidRPr="00150682">
        <w:rPr>
          <w:rFonts w:cstheme="minorHAnsi"/>
          <w:lang w:val="en-GB"/>
        </w:rPr>
        <w:t xml:space="preserve">The overall aim of the study is to investigate the extent to which the investment has improved teaching quality and student learning. </w:t>
      </w:r>
    </w:p>
    <w:p w14:paraId="0F5E3A7C" w14:textId="25925616" w:rsidR="00150682" w:rsidRPr="00150682" w:rsidRDefault="00E26605" w:rsidP="00150682">
      <w:pPr>
        <w:rPr>
          <w:rFonts w:cstheme="minorHAnsi"/>
          <w:lang w:val="en-GB"/>
        </w:rPr>
      </w:pPr>
      <w:r>
        <w:rPr>
          <w:rFonts w:cstheme="minorHAnsi"/>
          <w:lang w:val="en-GB"/>
        </w:rPr>
        <w:t>A</w:t>
      </w:r>
      <w:r w:rsidR="00150682" w:rsidRPr="00150682">
        <w:rPr>
          <w:rFonts w:cstheme="minorHAnsi"/>
          <w:lang w:val="en-GB"/>
        </w:rPr>
        <w:t xml:space="preserve"> key feature</w:t>
      </w:r>
      <w:r>
        <w:rPr>
          <w:rFonts w:cstheme="minorHAnsi"/>
          <w:lang w:val="en-GB"/>
        </w:rPr>
        <w:t xml:space="preserve"> of the study</w:t>
      </w:r>
      <w:r w:rsidR="00150682" w:rsidRPr="00150682">
        <w:rPr>
          <w:rFonts w:cstheme="minorHAnsi"/>
          <w:lang w:val="en-GB"/>
        </w:rPr>
        <w:t xml:space="preserve"> is its multi-year duration</w:t>
      </w:r>
      <w:r>
        <w:rPr>
          <w:rFonts w:cstheme="minorHAnsi"/>
          <w:lang w:val="en-GB"/>
        </w:rPr>
        <w:t xml:space="preserve">. This feature </w:t>
      </w:r>
      <w:r w:rsidR="00150682" w:rsidRPr="00150682">
        <w:rPr>
          <w:rFonts w:cstheme="minorHAnsi"/>
          <w:lang w:val="en-GB"/>
        </w:rPr>
        <w:t xml:space="preserve">acknowledges the complex nature of teacher learning and that sustained change in teaching practice takes </w:t>
      </w:r>
      <w:proofErr w:type="gramStart"/>
      <w:r w:rsidR="00150682" w:rsidRPr="00150682">
        <w:rPr>
          <w:rFonts w:cstheme="minorHAnsi"/>
          <w:lang w:val="en-GB"/>
        </w:rPr>
        <w:t>time</w:t>
      </w:r>
      <w:r>
        <w:rPr>
          <w:rFonts w:cstheme="minorHAnsi"/>
          <w:lang w:val="en-GB"/>
        </w:rPr>
        <w:t>, and</w:t>
      </w:r>
      <w:proofErr w:type="gramEnd"/>
      <w:r w:rsidRPr="00E26605">
        <w:rPr>
          <w:rFonts w:cstheme="minorHAnsi"/>
          <w:lang w:val="en-GB"/>
        </w:rPr>
        <w:t xml:space="preserve"> </w:t>
      </w:r>
      <w:r w:rsidRPr="00150682">
        <w:rPr>
          <w:rFonts w:cstheme="minorHAnsi"/>
          <w:lang w:val="en-GB"/>
        </w:rPr>
        <w:t>enables an agile and adaptive research approach that is responsive to context</w:t>
      </w:r>
      <w:r w:rsidR="00150682" w:rsidRPr="00150682">
        <w:rPr>
          <w:rFonts w:cstheme="minorHAnsi"/>
          <w:lang w:val="en-GB"/>
        </w:rPr>
        <w:t xml:space="preserve">. </w:t>
      </w:r>
      <w:r>
        <w:rPr>
          <w:rFonts w:cstheme="minorHAnsi"/>
          <w:lang w:val="en-GB"/>
        </w:rPr>
        <w:t>It also recognises</w:t>
      </w:r>
      <w:r w:rsidR="00150682" w:rsidRPr="00150682">
        <w:rPr>
          <w:rFonts w:cstheme="minorHAnsi"/>
          <w:lang w:val="en-GB"/>
        </w:rPr>
        <w:t xml:space="preserve"> the scale of the ALMA program </w:t>
      </w:r>
      <w:proofErr w:type="gramStart"/>
      <w:r w:rsidR="00150682" w:rsidRPr="00150682">
        <w:rPr>
          <w:rFonts w:cstheme="minorHAnsi"/>
          <w:lang w:val="en-GB"/>
        </w:rPr>
        <w:t>taking into account</w:t>
      </w:r>
      <w:proofErr w:type="gramEnd"/>
      <w:r w:rsidR="00150682" w:rsidRPr="00150682">
        <w:rPr>
          <w:rFonts w:cstheme="minorHAnsi"/>
          <w:lang w:val="en-GB"/>
        </w:rPr>
        <w:t xml:space="preserve"> the plan for phased national implementation over a period of several years (</w:t>
      </w:r>
      <w:r>
        <w:rPr>
          <w:rFonts w:cstheme="minorHAnsi"/>
          <w:lang w:val="en-GB"/>
        </w:rPr>
        <w:t>possibly</w:t>
      </w:r>
      <w:r w:rsidR="00150682" w:rsidRPr="00150682">
        <w:rPr>
          <w:rFonts w:cstheme="minorHAnsi"/>
          <w:lang w:val="en-GB"/>
        </w:rPr>
        <w:t xml:space="preserve"> to 2025). It is designed both as a study of the impact of the first five-year implementation of ALMA, and as research to inform the ongoing development and implementation of ALMA. </w:t>
      </w:r>
    </w:p>
    <w:p w14:paraId="2CF6641D" w14:textId="28961FDE" w:rsidR="00150682" w:rsidRPr="00150682" w:rsidRDefault="00E26605" w:rsidP="00150682">
      <w:pPr>
        <w:rPr>
          <w:rFonts w:cstheme="minorHAnsi"/>
          <w:lang w:val="en-GB"/>
        </w:rPr>
      </w:pPr>
      <w:r w:rsidRPr="00150682">
        <w:rPr>
          <w:rFonts w:cstheme="minorHAnsi"/>
          <w:lang w:val="en-GB"/>
        </w:rPr>
        <w:t>This study uses a mixed methods approach</w:t>
      </w:r>
      <w:r>
        <w:rPr>
          <w:rFonts w:cstheme="minorHAnsi"/>
          <w:lang w:val="en-GB"/>
        </w:rPr>
        <w:t xml:space="preserve">. </w:t>
      </w:r>
      <w:r w:rsidR="00311D5F">
        <w:rPr>
          <w:rFonts w:cstheme="minorHAnsi"/>
          <w:lang w:val="en-GB"/>
        </w:rPr>
        <w:t xml:space="preserve">A scoping visit to </w:t>
      </w:r>
      <w:r w:rsidR="00150682" w:rsidRPr="00150682">
        <w:rPr>
          <w:rFonts w:cstheme="minorHAnsi"/>
          <w:lang w:val="en-GB"/>
        </w:rPr>
        <w:t xml:space="preserve">review the teacher development programs and the planned data collection suggested there were existing student learning outcome data sets collected and analysed as parts of various development projects. However, further analysis of these </w:t>
      </w:r>
      <w:r w:rsidR="00150682" w:rsidRPr="00150682">
        <w:rPr>
          <w:rFonts w:cstheme="minorHAnsi"/>
          <w:lang w:val="en-GB"/>
        </w:rPr>
        <w:t>datasets in 2017-2018 by the study team found the following</w:t>
      </w:r>
      <w:r w:rsidR="001D2E9B">
        <w:rPr>
          <w:rFonts w:cstheme="minorHAnsi"/>
          <w:lang w:val="en-GB"/>
        </w:rPr>
        <w:t xml:space="preserve"> challenges</w:t>
      </w:r>
      <w:r w:rsidR="00150682" w:rsidRPr="00150682">
        <w:rPr>
          <w:rFonts w:cstheme="minorHAnsi"/>
          <w:lang w:val="en-GB"/>
        </w:rPr>
        <w:t>:</w:t>
      </w:r>
    </w:p>
    <w:p w14:paraId="036B87CD" w14:textId="2D811A70" w:rsidR="00150682" w:rsidRPr="00150682" w:rsidRDefault="001D2E9B" w:rsidP="003D56CD">
      <w:pPr>
        <w:numPr>
          <w:ilvl w:val="0"/>
          <w:numId w:val="16"/>
        </w:numPr>
        <w:ind w:left="454" w:hanging="284"/>
        <w:rPr>
          <w:rFonts w:cstheme="minorHAnsi"/>
          <w:lang w:val="en-GB"/>
        </w:rPr>
      </w:pPr>
      <w:r>
        <w:rPr>
          <w:rFonts w:cstheme="minorHAnsi"/>
          <w:lang w:val="en-GB"/>
        </w:rPr>
        <w:t>L</w:t>
      </w:r>
      <w:r w:rsidR="00150682" w:rsidRPr="00150682">
        <w:rPr>
          <w:rFonts w:cstheme="minorHAnsi"/>
          <w:lang w:val="en-GB"/>
        </w:rPr>
        <w:t>ack of government ownership and archiving of data sets</w:t>
      </w:r>
      <w:r>
        <w:rPr>
          <w:rFonts w:cstheme="minorHAnsi"/>
          <w:lang w:val="en-GB"/>
        </w:rPr>
        <w:t>. D</w:t>
      </w:r>
      <w:r w:rsidR="00150682" w:rsidRPr="00150682">
        <w:rPr>
          <w:rFonts w:cstheme="minorHAnsi"/>
          <w:lang w:val="en-GB"/>
        </w:rPr>
        <w:t>ata sets were not stored properly, they were difficult to obtain from consulting organi</w:t>
      </w:r>
      <w:r w:rsidR="009608A1">
        <w:rPr>
          <w:rFonts w:cstheme="minorHAnsi"/>
          <w:lang w:val="en-GB"/>
        </w:rPr>
        <w:t>s</w:t>
      </w:r>
      <w:r w:rsidR="00150682" w:rsidRPr="00150682">
        <w:rPr>
          <w:rFonts w:cstheme="minorHAnsi"/>
          <w:lang w:val="en-GB"/>
        </w:rPr>
        <w:t>ations, and they were incomplete.</w:t>
      </w:r>
    </w:p>
    <w:p w14:paraId="5D6F7BA4" w14:textId="77777777" w:rsidR="00983032" w:rsidRDefault="008A0E87" w:rsidP="00745A63">
      <w:pPr>
        <w:numPr>
          <w:ilvl w:val="0"/>
          <w:numId w:val="16"/>
        </w:numPr>
        <w:ind w:left="454" w:hanging="284"/>
        <w:rPr>
          <w:rFonts w:cstheme="minorHAnsi"/>
          <w:lang w:val="en-GB"/>
        </w:rPr>
      </w:pPr>
      <w:r w:rsidRPr="00983032">
        <w:rPr>
          <w:rFonts w:cstheme="minorHAnsi"/>
          <w:lang w:val="en-GB"/>
        </w:rPr>
        <w:t>Validity of</w:t>
      </w:r>
      <w:r w:rsidR="00FA5CB8" w:rsidRPr="00983032">
        <w:rPr>
          <w:rFonts w:cstheme="minorHAnsi"/>
          <w:lang w:val="en-GB"/>
        </w:rPr>
        <w:t xml:space="preserve"> datasets. D</w:t>
      </w:r>
      <w:r w:rsidR="00150682" w:rsidRPr="00983032">
        <w:rPr>
          <w:rFonts w:cstheme="minorHAnsi"/>
          <w:lang w:val="en-GB"/>
        </w:rPr>
        <w:t xml:space="preserve">ata from one study was unable to be sourced, while data for another study used a different methodology which did not fully align with the teacher development study purposes. </w:t>
      </w:r>
    </w:p>
    <w:p w14:paraId="7B43C06B" w14:textId="18E71A06" w:rsidR="00983032" w:rsidRPr="00983032" w:rsidRDefault="00AA42ED" w:rsidP="00745A63">
      <w:pPr>
        <w:numPr>
          <w:ilvl w:val="0"/>
          <w:numId w:val="16"/>
        </w:numPr>
        <w:ind w:left="454" w:hanging="284"/>
        <w:rPr>
          <w:rFonts w:cstheme="minorHAnsi"/>
          <w:lang w:val="en-GB"/>
        </w:rPr>
      </w:pPr>
      <w:r w:rsidRPr="00983032">
        <w:rPr>
          <w:rFonts w:cstheme="minorHAnsi"/>
          <w:lang w:val="en-GB"/>
        </w:rPr>
        <w:t xml:space="preserve">Planned data collection did not take place. </w:t>
      </w:r>
      <w:r w:rsidR="00150682" w:rsidRPr="00983032">
        <w:rPr>
          <w:rFonts w:cstheme="minorHAnsi"/>
          <w:lang w:val="en-GB"/>
        </w:rPr>
        <w:t xml:space="preserve">There was confirmation that there would be no collection of the planned 2019 Early Grade Reading Assessment (EGRA) and no collection of the planned 2019 Curriculum Based Assessment (CBA); </w:t>
      </w:r>
      <w:proofErr w:type="gramStart"/>
      <w:r w:rsidR="00150682" w:rsidRPr="00983032">
        <w:rPr>
          <w:rFonts w:cstheme="minorHAnsi"/>
          <w:lang w:val="en-GB"/>
        </w:rPr>
        <w:t>and,</w:t>
      </w:r>
      <w:proofErr w:type="gramEnd"/>
      <w:r w:rsidR="00150682" w:rsidRPr="00983032">
        <w:rPr>
          <w:rFonts w:cstheme="minorHAnsi"/>
          <w:lang w:val="en-GB"/>
        </w:rPr>
        <w:t xml:space="preserve"> there was no intent to administer a national student assessment in the near future. </w:t>
      </w:r>
    </w:p>
    <w:p w14:paraId="3E739D65" w14:textId="7139B06B" w:rsidR="008A0E87" w:rsidRPr="00AA42ED" w:rsidRDefault="00150682" w:rsidP="00983032">
      <w:pPr>
        <w:rPr>
          <w:rFonts w:cstheme="minorHAnsi"/>
          <w:lang w:val="en-GB"/>
        </w:rPr>
      </w:pPr>
      <w:r w:rsidRPr="00AA42ED">
        <w:rPr>
          <w:rFonts w:cstheme="minorHAnsi"/>
          <w:lang w:val="en-GB"/>
        </w:rPr>
        <w:t>The impact of these data collections being cancelled for the foreseeable future meant there was a much smaller evidence base to report on the third research question related to student learning outcomes.</w:t>
      </w:r>
    </w:p>
    <w:p w14:paraId="1EA38ECD" w14:textId="582A1BA4" w:rsidR="009230E9" w:rsidRDefault="009230E9" w:rsidP="00983032">
      <w:pPr>
        <w:pStyle w:val="Heading2"/>
        <w:rPr>
          <w:lang w:val="en-GB"/>
        </w:rPr>
      </w:pPr>
      <w:r>
        <w:rPr>
          <w:lang w:val="en-GB"/>
        </w:rPr>
        <w:t xml:space="preserve">Implications of lack of systemic data </w:t>
      </w:r>
    </w:p>
    <w:p w14:paraId="2AEF15B3" w14:textId="44E322AA" w:rsidR="000F4D10" w:rsidRPr="000F4D10" w:rsidRDefault="000F4D10" w:rsidP="000F4D10">
      <w:pPr>
        <w:rPr>
          <w:rFonts w:cstheme="minorHAnsi"/>
          <w:lang w:val="en-GB"/>
        </w:rPr>
      </w:pPr>
      <w:r w:rsidRPr="000F4D10">
        <w:rPr>
          <w:rFonts w:cstheme="minorHAnsi"/>
          <w:lang w:val="en-GB"/>
        </w:rPr>
        <w:t xml:space="preserve">The challenge for the Timor-Leste study is that there is very little valid and reliable data on student learning outcomes. </w:t>
      </w:r>
      <w:r w:rsidR="000D25B4">
        <w:rPr>
          <w:rFonts w:cstheme="minorHAnsi"/>
          <w:lang w:val="en-GB"/>
        </w:rPr>
        <w:t xml:space="preserve">Since </w:t>
      </w:r>
      <w:r w:rsidRPr="000F4D10">
        <w:rPr>
          <w:rFonts w:cstheme="minorHAnsi"/>
          <w:lang w:val="en-GB"/>
        </w:rPr>
        <w:t xml:space="preserve">2017, during the early stages of ALMA </w:t>
      </w:r>
      <w:r w:rsidR="000D25B4">
        <w:rPr>
          <w:rFonts w:cstheme="minorHAnsi"/>
          <w:lang w:val="en-GB"/>
        </w:rPr>
        <w:t>t</w:t>
      </w:r>
      <w:r w:rsidRPr="000F4D10">
        <w:rPr>
          <w:rFonts w:cstheme="minorHAnsi"/>
          <w:lang w:val="en-GB"/>
        </w:rPr>
        <w:t>here have been no subsequent collections of student achievement data</w:t>
      </w:r>
      <w:r w:rsidR="001A6B3C">
        <w:rPr>
          <w:rFonts w:cstheme="minorHAnsi"/>
          <w:lang w:val="en-GB"/>
        </w:rPr>
        <w:t>.</w:t>
      </w:r>
      <w:r w:rsidRPr="000F4D10">
        <w:rPr>
          <w:rFonts w:cstheme="minorHAnsi"/>
          <w:lang w:val="en-GB"/>
        </w:rPr>
        <w:t xml:space="preserve"> </w:t>
      </w:r>
    </w:p>
    <w:p w14:paraId="312036F1" w14:textId="1E13FC7F" w:rsidR="000F4D10" w:rsidRPr="000F4D10" w:rsidRDefault="000F4D10" w:rsidP="000F4D10">
      <w:pPr>
        <w:rPr>
          <w:rFonts w:cstheme="minorHAnsi"/>
          <w:lang w:val="en-GB"/>
        </w:rPr>
      </w:pPr>
      <w:r w:rsidRPr="000F4D10">
        <w:rPr>
          <w:rFonts w:cstheme="minorHAnsi"/>
          <w:lang w:val="en-GB"/>
        </w:rPr>
        <w:lastRenderedPageBreak/>
        <w:t xml:space="preserve">The student achievement data analysed for the first year of the ALMA study included the CBA and EGRA data collected as part of the DFAT-funded </w:t>
      </w:r>
      <w:r w:rsidRPr="000F4D10">
        <w:rPr>
          <w:rFonts w:cstheme="minorHAnsi"/>
          <w:i/>
          <w:lang w:val="en-GB"/>
        </w:rPr>
        <w:t>Lessons learned an early assessment (2017) of two innovations in basic education in Timor-Leste</w:t>
      </w:r>
      <w:r w:rsidRPr="000F4D10">
        <w:rPr>
          <w:rFonts w:cstheme="minorHAnsi"/>
          <w:lang w:val="en-GB"/>
        </w:rPr>
        <w:t xml:space="preserve"> (</w:t>
      </w:r>
      <w:r w:rsidR="00AA42ED">
        <w:rPr>
          <w:rFonts w:cstheme="minorHAnsi"/>
          <w:lang w:val="en-GB"/>
        </w:rPr>
        <w:t>World Bank, 2018)</w:t>
      </w:r>
      <w:r w:rsidRPr="000F4D10">
        <w:rPr>
          <w:rFonts w:cstheme="minorHAnsi"/>
          <w:lang w:val="en-GB"/>
        </w:rPr>
        <w:t xml:space="preserve">. The CBA </w:t>
      </w:r>
      <w:r w:rsidR="001A6B3C">
        <w:rPr>
          <w:rFonts w:cstheme="minorHAnsi"/>
          <w:lang w:val="en-GB"/>
        </w:rPr>
        <w:t xml:space="preserve">assessed students on basic reading, mathematics, and </w:t>
      </w:r>
      <w:proofErr w:type="spellStart"/>
      <w:r w:rsidR="001A6B3C">
        <w:rPr>
          <w:rFonts w:cstheme="minorHAnsi"/>
          <w:lang w:val="en-GB"/>
        </w:rPr>
        <w:t>Tetun</w:t>
      </w:r>
      <w:proofErr w:type="spellEnd"/>
      <w:r w:rsidR="001A6B3C">
        <w:rPr>
          <w:rFonts w:cstheme="minorHAnsi"/>
          <w:lang w:val="en-GB"/>
        </w:rPr>
        <w:t xml:space="preserve"> and Portuguese language, to measure </w:t>
      </w:r>
      <w:r w:rsidRPr="000F4D10">
        <w:rPr>
          <w:rFonts w:cstheme="minorHAnsi"/>
          <w:lang w:val="en-GB"/>
        </w:rPr>
        <w:t>the extent to which the content of the new curriculum ha</w:t>
      </w:r>
      <w:r w:rsidR="001A6B3C">
        <w:rPr>
          <w:rFonts w:cstheme="minorHAnsi"/>
          <w:lang w:val="en-GB"/>
        </w:rPr>
        <w:t>d</w:t>
      </w:r>
      <w:r w:rsidRPr="000F4D10">
        <w:rPr>
          <w:rFonts w:cstheme="minorHAnsi"/>
          <w:lang w:val="en-GB"/>
        </w:rPr>
        <w:t xml:space="preserve"> been mastered by Grade 3 students. The EGRA implemented in 2017 used selected components of the EGRA which had been used previously in 2009 in Timor-Leste, to allow the examination of differences between 2009 and 2017.  However, there have been no further EGRA or CBA data collections since those conducted in 2017, and it is unlikely that these will be administered </w:t>
      </w:r>
      <w:proofErr w:type="gramStart"/>
      <w:r w:rsidRPr="000F4D10">
        <w:rPr>
          <w:rFonts w:cstheme="minorHAnsi"/>
          <w:lang w:val="en-GB"/>
        </w:rPr>
        <w:t>in the near future</w:t>
      </w:r>
      <w:proofErr w:type="gramEnd"/>
      <w:r w:rsidRPr="000F4D10">
        <w:rPr>
          <w:rFonts w:cstheme="minorHAnsi"/>
          <w:lang w:val="en-GB"/>
        </w:rPr>
        <w:t xml:space="preserve">. </w:t>
      </w:r>
    </w:p>
    <w:p w14:paraId="3BE876E5" w14:textId="568FF76B" w:rsidR="000F4D10" w:rsidRPr="000F4D10" w:rsidRDefault="00774723" w:rsidP="000F4D10">
      <w:pPr>
        <w:rPr>
          <w:rFonts w:cstheme="minorHAnsi"/>
          <w:lang w:val="en-GB"/>
        </w:rPr>
      </w:pPr>
      <w:r>
        <w:rPr>
          <w:rFonts w:cstheme="minorHAnsi"/>
          <w:lang w:val="en-GB"/>
        </w:rPr>
        <w:br w:type="column"/>
      </w:r>
      <w:r w:rsidR="000F4D10" w:rsidRPr="000F4D10">
        <w:rPr>
          <w:rFonts w:cstheme="minorHAnsi"/>
          <w:lang w:val="en-GB"/>
        </w:rPr>
        <w:t xml:space="preserve">While this has immediate implications for the multi-year study, more broadly, it highlights the constraints to the ability of governments and education stakeholders to monitor changes to student achievement levels over time. </w:t>
      </w:r>
    </w:p>
    <w:p w14:paraId="51445828" w14:textId="4775C8EC" w:rsidR="000F4D10" w:rsidRPr="000F4D10" w:rsidRDefault="000F4D10" w:rsidP="000F4D10">
      <w:pPr>
        <w:rPr>
          <w:rFonts w:cstheme="minorHAnsi"/>
          <w:lang w:val="en-GB"/>
        </w:rPr>
      </w:pPr>
      <w:r w:rsidRPr="000F4D10">
        <w:rPr>
          <w:rFonts w:cstheme="minorHAnsi"/>
          <w:lang w:val="en-GB"/>
        </w:rPr>
        <w:t xml:space="preserve">While project-driven data collections provide important snapshots of learning at </w:t>
      </w:r>
      <w:proofErr w:type="gramStart"/>
      <w:r w:rsidRPr="000F4D10">
        <w:rPr>
          <w:rFonts w:cstheme="minorHAnsi"/>
          <w:lang w:val="en-GB"/>
        </w:rPr>
        <w:t>particular points</w:t>
      </w:r>
      <w:proofErr w:type="gramEnd"/>
      <w:r w:rsidRPr="000F4D10">
        <w:rPr>
          <w:rFonts w:cstheme="minorHAnsi"/>
          <w:lang w:val="en-GB"/>
        </w:rPr>
        <w:t xml:space="preserve"> in time and for particular student cohorts, the ability to monitor the longer impact of teaching and learning reforms, like that of Timor-Leste’s new curriculum and ALMA program, is constrained.</w:t>
      </w:r>
      <w:r w:rsidR="00E60A56" w:rsidRPr="000F4D10">
        <w:rPr>
          <w:rFonts w:cstheme="minorHAnsi"/>
          <w:lang w:val="en-GB"/>
        </w:rPr>
        <w:t xml:space="preserve"> </w:t>
      </w:r>
    </w:p>
    <w:p w14:paraId="2D6652E4" w14:textId="77777777" w:rsidR="000F4D10" w:rsidRPr="000F4D10" w:rsidRDefault="000F4D10" w:rsidP="000F4D10">
      <w:pPr>
        <w:rPr>
          <w:lang w:val="en-GB"/>
        </w:rPr>
      </w:pPr>
      <w:r w:rsidRPr="000F4D10">
        <w:rPr>
          <w:lang w:val="en-GB"/>
        </w:rPr>
        <w:br w:type="page"/>
      </w:r>
    </w:p>
    <w:p w14:paraId="27710C06" w14:textId="77777777" w:rsidR="000F4D10" w:rsidRDefault="000F4D10" w:rsidP="000F4D10">
      <w:pPr>
        <w:sectPr w:rsidR="000F4D10" w:rsidSect="000F4D10">
          <w:type w:val="continuous"/>
          <w:pgSz w:w="11906" w:h="16838"/>
          <w:pgMar w:top="1440" w:right="1304" w:bottom="1702" w:left="1304" w:header="709" w:footer="709" w:gutter="0"/>
          <w:cols w:num="2" w:space="710"/>
          <w:docGrid w:linePitch="360"/>
        </w:sectPr>
      </w:pPr>
    </w:p>
    <w:p w14:paraId="7683C7C8" w14:textId="425AEAB2" w:rsidR="000F4D10" w:rsidRPr="000F4D10" w:rsidRDefault="00633DEC" w:rsidP="000F4D10">
      <w:pPr>
        <w:pStyle w:val="Heading1"/>
        <w:rPr>
          <w:lang w:val="en-GB"/>
        </w:rPr>
      </w:pPr>
      <w:r>
        <w:rPr>
          <w:lang w:val="en-GB"/>
        </w:rPr>
        <w:lastRenderedPageBreak/>
        <w:t xml:space="preserve">Different approaches to sourcing and using data to inform teaching quality </w:t>
      </w:r>
    </w:p>
    <w:p w14:paraId="184FE103" w14:textId="77777777" w:rsidR="000F4D10" w:rsidRDefault="000F4D10" w:rsidP="000F4D10">
      <w:pPr>
        <w:pStyle w:val="Heading1"/>
        <w:sectPr w:rsidR="000F4D10" w:rsidSect="000F4D10">
          <w:type w:val="continuous"/>
          <w:pgSz w:w="11906" w:h="16838"/>
          <w:pgMar w:top="1440" w:right="1304" w:bottom="1702" w:left="1304" w:header="709" w:footer="709" w:gutter="0"/>
          <w:cols w:space="710"/>
          <w:docGrid w:linePitch="360"/>
        </w:sectPr>
      </w:pPr>
    </w:p>
    <w:p w14:paraId="578DB5DC" w14:textId="77777777" w:rsidR="00633DEC" w:rsidRDefault="00633DEC" w:rsidP="00983032">
      <w:pPr>
        <w:pStyle w:val="Heading2"/>
        <w:rPr>
          <w:lang w:val="en-GB"/>
        </w:rPr>
      </w:pPr>
      <w:r w:rsidRPr="000F4D10">
        <w:rPr>
          <w:lang w:val="en-GB"/>
        </w:rPr>
        <w:t>Consideration of factors that influence the complex context of teaching</w:t>
      </w:r>
    </w:p>
    <w:p w14:paraId="296F0ACF" w14:textId="434C1900" w:rsidR="000F4D10" w:rsidRPr="000F4D10" w:rsidRDefault="009230E9" w:rsidP="000F4D10">
      <w:pPr>
        <w:rPr>
          <w:lang w:val="en-GB"/>
        </w:rPr>
      </w:pPr>
      <w:r>
        <w:rPr>
          <w:lang w:val="en-GB"/>
        </w:rPr>
        <w:t>S</w:t>
      </w:r>
      <w:r w:rsidR="000F4D10" w:rsidRPr="000F4D10">
        <w:rPr>
          <w:lang w:val="en-GB"/>
        </w:rPr>
        <w:t>tudent learning outcomes are only one source of data that provide insight into how a</w:t>
      </w:r>
      <w:r w:rsidR="001A6B3C">
        <w:rPr>
          <w:lang w:val="en-GB"/>
        </w:rPr>
        <w:t xml:space="preserve"> teacher development</w:t>
      </w:r>
      <w:r w:rsidR="000F4D10" w:rsidRPr="000F4D10">
        <w:rPr>
          <w:lang w:val="en-GB"/>
        </w:rPr>
        <w:t xml:space="preserve"> </w:t>
      </w:r>
      <w:r w:rsidR="001A6B3C">
        <w:rPr>
          <w:lang w:val="en-GB"/>
        </w:rPr>
        <w:t>initiative</w:t>
      </w:r>
      <w:r w:rsidR="001A6B3C" w:rsidRPr="000F4D10">
        <w:rPr>
          <w:lang w:val="en-GB"/>
        </w:rPr>
        <w:t xml:space="preserve"> </w:t>
      </w:r>
      <w:r w:rsidR="000F4D10" w:rsidRPr="000F4D10">
        <w:rPr>
          <w:lang w:val="en-GB"/>
        </w:rPr>
        <w:t xml:space="preserve">like ALMA, for example, might have on teaching quality overall. There are a wide range of contextual factors that enable and constrain productive investments in teachers, teaching and education communities. </w:t>
      </w:r>
    </w:p>
    <w:p w14:paraId="23FE7188" w14:textId="43011861" w:rsidR="000F4D10" w:rsidRPr="000F4D10" w:rsidRDefault="000F4D10" w:rsidP="000F4D10">
      <w:pPr>
        <w:rPr>
          <w:lang w:val="en-GB"/>
        </w:rPr>
      </w:pPr>
      <w:r w:rsidRPr="000F4D10">
        <w:rPr>
          <w:lang w:val="en-GB"/>
        </w:rPr>
        <w:t xml:space="preserve">It is difficult at the best of times to identify a direct relationship between the influence of a teacher and gains in student learning outcomes. Teaching is complex. Darling-Hammond et al (2012) suggest that gains in student achievement are influenced by much more than an individual teacher. The attribution between student achievement and teacher effectiveness assumes that student learning is measured </w:t>
      </w:r>
      <w:r w:rsidRPr="000F4D10">
        <w:rPr>
          <w:i/>
          <w:lang w:val="en-GB"/>
        </w:rPr>
        <w:t>well</w:t>
      </w:r>
      <w:r w:rsidRPr="000F4D10">
        <w:rPr>
          <w:lang w:val="en-GB"/>
        </w:rPr>
        <w:t xml:space="preserve"> by any given test, and is independent from classroom context and peers, and other factors related to home, community, previous learning experiences and learning loss experienced by events such as extreme weather, a pandemic, and so on. While there may be relationships between various factors associated with student learning outcomes, direct causal relationships are difficult to determine.</w:t>
      </w:r>
    </w:p>
    <w:p w14:paraId="73562913" w14:textId="77777777" w:rsidR="000F4D10" w:rsidRPr="000F4D10" w:rsidRDefault="000F4D10" w:rsidP="000F4D10">
      <w:pPr>
        <w:rPr>
          <w:lang w:val="en-GB"/>
        </w:rPr>
      </w:pPr>
      <w:r w:rsidRPr="000F4D10">
        <w:rPr>
          <w:lang w:val="en-GB"/>
        </w:rPr>
        <w:t>Student learning is not only about academic outcomes. There is a significant body of research in the international literature that explores the relationship between student engagement (including well-being and interest in lessons), learning and achievement. Some key findings include the following (Lawson &amp; Lawson, 2013; Christenson, et al, 2012; Klem &amp; Connell, 2004):</w:t>
      </w:r>
    </w:p>
    <w:p w14:paraId="4B72A05C" w14:textId="77777777" w:rsidR="000F4D10" w:rsidRPr="000F4D10" w:rsidRDefault="000F4D10" w:rsidP="000F4D10">
      <w:pPr>
        <w:numPr>
          <w:ilvl w:val="0"/>
          <w:numId w:val="17"/>
        </w:numPr>
        <w:ind w:left="453" w:hanging="283"/>
      </w:pPr>
      <w:r w:rsidRPr="000F4D10">
        <w:t>Student engagement is a robust predictor of student achievement and behaviour in school, regardless of socioeconomic status.</w:t>
      </w:r>
    </w:p>
    <w:p w14:paraId="077EB6FA" w14:textId="77777777" w:rsidR="000F4D10" w:rsidRPr="000F4D10" w:rsidRDefault="000F4D10" w:rsidP="000F4D10">
      <w:pPr>
        <w:numPr>
          <w:ilvl w:val="0"/>
          <w:numId w:val="17"/>
        </w:numPr>
        <w:ind w:left="453" w:hanging="283"/>
      </w:pPr>
      <w:r w:rsidRPr="000F4D10">
        <w:t>Students who perceive teachers as creating a caring and well-structured learning environment are more likely to be engaged in school.</w:t>
      </w:r>
    </w:p>
    <w:p w14:paraId="233E4839" w14:textId="77777777" w:rsidR="000F4D10" w:rsidRPr="000F4D10" w:rsidRDefault="000F4D10" w:rsidP="000F4D10">
      <w:pPr>
        <w:numPr>
          <w:ilvl w:val="0"/>
          <w:numId w:val="17"/>
        </w:numPr>
        <w:ind w:left="453" w:hanging="283"/>
      </w:pPr>
      <w:r w:rsidRPr="000F4D10">
        <w:t>Links between teacher support, student engagement, and academic performance are important predictors of student success.</w:t>
      </w:r>
    </w:p>
    <w:p w14:paraId="7B8902A7" w14:textId="0A1815C4" w:rsidR="000F4D10" w:rsidRPr="000F4D10" w:rsidRDefault="000F4D10" w:rsidP="000F4D10">
      <w:pPr>
        <w:numPr>
          <w:ilvl w:val="0"/>
          <w:numId w:val="17"/>
        </w:numPr>
        <w:ind w:left="453" w:hanging="283"/>
      </w:pPr>
      <w:r w:rsidRPr="000F4D10">
        <w:t xml:space="preserve">Assessment and monitoring </w:t>
      </w:r>
      <w:proofErr w:type="gramStart"/>
      <w:r w:rsidRPr="000F4D10">
        <w:t>is</w:t>
      </w:r>
      <w:proofErr w:type="gramEnd"/>
      <w:r w:rsidRPr="000F4D10">
        <w:t xml:space="preserve"> important and needs to be available and interpretable to understand what students know and can do, but classrooms and teachers have to respond to many other challenges. Learning is holistic.</w:t>
      </w:r>
    </w:p>
    <w:p w14:paraId="5237B4E2" w14:textId="54B65D8D" w:rsidR="000F4D10" w:rsidRPr="000F4D10" w:rsidRDefault="000F4D10" w:rsidP="000F4D10">
      <w:pPr>
        <w:rPr>
          <w:lang w:val="en-GB"/>
        </w:rPr>
      </w:pPr>
      <w:r w:rsidRPr="000F4D10">
        <w:rPr>
          <w:lang w:val="en-GB"/>
        </w:rPr>
        <w:t xml:space="preserve">The multi-year studies series in Timor-Leste, Laos and Vanuatu are all designed with the recognition that data about teaching needs to come from a range of sources to address the factors discussed above. </w:t>
      </w:r>
      <w:proofErr w:type="gramStart"/>
      <w:r w:rsidRPr="000F4D10">
        <w:rPr>
          <w:lang w:val="en-GB"/>
        </w:rPr>
        <w:t>With this in mind, the</w:t>
      </w:r>
      <w:proofErr w:type="gramEnd"/>
      <w:r w:rsidRPr="000F4D10">
        <w:rPr>
          <w:lang w:val="en-GB"/>
        </w:rPr>
        <w:t xml:space="preserve"> </w:t>
      </w:r>
      <w:r w:rsidR="00C90EE8">
        <w:rPr>
          <w:lang w:val="en-GB"/>
        </w:rPr>
        <w:t xml:space="preserve">methodological approaches used in the </w:t>
      </w:r>
      <w:r w:rsidRPr="000F4D10">
        <w:rPr>
          <w:lang w:val="en-GB"/>
        </w:rPr>
        <w:t xml:space="preserve">studies </w:t>
      </w:r>
      <w:r w:rsidR="00C90EE8">
        <w:rPr>
          <w:lang w:val="en-GB"/>
        </w:rPr>
        <w:t>are designed</w:t>
      </w:r>
      <w:r w:rsidRPr="000F4D10">
        <w:rPr>
          <w:lang w:val="en-GB"/>
        </w:rPr>
        <w:t xml:space="preserve"> to gain a more holistic insight into teaching quality in each of these contexts. As highlighted both in the experience of these study designs and the emerging literature, the challenge of finding relevant student learning outcomes data is significant. Critically, causal relationships between teaching quality, teachers’ experience of a new curriculum and student achievement are difficult if not impossible to determine. Data collection tools, therefor</w:t>
      </w:r>
      <w:r w:rsidR="00C90EE8">
        <w:rPr>
          <w:lang w:val="en-GB"/>
        </w:rPr>
        <w:t>e</w:t>
      </w:r>
      <w:r w:rsidRPr="000F4D10">
        <w:rPr>
          <w:lang w:val="en-GB"/>
        </w:rPr>
        <w:t xml:space="preserve">, need to be aligned to the study objectives to explore the relationships of teachers, </w:t>
      </w:r>
      <w:proofErr w:type="gramStart"/>
      <w:r w:rsidRPr="000F4D10">
        <w:rPr>
          <w:lang w:val="en-GB"/>
        </w:rPr>
        <w:t>curricula</w:t>
      </w:r>
      <w:proofErr w:type="gramEnd"/>
      <w:r w:rsidRPr="000F4D10">
        <w:rPr>
          <w:lang w:val="en-GB"/>
        </w:rPr>
        <w:t xml:space="preserve"> and their students. The following section discusses different approaches to sourcing and using learning outcomes data.</w:t>
      </w:r>
    </w:p>
    <w:p w14:paraId="648B8A83" w14:textId="04D39F46" w:rsidR="000F4D10" w:rsidRPr="000F4D10" w:rsidRDefault="00EE63C7" w:rsidP="000F4D10">
      <w:pPr>
        <w:pStyle w:val="Heading2"/>
        <w:rPr>
          <w:lang w:val="en-GB"/>
        </w:rPr>
      </w:pPr>
      <w:r>
        <w:rPr>
          <w:lang w:val="en-GB"/>
        </w:rPr>
        <w:lastRenderedPageBreak/>
        <w:t>F</w:t>
      </w:r>
      <w:r w:rsidR="00633DEC">
        <w:rPr>
          <w:lang w:val="en-GB"/>
        </w:rPr>
        <w:t>it-for-purpose data</w:t>
      </w:r>
      <w:r>
        <w:rPr>
          <w:lang w:val="en-GB"/>
        </w:rPr>
        <w:t xml:space="preserve"> collection</w:t>
      </w:r>
      <w:r w:rsidR="00633DEC">
        <w:rPr>
          <w:lang w:val="en-GB"/>
        </w:rPr>
        <w:t xml:space="preserve"> in </w:t>
      </w:r>
      <w:r w:rsidR="000F4D10" w:rsidRPr="000F4D10">
        <w:rPr>
          <w:lang w:val="en-GB"/>
        </w:rPr>
        <w:t>Laos</w:t>
      </w:r>
    </w:p>
    <w:p w14:paraId="3D40A89A" w14:textId="77777777" w:rsidR="00E82F52" w:rsidRDefault="000F4D10" w:rsidP="000F4D10">
      <w:pPr>
        <w:rPr>
          <w:lang w:val="en-GB"/>
        </w:rPr>
      </w:pPr>
      <w:r w:rsidRPr="000F4D10">
        <w:rPr>
          <w:lang w:val="en-GB"/>
        </w:rPr>
        <w:t xml:space="preserve">The Laos study was the third to commence in the teacher development study series and as such it benefited from the lessons and experiences gained through the Timor-Leste study which was the first in the series. In Laos, DFAT placed an emphasis on ensuring that a measure of student learning was funded and integrated as part of the study design. </w:t>
      </w:r>
    </w:p>
    <w:p w14:paraId="10E568FB" w14:textId="7490EDD7" w:rsidR="000F4D10" w:rsidRPr="000F4D10" w:rsidRDefault="000F4D10" w:rsidP="000F4D10">
      <w:pPr>
        <w:rPr>
          <w:lang w:val="en-GB"/>
        </w:rPr>
      </w:pPr>
      <w:r w:rsidRPr="000F4D10">
        <w:rPr>
          <w:lang w:val="en-GB"/>
        </w:rPr>
        <w:t xml:space="preserve">The study team focused on designing a student assessment that was valid and reliable, linked to the new curriculum, and could be administered efficiently. A one-on-one Lao language literacy test was developed to collect a snapshot of a few key literacy skills for Grade 1 students near the </w:t>
      </w:r>
      <w:r w:rsidRPr="000F4D10">
        <w:rPr>
          <w:u w:val="single"/>
          <w:lang w:val="en-GB"/>
        </w:rPr>
        <w:t>end</w:t>
      </w:r>
      <w:r w:rsidRPr="000F4D10">
        <w:rPr>
          <w:lang w:val="en-GB"/>
        </w:rPr>
        <w:t xml:space="preserve"> of their school year. </w:t>
      </w:r>
      <w:r w:rsidR="003F0078">
        <w:rPr>
          <w:lang w:val="en-GB"/>
        </w:rPr>
        <w:t>It is acknowledged that this collection of student learning data is study-driven, rather than integrated as part of a broader assessment system.</w:t>
      </w:r>
    </w:p>
    <w:p w14:paraId="2EF19488" w14:textId="6AEE4E8A" w:rsidR="000F4D10" w:rsidRDefault="000F4D10" w:rsidP="000F4D10">
      <w:pPr>
        <w:rPr>
          <w:lang w:val="en-GB"/>
        </w:rPr>
      </w:pPr>
      <w:r w:rsidRPr="000F4D10">
        <w:rPr>
          <w:lang w:val="en-GB"/>
        </w:rPr>
        <w:t>The Laos study is also designed to be longitudinal, to follow teachers and principals over the course of the study period as the new Lao language curriculum is rolled out in stages by grade level. This enables the study to investigate change in teaching quality before and after the in-service support</w:t>
      </w:r>
      <w:r w:rsidR="00030824">
        <w:rPr>
          <w:lang w:val="en-GB"/>
        </w:rPr>
        <w:t>. It</w:t>
      </w:r>
      <w:r w:rsidR="005650CE">
        <w:rPr>
          <w:lang w:val="en-GB"/>
        </w:rPr>
        <w:t xml:space="preserve"> </w:t>
      </w:r>
      <w:r w:rsidR="00030824">
        <w:rPr>
          <w:lang w:val="en-GB"/>
        </w:rPr>
        <w:t xml:space="preserve">additionally </w:t>
      </w:r>
      <w:r w:rsidRPr="000F4D10">
        <w:rPr>
          <w:lang w:val="en-GB"/>
        </w:rPr>
        <w:t>collect</w:t>
      </w:r>
      <w:r w:rsidR="00030824">
        <w:rPr>
          <w:lang w:val="en-GB"/>
        </w:rPr>
        <w:t>s</w:t>
      </w:r>
      <w:r w:rsidRPr="000F4D10">
        <w:rPr>
          <w:lang w:val="en-GB"/>
        </w:rPr>
        <w:t xml:space="preserve"> data about the literacy outcomes of students studying under the former curriculum and the new curriculum. Hence, there is the ability to monitor changes to teaching quality and student learning over time, connected to the rollout of the curriculum reform and associated teacher development initiatives.</w:t>
      </w:r>
      <w:r w:rsidR="00D45791">
        <w:rPr>
          <w:lang w:val="en-GB"/>
        </w:rPr>
        <w:t xml:space="preserve"> The student assessment data is supplemented</w:t>
      </w:r>
      <w:r w:rsidR="001A6B3C">
        <w:rPr>
          <w:rFonts w:ascii="Calibri" w:hAnsi="Calibri" w:cs="Calibri"/>
        </w:rPr>
        <w:t xml:space="preserve"> by surveys, stakeholder interviews and classroom observations, which </w:t>
      </w:r>
      <w:r w:rsidR="00D45791">
        <w:rPr>
          <w:rFonts w:ascii="Calibri" w:hAnsi="Calibri" w:cs="Calibri"/>
        </w:rPr>
        <w:t>enables</w:t>
      </w:r>
      <w:r w:rsidR="001A6B3C">
        <w:rPr>
          <w:rFonts w:ascii="Calibri" w:hAnsi="Calibri" w:cs="Calibri"/>
        </w:rPr>
        <w:t xml:space="preserve"> a deeper understanding of teaching practice and stakeholder experiences with the new curriculum and associated professional learning support.</w:t>
      </w:r>
    </w:p>
    <w:p w14:paraId="73C6721E" w14:textId="1C959ACC" w:rsidR="00E34339" w:rsidRPr="00E34339" w:rsidRDefault="00EE63C7" w:rsidP="00E34339">
      <w:pPr>
        <w:pStyle w:val="Heading2"/>
        <w:rPr>
          <w:rFonts w:eastAsia="Calibri"/>
          <w:lang w:val="en-GB"/>
        </w:rPr>
      </w:pPr>
      <w:r>
        <w:rPr>
          <w:rFonts w:eastAsia="Calibri"/>
          <w:lang w:val="en-GB"/>
        </w:rPr>
        <w:t>Existing n</w:t>
      </w:r>
      <w:r w:rsidR="00633DEC">
        <w:rPr>
          <w:rFonts w:eastAsia="Calibri"/>
          <w:lang w:val="en-GB"/>
        </w:rPr>
        <w:t xml:space="preserve">ational and regional data in </w:t>
      </w:r>
      <w:r w:rsidR="00E34339" w:rsidRPr="00E34339">
        <w:rPr>
          <w:rFonts w:eastAsia="Calibri"/>
          <w:lang w:val="en-GB"/>
        </w:rPr>
        <w:t>Vanuatu</w:t>
      </w:r>
    </w:p>
    <w:p w14:paraId="1F14DE9D" w14:textId="1A1D158A" w:rsidR="00E34339" w:rsidRPr="00E34339"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There is opportunity to learn from existing </w:t>
      </w:r>
      <w:r w:rsidR="00633DEC">
        <w:rPr>
          <w:rFonts w:ascii="Calibri" w:eastAsia="Calibri" w:hAnsi="Calibri" w:cs="Calibri"/>
          <w:lang w:val="en-GB"/>
        </w:rPr>
        <w:t xml:space="preserve">national and regional </w:t>
      </w:r>
      <w:r w:rsidRPr="00E34339">
        <w:rPr>
          <w:rFonts w:ascii="Calibri" w:eastAsia="Calibri" w:hAnsi="Calibri" w:cs="Calibri"/>
          <w:lang w:val="en-GB"/>
        </w:rPr>
        <w:t xml:space="preserve">data in Vanuatu. The Pacific </w:t>
      </w:r>
      <w:r w:rsidRPr="00E34339">
        <w:rPr>
          <w:rFonts w:ascii="Calibri" w:eastAsia="Calibri" w:hAnsi="Calibri" w:cs="Calibri"/>
          <w:lang w:val="en-GB"/>
        </w:rPr>
        <w:t xml:space="preserve">Islands Literacy and Numeracy Assessment (PILNA) is a regional assessment of literacy and numeracy in Years 4 and 6. In addition to PILNA, </w:t>
      </w:r>
      <w:r w:rsidR="001A6B3C">
        <w:rPr>
          <w:rFonts w:ascii="Calibri" w:eastAsia="Calibri" w:hAnsi="Calibri" w:cs="Calibri"/>
          <w:lang w:val="en-GB"/>
        </w:rPr>
        <w:t xml:space="preserve">the </w:t>
      </w:r>
      <w:r w:rsidRPr="00E34339">
        <w:rPr>
          <w:rFonts w:ascii="Calibri" w:eastAsia="Calibri" w:hAnsi="Calibri" w:cs="Calibri"/>
          <w:lang w:val="en-GB"/>
        </w:rPr>
        <w:t>M</w:t>
      </w:r>
      <w:r w:rsidR="001A6B3C">
        <w:rPr>
          <w:rFonts w:ascii="Calibri" w:eastAsia="Calibri" w:hAnsi="Calibri" w:cs="Calibri"/>
          <w:lang w:val="en-GB"/>
        </w:rPr>
        <w:t xml:space="preserve">inistry of </w:t>
      </w:r>
      <w:r w:rsidRPr="00E34339">
        <w:rPr>
          <w:rFonts w:ascii="Calibri" w:eastAsia="Calibri" w:hAnsi="Calibri" w:cs="Calibri"/>
          <w:lang w:val="en-GB"/>
        </w:rPr>
        <w:t>E</w:t>
      </w:r>
      <w:r w:rsidR="001A6B3C">
        <w:rPr>
          <w:rFonts w:ascii="Calibri" w:eastAsia="Calibri" w:hAnsi="Calibri" w:cs="Calibri"/>
          <w:lang w:val="en-GB"/>
        </w:rPr>
        <w:t>ducation and Training</w:t>
      </w:r>
      <w:r w:rsidRPr="00E34339">
        <w:rPr>
          <w:rFonts w:ascii="Calibri" w:eastAsia="Calibri" w:hAnsi="Calibri" w:cs="Calibri"/>
          <w:lang w:val="en-GB"/>
        </w:rPr>
        <w:t xml:space="preserve"> administers the Vanuatu Standardized Test of Achievement (VANSTA) in Years 4 and 6.</w:t>
      </w:r>
    </w:p>
    <w:p w14:paraId="7EACEE4B" w14:textId="130E9DA9" w:rsidR="00E34339" w:rsidRPr="00E34339"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While the focus of study in Vanuatu is </w:t>
      </w:r>
      <w:r w:rsidR="00EE63C7">
        <w:rPr>
          <w:rFonts w:ascii="Calibri" w:eastAsia="Calibri" w:hAnsi="Calibri" w:cs="Calibri"/>
          <w:lang w:val="en-GB"/>
        </w:rPr>
        <w:t xml:space="preserve">on Year 1-3 </w:t>
      </w:r>
      <w:r w:rsidRPr="00E34339">
        <w:rPr>
          <w:rFonts w:ascii="Calibri" w:eastAsia="Calibri" w:hAnsi="Calibri" w:cs="Calibri"/>
          <w:lang w:val="en-GB"/>
        </w:rPr>
        <w:t xml:space="preserve">teachers, VANSTA and PILNA provide a reference point for student learning in literacy and numeracy. VANSTA assesses students’ understanding of the Vanuatu national curriculum, while PILNA is a regional survey that assesses students’ general skills in literacy and numeracy. PILNA also administers questionnaires to Year 4 and Year 6 teachers (in addition to students and principals), and as such provides some insight into general practices in primary schools. </w:t>
      </w:r>
    </w:p>
    <w:p w14:paraId="4B3EBB77" w14:textId="017841DA" w:rsidR="00E34339" w:rsidRPr="00E34339" w:rsidRDefault="00E34339" w:rsidP="00E34339">
      <w:pPr>
        <w:spacing w:after="120" w:line="240" w:lineRule="auto"/>
        <w:rPr>
          <w:rFonts w:ascii="Calibri" w:eastAsia="Calibri" w:hAnsi="Calibri" w:cs="Calibri"/>
          <w:color w:val="FF0000"/>
          <w:lang w:val="en-GB"/>
        </w:rPr>
      </w:pPr>
      <w:r w:rsidRPr="00E34339">
        <w:rPr>
          <w:rFonts w:ascii="Calibri" w:eastAsia="Calibri" w:hAnsi="Calibri" w:cs="Calibri"/>
          <w:lang w:val="en-GB"/>
        </w:rPr>
        <w:t>Importantly, the evidence presented from VANSTA</w:t>
      </w:r>
      <w:r w:rsidR="00EE63C7">
        <w:rPr>
          <w:rFonts w:ascii="Calibri" w:eastAsia="Calibri" w:hAnsi="Calibri" w:cs="Calibri"/>
          <w:lang w:val="en-GB"/>
        </w:rPr>
        <w:t xml:space="preserve"> and</w:t>
      </w:r>
      <w:r w:rsidRPr="00E34339">
        <w:rPr>
          <w:rFonts w:ascii="Calibri" w:eastAsia="Calibri" w:hAnsi="Calibri" w:cs="Calibri"/>
          <w:lang w:val="en-GB"/>
        </w:rPr>
        <w:t xml:space="preserve"> PILNA </w:t>
      </w:r>
      <w:r w:rsidR="00EE63C7">
        <w:rPr>
          <w:rFonts w:ascii="Calibri" w:eastAsia="Calibri" w:hAnsi="Calibri" w:cs="Calibri"/>
          <w:lang w:val="en-GB"/>
        </w:rPr>
        <w:t xml:space="preserve">is supplemented by stakeholder interviews, which </w:t>
      </w:r>
      <w:r w:rsidRPr="00E34339">
        <w:rPr>
          <w:rFonts w:ascii="Calibri" w:eastAsia="Calibri" w:hAnsi="Calibri" w:cs="Calibri"/>
          <w:lang w:val="en-GB"/>
        </w:rPr>
        <w:t>enable a deeper insight into complexities of teachers’ experience of the new curriculum, as well as professional learning and support about the new curriculum.</w:t>
      </w:r>
    </w:p>
    <w:p w14:paraId="40AAA6C3" w14:textId="415AAE07" w:rsidR="00E34339" w:rsidRPr="00E34339" w:rsidRDefault="00EE63C7" w:rsidP="00E34339">
      <w:pPr>
        <w:pStyle w:val="Heading2"/>
        <w:rPr>
          <w:rFonts w:eastAsia="Calibri"/>
          <w:lang w:val="en-GB"/>
        </w:rPr>
      </w:pPr>
      <w:r>
        <w:rPr>
          <w:rFonts w:eastAsia="Calibri"/>
          <w:lang w:val="en-GB"/>
        </w:rPr>
        <w:t xml:space="preserve">The use of classroom observation tools in </w:t>
      </w:r>
      <w:r w:rsidR="00E34339" w:rsidRPr="00E34339">
        <w:rPr>
          <w:rFonts w:eastAsia="Calibri"/>
          <w:lang w:val="en-GB"/>
        </w:rPr>
        <w:t>Timor-Leste</w:t>
      </w:r>
    </w:p>
    <w:p w14:paraId="66021868" w14:textId="2C30C77B" w:rsidR="00766E47"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A hallmark of the teacher development study series is that the design for each country adopted an agile and adaptive approach responsive to country context. As a solution to the data gap that existed in Timor-Leste, the study design was reconsidered and adjusted using lessons learned from the Laos study. </w:t>
      </w:r>
    </w:p>
    <w:p w14:paraId="53D3EE53" w14:textId="46EE329A" w:rsidR="00E34339" w:rsidRPr="00E34339"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A review and analysis of the existing dataset in Timor-Leste led to a shift in the design methodology to include methods that were more aligned to collecting information about teaching quality. These include a study-specific classroom observation tool administered by the </w:t>
      </w:r>
      <w:r w:rsidR="00EE63C7">
        <w:rPr>
          <w:rFonts w:ascii="Calibri" w:eastAsia="Calibri" w:hAnsi="Calibri" w:cs="Calibri"/>
          <w:lang w:val="en-GB"/>
        </w:rPr>
        <w:t>research</w:t>
      </w:r>
      <w:r w:rsidR="00EE63C7" w:rsidRPr="00E34339">
        <w:rPr>
          <w:rFonts w:ascii="Calibri" w:eastAsia="Calibri" w:hAnsi="Calibri" w:cs="Calibri"/>
          <w:lang w:val="en-GB"/>
        </w:rPr>
        <w:t xml:space="preserve"> </w:t>
      </w:r>
      <w:r w:rsidRPr="00E34339">
        <w:rPr>
          <w:rFonts w:ascii="Calibri" w:eastAsia="Calibri" w:hAnsi="Calibri" w:cs="Calibri"/>
          <w:lang w:val="en-GB"/>
        </w:rPr>
        <w:t>team</w:t>
      </w:r>
      <w:r w:rsidR="00EE63C7">
        <w:rPr>
          <w:rFonts w:ascii="Calibri" w:eastAsia="Calibri" w:hAnsi="Calibri" w:cs="Calibri"/>
          <w:lang w:val="en-GB"/>
        </w:rPr>
        <w:t xml:space="preserve"> </w:t>
      </w:r>
      <w:r w:rsidRPr="00E34339">
        <w:rPr>
          <w:rFonts w:ascii="Calibri" w:eastAsia="Calibri" w:hAnsi="Calibri" w:cs="Calibri"/>
          <w:lang w:val="en-GB"/>
        </w:rPr>
        <w:t xml:space="preserve">from year 3 of the study to provide evidence of changes to teaching practice. Classroom observations enable examination of targeted teaching practices to supplement the accounts of teaching that are reported by teachers, </w:t>
      </w:r>
      <w:proofErr w:type="gramStart"/>
      <w:r w:rsidRPr="00E34339">
        <w:rPr>
          <w:rFonts w:ascii="Calibri" w:eastAsia="Calibri" w:hAnsi="Calibri" w:cs="Calibri"/>
          <w:lang w:val="en-GB"/>
        </w:rPr>
        <w:t>principals</w:t>
      </w:r>
      <w:proofErr w:type="gramEnd"/>
      <w:r w:rsidRPr="00E34339">
        <w:rPr>
          <w:rFonts w:ascii="Calibri" w:eastAsia="Calibri" w:hAnsi="Calibri" w:cs="Calibri"/>
          <w:lang w:val="en-GB"/>
        </w:rPr>
        <w:t xml:space="preserve"> and other participants in interview responses, providing further evidence of changes to student performance and engagement. Classroom observations can provide insights into how </w:t>
      </w:r>
      <w:r w:rsidRPr="00E34339">
        <w:rPr>
          <w:rFonts w:ascii="Calibri" w:eastAsia="Calibri" w:hAnsi="Calibri" w:cs="Calibri"/>
          <w:lang w:val="en-GB"/>
        </w:rPr>
        <w:lastRenderedPageBreak/>
        <w:t>teachers are using practices that are learned through ALMA.</w:t>
      </w:r>
    </w:p>
    <w:p w14:paraId="046AB98D" w14:textId="7B92720B" w:rsidR="00E34339" w:rsidRPr="00E34339"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The study team also has been provided with access to ALMA program datasets, including principal and mentor observations, from the period when the teaching investment was established. In 2020, additional ALMA datasets were made available, including collections of principal and mentor observations from 2016-2019; literacy and numeracy outcomes from a 2019 ALMA rollout in one municipality; </w:t>
      </w:r>
      <w:proofErr w:type="gramStart"/>
      <w:r w:rsidRPr="00E34339">
        <w:rPr>
          <w:rFonts w:ascii="Calibri" w:eastAsia="Calibri" w:hAnsi="Calibri" w:cs="Calibri"/>
          <w:lang w:val="en-GB"/>
        </w:rPr>
        <w:t>and,</w:t>
      </w:r>
      <w:proofErr w:type="gramEnd"/>
      <w:r w:rsidRPr="00E34339">
        <w:rPr>
          <w:rFonts w:ascii="Calibri" w:eastAsia="Calibri" w:hAnsi="Calibri" w:cs="Calibri"/>
          <w:lang w:val="en-GB"/>
        </w:rPr>
        <w:t xml:space="preserve"> other program-based inquiry data. The historical observation data from ALMA will allow the study to ‘track back’ from principal and mentor observations and </w:t>
      </w:r>
      <w:proofErr w:type="gramStart"/>
      <w:r w:rsidRPr="00E34339">
        <w:rPr>
          <w:rFonts w:ascii="Calibri" w:eastAsia="Calibri" w:hAnsi="Calibri" w:cs="Calibri"/>
          <w:lang w:val="en-GB"/>
        </w:rPr>
        <w:t>feedback, and</w:t>
      </w:r>
      <w:proofErr w:type="gramEnd"/>
      <w:r w:rsidRPr="00E34339">
        <w:rPr>
          <w:rFonts w:ascii="Calibri" w:eastAsia="Calibri" w:hAnsi="Calibri" w:cs="Calibri"/>
          <w:lang w:val="en-GB"/>
        </w:rPr>
        <w:t xml:space="preserve"> explore that existing data alongside the new classroom observation instruments. </w:t>
      </w:r>
    </w:p>
    <w:p w14:paraId="3F1EA646" w14:textId="6A5D8E4F" w:rsidR="00E34339" w:rsidRPr="000F4D10" w:rsidRDefault="00983032" w:rsidP="00E60A56">
      <w:pPr>
        <w:spacing w:after="120" w:line="240" w:lineRule="auto"/>
        <w:rPr>
          <w:lang w:val="en-GB"/>
        </w:rPr>
      </w:pPr>
      <w:r>
        <w:rPr>
          <w:rFonts w:ascii="Calibri" w:eastAsia="Calibri" w:hAnsi="Calibri" w:cs="Calibri"/>
          <w:lang w:val="en-GB"/>
        </w:rPr>
        <w:br w:type="column"/>
      </w:r>
      <w:r w:rsidR="00E34339" w:rsidRPr="00BC560C">
        <w:rPr>
          <w:rFonts w:ascii="Calibri" w:eastAsia="Calibri" w:hAnsi="Calibri" w:cs="Calibri"/>
          <w:lang w:val="en-GB"/>
        </w:rPr>
        <w:t>Reframing the data sources and the study’s methodologies have resulted in making the best possible use of available data to inform the research, and to supplement these with new, fit-for-purpose tools such as the customised classroom observation tool.</w:t>
      </w:r>
      <w:r w:rsidR="00D45791">
        <w:rPr>
          <w:rFonts w:ascii="Calibri" w:eastAsia="Calibri" w:hAnsi="Calibri" w:cs="Calibri"/>
          <w:lang w:val="en-GB"/>
        </w:rPr>
        <w:t xml:space="preserve"> This addition of classroom observations in the study in Timor-Leste has been extended to the Vanuatu study, which will also benefit from these additional insights.</w:t>
      </w:r>
      <w:r w:rsidR="00E60A56" w:rsidRPr="000F4D10">
        <w:rPr>
          <w:lang w:val="en-GB"/>
        </w:rPr>
        <w:t xml:space="preserve"> </w:t>
      </w:r>
    </w:p>
    <w:p w14:paraId="17CDE67F" w14:textId="77777777" w:rsidR="003D56CD" w:rsidRDefault="003D56CD" w:rsidP="000F4D10">
      <w:pPr>
        <w:sectPr w:rsidR="003D56CD" w:rsidSect="003D56CD">
          <w:type w:val="continuous"/>
          <w:pgSz w:w="11906" w:h="16838"/>
          <w:pgMar w:top="1440" w:right="1274" w:bottom="1560" w:left="1304" w:header="709" w:footer="709" w:gutter="0"/>
          <w:cols w:num="2" w:space="312"/>
          <w:docGrid w:linePitch="360"/>
        </w:sectPr>
      </w:pPr>
    </w:p>
    <w:p w14:paraId="0ED61C7A" w14:textId="655E5A27" w:rsidR="0028226C" w:rsidRPr="002119AB" w:rsidRDefault="004D35CB" w:rsidP="002119AB">
      <w:r w:rsidRPr="000B4AC1">
        <w:br w:type="page"/>
      </w:r>
    </w:p>
    <w:p w14:paraId="07808A1E" w14:textId="77777777" w:rsidR="00804659" w:rsidRPr="000B4AC1" w:rsidRDefault="00804659" w:rsidP="00804659">
      <w:pPr>
        <w:pStyle w:val="Heading1"/>
        <w:spacing w:before="200"/>
        <w:rPr>
          <w:rFonts w:cstheme="minorHAnsi"/>
          <w:sz w:val="24"/>
          <w:szCs w:val="24"/>
        </w:rPr>
      </w:pPr>
      <w:r w:rsidRPr="000B4AC1">
        <w:rPr>
          <w:rFonts w:cstheme="minorHAnsi"/>
        </w:rPr>
        <w:lastRenderedPageBreak/>
        <w:t>Considerations for other programs and contexts</w:t>
      </w:r>
    </w:p>
    <w:p w14:paraId="693F65FB" w14:textId="77777777" w:rsidR="00804659" w:rsidRPr="000B4AC1" w:rsidRDefault="00804659" w:rsidP="00804659">
      <w:pPr>
        <w:pStyle w:val="Heading2"/>
        <w:rPr>
          <w:rFonts w:cstheme="minorHAnsi"/>
        </w:rPr>
        <w:sectPr w:rsidR="00804659" w:rsidRPr="000B4AC1" w:rsidSect="00804659">
          <w:type w:val="continuous"/>
          <w:pgSz w:w="11906" w:h="16838"/>
          <w:pgMar w:top="1440" w:right="1274" w:bottom="1560" w:left="1304" w:header="709" w:footer="709" w:gutter="0"/>
          <w:cols w:space="312"/>
          <w:docGrid w:linePitch="360"/>
        </w:sectPr>
      </w:pPr>
    </w:p>
    <w:p w14:paraId="5F799D74" w14:textId="12901242" w:rsidR="00E34339" w:rsidRPr="00E34339"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As highlighted throughout this paper </w:t>
      </w:r>
      <w:r w:rsidR="00997B04">
        <w:rPr>
          <w:rFonts w:ascii="Calibri" w:eastAsia="Calibri" w:hAnsi="Calibri" w:cs="Calibri"/>
          <w:lang w:val="en-GB"/>
        </w:rPr>
        <w:t xml:space="preserve">the teacher </w:t>
      </w:r>
      <w:r w:rsidR="00D45791">
        <w:rPr>
          <w:rFonts w:ascii="Calibri" w:eastAsia="Calibri" w:hAnsi="Calibri" w:cs="Calibri"/>
          <w:lang w:val="en-GB"/>
        </w:rPr>
        <w:t>development</w:t>
      </w:r>
      <w:r w:rsidR="00997B04">
        <w:rPr>
          <w:rFonts w:ascii="Calibri" w:eastAsia="Calibri" w:hAnsi="Calibri" w:cs="Calibri"/>
          <w:lang w:val="en-GB"/>
        </w:rPr>
        <w:t xml:space="preserve"> studies in Laos, Timor-Leste and Vanuatu</w:t>
      </w:r>
      <w:r w:rsidR="00997B04" w:rsidRPr="00E34339">
        <w:rPr>
          <w:rFonts w:ascii="Calibri" w:eastAsia="Calibri" w:hAnsi="Calibri" w:cs="Calibri"/>
          <w:lang w:val="en-GB"/>
        </w:rPr>
        <w:t xml:space="preserve"> </w:t>
      </w:r>
      <w:r w:rsidRPr="00E34339">
        <w:rPr>
          <w:rFonts w:ascii="Calibri" w:eastAsia="Calibri" w:hAnsi="Calibri" w:cs="Calibri"/>
          <w:lang w:val="en-GB"/>
        </w:rPr>
        <w:t xml:space="preserve">are designed with the recognition that data about teaching needs to come from a range of sources. </w:t>
      </w:r>
      <w:r w:rsidR="001628F7">
        <w:rPr>
          <w:rFonts w:ascii="Calibri" w:eastAsia="Calibri" w:hAnsi="Calibri" w:cs="Calibri"/>
          <w:lang w:val="en-GB"/>
        </w:rPr>
        <w:t>While s</w:t>
      </w:r>
      <w:r w:rsidRPr="00E34339">
        <w:rPr>
          <w:rFonts w:ascii="Calibri" w:eastAsia="Calibri" w:hAnsi="Calibri" w:cs="Calibri"/>
          <w:lang w:val="en-GB"/>
        </w:rPr>
        <w:t>tudent learning outcomes data can provide insight into teaching quality,</w:t>
      </w:r>
      <w:r w:rsidR="00D45791">
        <w:rPr>
          <w:rFonts w:ascii="Calibri" w:eastAsia="Calibri" w:hAnsi="Calibri" w:cs="Calibri"/>
          <w:lang w:val="en-GB"/>
        </w:rPr>
        <w:t xml:space="preserve"> </w:t>
      </w:r>
      <w:r w:rsidRPr="00E34339">
        <w:rPr>
          <w:rFonts w:ascii="Calibri" w:eastAsia="Calibri" w:hAnsi="Calibri" w:cs="Calibri"/>
          <w:lang w:val="en-GB"/>
        </w:rPr>
        <w:t xml:space="preserve">the lack of systematic collection in many countries makes this approach unreliable. Using a range of approaches including classroom observation data, teacher and education stakeholder data, and fit-for-purpose student assessments, provide a more holistic view of teaching quality. </w:t>
      </w:r>
    </w:p>
    <w:p w14:paraId="53045F88" w14:textId="3C192FFD" w:rsidR="00AB2C2E" w:rsidRDefault="004A01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If gathering student learning outcomes data is a priority, how will funding support a valid and reliable collection that has the potential to provide insight into teaching quality? </w:t>
      </w:r>
      <w:r w:rsidR="00E34339" w:rsidRPr="00E34339">
        <w:rPr>
          <w:rFonts w:ascii="Calibri" w:eastAsia="Calibri" w:hAnsi="Calibri" w:cs="Calibri"/>
          <w:lang w:val="en-GB"/>
        </w:rPr>
        <w:t>An important factor in all three studies was that flexibility was built into the design of each plan. Relevance of student learning outcomes data to a study is always a risk if not purpose-built for that study. Darling-Hammond (2012) emphasi</w:t>
      </w:r>
      <w:r w:rsidR="00AB2C2E">
        <w:rPr>
          <w:rFonts w:ascii="Calibri" w:eastAsia="Calibri" w:hAnsi="Calibri" w:cs="Calibri"/>
          <w:lang w:val="en-GB"/>
        </w:rPr>
        <w:t>s</w:t>
      </w:r>
      <w:r w:rsidR="00E34339" w:rsidRPr="00E34339">
        <w:rPr>
          <w:rFonts w:ascii="Calibri" w:eastAsia="Calibri" w:hAnsi="Calibri" w:cs="Calibri"/>
          <w:lang w:val="en-GB"/>
        </w:rPr>
        <w:t xml:space="preserve">es that there is an assumption that student learning is measured </w:t>
      </w:r>
      <w:r w:rsidR="00E34339" w:rsidRPr="00E34339">
        <w:rPr>
          <w:rFonts w:ascii="Calibri" w:eastAsia="Calibri" w:hAnsi="Calibri" w:cs="Calibri"/>
          <w:i/>
          <w:lang w:val="en-GB"/>
        </w:rPr>
        <w:t>well</w:t>
      </w:r>
      <w:r w:rsidR="00E34339" w:rsidRPr="00E34339">
        <w:rPr>
          <w:rFonts w:ascii="Calibri" w:eastAsia="Calibri" w:hAnsi="Calibri" w:cs="Calibri"/>
          <w:lang w:val="en-GB"/>
        </w:rPr>
        <w:t xml:space="preserve"> by any given test, and is independent from classroom context and peers, as well as other factors. In Timor-Leste, for example, the 2017 World Bank Study </w:t>
      </w:r>
      <w:r w:rsidR="00D45791">
        <w:rPr>
          <w:rFonts w:ascii="Calibri" w:eastAsia="Calibri" w:hAnsi="Calibri" w:cs="Calibri"/>
          <w:lang w:val="en-GB"/>
        </w:rPr>
        <w:t xml:space="preserve">(World Bank, 2018) </w:t>
      </w:r>
      <w:r w:rsidR="00E34339" w:rsidRPr="00E34339">
        <w:rPr>
          <w:rFonts w:ascii="Calibri" w:eastAsia="Calibri" w:hAnsi="Calibri" w:cs="Calibri"/>
          <w:lang w:val="en-GB"/>
        </w:rPr>
        <w:t xml:space="preserve">measured </w:t>
      </w:r>
      <w:r w:rsidR="00D45791">
        <w:rPr>
          <w:rFonts w:ascii="Calibri" w:eastAsia="Calibri" w:hAnsi="Calibri" w:cs="Calibri"/>
          <w:lang w:val="en-GB"/>
        </w:rPr>
        <w:t>student</w:t>
      </w:r>
      <w:r w:rsidR="00D45791" w:rsidRPr="00E34339">
        <w:rPr>
          <w:rFonts w:ascii="Calibri" w:eastAsia="Calibri" w:hAnsi="Calibri" w:cs="Calibri"/>
          <w:lang w:val="en-GB"/>
        </w:rPr>
        <w:t xml:space="preserve"> </w:t>
      </w:r>
      <w:r w:rsidR="00E34339" w:rsidRPr="00E34339">
        <w:rPr>
          <w:rFonts w:ascii="Calibri" w:eastAsia="Calibri" w:hAnsi="Calibri" w:cs="Calibri"/>
          <w:lang w:val="en-GB"/>
        </w:rPr>
        <w:t xml:space="preserve">learning outcomes but there is scant ability to link those outcomes to the ALMA investment. On the other hand, in Laos, emphasis was placed on ensuring that a measure of student learning was funded and integrated as part of the study design. </w:t>
      </w:r>
    </w:p>
    <w:p w14:paraId="56438C9C" w14:textId="1681E55F" w:rsidR="00E34339" w:rsidRPr="00E34339" w:rsidRDefault="00E34339" w:rsidP="00E34339">
      <w:pPr>
        <w:spacing w:after="120" w:line="240" w:lineRule="auto"/>
        <w:rPr>
          <w:rFonts w:ascii="Calibri" w:eastAsia="Calibri" w:hAnsi="Calibri" w:cs="Calibri"/>
          <w:lang w:val="en-GB"/>
        </w:rPr>
      </w:pPr>
      <w:r w:rsidRPr="00E34339">
        <w:rPr>
          <w:rFonts w:ascii="Calibri" w:eastAsia="Calibri" w:hAnsi="Calibri" w:cs="Calibri"/>
          <w:lang w:val="en-GB"/>
        </w:rPr>
        <w:t xml:space="preserve">While each of the country studies was designed based on the funding and teaching investment context, they have informed each other in terms of improving data that can support insight into teaching quality. For example, the classroom observation tool prepared for the Laos study is used as the basis for classroom observations in the Timor-Leste and Vanuatu studies. The observation tool </w:t>
      </w:r>
      <w:r w:rsidR="001F68AC">
        <w:rPr>
          <w:rFonts w:ascii="Calibri" w:eastAsia="Calibri" w:hAnsi="Calibri" w:cs="Calibri"/>
          <w:lang w:val="en-GB"/>
        </w:rPr>
        <w:t>is</w:t>
      </w:r>
      <w:r w:rsidRPr="00E34339">
        <w:rPr>
          <w:rFonts w:ascii="Calibri" w:eastAsia="Calibri" w:hAnsi="Calibri" w:cs="Calibri"/>
          <w:lang w:val="en-GB"/>
        </w:rPr>
        <w:t xml:space="preserve"> adapted and customised for each country’s context. Many components of the Laos tool are applicable in these contexts with slight adjustments in response to specific aspects of curriculum and pedagogies, and cultural nuances. In addition to adapted tools,</w:t>
      </w:r>
      <w:r w:rsidR="004A0139">
        <w:rPr>
          <w:rFonts w:ascii="Calibri" w:eastAsia="Calibri" w:hAnsi="Calibri" w:cs="Calibri"/>
          <w:lang w:val="en-GB"/>
        </w:rPr>
        <w:t xml:space="preserve"> other strategies were used to ensure quality and relevance of the data</w:t>
      </w:r>
      <w:r w:rsidRPr="00E34339">
        <w:rPr>
          <w:rFonts w:ascii="Calibri" w:eastAsia="Calibri" w:hAnsi="Calibri" w:cs="Calibri"/>
          <w:lang w:val="en-GB"/>
        </w:rPr>
        <w:t>, for example</w:t>
      </w:r>
      <w:r w:rsidR="004A0139">
        <w:rPr>
          <w:rFonts w:ascii="Calibri" w:eastAsia="Calibri" w:hAnsi="Calibri" w:cs="Calibri"/>
          <w:lang w:val="en-GB"/>
        </w:rPr>
        <w:t xml:space="preserve"> drawing on the local knowledge and experience of in-country researchers</w:t>
      </w:r>
      <w:r w:rsidRPr="00E34339">
        <w:rPr>
          <w:rFonts w:ascii="Calibri" w:eastAsia="Calibri" w:hAnsi="Calibri" w:cs="Calibri"/>
          <w:lang w:val="en-GB"/>
        </w:rPr>
        <w:t xml:space="preserve"> </w:t>
      </w:r>
      <w:r w:rsidR="004A0139">
        <w:rPr>
          <w:rFonts w:ascii="Calibri" w:eastAsia="Calibri" w:hAnsi="Calibri" w:cs="Calibri"/>
          <w:lang w:val="en-GB"/>
        </w:rPr>
        <w:t xml:space="preserve">in the development and testing of tools and training in data collection and analysis. </w:t>
      </w:r>
    </w:p>
    <w:p w14:paraId="5890A985" w14:textId="254A44E2" w:rsidR="00F14BBE" w:rsidRDefault="00E34339" w:rsidP="00F14BBE">
      <w:proofErr w:type="gramStart"/>
      <w:r w:rsidRPr="00983032">
        <w:rPr>
          <w:rFonts w:ascii="Calibri" w:eastAsia="Calibri" w:hAnsi="Calibri" w:cs="Calibri"/>
          <w:bCs/>
          <w:lang w:val="en-GB"/>
        </w:rPr>
        <w:t>It is clear that any</w:t>
      </w:r>
      <w:proofErr w:type="gramEnd"/>
      <w:r w:rsidRPr="00983032">
        <w:rPr>
          <w:rFonts w:ascii="Calibri" w:eastAsia="Calibri" w:hAnsi="Calibri" w:cs="Calibri"/>
          <w:bCs/>
          <w:lang w:val="en-GB"/>
        </w:rPr>
        <w:t xml:space="preserve"> investment in teaching quality and student learning needs a long-term commitment and resourcing to support rigorous monitoring of outcomes</w:t>
      </w:r>
      <w:r w:rsidR="00AB2C2E" w:rsidRPr="00983032">
        <w:rPr>
          <w:rFonts w:ascii="Calibri" w:eastAsia="Calibri" w:hAnsi="Calibri" w:cs="Calibri"/>
          <w:bCs/>
          <w:lang w:val="en-GB"/>
        </w:rPr>
        <w:t>.</w:t>
      </w:r>
      <w:r w:rsidR="00AB2C2E">
        <w:rPr>
          <w:rFonts w:ascii="Calibri" w:eastAsia="Calibri" w:hAnsi="Calibri" w:cs="Calibri"/>
          <w:lang w:val="en-GB"/>
        </w:rPr>
        <w:t xml:space="preserve"> </w:t>
      </w:r>
      <w:r w:rsidR="003F69F6">
        <w:rPr>
          <w:rFonts w:cstheme="minorHAnsi"/>
          <w:lang w:val="en-GB"/>
        </w:rPr>
        <w:t>However, b</w:t>
      </w:r>
      <w:r w:rsidR="003F69F6" w:rsidRPr="000F4D10">
        <w:rPr>
          <w:rFonts w:cstheme="minorHAnsi"/>
          <w:lang w:val="en-GB"/>
        </w:rPr>
        <w:t xml:space="preserve">udgetary constraints, and </w:t>
      </w:r>
      <w:r w:rsidR="003F69F6">
        <w:rPr>
          <w:rFonts w:cstheme="minorHAnsi"/>
          <w:lang w:val="en-GB"/>
        </w:rPr>
        <w:t xml:space="preserve">changing </w:t>
      </w:r>
      <w:r w:rsidR="003F69F6" w:rsidRPr="000F4D10">
        <w:rPr>
          <w:rFonts w:cstheme="minorHAnsi"/>
          <w:lang w:val="en-GB"/>
        </w:rPr>
        <w:t xml:space="preserve">political priorities </w:t>
      </w:r>
      <w:r w:rsidR="003F69F6" w:rsidRPr="00983032">
        <w:rPr>
          <w:rFonts w:cstheme="minorHAnsi"/>
          <w:lang w:val="en-GB"/>
        </w:rPr>
        <w:t>within schools and the larger national context can facilitate or impede the collection (and use) of student learning outcomes data. Hence, there remains a role for education stakeholders to support the development of system level capacity to implement consistent cycles of learning outcomes data collection, and advocate for multi-year funding commitments to secure this.</w:t>
      </w:r>
      <w:r w:rsidR="00E60A56">
        <w:t xml:space="preserve"> </w:t>
      </w:r>
    </w:p>
    <w:p w14:paraId="40C42B48" w14:textId="77777777" w:rsidR="00F14BBE" w:rsidRPr="00F14BBE" w:rsidRDefault="00F14BBE" w:rsidP="00F14BBE">
      <w:pPr>
        <w:sectPr w:rsidR="00F14BBE" w:rsidRPr="00F14BBE" w:rsidSect="00E34339">
          <w:type w:val="continuous"/>
          <w:pgSz w:w="11906" w:h="16838"/>
          <w:pgMar w:top="1440" w:right="1274" w:bottom="1560" w:left="1304" w:header="709" w:footer="709" w:gutter="0"/>
          <w:cols w:num="2" w:space="312"/>
          <w:docGrid w:linePitch="360"/>
        </w:sectPr>
      </w:pPr>
    </w:p>
    <w:p w14:paraId="123E90A6" w14:textId="77777777" w:rsidR="00E34339" w:rsidRDefault="00E34339" w:rsidP="00E267C9">
      <w:pPr>
        <w:pStyle w:val="Heading1"/>
        <w:rPr>
          <w:rFonts w:cstheme="minorHAnsi"/>
          <w:sz w:val="40"/>
          <w:szCs w:val="40"/>
        </w:rPr>
        <w:sectPr w:rsidR="00E34339" w:rsidSect="00E267C9">
          <w:type w:val="continuous"/>
          <w:pgSz w:w="11906" w:h="16838"/>
          <w:pgMar w:top="1440" w:right="1274" w:bottom="1560" w:left="1304" w:header="709" w:footer="709" w:gutter="0"/>
          <w:cols w:space="312"/>
          <w:docGrid w:linePitch="360"/>
        </w:sectPr>
      </w:pPr>
    </w:p>
    <w:p w14:paraId="5C88D327" w14:textId="77777777" w:rsidR="00CE4F21" w:rsidRDefault="00CE4F21" w:rsidP="00CE4F21">
      <w:pPr>
        <w:pStyle w:val="Heading1"/>
        <w:spacing w:before="0"/>
        <w:rPr>
          <w:rFonts w:cstheme="minorHAnsi"/>
          <w:sz w:val="40"/>
          <w:szCs w:val="40"/>
        </w:rPr>
      </w:pPr>
      <w:r>
        <w:rPr>
          <w:rFonts w:cstheme="minorHAnsi"/>
          <w:sz w:val="40"/>
          <w:szCs w:val="40"/>
        </w:rPr>
        <w:br w:type="page"/>
      </w:r>
    </w:p>
    <w:p w14:paraId="7340AFFF" w14:textId="5B7CC470" w:rsidR="00B321A1" w:rsidRPr="000B4AC1" w:rsidRDefault="00B321A1" w:rsidP="00CE4F21">
      <w:pPr>
        <w:pStyle w:val="Heading1"/>
        <w:spacing w:before="0"/>
        <w:rPr>
          <w:rFonts w:cstheme="minorHAnsi"/>
          <w:sz w:val="40"/>
          <w:szCs w:val="40"/>
        </w:rPr>
      </w:pPr>
      <w:r w:rsidRPr="000B4AC1">
        <w:rPr>
          <w:rFonts w:cstheme="minorHAnsi"/>
          <w:sz w:val="40"/>
          <w:szCs w:val="40"/>
        </w:rPr>
        <w:lastRenderedPageBreak/>
        <w:t>References</w:t>
      </w:r>
    </w:p>
    <w:p w14:paraId="0B849659" w14:textId="77777777"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sz w:val="20"/>
          <w:szCs w:val="20"/>
          <w:lang w:val="en-GB"/>
        </w:rPr>
        <w:t xml:space="preserve">Christenson, S.L., </w:t>
      </w:r>
      <w:proofErr w:type="spellStart"/>
      <w:r w:rsidRPr="00982DA4">
        <w:rPr>
          <w:rFonts w:ascii="Calibri" w:eastAsia="Calibri" w:hAnsi="Calibri" w:cs="Calibri"/>
          <w:sz w:val="20"/>
          <w:szCs w:val="20"/>
          <w:lang w:val="en-GB"/>
        </w:rPr>
        <w:t>Reschly</w:t>
      </w:r>
      <w:proofErr w:type="spellEnd"/>
      <w:r w:rsidRPr="00982DA4">
        <w:rPr>
          <w:rFonts w:ascii="Calibri" w:eastAsia="Calibri" w:hAnsi="Calibri" w:cs="Calibri"/>
          <w:sz w:val="20"/>
          <w:szCs w:val="20"/>
          <w:lang w:val="en-GB"/>
        </w:rPr>
        <w:t xml:space="preserve">, A.L. and Wylie, C. (2012). </w:t>
      </w:r>
      <w:r w:rsidRPr="00982DA4">
        <w:rPr>
          <w:rFonts w:ascii="Calibri" w:eastAsia="Calibri" w:hAnsi="Calibri" w:cs="Calibri"/>
          <w:i/>
          <w:sz w:val="20"/>
          <w:szCs w:val="20"/>
          <w:lang w:val="en-GB"/>
        </w:rPr>
        <w:t>Handbook of Research on Student Engagement</w:t>
      </w:r>
      <w:r w:rsidRPr="00982DA4">
        <w:rPr>
          <w:rFonts w:ascii="Calibri" w:eastAsia="Calibri" w:hAnsi="Calibri" w:cs="Calibri"/>
          <w:sz w:val="20"/>
          <w:szCs w:val="20"/>
          <w:lang w:val="en-GB"/>
        </w:rPr>
        <w:t>. New York, Dordrecht, Heidelberg, London: Springer.</w:t>
      </w:r>
    </w:p>
    <w:p w14:paraId="7888931E" w14:textId="77777777"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noProof/>
          <w:sz w:val="20"/>
          <w:szCs w:val="20"/>
          <w:lang w:val="en-GB"/>
        </w:rPr>
        <w:t xml:space="preserve">Darling-Hammond, L., Amrein-Beardsley, A., Haertel, E. and Rothstein, J. (2012). Evaluating teacher evaluation. </w:t>
      </w:r>
      <w:r w:rsidRPr="00982DA4">
        <w:rPr>
          <w:rFonts w:ascii="Calibri" w:eastAsia="Calibri" w:hAnsi="Calibri" w:cs="Calibri"/>
          <w:i/>
          <w:noProof/>
          <w:sz w:val="20"/>
          <w:szCs w:val="20"/>
          <w:lang w:val="en-GB"/>
        </w:rPr>
        <w:t>Phi Delta Kappan 93(6)</w:t>
      </w:r>
      <w:r w:rsidRPr="00982DA4">
        <w:rPr>
          <w:rFonts w:ascii="Calibri" w:eastAsia="Calibri" w:hAnsi="Calibri" w:cs="Calibri"/>
          <w:noProof/>
          <w:sz w:val="20"/>
          <w:szCs w:val="20"/>
          <w:lang w:val="en-GB"/>
        </w:rPr>
        <w:t>, pp. 8-15.</w:t>
      </w:r>
    </w:p>
    <w:p w14:paraId="2A80EE58" w14:textId="5AE38261"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noProof/>
          <w:sz w:val="20"/>
          <w:szCs w:val="20"/>
          <w:lang w:val="en-GB"/>
        </w:rPr>
        <w:t xml:space="preserve">Independent Expert Advisory Group on a Data Revolution for Sustainable Development. (2014). </w:t>
      </w:r>
      <w:r w:rsidRPr="00982DA4">
        <w:rPr>
          <w:rFonts w:ascii="Calibri" w:eastAsia="Calibri" w:hAnsi="Calibri" w:cs="Calibri"/>
          <w:i/>
          <w:noProof/>
          <w:sz w:val="20"/>
          <w:szCs w:val="20"/>
          <w:lang w:val="en-GB"/>
        </w:rPr>
        <w:t>A world that counts: Mobilising the data revolution for sustainable development</w:t>
      </w:r>
      <w:r w:rsidRPr="00982DA4">
        <w:rPr>
          <w:rFonts w:ascii="Calibri" w:eastAsia="Calibri" w:hAnsi="Calibri" w:cs="Calibri"/>
          <w:noProof/>
          <w:sz w:val="20"/>
          <w:szCs w:val="20"/>
          <w:lang w:val="en-GB"/>
        </w:rPr>
        <w:t xml:space="preserve">. Retrieved from: </w:t>
      </w:r>
      <w:r w:rsidRPr="00E60A56">
        <w:rPr>
          <w:rFonts w:ascii="Calibri" w:eastAsia="Calibri" w:hAnsi="Calibri" w:cs="Calibri"/>
          <w:noProof/>
          <w:sz w:val="20"/>
          <w:szCs w:val="20"/>
          <w:lang w:val="en-GB"/>
        </w:rPr>
        <w:t>https://www.undatarevolution.org/wp-content/uploads/2014/11/A-World-That-Counts.pdf</w:t>
      </w:r>
      <w:r w:rsidRPr="00982DA4">
        <w:rPr>
          <w:rFonts w:ascii="Calibri" w:eastAsia="Calibri" w:hAnsi="Calibri" w:cs="Calibri"/>
          <w:noProof/>
          <w:sz w:val="20"/>
          <w:szCs w:val="20"/>
          <w:lang w:val="en-GB"/>
        </w:rPr>
        <w:t xml:space="preserve"> </w:t>
      </w:r>
    </w:p>
    <w:p w14:paraId="2F4476F8" w14:textId="77777777" w:rsidR="00982DA4" w:rsidRPr="00982DA4" w:rsidRDefault="00982DA4" w:rsidP="00982DA4">
      <w:pPr>
        <w:spacing w:after="120" w:line="240" w:lineRule="auto"/>
        <w:rPr>
          <w:rFonts w:ascii="Calibri" w:eastAsia="Calibri" w:hAnsi="Calibri" w:cs="Calibri"/>
          <w:sz w:val="20"/>
          <w:szCs w:val="20"/>
          <w:lang w:val="en-GB"/>
        </w:rPr>
      </w:pPr>
      <w:r w:rsidRPr="00982DA4">
        <w:rPr>
          <w:rFonts w:ascii="Calibri" w:eastAsia="Calibri" w:hAnsi="Calibri" w:cs="Calibri"/>
          <w:sz w:val="20"/>
          <w:szCs w:val="20"/>
          <w:lang w:val="en-GB"/>
        </w:rPr>
        <w:t xml:space="preserve">Klem, A.M. and Connell, J.P. (2004). Relationships Matter: Linking teacher support to student engagement and achievement. </w:t>
      </w:r>
      <w:r w:rsidRPr="00982DA4">
        <w:rPr>
          <w:rFonts w:ascii="Calibri" w:eastAsia="Calibri" w:hAnsi="Calibri" w:cs="Calibri"/>
          <w:i/>
          <w:sz w:val="20"/>
          <w:szCs w:val="20"/>
          <w:lang w:val="en-GB"/>
        </w:rPr>
        <w:t>Journal of School Health 74</w:t>
      </w:r>
      <w:r w:rsidRPr="00982DA4">
        <w:rPr>
          <w:rFonts w:ascii="Calibri" w:eastAsia="Calibri" w:hAnsi="Calibri" w:cs="Calibri"/>
          <w:sz w:val="20"/>
          <w:szCs w:val="20"/>
          <w:lang w:val="en-GB"/>
        </w:rPr>
        <w:t>(7), 262-273</w:t>
      </w:r>
      <w:r w:rsidRPr="00982DA4">
        <w:rPr>
          <w:rFonts w:ascii="Calibri" w:eastAsia="Calibri" w:hAnsi="Calibri" w:cs="Calibri"/>
          <w:i/>
          <w:sz w:val="20"/>
          <w:szCs w:val="20"/>
          <w:lang w:val="en-GB"/>
        </w:rPr>
        <w:t>.</w:t>
      </w:r>
      <w:r w:rsidRPr="00982DA4">
        <w:rPr>
          <w:rFonts w:ascii="Calibri" w:eastAsia="Calibri" w:hAnsi="Calibri" w:cs="Calibri"/>
          <w:sz w:val="20"/>
          <w:szCs w:val="20"/>
          <w:lang w:val="en-GB"/>
        </w:rPr>
        <w:t xml:space="preserve"> </w:t>
      </w:r>
    </w:p>
    <w:p w14:paraId="7094C921" w14:textId="77777777" w:rsidR="00982DA4" w:rsidRPr="00982DA4" w:rsidRDefault="00982DA4" w:rsidP="00982DA4">
      <w:pPr>
        <w:spacing w:after="120" w:line="240" w:lineRule="auto"/>
        <w:rPr>
          <w:rFonts w:ascii="Calibri" w:eastAsia="Calibri" w:hAnsi="Calibri" w:cs="Calibri"/>
          <w:sz w:val="20"/>
          <w:szCs w:val="20"/>
          <w:lang w:val="en-GB"/>
        </w:rPr>
      </w:pPr>
      <w:r w:rsidRPr="00982DA4">
        <w:rPr>
          <w:rFonts w:ascii="Calibri" w:eastAsia="Calibri" w:hAnsi="Calibri" w:cs="Calibri"/>
          <w:sz w:val="20"/>
          <w:szCs w:val="20"/>
          <w:lang w:val="en-GB"/>
        </w:rPr>
        <w:t xml:space="preserve">Lawson, </w:t>
      </w:r>
      <w:proofErr w:type="gramStart"/>
      <w:r w:rsidRPr="00982DA4">
        <w:rPr>
          <w:rFonts w:ascii="Calibri" w:eastAsia="Calibri" w:hAnsi="Calibri" w:cs="Calibri"/>
          <w:sz w:val="20"/>
          <w:szCs w:val="20"/>
          <w:lang w:val="en-GB"/>
        </w:rPr>
        <w:t>M.A.</w:t>
      </w:r>
      <w:proofErr w:type="gramEnd"/>
      <w:r w:rsidRPr="00982DA4">
        <w:rPr>
          <w:rFonts w:ascii="Calibri" w:eastAsia="Calibri" w:hAnsi="Calibri" w:cs="Calibri"/>
          <w:sz w:val="20"/>
          <w:szCs w:val="20"/>
          <w:lang w:val="en-GB"/>
        </w:rPr>
        <w:t xml:space="preserve"> and Lawson, H.A. (2013). New conceptual frameworks for student engagement research, policy, and practice. </w:t>
      </w:r>
      <w:r w:rsidRPr="00982DA4">
        <w:rPr>
          <w:rFonts w:ascii="Calibri" w:eastAsia="Calibri" w:hAnsi="Calibri" w:cs="Calibri"/>
          <w:i/>
          <w:sz w:val="20"/>
          <w:szCs w:val="20"/>
          <w:lang w:val="en-GB"/>
        </w:rPr>
        <w:t>Review of Educational Research 83</w:t>
      </w:r>
      <w:r w:rsidRPr="00982DA4">
        <w:rPr>
          <w:rFonts w:ascii="Calibri" w:eastAsia="Calibri" w:hAnsi="Calibri" w:cs="Calibri"/>
          <w:sz w:val="20"/>
          <w:szCs w:val="20"/>
          <w:lang w:val="en-GB"/>
        </w:rPr>
        <w:t>(3), 432-479</w:t>
      </w:r>
      <w:r w:rsidRPr="00982DA4">
        <w:rPr>
          <w:rFonts w:ascii="Calibri" w:eastAsia="Calibri" w:hAnsi="Calibri" w:cs="Calibri"/>
          <w:i/>
          <w:sz w:val="20"/>
          <w:szCs w:val="20"/>
          <w:lang w:val="en-GB"/>
        </w:rPr>
        <w:t>.</w:t>
      </w:r>
      <w:r w:rsidRPr="00982DA4">
        <w:rPr>
          <w:rFonts w:ascii="Calibri" w:eastAsia="Calibri" w:hAnsi="Calibri" w:cs="Calibri"/>
          <w:sz w:val="20"/>
          <w:szCs w:val="20"/>
          <w:lang w:val="en-GB"/>
        </w:rPr>
        <w:t xml:space="preserve"> </w:t>
      </w:r>
    </w:p>
    <w:p w14:paraId="16F4EA4E" w14:textId="74FFF05C"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noProof/>
          <w:sz w:val="20"/>
          <w:szCs w:val="20"/>
          <w:lang w:val="en-GB"/>
        </w:rPr>
        <w:t xml:space="preserve">MacFeely, S. (2018). The Big (Data) Bang: What will is mean for compiling SDG indicators? UNCTAD Research Paper, UNCTAD/SER. RP/2018/5 No. 23. Retrieved from: </w:t>
      </w:r>
      <w:hyperlink r:id="rId19" w:tooltip="https://onlinelibrary.wiley.com/doi/full/10.1111/1758-5899.12595" w:history="1">
        <w:r w:rsidRPr="00982DA4">
          <w:rPr>
            <w:rFonts w:ascii="Calibri" w:eastAsia="Calibri" w:hAnsi="Calibri" w:cs="Calibri"/>
            <w:noProof/>
            <w:sz w:val="20"/>
            <w:szCs w:val="20"/>
            <w:lang w:val="en-GB"/>
          </w:rPr>
          <w:t>https://onlinelibrary.wiley.com/doi/full/10.1111/1758-5899.12595</w:t>
        </w:r>
      </w:hyperlink>
      <w:r w:rsidRPr="00982DA4">
        <w:rPr>
          <w:rFonts w:ascii="Calibri" w:eastAsia="Calibri" w:hAnsi="Calibri" w:cs="Calibri"/>
          <w:noProof/>
          <w:sz w:val="20"/>
          <w:szCs w:val="20"/>
          <w:lang w:val="en-GB"/>
        </w:rPr>
        <w:t xml:space="preserve">. </w:t>
      </w:r>
    </w:p>
    <w:p w14:paraId="1AE24BD0" w14:textId="45F68245" w:rsidR="00AA42ED" w:rsidRPr="00982DA4" w:rsidRDefault="00AA42ED" w:rsidP="00AA42ED">
      <w:pPr>
        <w:spacing w:after="120" w:line="240" w:lineRule="auto"/>
        <w:rPr>
          <w:rFonts w:ascii="Calibri" w:eastAsia="Calibri" w:hAnsi="Calibri" w:cs="Calibri"/>
          <w:noProof/>
          <w:sz w:val="20"/>
          <w:szCs w:val="20"/>
          <w:lang w:val="en-GB"/>
        </w:rPr>
      </w:pPr>
      <w:r w:rsidRPr="00982DA4">
        <w:rPr>
          <w:rFonts w:ascii="Calibri" w:eastAsia="Calibri" w:hAnsi="Calibri" w:cs="Calibri"/>
          <w:sz w:val="20"/>
          <w:szCs w:val="20"/>
          <w:lang w:val="en-GB"/>
        </w:rPr>
        <w:t xml:space="preserve">Office of Development Effectiveness. (2015). </w:t>
      </w:r>
      <w:r w:rsidRPr="00982DA4">
        <w:rPr>
          <w:rFonts w:ascii="Calibri" w:eastAsia="Calibri" w:hAnsi="Calibri" w:cs="Calibri"/>
          <w:i/>
          <w:sz w:val="20"/>
          <w:szCs w:val="20"/>
          <w:lang w:val="en-GB"/>
        </w:rPr>
        <w:t>Investing in Teachers</w:t>
      </w:r>
      <w:r w:rsidRPr="00982DA4">
        <w:rPr>
          <w:rFonts w:ascii="Calibri" w:eastAsia="Calibri" w:hAnsi="Calibri" w:cs="Calibri"/>
          <w:sz w:val="20"/>
          <w:szCs w:val="20"/>
          <w:lang w:val="en-GB"/>
        </w:rPr>
        <w:t>. Australian Department of Foreign Affairs and Trade, Canberra. Retrieved from:</w:t>
      </w:r>
      <w:r w:rsidRPr="00982DA4">
        <w:rPr>
          <w:rFonts w:ascii="Calibri" w:eastAsia="Calibri" w:hAnsi="Calibri" w:cs="Calibri"/>
          <w:sz w:val="20"/>
          <w:szCs w:val="20"/>
          <w:lang w:val="en-GB"/>
        </w:rPr>
        <w:br/>
      </w:r>
      <w:hyperlink r:id="rId20" w:tooltip="http://research.acer.edu.au/cgi/viewcontent.cgi?article=1017&amp;context=teacher_education" w:history="1">
        <w:r w:rsidRPr="00982DA4">
          <w:rPr>
            <w:rFonts w:ascii="Calibri" w:eastAsia="Calibri" w:hAnsi="Calibri" w:cs="Calibri"/>
            <w:noProof/>
            <w:sz w:val="20"/>
            <w:szCs w:val="20"/>
            <w:lang w:val="en-GB"/>
          </w:rPr>
          <w:t>http://research.acer.edu.au/cgi/viewcontent.cgi?article=1017&amp;context=teacher_education</w:t>
        </w:r>
      </w:hyperlink>
      <w:r w:rsidRPr="00982DA4">
        <w:rPr>
          <w:rFonts w:ascii="Calibri" w:eastAsia="Calibri" w:hAnsi="Calibri" w:cs="Calibri"/>
          <w:noProof/>
          <w:sz w:val="20"/>
          <w:szCs w:val="20"/>
          <w:lang w:val="en-GB"/>
        </w:rPr>
        <w:t xml:space="preserve">  </w:t>
      </w:r>
    </w:p>
    <w:p w14:paraId="4CCD7ACB" w14:textId="71AB84C6"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noProof/>
          <w:sz w:val="20"/>
          <w:szCs w:val="20"/>
          <w:lang w:val="en-GB"/>
        </w:rPr>
        <w:t xml:space="preserve">Prichett, L. (2015). Creating education systems coherent for learning outcomes: Making the transition from schooling to learning. RISE Working Paper, RISE-WP-15/005, December 2015. Retrieved from: </w:t>
      </w:r>
      <w:hyperlink r:id="rId21" w:tooltip="https://www.riseprogramme.org/sites/www.riseprogramme.org/files/inline-files/RISE_WP-005_Pritchett_1.pdf" w:history="1">
        <w:r w:rsidRPr="00982DA4">
          <w:rPr>
            <w:rFonts w:ascii="Calibri" w:eastAsia="Calibri" w:hAnsi="Calibri" w:cs="Calibri"/>
            <w:noProof/>
            <w:sz w:val="20"/>
            <w:szCs w:val="20"/>
            <w:lang w:val="en-GB"/>
          </w:rPr>
          <w:t>https://www.riseprogramme.org/sites/www.riseprogramme.org/files/inline-files/RISE_WP-005_Pritchett_1.pdf</w:t>
        </w:r>
      </w:hyperlink>
      <w:r w:rsidRPr="00982DA4">
        <w:rPr>
          <w:rFonts w:ascii="Calibri" w:eastAsia="Calibri" w:hAnsi="Calibri" w:cs="Calibri"/>
          <w:noProof/>
          <w:sz w:val="20"/>
          <w:szCs w:val="20"/>
          <w:lang w:val="en-GB"/>
        </w:rPr>
        <w:t xml:space="preserve">. </w:t>
      </w:r>
    </w:p>
    <w:p w14:paraId="01EC8A07" w14:textId="12ECBBDD"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noProof/>
          <w:sz w:val="20"/>
          <w:szCs w:val="20"/>
          <w:lang w:val="en-GB"/>
        </w:rPr>
        <w:t xml:space="preserve">UN General Assembly. (2015, October 21). </w:t>
      </w:r>
      <w:r w:rsidRPr="00982DA4">
        <w:rPr>
          <w:rFonts w:ascii="Calibri" w:eastAsia="Calibri" w:hAnsi="Calibri" w:cs="Calibri"/>
          <w:i/>
          <w:noProof/>
          <w:sz w:val="20"/>
          <w:szCs w:val="20"/>
          <w:lang w:val="en-GB"/>
        </w:rPr>
        <w:t>Transforming our world: The 2030 agenda for sustainable development</w:t>
      </w:r>
      <w:r w:rsidRPr="00982DA4">
        <w:rPr>
          <w:rFonts w:ascii="Calibri" w:eastAsia="Calibri" w:hAnsi="Calibri" w:cs="Calibri"/>
          <w:noProof/>
          <w:sz w:val="20"/>
          <w:szCs w:val="20"/>
          <w:lang w:val="en-GB"/>
        </w:rPr>
        <w:t xml:space="preserve">, A/RES/70/1. New York: UN General Assembly. Retrieved from: </w:t>
      </w:r>
      <w:hyperlink r:id="rId22" w:tooltip="https://www.refworld.org/docid/57b6e3e44.html" w:history="1">
        <w:r w:rsidRPr="00982DA4">
          <w:rPr>
            <w:rFonts w:ascii="Calibri" w:eastAsia="Calibri" w:hAnsi="Calibri" w:cs="Calibri"/>
            <w:noProof/>
            <w:sz w:val="20"/>
            <w:szCs w:val="20"/>
            <w:lang w:val="en-GB"/>
          </w:rPr>
          <w:t>https://www.refworld.org/docid/57b6e3e44.html</w:t>
        </w:r>
      </w:hyperlink>
    </w:p>
    <w:p w14:paraId="6A77DE92" w14:textId="47EC93E8" w:rsidR="00982DA4" w:rsidRPr="00982DA4" w:rsidRDefault="00982DA4" w:rsidP="00982DA4">
      <w:pPr>
        <w:spacing w:after="120" w:line="240" w:lineRule="auto"/>
        <w:rPr>
          <w:rFonts w:ascii="Calibri" w:eastAsia="Calibri" w:hAnsi="Calibri" w:cs="Calibri"/>
          <w:noProof/>
          <w:sz w:val="20"/>
          <w:szCs w:val="20"/>
          <w:lang w:val="en-GB"/>
        </w:rPr>
      </w:pPr>
      <w:r w:rsidRPr="00982DA4">
        <w:rPr>
          <w:rFonts w:ascii="Calibri" w:eastAsia="Calibri" w:hAnsi="Calibri" w:cs="Calibri"/>
          <w:sz w:val="20"/>
          <w:szCs w:val="20"/>
          <w:lang w:val="en-GB"/>
        </w:rPr>
        <w:t xml:space="preserve">Wong, D. (2018). Supporting Timor-Leste’s capacity to support teaching and learning. Melbourne: ACER. Retrieved from: </w:t>
      </w:r>
      <w:hyperlink r:id="rId23" w:tooltip="https://www.acer.org/au/discover/article/supporting-timor-lestes-capacity-to-assess-teaching-and-learning" w:history="1">
        <w:r w:rsidRPr="00982DA4">
          <w:rPr>
            <w:rFonts w:ascii="Calibri" w:eastAsia="Calibri" w:hAnsi="Calibri" w:cs="Calibri"/>
            <w:noProof/>
            <w:sz w:val="20"/>
            <w:szCs w:val="20"/>
            <w:lang w:val="en-GB"/>
          </w:rPr>
          <w:t>https://www.acer.org/au/discover/article/supporting-timor-lestes-capacity-to-assess-teaching-and-learning</w:t>
        </w:r>
      </w:hyperlink>
      <w:r w:rsidRPr="00982DA4">
        <w:rPr>
          <w:rFonts w:ascii="Calibri" w:eastAsia="Calibri" w:hAnsi="Calibri" w:cs="Calibri"/>
          <w:noProof/>
          <w:sz w:val="20"/>
          <w:szCs w:val="20"/>
          <w:lang w:val="en-GB"/>
        </w:rPr>
        <w:t xml:space="preserve">. </w:t>
      </w:r>
    </w:p>
    <w:p w14:paraId="014D9CDB" w14:textId="6C13AEB7" w:rsidR="00E267C9" w:rsidRPr="00886AF2" w:rsidRDefault="00AA42ED" w:rsidP="00774723">
      <w:pPr>
        <w:pStyle w:val="FootnoteText"/>
        <w:spacing w:after="240"/>
        <w:rPr>
          <w:rFonts w:cstheme="minorHAnsi"/>
        </w:rPr>
      </w:pPr>
      <w:r w:rsidRPr="00983032">
        <w:rPr>
          <w:rFonts w:cstheme="minorHAnsi"/>
        </w:rPr>
        <w:t>World Bank</w:t>
      </w:r>
      <w:r>
        <w:rPr>
          <w:rFonts w:cstheme="minorHAnsi"/>
        </w:rPr>
        <w:t>.</w:t>
      </w:r>
      <w:r w:rsidRPr="00983032">
        <w:rPr>
          <w:rFonts w:cstheme="minorHAnsi"/>
        </w:rPr>
        <w:t xml:space="preserve"> (2018). Lessons learned from an early assessment (2017) of two innovations in basic education in Timor-Leste. Final Draft, 25 January 2018.</w:t>
      </w:r>
    </w:p>
    <w:p w14:paraId="19872D71" w14:textId="77777777" w:rsidR="00B321A1" w:rsidRPr="000B4AC1" w:rsidRDefault="00B321A1" w:rsidP="00E267C9">
      <w:pPr>
        <w:pStyle w:val="Heading1"/>
        <w:rPr>
          <w:rFonts w:cstheme="minorHAnsi"/>
          <w:sz w:val="40"/>
          <w:szCs w:val="40"/>
        </w:rPr>
      </w:pPr>
      <w:r w:rsidRPr="000B4AC1">
        <w:rPr>
          <w:rFonts w:cstheme="minorHAnsi"/>
          <w:sz w:val="40"/>
          <w:szCs w:val="40"/>
        </w:rPr>
        <w:t>About the authors</w:t>
      </w:r>
    </w:p>
    <w:p w14:paraId="72124649" w14:textId="5B7781C2" w:rsidR="00982DA4" w:rsidRPr="00982DA4" w:rsidRDefault="00982DA4" w:rsidP="00982DA4">
      <w:pPr>
        <w:spacing w:after="120" w:line="240" w:lineRule="auto"/>
        <w:rPr>
          <w:rFonts w:eastAsia="Calibri" w:cstheme="minorHAnsi"/>
          <w:sz w:val="20"/>
          <w:szCs w:val="20"/>
          <w:lang w:val="en-GB"/>
        </w:rPr>
      </w:pPr>
      <w:r w:rsidRPr="00982DA4">
        <w:rPr>
          <w:rFonts w:eastAsia="Calibri" w:cstheme="minorHAnsi"/>
          <w:b/>
          <w:sz w:val="20"/>
          <w:szCs w:val="20"/>
          <w:lang w:val="en-GB"/>
        </w:rPr>
        <w:t xml:space="preserve">Elizabeth </w:t>
      </w:r>
      <w:proofErr w:type="spellStart"/>
      <w:r w:rsidRPr="00982DA4">
        <w:rPr>
          <w:rFonts w:eastAsia="Calibri" w:cstheme="minorHAnsi"/>
          <w:b/>
          <w:sz w:val="20"/>
          <w:szCs w:val="20"/>
          <w:lang w:val="en-GB"/>
        </w:rPr>
        <w:t>Cassity</w:t>
      </w:r>
      <w:proofErr w:type="spellEnd"/>
      <w:r w:rsidRPr="00982DA4">
        <w:rPr>
          <w:rFonts w:eastAsia="Calibri" w:cstheme="minorHAnsi"/>
          <w:sz w:val="20"/>
          <w:szCs w:val="20"/>
          <w:lang w:val="en-GB"/>
        </w:rPr>
        <w:t xml:space="preserve"> is a Senior Research Fellow in the Educational Monitoring and Research Division at the Australian Council for Educational Research. Elizabeth co-leads</w:t>
      </w:r>
      <w:r w:rsidR="0039442A">
        <w:rPr>
          <w:rFonts w:eastAsia="Calibri" w:cstheme="minorHAnsi"/>
          <w:sz w:val="20"/>
          <w:szCs w:val="20"/>
          <w:lang w:val="en-GB"/>
        </w:rPr>
        <w:t xml:space="preserve"> </w:t>
      </w:r>
      <w:r w:rsidRPr="00982DA4">
        <w:rPr>
          <w:rFonts w:eastAsia="Calibri" w:cstheme="minorHAnsi"/>
          <w:sz w:val="20"/>
          <w:szCs w:val="20"/>
          <w:lang w:val="en-GB"/>
        </w:rPr>
        <w:t>the Vanuatu and Timor-Leste study teams of the DFAT teacher development study series.</w:t>
      </w:r>
    </w:p>
    <w:p w14:paraId="421F4AA4" w14:textId="75DC47B7" w:rsidR="00982DA4" w:rsidRPr="00982DA4" w:rsidRDefault="00982DA4" w:rsidP="00F36EEC">
      <w:pPr>
        <w:spacing w:after="120" w:line="240" w:lineRule="auto"/>
        <w:rPr>
          <w:rFonts w:eastAsia="Calibri" w:cstheme="minorHAnsi"/>
          <w:sz w:val="20"/>
          <w:szCs w:val="20"/>
          <w:lang w:val="en-GB"/>
        </w:rPr>
      </w:pPr>
      <w:r w:rsidRPr="00982DA4">
        <w:rPr>
          <w:rFonts w:eastAsia="Calibri" w:cstheme="minorHAnsi"/>
          <w:b/>
          <w:sz w:val="20"/>
          <w:szCs w:val="20"/>
          <w:lang w:val="en-GB"/>
        </w:rPr>
        <w:t>Debbie Wong</w:t>
      </w:r>
      <w:r w:rsidRPr="00982DA4">
        <w:rPr>
          <w:rFonts w:eastAsia="Calibri" w:cstheme="minorHAnsi"/>
          <w:sz w:val="20"/>
          <w:szCs w:val="20"/>
          <w:lang w:val="en-GB"/>
        </w:rPr>
        <w:t xml:space="preserve"> is a Senior Research Fellow in the Educational Monitoring and Rese</w:t>
      </w:r>
      <w:r w:rsidR="00F36EEC">
        <w:rPr>
          <w:rFonts w:eastAsia="Calibri" w:cstheme="minorHAnsi"/>
          <w:sz w:val="20"/>
          <w:szCs w:val="20"/>
          <w:lang w:val="en-GB"/>
        </w:rPr>
        <w:t xml:space="preserve">arch Division at the Australian </w:t>
      </w:r>
      <w:r w:rsidRPr="00982DA4">
        <w:rPr>
          <w:rFonts w:eastAsia="Calibri" w:cstheme="minorHAnsi"/>
          <w:sz w:val="20"/>
          <w:szCs w:val="20"/>
          <w:lang w:val="en-GB"/>
        </w:rPr>
        <w:t xml:space="preserve">Council for Educational Research. Debbie is the Project Manager for the DFAT teacher development study </w:t>
      </w:r>
      <w:proofErr w:type="gramStart"/>
      <w:r w:rsidRPr="00982DA4">
        <w:rPr>
          <w:rFonts w:eastAsia="Calibri" w:cstheme="minorHAnsi"/>
          <w:sz w:val="20"/>
          <w:szCs w:val="20"/>
          <w:lang w:val="en-GB"/>
        </w:rPr>
        <w:t>series, and</w:t>
      </w:r>
      <w:proofErr w:type="gramEnd"/>
      <w:r w:rsidRPr="00982DA4">
        <w:rPr>
          <w:rFonts w:eastAsia="Calibri" w:cstheme="minorHAnsi"/>
          <w:sz w:val="20"/>
          <w:szCs w:val="20"/>
          <w:lang w:val="en-GB"/>
        </w:rPr>
        <w:t xml:space="preserve"> co-leads the Laos and Vanuatu study teams of the DFAT teacher development study series.</w:t>
      </w:r>
    </w:p>
    <w:p w14:paraId="2DF56B4E" w14:textId="77777777" w:rsidR="00B321A1" w:rsidRPr="000B4AC1" w:rsidRDefault="00B321A1" w:rsidP="00804659">
      <w:pPr>
        <w:spacing w:before="120"/>
        <w:rPr>
          <w:rFonts w:cstheme="minorHAnsi"/>
        </w:rPr>
        <w:sectPr w:rsidR="00B321A1" w:rsidRPr="000B4AC1" w:rsidSect="00B321A1">
          <w:type w:val="continuous"/>
          <w:pgSz w:w="11906" w:h="16838"/>
          <w:pgMar w:top="1440" w:right="1274" w:bottom="1560" w:left="1304" w:header="709" w:footer="709" w:gutter="0"/>
          <w:cols w:space="312"/>
          <w:docGrid w:linePitch="360"/>
        </w:sectPr>
      </w:pPr>
    </w:p>
    <w:p w14:paraId="3B22625B" w14:textId="77777777" w:rsidR="00804659" w:rsidRPr="000B4AC1" w:rsidRDefault="00804659" w:rsidP="00804659">
      <w:pPr>
        <w:spacing w:before="120"/>
        <w:rPr>
          <w:rFonts w:cstheme="minorHAnsi"/>
        </w:rPr>
        <w:sectPr w:rsidR="00804659" w:rsidRPr="000B4AC1" w:rsidSect="00804659">
          <w:type w:val="continuous"/>
          <w:pgSz w:w="11906" w:h="16838"/>
          <w:pgMar w:top="1440" w:right="1274" w:bottom="1560" w:left="1304" w:header="709" w:footer="709" w:gutter="0"/>
          <w:cols w:num="2" w:space="312"/>
          <w:docGrid w:linePitch="360"/>
        </w:sectPr>
      </w:pPr>
    </w:p>
    <w:p w14:paraId="312420CA" w14:textId="77777777" w:rsidR="00804659" w:rsidRPr="000B4AC1" w:rsidRDefault="00804659" w:rsidP="00122DA7">
      <w:pPr>
        <w:spacing w:before="120"/>
        <w:rPr>
          <w:rFonts w:cstheme="minorHAnsi"/>
        </w:rPr>
        <w:sectPr w:rsidR="00804659" w:rsidRPr="000B4AC1" w:rsidSect="003322BF">
          <w:type w:val="continuous"/>
          <w:pgSz w:w="11906" w:h="16838"/>
          <w:pgMar w:top="1440" w:right="1304" w:bottom="1560" w:left="1304" w:header="709" w:footer="709" w:gutter="0"/>
          <w:cols w:space="709"/>
          <w:docGrid w:linePitch="360"/>
        </w:sectPr>
      </w:pPr>
    </w:p>
    <w:p w14:paraId="520AB628" w14:textId="77777777" w:rsidR="00D91711" w:rsidRPr="000B4AC1" w:rsidRDefault="00D91711" w:rsidP="007306A4">
      <w:pPr>
        <w:rPr>
          <w:rFonts w:cstheme="minorHAnsi"/>
        </w:rPr>
      </w:pPr>
    </w:p>
    <w:sectPr w:rsidR="00D91711" w:rsidRPr="000B4AC1" w:rsidSect="003322BF">
      <w:type w:val="continuous"/>
      <w:pgSz w:w="11906" w:h="16838"/>
      <w:pgMar w:top="1440" w:right="1304" w:bottom="1560" w:left="130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4E360" w14:textId="77777777" w:rsidR="00CD7B47" w:rsidRDefault="00CD7B47" w:rsidP="00802541">
      <w:pPr>
        <w:spacing w:after="0" w:line="240" w:lineRule="auto"/>
      </w:pPr>
      <w:r>
        <w:separator/>
      </w:r>
    </w:p>
  </w:endnote>
  <w:endnote w:type="continuationSeparator" w:id="0">
    <w:p w14:paraId="53B9B618" w14:textId="77777777" w:rsidR="00CD7B47" w:rsidRDefault="00CD7B47" w:rsidP="0080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499ED" w14:textId="671B8182" w:rsidR="00774723" w:rsidRPr="00774723" w:rsidRDefault="00774723" w:rsidP="00774723">
    <w:pPr>
      <w:pStyle w:val="Footer"/>
      <w:jc w:val="right"/>
      <w:rPr>
        <w:color w:val="276E8B" w:themeColor="accent1"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169999"/>
      <w:docPartObj>
        <w:docPartGallery w:val="Page Numbers (Bottom of Page)"/>
        <w:docPartUnique/>
      </w:docPartObj>
    </w:sdtPr>
    <w:sdtEndPr>
      <w:rPr>
        <w:color w:val="276E8B" w:themeColor="accent1" w:themeShade="BF"/>
      </w:rPr>
    </w:sdtEndPr>
    <w:sdtContent>
      <w:p w14:paraId="25B7C3CB" w14:textId="77777777" w:rsidR="00774723" w:rsidRPr="00254106" w:rsidRDefault="00774723" w:rsidP="00254106">
        <w:pPr>
          <w:pStyle w:val="Footer"/>
          <w:jc w:val="right"/>
          <w:rPr>
            <w:color w:val="276E8B" w:themeColor="accent1" w:themeShade="BF"/>
          </w:rPr>
        </w:pPr>
        <w:r w:rsidRPr="00254106">
          <w:rPr>
            <w:color w:val="276E8B" w:themeColor="accent1" w:themeShade="BF"/>
          </w:rPr>
          <w:t xml:space="preserve">Page | </w:t>
        </w:r>
        <w:r w:rsidRPr="00254106">
          <w:rPr>
            <w:color w:val="276E8B" w:themeColor="accent1" w:themeShade="BF"/>
          </w:rPr>
          <w:fldChar w:fldCharType="begin"/>
        </w:r>
        <w:r w:rsidRPr="00254106">
          <w:rPr>
            <w:color w:val="276E8B" w:themeColor="accent1" w:themeShade="BF"/>
          </w:rPr>
          <w:instrText xml:space="preserve"> PAGE   \* MERGEFORMAT </w:instrText>
        </w:r>
        <w:r w:rsidRPr="00254106">
          <w:rPr>
            <w:color w:val="276E8B" w:themeColor="accent1" w:themeShade="BF"/>
          </w:rPr>
          <w:fldChar w:fldCharType="separate"/>
        </w:r>
        <w:r w:rsidR="00CA2F70">
          <w:rPr>
            <w:noProof/>
            <w:color w:val="276E8B" w:themeColor="accent1" w:themeShade="BF"/>
          </w:rPr>
          <w:t>1</w:t>
        </w:r>
        <w:r w:rsidRPr="00254106">
          <w:rPr>
            <w:noProof/>
            <w:color w:val="276E8B" w:themeColor="accent1" w:themeShade="BF"/>
          </w:rPr>
          <w:fldChar w:fldCharType="end"/>
        </w:r>
        <w:r w:rsidRPr="00254106">
          <w:rPr>
            <w:color w:val="276E8B" w:themeColor="accent1" w:themeShade="BF"/>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0023519"/>
      <w:docPartObj>
        <w:docPartGallery w:val="Page Numbers (Bottom of Page)"/>
        <w:docPartUnique/>
      </w:docPartObj>
    </w:sdtPr>
    <w:sdtEndPr>
      <w:rPr>
        <w:color w:val="276E8B" w:themeColor="accent1" w:themeShade="BF"/>
      </w:rPr>
    </w:sdtEndPr>
    <w:sdtContent>
      <w:p w14:paraId="41F011ED" w14:textId="77777777" w:rsidR="00774723" w:rsidRPr="00254106" w:rsidRDefault="00774723" w:rsidP="00254106">
        <w:pPr>
          <w:pStyle w:val="Footer"/>
          <w:jc w:val="right"/>
          <w:rPr>
            <w:color w:val="276E8B" w:themeColor="accent1" w:themeShade="BF"/>
          </w:rPr>
        </w:pPr>
        <w:r w:rsidRPr="00254106">
          <w:rPr>
            <w:color w:val="276E8B" w:themeColor="accent1" w:themeShade="BF"/>
          </w:rPr>
          <w:t xml:space="preserve">Page | </w:t>
        </w:r>
        <w:r w:rsidRPr="00254106">
          <w:rPr>
            <w:color w:val="276E8B" w:themeColor="accent1" w:themeShade="BF"/>
          </w:rPr>
          <w:fldChar w:fldCharType="begin"/>
        </w:r>
        <w:r w:rsidRPr="00254106">
          <w:rPr>
            <w:color w:val="276E8B" w:themeColor="accent1" w:themeShade="BF"/>
          </w:rPr>
          <w:instrText xml:space="preserve"> PAGE   \* MERGEFORMAT </w:instrText>
        </w:r>
        <w:r w:rsidRPr="00254106">
          <w:rPr>
            <w:color w:val="276E8B" w:themeColor="accent1" w:themeShade="BF"/>
          </w:rPr>
          <w:fldChar w:fldCharType="separate"/>
        </w:r>
        <w:r w:rsidR="00302A78">
          <w:rPr>
            <w:noProof/>
            <w:color w:val="276E8B" w:themeColor="accent1" w:themeShade="BF"/>
          </w:rPr>
          <w:t>1</w:t>
        </w:r>
        <w:r w:rsidRPr="00254106">
          <w:rPr>
            <w:noProof/>
            <w:color w:val="276E8B" w:themeColor="accent1" w:themeShade="BF"/>
          </w:rPr>
          <w:fldChar w:fldCharType="end"/>
        </w:r>
        <w:r w:rsidRPr="00254106">
          <w:rPr>
            <w:color w:val="276E8B" w:themeColor="accent1" w:themeShade="B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76E8B" w:themeColor="accent1" w:themeShade="BF"/>
      </w:rPr>
      <w:id w:val="-1923934283"/>
      <w:docPartObj>
        <w:docPartGallery w:val="Page Numbers (Bottom of Page)"/>
        <w:docPartUnique/>
      </w:docPartObj>
    </w:sdtPr>
    <w:sdtEndPr/>
    <w:sdtContent>
      <w:p w14:paraId="2476C4D6" w14:textId="77777777" w:rsidR="00774723" w:rsidRPr="00774723" w:rsidRDefault="00774723" w:rsidP="00774723">
        <w:pPr>
          <w:pStyle w:val="Footer"/>
          <w:jc w:val="right"/>
          <w:rPr>
            <w:color w:val="276E8B" w:themeColor="accent1" w:themeShade="BF"/>
          </w:rPr>
        </w:pPr>
        <w:r w:rsidRPr="00774723">
          <w:rPr>
            <w:color w:val="276E8B" w:themeColor="accent1" w:themeShade="BF"/>
          </w:rPr>
          <w:t xml:space="preserve">Page | </w:t>
        </w:r>
        <w:r w:rsidRPr="00774723">
          <w:rPr>
            <w:color w:val="276E8B" w:themeColor="accent1" w:themeShade="BF"/>
          </w:rPr>
          <w:fldChar w:fldCharType="begin"/>
        </w:r>
        <w:r w:rsidRPr="00774723">
          <w:rPr>
            <w:color w:val="276E8B" w:themeColor="accent1" w:themeShade="BF"/>
          </w:rPr>
          <w:instrText xml:space="preserve"> PAGE   \* MERGEFORMAT </w:instrText>
        </w:r>
        <w:r w:rsidRPr="00774723">
          <w:rPr>
            <w:color w:val="276E8B" w:themeColor="accent1" w:themeShade="BF"/>
          </w:rPr>
          <w:fldChar w:fldCharType="separate"/>
        </w:r>
        <w:r w:rsidR="00302A78">
          <w:rPr>
            <w:noProof/>
            <w:color w:val="276E8B" w:themeColor="accent1" w:themeShade="BF"/>
          </w:rPr>
          <w:t>10</w:t>
        </w:r>
        <w:r w:rsidRPr="00774723">
          <w:rPr>
            <w:noProof/>
            <w:color w:val="276E8B" w:themeColor="accent1" w:themeShade="BF"/>
          </w:rPr>
          <w:fldChar w:fldCharType="end"/>
        </w:r>
        <w:r w:rsidRPr="00774723">
          <w:rPr>
            <w:color w:val="276E8B" w:themeColor="accent1" w:themeShade="BF"/>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B6ACB" w14:textId="77777777" w:rsidR="00CD7B47" w:rsidRDefault="00CD7B47" w:rsidP="00802541">
      <w:pPr>
        <w:spacing w:after="0" w:line="240" w:lineRule="auto"/>
      </w:pPr>
      <w:r>
        <w:separator/>
      </w:r>
    </w:p>
  </w:footnote>
  <w:footnote w:type="continuationSeparator" w:id="0">
    <w:p w14:paraId="709234A6" w14:textId="77777777" w:rsidR="00CD7B47" w:rsidRDefault="00CD7B47" w:rsidP="00802541">
      <w:pPr>
        <w:spacing w:after="0" w:line="240" w:lineRule="auto"/>
      </w:pPr>
      <w:r>
        <w:continuationSeparator/>
      </w:r>
    </w:p>
  </w:footnote>
  <w:footnote w:id="1">
    <w:p w14:paraId="281D9F16" w14:textId="77777777" w:rsidR="00150682" w:rsidRPr="00150682" w:rsidRDefault="00150682" w:rsidP="00150682">
      <w:pPr>
        <w:pStyle w:val="FootnoteText"/>
        <w:rPr>
          <w:rFonts w:asciiTheme="majorHAnsi" w:hAnsiTheme="majorHAnsi" w:cstheme="majorHAnsi"/>
          <w:sz w:val="16"/>
          <w:szCs w:val="16"/>
        </w:rPr>
      </w:pPr>
      <w:r w:rsidRPr="00150682">
        <w:rPr>
          <w:rStyle w:val="FootnoteReference"/>
          <w:rFonts w:asciiTheme="majorHAnsi" w:hAnsiTheme="majorHAnsi" w:cstheme="majorHAnsi"/>
          <w:sz w:val="16"/>
          <w:szCs w:val="16"/>
        </w:rPr>
        <w:footnoteRef/>
      </w:r>
      <w:r w:rsidRPr="00150682">
        <w:rPr>
          <w:rFonts w:asciiTheme="majorHAnsi" w:hAnsiTheme="majorHAnsi" w:cstheme="majorHAnsi"/>
          <w:sz w:val="16"/>
          <w:szCs w:val="16"/>
        </w:rPr>
        <w:t xml:space="preserve"> In 2019, the Professional Learning and Mentoring Program (PLMP) was renamed </w:t>
      </w:r>
      <w:r w:rsidRPr="00766E47">
        <w:rPr>
          <w:rFonts w:asciiTheme="majorHAnsi" w:hAnsiTheme="majorHAnsi" w:cstheme="majorHAnsi"/>
          <w:sz w:val="16"/>
          <w:szCs w:val="16"/>
          <w:u w:val="single"/>
        </w:rPr>
        <w:t>Apoio Lideransa liuhusi Mentoria no Aprendizajen</w:t>
      </w:r>
      <w:r w:rsidRPr="00766E47">
        <w:rPr>
          <w:rFonts w:asciiTheme="majorHAnsi" w:hAnsiTheme="majorHAnsi" w:cstheme="majorHAnsi"/>
          <w:sz w:val="16"/>
          <w:szCs w:val="16"/>
        </w:rPr>
        <w:t xml:space="preserve"> (ALMA) </w:t>
      </w:r>
      <w:r w:rsidRPr="00150682">
        <w:rPr>
          <w:rFonts w:asciiTheme="majorHAnsi" w:hAnsiTheme="majorHAnsi" w:cstheme="majorHAnsi"/>
          <w:sz w:val="16"/>
          <w:szCs w:val="16"/>
        </w:rPr>
        <w:t>to align with its ownership by Timor-Leste’s Ministry of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37AA" w14:textId="77777777" w:rsidR="00774723" w:rsidRDefault="00774723">
    <w:pPr>
      <w:pStyle w:val="Header"/>
    </w:pPr>
    <w:r>
      <w:rPr>
        <w:noProof/>
        <w:lang w:eastAsia="en-AU"/>
      </w:rPr>
      <mc:AlternateContent>
        <mc:Choice Requires="wps">
          <w:drawing>
            <wp:inline distT="0" distB="0" distL="0" distR="0" wp14:anchorId="5F2F7269" wp14:editId="3A451783">
              <wp:extent cx="5904230" cy="234950"/>
              <wp:effectExtent l="0" t="0" r="1270" b="0"/>
              <wp:docPr id="7" name="Rectangle 7" title="decorative header"/>
              <wp:cNvGraphicFramePr/>
              <a:graphic xmlns:a="http://schemas.openxmlformats.org/drawingml/2006/main">
                <a:graphicData uri="http://schemas.microsoft.com/office/word/2010/wordprocessingShape">
                  <wps:wsp>
                    <wps:cNvSpPr/>
                    <wps:spPr>
                      <a:xfrm>
                        <a:off x="0" y="0"/>
                        <a:ext cx="5904230" cy="2349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1BAD6" w14:textId="77777777" w:rsidR="00774723" w:rsidRPr="003F7999" w:rsidRDefault="00774723" w:rsidP="00774723">
                          <w:pPr>
                            <w:pStyle w:val="Header"/>
                            <w:jc w:val="right"/>
                            <w:rPr>
                              <w:rFonts w:asciiTheme="majorHAnsi" w:hAnsiTheme="majorHAnsi" w:cstheme="majorHAnsi"/>
                              <w:caps/>
                              <w:color w:val="134163" w:themeColor="accent6" w:themeShade="80"/>
                              <w:sz w:val="14"/>
                              <w:szCs w:val="14"/>
                            </w:rPr>
                          </w:pPr>
                          <w:r w:rsidRPr="003F7999">
                            <w:rPr>
                              <w:rFonts w:asciiTheme="majorHAnsi" w:hAnsiTheme="majorHAnsi" w:cstheme="majorHAnsi"/>
                              <w:caps/>
                              <w:color w:val="134163" w:themeColor="accent6" w:themeShade="80"/>
                              <w:sz w:val="14"/>
                              <w:szCs w:val="14"/>
                            </w:rPr>
                            <w:t>Education Analytics Service Teacher Development Study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2F7269" id="Rectangle 7" o:spid="_x0000_s1026" alt="Title: decorative header" style="width:464.9pt;height: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" fillcolor="#ddf0f2 [661]" stroked="f" strokeweight="1pt">
              <v:textbox>
                <w:txbxContent>
                  <w:p w14:paraId="2A51BAD6" w14:textId="77777777" w:rsidR="00774723" w:rsidRPr="003F7999" w:rsidRDefault="00774723" w:rsidP="00774723">
                    <w:pPr>
                      <w:pStyle w:val="Header"/>
                      <w:jc w:val="right"/>
                      <w:rPr>
                        <w:rFonts w:asciiTheme="majorHAnsi" w:hAnsiTheme="majorHAnsi" w:cstheme="majorHAnsi"/>
                        <w:caps/>
                        <w:color w:val="134163" w:themeColor="accent6" w:themeShade="80"/>
                        <w:sz w:val="14"/>
                        <w:szCs w:val="14"/>
                      </w:rPr>
                    </w:pPr>
                    <w:r w:rsidRPr="003F7999">
                      <w:rPr>
                        <w:rFonts w:asciiTheme="majorHAnsi" w:hAnsiTheme="majorHAnsi" w:cstheme="majorHAnsi"/>
                        <w:caps/>
                        <w:color w:val="134163" w:themeColor="accent6" w:themeShade="80"/>
                        <w:sz w:val="14"/>
                        <w:szCs w:val="14"/>
                      </w:rPr>
                      <w:t>Education Analytics Service Teacher Development Study Series</w:t>
                    </w: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C388" w14:textId="2664E661" w:rsidR="00774723" w:rsidRDefault="00774723">
    <w:pPr>
      <w:pStyle w:val="Header"/>
    </w:pPr>
    <w:r>
      <w:rPr>
        <w:noProof/>
        <w:lang w:eastAsia="en-AU"/>
      </w:rPr>
      <mc:AlternateContent>
        <mc:Choice Requires="wps">
          <w:drawing>
            <wp:inline distT="0" distB="0" distL="0" distR="0" wp14:anchorId="07E6CC97" wp14:editId="6F647753">
              <wp:extent cx="5904230" cy="234950"/>
              <wp:effectExtent l="0" t="0" r="1270" b="0"/>
              <wp:docPr id="5" name="Rectangle 5" title="decorative header"/>
              <wp:cNvGraphicFramePr/>
              <a:graphic xmlns:a="http://schemas.openxmlformats.org/drawingml/2006/main">
                <a:graphicData uri="http://schemas.microsoft.com/office/word/2010/wordprocessingShape">
                  <wps:wsp>
                    <wps:cNvSpPr/>
                    <wps:spPr>
                      <a:xfrm>
                        <a:off x="0" y="0"/>
                        <a:ext cx="5904230" cy="23495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36134" w14:textId="77777777" w:rsidR="00774723" w:rsidRPr="003B7694" w:rsidRDefault="00774723" w:rsidP="00774723">
                          <w:pPr>
                            <w:pStyle w:val="Header"/>
                            <w:jc w:val="right"/>
                            <w:rPr>
                              <w:rFonts w:asciiTheme="majorHAnsi" w:hAnsiTheme="majorHAnsi" w:cstheme="majorHAnsi"/>
                              <w:caps/>
                              <w:color w:val="808080" w:themeColor="background1" w:themeShade="80"/>
                              <w:sz w:val="14"/>
                              <w:szCs w:val="14"/>
                            </w:rPr>
                          </w:pPr>
                          <w:r w:rsidRPr="003F7999">
                            <w:rPr>
                              <w:rFonts w:asciiTheme="majorHAnsi" w:hAnsiTheme="majorHAnsi" w:cstheme="majorHAnsi"/>
                              <w:caps/>
                              <w:color w:val="134163" w:themeColor="accent6" w:themeShade="80"/>
                              <w:sz w:val="14"/>
                              <w:szCs w:val="14"/>
                            </w:rPr>
                            <w:t>Education Analytics Service Teacher Development Study Series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E6CC97" id="Rectangle 5" o:spid="_x0000_s1027" alt="Title: decorative header" style="width:464.9pt;height:1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" fillcolor="#ddf0f2 [661]" stroked="f" strokeweight="1pt">
              <v:textbox>
                <w:txbxContent>
                  <w:p w14:paraId="35736134" w14:textId="77777777" w:rsidR="00774723" w:rsidRPr="003B7694" w:rsidRDefault="00774723" w:rsidP="00774723">
                    <w:pPr>
                      <w:pStyle w:val="Header"/>
                      <w:jc w:val="right"/>
                      <w:rPr>
                        <w:rFonts w:asciiTheme="majorHAnsi" w:hAnsiTheme="majorHAnsi" w:cstheme="majorHAnsi"/>
                        <w:caps/>
                        <w:color w:val="808080" w:themeColor="background1" w:themeShade="80"/>
                        <w:sz w:val="14"/>
                        <w:szCs w:val="14"/>
                      </w:rPr>
                    </w:pPr>
                    <w:r w:rsidRPr="003F7999">
                      <w:rPr>
                        <w:rFonts w:asciiTheme="majorHAnsi" w:hAnsiTheme="majorHAnsi" w:cstheme="majorHAnsi"/>
                        <w:caps/>
                        <w:color w:val="134163" w:themeColor="accent6" w:themeShade="80"/>
                        <w:sz w:val="14"/>
                        <w:szCs w:val="14"/>
                      </w:rPr>
                      <w:t>Education Analytics Service Teacher Development Study Series</w:t>
                    </w:r>
                  </w:p>
                </w:txbxContent>
              </v:textbox>
              <w10:anchorlock/>
            </v:rect>
          </w:pict>
        </mc:Fallback>
      </mc:AlternateContent>
    </w:r>
  </w:p>
  <w:p w14:paraId="35EA383C" w14:textId="77777777" w:rsidR="00774723" w:rsidRDefault="00774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691A"/>
    <w:multiLevelType w:val="hybridMultilevel"/>
    <w:tmpl w:val="BE3EC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C3025"/>
    <w:multiLevelType w:val="hybridMultilevel"/>
    <w:tmpl w:val="4DC6351A"/>
    <w:lvl w:ilvl="0" w:tplc="A9A47214">
      <w:start w:val="1"/>
      <w:numFmt w:val="decimal"/>
      <w:lvlText w:val="%1."/>
      <w:lvlJc w:val="left"/>
      <w:pPr>
        <w:ind w:left="1353" w:hanging="360"/>
      </w:pPr>
      <w:rPr>
        <w:b/>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45A742E"/>
    <w:multiLevelType w:val="hybridMultilevel"/>
    <w:tmpl w:val="44303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C23D3"/>
    <w:multiLevelType w:val="hybridMultilevel"/>
    <w:tmpl w:val="06A2E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276E00"/>
    <w:multiLevelType w:val="multilevel"/>
    <w:tmpl w:val="A37C3CB8"/>
    <w:lvl w:ilvl="0">
      <w:start w:val="1"/>
      <w:numFmt w:val="decimal"/>
      <w:lvlText w:val="%1."/>
      <w:lvlJc w:val="left"/>
      <w:pPr>
        <w:tabs>
          <w:tab w:val="num" w:pos="720"/>
        </w:tabs>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47813F1"/>
    <w:multiLevelType w:val="hybridMultilevel"/>
    <w:tmpl w:val="534AB9F2"/>
    <w:lvl w:ilvl="0" w:tplc="3E6AFB4C">
      <w:start w:val="30"/>
      <w:numFmt w:val="bullet"/>
      <w:lvlText w:val="•"/>
      <w:lvlJc w:val="left"/>
      <w:pPr>
        <w:ind w:left="1080" w:hanging="720"/>
      </w:pPr>
      <w:rPr>
        <w:rFonts w:ascii="Gadugi" w:eastAsiaTheme="minorHAnsi" w:hAnsi="Gadug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F23C7B"/>
    <w:multiLevelType w:val="hybridMultilevel"/>
    <w:tmpl w:val="1B4A5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173C79"/>
    <w:multiLevelType w:val="hybridMultilevel"/>
    <w:tmpl w:val="787CA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5F3AD2"/>
    <w:multiLevelType w:val="hybridMultilevel"/>
    <w:tmpl w:val="97947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953021"/>
    <w:multiLevelType w:val="hybridMultilevel"/>
    <w:tmpl w:val="54163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457FBF"/>
    <w:multiLevelType w:val="hybridMultilevel"/>
    <w:tmpl w:val="1256F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4E3CA9"/>
    <w:multiLevelType w:val="hybridMultilevel"/>
    <w:tmpl w:val="D320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367BB"/>
    <w:multiLevelType w:val="hybridMultilevel"/>
    <w:tmpl w:val="9214A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9826A2"/>
    <w:multiLevelType w:val="hybridMultilevel"/>
    <w:tmpl w:val="975E8502"/>
    <w:lvl w:ilvl="0" w:tplc="1CC0347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C06AA6"/>
    <w:multiLevelType w:val="hybridMultilevel"/>
    <w:tmpl w:val="676C1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701F1C"/>
    <w:multiLevelType w:val="hybridMultilevel"/>
    <w:tmpl w:val="4A90DBC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1B1C61"/>
    <w:multiLevelType w:val="hybridMultilevel"/>
    <w:tmpl w:val="CA666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254DE9"/>
    <w:multiLevelType w:val="hybridMultilevel"/>
    <w:tmpl w:val="3D08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DC4D73"/>
    <w:multiLevelType w:val="hybridMultilevel"/>
    <w:tmpl w:val="159C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16"/>
  </w:num>
  <w:num w:numId="5">
    <w:abstractNumId w:val="18"/>
  </w:num>
  <w:num w:numId="6">
    <w:abstractNumId w:val="11"/>
  </w:num>
  <w:num w:numId="7">
    <w:abstractNumId w:val="17"/>
  </w:num>
  <w:num w:numId="8">
    <w:abstractNumId w:val="14"/>
  </w:num>
  <w:num w:numId="9">
    <w:abstractNumId w:val="9"/>
  </w:num>
  <w:num w:numId="10">
    <w:abstractNumId w:val="8"/>
  </w:num>
  <w:num w:numId="11">
    <w:abstractNumId w:val="1"/>
  </w:num>
  <w:num w:numId="12">
    <w:abstractNumId w:val="0"/>
  </w:num>
  <w:num w:numId="13">
    <w:abstractNumId w:val="5"/>
  </w:num>
  <w:num w:numId="14">
    <w:abstractNumId w:val="15"/>
  </w:num>
  <w:num w:numId="15">
    <w:abstractNumId w:val="4"/>
  </w:num>
  <w:num w:numId="16">
    <w:abstractNumId w:val="13"/>
  </w:num>
  <w:num w:numId="17">
    <w:abstractNumId w:val="3"/>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05"/>
    <w:rsid w:val="00016E18"/>
    <w:rsid w:val="000250DD"/>
    <w:rsid w:val="00030824"/>
    <w:rsid w:val="00056D6F"/>
    <w:rsid w:val="00060D35"/>
    <w:rsid w:val="00065F29"/>
    <w:rsid w:val="00066DD0"/>
    <w:rsid w:val="00067A13"/>
    <w:rsid w:val="0007189F"/>
    <w:rsid w:val="00076C80"/>
    <w:rsid w:val="000806C6"/>
    <w:rsid w:val="000A75FC"/>
    <w:rsid w:val="000B24BB"/>
    <w:rsid w:val="000B4AC1"/>
    <w:rsid w:val="000D0839"/>
    <w:rsid w:val="000D25B4"/>
    <w:rsid w:val="000E2220"/>
    <w:rsid w:val="000E58C0"/>
    <w:rsid w:val="000E79B6"/>
    <w:rsid w:val="000F12C8"/>
    <w:rsid w:val="000F4D10"/>
    <w:rsid w:val="0010148A"/>
    <w:rsid w:val="00114DAD"/>
    <w:rsid w:val="001164E6"/>
    <w:rsid w:val="00122DA7"/>
    <w:rsid w:val="00150682"/>
    <w:rsid w:val="0016087D"/>
    <w:rsid w:val="001628F7"/>
    <w:rsid w:val="001631A5"/>
    <w:rsid w:val="00180133"/>
    <w:rsid w:val="001A6B3C"/>
    <w:rsid w:val="001B64CB"/>
    <w:rsid w:val="001D2E9B"/>
    <w:rsid w:val="001D4101"/>
    <w:rsid w:val="001D719F"/>
    <w:rsid w:val="001F639E"/>
    <w:rsid w:val="001F68AC"/>
    <w:rsid w:val="002119AB"/>
    <w:rsid w:val="0021464C"/>
    <w:rsid w:val="00214745"/>
    <w:rsid w:val="002324BA"/>
    <w:rsid w:val="002367DB"/>
    <w:rsid w:val="00241EDE"/>
    <w:rsid w:val="00244CAE"/>
    <w:rsid w:val="00254106"/>
    <w:rsid w:val="00260FB4"/>
    <w:rsid w:val="0028226C"/>
    <w:rsid w:val="002A20D0"/>
    <w:rsid w:val="002B0F42"/>
    <w:rsid w:val="002C147A"/>
    <w:rsid w:val="002C1F9C"/>
    <w:rsid w:val="002D3EA7"/>
    <w:rsid w:val="002D7905"/>
    <w:rsid w:val="002D7990"/>
    <w:rsid w:val="002E541D"/>
    <w:rsid w:val="002E7DD2"/>
    <w:rsid w:val="00302A78"/>
    <w:rsid w:val="00311D5F"/>
    <w:rsid w:val="003322BF"/>
    <w:rsid w:val="003409C0"/>
    <w:rsid w:val="0039442A"/>
    <w:rsid w:val="00396088"/>
    <w:rsid w:val="003D56CD"/>
    <w:rsid w:val="003E0BDA"/>
    <w:rsid w:val="003E55AB"/>
    <w:rsid w:val="003E68EE"/>
    <w:rsid w:val="003F0078"/>
    <w:rsid w:val="003F69F6"/>
    <w:rsid w:val="003F7999"/>
    <w:rsid w:val="00403DF5"/>
    <w:rsid w:val="004067FC"/>
    <w:rsid w:val="00413EC8"/>
    <w:rsid w:val="0042432D"/>
    <w:rsid w:val="00452220"/>
    <w:rsid w:val="0045379D"/>
    <w:rsid w:val="0048054F"/>
    <w:rsid w:val="00482194"/>
    <w:rsid w:val="00487757"/>
    <w:rsid w:val="00492A21"/>
    <w:rsid w:val="00493397"/>
    <w:rsid w:val="00494BBA"/>
    <w:rsid w:val="004A0139"/>
    <w:rsid w:val="004B0DFC"/>
    <w:rsid w:val="004C1F1F"/>
    <w:rsid w:val="004D35CB"/>
    <w:rsid w:val="004E0ADF"/>
    <w:rsid w:val="004E2391"/>
    <w:rsid w:val="004F5FBF"/>
    <w:rsid w:val="00506CF0"/>
    <w:rsid w:val="00511292"/>
    <w:rsid w:val="00516555"/>
    <w:rsid w:val="00517BD7"/>
    <w:rsid w:val="0056107A"/>
    <w:rsid w:val="005650CE"/>
    <w:rsid w:val="00570182"/>
    <w:rsid w:val="00581CA1"/>
    <w:rsid w:val="005871DD"/>
    <w:rsid w:val="00592976"/>
    <w:rsid w:val="0059377A"/>
    <w:rsid w:val="005E7B20"/>
    <w:rsid w:val="00600739"/>
    <w:rsid w:val="00602AF1"/>
    <w:rsid w:val="00614873"/>
    <w:rsid w:val="00633DEC"/>
    <w:rsid w:val="006514C5"/>
    <w:rsid w:val="00656678"/>
    <w:rsid w:val="006572D0"/>
    <w:rsid w:val="006575FC"/>
    <w:rsid w:val="00661F50"/>
    <w:rsid w:val="00676B8E"/>
    <w:rsid w:val="00691ADB"/>
    <w:rsid w:val="0069307E"/>
    <w:rsid w:val="006B530B"/>
    <w:rsid w:val="006E511E"/>
    <w:rsid w:val="006E7C9B"/>
    <w:rsid w:val="006F6941"/>
    <w:rsid w:val="007052C8"/>
    <w:rsid w:val="00715EE7"/>
    <w:rsid w:val="00726102"/>
    <w:rsid w:val="007306A4"/>
    <w:rsid w:val="00745A63"/>
    <w:rsid w:val="00766E47"/>
    <w:rsid w:val="00774331"/>
    <w:rsid w:val="00774723"/>
    <w:rsid w:val="007747EC"/>
    <w:rsid w:val="00780C01"/>
    <w:rsid w:val="007901D0"/>
    <w:rsid w:val="00796A46"/>
    <w:rsid w:val="007A0BCF"/>
    <w:rsid w:val="007A7DEB"/>
    <w:rsid w:val="007B0589"/>
    <w:rsid w:val="007B5BD3"/>
    <w:rsid w:val="007C6607"/>
    <w:rsid w:val="007D063D"/>
    <w:rsid w:val="007D15C2"/>
    <w:rsid w:val="007E580C"/>
    <w:rsid w:val="007E602A"/>
    <w:rsid w:val="007F3932"/>
    <w:rsid w:val="007F3DDC"/>
    <w:rsid w:val="00802541"/>
    <w:rsid w:val="00804659"/>
    <w:rsid w:val="008103ED"/>
    <w:rsid w:val="00812CB8"/>
    <w:rsid w:val="00850801"/>
    <w:rsid w:val="00860EDF"/>
    <w:rsid w:val="00861174"/>
    <w:rsid w:val="00864860"/>
    <w:rsid w:val="008700E5"/>
    <w:rsid w:val="00872496"/>
    <w:rsid w:val="008740B9"/>
    <w:rsid w:val="0088495A"/>
    <w:rsid w:val="00884E4E"/>
    <w:rsid w:val="00886AF2"/>
    <w:rsid w:val="008A0E87"/>
    <w:rsid w:val="008D198B"/>
    <w:rsid w:val="008D201F"/>
    <w:rsid w:val="008D20BC"/>
    <w:rsid w:val="008D42D4"/>
    <w:rsid w:val="008F6A98"/>
    <w:rsid w:val="008F712D"/>
    <w:rsid w:val="009130AC"/>
    <w:rsid w:val="00922940"/>
    <w:rsid w:val="009230E9"/>
    <w:rsid w:val="009237AE"/>
    <w:rsid w:val="00930BA0"/>
    <w:rsid w:val="00943249"/>
    <w:rsid w:val="0094502D"/>
    <w:rsid w:val="009608A1"/>
    <w:rsid w:val="00966A33"/>
    <w:rsid w:val="00982DA4"/>
    <w:rsid w:val="00983032"/>
    <w:rsid w:val="00984AC4"/>
    <w:rsid w:val="00997B04"/>
    <w:rsid w:val="009A3333"/>
    <w:rsid w:val="009A5D8C"/>
    <w:rsid w:val="009A6ED7"/>
    <w:rsid w:val="009A740C"/>
    <w:rsid w:val="009B3FCF"/>
    <w:rsid w:val="009E1954"/>
    <w:rsid w:val="00A21C42"/>
    <w:rsid w:val="00A24100"/>
    <w:rsid w:val="00A41F5E"/>
    <w:rsid w:val="00A81812"/>
    <w:rsid w:val="00A93F67"/>
    <w:rsid w:val="00A96042"/>
    <w:rsid w:val="00AA42ED"/>
    <w:rsid w:val="00AB2369"/>
    <w:rsid w:val="00AB2C2E"/>
    <w:rsid w:val="00AC3C19"/>
    <w:rsid w:val="00AD2F05"/>
    <w:rsid w:val="00AD75F0"/>
    <w:rsid w:val="00AE020E"/>
    <w:rsid w:val="00AE3977"/>
    <w:rsid w:val="00AE3DC8"/>
    <w:rsid w:val="00B01A04"/>
    <w:rsid w:val="00B0410B"/>
    <w:rsid w:val="00B12CD2"/>
    <w:rsid w:val="00B20180"/>
    <w:rsid w:val="00B2147C"/>
    <w:rsid w:val="00B317F9"/>
    <w:rsid w:val="00B321A1"/>
    <w:rsid w:val="00B418E8"/>
    <w:rsid w:val="00B527CF"/>
    <w:rsid w:val="00B57365"/>
    <w:rsid w:val="00B646E2"/>
    <w:rsid w:val="00B746EF"/>
    <w:rsid w:val="00BB382E"/>
    <w:rsid w:val="00BC560C"/>
    <w:rsid w:val="00BC64AB"/>
    <w:rsid w:val="00BD6AE6"/>
    <w:rsid w:val="00BE08F5"/>
    <w:rsid w:val="00C03BC2"/>
    <w:rsid w:val="00C062AB"/>
    <w:rsid w:val="00C13BF3"/>
    <w:rsid w:val="00C14581"/>
    <w:rsid w:val="00C14B4F"/>
    <w:rsid w:val="00C174B3"/>
    <w:rsid w:val="00C20CDF"/>
    <w:rsid w:val="00C22153"/>
    <w:rsid w:val="00C23346"/>
    <w:rsid w:val="00C328D9"/>
    <w:rsid w:val="00C34A92"/>
    <w:rsid w:val="00C41D13"/>
    <w:rsid w:val="00C44653"/>
    <w:rsid w:val="00C47C4E"/>
    <w:rsid w:val="00C61BDE"/>
    <w:rsid w:val="00C704DF"/>
    <w:rsid w:val="00C74366"/>
    <w:rsid w:val="00C77A5A"/>
    <w:rsid w:val="00C81CF2"/>
    <w:rsid w:val="00C82079"/>
    <w:rsid w:val="00C87597"/>
    <w:rsid w:val="00C90EE8"/>
    <w:rsid w:val="00C97C79"/>
    <w:rsid w:val="00CA0D1C"/>
    <w:rsid w:val="00CA2F70"/>
    <w:rsid w:val="00CA3F30"/>
    <w:rsid w:val="00CA706E"/>
    <w:rsid w:val="00CC619F"/>
    <w:rsid w:val="00CD572E"/>
    <w:rsid w:val="00CD6C59"/>
    <w:rsid w:val="00CD7B47"/>
    <w:rsid w:val="00CE4F21"/>
    <w:rsid w:val="00CF6F3C"/>
    <w:rsid w:val="00CF7F71"/>
    <w:rsid w:val="00D012BE"/>
    <w:rsid w:val="00D107AF"/>
    <w:rsid w:val="00D2590C"/>
    <w:rsid w:val="00D32649"/>
    <w:rsid w:val="00D4174F"/>
    <w:rsid w:val="00D45791"/>
    <w:rsid w:val="00D47256"/>
    <w:rsid w:val="00D618FF"/>
    <w:rsid w:val="00D82FC5"/>
    <w:rsid w:val="00D87A0B"/>
    <w:rsid w:val="00D91711"/>
    <w:rsid w:val="00DA3C41"/>
    <w:rsid w:val="00DA4B5C"/>
    <w:rsid w:val="00DB0256"/>
    <w:rsid w:val="00DC2DEF"/>
    <w:rsid w:val="00DD6E5E"/>
    <w:rsid w:val="00DE4F37"/>
    <w:rsid w:val="00DF197B"/>
    <w:rsid w:val="00DF3626"/>
    <w:rsid w:val="00E00288"/>
    <w:rsid w:val="00E039EA"/>
    <w:rsid w:val="00E24120"/>
    <w:rsid w:val="00E26605"/>
    <w:rsid w:val="00E267C9"/>
    <w:rsid w:val="00E34339"/>
    <w:rsid w:val="00E3777B"/>
    <w:rsid w:val="00E4063F"/>
    <w:rsid w:val="00E51348"/>
    <w:rsid w:val="00E60A56"/>
    <w:rsid w:val="00E6490F"/>
    <w:rsid w:val="00E71650"/>
    <w:rsid w:val="00E82F52"/>
    <w:rsid w:val="00E869C6"/>
    <w:rsid w:val="00E86B1B"/>
    <w:rsid w:val="00E958EE"/>
    <w:rsid w:val="00ED55C1"/>
    <w:rsid w:val="00EE199E"/>
    <w:rsid w:val="00EE37AD"/>
    <w:rsid w:val="00EE63C7"/>
    <w:rsid w:val="00F11526"/>
    <w:rsid w:val="00F14BBE"/>
    <w:rsid w:val="00F15BAA"/>
    <w:rsid w:val="00F36EEC"/>
    <w:rsid w:val="00F41AF8"/>
    <w:rsid w:val="00F451C8"/>
    <w:rsid w:val="00F61DBC"/>
    <w:rsid w:val="00F62D32"/>
    <w:rsid w:val="00F7567F"/>
    <w:rsid w:val="00F76041"/>
    <w:rsid w:val="00FA2E43"/>
    <w:rsid w:val="00FA5CB8"/>
    <w:rsid w:val="00FC7E19"/>
    <w:rsid w:val="00FD4AEE"/>
    <w:rsid w:val="00FE25F8"/>
    <w:rsid w:val="00FE323E"/>
    <w:rsid w:val="00FF54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095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7F9"/>
  </w:style>
  <w:style w:type="paragraph" w:styleId="Heading1">
    <w:name w:val="heading 1"/>
    <w:basedOn w:val="Normal"/>
    <w:next w:val="Normal"/>
    <w:link w:val="Heading1Char"/>
    <w:uiPriority w:val="9"/>
    <w:qFormat/>
    <w:rsid w:val="00E34339"/>
    <w:pPr>
      <w:keepNext/>
      <w:keepLines/>
      <w:spacing w:before="240"/>
      <w:outlineLvl w:val="0"/>
    </w:pPr>
    <w:rPr>
      <w:rFonts w:eastAsiaTheme="majorEastAsia" w:cstheme="majorBidi"/>
      <w:b/>
      <w:color w:val="276E8B" w:themeColor="accent1" w:themeShade="BF"/>
      <w:sz w:val="52"/>
      <w:szCs w:val="32"/>
    </w:rPr>
  </w:style>
  <w:style w:type="paragraph" w:styleId="Heading2">
    <w:name w:val="heading 2"/>
    <w:basedOn w:val="Normal"/>
    <w:next w:val="Normal"/>
    <w:link w:val="Heading2Char"/>
    <w:uiPriority w:val="9"/>
    <w:unhideWhenUsed/>
    <w:qFormat/>
    <w:rsid w:val="00E34339"/>
    <w:pPr>
      <w:keepNext/>
      <w:keepLines/>
      <w:spacing w:before="40"/>
      <w:outlineLvl w:val="1"/>
    </w:pPr>
    <w:rPr>
      <w:rFonts w:eastAsiaTheme="majorEastAsia" w:cstheme="majorBidi"/>
      <w:i/>
      <w:color w:val="276E8B" w:themeColor="accent1" w:themeShade="BF"/>
      <w:sz w:val="32"/>
      <w:szCs w:val="26"/>
    </w:rPr>
  </w:style>
  <w:style w:type="paragraph" w:styleId="Heading3">
    <w:name w:val="heading 3"/>
    <w:basedOn w:val="Normal"/>
    <w:next w:val="Normal"/>
    <w:link w:val="Heading3Char"/>
    <w:uiPriority w:val="9"/>
    <w:unhideWhenUsed/>
    <w:qFormat/>
    <w:rsid w:val="00D91711"/>
    <w:pPr>
      <w:keepNext/>
      <w:keepLines/>
      <w:spacing w:before="40" w:after="0"/>
      <w:outlineLvl w:val="2"/>
    </w:pPr>
    <w:rPr>
      <w:rFonts w:eastAsiaTheme="majorEastAsia" w:cstheme="majorBidi"/>
      <w:b/>
      <w:color w:val="1A495C"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339"/>
    <w:rPr>
      <w:rFonts w:eastAsiaTheme="majorEastAsia" w:cstheme="majorBidi"/>
      <w:b/>
      <w:color w:val="276E8B" w:themeColor="accent1" w:themeShade="BF"/>
      <w:sz w:val="52"/>
      <w:szCs w:val="32"/>
    </w:rPr>
  </w:style>
  <w:style w:type="paragraph" w:styleId="TOCHeading">
    <w:name w:val="TOC Heading"/>
    <w:basedOn w:val="Heading1"/>
    <w:next w:val="Normal"/>
    <w:uiPriority w:val="39"/>
    <w:unhideWhenUsed/>
    <w:qFormat/>
    <w:rsid w:val="00D87A0B"/>
    <w:pPr>
      <w:outlineLvl w:val="9"/>
    </w:pPr>
    <w:rPr>
      <w:lang w:val="en-US"/>
    </w:rPr>
  </w:style>
  <w:style w:type="paragraph" w:styleId="TOC2">
    <w:name w:val="toc 2"/>
    <w:basedOn w:val="Normal"/>
    <w:next w:val="Normal"/>
    <w:autoRedefine/>
    <w:uiPriority w:val="39"/>
    <w:unhideWhenUsed/>
    <w:rsid w:val="00D87A0B"/>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D87A0B"/>
    <w:pPr>
      <w:spacing w:after="100"/>
    </w:pPr>
    <w:rPr>
      <w:rFonts w:eastAsiaTheme="minorEastAsia" w:cs="Times New Roman"/>
      <w:lang w:val="en-US"/>
    </w:rPr>
  </w:style>
  <w:style w:type="paragraph" w:styleId="TOC3">
    <w:name w:val="toc 3"/>
    <w:basedOn w:val="Normal"/>
    <w:next w:val="Normal"/>
    <w:autoRedefine/>
    <w:uiPriority w:val="39"/>
    <w:unhideWhenUsed/>
    <w:rsid w:val="00D87A0B"/>
    <w:pPr>
      <w:spacing w:after="100"/>
      <w:ind w:left="440"/>
    </w:pPr>
    <w:rPr>
      <w:rFonts w:eastAsiaTheme="minorEastAsia" w:cs="Times New Roman"/>
      <w:lang w:val="en-US"/>
    </w:rPr>
  </w:style>
  <w:style w:type="character" w:styleId="Hyperlink">
    <w:name w:val="Hyperlink"/>
    <w:basedOn w:val="DefaultParagraphFont"/>
    <w:uiPriority w:val="99"/>
    <w:unhideWhenUsed/>
    <w:rsid w:val="00D87A0B"/>
    <w:rPr>
      <w:color w:val="6B9F25" w:themeColor="hyperlink"/>
      <w:u w:val="single"/>
    </w:rPr>
  </w:style>
  <w:style w:type="paragraph" w:styleId="ListParagraph">
    <w:name w:val="List Paragraph"/>
    <w:basedOn w:val="Normal"/>
    <w:uiPriority w:val="34"/>
    <w:qFormat/>
    <w:rsid w:val="00D87A0B"/>
    <w:pPr>
      <w:spacing w:after="120" w:line="240" w:lineRule="auto"/>
      <w:ind w:left="720"/>
      <w:contextualSpacing/>
    </w:pPr>
    <w:rPr>
      <w:rFonts w:ascii="Arial" w:eastAsia="Calibri" w:hAnsi="Arial" w:cs="Times New Roman"/>
      <w:lang w:val="en-GB"/>
    </w:rPr>
  </w:style>
  <w:style w:type="paragraph" w:styleId="Header">
    <w:name w:val="header"/>
    <w:basedOn w:val="Normal"/>
    <w:link w:val="HeaderChar"/>
    <w:uiPriority w:val="99"/>
    <w:unhideWhenUsed/>
    <w:rsid w:val="008025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541"/>
    <w:rPr>
      <w:rFonts w:ascii="Gadugi" w:hAnsi="Gadugi"/>
      <w:sz w:val="20"/>
    </w:rPr>
  </w:style>
  <w:style w:type="paragraph" w:styleId="Footer">
    <w:name w:val="footer"/>
    <w:basedOn w:val="Normal"/>
    <w:link w:val="FooterChar"/>
    <w:uiPriority w:val="99"/>
    <w:unhideWhenUsed/>
    <w:qFormat/>
    <w:rsid w:val="008025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541"/>
    <w:rPr>
      <w:rFonts w:ascii="Gadugi" w:hAnsi="Gadugi"/>
      <w:sz w:val="20"/>
    </w:rPr>
  </w:style>
  <w:style w:type="character" w:styleId="PlaceholderText">
    <w:name w:val="Placeholder Text"/>
    <w:basedOn w:val="DefaultParagraphFont"/>
    <w:uiPriority w:val="99"/>
    <w:semiHidden/>
    <w:rsid w:val="00413EC8"/>
    <w:rPr>
      <w:color w:val="808080"/>
    </w:rPr>
  </w:style>
  <w:style w:type="table" w:styleId="TableGrid">
    <w:name w:val="Table Grid"/>
    <w:basedOn w:val="TableNormal"/>
    <w:rsid w:val="00DC2DE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34339"/>
    <w:rPr>
      <w:rFonts w:eastAsiaTheme="majorEastAsia" w:cstheme="majorBidi"/>
      <w:i/>
      <w:color w:val="276E8B" w:themeColor="accent1" w:themeShade="BF"/>
      <w:sz w:val="32"/>
      <w:szCs w:val="26"/>
    </w:rPr>
  </w:style>
  <w:style w:type="character" w:customStyle="1" w:styleId="Heading3Char">
    <w:name w:val="Heading 3 Char"/>
    <w:basedOn w:val="DefaultParagraphFont"/>
    <w:link w:val="Heading3"/>
    <w:uiPriority w:val="9"/>
    <w:rsid w:val="00D91711"/>
    <w:rPr>
      <w:rFonts w:ascii="Gadugi" w:eastAsiaTheme="majorEastAsia" w:hAnsi="Gadugi" w:cstheme="majorBidi"/>
      <w:b/>
      <w:color w:val="1A495C" w:themeColor="accent1" w:themeShade="7F"/>
      <w:szCs w:val="24"/>
    </w:rPr>
  </w:style>
  <w:style w:type="paragraph" w:styleId="NoSpacing">
    <w:name w:val="No Spacing"/>
    <w:aliases w:val="info text under table"/>
    <w:uiPriority w:val="1"/>
    <w:qFormat/>
    <w:rsid w:val="00CA0D1C"/>
    <w:pPr>
      <w:spacing w:after="0" w:line="240" w:lineRule="auto"/>
    </w:pPr>
    <w:rPr>
      <w:rFonts w:ascii="Gadugi" w:hAnsi="Gadugi"/>
      <w:sz w:val="21"/>
    </w:rPr>
  </w:style>
  <w:style w:type="paragraph" w:styleId="BalloonText">
    <w:name w:val="Balloon Text"/>
    <w:basedOn w:val="Normal"/>
    <w:link w:val="BalloonTextChar"/>
    <w:uiPriority w:val="99"/>
    <w:semiHidden/>
    <w:unhideWhenUsed/>
    <w:rsid w:val="00FF54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40A"/>
    <w:rPr>
      <w:rFonts w:ascii="Segoe UI" w:hAnsi="Segoe UI" w:cs="Segoe UI"/>
      <w:sz w:val="18"/>
      <w:szCs w:val="18"/>
    </w:rPr>
  </w:style>
  <w:style w:type="table" w:customStyle="1" w:styleId="TableGrid1">
    <w:name w:val="Table Grid1"/>
    <w:basedOn w:val="TableNormal"/>
    <w:next w:val="TableGrid"/>
    <w:rsid w:val="0085080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0801"/>
    <w:pPr>
      <w:spacing w:after="200" w:line="240" w:lineRule="auto"/>
      <w:jc w:val="both"/>
    </w:pPr>
    <w:rPr>
      <w:rFonts w:ascii="Calibri" w:eastAsia="Times New Roman" w:hAnsi="Calibri" w:cs="Arial"/>
      <w:iCs/>
      <w:color w:val="902C5E"/>
      <w:sz w:val="18"/>
      <w:szCs w:val="18"/>
    </w:rPr>
  </w:style>
  <w:style w:type="character" w:styleId="CommentReference">
    <w:name w:val="annotation reference"/>
    <w:basedOn w:val="DefaultParagraphFont"/>
    <w:uiPriority w:val="99"/>
    <w:semiHidden/>
    <w:unhideWhenUsed/>
    <w:rsid w:val="00511292"/>
    <w:rPr>
      <w:sz w:val="16"/>
      <w:szCs w:val="16"/>
    </w:rPr>
  </w:style>
  <w:style w:type="paragraph" w:styleId="CommentText">
    <w:name w:val="annotation text"/>
    <w:basedOn w:val="Normal"/>
    <w:link w:val="CommentTextChar"/>
    <w:uiPriority w:val="99"/>
    <w:semiHidden/>
    <w:unhideWhenUsed/>
    <w:rsid w:val="00511292"/>
    <w:pPr>
      <w:spacing w:line="240" w:lineRule="auto"/>
    </w:pPr>
    <w:rPr>
      <w:sz w:val="20"/>
      <w:szCs w:val="20"/>
    </w:rPr>
  </w:style>
  <w:style w:type="character" w:customStyle="1" w:styleId="CommentTextChar">
    <w:name w:val="Comment Text Char"/>
    <w:basedOn w:val="DefaultParagraphFont"/>
    <w:link w:val="CommentText"/>
    <w:uiPriority w:val="99"/>
    <w:semiHidden/>
    <w:rsid w:val="00511292"/>
    <w:rPr>
      <w:rFonts w:ascii="Gadugi" w:hAnsi="Gadugi"/>
      <w:sz w:val="20"/>
      <w:szCs w:val="20"/>
    </w:rPr>
  </w:style>
  <w:style w:type="paragraph" w:styleId="CommentSubject">
    <w:name w:val="annotation subject"/>
    <w:basedOn w:val="CommentText"/>
    <w:next w:val="CommentText"/>
    <w:link w:val="CommentSubjectChar"/>
    <w:uiPriority w:val="99"/>
    <w:semiHidden/>
    <w:unhideWhenUsed/>
    <w:rsid w:val="00511292"/>
    <w:rPr>
      <w:b/>
      <w:bCs/>
    </w:rPr>
  </w:style>
  <w:style w:type="character" w:customStyle="1" w:styleId="CommentSubjectChar">
    <w:name w:val="Comment Subject Char"/>
    <w:basedOn w:val="CommentTextChar"/>
    <w:link w:val="CommentSubject"/>
    <w:uiPriority w:val="99"/>
    <w:semiHidden/>
    <w:rsid w:val="00511292"/>
    <w:rPr>
      <w:rFonts w:ascii="Gadugi" w:hAnsi="Gadugi"/>
      <w:b/>
      <w:bCs/>
      <w:sz w:val="20"/>
      <w:szCs w:val="20"/>
    </w:rPr>
  </w:style>
  <w:style w:type="paragraph" w:styleId="FootnoteText">
    <w:name w:val="footnote text"/>
    <w:basedOn w:val="Normal"/>
    <w:link w:val="FootnoteTextChar"/>
    <w:uiPriority w:val="99"/>
    <w:unhideWhenUsed/>
    <w:rsid w:val="00150682"/>
    <w:pPr>
      <w:spacing w:after="0" w:line="240" w:lineRule="auto"/>
    </w:pPr>
    <w:rPr>
      <w:sz w:val="20"/>
      <w:szCs w:val="20"/>
    </w:rPr>
  </w:style>
  <w:style w:type="character" w:customStyle="1" w:styleId="FootnoteTextChar">
    <w:name w:val="Footnote Text Char"/>
    <w:basedOn w:val="DefaultParagraphFont"/>
    <w:link w:val="FootnoteText"/>
    <w:uiPriority w:val="99"/>
    <w:rsid w:val="00150682"/>
    <w:rPr>
      <w:rFonts w:ascii="Gadugi" w:hAnsi="Gadugi"/>
      <w:sz w:val="20"/>
      <w:szCs w:val="20"/>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uiPriority w:val="99"/>
    <w:unhideWhenUsed/>
    <w:rsid w:val="00150682"/>
    <w:rPr>
      <w:vertAlign w:val="superscript"/>
    </w:rPr>
  </w:style>
  <w:style w:type="paragraph" w:styleId="Revision">
    <w:name w:val="Revision"/>
    <w:hidden/>
    <w:uiPriority w:val="99"/>
    <w:semiHidden/>
    <w:rsid w:val="001D2E9B"/>
    <w:pPr>
      <w:spacing w:after="0" w:line="240" w:lineRule="auto"/>
    </w:pPr>
  </w:style>
  <w:style w:type="character" w:styleId="FollowedHyperlink">
    <w:name w:val="FollowedHyperlink"/>
    <w:basedOn w:val="DefaultParagraphFont"/>
    <w:uiPriority w:val="99"/>
    <w:semiHidden/>
    <w:unhideWhenUsed/>
    <w:rsid w:val="007B0589"/>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7517/978-1-74286-677-2"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riseprogramme.org/sites/www.riseprogramme.org/files/inline-files/RISE_WP-005_Pritchett_1.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research.acer.edu.au/cgi/viewcontent.cgi?article=1017&amp;context=teacher_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acer.org/au/discover/article/supporting-timor-lestes-capacity-to-assess-teaching-and-learning" TargetMode="External"/><Relationship Id="rId10" Type="http://schemas.openxmlformats.org/officeDocument/2006/relationships/hyperlink" Target="https://creativecommons.org/licenses/by/4.0/" TargetMode="External"/><Relationship Id="rId19" Type="http://schemas.openxmlformats.org/officeDocument/2006/relationships/hyperlink" Target="https://onlinelibrary.wiley.com/doi/full/10.1111/1758-5899.125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esearch.acer.edu.au/eas/" TargetMode="External"/><Relationship Id="rId22" Type="http://schemas.openxmlformats.org/officeDocument/2006/relationships/hyperlink" Target="https://www.refworld.org/docid/57b6e3e44.html"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73545"/>
      </a:dk2>
      <a:lt2>
        <a:srgbClr val="CEDBE6"/>
      </a:lt2>
      <a:accent1>
        <a:srgbClr val="3494BA"/>
      </a:accent1>
      <a:accent2>
        <a:srgbClr val="58B6C0"/>
      </a:accent2>
      <a:accent3>
        <a:srgbClr val="C7E4DB"/>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4DFF-1E33-4B96-9E72-99A94600F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4121</Words>
  <Characters>24031</Characters>
  <Application>Microsoft Office Word</Application>
  <DocSecurity>0</DocSecurity>
  <Lines>616</Lines>
  <Paragraphs>112</Paragraphs>
  <ScaleCrop>false</ScaleCrop>
  <HeadingPairs>
    <vt:vector size="2" baseType="variant">
      <vt:variant>
        <vt:lpstr>Title</vt:lpstr>
      </vt:variant>
      <vt:variant>
        <vt:i4>1</vt:i4>
      </vt:variant>
    </vt:vector>
  </HeadingPairs>
  <TitlesOfParts>
    <vt:vector size="1" baseType="lpstr">
      <vt:lpstr>Education Analytics Service: Teacher Development Multi-Year Studies</vt:lpstr>
    </vt:vector>
  </TitlesOfParts>
  <Company/>
  <LinksUpToDate>false</LinksUpToDate>
  <CharactersWithSpaces>28040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Insights on the challenges of limited data availability for measuring and reporting student learning outcomes</dc:title>
  <dc:subject/>
  <dc:creator/>
  <cp:keywords> [SEC=OFFICIAL]</cp:keywords>
  <dc:description/>
  <cp:lastModifiedBy/>
  <cp:revision>1</cp:revision>
  <dcterms:created xsi:type="dcterms:W3CDTF">2022-05-26T05:49:00Z</dcterms:created>
  <dcterms:modified xsi:type="dcterms:W3CDTF">2022-05-26T05:54:00Z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EB495C250BD64BFB8467AFDCFE9A437E</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2022-05-26T05:54:14Z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1D97767AF31DA74C63B47409A2E4A590</vt:lpwstr>
  </property>
  <property fmtid="{D5CDD505-2E9C-101B-9397-08002B2CF9AE}" pid="20" name="PM_Hash_Salt">
    <vt:lpwstr>D06164010DD945F67F4FE10B35CF483B</vt:lpwstr>
  </property>
  <property fmtid="{D5CDD505-2E9C-101B-9397-08002B2CF9AE}" pid="21" name="PM_Hash_SHA1">
    <vt:lpwstr>E698A5284382E8799896EC18AD987189BEB05EEF</vt:lpwstr>
  </property>
  <property fmtid="{D5CDD505-2E9C-101B-9397-08002B2CF9AE}" pid="22" name="PM_SecurityClassification_Prev">
    <vt:lpwstr>OFFICIAL</vt:lpwstr>
  </property>
  <property fmtid="{D5CDD505-2E9C-101B-9397-08002B2CF9AE}" pid="23" name="PM_Qualifier_Prev">
    <vt:lpwstr/>
  </property>
</Properties>
</file>