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15377" w14:textId="77777777" w:rsidR="00354A06" w:rsidRPr="0007327B" w:rsidRDefault="00354A06" w:rsidP="005714C3">
      <w:pPr>
        <w:pStyle w:val="BTNSSBodyTextNoSpacingSmall"/>
        <w:rPr>
          <w:sz w:val="2"/>
          <w:szCs w:val="2"/>
        </w:rPr>
      </w:pPr>
    </w:p>
    <w:p w14:paraId="7EDF71C6" w14:textId="77777777" w:rsidR="00A22FAC" w:rsidRPr="0007327B" w:rsidRDefault="00A22FAC" w:rsidP="005714C3">
      <w:pPr>
        <w:pStyle w:val="BTBodyText"/>
        <w:spacing w:after="240"/>
        <w:jc w:val="center"/>
        <w:rPr>
          <w:b/>
          <w:bCs/>
          <w:sz w:val="32"/>
          <w:szCs w:val="32"/>
        </w:rPr>
      </w:pPr>
      <w:r w:rsidRPr="0007327B">
        <w:rPr>
          <w:b/>
          <w:bCs/>
          <w:sz w:val="32"/>
          <w:szCs w:val="32"/>
        </w:rPr>
        <w:t>Before the World Trade Organization</w:t>
      </w:r>
    </w:p>
    <w:p w14:paraId="5D1CADAB" w14:textId="77777777" w:rsidR="00A22FAC" w:rsidRPr="0007327B" w:rsidRDefault="00A22FAC" w:rsidP="0061777C">
      <w:pPr>
        <w:pStyle w:val="BTBodyText"/>
        <w:spacing w:after="4800" w:line="240" w:lineRule="atLeast"/>
        <w:jc w:val="center"/>
        <w:rPr>
          <w:b/>
          <w:bCs/>
          <w:sz w:val="32"/>
          <w:szCs w:val="32"/>
        </w:rPr>
      </w:pPr>
      <w:r w:rsidRPr="0007327B">
        <w:rPr>
          <w:b/>
          <w:bCs/>
          <w:sz w:val="32"/>
          <w:szCs w:val="32"/>
        </w:rPr>
        <w:t>Panel Proceedings</w:t>
      </w:r>
    </w:p>
    <w:p w14:paraId="085E790B" w14:textId="71A3E05E" w:rsidR="00A22FAC" w:rsidRPr="0007327B" w:rsidRDefault="00A22FAC" w:rsidP="00DA5381">
      <w:pPr>
        <w:pStyle w:val="WTODTWTODisputeTitle"/>
      </w:pPr>
      <w:r w:rsidRPr="00103AAC">
        <w:rPr>
          <w:rFonts w:asciiTheme="minorHAnsi" w:hAnsiTheme="minorHAnsi" w:cstheme="minorHAnsi"/>
        </w:rPr>
        <w:t>European Union – Definitive Countervailing Duties on New Battery Electric Vehicles from China</w:t>
      </w:r>
    </w:p>
    <w:p w14:paraId="2B564E06" w14:textId="77777777" w:rsidR="00A22FAC" w:rsidRPr="0007327B" w:rsidRDefault="00A22FAC" w:rsidP="0061777C">
      <w:pPr>
        <w:pStyle w:val="DSNDSNumber"/>
        <w:spacing w:after="3000" w:line="240" w:lineRule="atLeast"/>
      </w:pPr>
      <w:r w:rsidRPr="0007327B">
        <w:t>(DS</w:t>
      </w:r>
      <w:r>
        <w:t>630)</w:t>
      </w:r>
    </w:p>
    <w:p w14:paraId="28FC0A68" w14:textId="7D107B18" w:rsidR="00A22FAC" w:rsidRPr="0007327B" w:rsidRDefault="00A22FAC" w:rsidP="000A1B94">
      <w:pPr>
        <w:pStyle w:val="DTDocumentTitle"/>
        <w:spacing w:after="2400" w:line="240" w:lineRule="atLeast"/>
      </w:pPr>
      <w:r w:rsidRPr="00EB1B7A">
        <w:t xml:space="preserve">Australia's </w:t>
      </w:r>
      <w:r>
        <w:t>Executive Summary</w:t>
      </w:r>
    </w:p>
    <w:p w14:paraId="7BF5CA21" w14:textId="5A800F6F" w:rsidR="005714C3" w:rsidRPr="0007327B" w:rsidRDefault="00A22FAC" w:rsidP="000A1B94">
      <w:pPr>
        <w:pStyle w:val="DDDocumentDate"/>
      </w:pPr>
      <w:r>
        <w:t>31 July 2026</w:t>
      </w:r>
    </w:p>
    <w:p w14:paraId="19B6F828" w14:textId="2A495DB9" w:rsidR="00F01A73" w:rsidRPr="0007327B" w:rsidRDefault="00006269" w:rsidP="00F01A73">
      <w:pPr>
        <w:pStyle w:val="BTNSSBodyTextNoSpacingSmall"/>
        <w:rPr>
          <w:sz w:val="2"/>
          <w:szCs w:val="2"/>
        </w:rPr>
      </w:pPr>
      <w:r w:rsidRPr="0007327B">
        <w:br w:type="page"/>
      </w:r>
    </w:p>
    <w:p w14:paraId="5E4022D6" w14:textId="3FEAA974" w:rsidR="00A9312D" w:rsidRPr="00A9312D" w:rsidRDefault="00F945DB" w:rsidP="00A9312D">
      <w:pPr>
        <w:pStyle w:val="SHSectionHeading"/>
      </w:pPr>
      <w:bookmarkStart w:id="0" w:name="_Toc211356578"/>
      <w:r w:rsidRPr="0007327B">
        <w:lastRenderedPageBreak/>
        <w:t>Table of Cases</w:t>
      </w:r>
      <w:bookmarkEnd w:id="0"/>
    </w:p>
    <w:tbl>
      <w:tblPr>
        <w:tblStyle w:val="TableGrid"/>
        <w:tblW w:w="5000" w:type="pct"/>
        <w:tblLook w:val="04A0" w:firstRow="1" w:lastRow="0" w:firstColumn="1" w:lastColumn="0" w:noHBand="0" w:noVBand="1"/>
      </w:tblPr>
      <w:tblGrid>
        <w:gridCol w:w="2264"/>
        <w:gridCol w:w="6796"/>
      </w:tblGrid>
      <w:tr w:rsidR="008A1191" w:rsidRPr="000F0787" w14:paraId="3DDEF31B" w14:textId="77777777" w:rsidTr="006C5B73">
        <w:trPr>
          <w:cantSplit/>
          <w:trHeight w:val="397"/>
          <w:tblHeader/>
        </w:trPr>
        <w:tc>
          <w:tcPr>
            <w:tcW w:w="2264" w:type="dxa"/>
            <w:shd w:val="clear" w:color="auto" w:fill="D9D9D9" w:themeFill="background1" w:themeFillShade="D9"/>
          </w:tcPr>
          <w:p w14:paraId="2D89FEEB" w14:textId="77777777" w:rsidR="008A1191" w:rsidRPr="000F0787" w:rsidRDefault="008A1191" w:rsidP="008A4C51">
            <w:pPr>
              <w:pStyle w:val="THTableHeading"/>
              <w:jc w:val="center"/>
            </w:pPr>
            <w:r w:rsidRPr="000F0787">
              <w:t>Short Title</w:t>
            </w:r>
          </w:p>
        </w:tc>
        <w:tc>
          <w:tcPr>
            <w:tcW w:w="6796" w:type="dxa"/>
            <w:shd w:val="clear" w:color="auto" w:fill="D9D9D9" w:themeFill="background1" w:themeFillShade="D9"/>
          </w:tcPr>
          <w:p w14:paraId="22053C17" w14:textId="77777777" w:rsidR="008A1191" w:rsidRPr="000F0787" w:rsidRDefault="008A1191" w:rsidP="008A4C51">
            <w:pPr>
              <w:pStyle w:val="THTableHeading"/>
              <w:jc w:val="center"/>
            </w:pPr>
            <w:r w:rsidRPr="000F0787">
              <w:t>Full Case Title and Citation</w:t>
            </w:r>
          </w:p>
        </w:tc>
      </w:tr>
      <w:tr w:rsidR="006C5B73" w:rsidRPr="00934669" w14:paraId="31F2A8EF" w14:textId="77777777" w:rsidTr="006C5B73">
        <w:trPr>
          <w:cantSplit/>
          <w:trHeight w:val="397"/>
        </w:trPr>
        <w:tc>
          <w:tcPr>
            <w:tcW w:w="2264" w:type="dxa"/>
          </w:tcPr>
          <w:p w14:paraId="5B65FB44" w14:textId="77777777" w:rsidR="006C5B73" w:rsidRPr="00934669" w:rsidRDefault="006C5B73" w:rsidP="00A60C27">
            <w:pPr>
              <w:pStyle w:val="TTTableText"/>
              <w:rPr>
                <w:rFonts w:asciiTheme="minorHAnsi" w:hAnsiTheme="minorHAnsi" w:cstheme="minorHAnsi"/>
                <w:i/>
                <w:iCs/>
              </w:rPr>
            </w:pPr>
            <w:r w:rsidRPr="0094228D">
              <w:rPr>
                <w:rFonts w:asciiTheme="minorHAnsi" w:hAnsiTheme="minorHAnsi" w:cstheme="minorHAnsi"/>
                <w:i/>
                <w:iCs/>
              </w:rPr>
              <w:t>EC – Countervailing Measures on DRAM Chips</w:t>
            </w:r>
          </w:p>
        </w:tc>
        <w:tc>
          <w:tcPr>
            <w:tcW w:w="6796" w:type="dxa"/>
          </w:tcPr>
          <w:p w14:paraId="7265441B" w14:textId="77777777" w:rsidR="006C5B73" w:rsidRPr="00934669" w:rsidRDefault="006C5B73" w:rsidP="00A60C27">
            <w:pPr>
              <w:pStyle w:val="TTTableText"/>
              <w:rPr>
                <w:rFonts w:asciiTheme="minorHAnsi" w:hAnsiTheme="minorHAnsi" w:cstheme="minorHAnsi"/>
                <w:color w:val="000000"/>
              </w:rPr>
            </w:pPr>
            <w:r w:rsidRPr="005C3A83">
              <w:rPr>
                <w:rFonts w:asciiTheme="minorHAnsi" w:hAnsiTheme="minorHAnsi" w:cstheme="minorHAnsi"/>
                <w:color w:val="000000"/>
              </w:rPr>
              <w:t xml:space="preserve">Panel Report, </w:t>
            </w:r>
            <w:r w:rsidRPr="005C3A83">
              <w:rPr>
                <w:rFonts w:asciiTheme="minorHAnsi" w:hAnsiTheme="minorHAnsi" w:cstheme="minorHAnsi"/>
                <w:i/>
                <w:iCs/>
                <w:color w:val="000000"/>
              </w:rPr>
              <w:t xml:space="preserve">European Communities – Countervailing Measures on Dynamic </w:t>
            </w:r>
            <w:proofErr w:type="gramStart"/>
            <w:r w:rsidRPr="005C3A83">
              <w:rPr>
                <w:rFonts w:asciiTheme="minorHAnsi" w:hAnsiTheme="minorHAnsi" w:cstheme="minorHAnsi"/>
                <w:i/>
                <w:iCs/>
                <w:color w:val="000000"/>
              </w:rPr>
              <w:t>Random Access Memory</w:t>
            </w:r>
            <w:proofErr w:type="gramEnd"/>
            <w:r w:rsidRPr="005C3A83">
              <w:rPr>
                <w:rFonts w:asciiTheme="minorHAnsi" w:hAnsiTheme="minorHAnsi" w:cstheme="minorHAnsi"/>
                <w:i/>
                <w:iCs/>
                <w:color w:val="000000"/>
              </w:rPr>
              <w:t xml:space="preserve"> Chips from Korea</w:t>
            </w:r>
            <w:r w:rsidRPr="005C3A83">
              <w:rPr>
                <w:rFonts w:asciiTheme="minorHAnsi" w:hAnsiTheme="minorHAnsi" w:cstheme="minorHAnsi"/>
                <w:color w:val="000000"/>
              </w:rPr>
              <w:t xml:space="preserve">, WT/DS299/R, adopted 3 August 2005, DSR </w:t>
            </w:r>
            <w:proofErr w:type="gramStart"/>
            <w:r w:rsidRPr="005C3A83">
              <w:rPr>
                <w:rFonts w:asciiTheme="minorHAnsi" w:hAnsiTheme="minorHAnsi" w:cstheme="minorHAnsi"/>
                <w:color w:val="000000"/>
              </w:rPr>
              <w:t>2005:XVIII</w:t>
            </w:r>
            <w:proofErr w:type="gramEnd"/>
            <w:r w:rsidRPr="005C3A83">
              <w:rPr>
                <w:rFonts w:asciiTheme="minorHAnsi" w:hAnsiTheme="minorHAnsi" w:cstheme="minorHAnsi"/>
                <w:color w:val="000000"/>
              </w:rPr>
              <w:t>, p. 86</w:t>
            </w:r>
          </w:p>
        </w:tc>
      </w:tr>
      <w:tr w:rsidR="006C5B73" w:rsidRPr="00934669" w14:paraId="21884BE0" w14:textId="77777777" w:rsidTr="006C5B73">
        <w:trPr>
          <w:cantSplit/>
          <w:trHeight w:val="397"/>
        </w:trPr>
        <w:tc>
          <w:tcPr>
            <w:tcW w:w="2264" w:type="dxa"/>
          </w:tcPr>
          <w:p w14:paraId="666D78B2" w14:textId="77777777" w:rsidR="006C5B73" w:rsidRPr="00934669" w:rsidRDefault="006C5B73" w:rsidP="00A60C27">
            <w:pPr>
              <w:pStyle w:val="TTTableText"/>
              <w:rPr>
                <w:rFonts w:asciiTheme="minorHAnsi" w:hAnsiTheme="minorHAnsi" w:cstheme="minorHAnsi"/>
                <w:i/>
                <w:iCs/>
              </w:rPr>
            </w:pPr>
            <w:r w:rsidRPr="00934669">
              <w:rPr>
                <w:rFonts w:asciiTheme="minorHAnsi" w:hAnsiTheme="minorHAnsi" w:cstheme="minorHAnsi"/>
                <w:i/>
                <w:iCs/>
              </w:rPr>
              <w:t>EU – CVD/AD on SSCRFP (Indonesia)</w:t>
            </w:r>
          </w:p>
        </w:tc>
        <w:tc>
          <w:tcPr>
            <w:tcW w:w="6796" w:type="dxa"/>
          </w:tcPr>
          <w:p w14:paraId="10BC43F8" w14:textId="77777777" w:rsidR="006C5B73" w:rsidRPr="00934669" w:rsidRDefault="006C5B73" w:rsidP="00A60C27">
            <w:pPr>
              <w:pStyle w:val="TTTableText"/>
              <w:rPr>
                <w:rFonts w:asciiTheme="minorHAnsi" w:hAnsiTheme="minorHAnsi" w:cstheme="minorHAnsi"/>
                <w:i/>
                <w:iCs/>
                <w:color w:val="000000"/>
              </w:rPr>
            </w:pPr>
            <w:r w:rsidRPr="00934669">
              <w:rPr>
                <w:rFonts w:asciiTheme="minorHAnsi" w:hAnsiTheme="minorHAnsi" w:cstheme="minorHAnsi"/>
                <w:color w:val="000000"/>
              </w:rPr>
              <w:t>Panel Report,</w:t>
            </w:r>
            <w:r w:rsidRPr="00934669">
              <w:rPr>
                <w:rFonts w:asciiTheme="minorHAnsi" w:hAnsiTheme="minorHAnsi" w:cstheme="minorHAnsi"/>
                <w:i/>
                <w:iCs/>
                <w:color w:val="000000"/>
              </w:rPr>
              <w:t xml:space="preserve"> European Union – Countervailing and Anti-Dumping Duties on Stainless Steel Cold-Rolled Flat Products from Indonesia</w:t>
            </w:r>
            <w:r w:rsidRPr="00934669">
              <w:rPr>
                <w:rFonts w:asciiTheme="minorHAnsi" w:hAnsiTheme="minorHAnsi" w:cstheme="minorHAnsi"/>
                <w:color w:val="000000"/>
              </w:rPr>
              <w:t>, WT/DS616/R and Add.1, circulated to WTO Members 2 October 2025, appealed 21 November 2025</w:t>
            </w:r>
          </w:p>
        </w:tc>
      </w:tr>
      <w:tr w:rsidR="006C5B73" w:rsidRPr="00934669" w14:paraId="14F3C184" w14:textId="77777777" w:rsidTr="006C5B73">
        <w:trPr>
          <w:cantSplit/>
          <w:trHeight w:val="397"/>
        </w:trPr>
        <w:tc>
          <w:tcPr>
            <w:tcW w:w="2264" w:type="dxa"/>
          </w:tcPr>
          <w:p w14:paraId="04D38E7F" w14:textId="77777777" w:rsidR="006C5B73" w:rsidRPr="00934669" w:rsidRDefault="006C5B73" w:rsidP="00A60C27">
            <w:pPr>
              <w:pStyle w:val="TTTableText"/>
              <w:rPr>
                <w:rFonts w:asciiTheme="minorHAnsi" w:hAnsiTheme="minorHAnsi" w:cstheme="minorHAnsi"/>
                <w:i/>
                <w:iCs/>
              </w:rPr>
            </w:pPr>
            <w:r w:rsidRPr="00934669">
              <w:rPr>
                <w:rFonts w:asciiTheme="minorHAnsi" w:hAnsiTheme="minorHAnsi" w:cstheme="minorHAnsi"/>
                <w:i/>
                <w:iCs/>
              </w:rPr>
              <w:t>Japan – DRAMs (Korea)</w:t>
            </w:r>
          </w:p>
        </w:tc>
        <w:tc>
          <w:tcPr>
            <w:tcW w:w="6796" w:type="dxa"/>
          </w:tcPr>
          <w:p w14:paraId="430E4181" w14:textId="77777777" w:rsidR="006C5B73" w:rsidRPr="00934669" w:rsidRDefault="006C5B73" w:rsidP="00A60C27">
            <w:pPr>
              <w:pStyle w:val="TTTableText"/>
              <w:rPr>
                <w:rFonts w:asciiTheme="minorHAnsi" w:hAnsiTheme="minorHAnsi" w:cstheme="minorHAnsi"/>
                <w:color w:val="000000"/>
              </w:rPr>
            </w:pPr>
            <w:r w:rsidRPr="00934669">
              <w:rPr>
                <w:rFonts w:asciiTheme="minorHAnsi" w:hAnsiTheme="minorHAnsi" w:cstheme="minorHAnsi"/>
                <w:color w:val="000000"/>
              </w:rPr>
              <w:t xml:space="preserve">Panel Report, </w:t>
            </w:r>
            <w:r w:rsidRPr="00934669">
              <w:rPr>
                <w:rFonts w:asciiTheme="minorHAnsi" w:hAnsiTheme="minorHAnsi" w:cstheme="minorHAnsi"/>
                <w:i/>
                <w:iCs/>
                <w:color w:val="000000"/>
              </w:rPr>
              <w:t>Japan – Countervailing Duties on Dynamic Random Access Memories from Korea,</w:t>
            </w:r>
            <w:r w:rsidRPr="00934669">
              <w:rPr>
                <w:rFonts w:asciiTheme="minorHAnsi" w:hAnsiTheme="minorHAnsi" w:cstheme="minorHAnsi"/>
                <w:color w:val="000000"/>
              </w:rPr>
              <w:t xml:space="preserve"> WT/DS336/R, adopted 17 December 2007, as modified by Appellate Body Report WT/DS336/AB/R, DSR </w:t>
            </w:r>
            <w:proofErr w:type="gramStart"/>
            <w:r w:rsidRPr="00934669">
              <w:rPr>
                <w:rFonts w:asciiTheme="minorHAnsi" w:hAnsiTheme="minorHAnsi" w:cstheme="minorHAnsi"/>
                <w:color w:val="000000"/>
              </w:rPr>
              <w:t>2007:VII</w:t>
            </w:r>
            <w:proofErr w:type="gramEnd"/>
            <w:r w:rsidRPr="00934669">
              <w:rPr>
                <w:rFonts w:asciiTheme="minorHAnsi" w:hAnsiTheme="minorHAnsi" w:cstheme="minorHAnsi"/>
                <w:color w:val="000000"/>
              </w:rPr>
              <w:t>, p. 2805</w:t>
            </w:r>
          </w:p>
        </w:tc>
      </w:tr>
      <w:tr w:rsidR="006C5B73" w:rsidRPr="00934669" w14:paraId="2DF21535" w14:textId="77777777" w:rsidTr="006C5B73">
        <w:trPr>
          <w:cantSplit/>
          <w:trHeight w:val="397"/>
        </w:trPr>
        <w:tc>
          <w:tcPr>
            <w:tcW w:w="2264" w:type="dxa"/>
          </w:tcPr>
          <w:p w14:paraId="1B7E5173" w14:textId="77777777" w:rsidR="006C5B73" w:rsidRPr="00934669" w:rsidRDefault="006C5B73" w:rsidP="00A60C27">
            <w:pPr>
              <w:pStyle w:val="TTTableText"/>
              <w:rPr>
                <w:rFonts w:asciiTheme="minorHAnsi" w:hAnsiTheme="minorHAnsi" w:cstheme="minorHAnsi"/>
                <w:i/>
                <w:iCs/>
              </w:rPr>
            </w:pPr>
            <w:r w:rsidRPr="00934669">
              <w:rPr>
                <w:rFonts w:asciiTheme="minorHAnsi" w:hAnsiTheme="minorHAnsi" w:cstheme="minorHAnsi"/>
                <w:i/>
                <w:iCs/>
              </w:rPr>
              <w:t>US – Anti-Dumping and Countervailing Duties (China)</w:t>
            </w:r>
          </w:p>
        </w:tc>
        <w:tc>
          <w:tcPr>
            <w:tcW w:w="6796" w:type="dxa"/>
          </w:tcPr>
          <w:p w14:paraId="58075FC6" w14:textId="77777777" w:rsidR="006C5B73" w:rsidRPr="00934669" w:rsidRDefault="006C5B73" w:rsidP="00A60C27">
            <w:pPr>
              <w:pStyle w:val="TTTableText"/>
              <w:rPr>
                <w:rFonts w:asciiTheme="minorHAnsi" w:hAnsiTheme="minorHAnsi" w:cstheme="minorHAnsi"/>
                <w:i/>
                <w:iCs/>
                <w:color w:val="000000"/>
              </w:rPr>
            </w:pPr>
            <w:r w:rsidRPr="00934669">
              <w:rPr>
                <w:rFonts w:asciiTheme="minorHAnsi" w:hAnsiTheme="minorHAnsi" w:cstheme="minorHAnsi"/>
                <w:color w:val="000000"/>
              </w:rPr>
              <w:t>Appellate Body Report,</w:t>
            </w:r>
            <w:r w:rsidRPr="00934669">
              <w:rPr>
                <w:rFonts w:asciiTheme="minorHAnsi" w:hAnsiTheme="minorHAnsi" w:cstheme="minorHAnsi"/>
                <w:i/>
                <w:iCs/>
                <w:color w:val="000000"/>
              </w:rPr>
              <w:t xml:space="preserve"> United States – Definitive Anti-Dumping and Countervailing Duties on Certain Products from China</w:t>
            </w:r>
            <w:r w:rsidRPr="00934669">
              <w:rPr>
                <w:rFonts w:asciiTheme="minorHAnsi" w:hAnsiTheme="minorHAnsi" w:cstheme="minorHAnsi"/>
                <w:color w:val="000000"/>
              </w:rPr>
              <w:t xml:space="preserve">, WT/DS379/AB/R, adopted 25 March 2011, DSR </w:t>
            </w:r>
            <w:proofErr w:type="gramStart"/>
            <w:r w:rsidRPr="00934669">
              <w:rPr>
                <w:rFonts w:asciiTheme="minorHAnsi" w:hAnsiTheme="minorHAnsi" w:cstheme="minorHAnsi"/>
                <w:color w:val="000000"/>
              </w:rPr>
              <w:t>2011:V</w:t>
            </w:r>
            <w:proofErr w:type="gramEnd"/>
            <w:r w:rsidRPr="00934669">
              <w:rPr>
                <w:rFonts w:asciiTheme="minorHAnsi" w:hAnsiTheme="minorHAnsi" w:cstheme="minorHAnsi"/>
                <w:color w:val="000000"/>
              </w:rPr>
              <w:t>, p. 2869</w:t>
            </w:r>
          </w:p>
        </w:tc>
      </w:tr>
      <w:tr w:rsidR="006C5B73" w:rsidRPr="00934669" w14:paraId="05F340C8" w14:textId="77777777" w:rsidTr="006C5B73">
        <w:trPr>
          <w:cantSplit/>
          <w:trHeight w:val="397"/>
        </w:trPr>
        <w:tc>
          <w:tcPr>
            <w:tcW w:w="2264" w:type="dxa"/>
          </w:tcPr>
          <w:p w14:paraId="43E061EF" w14:textId="77777777" w:rsidR="006C5B73" w:rsidRPr="00934669" w:rsidRDefault="006C5B73" w:rsidP="00A60C27">
            <w:pPr>
              <w:pStyle w:val="TTTableText"/>
              <w:rPr>
                <w:rFonts w:asciiTheme="minorHAnsi" w:hAnsiTheme="minorHAnsi" w:cstheme="minorHAnsi"/>
                <w:i/>
                <w:iCs/>
              </w:rPr>
            </w:pPr>
            <w:r w:rsidRPr="00934669">
              <w:rPr>
                <w:rFonts w:asciiTheme="minorHAnsi" w:hAnsiTheme="minorHAnsi" w:cstheme="minorHAnsi"/>
                <w:i/>
                <w:iCs/>
              </w:rPr>
              <w:t>US – Carbon Steel (India)</w:t>
            </w:r>
          </w:p>
        </w:tc>
        <w:tc>
          <w:tcPr>
            <w:tcW w:w="6796" w:type="dxa"/>
          </w:tcPr>
          <w:p w14:paraId="1219E1AC" w14:textId="77777777" w:rsidR="006C5B73" w:rsidRPr="00934669" w:rsidRDefault="006C5B73" w:rsidP="00A60C27">
            <w:pPr>
              <w:pStyle w:val="TTTableText"/>
              <w:rPr>
                <w:rFonts w:asciiTheme="minorHAnsi" w:hAnsiTheme="minorHAnsi" w:cstheme="minorHAnsi"/>
                <w:i/>
                <w:iCs/>
                <w:color w:val="000000"/>
              </w:rPr>
            </w:pPr>
            <w:r w:rsidRPr="00934669">
              <w:rPr>
                <w:rFonts w:asciiTheme="minorHAnsi" w:hAnsiTheme="minorHAnsi" w:cstheme="minorHAnsi"/>
                <w:color w:val="000000"/>
              </w:rPr>
              <w:t>Appellate Body Report,</w:t>
            </w:r>
            <w:r w:rsidRPr="00934669">
              <w:rPr>
                <w:rFonts w:asciiTheme="minorHAnsi" w:hAnsiTheme="minorHAnsi" w:cstheme="minorHAnsi"/>
                <w:i/>
                <w:iCs/>
                <w:color w:val="000000"/>
              </w:rPr>
              <w:t xml:space="preserve"> United States – Countervailing Measures on Certain Hot-Rolled Carbon Steel Flat Products from India</w:t>
            </w:r>
            <w:r w:rsidRPr="00934669">
              <w:rPr>
                <w:rFonts w:asciiTheme="minorHAnsi" w:hAnsiTheme="minorHAnsi" w:cstheme="minorHAnsi"/>
                <w:color w:val="000000"/>
              </w:rPr>
              <w:t xml:space="preserve">, WT/DS436/AB/R, adopted 19 December 2014, DSR </w:t>
            </w:r>
            <w:proofErr w:type="gramStart"/>
            <w:r w:rsidRPr="00934669">
              <w:rPr>
                <w:rFonts w:asciiTheme="minorHAnsi" w:hAnsiTheme="minorHAnsi" w:cstheme="minorHAnsi"/>
                <w:color w:val="000000"/>
              </w:rPr>
              <w:t>2014:V</w:t>
            </w:r>
            <w:proofErr w:type="gramEnd"/>
            <w:r w:rsidRPr="00934669">
              <w:rPr>
                <w:rFonts w:asciiTheme="minorHAnsi" w:hAnsiTheme="minorHAnsi" w:cstheme="minorHAnsi"/>
                <w:color w:val="000000"/>
              </w:rPr>
              <w:t>, p. 1727</w:t>
            </w:r>
          </w:p>
        </w:tc>
      </w:tr>
      <w:tr w:rsidR="006C5B73" w:rsidRPr="00934669" w14:paraId="6EAD5A3E" w14:textId="77777777" w:rsidTr="006C5B73">
        <w:trPr>
          <w:cantSplit/>
          <w:trHeight w:val="397"/>
        </w:trPr>
        <w:tc>
          <w:tcPr>
            <w:tcW w:w="2264" w:type="dxa"/>
          </w:tcPr>
          <w:p w14:paraId="250F5CE0" w14:textId="77777777" w:rsidR="006C5B73" w:rsidRPr="00934669" w:rsidRDefault="006C5B73" w:rsidP="00A60C27">
            <w:pPr>
              <w:pStyle w:val="TTTableText"/>
              <w:rPr>
                <w:rFonts w:asciiTheme="minorHAnsi" w:hAnsiTheme="minorHAnsi" w:cstheme="minorHAnsi"/>
                <w:i/>
                <w:iCs/>
              </w:rPr>
            </w:pPr>
            <w:r w:rsidRPr="00934669">
              <w:rPr>
                <w:rFonts w:asciiTheme="minorHAnsi" w:hAnsiTheme="minorHAnsi" w:cstheme="minorHAnsi"/>
                <w:i/>
                <w:iCs/>
              </w:rPr>
              <w:t>US – Countervailing Duty Investigation on DRAMS</w:t>
            </w:r>
          </w:p>
        </w:tc>
        <w:tc>
          <w:tcPr>
            <w:tcW w:w="6796" w:type="dxa"/>
          </w:tcPr>
          <w:p w14:paraId="596ABBA4" w14:textId="77777777" w:rsidR="006C5B73" w:rsidRPr="00934669" w:rsidRDefault="006C5B73" w:rsidP="00A60C27">
            <w:pPr>
              <w:pStyle w:val="TTTableText"/>
              <w:rPr>
                <w:rFonts w:asciiTheme="minorHAnsi" w:hAnsiTheme="minorHAnsi" w:cstheme="minorHAnsi"/>
                <w:color w:val="000000"/>
              </w:rPr>
            </w:pPr>
            <w:r w:rsidRPr="00934669">
              <w:rPr>
                <w:rFonts w:asciiTheme="minorHAnsi" w:hAnsiTheme="minorHAnsi" w:cstheme="minorHAnsi"/>
                <w:color w:val="000000"/>
              </w:rPr>
              <w:t xml:space="preserve">Appellate Body Report, </w:t>
            </w:r>
            <w:r w:rsidRPr="00934669">
              <w:rPr>
                <w:rFonts w:asciiTheme="minorHAnsi" w:hAnsiTheme="minorHAnsi" w:cstheme="minorHAnsi"/>
                <w:i/>
                <w:iCs/>
                <w:color w:val="000000"/>
              </w:rPr>
              <w:t xml:space="preserve">United States – Countervailing Duty Investigation on Dynamic </w:t>
            </w:r>
            <w:proofErr w:type="gramStart"/>
            <w:r w:rsidRPr="00934669">
              <w:rPr>
                <w:rFonts w:asciiTheme="minorHAnsi" w:hAnsiTheme="minorHAnsi" w:cstheme="minorHAnsi"/>
                <w:i/>
                <w:iCs/>
                <w:color w:val="000000"/>
              </w:rPr>
              <w:t>Random Access Memory</w:t>
            </w:r>
            <w:proofErr w:type="gramEnd"/>
            <w:r w:rsidRPr="00934669">
              <w:rPr>
                <w:rFonts w:asciiTheme="minorHAnsi" w:hAnsiTheme="minorHAnsi" w:cstheme="minorHAnsi"/>
                <w:i/>
                <w:iCs/>
                <w:color w:val="000000"/>
              </w:rPr>
              <w:t xml:space="preserve"> Semiconductors (DRAMS) from Korea,</w:t>
            </w:r>
            <w:r w:rsidRPr="00934669">
              <w:rPr>
                <w:rFonts w:asciiTheme="minorHAnsi" w:hAnsiTheme="minorHAnsi" w:cstheme="minorHAnsi"/>
                <w:color w:val="000000"/>
              </w:rPr>
              <w:t xml:space="preserve"> WT/DS296/AB/R, adopted 20 July 2005, DSR </w:t>
            </w:r>
            <w:proofErr w:type="gramStart"/>
            <w:r w:rsidRPr="00934669">
              <w:rPr>
                <w:rFonts w:asciiTheme="minorHAnsi" w:hAnsiTheme="minorHAnsi" w:cstheme="minorHAnsi"/>
                <w:color w:val="000000"/>
              </w:rPr>
              <w:t>2005:XVI</w:t>
            </w:r>
            <w:proofErr w:type="gramEnd"/>
            <w:r w:rsidRPr="00934669">
              <w:rPr>
                <w:rFonts w:asciiTheme="minorHAnsi" w:hAnsiTheme="minorHAnsi" w:cstheme="minorHAnsi"/>
                <w:color w:val="000000"/>
              </w:rPr>
              <w:t>, p. 8131</w:t>
            </w:r>
          </w:p>
        </w:tc>
      </w:tr>
      <w:tr w:rsidR="006C5B73" w:rsidRPr="00934669" w14:paraId="40526BAE" w14:textId="77777777" w:rsidTr="006C5B73">
        <w:trPr>
          <w:cantSplit/>
          <w:trHeight w:val="397"/>
        </w:trPr>
        <w:tc>
          <w:tcPr>
            <w:tcW w:w="2264" w:type="dxa"/>
          </w:tcPr>
          <w:p w14:paraId="0B6BEA4C" w14:textId="77777777" w:rsidR="006C5B73" w:rsidRPr="00934669" w:rsidRDefault="006C5B73" w:rsidP="00A60C27">
            <w:pPr>
              <w:pStyle w:val="TTTableText"/>
              <w:rPr>
                <w:rFonts w:asciiTheme="minorHAnsi" w:hAnsiTheme="minorHAnsi" w:cstheme="minorHAnsi"/>
                <w:i/>
                <w:iCs/>
              </w:rPr>
            </w:pPr>
            <w:r w:rsidRPr="00934669">
              <w:rPr>
                <w:rFonts w:asciiTheme="minorHAnsi" w:hAnsiTheme="minorHAnsi" w:cstheme="minorHAnsi"/>
                <w:i/>
                <w:iCs/>
              </w:rPr>
              <w:t>US – Countervailing Duty Investigation on DRAMS</w:t>
            </w:r>
          </w:p>
        </w:tc>
        <w:tc>
          <w:tcPr>
            <w:tcW w:w="6796" w:type="dxa"/>
          </w:tcPr>
          <w:p w14:paraId="46081D22" w14:textId="77777777" w:rsidR="006C5B73" w:rsidRPr="00934669" w:rsidRDefault="006C5B73" w:rsidP="00A60C27">
            <w:pPr>
              <w:pStyle w:val="TTTableText"/>
              <w:rPr>
                <w:rFonts w:asciiTheme="minorHAnsi" w:hAnsiTheme="minorHAnsi" w:cstheme="minorHAnsi"/>
                <w:color w:val="000000"/>
              </w:rPr>
            </w:pPr>
            <w:r w:rsidRPr="00934669">
              <w:rPr>
                <w:rFonts w:asciiTheme="minorHAnsi" w:hAnsiTheme="minorHAnsi" w:cstheme="minorHAnsi"/>
                <w:color w:val="000000"/>
              </w:rPr>
              <w:t xml:space="preserve">Panel Report, </w:t>
            </w:r>
            <w:r w:rsidRPr="00934669">
              <w:rPr>
                <w:rFonts w:asciiTheme="minorHAnsi" w:hAnsiTheme="minorHAnsi" w:cstheme="minorHAnsi"/>
                <w:i/>
                <w:iCs/>
                <w:color w:val="000000"/>
              </w:rPr>
              <w:t xml:space="preserve">United States – Countervailing Duty Investigation on Dynamic </w:t>
            </w:r>
            <w:proofErr w:type="gramStart"/>
            <w:r w:rsidRPr="00934669">
              <w:rPr>
                <w:rFonts w:asciiTheme="minorHAnsi" w:hAnsiTheme="minorHAnsi" w:cstheme="minorHAnsi"/>
                <w:i/>
                <w:iCs/>
                <w:color w:val="000000"/>
              </w:rPr>
              <w:t>Random Access Memory</w:t>
            </w:r>
            <w:proofErr w:type="gramEnd"/>
            <w:r w:rsidRPr="00934669">
              <w:rPr>
                <w:rFonts w:asciiTheme="minorHAnsi" w:hAnsiTheme="minorHAnsi" w:cstheme="minorHAnsi"/>
                <w:i/>
                <w:iCs/>
                <w:color w:val="000000"/>
              </w:rPr>
              <w:t xml:space="preserve"> Semiconductors (DRAMS) from Korea, </w:t>
            </w:r>
            <w:r w:rsidRPr="005436F3">
              <w:rPr>
                <w:rFonts w:asciiTheme="minorHAnsi" w:hAnsiTheme="minorHAnsi" w:cstheme="minorHAnsi"/>
                <w:color w:val="000000"/>
              </w:rPr>
              <w:t>WT/DS296/R,</w:t>
            </w:r>
            <w:r w:rsidRPr="00934669">
              <w:rPr>
                <w:rFonts w:asciiTheme="minorHAnsi" w:hAnsiTheme="minorHAnsi" w:cstheme="minorHAnsi"/>
                <w:i/>
                <w:iCs/>
                <w:color w:val="000000"/>
              </w:rPr>
              <w:t xml:space="preserve"> adopted 20 July 2005,</w:t>
            </w:r>
            <w:r w:rsidRPr="00934669">
              <w:rPr>
                <w:rFonts w:asciiTheme="minorHAnsi" w:hAnsiTheme="minorHAnsi" w:cstheme="minorHAnsi"/>
                <w:color w:val="000000"/>
              </w:rPr>
              <w:t xml:space="preserve"> as modified by Appellate Body Report WT/DS296/AB/R, DSR </w:t>
            </w:r>
            <w:proofErr w:type="gramStart"/>
            <w:r w:rsidRPr="00934669">
              <w:rPr>
                <w:rFonts w:asciiTheme="minorHAnsi" w:hAnsiTheme="minorHAnsi" w:cstheme="minorHAnsi"/>
                <w:color w:val="000000"/>
              </w:rPr>
              <w:t>2005:XVII</w:t>
            </w:r>
            <w:proofErr w:type="gramEnd"/>
            <w:r w:rsidRPr="00934669">
              <w:rPr>
                <w:rFonts w:asciiTheme="minorHAnsi" w:hAnsiTheme="minorHAnsi" w:cstheme="minorHAnsi"/>
                <w:color w:val="000000"/>
              </w:rPr>
              <w:t>, p. 8243</w:t>
            </w:r>
          </w:p>
        </w:tc>
      </w:tr>
    </w:tbl>
    <w:p w14:paraId="6472BDF0" w14:textId="77777777" w:rsidR="004D7079" w:rsidRDefault="004D7079" w:rsidP="004D7079">
      <w:pPr>
        <w:pStyle w:val="BTNSSBodyTextNoSpacingSmall"/>
      </w:pPr>
    </w:p>
    <w:p w14:paraId="20ED947A" w14:textId="77777777" w:rsidR="008A1191" w:rsidRPr="0007327B" w:rsidRDefault="004524CE" w:rsidP="004524CE">
      <w:pPr>
        <w:pStyle w:val="SHSectionHeading"/>
      </w:pPr>
      <w:bookmarkStart w:id="1" w:name="_Toc211356579"/>
      <w:r w:rsidRPr="0007327B">
        <w:t>List of Acronyms, Abbreviations and Short Forms</w:t>
      </w:r>
      <w:bookmarkEnd w:id="1"/>
    </w:p>
    <w:tbl>
      <w:tblPr>
        <w:tblStyle w:val="TableGrid"/>
        <w:tblW w:w="5000" w:type="pct"/>
        <w:tblLook w:val="04A0" w:firstRow="1" w:lastRow="0" w:firstColumn="1" w:lastColumn="0" w:noHBand="0" w:noVBand="1"/>
      </w:tblPr>
      <w:tblGrid>
        <w:gridCol w:w="2263"/>
        <w:gridCol w:w="6797"/>
      </w:tblGrid>
      <w:tr w:rsidR="00A85527" w:rsidRPr="000F0787" w14:paraId="694BBEAA" w14:textId="77777777" w:rsidTr="0094228D">
        <w:trPr>
          <w:cantSplit/>
          <w:trHeight w:val="397"/>
          <w:tblHeader/>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85FC5F" w14:textId="77777777" w:rsidR="00A85527" w:rsidRPr="000F0787" w:rsidRDefault="00A85527" w:rsidP="00A85527">
            <w:pPr>
              <w:pStyle w:val="BTBodyText"/>
              <w:spacing w:after="160" w:line="360" w:lineRule="auto"/>
              <w:rPr>
                <w:b/>
              </w:rPr>
            </w:pPr>
            <w:r w:rsidRPr="000F0787">
              <w:rPr>
                <w:b/>
              </w:rPr>
              <w:t>Abbreviation</w:t>
            </w:r>
          </w:p>
        </w:tc>
        <w:tc>
          <w:tcPr>
            <w:tcW w:w="6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2FA7F9" w14:textId="77777777" w:rsidR="00A85527" w:rsidRPr="000F0787" w:rsidRDefault="00A85527" w:rsidP="00A85527">
            <w:pPr>
              <w:pStyle w:val="BTBodyText"/>
              <w:spacing w:after="160" w:line="360" w:lineRule="auto"/>
              <w:rPr>
                <w:b/>
              </w:rPr>
            </w:pPr>
            <w:r w:rsidRPr="000F0787">
              <w:rPr>
                <w:b/>
              </w:rPr>
              <w:t>Full Form or Description</w:t>
            </w:r>
          </w:p>
        </w:tc>
      </w:tr>
      <w:tr w:rsidR="006C5B73" w:rsidRPr="00934669" w14:paraId="6A8296AC" w14:textId="77777777" w:rsidTr="0094228D">
        <w:trPr>
          <w:cantSplit/>
          <w:trHeight w:val="397"/>
        </w:trPr>
        <w:tc>
          <w:tcPr>
            <w:tcW w:w="2263" w:type="dxa"/>
          </w:tcPr>
          <w:p w14:paraId="4C2C8C82" w14:textId="77777777" w:rsidR="006C5B73" w:rsidRPr="006C5B73" w:rsidRDefault="006C5B73" w:rsidP="006C5B73">
            <w:pPr>
              <w:pStyle w:val="TTTableText"/>
              <w:jc w:val="both"/>
            </w:pPr>
            <w:r w:rsidRPr="006C5B73">
              <w:t>GATT</w:t>
            </w:r>
          </w:p>
        </w:tc>
        <w:tc>
          <w:tcPr>
            <w:tcW w:w="6797" w:type="dxa"/>
          </w:tcPr>
          <w:p w14:paraId="64173CC1" w14:textId="77777777" w:rsidR="006C5B73" w:rsidRPr="00DE492D" w:rsidRDefault="006C5B73" w:rsidP="00A60C27">
            <w:pPr>
              <w:pStyle w:val="TTTableText"/>
              <w:rPr>
                <w:rFonts w:asciiTheme="minorHAnsi" w:hAnsiTheme="minorHAnsi" w:cstheme="minorHAnsi"/>
                <w:i/>
                <w:iCs/>
              </w:rPr>
            </w:pPr>
            <w:r w:rsidRPr="00DE492D">
              <w:rPr>
                <w:rFonts w:asciiTheme="minorHAnsi" w:hAnsiTheme="minorHAnsi" w:cstheme="minorHAnsi"/>
                <w:i/>
                <w:iCs/>
              </w:rPr>
              <w:t>General Agreement on Tariffs and Trade 1994</w:t>
            </w:r>
          </w:p>
        </w:tc>
      </w:tr>
      <w:tr w:rsidR="006C5B73" w:rsidRPr="00934669" w14:paraId="627783A1" w14:textId="77777777" w:rsidTr="0094228D">
        <w:trPr>
          <w:cantSplit/>
          <w:trHeight w:val="474"/>
        </w:trPr>
        <w:tc>
          <w:tcPr>
            <w:tcW w:w="2263" w:type="dxa"/>
          </w:tcPr>
          <w:p w14:paraId="480B311D" w14:textId="77777777" w:rsidR="006C5B73" w:rsidRPr="006C5B73" w:rsidRDefault="006C5B73" w:rsidP="006C5B73">
            <w:pPr>
              <w:pStyle w:val="TTTableText"/>
              <w:jc w:val="both"/>
            </w:pPr>
            <w:r w:rsidRPr="006C5B73">
              <w:t>SCM Agreement</w:t>
            </w:r>
          </w:p>
        </w:tc>
        <w:tc>
          <w:tcPr>
            <w:tcW w:w="6797" w:type="dxa"/>
          </w:tcPr>
          <w:p w14:paraId="70680AE9" w14:textId="77777777" w:rsidR="006C5B73" w:rsidRPr="00934669" w:rsidRDefault="006C5B73" w:rsidP="00A60C27">
            <w:pPr>
              <w:pStyle w:val="TTTableText"/>
              <w:rPr>
                <w:rFonts w:asciiTheme="minorHAnsi" w:hAnsiTheme="minorHAnsi" w:cstheme="minorHAnsi"/>
                <w:i/>
                <w:iCs/>
              </w:rPr>
            </w:pPr>
            <w:r w:rsidRPr="00934669">
              <w:rPr>
                <w:rFonts w:asciiTheme="minorHAnsi" w:hAnsiTheme="minorHAnsi" w:cstheme="minorHAnsi"/>
                <w:i/>
                <w:iCs/>
              </w:rPr>
              <w:t>Agreement on Subsidies and Countervailing Measures</w:t>
            </w:r>
          </w:p>
        </w:tc>
      </w:tr>
      <w:tr w:rsidR="006C5B73" w:rsidRPr="00934669" w14:paraId="55BCFAE6" w14:textId="77777777" w:rsidTr="0094228D">
        <w:trPr>
          <w:cantSplit/>
          <w:trHeight w:val="397"/>
        </w:trPr>
        <w:tc>
          <w:tcPr>
            <w:tcW w:w="2263" w:type="dxa"/>
          </w:tcPr>
          <w:p w14:paraId="1E01A26A" w14:textId="77777777" w:rsidR="006C5B73" w:rsidRPr="006C5B73" w:rsidRDefault="006C5B73" w:rsidP="006C5B73">
            <w:pPr>
              <w:pStyle w:val="TTTableText"/>
              <w:jc w:val="both"/>
            </w:pPr>
            <w:r w:rsidRPr="006C5B73">
              <w:t>VCLT</w:t>
            </w:r>
          </w:p>
        </w:tc>
        <w:tc>
          <w:tcPr>
            <w:tcW w:w="6797" w:type="dxa"/>
          </w:tcPr>
          <w:p w14:paraId="3FC077B4" w14:textId="77777777" w:rsidR="006C5B73" w:rsidRPr="00934669" w:rsidRDefault="006C5B73" w:rsidP="00A60C27">
            <w:pPr>
              <w:pStyle w:val="TTTableText"/>
              <w:rPr>
                <w:rFonts w:asciiTheme="minorHAnsi" w:hAnsiTheme="minorHAnsi" w:cstheme="minorHAnsi"/>
                <w:i/>
                <w:iCs/>
              </w:rPr>
            </w:pPr>
            <w:r w:rsidRPr="00934669">
              <w:rPr>
                <w:rFonts w:asciiTheme="minorHAnsi" w:hAnsiTheme="minorHAnsi" w:cstheme="minorHAnsi"/>
                <w:i/>
                <w:iCs/>
              </w:rPr>
              <w:t>Vienna Convention on the Law of Treaties</w:t>
            </w:r>
          </w:p>
        </w:tc>
      </w:tr>
      <w:tr w:rsidR="006C5B73" w:rsidRPr="00934669" w14:paraId="0496B429" w14:textId="77777777" w:rsidTr="0094228D">
        <w:trPr>
          <w:cantSplit/>
          <w:trHeight w:val="397"/>
        </w:trPr>
        <w:tc>
          <w:tcPr>
            <w:tcW w:w="2263" w:type="dxa"/>
          </w:tcPr>
          <w:p w14:paraId="6F2D9CAA" w14:textId="77777777" w:rsidR="006C5B73" w:rsidRPr="006C5B73" w:rsidRDefault="006C5B73" w:rsidP="006C5B73">
            <w:pPr>
              <w:pStyle w:val="TTTableText"/>
              <w:jc w:val="both"/>
            </w:pPr>
            <w:r w:rsidRPr="006C5B73">
              <w:t>WTO</w:t>
            </w:r>
          </w:p>
        </w:tc>
        <w:tc>
          <w:tcPr>
            <w:tcW w:w="6797" w:type="dxa"/>
          </w:tcPr>
          <w:p w14:paraId="43E007C4" w14:textId="77777777" w:rsidR="006C5B73" w:rsidRPr="00934669" w:rsidRDefault="006C5B73" w:rsidP="00A60C27">
            <w:pPr>
              <w:pStyle w:val="TTTableText"/>
              <w:rPr>
                <w:rFonts w:asciiTheme="minorHAnsi" w:hAnsiTheme="minorHAnsi" w:cstheme="minorHAnsi"/>
              </w:rPr>
            </w:pPr>
            <w:r w:rsidRPr="00934669">
              <w:rPr>
                <w:rFonts w:asciiTheme="minorHAnsi" w:hAnsiTheme="minorHAnsi" w:cstheme="minorHAnsi"/>
              </w:rPr>
              <w:t xml:space="preserve">World Trade Organization </w:t>
            </w:r>
          </w:p>
        </w:tc>
      </w:tr>
    </w:tbl>
    <w:p w14:paraId="18CB8A8B" w14:textId="3F43A212" w:rsidR="00C922DC" w:rsidRDefault="00D231F8" w:rsidP="001E3588">
      <w:pPr>
        <w:pStyle w:val="HL1HeadingLevel1"/>
      </w:pPr>
      <w:bookmarkStart w:id="2" w:name="_Toc211356581"/>
      <w:r>
        <w:lastRenderedPageBreak/>
        <w:t>EXECUTIVE SUMMARY OF AUSTRALIA’S WRITTEN SUBMISSION</w:t>
      </w:r>
      <w:bookmarkEnd w:id="2"/>
    </w:p>
    <w:p w14:paraId="1C75613C" w14:textId="6D2861E3" w:rsidR="00327E32" w:rsidRPr="00525A12" w:rsidRDefault="00327E32" w:rsidP="00327E32">
      <w:pPr>
        <w:pStyle w:val="HL2HeadingLevel2"/>
        <w:rPr>
          <w:rFonts w:asciiTheme="minorHAnsi" w:hAnsiTheme="minorHAnsi" w:cstheme="minorHAnsi"/>
          <w:sz w:val="24"/>
          <w:szCs w:val="24"/>
        </w:rPr>
      </w:pPr>
      <w:bookmarkStart w:id="3" w:name="_Toc227586914"/>
      <w:r w:rsidRPr="00525A12">
        <w:rPr>
          <w:rFonts w:asciiTheme="minorHAnsi" w:hAnsiTheme="minorHAnsi" w:cstheme="minorHAnsi"/>
          <w:sz w:val="24"/>
          <w:szCs w:val="24"/>
        </w:rPr>
        <w:t>INTERPRETATION OF "SPECIAL CIRCUMSTANCES"</w:t>
      </w:r>
      <w:bookmarkEnd w:id="3"/>
    </w:p>
    <w:p w14:paraId="04E25717" w14:textId="797828E2" w:rsidR="00E64551" w:rsidRPr="00A85264" w:rsidRDefault="00E64551" w:rsidP="00E64551">
      <w:pPr>
        <w:pStyle w:val="P1-N1Paragraph1-Number1"/>
        <w:rPr>
          <w:rFonts w:asciiTheme="minorHAnsi" w:hAnsiTheme="minorHAnsi" w:cstheme="minorHAnsi"/>
          <w:lang w:eastAsia="ko-KR"/>
        </w:rPr>
      </w:pPr>
      <w:r w:rsidRPr="00963D46">
        <w:rPr>
          <w:rFonts w:asciiTheme="minorHAnsi" w:hAnsiTheme="minorHAnsi" w:cstheme="minorHAnsi"/>
          <w:lang w:eastAsia="ko-KR"/>
        </w:rPr>
        <w:t>Australia submits the term "special circumstances"</w:t>
      </w:r>
      <w:r>
        <w:rPr>
          <w:rFonts w:asciiTheme="minorHAnsi" w:hAnsiTheme="minorHAnsi" w:cstheme="minorHAnsi"/>
          <w:lang w:eastAsia="ko-KR"/>
        </w:rPr>
        <w:t xml:space="preserve"> under Article 11.6 of the SCM Agreement</w:t>
      </w:r>
      <w:r w:rsidRPr="00963D46">
        <w:rPr>
          <w:rFonts w:asciiTheme="minorHAnsi" w:hAnsiTheme="minorHAnsi" w:cstheme="minorHAnsi"/>
          <w:lang w:eastAsia="ko-KR"/>
        </w:rPr>
        <w:t xml:space="preserve"> should</w:t>
      </w:r>
      <w:r>
        <w:rPr>
          <w:rFonts w:asciiTheme="minorHAnsi" w:hAnsiTheme="minorHAnsi" w:cstheme="minorHAnsi"/>
          <w:lang w:eastAsia="ko-KR"/>
        </w:rPr>
        <w:t xml:space="preserve"> </w:t>
      </w:r>
      <w:r w:rsidRPr="00963D46">
        <w:rPr>
          <w:rFonts w:asciiTheme="minorHAnsi" w:hAnsiTheme="minorHAnsi" w:cstheme="minorHAnsi"/>
          <w:lang w:eastAsia="ko-KR"/>
        </w:rPr>
        <w:t>be given its ordinary meaning</w:t>
      </w:r>
      <w:r w:rsidR="005A758B">
        <w:rPr>
          <w:rFonts w:asciiTheme="minorHAnsi" w:hAnsiTheme="minorHAnsi" w:cstheme="minorHAnsi"/>
          <w:lang w:eastAsia="ko-KR"/>
        </w:rPr>
        <w:t xml:space="preserve"> consistent</w:t>
      </w:r>
      <w:r w:rsidRPr="00963D46">
        <w:rPr>
          <w:rFonts w:asciiTheme="minorHAnsi" w:hAnsiTheme="minorHAnsi" w:cstheme="minorHAnsi"/>
          <w:lang w:eastAsia="ko-KR"/>
        </w:rPr>
        <w:t xml:space="preserve"> with the VCLT</w:t>
      </w:r>
      <w:r>
        <w:rPr>
          <w:rFonts w:asciiTheme="minorHAnsi" w:hAnsiTheme="minorHAnsi" w:cstheme="minorHAnsi"/>
          <w:lang w:eastAsia="ko-KR"/>
        </w:rPr>
        <w:t>.</w:t>
      </w:r>
      <w:r w:rsidRPr="000B6AF6">
        <w:rPr>
          <w:rFonts w:asciiTheme="minorHAnsi" w:hAnsiTheme="minorHAnsi" w:cstheme="minorHAnsi"/>
          <w:vertAlign w:val="superscript"/>
        </w:rPr>
        <w:footnoteReference w:id="1"/>
      </w:r>
      <w:r>
        <w:rPr>
          <w:rFonts w:asciiTheme="minorHAnsi" w:hAnsiTheme="minorHAnsi" w:cstheme="minorHAnsi"/>
          <w:lang w:eastAsia="ko-KR"/>
        </w:rPr>
        <w:t xml:space="preserve"> </w:t>
      </w:r>
      <w:r w:rsidR="00D53639">
        <w:rPr>
          <w:rFonts w:asciiTheme="minorHAnsi" w:hAnsiTheme="minorHAnsi" w:cstheme="minorHAnsi"/>
          <w:lang w:eastAsia="ko-KR"/>
        </w:rPr>
        <w:t>Further</w:t>
      </w:r>
      <w:r w:rsidR="00CA350F">
        <w:rPr>
          <w:rFonts w:asciiTheme="minorHAnsi" w:hAnsiTheme="minorHAnsi" w:cstheme="minorHAnsi"/>
          <w:lang w:eastAsia="ko-KR"/>
        </w:rPr>
        <w:t>,</w:t>
      </w:r>
      <w:r>
        <w:rPr>
          <w:rFonts w:asciiTheme="minorHAnsi" w:hAnsiTheme="minorHAnsi" w:cstheme="minorHAnsi"/>
          <w:lang w:eastAsia="ko-KR"/>
        </w:rPr>
        <w:t xml:space="preserve"> the term</w:t>
      </w:r>
      <w:r w:rsidRPr="000B6AF6">
        <w:rPr>
          <w:rFonts w:asciiTheme="minorHAnsi" w:hAnsiTheme="minorHAnsi" w:cstheme="minorHAnsi"/>
          <w:vertAlign w:val="superscript"/>
        </w:rPr>
        <w:t xml:space="preserve"> </w:t>
      </w:r>
      <w:r w:rsidRPr="00963D46">
        <w:rPr>
          <w:rFonts w:asciiTheme="minorHAnsi" w:hAnsiTheme="minorHAnsi" w:cstheme="minorHAnsi"/>
          <w:lang w:eastAsia="ko-KR"/>
        </w:rPr>
        <w:t>"special circumstances" is not confined to a finite number of situations</w:t>
      </w:r>
      <w:r w:rsidR="00D53639">
        <w:rPr>
          <w:rFonts w:asciiTheme="minorHAnsi" w:hAnsiTheme="minorHAnsi" w:cstheme="minorHAnsi"/>
          <w:lang w:eastAsia="ko-KR"/>
        </w:rPr>
        <w:t>.</w:t>
      </w:r>
      <w:r w:rsidR="000B3C44">
        <w:rPr>
          <w:rFonts w:asciiTheme="minorHAnsi" w:hAnsiTheme="minorHAnsi" w:cstheme="minorHAnsi"/>
          <w:lang w:eastAsia="ko-KR"/>
        </w:rPr>
        <w:t xml:space="preserve"> Whether</w:t>
      </w:r>
      <w:r w:rsidR="008B2533">
        <w:rPr>
          <w:rFonts w:asciiTheme="minorHAnsi" w:hAnsiTheme="minorHAnsi" w:cstheme="minorHAnsi"/>
          <w:lang w:eastAsia="ko-KR"/>
        </w:rPr>
        <w:t xml:space="preserve"> </w:t>
      </w:r>
      <w:r w:rsidRPr="00963D46">
        <w:rPr>
          <w:rFonts w:asciiTheme="minorHAnsi" w:hAnsiTheme="minorHAnsi" w:cstheme="minorHAnsi"/>
          <w:lang w:eastAsia="ko-KR"/>
        </w:rPr>
        <w:t xml:space="preserve">"special circumstances" </w:t>
      </w:r>
      <w:r w:rsidR="000B3C44">
        <w:rPr>
          <w:rFonts w:asciiTheme="minorHAnsi" w:hAnsiTheme="minorHAnsi" w:cstheme="minorHAnsi"/>
          <w:lang w:eastAsia="ko-KR"/>
        </w:rPr>
        <w:t xml:space="preserve">exist </w:t>
      </w:r>
      <w:r w:rsidRPr="00963D46">
        <w:rPr>
          <w:rFonts w:asciiTheme="minorHAnsi" w:hAnsiTheme="minorHAnsi" w:cstheme="minorHAnsi"/>
          <w:lang w:eastAsia="ko-KR"/>
        </w:rPr>
        <w:t xml:space="preserve">would be highly dependent on the facts and should be determined on a </w:t>
      </w:r>
      <w:proofErr w:type="gramStart"/>
      <w:r w:rsidRPr="00963D46">
        <w:rPr>
          <w:rFonts w:asciiTheme="minorHAnsi" w:hAnsiTheme="minorHAnsi" w:cstheme="minorHAnsi"/>
          <w:lang w:eastAsia="ko-KR"/>
        </w:rPr>
        <w:t>case by case</w:t>
      </w:r>
      <w:proofErr w:type="gramEnd"/>
      <w:r w:rsidRPr="00963D46">
        <w:rPr>
          <w:rFonts w:asciiTheme="minorHAnsi" w:hAnsiTheme="minorHAnsi" w:cstheme="minorHAnsi"/>
          <w:lang w:eastAsia="ko-KR"/>
        </w:rPr>
        <w:t xml:space="preserve"> basis</w:t>
      </w:r>
      <w:r>
        <w:rPr>
          <w:rFonts w:asciiTheme="minorHAnsi" w:hAnsiTheme="minorHAnsi" w:cstheme="minorHAnsi"/>
          <w:lang w:eastAsia="ko-KR"/>
        </w:rPr>
        <w:t xml:space="preserve">. Consequently, </w:t>
      </w:r>
      <w:r w:rsidRPr="00A85264">
        <w:rPr>
          <w:rFonts w:asciiTheme="minorHAnsi" w:hAnsiTheme="minorHAnsi" w:cstheme="minorHAnsi"/>
          <w:lang w:eastAsia="ko-KR"/>
        </w:rPr>
        <w:t xml:space="preserve">the Panel need not establish a test to determine irrefutably whether "special circumstances" apply. </w:t>
      </w:r>
    </w:p>
    <w:p w14:paraId="2DDE15F5" w14:textId="41E6B9B1" w:rsidR="0020420B" w:rsidRDefault="008552DA" w:rsidP="005A7DA8">
      <w:pPr>
        <w:pStyle w:val="P1-N1Paragraph1-Number1"/>
        <w:rPr>
          <w:rFonts w:asciiTheme="minorHAnsi" w:hAnsiTheme="minorHAnsi" w:cstheme="minorHAnsi"/>
        </w:rPr>
      </w:pPr>
      <w:r>
        <w:rPr>
          <w:rFonts w:asciiTheme="minorHAnsi" w:hAnsiTheme="minorHAnsi" w:cstheme="minorHAnsi"/>
        </w:rPr>
        <w:t>Australia considers a</w:t>
      </w:r>
      <w:r w:rsidR="00E64551" w:rsidRPr="0020420B">
        <w:rPr>
          <w:rFonts w:asciiTheme="minorHAnsi" w:hAnsiTheme="minorHAnsi" w:cstheme="minorHAnsi"/>
        </w:rPr>
        <w:t>n investigating authority may self</w:t>
      </w:r>
      <w:r w:rsidR="00E64551" w:rsidRPr="0020420B">
        <w:rPr>
          <w:rFonts w:ascii="Cambria Math" w:hAnsi="Cambria Math" w:cs="Cambria Math"/>
        </w:rPr>
        <w:t>‑</w:t>
      </w:r>
      <w:r w:rsidR="00E64551" w:rsidRPr="0020420B">
        <w:rPr>
          <w:rFonts w:asciiTheme="minorHAnsi" w:hAnsiTheme="minorHAnsi" w:cstheme="minorHAnsi"/>
        </w:rPr>
        <w:t xml:space="preserve">initiate an investigation only where the circumstances deviate from the ordinary course of initiation as set out in Article 11.1 of the SCM Agreement. </w:t>
      </w:r>
      <w:r w:rsidR="00E64551" w:rsidRPr="0020420B">
        <w:rPr>
          <w:rFonts w:asciiTheme="minorHAnsi" w:hAnsiTheme="minorHAnsi" w:cstheme="minorHAnsi"/>
          <w:lang w:eastAsia="ko-KR"/>
        </w:rPr>
        <w:t>An ex-officio investigation under Article 11.6 would require "special circumstances" that are different</w:t>
      </w:r>
      <w:r w:rsidR="00E64551" w:rsidRPr="0020420B">
        <w:rPr>
          <w:rFonts w:asciiTheme="minorHAnsi" w:hAnsiTheme="minorHAnsi" w:cstheme="minorHAnsi"/>
          <w:i/>
          <w:iCs/>
          <w:lang w:eastAsia="ko-KR"/>
        </w:rPr>
        <w:t xml:space="preserve"> </w:t>
      </w:r>
      <w:r w:rsidR="00E64551" w:rsidRPr="0020420B">
        <w:rPr>
          <w:rFonts w:asciiTheme="minorHAnsi" w:hAnsiTheme="minorHAnsi" w:cstheme="minorHAnsi"/>
          <w:lang w:eastAsia="ko-KR"/>
        </w:rPr>
        <w:t>from investigations initiated under Article 11.1.</w:t>
      </w:r>
      <w:r w:rsidR="0020420B" w:rsidRPr="0020420B">
        <w:rPr>
          <w:rFonts w:asciiTheme="minorHAnsi" w:hAnsiTheme="minorHAnsi" w:cstheme="minorHAnsi"/>
          <w:lang w:eastAsia="ko-KR"/>
        </w:rPr>
        <w:t xml:space="preserve"> </w:t>
      </w:r>
    </w:p>
    <w:p w14:paraId="2BE45ACC" w14:textId="2A0FABEC" w:rsidR="00E64551" w:rsidRPr="0020420B" w:rsidRDefault="00E64551" w:rsidP="005A7DA8">
      <w:pPr>
        <w:pStyle w:val="P1-N1Paragraph1-Number1"/>
        <w:rPr>
          <w:rFonts w:asciiTheme="minorHAnsi" w:hAnsiTheme="minorHAnsi" w:cstheme="minorHAnsi"/>
        </w:rPr>
      </w:pPr>
      <w:r w:rsidRPr="0020420B">
        <w:rPr>
          <w:rFonts w:asciiTheme="minorHAnsi" w:hAnsiTheme="minorHAnsi" w:cstheme="minorHAnsi"/>
        </w:rPr>
        <w:t xml:space="preserve">Australia </w:t>
      </w:r>
      <w:r w:rsidR="00B02978">
        <w:rPr>
          <w:rFonts w:asciiTheme="minorHAnsi" w:hAnsiTheme="minorHAnsi" w:cstheme="minorHAnsi"/>
        </w:rPr>
        <w:t>submits</w:t>
      </w:r>
      <w:r w:rsidRPr="0020420B">
        <w:rPr>
          <w:rFonts w:asciiTheme="minorHAnsi" w:hAnsiTheme="minorHAnsi" w:cstheme="minorHAnsi"/>
        </w:rPr>
        <w:t xml:space="preserve"> that the negotiating history indicates that there was no consensus among the GATT contracting parties with respect to the definition of "special circumstances". </w:t>
      </w:r>
    </w:p>
    <w:p w14:paraId="1AAC0D83" w14:textId="0A3B0E52" w:rsidR="002F5D7C" w:rsidRPr="007A6D5A" w:rsidRDefault="000E12C0" w:rsidP="002F5D7C">
      <w:pPr>
        <w:pStyle w:val="HL2HeadingLevel2"/>
        <w:rPr>
          <w:rFonts w:asciiTheme="minorHAnsi" w:hAnsiTheme="minorHAnsi" w:cstheme="minorHAnsi"/>
          <w:sz w:val="24"/>
          <w:szCs w:val="24"/>
        </w:rPr>
      </w:pPr>
      <w:r w:rsidRPr="007A6D5A">
        <w:rPr>
          <w:rFonts w:asciiTheme="minorHAnsi" w:hAnsiTheme="minorHAnsi" w:cstheme="minorHAnsi"/>
          <w:sz w:val="24"/>
          <w:szCs w:val="24"/>
        </w:rPr>
        <w:t xml:space="preserve">DOMESTIC INDUSTRY SUPPORT </w:t>
      </w:r>
      <w:r w:rsidR="007A6D5A" w:rsidRPr="007A6D5A">
        <w:rPr>
          <w:rFonts w:asciiTheme="minorHAnsi" w:hAnsiTheme="minorHAnsi" w:cstheme="minorHAnsi"/>
          <w:sz w:val="24"/>
          <w:szCs w:val="24"/>
        </w:rPr>
        <w:t>AND ARTICLE 11</w:t>
      </w:r>
      <w:r w:rsidR="00910431">
        <w:rPr>
          <w:rFonts w:asciiTheme="minorHAnsi" w:hAnsiTheme="minorHAnsi" w:cstheme="minorHAnsi"/>
          <w:sz w:val="24"/>
          <w:szCs w:val="24"/>
        </w:rPr>
        <w:t>.6</w:t>
      </w:r>
    </w:p>
    <w:p w14:paraId="09A53C5C" w14:textId="166C54A3" w:rsidR="002D3A9F" w:rsidRPr="00CF46D8" w:rsidRDefault="009D296D" w:rsidP="003D65B5">
      <w:pPr>
        <w:pStyle w:val="P1-N1Paragraph1-Number1"/>
      </w:pPr>
      <w:r w:rsidRPr="004A75C6">
        <w:rPr>
          <w:rFonts w:asciiTheme="minorHAnsi" w:hAnsiTheme="minorHAnsi" w:cstheme="minorHAnsi"/>
        </w:rPr>
        <w:t>Article 11.6 of the SCM Agreement is concerned with situations "without… a written application".</w:t>
      </w:r>
      <w:r w:rsidRPr="00E97F3A">
        <w:rPr>
          <w:rFonts w:asciiTheme="minorHAnsi" w:hAnsiTheme="minorHAnsi" w:cstheme="minorHAnsi"/>
          <w:vertAlign w:val="superscript"/>
        </w:rPr>
        <w:footnoteReference w:id="2"/>
      </w:r>
      <w:r>
        <w:rPr>
          <w:rFonts w:asciiTheme="minorHAnsi" w:hAnsiTheme="minorHAnsi" w:cstheme="minorHAnsi"/>
        </w:rPr>
        <w:t xml:space="preserve"> </w:t>
      </w:r>
      <w:r w:rsidRPr="00103AAC">
        <w:rPr>
          <w:rFonts w:asciiTheme="minorHAnsi" w:hAnsiTheme="minorHAnsi" w:cstheme="minorHAnsi"/>
        </w:rPr>
        <w:t>Australia’s view is that the assessment of industry support is not a relevant consideration under Article 11.6</w:t>
      </w:r>
      <w:r>
        <w:rPr>
          <w:rFonts w:asciiTheme="minorHAnsi" w:hAnsiTheme="minorHAnsi" w:cstheme="minorHAnsi"/>
        </w:rPr>
        <w:t xml:space="preserve"> of the SCM Agreement</w:t>
      </w:r>
      <w:r w:rsidR="00540E71">
        <w:rPr>
          <w:rFonts w:asciiTheme="minorHAnsi" w:hAnsiTheme="minorHAnsi" w:cstheme="minorHAnsi"/>
        </w:rPr>
        <w:t>, noting this provision’s textual difference from Article 11.4, which does require the examination of industry support.</w:t>
      </w:r>
    </w:p>
    <w:p w14:paraId="592BBEB1" w14:textId="5BA1F062" w:rsidR="00822EDB" w:rsidRPr="007A6D5A" w:rsidRDefault="000E12C0" w:rsidP="002F5D7C">
      <w:pPr>
        <w:pStyle w:val="HL2HeadingLevel2"/>
        <w:rPr>
          <w:rFonts w:asciiTheme="minorHAnsi" w:hAnsiTheme="minorHAnsi" w:cstheme="minorHAnsi"/>
          <w:sz w:val="24"/>
          <w:szCs w:val="24"/>
        </w:rPr>
      </w:pPr>
      <w:r w:rsidRPr="007A6D5A">
        <w:rPr>
          <w:rFonts w:asciiTheme="minorHAnsi" w:hAnsiTheme="minorHAnsi" w:cstheme="minorHAnsi"/>
          <w:sz w:val="24"/>
          <w:szCs w:val="24"/>
        </w:rPr>
        <w:t>T</w:t>
      </w:r>
      <w:r w:rsidR="007A6D5A">
        <w:rPr>
          <w:rFonts w:asciiTheme="minorHAnsi" w:hAnsiTheme="minorHAnsi" w:cstheme="minorHAnsi"/>
          <w:sz w:val="24"/>
          <w:szCs w:val="24"/>
        </w:rPr>
        <w:t>HE LEGAL STANDARD FOR DETERMINING A "PUBLIC BODY"</w:t>
      </w:r>
    </w:p>
    <w:p w14:paraId="5A6462E4" w14:textId="73CDB13C" w:rsidR="00A321D1" w:rsidRPr="002F2201" w:rsidRDefault="00A321D1" w:rsidP="00A378C9">
      <w:pPr>
        <w:pStyle w:val="P1-N1Paragraph1-Number1"/>
        <w:rPr>
          <w:rFonts w:asciiTheme="minorHAnsi" w:hAnsiTheme="minorHAnsi" w:cstheme="minorHAnsi"/>
        </w:rPr>
      </w:pPr>
      <w:r w:rsidRPr="002F2201">
        <w:rPr>
          <w:rFonts w:asciiTheme="minorHAnsi" w:hAnsiTheme="minorHAnsi" w:cstheme="minorHAnsi"/>
        </w:rPr>
        <w:t>An investigating authority is not precluded from determining that a group of entities, including all the entities in a particular sector of the economy, are public bodies, if its assessment is based on an examination of the entities’ core characteristics and their relationship with government.</w:t>
      </w:r>
      <w:r w:rsidRPr="00103AAC">
        <w:rPr>
          <w:rStyle w:val="FootnoteReference"/>
          <w:rFonts w:asciiTheme="minorHAnsi" w:hAnsiTheme="minorHAnsi" w:cstheme="minorHAnsi"/>
        </w:rPr>
        <w:footnoteReference w:id="3"/>
      </w:r>
      <w:r w:rsidRPr="002F2201">
        <w:rPr>
          <w:rFonts w:asciiTheme="minorHAnsi" w:hAnsiTheme="minorHAnsi" w:cstheme="minorHAnsi"/>
        </w:rPr>
        <w:t xml:space="preserve"> Australia </w:t>
      </w:r>
      <w:r w:rsidR="00CF5050">
        <w:rPr>
          <w:rFonts w:asciiTheme="minorHAnsi" w:hAnsiTheme="minorHAnsi" w:cstheme="minorHAnsi"/>
        </w:rPr>
        <w:t>submits that</w:t>
      </w:r>
      <w:r w:rsidRPr="002F2201">
        <w:rPr>
          <w:rFonts w:asciiTheme="minorHAnsi" w:hAnsiTheme="minorHAnsi" w:cstheme="minorHAnsi"/>
        </w:rPr>
        <w:t xml:space="preserve"> in certain circumstances, a determination that focuses on evidence that a group of entities, whose core characteristics </w:t>
      </w:r>
      <w:r w:rsidRPr="002F2201">
        <w:rPr>
          <w:rFonts w:asciiTheme="minorHAnsi" w:hAnsiTheme="minorHAnsi" w:cstheme="minorHAnsi"/>
        </w:rPr>
        <w:lastRenderedPageBreak/>
        <w:t>include non-commercial behaviour driven by their relationship with the government, may be sufficient evidence that the entities are exercising governmental functions.</w:t>
      </w:r>
      <w:r w:rsidR="005A76EB">
        <w:rPr>
          <w:rStyle w:val="FootnoteReference"/>
          <w:rFonts w:cstheme="minorHAnsi"/>
        </w:rPr>
        <w:footnoteReference w:id="4"/>
      </w:r>
    </w:p>
    <w:p w14:paraId="58329839" w14:textId="5C145E13" w:rsidR="00A321D1" w:rsidRPr="00B34664" w:rsidRDefault="002F2201" w:rsidP="00A321D1">
      <w:pPr>
        <w:pStyle w:val="P1-N1Paragraph1-Number1"/>
        <w:rPr>
          <w:rFonts w:asciiTheme="minorHAnsi" w:hAnsiTheme="minorHAnsi" w:cstheme="minorHAnsi"/>
        </w:rPr>
      </w:pPr>
      <w:r>
        <w:rPr>
          <w:rFonts w:asciiTheme="minorHAnsi" w:hAnsiTheme="minorHAnsi" w:cstheme="minorHAnsi"/>
        </w:rPr>
        <w:t>The</w:t>
      </w:r>
      <w:r w:rsidR="00A321D1" w:rsidRPr="00B34664">
        <w:rPr>
          <w:rFonts w:asciiTheme="minorHAnsi" w:hAnsiTheme="minorHAnsi" w:cstheme="minorHAnsi"/>
        </w:rPr>
        <w:t xml:space="preserve"> term "public body" in Article 1.1(a)(1) of the SCM Agreement means "an entity that possesses, exercises or is vested with governmental authority".</w:t>
      </w:r>
      <w:r w:rsidR="00A321D1" w:rsidRPr="00103AAC">
        <w:rPr>
          <w:rStyle w:val="FootnoteReference"/>
          <w:rFonts w:asciiTheme="minorHAnsi" w:hAnsiTheme="minorHAnsi" w:cstheme="minorHAnsi"/>
        </w:rPr>
        <w:footnoteReference w:id="5"/>
      </w:r>
      <w:r w:rsidR="00A321D1" w:rsidRPr="00B34664">
        <w:rPr>
          <w:rFonts w:asciiTheme="minorHAnsi" w:hAnsiTheme="minorHAnsi" w:cstheme="minorHAnsi"/>
        </w:rPr>
        <w:t xml:space="preserve"> Australia cautions against trying to apply the notion of "governmental authority" too rigidly</w:t>
      </w:r>
      <w:r w:rsidR="00A321D1">
        <w:rPr>
          <w:rFonts w:asciiTheme="minorHAnsi" w:hAnsiTheme="minorHAnsi" w:cstheme="minorHAnsi"/>
        </w:rPr>
        <w:t>. N</w:t>
      </w:r>
      <w:r w:rsidR="00A321D1" w:rsidRPr="00840DF7">
        <w:rPr>
          <w:rFonts w:asciiTheme="minorHAnsi" w:hAnsiTheme="minorHAnsi" w:cstheme="minorHAnsi"/>
        </w:rPr>
        <w:t>o single test can be applied because there are complex and varied governance structures that exist across governments.</w:t>
      </w:r>
      <w:r w:rsidR="00A321D1">
        <w:rPr>
          <w:rFonts w:asciiTheme="minorHAnsi" w:hAnsiTheme="minorHAnsi" w:cstheme="minorHAnsi"/>
        </w:rPr>
        <w:t xml:space="preserve"> </w:t>
      </w:r>
    </w:p>
    <w:p w14:paraId="2806A2EB" w14:textId="685B6C86" w:rsidR="00A321D1" w:rsidRPr="00A21079" w:rsidRDefault="00A321D1" w:rsidP="00A321D1">
      <w:pPr>
        <w:pStyle w:val="P1-N1Paragraph1-Number1"/>
        <w:rPr>
          <w:rFonts w:asciiTheme="minorHAnsi" w:hAnsiTheme="minorHAnsi" w:cstheme="minorHAnsi"/>
        </w:rPr>
      </w:pPr>
      <w:r w:rsidRPr="002B3015">
        <w:rPr>
          <w:rFonts w:asciiTheme="minorHAnsi" w:hAnsiTheme="minorHAnsi" w:cstheme="minorHAnsi"/>
        </w:rPr>
        <w:t>Australia further considers that no single characteristic is determinative and different types of evidence may be relevant to show that a government has bestowed authority on a particular entity.</w:t>
      </w:r>
      <w:r w:rsidR="009F7E01">
        <w:rPr>
          <w:rStyle w:val="FootnoteReference"/>
          <w:rFonts w:cstheme="minorHAnsi"/>
        </w:rPr>
        <w:footnoteReference w:id="6"/>
      </w:r>
      <w:r w:rsidRPr="002B3015">
        <w:rPr>
          <w:rFonts w:asciiTheme="minorHAnsi" w:hAnsiTheme="minorHAnsi" w:cstheme="minorHAnsi"/>
        </w:rPr>
        <w:t xml:space="preserve"> Relevantly, the evidence that may be considered in making a public body determination can include: </w:t>
      </w:r>
      <w:r w:rsidRPr="00A21079">
        <w:rPr>
          <w:rFonts w:asciiTheme="minorHAnsi" w:hAnsiTheme="minorHAnsi" w:cstheme="minorHAnsi"/>
        </w:rPr>
        <w:t>any statute or legal instrument which expressly vests authority in an entity;</w:t>
      </w:r>
      <w:r>
        <w:rPr>
          <w:rFonts w:asciiTheme="minorHAnsi" w:hAnsiTheme="minorHAnsi" w:cstheme="minorHAnsi"/>
        </w:rPr>
        <w:t xml:space="preserve"> </w:t>
      </w:r>
      <w:r w:rsidRPr="00A21079">
        <w:rPr>
          <w:rFonts w:asciiTheme="minorHAnsi" w:hAnsiTheme="minorHAnsi" w:cstheme="minorHAnsi"/>
        </w:rPr>
        <w:t>evidence that points to a "sustained and systematic practice" of an entity exercising governmental functions; and</w:t>
      </w:r>
      <w:r>
        <w:rPr>
          <w:rFonts w:asciiTheme="minorHAnsi" w:hAnsiTheme="minorHAnsi" w:cstheme="minorHAnsi"/>
        </w:rPr>
        <w:t xml:space="preserve"> </w:t>
      </w:r>
      <w:r w:rsidRPr="00A21079">
        <w:rPr>
          <w:rFonts w:asciiTheme="minorHAnsi" w:hAnsiTheme="minorHAnsi" w:cstheme="minorHAnsi"/>
        </w:rPr>
        <w:t>evidence that a government exercises "meaningful control" over an entity and its conduct.</w:t>
      </w:r>
      <w:r w:rsidRPr="00103AAC">
        <w:rPr>
          <w:rStyle w:val="FootnoteReference"/>
          <w:rFonts w:asciiTheme="minorHAnsi" w:hAnsiTheme="minorHAnsi" w:cstheme="minorHAnsi"/>
        </w:rPr>
        <w:footnoteReference w:id="7"/>
      </w:r>
    </w:p>
    <w:p w14:paraId="21A4CD8A" w14:textId="77777777" w:rsidR="00A321D1" w:rsidRPr="00103AAC" w:rsidRDefault="00A321D1" w:rsidP="00A321D1">
      <w:pPr>
        <w:pStyle w:val="P1-N1Paragraph1-Number1"/>
        <w:rPr>
          <w:rFonts w:asciiTheme="minorHAnsi" w:hAnsiTheme="minorHAnsi" w:cstheme="minorHAnsi"/>
        </w:rPr>
      </w:pPr>
      <w:r w:rsidRPr="00C2084F">
        <w:rPr>
          <w:rFonts w:asciiTheme="minorHAnsi" w:hAnsiTheme="minorHAnsi" w:cstheme="minorHAnsi"/>
        </w:rPr>
        <w:t>In Australia’s view, an approach which looks at the nature and extent of governmental control of an entity is consistent with the object and purpose of Article 1.1</w:t>
      </w:r>
      <w:r>
        <w:rPr>
          <w:rFonts w:asciiTheme="minorHAnsi" w:hAnsiTheme="minorHAnsi" w:cstheme="minorHAnsi"/>
        </w:rPr>
        <w:t xml:space="preserve">, </w:t>
      </w:r>
      <w:r w:rsidRPr="00840DF7">
        <w:rPr>
          <w:rFonts w:asciiTheme="minorHAnsi" w:hAnsiTheme="minorHAnsi" w:cstheme="minorHAnsi"/>
        </w:rPr>
        <w:t xml:space="preserve">which is to ensure that a subsidy provided by </w:t>
      </w:r>
      <w:r w:rsidRPr="00840DF7">
        <w:rPr>
          <w:rFonts w:asciiTheme="minorHAnsi" w:hAnsiTheme="minorHAnsi" w:cstheme="minorHAnsi"/>
          <w:b/>
          <w:bCs/>
          <w:i/>
          <w:iCs/>
        </w:rPr>
        <w:t xml:space="preserve">any </w:t>
      </w:r>
      <w:r w:rsidRPr="00840DF7">
        <w:rPr>
          <w:rFonts w:asciiTheme="minorHAnsi" w:hAnsiTheme="minorHAnsi" w:cstheme="minorHAnsi"/>
        </w:rPr>
        <w:t>public body within the meaning of Article 1.1(a)(1) is captured by the SCM Agreement.</w:t>
      </w:r>
      <w:r w:rsidRPr="00C2084F">
        <w:rPr>
          <w:rFonts w:asciiTheme="minorHAnsi" w:hAnsiTheme="minorHAnsi" w:cstheme="minorHAnsi"/>
        </w:rPr>
        <w:t xml:space="preserve"> </w:t>
      </w:r>
    </w:p>
    <w:p w14:paraId="72B3635F" w14:textId="77777777" w:rsidR="00A1489A" w:rsidRDefault="0098367F" w:rsidP="00A321D1">
      <w:pPr>
        <w:pStyle w:val="P1-N1Paragraph1-Number1"/>
        <w:rPr>
          <w:rFonts w:asciiTheme="minorHAnsi" w:hAnsiTheme="minorHAnsi" w:cstheme="minorHAnsi"/>
        </w:rPr>
      </w:pPr>
      <w:r>
        <w:rPr>
          <w:rFonts w:asciiTheme="minorHAnsi" w:hAnsiTheme="minorHAnsi" w:cstheme="minorHAnsi"/>
        </w:rPr>
        <w:t>A</w:t>
      </w:r>
      <w:r w:rsidR="00A321D1" w:rsidRPr="00103AAC">
        <w:rPr>
          <w:rFonts w:asciiTheme="minorHAnsi" w:hAnsiTheme="minorHAnsi" w:cstheme="minorHAnsi"/>
        </w:rPr>
        <w:t xml:space="preserve"> </w:t>
      </w:r>
      <w:r w:rsidR="00A321D1" w:rsidRPr="00103AAC" w:rsidDel="0051616B">
        <w:rPr>
          <w:rFonts w:asciiTheme="minorHAnsi" w:hAnsiTheme="minorHAnsi" w:cstheme="minorHAnsi"/>
        </w:rPr>
        <w:t>"</w:t>
      </w:r>
      <w:r w:rsidR="00A321D1" w:rsidRPr="00103AAC">
        <w:rPr>
          <w:rFonts w:asciiTheme="minorHAnsi" w:hAnsiTheme="minorHAnsi" w:cstheme="minorHAnsi"/>
        </w:rPr>
        <w:t>public body</w:t>
      </w:r>
      <w:r w:rsidR="00A321D1" w:rsidRPr="00103AAC" w:rsidDel="0051616B">
        <w:rPr>
          <w:rFonts w:asciiTheme="minorHAnsi" w:hAnsiTheme="minorHAnsi" w:cstheme="minorHAnsi"/>
        </w:rPr>
        <w:t>"</w:t>
      </w:r>
      <w:r w:rsidR="00A321D1" w:rsidRPr="00103AAC">
        <w:rPr>
          <w:rFonts w:asciiTheme="minorHAnsi" w:hAnsiTheme="minorHAnsi" w:cstheme="minorHAnsi"/>
        </w:rPr>
        <w:t xml:space="preserve"> determination requires consideration of the "core characteristics and functions of the relevant entity, its relationship with the government, and the legal and economic environment prevailing in the country in which the investigated entity operates".</w:t>
      </w:r>
      <w:r w:rsidR="00A321D1" w:rsidRPr="00103AAC">
        <w:rPr>
          <w:rStyle w:val="FootnoteReference"/>
          <w:rFonts w:asciiTheme="minorHAnsi" w:hAnsiTheme="minorHAnsi" w:cstheme="minorHAnsi"/>
        </w:rPr>
        <w:footnoteReference w:id="8"/>
      </w:r>
      <w:r w:rsidR="00A321D1">
        <w:rPr>
          <w:rFonts w:asciiTheme="minorHAnsi" w:hAnsiTheme="minorHAnsi" w:cstheme="minorHAnsi"/>
        </w:rPr>
        <w:t xml:space="preserve"> </w:t>
      </w:r>
    </w:p>
    <w:p w14:paraId="4A6DFB80" w14:textId="5A1F0298" w:rsidR="00A321D1" w:rsidRPr="00103AAC" w:rsidRDefault="00A321D1" w:rsidP="00A321D1">
      <w:pPr>
        <w:pStyle w:val="P1-N1Paragraph1-Number1"/>
        <w:rPr>
          <w:rFonts w:asciiTheme="minorHAnsi" w:hAnsiTheme="minorHAnsi" w:cstheme="minorHAnsi"/>
        </w:rPr>
      </w:pPr>
      <w:r>
        <w:rPr>
          <w:rFonts w:asciiTheme="minorHAnsi" w:hAnsiTheme="minorHAnsi" w:cstheme="minorHAnsi"/>
        </w:rPr>
        <w:t>A</w:t>
      </w:r>
      <w:r w:rsidRPr="00840DF7">
        <w:rPr>
          <w:rFonts w:asciiTheme="minorHAnsi" w:hAnsiTheme="minorHAnsi" w:cstheme="minorHAnsi"/>
        </w:rPr>
        <w:t xml:space="preserve">n </w:t>
      </w:r>
      <w:r w:rsidRPr="00840DF7" w:rsidDel="0028183E">
        <w:rPr>
          <w:rFonts w:asciiTheme="minorHAnsi" w:hAnsiTheme="minorHAnsi" w:cstheme="minorHAnsi"/>
        </w:rPr>
        <w:t xml:space="preserve">investigating authority </w:t>
      </w:r>
      <w:r w:rsidRPr="00840DF7">
        <w:rPr>
          <w:rFonts w:asciiTheme="minorHAnsi" w:hAnsiTheme="minorHAnsi" w:cstheme="minorHAnsi"/>
        </w:rPr>
        <w:t xml:space="preserve">should </w:t>
      </w:r>
      <w:r w:rsidRPr="00840DF7" w:rsidDel="0028183E">
        <w:rPr>
          <w:rFonts w:asciiTheme="minorHAnsi" w:hAnsiTheme="minorHAnsi" w:cstheme="minorHAnsi"/>
        </w:rPr>
        <w:t>avoid "focusing exclusively or unduly on any single characteristic without affording due consideration to others that may be relevant".</w:t>
      </w:r>
      <w:r w:rsidRPr="00840DF7" w:rsidDel="0028183E">
        <w:rPr>
          <w:rStyle w:val="FootnoteReference"/>
          <w:rFonts w:asciiTheme="minorHAnsi" w:hAnsiTheme="minorHAnsi" w:cstheme="minorHAnsi"/>
        </w:rPr>
        <w:footnoteReference w:id="9"/>
      </w:r>
    </w:p>
    <w:p w14:paraId="668204D5" w14:textId="53B97F19" w:rsidR="002F5D7C" w:rsidRPr="00215811" w:rsidRDefault="00AF235B" w:rsidP="00E874E5">
      <w:pPr>
        <w:pStyle w:val="HL2HeadingLevel2"/>
        <w:rPr>
          <w:sz w:val="24"/>
          <w:szCs w:val="24"/>
        </w:rPr>
      </w:pPr>
      <w:r w:rsidRPr="00215811">
        <w:rPr>
          <w:sz w:val="24"/>
          <w:szCs w:val="24"/>
        </w:rPr>
        <w:lastRenderedPageBreak/>
        <w:t>E</w:t>
      </w:r>
      <w:r w:rsidR="00215811" w:rsidRPr="00215811">
        <w:rPr>
          <w:sz w:val="24"/>
          <w:szCs w:val="24"/>
        </w:rPr>
        <w:t>NTRUSTMENT OR DIRECTION OF PRIVATE BODIES</w:t>
      </w:r>
    </w:p>
    <w:p w14:paraId="7C6FDB92" w14:textId="41866360" w:rsidR="00BC1DE5" w:rsidRDefault="00BC1DE5" w:rsidP="00BC1DE5">
      <w:pPr>
        <w:pStyle w:val="P1-N1Paragraph1-Number1"/>
        <w:rPr>
          <w:rFonts w:asciiTheme="minorHAnsi" w:hAnsiTheme="minorHAnsi" w:cstheme="minorHAnsi"/>
        </w:rPr>
      </w:pPr>
      <w:r w:rsidRPr="00D67CCA">
        <w:rPr>
          <w:rFonts w:asciiTheme="minorHAnsi" w:hAnsiTheme="minorHAnsi" w:cstheme="minorHAnsi"/>
        </w:rPr>
        <w:t>Australia considers that Article 1.1(a)(1)(</w:t>
      </w:r>
      <w:r w:rsidRPr="00D67CCA" w:rsidDel="005956E1">
        <w:rPr>
          <w:rFonts w:asciiTheme="minorHAnsi" w:hAnsiTheme="minorHAnsi" w:cstheme="minorHAnsi"/>
        </w:rPr>
        <w:t>iv)</w:t>
      </w:r>
      <w:r w:rsidRPr="00D67CCA">
        <w:rPr>
          <w:rFonts w:asciiTheme="minorHAnsi" w:hAnsiTheme="minorHAnsi" w:cstheme="minorHAnsi"/>
        </w:rPr>
        <w:t xml:space="preserve"> of the SCM Agreement is intended to ensure that governments do not evade their obligations under the SCM Agreement by using private bodies </w:t>
      </w:r>
      <w:r w:rsidR="00E03511">
        <w:rPr>
          <w:rFonts w:asciiTheme="minorHAnsi" w:hAnsiTheme="minorHAnsi" w:cstheme="minorHAnsi"/>
        </w:rPr>
        <w:t xml:space="preserve">to perform functions </w:t>
      </w:r>
      <w:r w:rsidRPr="00D67CCA">
        <w:rPr>
          <w:rFonts w:asciiTheme="minorHAnsi" w:hAnsiTheme="minorHAnsi" w:cstheme="minorHAnsi"/>
        </w:rPr>
        <w:t xml:space="preserve">that would otherwise fall within Article 1.1(a)(1), were they to be </w:t>
      </w:r>
      <w:r w:rsidR="00E03511">
        <w:rPr>
          <w:rFonts w:asciiTheme="minorHAnsi" w:hAnsiTheme="minorHAnsi" w:cstheme="minorHAnsi"/>
        </w:rPr>
        <w:t>perfor</w:t>
      </w:r>
      <w:r w:rsidR="00A049C2">
        <w:rPr>
          <w:rFonts w:asciiTheme="minorHAnsi" w:hAnsiTheme="minorHAnsi" w:cstheme="minorHAnsi"/>
        </w:rPr>
        <w:t>med</w:t>
      </w:r>
      <w:r w:rsidR="00AF16C3">
        <w:rPr>
          <w:rFonts w:asciiTheme="minorHAnsi" w:hAnsiTheme="minorHAnsi" w:cstheme="minorHAnsi"/>
        </w:rPr>
        <w:t xml:space="preserve"> by</w:t>
      </w:r>
      <w:r w:rsidRPr="00D67CCA">
        <w:rPr>
          <w:rFonts w:asciiTheme="minorHAnsi" w:hAnsiTheme="minorHAnsi" w:cstheme="minorHAnsi"/>
        </w:rPr>
        <w:t xml:space="preserve"> the government itself. Article 1.1(a)(1)(iv) "</w:t>
      </w:r>
      <w:r w:rsidRPr="00D67CCA" w:rsidDel="005956E1">
        <w:rPr>
          <w:rFonts w:asciiTheme="minorHAnsi" w:hAnsiTheme="minorHAnsi" w:cstheme="minorHAnsi"/>
        </w:rPr>
        <w:t>is, in essence, an anti-circumvention provision"</w:t>
      </w:r>
      <w:r w:rsidRPr="00D67CCA">
        <w:rPr>
          <w:rFonts w:asciiTheme="minorHAnsi" w:hAnsiTheme="minorHAnsi" w:cstheme="minorHAnsi"/>
        </w:rPr>
        <w:t>.</w:t>
      </w:r>
      <w:r w:rsidRPr="00103AAC" w:rsidDel="005956E1">
        <w:rPr>
          <w:rStyle w:val="FootnoteReference"/>
          <w:rFonts w:asciiTheme="minorHAnsi" w:hAnsiTheme="minorHAnsi" w:cstheme="minorHAnsi"/>
        </w:rPr>
        <w:footnoteReference w:id="10"/>
      </w:r>
      <w:r w:rsidRPr="00D67CCA" w:rsidDel="005956E1">
        <w:rPr>
          <w:rFonts w:asciiTheme="minorHAnsi" w:hAnsiTheme="minorHAnsi" w:cstheme="minorHAnsi"/>
        </w:rPr>
        <w:t xml:space="preserve"> </w:t>
      </w:r>
    </w:p>
    <w:p w14:paraId="0D0A87F2" w14:textId="11D9BBF8" w:rsidR="008C0DA0" w:rsidRDefault="00076C59" w:rsidP="00125456">
      <w:pPr>
        <w:pStyle w:val="P1-N1Paragraph1-Number1"/>
        <w:rPr>
          <w:rFonts w:asciiTheme="minorHAnsi" w:hAnsiTheme="minorHAnsi" w:cstheme="minorHAnsi"/>
        </w:rPr>
      </w:pPr>
      <w:r w:rsidRPr="00E443A3">
        <w:rPr>
          <w:rFonts w:asciiTheme="minorHAnsi" w:hAnsiTheme="minorHAnsi" w:cstheme="minorHAnsi"/>
        </w:rPr>
        <w:t xml:space="preserve">Australia submits </w:t>
      </w:r>
      <w:r w:rsidR="008E5CA4" w:rsidRPr="00E443A3">
        <w:rPr>
          <w:rFonts w:asciiTheme="minorHAnsi" w:hAnsiTheme="minorHAnsi" w:cstheme="minorHAnsi"/>
        </w:rPr>
        <w:t xml:space="preserve">that </w:t>
      </w:r>
      <w:r w:rsidR="00461D12" w:rsidRPr="00934669">
        <w:rPr>
          <w:rFonts w:asciiTheme="minorHAnsi" w:hAnsiTheme="minorHAnsi" w:cstheme="minorHAnsi"/>
        </w:rPr>
        <w:t>"</w:t>
      </w:r>
      <w:r w:rsidR="006B5035" w:rsidRPr="00E443A3">
        <w:rPr>
          <w:rFonts w:asciiTheme="minorHAnsi" w:hAnsiTheme="minorHAnsi" w:cstheme="minorHAnsi"/>
        </w:rPr>
        <w:t>an interpretation of the term "entrusts" that is limited to acts of "delegation" is too narrow",</w:t>
      </w:r>
      <w:r w:rsidR="006B5035" w:rsidRPr="006B5035">
        <w:rPr>
          <w:rFonts w:asciiTheme="minorHAnsi" w:hAnsiTheme="minorHAnsi" w:cstheme="minorHAnsi"/>
          <w:vertAlign w:val="superscript"/>
        </w:rPr>
        <w:footnoteReference w:id="11"/>
      </w:r>
      <w:r w:rsidR="006B5035" w:rsidRPr="00E443A3">
        <w:rPr>
          <w:rFonts w:asciiTheme="minorHAnsi" w:hAnsiTheme="minorHAnsi" w:cstheme="minorHAnsi"/>
        </w:rPr>
        <w:t xml:space="preserve"> "an interpretation of the term "directs" that is limited to acts of "command" is also too narrow",</w:t>
      </w:r>
      <w:r w:rsidR="006B5035" w:rsidRPr="006B5035">
        <w:rPr>
          <w:rFonts w:asciiTheme="minorHAnsi" w:hAnsiTheme="minorHAnsi" w:cstheme="minorHAnsi"/>
          <w:vertAlign w:val="superscript"/>
        </w:rPr>
        <w:footnoteReference w:id="12"/>
      </w:r>
      <w:r w:rsidR="006B5035" w:rsidRPr="00E443A3">
        <w:rPr>
          <w:rFonts w:asciiTheme="minorHAnsi" w:hAnsiTheme="minorHAnsi" w:cstheme="minorHAnsi"/>
        </w:rPr>
        <w:t xml:space="preserve"> and that "in some circumstances, "guidance" by a government can constitute direction".</w:t>
      </w:r>
      <w:r w:rsidR="006B5035" w:rsidRPr="006B5035">
        <w:rPr>
          <w:rFonts w:asciiTheme="minorHAnsi" w:hAnsiTheme="minorHAnsi" w:cstheme="minorHAnsi"/>
          <w:vertAlign w:val="superscript"/>
        </w:rPr>
        <w:footnoteReference w:id="13"/>
      </w:r>
      <w:r w:rsidR="006B5035" w:rsidRPr="00E443A3">
        <w:rPr>
          <w:rFonts w:asciiTheme="minorHAnsi" w:hAnsiTheme="minorHAnsi" w:cstheme="minorHAnsi"/>
        </w:rPr>
        <w:t xml:space="preserve"> </w:t>
      </w:r>
    </w:p>
    <w:p w14:paraId="326F01CC" w14:textId="588662A8" w:rsidR="00D92BA8" w:rsidRPr="008C0DA0" w:rsidRDefault="00BC1DE5" w:rsidP="00976117">
      <w:pPr>
        <w:pStyle w:val="P1-N1Paragraph1-Number1"/>
        <w:rPr>
          <w:rFonts w:asciiTheme="minorHAnsi" w:hAnsiTheme="minorHAnsi" w:cstheme="minorHAnsi"/>
        </w:rPr>
      </w:pPr>
      <w:r w:rsidRPr="008C0DA0">
        <w:rPr>
          <w:rFonts w:asciiTheme="minorHAnsi" w:hAnsiTheme="minorHAnsi" w:cstheme="minorHAnsi"/>
        </w:rPr>
        <w:t>Subtle and informal means of "direction" and "entrustment" are not excluded from the scope of Article 1.1(a)(1)(iv), where properly supported by the evidence.</w:t>
      </w:r>
      <w:r w:rsidRPr="00103AAC">
        <w:rPr>
          <w:rStyle w:val="FootnoteReference"/>
          <w:rFonts w:asciiTheme="minorHAnsi" w:hAnsiTheme="minorHAnsi" w:cstheme="minorHAnsi"/>
        </w:rPr>
        <w:footnoteReference w:id="14"/>
      </w:r>
      <w:r w:rsidRPr="008C0DA0">
        <w:rPr>
          <w:rFonts w:asciiTheme="minorHAnsi" w:hAnsiTheme="minorHAnsi" w:cstheme="minorHAnsi"/>
        </w:rPr>
        <w:t xml:space="preserve"> </w:t>
      </w:r>
      <w:r w:rsidR="00D92BA8" w:rsidRPr="008C0DA0">
        <w:rPr>
          <w:rFonts w:asciiTheme="minorHAnsi" w:hAnsiTheme="minorHAnsi" w:cstheme="minorHAnsi"/>
        </w:rPr>
        <w:t xml:space="preserve">As the Panel in </w:t>
      </w:r>
      <w:r w:rsidR="00D92BA8" w:rsidRPr="008C0DA0">
        <w:rPr>
          <w:rFonts w:asciiTheme="minorHAnsi" w:hAnsiTheme="minorHAnsi" w:cstheme="minorHAnsi"/>
          <w:i/>
          <w:iCs/>
        </w:rPr>
        <w:t xml:space="preserve">Japan – DRAMs (Korea) </w:t>
      </w:r>
      <w:r w:rsidR="00D92BA8" w:rsidRPr="008C0DA0">
        <w:rPr>
          <w:rFonts w:asciiTheme="minorHAnsi" w:hAnsiTheme="minorHAnsi" w:cstheme="minorHAnsi"/>
        </w:rPr>
        <w:t>observed, "entrustment or direction of a private body will rarely be formal, or explicit. For this reason, allegations of government entrustment or direction are likely to be based on pieces of circumstantial evidence".</w:t>
      </w:r>
      <w:r w:rsidR="00D92BA8" w:rsidRPr="00D92BA8">
        <w:rPr>
          <w:rFonts w:asciiTheme="minorHAnsi" w:hAnsiTheme="minorHAnsi" w:cstheme="minorHAnsi"/>
          <w:vertAlign w:val="superscript"/>
        </w:rPr>
        <w:footnoteReference w:id="15"/>
      </w:r>
    </w:p>
    <w:p w14:paraId="159F1543" w14:textId="67ECB0E5" w:rsidR="00A0787B" w:rsidRDefault="008745AD" w:rsidP="00A0787B">
      <w:pPr>
        <w:pStyle w:val="HL1HeadingLevel1"/>
      </w:pPr>
      <w:r>
        <w:t xml:space="preserve">Executive </w:t>
      </w:r>
      <w:r w:rsidR="00A0787B">
        <w:t xml:space="preserve">summary of </w:t>
      </w:r>
      <w:r>
        <w:t xml:space="preserve">australia's </w:t>
      </w:r>
      <w:r w:rsidR="00A0787B">
        <w:t xml:space="preserve">oRAL STATEMENT </w:t>
      </w:r>
    </w:p>
    <w:p w14:paraId="53D876BB" w14:textId="26987A84" w:rsidR="0068758D" w:rsidRPr="00215811" w:rsidRDefault="008B77DD" w:rsidP="00341BCD">
      <w:pPr>
        <w:pStyle w:val="HL2HeadingLevel2"/>
        <w:rPr>
          <w:sz w:val="24"/>
          <w:szCs w:val="24"/>
        </w:rPr>
      </w:pPr>
      <w:bookmarkStart w:id="4" w:name="_Toc204865825"/>
      <w:bookmarkStart w:id="5" w:name="_Toc209446651"/>
      <w:r w:rsidRPr="00215811">
        <w:rPr>
          <w:sz w:val="24"/>
          <w:szCs w:val="24"/>
        </w:rPr>
        <w:t>P</w:t>
      </w:r>
      <w:r w:rsidR="00215811" w:rsidRPr="00215811">
        <w:rPr>
          <w:sz w:val="24"/>
          <w:szCs w:val="24"/>
        </w:rPr>
        <w:t>UBLIC BODY</w:t>
      </w:r>
      <w:bookmarkEnd w:id="4"/>
      <w:bookmarkEnd w:id="5"/>
    </w:p>
    <w:p w14:paraId="48DB78E8" w14:textId="77777777" w:rsidR="00F55E8A" w:rsidRPr="00103AAC" w:rsidRDefault="00F55E8A" w:rsidP="004F10BD">
      <w:pPr>
        <w:pStyle w:val="P1-N1Paragraph1-Number1"/>
        <w:rPr>
          <w:rFonts w:asciiTheme="minorHAnsi" w:hAnsiTheme="minorHAnsi" w:cstheme="minorHAnsi"/>
        </w:rPr>
      </w:pPr>
      <w:r w:rsidRPr="005C3A83">
        <w:t xml:space="preserve">Australia maintains that no single criterion is determinative, and different types of evidence </w:t>
      </w:r>
      <w:r w:rsidRPr="00E10DA2">
        <w:rPr>
          <w:rFonts w:asciiTheme="minorHAnsi" w:hAnsiTheme="minorHAnsi"/>
        </w:rPr>
        <w:t>may</w:t>
      </w:r>
      <w:r w:rsidRPr="005C3A83">
        <w:t xml:space="preserve"> be relevant in assessing whether an entity is a "public body" under Article 1.1(a)(1) of the SCM Agreement. </w:t>
      </w:r>
      <w:r w:rsidRPr="00103AAC">
        <w:rPr>
          <w:rFonts w:asciiTheme="minorHAnsi" w:hAnsiTheme="minorHAnsi" w:cstheme="minorHAnsi"/>
        </w:rPr>
        <w:t>A "public body" determination should be a holistic assessment based on the "core characteristics and functions of the relevant entity, its relationship with the government, and the legal and economic environment prevailing in the country in which the investigated entity operates".</w:t>
      </w:r>
      <w:r w:rsidRPr="00103AAC">
        <w:rPr>
          <w:rFonts w:asciiTheme="minorHAnsi" w:hAnsiTheme="minorHAnsi" w:cstheme="minorHAnsi"/>
          <w:vertAlign w:val="superscript"/>
        </w:rPr>
        <w:footnoteReference w:id="16"/>
      </w:r>
      <w:r w:rsidRPr="00103AAC">
        <w:rPr>
          <w:rFonts w:asciiTheme="minorHAnsi" w:hAnsiTheme="minorHAnsi" w:cstheme="minorHAnsi"/>
        </w:rPr>
        <w:t xml:space="preserve"> Panels should not focus narrowly on </w:t>
      </w:r>
      <w:r w:rsidRPr="00103AAC">
        <w:rPr>
          <w:rFonts w:asciiTheme="minorHAnsi" w:hAnsiTheme="minorHAnsi" w:cstheme="minorHAnsi"/>
        </w:rPr>
        <w:lastRenderedPageBreak/>
        <w:t>isolated acts of conduct</w:t>
      </w:r>
      <w:r>
        <w:rPr>
          <w:rFonts w:asciiTheme="minorHAnsi" w:hAnsiTheme="minorHAnsi" w:cstheme="minorHAnsi"/>
        </w:rPr>
        <w:t xml:space="preserve"> and </w:t>
      </w:r>
      <w:r w:rsidRPr="005C3A83">
        <w:rPr>
          <w:rFonts w:asciiTheme="minorHAnsi" w:hAnsiTheme="minorHAnsi" w:cstheme="minorHAnsi"/>
          <w:lang w:eastAsia="en-AU"/>
        </w:rPr>
        <w:t xml:space="preserve">should also ensure that their analysis remains fact-specific and responsive to the </w:t>
      </w:r>
      <w:r w:rsidRPr="005C3A83">
        <w:rPr>
          <w:rFonts w:asciiTheme="minorHAnsi" w:hAnsiTheme="minorHAnsi" w:cstheme="minorHAnsi"/>
        </w:rPr>
        <w:t>circumstances</w:t>
      </w:r>
      <w:r w:rsidRPr="005C3A83">
        <w:rPr>
          <w:rFonts w:asciiTheme="minorHAnsi" w:hAnsiTheme="minorHAnsi" w:cstheme="minorHAnsi"/>
          <w:lang w:eastAsia="en-AU"/>
        </w:rPr>
        <w:t xml:space="preserve"> of each case</w:t>
      </w:r>
      <w:r w:rsidRPr="00103AAC">
        <w:rPr>
          <w:rFonts w:asciiTheme="minorHAnsi" w:hAnsiTheme="minorHAnsi" w:cstheme="minorHAnsi"/>
        </w:rPr>
        <w:t>.</w:t>
      </w:r>
      <w:r w:rsidRPr="00103AAC">
        <w:rPr>
          <w:rFonts w:asciiTheme="minorHAnsi" w:hAnsiTheme="minorHAnsi" w:cstheme="minorHAnsi"/>
          <w:vertAlign w:val="superscript"/>
        </w:rPr>
        <w:footnoteReference w:id="17"/>
      </w:r>
    </w:p>
    <w:p w14:paraId="39274CEC" w14:textId="4389BF4A" w:rsidR="00585B2E" w:rsidRPr="00286F01" w:rsidRDefault="00286F01" w:rsidP="00C17FF6">
      <w:pPr>
        <w:pStyle w:val="HL2HeadingLevel2"/>
        <w:rPr>
          <w:sz w:val="24"/>
          <w:szCs w:val="24"/>
        </w:rPr>
      </w:pPr>
      <w:bookmarkStart w:id="6" w:name="_Toc209446652"/>
      <w:r w:rsidRPr="00286F01">
        <w:rPr>
          <w:sz w:val="24"/>
          <w:szCs w:val="24"/>
        </w:rPr>
        <w:t>ARTICLE 12.7 OF THE SCM AGREEMENT</w:t>
      </w:r>
      <w:bookmarkEnd w:id="6"/>
    </w:p>
    <w:p w14:paraId="29B56C86" w14:textId="32C2C057" w:rsidR="00880F80" w:rsidRPr="005C3A83" w:rsidRDefault="00151890" w:rsidP="004F10BD">
      <w:pPr>
        <w:pStyle w:val="P1-N1Paragraph1-Number1"/>
        <w:rPr>
          <w:rFonts w:asciiTheme="minorHAnsi" w:hAnsiTheme="minorHAnsi" w:cstheme="minorHAnsi"/>
        </w:rPr>
      </w:pPr>
      <w:r w:rsidRPr="00407992">
        <w:rPr>
          <w:rFonts w:asciiTheme="minorHAnsi" w:hAnsiTheme="minorHAnsi" w:cstheme="minorHAnsi"/>
        </w:rPr>
        <w:t>Article 12.7 of the SCM Agreement does not require investigating authorities to adopt a rigid or formalistic approach in identifying or selecting replacement facts. Rather, it requires a "process of reasoning and evaluating which "facts available" reasonably replace the missing information".</w:t>
      </w:r>
      <w:r w:rsidRPr="00103AAC">
        <w:rPr>
          <w:rFonts w:asciiTheme="minorHAnsi" w:hAnsiTheme="minorHAnsi" w:cstheme="minorHAnsi"/>
          <w:vertAlign w:val="superscript"/>
        </w:rPr>
        <w:footnoteReference w:id="18"/>
      </w:r>
      <w:r w:rsidRPr="00407992">
        <w:rPr>
          <w:rFonts w:asciiTheme="minorHAnsi" w:hAnsiTheme="minorHAnsi" w:cstheme="minorHAnsi"/>
        </w:rPr>
        <w:t xml:space="preserve"> The evaluation will depend on the circumstances of the investigation, including the nature and quality of the information available on the record. Importantly, "all substantiated facts on the record must be taken into account".</w:t>
      </w:r>
      <w:r w:rsidRPr="005C3A83">
        <w:rPr>
          <w:rStyle w:val="FootnoteReference"/>
          <w:rFonts w:cstheme="minorHAnsi"/>
        </w:rPr>
        <w:footnoteReference w:id="19"/>
      </w:r>
      <w:r w:rsidR="00407992" w:rsidRPr="00407992">
        <w:rPr>
          <w:rFonts w:asciiTheme="minorHAnsi" w:hAnsiTheme="minorHAnsi" w:cstheme="minorHAnsi"/>
        </w:rPr>
        <w:t xml:space="preserve"> </w:t>
      </w:r>
    </w:p>
    <w:p w14:paraId="3D173EA3" w14:textId="733487D6" w:rsidR="00151890" w:rsidRPr="00901A46" w:rsidRDefault="00151890" w:rsidP="004F10BD">
      <w:pPr>
        <w:pStyle w:val="P1-N1Paragraph1-Number1"/>
        <w:rPr>
          <w:rFonts w:asciiTheme="minorHAnsi" w:hAnsiTheme="minorHAnsi" w:cstheme="minorHAnsi"/>
        </w:rPr>
      </w:pPr>
      <w:r w:rsidRPr="00407992">
        <w:rPr>
          <w:rFonts w:asciiTheme="minorHAnsi" w:hAnsiTheme="minorHAnsi" w:cstheme="minorHAnsi"/>
        </w:rPr>
        <w:t>There has to be a "connection between the "necessary information" that is missing and the particular "facts available" on which a determination under Article 12.7 is based".</w:t>
      </w:r>
      <w:r w:rsidRPr="00103AAC">
        <w:rPr>
          <w:rFonts w:asciiTheme="minorHAnsi" w:hAnsiTheme="minorHAnsi" w:cstheme="minorHAnsi"/>
          <w:vertAlign w:val="superscript"/>
        </w:rPr>
        <w:footnoteReference w:id="20"/>
      </w:r>
      <w:r w:rsidRPr="00407992">
        <w:rPr>
          <w:rFonts w:asciiTheme="minorHAnsi" w:hAnsiTheme="minorHAnsi" w:cstheme="minorHAnsi"/>
        </w:rPr>
        <w:t xml:space="preserve"> The investigating authority must base its findings on facts that are supported by the record and explained through a reasoned analysis.</w:t>
      </w:r>
      <w:r w:rsidRPr="00901A46">
        <w:rPr>
          <w:rFonts w:asciiTheme="minorHAnsi" w:hAnsiTheme="minorHAnsi" w:cstheme="minorHAnsi"/>
          <w:vertAlign w:val="superscript"/>
        </w:rPr>
        <w:footnoteReference w:id="21"/>
      </w:r>
      <w:r w:rsidRPr="00407992">
        <w:rPr>
          <w:rFonts w:asciiTheme="minorHAnsi" w:hAnsiTheme="minorHAnsi" w:cstheme="minorHAnsi"/>
          <w:vertAlign w:val="superscript"/>
        </w:rPr>
        <w:t xml:space="preserve"> </w:t>
      </w:r>
      <w:r w:rsidRPr="005C3A83">
        <w:rPr>
          <w:rFonts w:asciiTheme="minorHAnsi" w:hAnsiTheme="minorHAnsi" w:cstheme="minorHAnsi"/>
          <w:lang w:eastAsia="en-AU"/>
        </w:rPr>
        <w:t>Article 12.7 of the SCM Agreement does not expressly characterise the use of "facts available" as "exceptional".</w:t>
      </w:r>
    </w:p>
    <w:p w14:paraId="7FCEFA36" w14:textId="22B3DD05" w:rsidR="00C12D3A" w:rsidRPr="008846B6" w:rsidRDefault="008846B6" w:rsidP="0027063D">
      <w:pPr>
        <w:pStyle w:val="HL2HeadingLevel2"/>
        <w:rPr>
          <w:sz w:val="24"/>
          <w:szCs w:val="24"/>
        </w:rPr>
      </w:pPr>
      <w:r w:rsidRPr="008846B6">
        <w:rPr>
          <w:sz w:val="24"/>
          <w:szCs w:val="24"/>
        </w:rPr>
        <w:t>CONFIDENTIALITY UNDER ARTICLE 12.4 OF THE SCM AGREEMENT</w:t>
      </w:r>
    </w:p>
    <w:p w14:paraId="34757D0B" w14:textId="77777777" w:rsidR="00801842" w:rsidRDefault="00801842" w:rsidP="004F10BD">
      <w:pPr>
        <w:pStyle w:val="P1-N1Paragraph1-Number1"/>
        <w:rPr>
          <w:rFonts w:asciiTheme="minorHAnsi" w:hAnsiTheme="minorHAnsi" w:cstheme="minorHAnsi"/>
        </w:rPr>
      </w:pPr>
      <w:r>
        <w:rPr>
          <w:rFonts w:asciiTheme="minorHAnsi" w:hAnsiTheme="minorHAnsi" w:cstheme="minorHAnsi"/>
        </w:rPr>
        <w:t>Australia recalls that r</w:t>
      </w:r>
      <w:r w:rsidRPr="00CA007C">
        <w:rPr>
          <w:rFonts w:asciiTheme="minorHAnsi" w:hAnsiTheme="minorHAnsi" w:cstheme="minorHAnsi"/>
        </w:rPr>
        <w:t>equests for confidential treatment under Article 12.4 of the SCM Agreement, or claims that information cannot be provided due to confidentiality, do not, in themselves, preclude investigating authorities from seeking "necessary information" from an interested party, and do not prevent recourse to "facts available" under Article 12.7 if information is withheld after having been requested.</w:t>
      </w:r>
      <w:r w:rsidRPr="00103AAC">
        <w:rPr>
          <w:rFonts w:asciiTheme="minorHAnsi" w:hAnsiTheme="minorHAnsi" w:cstheme="minorHAnsi"/>
          <w:vertAlign w:val="superscript"/>
        </w:rPr>
        <w:footnoteReference w:id="22"/>
      </w:r>
      <w:r w:rsidRPr="00CA007C">
        <w:rPr>
          <w:rFonts w:asciiTheme="minorHAnsi" w:hAnsiTheme="minorHAnsi" w:cstheme="minorHAnsi"/>
        </w:rPr>
        <w:t xml:space="preserve"> </w:t>
      </w:r>
    </w:p>
    <w:p w14:paraId="550628E7" w14:textId="67B3F794" w:rsidR="00D52A17" w:rsidRPr="000C69E9" w:rsidRDefault="00801842" w:rsidP="00801842">
      <w:pPr>
        <w:pStyle w:val="P1-N1Paragraph1-Number1"/>
      </w:pPr>
      <w:r w:rsidRPr="00CA007C">
        <w:rPr>
          <w:rFonts w:asciiTheme="minorHAnsi" w:hAnsiTheme="minorHAnsi" w:cstheme="minorHAnsi"/>
        </w:rPr>
        <w:t xml:space="preserve">Instead, Article 12.4.1 of the SCM Agreement provides for interested parties </w:t>
      </w:r>
      <w:r w:rsidR="0098542B">
        <w:rPr>
          <w:rFonts w:asciiTheme="minorHAnsi" w:hAnsiTheme="minorHAnsi" w:cstheme="minorHAnsi"/>
        </w:rPr>
        <w:t xml:space="preserve">that provide </w:t>
      </w:r>
      <w:r w:rsidRPr="00CA007C">
        <w:rPr>
          <w:rFonts w:asciiTheme="minorHAnsi" w:hAnsiTheme="minorHAnsi" w:cstheme="minorHAnsi"/>
        </w:rPr>
        <w:t xml:space="preserve">confidential information to furnish non-confidential summaries </w:t>
      </w:r>
      <w:r w:rsidR="00797FF9">
        <w:rPr>
          <w:rFonts w:asciiTheme="minorHAnsi" w:hAnsiTheme="minorHAnsi" w:cstheme="minorHAnsi"/>
        </w:rPr>
        <w:t>of that information</w:t>
      </w:r>
      <w:r w:rsidRPr="00CA007C">
        <w:rPr>
          <w:rFonts w:asciiTheme="minorHAnsi" w:hAnsiTheme="minorHAnsi" w:cstheme="minorHAnsi"/>
        </w:rPr>
        <w:t xml:space="preserve">. </w:t>
      </w:r>
      <w:r w:rsidRPr="00544793">
        <w:rPr>
          <w:rFonts w:asciiTheme="minorHAnsi" w:hAnsiTheme="minorHAnsi" w:cstheme="minorHAnsi"/>
        </w:rPr>
        <w:t xml:space="preserve">Where </w:t>
      </w:r>
      <w:r w:rsidR="00797FF9">
        <w:rPr>
          <w:rFonts w:asciiTheme="minorHAnsi" w:hAnsiTheme="minorHAnsi" w:cstheme="minorHAnsi"/>
        </w:rPr>
        <w:t>such</w:t>
      </w:r>
      <w:r w:rsidRPr="00544793">
        <w:rPr>
          <w:rFonts w:asciiTheme="minorHAnsi" w:hAnsiTheme="minorHAnsi" w:cstheme="minorHAnsi"/>
        </w:rPr>
        <w:t xml:space="preserve"> summaries are not provided, or </w:t>
      </w:r>
      <w:r w:rsidR="002B1D3F">
        <w:rPr>
          <w:rFonts w:asciiTheme="minorHAnsi" w:hAnsiTheme="minorHAnsi" w:cstheme="minorHAnsi"/>
        </w:rPr>
        <w:t>lack</w:t>
      </w:r>
      <w:r w:rsidRPr="00544793">
        <w:rPr>
          <w:rFonts w:asciiTheme="minorHAnsi" w:hAnsiTheme="minorHAnsi" w:cstheme="minorHAnsi"/>
        </w:rPr>
        <w:t xml:space="preserve"> sufficient detail, and consequently the investigating authority cannot verify the information, Article 12.7 may be engaged.</w:t>
      </w:r>
    </w:p>
    <w:sectPr w:rsidR="00D52A17" w:rsidRPr="000C69E9" w:rsidSect="008F5B14">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47CCA" w14:textId="77777777" w:rsidR="00FB4F95" w:rsidRDefault="00FB4F95" w:rsidP="00006269">
      <w:pPr>
        <w:spacing w:after="0" w:line="240" w:lineRule="auto"/>
      </w:pPr>
      <w:r>
        <w:separator/>
      </w:r>
    </w:p>
  </w:endnote>
  <w:endnote w:type="continuationSeparator" w:id="0">
    <w:p w14:paraId="4745F855" w14:textId="77777777" w:rsidR="00FB4F95" w:rsidRDefault="00FB4F95" w:rsidP="00006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F8E1E" w14:textId="5D450A69" w:rsidR="006C5B73" w:rsidRDefault="006C5B73">
    <w:pPr>
      <w:pStyle w:val="Footer"/>
    </w:pPr>
    <w:r>
      <w:rPr>
        <w:noProof/>
      </w:rPr>
      <mc:AlternateContent>
        <mc:Choice Requires="wps">
          <w:drawing>
            <wp:anchor distT="0" distB="0" distL="0" distR="0" simplePos="0" relativeHeight="251662336" behindDoc="0" locked="0" layoutInCell="1" allowOverlap="1" wp14:anchorId="3CAD49D1" wp14:editId="4DF98A15">
              <wp:simplePos x="635" y="635"/>
              <wp:positionH relativeFrom="page">
                <wp:align>center</wp:align>
              </wp:positionH>
              <wp:positionV relativeFrom="page">
                <wp:align>bottom</wp:align>
              </wp:positionV>
              <wp:extent cx="622300" cy="469265"/>
              <wp:effectExtent l="0" t="0" r="6350" b="0"/>
              <wp:wrapNone/>
              <wp:docPr id="192898959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69265"/>
                      </a:xfrm>
                      <a:prstGeom prst="rect">
                        <a:avLst/>
                      </a:prstGeom>
                      <a:noFill/>
                      <a:ln>
                        <a:noFill/>
                      </a:ln>
                    </wps:spPr>
                    <wps:txbx>
                      <w:txbxContent>
                        <w:p w14:paraId="5EF2C3C7" w14:textId="224DA141" w:rsidR="006C5B73" w:rsidRPr="006C5B73" w:rsidRDefault="006C5B73" w:rsidP="006C5B73">
                          <w:pPr>
                            <w:spacing w:after="0"/>
                            <w:rPr>
                              <w:rFonts w:ascii="Aptos" w:eastAsia="Aptos" w:hAnsi="Aptos" w:cs="Aptos"/>
                              <w:noProof/>
                              <w:color w:val="FF0000"/>
                            </w:rPr>
                          </w:pPr>
                          <w:r w:rsidRPr="006C5B7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AD49D1"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36.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" filled="f" stroked="f">
              <v:textbox style="mso-fit-shape-to-text:t" inset="0,0,0,15pt">
                <w:txbxContent>
                  <w:p w14:paraId="5EF2C3C7" w14:textId="224DA141" w:rsidR="006C5B73" w:rsidRPr="006C5B73" w:rsidRDefault="006C5B73" w:rsidP="006C5B73">
                    <w:pPr>
                      <w:spacing w:after="0"/>
                      <w:rPr>
                        <w:rFonts w:ascii="Aptos" w:eastAsia="Aptos" w:hAnsi="Aptos" w:cs="Aptos"/>
                        <w:noProof/>
                        <w:color w:val="FF0000"/>
                      </w:rPr>
                    </w:pPr>
                    <w:r w:rsidRPr="006C5B73">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2EB2B" w14:textId="3B63B593" w:rsidR="00380795" w:rsidRDefault="006C5B73">
    <w:pPr>
      <w:pStyle w:val="Footer"/>
    </w:pPr>
    <w:r>
      <w:rPr>
        <w:noProof/>
      </w:rPr>
      <mc:AlternateContent>
        <mc:Choice Requires="wps">
          <w:drawing>
            <wp:anchor distT="0" distB="0" distL="0" distR="0" simplePos="0" relativeHeight="251663360" behindDoc="0" locked="0" layoutInCell="1" allowOverlap="1" wp14:anchorId="7B399ABF" wp14:editId="3FAB3764">
              <wp:simplePos x="904875" y="10163175"/>
              <wp:positionH relativeFrom="page">
                <wp:align>center</wp:align>
              </wp:positionH>
              <wp:positionV relativeFrom="page">
                <wp:align>bottom</wp:align>
              </wp:positionV>
              <wp:extent cx="622300" cy="469265"/>
              <wp:effectExtent l="0" t="0" r="6350" b="0"/>
              <wp:wrapNone/>
              <wp:docPr id="181053815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69265"/>
                      </a:xfrm>
                      <a:prstGeom prst="rect">
                        <a:avLst/>
                      </a:prstGeom>
                      <a:noFill/>
                      <a:ln>
                        <a:noFill/>
                      </a:ln>
                    </wps:spPr>
                    <wps:txbx>
                      <w:txbxContent>
                        <w:p w14:paraId="1C5E425A" w14:textId="67244811" w:rsidR="006C5B73" w:rsidRPr="006C5B73" w:rsidRDefault="006C5B73" w:rsidP="006C5B73">
                          <w:pPr>
                            <w:spacing w:after="0"/>
                            <w:rPr>
                              <w:rFonts w:ascii="Aptos" w:eastAsia="Aptos" w:hAnsi="Aptos" w:cs="Aptos"/>
                              <w:noProof/>
                              <w:color w:val="FF0000"/>
                            </w:rPr>
                          </w:pPr>
                          <w:r w:rsidRPr="006C5B7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399ABF"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36.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" filled="f" stroked="f">
              <v:textbox style="mso-fit-shape-to-text:t" inset="0,0,0,15pt">
                <w:txbxContent>
                  <w:p w14:paraId="1C5E425A" w14:textId="67244811" w:rsidR="006C5B73" w:rsidRPr="006C5B73" w:rsidRDefault="006C5B73" w:rsidP="006C5B73">
                    <w:pPr>
                      <w:spacing w:after="0"/>
                      <w:rPr>
                        <w:rFonts w:ascii="Aptos" w:eastAsia="Aptos" w:hAnsi="Aptos" w:cs="Aptos"/>
                        <w:noProof/>
                        <w:color w:val="FF0000"/>
                      </w:rPr>
                    </w:pPr>
                    <w:r w:rsidRPr="006C5B73">
                      <w:rPr>
                        <w:rFonts w:ascii="Aptos" w:eastAsia="Aptos" w:hAnsi="Aptos" w:cs="Aptos"/>
                        <w:noProof/>
                        <w:color w:val="FF0000"/>
                      </w:rPr>
                      <w:t>OFFICIAL</w:t>
                    </w:r>
                  </w:p>
                </w:txbxContent>
              </v:textbox>
              <w10:wrap anchorx="page" anchory="page"/>
            </v:shape>
          </w:pict>
        </mc:Fallback>
      </mc:AlternateContent>
    </w:r>
    <w:r w:rsidR="00380795">
      <w:ptab w:relativeTo="margin" w:alignment="right" w:leader="none"/>
    </w:r>
    <w:r w:rsidR="00380795" w:rsidRPr="00006269">
      <w:fldChar w:fldCharType="begin"/>
    </w:r>
    <w:r w:rsidR="00380795" w:rsidRPr="00006269">
      <w:instrText xml:space="preserve"> PAGE   \* MERGEFORMAT </w:instrText>
    </w:r>
    <w:r w:rsidR="00380795" w:rsidRPr="00006269">
      <w:fldChar w:fldCharType="separate"/>
    </w:r>
    <w:r w:rsidR="00380795" w:rsidRPr="00006269">
      <w:rPr>
        <w:noProof/>
      </w:rPr>
      <w:t>1</w:t>
    </w:r>
    <w:r w:rsidR="00380795" w:rsidRPr="0000626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D27DB" w14:textId="141ACC4C" w:rsidR="006C5B73" w:rsidRDefault="006C5B73">
    <w:pPr>
      <w:pStyle w:val="Footer"/>
    </w:pPr>
    <w:r>
      <w:rPr>
        <w:noProof/>
      </w:rPr>
      <mc:AlternateContent>
        <mc:Choice Requires="wps">
          <w:drawing>
            <wp:anchor distT="0" distB="0" distL="0" distR="0" simplePos="0" relativeHeight="251661312" behindDoc="0" locked="0" layoutInCell="1" allowOverlap="1" wp14:anchorId="631C3E19" wp14:editId="4F403ECD">
              <wp:simplePos x="904875" y="10163175"/>
              <wp:positionH relativeFrom="page">
                <wp:align>center</wp:align>
              </wp:positionH>
              <wp:positionV relativeFrom="page">
                <wp:align>bottom</wp:align>
              </wp:positionV>
              <wp:extent cx="622300" cy="469265"/>
              <wp:effectExtent l="0" t="0" r="6350" b="0"/>
              <wp:wrapNone/>
              <wp:docPr id="17462619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69265"/>
                      </a:xfrm>
                      <a:prstGeom prst="rect">
                        <a:avLst/>
                      </a:prstGeom>
                      <a:noFill/>
                      <a:ln>
                        <a:noFill/>
                      </a:ln>
                    </wps:spPr>
                    <wps:txbx>
                      <w:txbxContent>
                        <w:p w14:paraId="559778D6" w14:textId="2F0388E7" w:rsidR="006C5B73" w:rsidRPr="006C5B73" w:rsidRDefault="006C5B73" w:rsidP="006C5B73">
                          <w:pPr>
                            <w:spacing w:after="0"/>
                            <w:rPr>
                              <w:rFonts w:ascii="Aptos" w:eastAsia="Aptos" w:hAnsi="Aptos" w:cs="Aptos"/>
                              <w:noProof/>
                              <w:color w:val="FF0000"/>
                            </w:rPr>
                          </w:pPr>
                          <w:r w:rsidRPr="006C5B7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1C3E19"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36.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" filled="f" stroked="f">
              <v:textbox style="mso-fit-shape-to-text:t" inset="0,0,0,15pt">
                <w:txbxContent>
                  <w:p w14:paraId="559778D6" w14:textId="2F0388E7" w:rsidR="006C5B73" w:rsidRPr="006C5B73" w:rsidRDefault="006C5B73" w:rsidP="006C5B73">
                    <w:pPr>
                      <w:spacing w:after="0"/>
                      <w:rPr>
                        <w:rFonts w:ascii="Aptos" w:eastAsia="Aptos" w:hAnsi="Aptos" w:cs="Aptos"/>
                        <w:noProof/>
                        <w:color w:val="FF0000"/>
                      </w:rPr>
                    </w:pPr>
                    <w:r w:rsidRPr="006C5B73">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A0DB6" w14:textId="77777777" w:rsidR="00FB4F95" w:rsidRDefault="00FB4F95" w:rsidP="00006269">
      <w:pPr>
        <w:spacing w:after="0" w:line="240" w:lineRule="auto"/>
      </w:pPr>
      <w:r>
        <w:separator/>
      </w:r>
    </w:p>
  </w:footnote>
  <w:footnote w:type="continuationSeparator" w:id="0">
    <w:p w14:paraId="3F11845B" w14:textId="77777777" w:rsidR="00FB4F95" w:rsidRDefault="00FB4F95" w:rsidP="00006269">
      <w:pPr>
        <w:spacing w:after="0" w:line="240" w:lineRule="auto"/>
      </w:pPr>
      <w:r>
        <w:continuationSeparator/>
      </w:r>
    </w:p>
  </w:footnote>
  <w:footnote w:id="1">
    <w:p w14:paraId="727C1242" w14:textId="77777777" w:rsidR="00E64551" w:rsidRPr="00840DF7" w:rsidRDefault="00E64551" w:rsidP="00E64551">
      <w:pPr>
        <w:pStyle w:val="FootnoteTex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See Articles 31 - 32 of the VCLT. </w:t>
      </w:r>
    </w:p>
  </w:footnote>
  <w:footnote w:id="2">
    <w:p w14:paraId="1AB552FF" w14:textId="77777777" w:rsidR="009D296D" w:rsidRPr="00840DF7" w:rsidRDefault="009D296D" w:rsidP="009D296D">
      <w:pPr>
        <w:pStyle w:val="FootnoteTex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Article 11.6 of the SCM Agreement.</w:t>
      </w:r>
    </w:p>
  </w:footnote>
  <w:footnote w:id="3">
    <w:p w14:paraId="78564B91" w14:textId="77777777" w:rsidR="00A321D1" w:rsidRPr="00840DF7" w:rsidRDefault="00A321D1" w:rsidP="00A321D1">
      <w:pPr>
        <w:pStyle w:val="FootnoteText"/>
        <w:widowControl w:val="0"/>
        <w:jc w:val="left"/>
        <w:rPr>
          <w:rFonts w:asciiTheme="minorHAnsi" w:hAnsiTheme="minorHAnsi" w:cstheme="minorHAnsi"/>
          <w:szCs w:val="18"/>
          <w:lang w:val="en-US"/>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Panel Report, </w:t>
      </w:r>
      <w:r w:rsidRPr="00840DF7">
        <w:rPr>
          <w:rFonts w:asciiTheme="minorHAnsi" w:hAnsiTheme="minorHAnsi" w:cstheme="minorHAnsi"/>
          <w:i/>
          <w:szCs w:val="18"/>
        </w:rPr>
        <w:t>EU – CVD/AD on SSCRFP (Indonesia),</w:t>
      </w:r>
      <w:r w:rsidRPr="00840DF7">
        <w:rPr>
          <w:rFonts w:asciiTheme="minorHAnsi" w:hAnsiTheme="minorHAnsi" w:cstheme="minorHAnsi"/>
          <w:szCs w:val="18"/>
        </w:rPr>
        <w:t xml:space="preserve"> para. 7.156.</w:t>
      </w:r>
    </w:p>
  </w:footnote>
  <w:footnote w:id="4">
    <w:p w14:paraId="4200E7C4" w14:textId="35C7DB4F" w:rsidR="005A76EB" w:rsidRPr="005A76EB" w:rsidRDefault="005A76EB">
      <w:pPr>
        <w:pStyle w:val="FootnoteText"/>
      </w:pPr>
      <w:r>
        <w:rPr>
          <w:rStyle w:val="FootnoteReference"/>
        </w:rPr>
        <w:footnoteRef/>
      </w:r>
      <w:r>
        <w:t xml:space="preserve"> </w:t>
      </w:r>
      <w:r w:rsidR="003C07F5" w:rsidRPr="00840DF7">
        <w:rPr>
          <w:rFonts w:asciiTheme="minorHAnsi" w:hAnsiTheme="minorHAnsi" w:cstheme="minorHAnsi"/>
          <w:szCs w:val="18"/>
        </w:rPr>
        <w:t xml:space="preserve">Panel Report, </w:t>
      </w:r>
      <w:r w:rsidR="003C07F5" w:rsidRPr="00840DF7">
        <w:rPr>
          <w:rFonts w:asciiTheme="minorHAnsi" w:hAnsiTheme="minorHAnsi" w:cstheme="minorHAnsi"/>
          <w:i/>
          <w:szCs w:val="18"/>
        </w:rPr>
        <w:t>EU – CVD/AD on SSCRFP (Indonesia),</w:t>
      </w:r>
      <w:r w:rsidR="003C07F5" w:rsidRPr="00840DF7">
        <w:rPr>
          <w:rFonts w:asciiTheme="minorHAnsi" w:hAnsiTheme="minorHAnsi" w:cstheme="minorHAnsi"/>
          <w:szCs w:val="18"/>
        </w:rPr>
        <w:t xml:space="preserve"> para. 7.156.</w:t>
      </w:r>
    </w:p>
  </w:footnote>
  <w:footnote w:id="5">
    <w:p w14:paraId="438DE9A9" w14:textId="77777777" w:rsidR="00A321D1" w:rsidRPr="00840DF7" w:rsidRDefault="00A321D1" w:rsidP="00A321D1">
      <w:pPr>
        <w:pStyle w:val="FootnoteText"/>
        <w:widowControl w:val="0"/>
        <w:jc w:val="lef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Appellate Body Report, </w:t>
      </w:r>
      <w:r w:rsidRPr="00840DF7">
        <w:rPr>
          <w:rFonts w:asciiTheme="minorHAnsi" w:hAnsiTheme="minorHAnsi" w:cstheme="minorHAnsi"/>
          <w:i/>
          <w:szCs w:val="18"/>
        </w:rPr>
        <w:t>US – Anti-Dumping and Countervailing Duties (China),</w:t>
      </w:r>
      <w:r w:rsidRPr="00840DF7">
        <w:rPr>
          <w:rFonts w:asciiTheme="minorHAnsi" w:hAnsiTheme="minorHAnsi" w:cstheme="minorHAnsi"/>
          <w:szCs w:val="18"/>
        </w:rPr>
        <w:t xml:space="preserve"> para. 317; Appellate Body Report, </w:t>
      </w:r>
      <w:r w:rsidRPr="00840DF7">
        <w:rPr>
          <w:rFonts w:asciiTheme="minorHAnsi" w:hAnsiTheme="minorHAnsi" w:cstheme="minorHAnsi"/>
          <w:i/>
          <w:iCs/>
          <w:szCs w:val="18"/>
        </w:rPr>
        <w:t>US – Carbon Steel (India)</w:t>
      </w:r>
      <w:r w:rsidRPr="00840DF7">
        <w:rPr>
          <w:rFonts w:asciiTheme="minorHAnsi" w:hAnsiTheme="minorHAnsi" w:cstheme="minorHAnsi"/>
          <w:szCs w:val="18"/>
        </w:rPr>
        <w:t>, para. 4.29.</w:t>
      </w:r>
    </w:p>
  </w:footnote>
  <w:footnote w:id="6">
    <w:p w14:paraId="79C8D987" w14:textId="3C83FAC8" w:rsidR="009F7E01" w:rsidRPr="009F7E01" w:rsidRDefault="009F7E01">
      <w:pPr>
        <w:pStyle w:val="FootnoteText"/>
        <w:rPr>
          <w:lang w:val="en-US"/>
        </w:rPr>
      </w:pPr>
      <w:r>
        <w:rPr>
          <w:rStyle w:val="FootnoteReference"/>
        </w:rPr>
        <w:footnoteRef/>
      </w:r>
      <w:r>
        <w:t xml:space="preserve"> </w:t>
      </w:r>
      <w:r w:rsidR="00053C0A" w:rsidRPr="00840DF7">
        <w:rPr>
          <w:rFonts w:asciiTheme="minorHAnsi" w:hAnsiTheme="minorHAnsi" w:cstheme="minorHAnsi"/>
          <w:szCs w:val="18"/>
        </w:rPr>
        <w:t xml:space="preserve">Panel Report, </w:t>
      </w:r>
      <w:r w:rsidR="00053C0A" w:rsidRPr="00840DF7">
        <w:rPr>
          <w:rFonts w:asciiTheme="minorHAnsi" w:hAnsiTheme="minorHAnsi" w:cstheme="minorHAnsi"/>
          <w:i/>
          <w:iCs/>
          <w:szCs w:val="18"/>
        </w:rPr>
        <w:t>US – Carbon Steel (India) (Article 21.5 – India)</w:t>
      </w:r>
      <w:r w:rsidR="00053C0A" w:rsidRPr="00840DF7">
        <w:rPr>
          <w:rFonts w:asciiTheme="minorHAnsi" w:hAnsiTheme="minorHAnsi" w:cstheme="minorHAnsi"/>
          <w:szCs w:val="18"/>
        </w:rPr>
        <w:t>, para. 7.79.</w:t>
      </w:r>
    </w:p>
  </w:footnote>
  <w:footnote w:id="7">
    <w:p w14:paraId="4AFEA35B" w14:textId="77777777" w:rsidR="00A321D1" w:rsidRPr="00840DF7" w:rsidRDefault="00A321D1" w:rsidP="00A321D1">
      <w:pPr>
        <w:pStyle w:val="FootnoteText"/>
        <w:widowControl w:val="0"/>
        <w:jc w:val="lef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Appellate Body Report, </w:t>
      </w:r>
      <w:r w:rsidRPr="00840DF7">
        <w:rPr>
          <w:rFonts w:asciiTheme="minorHAnsi" w:hAnsiTheme="minorHAnsi" w:cstheme="minorHAnsi"/>
          <w:i/>
          <w:iCs/>
          <w:szCs w:val="18"/>
        </w:rPr>
        <w:t>US – Anti-Dumping and Countervailing Duties (China)</w:t>
      </w:r>
      <w:r w:rsidRPr="00840DF7">
        <w:rPr>
          <w:rFonts w:asciiTheme="minorHAnsi" w:hAnsiTheme="minorHAnsi" w:cstheme="minorHAnsi"/>
          <w:szCs w:val="18"/>
        </w:rPr>
        <w:t>, para. 318.</w:t>
      </w:r>
    </w:p>
  </w:footnote>
  <w:footnote w:id="8">
    <w:p w14:paraId="25CDA54A" w14:textId="77777777" w:rsidR="00A321D1" w:rsidRPr="00840DF7" w:rsidRDefault="00A321D1" w:rsidP="00A321D1">
      <w:pPr>
        <w:pStyle w:val="FootnoteText"/>
        <w:widowControl w:val="0"/>
        <w:jc w:val="lef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Appellate Body Report, </w:t>
      </w:r>
      <w:r w:rsidRPr="00840DF7">
        <w:rPr>
          <w:rFonts w:asciiTheme="minorHAnsi" w:hAnsiTheme="minorHAnsi" w:cstheme="minorHAnsi"/>
          <w:i/>
          <w:iCs/>
          <w:szCs w:val="18"/>
        </w:rPr>
        <w:t>US – Carbon Steel (India)</w:t>
      </w:r>
      <w:r w:rsidRPr="00840DF7">
        <w:rPr>
          <w:rFonts w:asciiTheme="minorHAnsi" w:hAnsiTheme="minorHAnsi" w:cstheme="minorHAnsi"/>
          <w:szCs w:val="18"/>
        </w:rPr>
        <w:t>, para. 4.29.</w:t>
      </w:r>
    </w:p>
  </w:footnote>
  <w:footnote w:id="9">
    <w:p w14:paraId="5D4AC972" w14:textId="77777777" w:rsidR="00A321D1" w:rsidRPr="00840DF7" w:rsidDel="0028183E" w:rsidRDefault="00A321D1" w:rsidP="00A321D1">
      <w:pPr>
        <w:pStyle w:val="FootnoteText"/>
        <w:jc w:val="left"/>
        <w:rPr>
          <w:rFonts w:asciiTheme="minorHAnsi" w:hAnsiTheme="minorHAnsi" w:cstheme="minorHAnsi"/>
          <w:szCs w:val="18"/>
        </w:rPr>
      </w:pPr>
      <w:r w:rsidRPr="00840DF7" w:rsidDel="0028183E">
        <w:rPr>
          <w:rStyle w:val="FootnoteReference"/>
          <w:rFonts w:asciiTheme="minorHAnsi" w:hAnsiTheme="minorHAnsi" w:cstheme="minorHAnsi"/>
          <w:szCs w:val="18"/>
        </w:rPr>
        <w:footnoteRef/>
      </w:r>
      <w:r w:rsidRPr="00840DF7" w:rsidDel="0028183E">
        <w:rPr>
          <w:rFonts w:asciiTheme="minorHAnsi" w:hAnsiTheme="minorHAnsi" w:cstheme="minorHAnsi"/>
          <w:szCs w:val="18"/>
        </w:rPr>
        <w:t xml:space="preserve"> Appellate Body Report, </w:t>
      </w:r>
      <w:r w:rsidRPr="00840DF7">
        <w:rPr>
          <w:rFonts w:asciiTheme="minorHAnsi" w:hAnsiTheme="minorHAnsi" w:cstheme="minorHAnsi"/>
          <w:i/>
          <w:iCs/>
          <w:szCs w:val="18"/>
        </w:rPr>
        <w:t>US – Anti-Dumping and Countervailing Duties (China)</w:t>
      </w:r>
      <w:r w:rsidRPr="00840DF7" w:rsidDel="0028183E">
        <w:rPr>
          <w:rFonts w:asciiTheme="minorHAnsi" w:hAnsiTheme="minorHAnsi" w:cstheme="minorHAnsi"/>
          <w:szCs w:val="18"/>
        </w:rPr>
        <w:t>, para. 319.</w:t>
      </w:r>
    </w:p>
  </w:footnote>
  <w:footnote w:id="10">
    <w:p w14:paraId="064E97B0" w14:textId="77777777" w:rsidR="00BC1DE5" w:rsidRPr="00840DF7" w:rsidDel="005956E1" w:rsidRDefault="00BC1DE5" w:rsidP="00BC1DE5">
      <w:pPr>
        <w:pStyle w:val="FootnoteText"/>
        <w:widowControl w:val="0"/>
        <w:jc w:val="left"/>
        <w:rPr>
          <w:rFonts w:asciiTheme="minorHAnsi" w:hAnsiTheme="minorHAnsi" w:cstheme="minorHAnsi"/>
          <w:szCs w:val="18"/>
          <w:lang w:val="en-US"/>
        </w:rPr>
      </w:pPr>
      <w:r w:rsidRPr="00840DF7" w:rsidDel="005956E1">
        <w:rPr>
          <w:rStyle w:val="FootnoteReference"/>
          <w:rFonts w:asciiTheme="minorHAnsi" w:hAnsiTheme="minorHAnsi" w:cstheme="minorHAnsi"/>
          <w:szCs w:val="18"/>
        </w:rPr>
        <w:footnoteRef/>
      </w:r>
      <w:r w:rsidRPr="00840DF7" w:rsidDel="005956E1">
        <w:rPr>
          <w:rFonts w:asciiTheme="minorHAnsi" w:hAnsiTheme="minorHAnsi" w:cstheme="minorHAnsi"/>
          <w:szCs w:val="18"/>
        </w:rPr>
        <w:t xml:space="preserve"> Appellate Body Report, </w:t>
      </w:r>
      <w:r w:rsidRPr="00840DF7" w:rsidDel="005956E1">
        <w:rPr>
          <w:rFonts w:asciiTheme="minorHAnsi" w:hAnsiTheme="minorHAnsi" w:cstheme="minorHAnsi"/>
          <w:i/>
          <w:szCs w:val="18"/>
        </w:rPr>
        <w:t>US – Countervailing Duty Investigation on DRAM</w:t>
      </w:r>
      <w:r w:rsidRPr="00840DF7">
        <w:rPr>
          <w:rFonts w:asciiTheme="minorHAnsi" w:hAnsiTheme="minorHAnsi" w:cstheme="minorHAnsi"/>
          <w:i/>
          <w:szCs w:val="18"/>
        </w:rPr>
        <w:t>S</w:t>
      </w:r>
      <w:r w:rsidRPr="00840DF7" w:rsidDel="005956E1">
        <w:rPr>
          <w:rFonts w:asciiTheme="minorHAnsi" w:hAnsiTheme="minorHAnsi" w:cstheme="minorHAnsi"/>
          <w:szCs w:val="18"/>
        </w:rPr>
        <w:t>, para. 113.</w:t>
      </w:r>
    </w:p>
  </w:footnote>
  <w:footnote w:id="11">
    <w:p w14:paraId="4ED56862" w14:textId="77777777" w:rsidR="006B5035" w:rsidRDefault="006B5035" w:rsidP="006B5035">
      <w:pPr>
        <w:pStyle w:val="FootnoteText"/>
        <w:widowControl w:val="0"/>
        <w:jc w:val="left"/>
        <w:rPr>
          <w:rFonts w:asciiTheme="minorHAnsi" w:hAnsiTheme="minorHAnsi" w:cstheme="minorHAnsi"/>
          <w:szCs w:val="18"/>
        </w:rPr>
      </w:pPr>
      <w:r>
        <w:rPr>
          <w:rStyle w:val="FootnoteReference"/>
          <w:rFonts w:asciiTheme="minorHAnsi" w:hAnsiTheme="minorHAnsi" w:cstheme="minorHAnsi"/>
          <w:szCs w:val="18"/>
        </w:rPr>
        <w:footnoteRef/>
      </w:r>
      <w:r>
        <w:rPr>
          <w:rFonts w:asciiTheme="minorHAnsi" w:hAnsiTheme="minorHAnsi" w:cstheme="minorHAnsi"/>
          <w:szCs w:val="18"/>
        </w:rPr>
        <w:t xml:space="preserve"> Appellate Body Report, </w:t>
      </w:r>
      <w:r>
        <w:rPr>
          <w:rFonts w:asciiTheme="minorHAnsi" w:hAnsiTheme="minorHAnsi" w:cstheme="minorHAnsi"/>
          <w:i/>
          <w:iCs/>
          <w:szCs w:val="18"/>
        </w:rPr>
        <w:t>US – Countervailing Duty Investigation on DRAMS</w:t>
      </w:r>
      <w:r>
        <w:rPr>
          <w:rFonts w:asciiTheme="minorHAnsi" w:hAnsiTheme="minorHAnsi" w:cstheme="minorHAnsi"/>
          <w:szCs w:val="18"/>
        </w:rPr>
        <w:t>, para. 110.</w:t>
      </w:r>
    </w:p>
  </w:footnote>
  <w:footnote w:id="12">
    <w:p w14:paraId="6C126778" w14:textId="77777777" w:rsidR="006B5035" w:rsidRDefault="006B5035" w:rsidP="006B5035">
      <w:pPr>
        <w:pStyle w:val="FootnoteText"/>
        <w:widowControl w:val="0"/>
        <w:jc w:val="left"/>
        <w:rPr>
          <w:rFonts w:asciiTheme="minorHAnsi" w:hAnsiTheme="minorHAnsi" w:cstheme="minorHAnsi"/>
          <w:szCs w:val="18"/>
        </w:rPr>
      </w:pPr>
      <w:r>
        <w:rPr>
          <w:rStyle w:val="FootnoteReference"/>
          <w:rFonts w:asciiTheme="minorHAnsi" w:hAnsiTheme="minorHAnsi" w:cstheme="minorHAnsi"/>
          <w:szCs w:val="18"/>
        </w:rPr>
        <w:footnoteRef/>
      </w:r>
      <w:r>
        <w:rPr>
          <w:rFonts w:asciiTheme="minorHAnsi" w:hAnsiTheme="minorHAnsi" w:cstheme="minorHAnsi"/>
          <w:szCs w:val="18"/>
        </w:rPr>
        <w:t xml:space="preserve"> Appellate Body Report, </w:t>
      </w:r>
      <w:r>
        <w:rPr>
          <w:rFonts w:asciiTheme="minorHAnsi" w:hAnsiTheme="minorHAnsi" w:cstheme="minorHAnsi"/>
          <w:i/>
          <w:iCs/>
          <w:szCs w:val="18"/>
        </w:rPr>
        <w:t>US – Countervailing Duty Investigation on DRAMS</w:t>
      </w:r>
      <w:r>
        <w:rPr>
          <w:rFonts w:asciiTheme="minorHAnsi" w:hAnsiTheme="minorHAnsi" w:cstheme="minorHAnsi"/>
          <w:szCs w:val="18"/>
        </w:rPr>
        <w:t>, para. 111.</w:t>
      </w:r>
    </w:p>
  </w:footnote>
  <w:footnote w:id="13">
    <w:p w14:paraId="191847B4" w14:textId="77777777" w:rsidR="006B5035" w:rsidRDefault="006B5035" w:rsidP="006B5035">
      <w:pPr>
        <w:pStyle w:val="FootnoteText"/>
        <w:widowControl w:val="0"/>
        <w:rPr>
          <w:rFonts w:asciiTheme="minorHAnsi" w:hAnsiTheme="minorHAnsi" w:cstheme="minorHAnsi"/>
          <w:szCs w:val="18"/>
        </w:rPr>
      </w:pPr>
      <w:r>
        <w:rPr>
          <w:rStyle w:val="FootnoteReference"/>
          <w:rFonts w:asciiTheme="minorHAnsi" w:hAnsiTheme="minorHAnsi" w:cstheme="minorHAnsi"/>
          <w:szCs w:val="18"/>
        </w:rPr>
        <w:footnoteRef/>
      </w:r>
      <w:r>
        <w:rPr>
          <w:rFonts w:asciiTheme="minorHAnsi" w:hAnsiTheme="minorHAnsi" w:cstheme="minorHAnsi"/>
          <w:szCs w:val="18"/>
        </w:rPr>
        <w:t xml:space="preserve"> Appellate Body Report, </w:t>
      </w:r>
      <w:r>
        <w:rPr>
          <w:rFonts w:asciiTheme="minorHAnsi" w:hAnsiTheme="minorHAnsi" w:cstheme="minorHAnsi"/>
          <w:i/>
          <w:iCs/>
          <w:szCs w:val="18"/>
        </w:rPr>
        <w:t>US – Countervailing Duty Investigation on DRAMS,</w:t>
      </w:r>
      <w:r>
        <w:rPr>
          <w:rFonts w:asciiTheme="minorHAnsi" w:hAnsiTheme="minorHAnsi" w:cstheme="minorHAnsi"/>
          <w:szCs w:val="18"/>
        </w:rPr>
        <w:t xml:space="preserve"> para. 116.</w:t>
      </w:r>
    </w:p>
  </w:footnote>
  <w:footnote w:id="14">
    <w:p w14:paraId="101DFC5A" w14:textId="77777777" w:rsidR="00BC1DE5" w:rsidRPr="00840DF7" w:rsidRDefault="00BC1DE5" w:rsidP="00BC1DE5">
      <w:pPr>
        <w:pStyle w:val="FootnoteText"/>
        <w:rPr>
          <w:rFonts w:asciiTheme="minorHAnsi" w:hAnsiTheme="minorHAnsi" w:cstheme="minorHAnsi"/>
          <w:szCs w:val="18"/>
        </w:rPr>
      </w:pPr>
      <w:r w:rsidRPr="00840DF7">
        <w:rPr>
          <w:rStyle w:val="FootnoteReference"/>
          <w:rFonts w:asciiTheme="minorHAnsi" w:hAnsiTheme="minorHAnsi" w:cstheme="minorHAnsi"/>
          <w:szCs w:val="18"/>
        </w:rPr>
        <w:footnoteRef/>
      </w:r>
      <w:r w:rsidRPr="00840DF7">
        <w:rPr>
          <w:rFonts w:asciiTheme="minorHAnsi" w:hAnsiTheme="minorHAnsi" w:cstheme="minorHAnsi"/>
          <w:szCs w:val="18"/>
        </w:rPr>
        <w:t xml:space="preserve"> Appellate Body Report, </w:t>
      </w:r>
      <w:r w:rsidRPr="00840DF7">
        <w:rPr>
          <w:rFonts w:asciiTheme="minorHAnsi" w:hAnsiTheme="minorHAnsi" w:cstheme="minorHAnsi"/>
          <w:i/>
          <w:iCs/>
          <w:szCs w:val="18"/>
        </w:rPr>
        <w:t>US – Countervailing Duty Investigation on DRAMS</w:t>
      </w:r>
      <w:r w:rsidRPr="00840DF7">
        <w:rPr>
          <w:rFonts w:asciiTheme="minorHAnsi" w:hAnsiTheme="minorHAnsi" w:cstheme="minorHAnsi"/>
          <w:szCs w:val="18"/>
        </w:rPr>
        <w:t>, para. 110.</w:t>
      </w:r>
    </w:p>
  </w:footnote>
  <w:footnote w:id="15">
    <w:p w14:paraId="360BD77A" w14:textId="77777777" w:rsidR="00D92BA8" w:rsidRDefault="00D92BA8" w:rsidP="00D92BA8">
      <w:pPr>
        <w:pStyle w:val="FootnoteText"/>
        <w:widowControl w:val="0"/>
        <w:jc w:val="left"/>
        <w:rPr>
          <w:rFonts w:asciiTheme="minorHAnsi" w:hAnsiTheme="minorHAnsi" w:cstheme="minorHAnsi"/>
          <w:szCs w:val="18"/>
        </w:rPr>
      </w:pPr>
      <w:r>
        <w:rPr>
          <w:rStyle w:val="FootnoteReference"/>
          <w:rFonts w:asciiTheme="minorHAnsi" w:hAnsiTheme="minorHAnsi" w:cstheme="minorHAnsi"/>
          <w:szCs w:val="18"/>
        </w:rPr>
        <w:footnoteRef/>
      </w:r>
      <w:r>
        <w:rPr>
          <w:rFonts w:asciiTheme="minorHAnsi" w:hAnsiTheme="minorHAnsi" w:cstheme="minorHAnsi"/>
          <w:szCs w:val="18"/>
        </w:rPr>
        <w:t xml:space="preserve"> Panel Report, </w:t>
      </w:r>
      <w:r>
        <w:rPr>
          <w:rFonts w:asciiTheme="minorHAnsi" w:hAnsiTheme="minorHAnsi" w:cstheme="minorHAnsi"/>
          <w:i/>
          <w:iCs/>
          <w:szCs w:val="18"/>
        </w:rPr>
        <w:t>Japan – DRAMs (Korea)</w:t>
      </w:r>
      <w:r>
        <w:rPr>
          <w:rFonts w:asciiTheme="minorHAnsi" w:hAnsiTheme="minorHAnsi" w:cstheme="minorHAnsi"/>
          <w:szCs w:val="18"/>
        </w:rPr>
        <w:t xml:space="preserve">, para. 7.73. See also, Appellate Body Report, </w:t>
      </w:r>
      <w:r>
        <w:rPr>
          <w:rFonts w:asciiTheme="minorHAnsi" w:hAnsiTheme="minorHAnsi" w:cstheme="minorHAnsi"/>
          <w:i/>
          <w:iCs/>
          <w:szCs w:val="18"/>
        </w:rPr>
        <w:t>US – Countervailing Duty Investigation on DRAMS</w:t>
      </w:r>
      <w:r>
        <w:rPr>
          <w:rFonts w:asciiTheme="minorHAnsi" w:hAnsiTheme="minorHAnsi" w:cstheme="minorHAnsi"/>
          <w:szCs w:val="18"/>
        </w:rPr>
        <w:t xml:space="preserve">, fn. 277: "… [a holistic] approach is particularly relevant </w:t>
      </w:r>
      <w:r>
        <w:rPr>
          <w:rFonts w:asciiTheme="minorHAnsi" w:hAnsiTheme="minorHAnsi" w:cstheme="minorHAnsi"/>
          <w:b/>
          <w:bCs/>
          <w:szCs w:val="18"/>
        </w:rPr>
        <w:t>in cases of entrustment or direction under Article 1.1(a)(1)(iv), where much of the evidence that is publicly-available, and therefore readily accessible to interested parties and the investigating authority, will likely be of a circumstantial nature</w:t>
      </w:r>
      <w:r>
        <w:rPr>
          <w:rFonts w:asciiTheme="minorHAnsi" w:hAnsiTheme="minorHAnsi" w:cstheme="minorHAnsi"/>
          <w:szCs w:val="18"/>
        </w:rPr>
        <w:t>." (emphasis added)</w:t>
      </w:r>
    </w:p>
  </w:footnote>
  <w:footnote w:id="16">
    <w:p w14:paraId="26BA2A35" w14:textId="77777777" w:rsidR="00F55E8A" w:rsidRDefault="00F55E8A" w:rsidP="00F55E8A">
      <w:pPr>
        <w:pStyle w:val="FootnoteText"/>
        <w:rPr>
          <w:rFonts w:asciiTheme="minorHAnsi" w:hAnsiTheme="minorHAnsi" w:cstheme="minorHAnsi"/>
          <w:szCs w:val="18"/>
        </w:rPr>
      </w:pPr>
      <w:r>
        <w:rPr>
          <w:rStyle w:val="FootnoteReference"/>
          <w:rFonts w:asciiTheme="minorHAnsi" w:hAnsiTheme="minorHAnsi" w:cstheme="minorHAnsi"/>
          <w:szCs w:val="18"/>
        </w:rPr>
        <w:footnoteRef/>
      </w:r>
      <w:r>
        <w:rPr>
          <w:rFonts w:asciiTheme="minorHAnsi" w:hAnsiTheme="minorHAnsi" w:cstheme="minorHAnsi"/>
          <w:szCs w:val="18"/>
        </w:rPr>
        <w:t xml:space="preserve"> Appellate Body Report, </w:t>
      </w:r>
      <w:r>
        <w:rPr>
          <w:rFonts w:asciiTheme="minorHAnsi" w:hAnsiTheme="minorHAnsi" w:cstheme="minorHAnsi"/>
          <w:i/>
          <w:iCs/>
          <w:szCs w:val="18"/>
        </w:rPr>
        <w:t>US – Carbon Steel (India)</w:t>
      </w:r>
      <w:r>
        <w:rPr>
          <w:rFonts w:asciiTheme="minorHAnsi" w:hAnsiTheme="minorHAnsi" w:cstheme="minorHAnsi"/>
          <w:szCs w:val="18"/>
        </w:rPr>
        <w:t xml:space="preserve">, para. 4.29. </w:t>
      </w:r>
    </w:p>
  </w:footnote>
  <w:footnote w:id="17">
    <w:p w14:paraId="4EF2097F" w14:textId="77777777" w:rsidR="00F55E8A" w:rsidRDefault="00F55E8A" w:rsidP="00F55E8A">
      <w:pPr>
        <w:pStyle w:val="FootnoteText"/>
        <w:rPr>
          <w:rFonts w:asciiTheme="minorHAnsi" w:hAnsiTheme="minorHAnsi" w:cstheme="minorHAnsi"/>
          <w:szCs w:val="18"/>
        </w:rPr>
      </w:pPr>
      <w:r>
        <w:rPr>
          <w:rStyle w:val="FootnoteReference"/>
          <w:rFonts w:asciiTheme="minorHAnsi" w:hAnsiTheme="minorHAnsi" w:cstheme="minorHAnsi"/>
          <w:szCs w:val="18"/>
        </w:rPr>
        <w:footnoteRef/>
      </w:r>
      <w:r>
        <w:rPr>
          <w:rFonts w:asciiTheme="minorHAnsi" w:hAnsiTheme="minorHAnsi" w:cstheme="minorHAnsi"/>
          <w:szCs w:val="18"/>
        </w:rPr>
        <w:t xml:space="preserve"> Panel Report, </w:t>
      </w:r>
      <w:r>
        <w:rPr>
          <w:rFonts w:asciiTheme="minorHAnsi" w:hAnsiTheme="minorHAnsi" w:cstheme="minorHAnsi"/>
          <w:i/>
          <w:iCs/>
          <w:szCs w:val="18"/>
        </w:rPr>
        <w:t xml:space="preserve">EU – CVD/AD on SSCRFP (Indonesia), </w:t>
      </w:r>
      <w:r>
        <w:rPr>
          <w:rFonts w:asciiTheme="minorHAnsi" w:hAnsiTheme="minorHAnsi" w:cstheme="minorHAnsi"/>
          <w:szCs w:val="18"/>
        </w:rPr>
        <w:t xml:space="preserve">para. 7.156. </w:t>
      </w:r>
    </w:p>
  </w:footnote>
  <w:footnote w:id="18">
    <w:p w14:paraId="3FCACB1B" w14:textId="77777777" w:rsidR="00151890" w:rsidRDefault="00151890" w:rsidP="00151890">
      <w:pPr>
        <w:pStyle w:val="FootnoteText"/>
      </w:pPr>
      <w:r>
        <w:rPr>
          <w:rStyle w:val="FootnoteReference"/>
        </w:rPr>
        <w:footnoteRef/>
      </w:r>
      <w:r>
        <w:t xml:space="preserve"> </w:t>
      </w:r>
      <w:r>
        <w:rPr>
          <w:rFonts w:asciiTheme="minorHAnsi" w:hAnsiTheme="minorHAnsi" w:cstheme="minorHAnsi"/>
          <w:szCs w:val="18"/>
        </w:rPr>
        <w:t xml:space="preserve">Appellate Body Report, </w:t>
      </w:r>
      <w:r>
        <w:rPr>
          <w:rFonts w:asciiTheme="minorHAnsi" w:hAnsiTheme="minorHAnsi" w:cstheme="minorHAnsi"/>
          <w:i/>
          <w:iCs/>
          <w:szCs w:val="18"/>
        </w:rPr>
        <w:t>US – Carbon Steel (India)</w:t>
      </w:r>
      <w:r>
        <w:rPr>
          <w:rFonts w:asciiTheme="minorHAnsi" w:hAnsiTheme="minorHAnsi" w:cstheme="minorHAnsi"/>
          <w:szCs w:val="18"/>
        </w:rPr>
        <w:t xml:space="preserve">, para. </w:t>
      </w:r>
      <w:r>
        <w:t>4.419.</w:t>
      </w:r>
    </w:p>
  </w:footnote>
  <w:footnote w:id="19">
    <w:p w14:paraId="61DEA71E" w14:textId="77777777" w:rsidR="00151890" w:rsidRDefault="00151890" w:rsidP="00151890">
      <w:pPr>
        <w:pStyle w:val="FootnoteText"/>
      </w:pPr>
      <w:r>
        <w:rPr>
          <w:rStyle w:val="FootnoteReference"/>
        </w:rPr>
        <w:footnoteRef/>
      </w:r>
      <w:r>
        <w:t xml:space="preserve"> </w:t>
      </w:r>
      <w:r w:rsidRPr="00013812">
        <w:rPr>
          <w:rFonts w:asciiTheme="minorHAnsi" w:hAnsiTheme="minorHAnsi" w:cstheme="minorHAnsi"/>
          <w:szCs w:val="18"/>
        </w:rPr>
        <w:t xml:space="preserve">Appellate Body Report, </w:t>
      </w:r>
      <w:r w:rsidRPr="00013812">
        <w:rPr>
          <w:rFonts w:asciiTheme="minorHAnsi" w:hAnsiTheme="minorHAnsi" w:cstheme="minorHAnsi"/>
          <w:i/>
          <w:iCs/>
          <w:szCs w:val="18"/>
        </w:rPr>
        <w:t>US – Carbon Steel (India)</w:t>
      </w:r>
      <w:r w:rsidRPr="00013812">
        <w:rPr>
          <w:rFonts w:asciiTheme="minorHAnsi" w:hAnsiTheme="minorHAnsi" w:cstheme="minorHAnsi"/>
          <w:szCs w:val="18"/>
        </w:rPr>
        <w:t xml:space="preserve">, para. </w:t>
      </w:r>
      <w:r w:rsidRPr="007854DF">
        <w:t>4.419</w:t>
      </w:r>
      <w:r>
        <w:t>.</w:t>
      </w:r>
    </w:p>
  </w:footnote>
  <w:footnote w:id="20">
    <w:p w14:paraId="35BE21B6" w14:textId="77777777" w:rsidR="00151890" w:rsidRDefault="00151890" w:rsidP="00151890">
      <w:pPr>
        <w:pStyle w:val="FootnoteText"/>
        <w:rPr>
          <w:rFonts w:asciiTheme="minorHAnsi" w:hAnsiTheme="minorHAnsi" w:cstheme="minorHAnsi"/>
          <w:szCs w:val="18"/>
        </w:rPr>
      </w:pPr>
      <w:r>
        <w:rPr>
          <w:rStyle w:val="FootnoteReference"/>
          <w:rFonts w:asciiTheme="minorHAnsi" w:hAnsiTheme="minorHAnsi" w:cstheme="minorHAnsi"/>
          <w:szCs w:val="18"/>
        </w:rPr>
        <w:footnoteRef/>
      </w:r>
      <w:r>
        <w:rPr>
          <w:rFonts w:asciiTheme="minorHAnsi" w:hAnsiTheme="minorHAnsi" w:cstheme="minorHAnsi"/>
          <w:szCs w:val="18"/>
        </w:rPr>
        <w:t xml:space="preserve"> Appellate Body Report, </w:t>
      </w:r>
      <w:r>
        <w:rPr>
          <w:rFonts w:asciiTheme="minorHAnsi" w:hAnsiTheme="minorHAnsi" w:cstheme="minorHAnsi"/>
          <w:i/>
          <w:iCs/>
          <w:szCs w:val="18"/>
          <w:lang w:eastAsia="en-AU"/>
        </w:rPr>
        <w:t>US – Carbon Steel (India)</w:t>
      </w:r>
      <w:r>
        <w:rPr>
          <w:rFonts w:asciiTheme="minorHAnsi" w:hAnsiTheme="minorHAnsi" w:cstheme="minorHAnsi"/>
          <w:szCs w:val="18"/>
          <w:lang w:eastAsia="en-AU"/>
        </w:rPr>
        <w:t>, para. 4.416.</w:t>
      </w:r>
      <w:r>
        <w:rPr>
          <w:rFonts w:asciiTheme="minorHAnsi" w:hAnsiTheme="minorHAnsi" w:cstheme="minorHAnsi"/>
          <w:i/>
          <w:iCs/>
          <w:szCs w:val="18"/>
          <w:lang w:eastAsia="en-AU"/>
        </w:rPr>
        <w:t xml:space="preserve"> </w:t>
      </w:r>
    </w:p>
  </w:footnote>
  <w:footnote w:id="21">
    <w:p w14:paraId="5A20079A" w14:textId="77777777" w:rsidR="00151890" w:rsidRDefault="00151890" w:rsidP="00151890">
      <w:pPr>
        <w:pStyle w:val="FootnoteText"/>
        <w:rPr>
          <w:rFonts w:asciiTheme="minorHAnsi" w:hAnsiTheme="minorHAnsi" w:cstheme="minorHAnsi"/>
          <w:szCs w:val="18"/>
        </w:rPr>
      </w:pPr>
      <w:r>
        <w:rPr>
          <w:rStyle w:val="FootnoteReference"/>
          <w:rFonts w:asciiTheme="minorHAnsi" w:hAnsiTheme="minorHAnsi" w:cstheme="minorHAnsi"/>
          <w:szCs w:val="18"/>
        </w:rPr>
        <w:footnoteRef/>
      </w:r>
      <w:r>
        <w:rPr>
          <w:rFonts w:asciiTheme="minorHAnsi" w:hAnsiTheme="minorHAnsi" w:cstheme="minorHAnsi"/>
          <w:szCs w:val="18"/>
        </w:rPr>
        <w:t xml:space="preserve"> Appellate Body Report, </w:t>
      </w:r>
      <w:r>
        <w:rPr>
          <w:rFonts w:asciiTheme="minorHAnsi" w:hAnsiTheme="minorHAnsi" w:cstheme="minorHAnsi"/>
          <w:i/>
          <w:iCs/>
          <w:szCs w:val="18"/>
        </w:rPr>
        <w:t>US – Carbon Steel (India)</w:t>
      </w:r>
      <w:r>
        <w:rPr>
          <w:rFonts w:asciiTheme="minorHAnsi" w:hAnsiTheme="minorHAnsi" w:cstheme="minorHAnsi"/>
          <w:szCs w:val="18"/>
        </w:rPr>
        <w:t>, para. 4.419.</w:t>
      </w:r>
    </w:p>
  </w:footnote>
  <w:footnote w:id="22">
    <w:p w14:paraId="4768A4B0" w14:textId="77777777" w:rsidR="00801842" w:rsidRDefault="00801842" w:rsidP="00801842">
      <w:pPr>
        <w:pStyle w:val="FootnoteText"/>
        <w:rPr>
          <w:rFonts w:asciiTheme="minorHAnsi" w:hAnsiTheme="minorHAnsi" w:cstheme="minorHAnsi"/>
          <w:szCs w:val="18"/>
        </w:rPr>
      </w:pPr>
      <w:r>
        <w:rPr>
          <w:rStyle w:val="FootnoteReference"/>
          <w:rFonts w:asciiTheme="minorHAnsi" w:hAnsiTheme="minorHAnsi" w:cstheme="minorHAnsi"/>
          <w:szCs w:val="18"/>
        </w:rPr>
        <w:footnoteRef/>
      </w:r>
      <w:r>
        <w:rPr>
          <w:rFonts w:asciiTheme="minorHAnsi" w:hAnsiTheme="minorHAnsi" w:cstheme="minorHAnsi"/>
          <w:szCs w:val="18"/>
        </w:rPr>
        <w:t xml:space="preserve"> Panel Report, </w:t>
      </w:r>
      <w:r>
        <w:rPr>
          <w:rFonts w:asciiTheme="minorHAnsi" w:hAnsiTheme="minorHAnsi" w:cstheme="minorHAnsi"/>
          <w:i/>
          <w:iCs/>
          <w:szCs w:val="18"/>
        </w:rPr>
        <w:t>EC – Countervailing Measures on DRAM Chips</w:t>
      </w:r>
      <w:r>
        <w:rPr>
          <w:rFonts w:asciiTheme="minorHAnsi" w:hAnsiTheme="minorHAnsi" w:cstheme="minorHAnsi"/>
          <w:szCs w:val="18"/>
        </w:rPr>
        <w:t>, para. 7.80.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4CC8C" w14:textId="79A2EAF1" w:rsidR="006C5B73" w:rsidRDefault="006C5B73">
    <w:pPr>
      <w:pStyle w:val="Header"/>
    </w:pPr>
    <w:r>
      <w:rPr>
        <w:noProof/>
      </w:rPr>
      <mc:AlternateContent>
        <mc:Choice Requires="wps">
          <w:drawing>
            <wp:anchor distT="0" distB="0" distL="0" distR="0" simplePos="0" relativeHeight="251659264" behindDoc="0" locked="0" layoutInCell="1" allowOverlap="1" wp14:anchorId="414E5362" wp14:editId="3420A24D">
              <wp:simplePos x="635" y="635"/>
              <wp:positionH relativeFrom="page">
                <wp:align>center</wp:align>
              </wp:positionH>
              <wp:positionV relativeFrom="page">
                <wp:align>top</wp:align>
              </wp:positionV>
              <wp:extent cx="622300" cy="469265"/>
              <wp:effectExtent l="0" t="0" r="6350" b="6985"/>
              <wp:wrapNone/>
              <wp:docPr id="214285774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69265"/>
                      </a:xfrm>
                      <a:prstGeom prst="rect">
                        <a:avLst/>
                      </a:prstGeom>
                      <a:noFill/>
                      <a:ln>
                        <a:noFill/>
                      </a:ln>
                    </wps:spPr>
                    <wps:txbx>
                      <w:txbxContent>
                        <w:p w14:paraId="5043B813" w14:textId="50F97F94" w:rsidR="006C5B73" w:rsidRPr="006C5B73" w:rsidRDefault="006C5B73" w:rsidP="006C5B73">
                          <w:pPr>
                            <w:spacing w:after="0"/>
                            <w:rPr>
                              <w:rFonts w:ascii="Aptos" w:eastAsia="Aptos" w:hAnsi="Aptos" w:cs="Aptos"/>
                              <w:noProof/>
                              <w:color w:val="FF0000"/>
                            </w:rPr>
                          </w:pPr>
                          <w:r w:rsidRPr="006C5B7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4E5362"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36.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" filled="f" stroked="f">
              <v:textbox style="mso-fit-shape-to-text:t" inset="0,15pt,0,0">
                <w:txbxContent>
                  <w:p w14:paraId="5043B813" w14:textId="50F97F94" w:rsidR="006C5B73" w:rsidRPr="006C5B73" w:rsidRDefault="006C5B73" w:rsidP="006C5B73">
                    <w:pPr>
                      <w:spacing w:after="0"/>
                      <w:rPr>
                        <w:rFonts w:ascii="Aptos" w:eastAsia="Aptos" w:hAnsi="Aptos" w:cs="Aptos"/>
                        <w:noProof/>
                        <w:color w:val="FF0000"/>
                      </w:rPr>
                    </w:pPr>
                    <w:r w:rsidRPr="006C5B73">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5647F" w14:textId="25B5687F" w:rsidR="00380795" w:rsidRDefault="006C5B73">
    <w:pPr>
      <w:pStyle w:val="Header"/>
    </w:pPr>
    <w:r>
      <w:rPr>
        <w:i/>
        <w:iCs/>
        <w:noProof/>
      </w:rPr>
      <mc:AlternateContent>
        <mc:Choice Requires="wps">
          <w:drawing>
            <wp:anchor distT="0" distB="0" distL="0" distR="0" simplePos="0" relativeHeight="251660288" behindDoc="0" locked="0" layoutInCell="1" allowOverlap="1" wp14:anchorId="4CCD2537" wp14:editId="19E1E426">
              <wp:simplePos x="904875" y="361950"/>
              <wp:positionH relativeFrom="page">
                <wp:align>center</wp:align>
              </wp:positionH>
              <wp:positionV relativeFrom="page">
                <wp:align>top</wp:align>
              </wp:positionV>
              <wp:extent cx="622300" cy="469265"/>
              <wp:effectExtent l="0" t="0" r="6350" b="6985"/>
              <wp:wrapNone/>
              <wp:docPr id="101134576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69265"/>
                      </a:xfrm>
                      <a:prstGeom prst="rect">
                        <a:avLst/>
                      </a:prstGeom>
                      <a:noFill/>
                      <a:ln>
                        <a:noFill/>
                      </a:ln>
                    </wps:spPr>
                    <wps:txbx>
                      <w:txbxContent>
                        <w:p w14:paraId="1AC298E7" w14:textId="36709096" w:rsidR="006C5B73" w:rsidRPr="006C5B73" w:rsidRDefault="006C5B73" w:rsidP="006C5B73">
                          <w:pPr>
                            <w:spacing w:after="0"/>
                            <w:rPr>
                              <w:rFonts w:ascii="Aptos" w:eastAsia="Aptos" w:hAnsi="Aptos" w:cs="Aptos"/>
                              <w:noProof/>
                              <w:color w:val="FF0000"/>
                            </w:rPr>
                          </w:pPr>
                          <w:r w:rsidRPr="006C5B7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CD2537"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36.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" filled="f" stroked="f">
              <v:textbox style="mso-fit-shape-to-text:t" inset="0,15pt,0,0">
                <w:txbxContent>
                  <w:p w14:paraId="1AC298E7" w14:textId="36709096" w:rsidR="006C5B73" w:rsidRPr="006C5B73" w:rsidRDefault="006C5B73" w:rsidP="006C5B73">
                    <w:pPr>
                      <w:spacing w:after="0"/>
                      <w:rPr>
                        <w:rFonts w:ascii="Aptos" w:eastAsia="Aptos" w:hAnsi="Aptos" w:cs="Aptos"/>
                        <w:noProof/>
                        <w:color w:val="FF0000"/>
                      </w:rPr>
                    </w:pPr>
                    <w:r w:rsidRPr="006C5B73">
                      <w:rPr>
                        <w:rFonts w:ascii="Aptos" w:eastAsia="Aptos" w:hAnsi="Aptos" w:cs="Aptos"/>
                        <w:noProof/>
                        <w:color w:val="FF0000"/>
                      </w:rPr>
                      <w:t>OFFICIAL</w:t>
                    </w:r>
                  </w:p>
                </w:txbxContent>
              </v:textbox>
              <w10:wrap anchorx="page" anchory="page"/>
            </v:shape>
          </w:pict>
        </mc:Fallback>
      </mc:AlternateContent>
    </w:r>
    <w:r>
      <w:rPr>
        <w:i/>
        <w:iCs/>
        <w:noProof/>
      </w:rPr>
      <w:t>EU</w:t>
    </w:r>
    <w:r w:rsidR="005F6FF1" w:rsidRPr="005F6FF1">
      <w:rPr>
        <w:i/>
        <w:iCs/>
      </w:rPr>
      <w:t xml:space="preserve"> – </w:t>
    </w:r>
    <w:r>
      <w:rPr>
        <w:i/>
        <w:iCs/>
      </w:rPr>
      <w:t>Definitive CVDs on BEV</w:t>
    </w:r>
    <w:r w:rsidR="005F6FF1" w:rsidRPr="005F6FF1">
      <w:rPr>
        <w:i/>
        <w:iCs/>
      </w:rPr>
      <w:t xml:space="preserve"> (China)</w:t>
    </w:r>
    <w:r w:rsidR="00380795">
      <w:ptab w:relativeTo="margin" w:alignment="right" w:leader="none"/>
    </w:r>
    <w:fldSimple w:instr=" STYLEREF  &quot;[DT] Document Title&quot;  \* MERGEFORMAT ">
      <w:r w:rsidR="000A1B94">
        <w:rPr>
          <w:noProof/>
        </w:rPr>
        <w:t>Australia's Executive Summary</w:t>
      </w:r>
    </w:fldSimple>
  </w:p>
  <w:p w14:paraId="17CD445D" w14:textId="29CA8861" w:rsidR="00380795" w:rsidRDefault="00E7165C">
    <w:pPr>
      <w:pStyle w:val="Header"/>
    </w:pPr>
    <w:fldSimple w:instr=" STYLEREF  &quot;[DSN] DS Number&quot;  \* MERGEFORMAT ">
      <w:r w:rsidR="000A1B94">
        <w:rPr>
          <w:noProof/>
        </w:rPr>
        <w:t>(DS630)</w:t>
      </w:r>
    </w:fldSimple>
    <w:r w:rsidR="00380795">
      <w:ptab w:relativeTo="margin" w:alignment="right" w:leader="none"/>
    </w:r>
    <w:fldSimple w:instr=" STYLEREF  &quot;[DD] Document Date&quot;  \* MERGEFORMAT ">
      <w:r w:rsidR="000A1B94">
        <w:rPr>
          <w:noProof/>
        </w:rPr>
        <w:t>31 July 2026</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0378F" w14:textId="1A0980E7" w:rsidR="006C5B73" w:rsidRDefault="006C5B73">
    <w:pPr>
      <w:pStyle w:val="Header"/>
    </w:pPr>
    <w:r>
      <w:rPr>
        <w:noProof/>
      </w:rPr>
      <mc:AlternateContent>
        <mc:Choice Requires="wps">
          <w:drawing>
            <wp:anchor distT="0" distB="0" distL="0" distR="0" simplePos="0" relativeHeight="251658240" behindDoc="0" locked="0" layoutInCell="1" allowOverlap="1" wp14:anchorId="00E1E90E" wp14:editId="59FBC799">
              <wp:simplePos x="904875" y="361950"/>
              <wp:positionH relativeFrom="page">
                <wp:align>center</wp:align>
              </wp:positionH>
              <wp:positionV relativeFrom="page">
                <wp:align>top</wp:align>
              </wp:positionV>
              <wp:extent cx="622300" cy="469265"/>
              <wp:effectExtent l="0" t="0" r="6350" b="6985"/>
              <wp:wrapNone/>
              <wp:docPr id="67160278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69265"/>
                      </a:xfrm>
                      <a:prstGeom prst="rect">
                        <a:avLst/>
                      </a:prstGeom>
                      <a:noFill/>
                      <a:ln>
                        <a:noFill/>
                      </a:ln>
                    </wps:spPr>
                    <wps:txbx>
                      <w:txbxContent>
                        <w:p w14:paraId="534C5600" w14:textId="328C22C8" w:rsidR="006C5B73" w:rsidRPr="006C5B73" w:rsidRDefault="006C5B73" w:rsidP="006C5B73">
                          <w:pPr>
                            <w:spacing w:after="0"/>
                            <w:rPr>
                              <w:rFonts w:ascii="Aptos" w:eastAsia="Aptos" w:hAnsi="Aptos" w:cs="Aptos"/>
                              <w:noProof/>
                              <w:color w:val="FF0000"/>
                            </w:rPr>
                          </w:pPr>
                          <w:r w:rsidRPr="006C5B7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E1E90E"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36.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" filled="f" stroked="f">
              <v:textbox style="mso-fit-shape-to-text:t" inset="0,15pt,0,0">
                <w:txbxContent>
                  <w:p w14:paraId="534C5600" w14:textId="328C22C8" w:rsidR="006C5B73" w:rsidRPr="006C5B73" w:rsidRDefault="006C5B73" w:rsidP="006C5B73">
                    <w:pPr>
                      <w:spacing w:after="0"/>
                      <w:rPr>
                        <w:rFonts w:ascii="Aptos" w:eastAsia="Aptos" w:hAnsi="Aptos" w:cs="Aptos"/>
                        <w:noProof/>
                        <w:color w:val="FF0000"/>
                      </w:rPr>
                    </w:pPr>
                    <w:r w:rsidRPr="006C5B73">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0259A"/>
    <w:multiLevelType w:val="hybridMultilevel"/>
    <w:tmpl w:val="C0784592"/>
    <w:lvl w:ilvl="0" w:tplc="AE1A8D56">
      <w:start w:val="1"/>
      <w:numFmt w:val="decimal"/>
      <w:pStyle w:val="FCFigureCaption"/>
      <w:lvlText w:val="Figure %1"/>
      <w:lvlJc w:val="left"/>
      <w:pPr>
        <w:tabs>
          <w:tab w:val="num" w:pos="1134"/>
        </w:tabs>
        <w:ind w:left="1134" w:hanging="1134"/>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C8A4596"/>
    <w:multiLevelType w:val="multilevel"/>
    <w:tmpl w:val="F10267D4"/>
    <w:lvl w:ilvl="0">
      <w:start w:val="1"/>
      <w:numFmt w:val="upperRoman"/>
      <w:pStyle w:val="HL1HeadingLevel1"/>
      <w:lvlText w:val="%1."/>
      <w:lvlJc w:val="left"/>
      <w:pPr>
        <w:tabs>
          <w:tab w:val="num" w:pos="851"/>
        </w:tabs>
        <w:ind w:left="851" w:hanging="851"/>
      </w:pPr>
      <w:rPr>
        <w:rFonts w:hint="default"/>
      </w:rPr>
    </w:lvl>
    <w:lvl w:ilvl="1">
      <w:start w:val="1"/>
      <w:numFmt w:val="upperLetter"/>
      <w:pStyle w:val="HL2HeadingLevel2"/>
      <w:lvlText w:val="%2."/>
      <w:lvlJc w:val="left"/>
      <w:pPr>
        <w:tabs>
          <w:tab w:val="num" w:pos="1702"/>
        </w:tabs>
        <w:ind w:left="1702" w:hanging="851"/>
      </w:pPr>
      <w:rPr>
        <w:rFonts w:hint="default"/>
      </w:rPr>
    </w:lvl>
    <w:lvl w:ilvl="2">
      <w:start w:val="1"/>
      <w:numFmt w:val="decimal"/>
      <w:pStyle w:val="HL3HeadingLevel3"/>
      <w:lvlText w:val="%3."/>
      <w:lvlJc w:val="left"/>
      <w:pPr>
        <w:tabs>
          <w:tab w:val="num" w:pos="2553"/>
        </w:tabs>
        <w:ind w:left="2553" w:hanging="851"/>
      </w:pPr>
      <w:rPr>
        <w:rFonts w:hint="default"/>
      </w:rPr>
    </w:lvl>
    <w:lvl w:ilvl="3">
      <w:start w:val="1"/>
      <w:numFmt w:val="lowerLetter"/>
      <w:pStyle w:val="HL4HeadingLevel4"/>
      <w:lvlText w:val="(%4)"/>
      <w:lvlJc w:val="left"/>
      <w:pPr>
        <w:tabs>
          <w:tab w:val="num" w:pos="3404"/>
        </w:tabs>
        <w:ind w:left="3404" w:hanging="851"/>
      </w:pPr>
      <w:rPr>
        <w:rFonts w:hint="default"/>
        <w:u w:val="single"/>
      </w:rPr>
    </w:lvl>
    <w:lvl w:ilvl="4">
      <w:start w:val="1"/>
      <w:numFmt w:val="lowerRoman"/>
      <w:pStyle w:val="HL5HeadingLevel5"/>
      <w:lvlText w:val="%5."/>
      <w:lvlJc w:val="left"/>
      <w:pPr>
        <w:tabs>
          <w:tab w:val="num" w:pos="4255"/>
        </w:tabs>
        <w:ind w:left="4255" w:hanging="851"/>
      </w:pPr>
      <w:rPr>
        <w:rFonts w:hint="default"/>
      </w:rPr>
    </w:lvl>
    <w:lvl w:ilvl="5">
      <w:start w:val="1"/>
      <w:numFmt w:val="upperLetter"/>
      <w:pStyle w:val="HL6HeadingLevel6"/>
      <w:lvlText w:val="(%6)"/>
      <w:lvlJc w:val="left"/>
      <w:pPr>
        <w:tabs>
          <w:tab w:val="num" w:pos="5103"/>
        </w:tabs>
        <w:ind w:left="5103" w:hanging="848"/>
      </w:pPr>
      <w:rPr>
        <w:rFonts w:hint="default"/>
      </w:rPr>
    </w:lvl>
    <w:lvl w:ilvl="6">
      <w:start w:val="1"/>
      <w:numFmt w:val="decimal"/>
      <w:pStyle w:val="HL7HeadingLevel7"/>
      <w:lvlText w:val="(%7)"/>
      <w:lvlJc w:val="left"/>
      <w:pPr>
        <w:tabs>
          <w:tab w:val="num" w:pos="5954"/>
        </w:tabs>
        <w:ind w:left="5954" w:hanging="851"/>
      </w:pPr>
      <w:rPr>
        <w:rFonts w:hint="default"/>
      </w:rPr>
    </w:lvl>
    <w:lvl w:ilvl="7">
      <w:start w:val="1"/>
      <w:numFmt w:val="lowerLetter"/>
      <w:pStyle w:val="HL8HeadingLevel8"/>
      <w:lvlText w:val="%8."/>
      <w:lvlJc w:val="left"/>
      <w:pPr>
        <w:tabs>
          <w:tab w:val="num" w:pos="6804"/>
        </w:tabs>
        <w:ind w:left="6804" w:hanging="850"/>
      </w:pPr>
      <w:rPr>
        <w:rFonts w:hint="default"/>
      </w:rPr>
    </w:lvl>
    <w:lvl w:ilvl="8">
      <w:start w:val="1"/>
      <w:numFmt w:val="lowerRoman"/>
      <w:pStyle w:val="HL9HeadingLevel9"/>
      <w:lvlText w:val="%9)"/>
      <w:lvlJc w:val="left"/>
      <w:pPr>
        <w:tabs>
          <w:tab w:val="num" w:pos="7655"/>
        </w:tabs>
        <w:ind w:left="7655" w:hanging="851"/>
      </w:pPr>
      <w:rPr>
        <w:rFonts w:hint="default"/>
      </w:rPr>
    </w:lvl>
  </w:abstractNum>
  <w:abstractNum w:abstractNumId="2" w15:restartNumberingAfterBreak="0">
    <w:nsid w:val="26DF6E9B"/>
    <w:multiLevelType w:val="hybridMultilevel"/>
    <w:tmpl w:val="E836E75C"/>
    <w:lvl w:ilvl="0" w:tplc="FFFFFFFF">
      <w:start w:val="1"/>
      <w:numFmt w:val="upperRoman"/>
      <w:lvlText w:val="%1."/>
      <w:lvlJc w:val="left"/>
      <w:pPr>
        <w:ind w:left="720" w:hanging="720"/>
      </w:pPr>
      <w:rPr>
        <w:rFonts w:hint="default"/>
      </w:rPr>
    </w:lvl>
    <w:lvl w:ilvl="1" w:tplc="FFFFFFFF">
      <w:start w:val="1"/>
      <w:numFmt w:val="upperLetter"/>
      <w:lvlText w:val="%2."/>
      <w:lvlJc w:val="left"/>
      <w:pPr>
        <w:ind w:left="1080" w:hanging="360"/>
      </w:pPr>
      <w:rPr>
        <w:b/>
        <w:bCs w:val="0"/>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8243105"/>
    <w:multiLevelType w:val="hybridMultilevel"/>
    <w:tmpl w:val="A5901300"/>
    <w:lvl w:ilvl="0" w:tplc="367A4EF0">
      <w:start w:val="1"/>
      <w:numFmt w:val="decimal"/>
      <w:pStyle w:val="P1-N1Paragraph1-Number1"/>
      <w:lvlText w:val="%1."/>
      <w:lvlJc w:val="left"/>
      <w:pPr>
        <w:tabs>
          <w:tab w:val="num" w:pos="851"/>
        </w:tabs>
        <w:ind w:left="0" w:firstLine="0"/>
      </w:pPr>
      <w:rPr>
        <w:rFonts w:hint="default"/>
        <w:lang w:val="en-AU"/>
      </w:rPr>
    </w:lvl>
    <w:lvl w:ilvl="1" w:tplc="35D2146C">
      <w:start w:val="1"/>
      <w:numFmt w:val="bullet"/>
      <w:pStyle w:val="P2-B1Paragraph2-Bullet1"/>
      <w:lvlText w:val=""/>
      <w:lvlJc w:val="left"/>
      <w:pPr>
        <w:tabs>
          <w:tab w:val="num" w:pos="1701"/>
        </w:tabs>
        <w:ind w:left="1701" w:hanging="850"/>
      </w:pPr>
      <w:rPr>
        <w:rFonts w:ascii="Symbol" w:hAnsi="Symbol" w:hint="default"/>
      </w:rPr>
    </w:lvl>
    <w:lvl w:ilvl="2" w:tplc="9F3EA8EE">
      <w:start w:val="1"/>
      <w:numFmt w:val="bullet"/>
      <w:pStyle w:val="P3-B2Paragraph3-Bullet2"/>
      <w:lvlText w:val="–"/>
      <w:lvlJc w:val="left"/>
      <w:pPr>
        <w:tabs>
          <w:tab w:val="num" w:pos="2552"/>
        </w:tabs>
        <w:ind w:left="2552" w:hanging="851"/>
      </w:pPr>
      <w:rPr>
        <w:rFonts w:ascii="Calibri" w:eastAsiaTheme="minorHAnsi" w:hAnsi="Calibri" w:cs="Calibri" w:hint="default"/>
      </w:rPr>
    </w:lvl>
    <w:lvl w:ilvl="3" w:tplc="0C20942A">
      <w:start w:val="1"/>
      <w:numFmt w:val="bullet"/>
      <w:pStyle w:val="P4-B3Paragraph4-Bullet3"/>
      <w:lvlText w:val="o"/>
      <w:lvlJc w:val="left"/>
      <w:pPr>
        <w:tabs>
          <w:tab w:val="num" w:pos="3402"/>
        </w:tabs>
        <w:ind w:left="3402" w:hanging="850"/>
      </w:pPr>
      <w:rPr>
        <w:rFonts w:ascii="Courier New" w:hAnsi="Courier New" w:hint="default"/>
      </w:rPr>
    </w:lvl>
    <w:lvl w:ilvl="4" w:tplc="B388F3E6">
      <w:start w:val="1"/>
      <w:numFmt w:val="bullet"/>
      <w:pStyle w:val="P5-B4Paragraph5-Bullet4"/>
      <w:lvlText w:val=""/>
      <w:lvlJc w:val="left"/>
      <w:pPr>
        <w:tabs>
          <w:tab w:val="num" w:pos="4253"/>
        </w:tabs>
        <w:ind w:left="4253" w:hanging="851"/>
      </w:pPr>
      <w:rPr>
        <w:rFonts w:ascii="Wingdings" w:hAnsi="Wingdings" w:hint="default"/>
      </w:rPr>
    </w:lvl>
    <w:lvl w:ilvl="5" w:tplc="041E423A">
      <w:start w:val="1"/>
      <w:numFmt w:val="bullet"/>
      <w:pStyle w:val="P6-B5Paragraph6-Bullet5"/>
      <w:lvlText w:val=""/>
      <w:lvlJc w:val="left"/>
      <w:pPr>
        <w:tabs>
          <w:tab w:val="num" w:pos="5103"/>
        </w:tabs>
        <w:ind w:left="5103" w:hanging="850"/>
      </w:pPr>
      <w:rPr>
        <w:rFonts w:ascii="Wingdings" w:hAnsi="Wingdings" w:hint="default"/>
      </w:rPr>
    </w:lvl>
    <w:lvl w:ilvl="6" w:tplc="B914B13C">
      <w:start w:val="1"/>
      <w:numFmt w:val="bullet"/>
      <w:pStyle w:val="P7-B6Paragraph7-Bullet6"/>
      <w:lvlText w:val=""/>
      <w:lvlJc w:val="left"/>
      <w:pPr>
        <w:tabs>
          <w:tab w:val="num" w:pos="5954"/>
        </w:tabs>
        <w:ind w:left="5954" w:hanging="851"/>
      </w:pPr>
      <w:rPr>
        <w:rFonts w:ascii="Symbol" w:hAnsi="Symbol" w:hint="default"/>
      </w:rPr>
    </w:lvl>
    <w:lvl w:ilvl="7" w:tplc="B136EC4E">
      <w:start w:val="1"/>
      <w:numFmt w:val="bullet"/>
      <w:pStyle w:val="P8-B7Paragraph8-Bullet7"/>
      <w:lvlText w:val="–"/>
      <w:lvlJc w:val="left"/>
      <w:pPr>
        <w:tabs>
          <w:tab w:val="num" w:pos="6804"/>
        </w:tabs>
        <w:ind w:left="6804" w:hanging="850"/>
      </w:pPr>
      <w:rPr>
        <w:rFonts w:ascii="Calibri" w:eastAsiaTheme="minorHAnsi" w:hAnsi="Calibri" w:cs="Calibri" w:hint="default"/>
      </w:rPr>
    </w:lvl>
    <w:lvl w:ilvl="8" w:tplc="7B3C086C">
      <w:start w:val="1"/>
      <w:numFmt w:val="bullet"/>
      <w:pStyle w:val="P9-B8Paragraph9-Bullet8"/>
      <w:lvlText w:val="o"/>
      <w:lvlJc w:val="left"/>
      <w:pPr>
        <w:tabs>
          <w:tab w:val="num" w:pos="7655"/>
        </w:tabs>
        <w:ind w:left="7655" w:hanging="851"/>
      </w:pPr>
      <w:rPr>
        <w:rFonts w:ascii="Courier New" w:hAnsi="Courier New" w:hint="default"/>
      </w:rPr>
    </w:lvl>
  </w:abstractNum>
  <w:abstractNum w:abstractNumId="4" w15:restartNumberingAfterBreak="0">
    <w:nsid w:val="595D1099"/>
    <w:multiLevelType w:val="multilevel"/>
    <w:tmpl w:val="79A4006C"/>
    <w:lvl w:ilvl="0">
      <w:start w:val="1"/>
      <w:numFmt w:val="upperLetter"/>
      <w:pStyle w:val="AHL1AnnexHeadingLevel1"/>
      <w:lvlText w:val="ANNEX %1"/>
      <w:lvlJc w:val="left"/>
      <w:pPr>
        <w:tabs>
          <w:tab w:val="num" w:pos="1418"/>
        </w:tabs>
        <w:ind w:left="1418" w:hanging="1418"/>
      </w:pPr>
      <w:rPr>
        <w:rFonts w:hint="default"/>
      </w:rPr>
    </w:lvl>
    <w:lvl w:ilvl="1">
      <w:start w:val="1"/>
      <w:numFmt w:val="decimal"/>
      <w:pStyle w:val="AHL2AnnexHeadingLevel2"/>
      <w:lvlText w:val="%1.%2"/>
      <w:lvlJc w:val="left"/>
      <w:pPr>
        <w:tabs>
          <w:tab w:val="num" w:pos="851"/>
        </w:tabs>
        <w:ind w:left="851" w:hanging="851"/>
      </w:pPr>
      <w:rPr>
        <w:rFonts w:hint="default"/>
      </w:rPr>
    </w:lvl>
    <w:lvl w:ilvl="2">
      <w:start w:val="1"/>
      <w:numFmt w:val="decimal"/>
      <w:pStyle w:val="AHL3AnnexHeadingLevel3"/>
      <w:lvlText w:val="%1.%2.%3"/>
      <w:lvlJc w:val="left"/>
      <w:pPr>
        <w:tabs>
          <w:tab w:val="num" w:pos="1701"/>
        </w:tabs>
        <w:ind w:left="1701" w:hanging="850"/>
      </w:pPr>
      <w:rPr>
        <w:rFonts w:hint="default"/>
      </w:rPr>
    </w:lvl>
    <w:lvl w:ilvl="3">
      <w:start w:val="1"/>
      <w:numFmt w:val="decimal"/>
      <w:pStyle w:val="AHL4AnnexHeadingLevel4"/>
      <w:lvlText w:val="%1.%2.%3.%4"/>
      <w:lvlJc w:val="left"/>
      <w:pPr>
        <w:tabs>
          <w:tab w:val="num" w:pos="2835"/>
        </w:tabs>
        <w:ind w:left="2835" w:hanging="1134"/>
      </w:pPr>
      <w:rPr>
        <w:rFonts w:hint="default"/>
        <w:u w:val="single"/>
      </w:rPr>
    </w:lvl>
    <w:lvl w:ilvl="4">
      <w:start w:val="1"/>
      <w:numFmt w:val="none"/>
      <w:pStyle w:val="AHL5AnnexHeadingLevel5"/>
      <w:lvlText w:val=""/>
      <w:lvlJc w:val="left"/>
      <w:pPr>
        <w:ind w:left="2552" w:firstLine="0"/>
      </w:pPr>
      <w:rPr>
        <w:rFonts w:hint="default"/>
      </w:rPr>
    </w:lvl>
    <w:lvl w:ilvl="5">
      <w:start w:val="1"/>
      <w:numFmt w:val="none"/>
      <w:pStyle w:val="AHL6AnnexHeadingLevel6"/>
      <w:lvlText w:val=""/>
      <w:lvlJc w:val="left"/>
      <w:pPr>
        <w:ind w:left="3402" w:firstLine="0"/>
      </w:pPr>
      <w:rPr>
        <w:rFonts w:hint="default"/>
      </w:rPr>
    </w:lvl>
    <w:lvl w:ilvl="6">
      <w:start w:val="1"/>
      <w:numFmt w:val="none"/>
      <w:pStyle w:val="AHL7AnnexHeadingLevel7"/>
      <w:lvlText w:val=""/>
      <w:lvlJc w:val="left"/>
      <w:pPr>
        <w:ind w:left="4253" w:firstLine="0"/>
      </w:pPr>
      <w:rPr>
        <w:rFonts w:hint="default"/>
      </w:rPr>
    </w:lvl>
    <w:lvl w:ilvl="7">
      <w:start w:val="1"/>
      <w:numFmt w:val="none"/>
      <w:pStyle w:val="AHL8AnnexHeadingLevel8"/>
      <w:lvlText w:val=""/>
      <w:lvlJc w:val="left"/>
      <w:pPr>
        <w:ind w:left="5103" w:firstLine="0"/>
      </w:pPr>
      <w:rPr>
        <w:rFonts w:hint="default"/>
      </w:rPr>
    </w:lvl>
    <w:lvl w:ilvl="8">
      <w:start w:val="1"/>
      <w:numFmt w:val="none"/>
      <w:pStyle w:val="AHL9AnnexHeadingLevel9"/>
      <w:lvlText w:val=""/>
      <w:lvlJc w:val="left"/>
      <w:pPr>
        <w:ind w:left="5954" w:firstLine="0"/>
      </w:pPr>
      <w:rPr>
        <w:rFonts w:hint="default"/>
      </w:rPr>
    </w:lvl>
  </w:abstractNum>
  <w:abstractNum w:abstractNumId="5" w15:restartNumberingAfterBreak="0">
    <w:nsid w:val="67CE0D86"/>
    <w:multiLevelType w:val="hybridMultilevel"/>
    <w:tmpl w:val="48F8E010"/>
    <w:lvl w:ilvl="0" w:tplc="15ACE29E">
      <w:start w:val="1"/>
      <w:numFmt w:val="decimal"/>
      <w:pStyle w:val="TCTableCaption"/>
      <w:lvlText w:val="Table %1"/>
      <w:lvlJc w:val="left"/>
      <w:pPr>
        <w:tabs>
          <w:tab w:val="num" w:pos="1134"/>
        </w:tabs>
        <w:ind w:left="1134" w:hanging="1134"/>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86687517">
    <w:abstractNumId w:val="3"/>
  </w:num>
  <w:num w:numId="2" w16cid:durableId="226231575">
    <w:abstractNumId w:val="1"/>
  </w:num>
  <w:num w:numId="3" w16cid:durableId="262610072">
    <w:abstractNumId w:val="3"/>
    <w:lvlOverride w:ilvl="0">
      <w:startOverride w:val="1"/>
    </w:lvlOverride>
  </w:num>
  <w:num w:numId="4" w16cid:durableId="177088476">
    <w:abstractNumId w:val="0"/>
  </w:num>
  <w:num w:numId="5" w16cid:durableId="1511414236">
    <w:abstractNumId w:val="5"/>
  </w:num>
  <w:num w:numId="6" w16cid:durableId="241717727">
    <w:abstractNumId w:val="4"/>
  </w:num>
  <w:num w:numId="7" w16cid:durableId="2115662373">
    <w:abstractNumId w:val="4"/>
  </w:num>
  <w:num w:numId="8" w16cid:durableId="1622490184">
    <w:abstractNumId w:val="1"/>
    <w:lvlOverride w:ilvl="0">
      <w:startOverride w:val="1"/>
    </w:lvlOverride>
    <w:lvlOverride w:ilvl="1">
      <w:startOverride w:val="2"/>
    </w:lvlOverride>
  </w:num>
  <w:num w:numId="9" w16cid:durableId="1400399171">
    <w:abstractNumId w:val="1"/>
  </w:num>
  <w:num w:numId="10" w16cid:durableId="711081339">
    <w:abstractNumId w:val="1"/>
  </w:num>
  <w:num w:numId="11" w16cid:durableId="1894268898">
    <w:abstractNumId w:val="1"/>
  </w:num>
  <w:num w:numId="12" w16cid:durableId="209733502">
    <w:abstractNumId w:val="1"/>
  </w:num>
  <w:num w:numId="13" w16cid:durableId="1768952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95140004">
    <w:abstractNumId w:val="3"/>
    <w:lvlOverride w:ilvl="0">
      <w:startOverride w:val="1"/>
    </w:lvlOverride>
    <w:lvlOverride w:ilvl="1"/>
    <w:lvlOverride w:ilvl="2"/>
    <w:lvlOverride w:ilvl="3"/>
    <w:lvlOverride w:ilvl="4"/>
    <w:lvlOverride w:ilvl="5"/>
    <w:lvlOverride w:ilvl="6"/>
    <w:lvlOverride w:ilvl="7"/>
    <w:lvlOverride w:ilvl="8"/>
  </w:num>
  <w:num w:numId="15" w16cid:durableId="221528313">
    <w:abstractNumId w:val="2"/>
  </w:num>
  <w:num w:numId="16" w16cid:durableId="347221591">
    <w:abstractNumId w:val="1"/>
  </w:num>
  <w:num w:numId="17" w16cid:durableId="750202967">
    <w:abstractNumId w:val="1"/>
  </w:num>
  <w:num w:numId="18" w16cid:durableId="36245423">
    <w:abstractNumId w:val="1"/>
  </w:num>
  <w:num w:numId="19" w16cid:durableId="1275020481">
    <w:abstractNumId w:val="1"/>
  </w:num>
  <w:num w:numId="20" w16cid:durableId="1229805095">
    <w:abstractNumId w:val="1"/>
  </w:num>
  <w:num w:numId="21" w16cid:durableId="1354727403">
    <w:abstractNumId w:val="1"/>
  </w:num>
  <w:num w:numId="22" w16cid:durableId="751703326">
    <w:abstractNumId w:val="1"/>
  </w:num>
  <w:num w:numId="23" w16cid:durableId="693188476">
    <w:abstractNumId w:val="1"/>
  </w:num>
  <w:num w:numId="24" w16cid:durableId="555044000">
    <w:abstractNumId w:val="3"/>
  </w:num>
  <w:num w:numId="25" w16cid:durableId="720590651">
    <w:abstractNumId w:val="3"/>
  </w:num>
  <w:num w:numId="26" w16cid:durableId="932401813">
    <w:abstractNumId w:val="3"/>
  </w:num>
  <w:num w:numId="27" w16cid:durableId="1405949912">
    <w:abstractNumId w:val="3"/>
  </w:num>
  <w:num w:numId="28" w16cid:durableId="2114350546">
    <w:abstractNumId w:val="3"/>
  </w:num>
  <w:num w:numId="29" w16cid:durableId="1464498967">
    <w:abstractNumId w:val="3"/>
  </w:num>
  <w:num w:numId="30" w16cid:durableId="1076048770">
    <w:abstractNumId w:val="3"/>
  </w:num>
  <w:num w:numId="31" w16cid:durableId="56249257">
    <w:abstractNumId w:val="3"/>
  </w:num>
  <w:num w:numId="32" w16cid:durableId="2058696810">
    <w:abstractNumId w:val="3"/>
  </w:num>
  <w:num w:numId="33" w16cid:durableId="16454252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85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9F6"/>
    <w:rsid w:val="00002653"/>
    <w:rsid w:val="00004009"/>
    <w:rsid w:val="00006269"/>
    <w:rsid w:val="000068C2"/>
    <w:rsid w:val="00010765"/>
    <w:rsid w:val="000136BE"/>
    <w:rsid w:val="00013F6E"/>
    <w:rsid w:val="00014675"/>
    <w:rsid w:val="00021E12"/>
    <w:rsid w:val="00023C47"/>
    <w:rsid w:val="00025483"/>
    <w:rsid w:val="00030A32"/>
    <w:rsid w:val="00031577"/>
    <w:rsid w:val="00033E44"/>
    <w:rsid w:val="00040482"/>
    <w:rsid w:val="000453F8"/>
    <w:rsid w:val="00046BAF"/>
    <w:rsid w:val="0004747A"/>
    <w:rsid w:val="000529D0"/>
    <w:rsid w:val="00053550"/>
    <w:rsid w:val="00053C0A"/>
    <w:rsid w:val="00065853"/>
    <w:rsid w:val="000662B0"/>
    <w:rsid w:val="000716BD"/>
    <w:rsid w:val="0007327B"/>
    <w:rsid w:val="0007614E"/>
    <w:rsid w:val="00076C59"/>
    <w:rsid w:val="00081602"/>
    <w:rsid w:val="00082549"/>
    <w:rsid w:val="000825B1"/>
    <w:rsid w:val="00083B10"/>
    <w:rsid w:val="00085F0E"/>
    <w:rsid w:val="000872FE"/>
    <w:rsid w:val="0008756B"/>
    <w:rsid w:val="00091EF4"/>
    <w:rsid w:val="00093175"/>
    <w:rsid w:val="00094FC7"/>
    <w:rsid w:val="000950D2"/>
    <w:rsid w:val="000954BD"/>
    <w:rsid w:val="0009594E"/>
    <w:rsid w:val="00097131"/>
    <w:rsid w:val="000A1B94"/>
    <w:rsid w:val="000A2863"/>
    <w:rsid w:val="000B204E"/>
    <w:rsid w:val="000B3C44"/>
    <w:rsid w:val="000B67F9"/>
    <w:rsid w:val="000C14F5"/>
    <w:rsid w:val="000C527B"/>
    <w:rsid w:val="000C69E9"/>
    <w:rsid w:val="000C69EE"/>
    <w:rsid w:val="000C6B21"/>
    <w:rsid w:val="000D0005"/>
    <w:rsid w:val="000D1680"/>
    <w:rsid w:val="000D3FF3"/>
    <w:rsid w:val="000D6D38"/>
    <w:rsid w:val="000E12C0"/>
    <w:rsid w:val="000E230B"/>
    <w:rsid w:val="000E4BF6"/>
    <w:rsid w:val="000E4C65"/>
    <w:rsid w:val="000F0787"/>
    <w:rsid w:val="00101F52"/>
    <w:rsid w:val="00102201"/>
    <w:rsid w:val="001076A2"/>
    <w:rsid w:val="0011547E"/>
    <w:rsid w:val="0012151F"/>
    <w:rsid w:val="0013152F"/>
    <w:rsid w:val="00131690"/>
    <w:rsid w:val="001413ED"/>
    <w:rsid w:val="001458A1"/>
    <w:rsid w:val="001511C4"/>
    <w:rsid w:val="00151890"/>
    <w:rsid w:val="00152AD0"/>
    <w:rsid w:val="00152D05"/>
    <w:rsid w:val="00153698"/>
    <w:rsid w:val="001570CB"/>
    <w:rsid w:val="00157340"/>
    <w:rsid w:val="00162D9E"/>
    <w:rsid w:val="00165108"/>
    <w:rsid w:val="00167090"/>
    <w:rsid w:val="001672B4"/>
    <w:rsid w:val="0017192E"/>
    <w:rsid w:val="00172F2A"/>
    <w:rsid w:val="00177C2A"/>
    <w:rsid w:val="0018043C"/>
    <w:rsid w:val="00182727"/>
    <w:rsid w:val="001903B9"/>
    <w:rsid w:val="001975DD"/>
    <w:rsid w:val="001A3CE2"/>
    <w:rsid w:val="001A41B7"/>
    <w:rsid w:val="001B3D99"/>
    <w:rsid w:val="001B72E3"/>
    <w:rsid w:val="001C4CC7"/>
    <w:rsid w:val="001C5DF7"/>
    <w:rsid w:val="001C669E"/>
    <w:rsid w:val="001C738F"/>
    <w:rsid w:val="001D1C99"/>
    <w:rsid w:val="001D1DAC"/>
    <w:rsid w:val="001D4409"/>
    <w:rsid w:val="001D6466"/>
    <w:rsid w:val="001E20A6"/>
    <w:rsid w:val="001E3588"/>
    <w:rsid w:val="001E3A84"/>
    <w:rsid w:val="001E51A8"/>
    <w:rsid w:val="001F0361"/>
    <w:rsid w:val="001F223E"/>
    <w:rsid w:val="001F3466"/>
    <w:rsid w:val="001F3CB2"/>
    <w:rsid w:val="001F46B7"/>
    <w:rsid w:val="001F75CF"/>
    <w:rsid w:val="0020420B"/>
    <w:rsid w:val="002070FA"/>
    <w:rsid w:val="002074D5"/>
    <w:rsid w:val="002075A7"/>
    <w:rsid w:val="00211325"/>
    <w:rsid w:val="00212CBA"/>
    <w:rsid w:val="00213035"/>
    <w:rsid w:val="00215811"/>
    <w:rsid w:val="00215F99"/>
    <w:rsid w:val="00217A09"/>
    <w:rsid w:val="0022478E"/>
    <w:rsid w:val="00230197"/>
    <w:rsid w:val="0023272D"/>
    <w:rsid w:val="00244E0D"/>
    <w:rsid w:val="00245FA1"/>
    <w:rsid w:val="00251C26"/>
    <w:rsid w:val="0025365F"/>
    <w:rsid w:val="00253697"/>
    <w:rsid w:val="00256B71"/>
    <w:rsid w:val="002603E6"/>
    <w:rsid w:val="0026128E"/>
    <w:rsid w:val="00264DF0"/>
    <w:rsid w:val="00264EA4"/>
    <w:rsid w:val="0027063D"/>
    <w:rsid w:val="00270905"/>
    <w:rsid w:val="00274E2F"/>
    <w:rsid w:val="002774D9"/>
    <w:rsid w:val="0028243F"/>
    <w:rsid w:val="00283DB2"/>
    <w:rsid w:val="0028454D"/>
    <w:rsid w:val="00286F01"/>
    <w:rsid w:val="002934FE"/>
    <w:rsid w:val="002945E9"/>
    <w:rsid w:val="002A0903"/>
    <w:rsid w:val="002B1D3F"/>
    <w:rsid w:val="002B2E94"/>
    <w:rsid w:val="002B6848"/>
    <w:rsid w:val="002B6CCD"/>
    <w:rsid w:val="002C19D9"/>
    <w:rsid w:val="002C2C2F"/>
    <w:rsid w:val="002D350A"/>
    <w:rsid w:val="002D3A9F"/>
    <w:rsid w:val="002D4796"/>
    <w:rsid w:val="002E7C8E"/>
    <w:rsid w:val="002F1025"/>
    <w:rsid w:val="002F108D"/>
    <w:rsid w:val="002F2201"/>
    <w:rsid w:val="002F433F"/>
    <w:rsid w:val="002F5D7C"/>
    <w:rsid w:val="002F646A"/>
    <w:rsid w:val="002F6EE1"/>
    <w:rsid w:val="003005A3"/>
    <w:rsid w:val="00306EA6"/>
    <w:rsid w:val="0031054B"/>
    <w:rsid w:val="00310B5C"/>
    <w:rsid w:val="003177F0"/>
    <w:rsid w:val="00323D58"/>
    <w:rsid w:val="00325BAD"/>
    <w:rsid w:val="00327E32"/>
    <w:rsid w:val="00330582"/>
    <w:rsid w:val="00340A13"/>
    <w:rsid w:val="0034182B"/>
    <w:rsid w:val="00341BCD"/>
    <w:rsid w:val="00343C7D"/>
    <w:rsid w:val="00352299"/>
    <w:rsid w:val="003532C9"/>
    <w:rsid w:val="00354A06"/>
    <w:rsid w:val="00355394"/>
    <w:rsid w:val="00357DC0"/>
    <w:rsid w:val="00361DE9"/>
    <w:rsid w:val="00361F87"/>
    <w:rsid w:val="003629DB"/>
    <w:rsid w:val="003638CE"/>
    <w:rsid w:val="00364C3D"/>
    <w:rsid w:val="003740E0"/>
    <w:rsid w:val="00375A4F"/>
    <w:rsid w:val="00375E61"/>
    <w:rsid w:val="00380306"/>
    <w:rsid w:val="00380454"/>
    <w:rsid w:val="00380795"/>
    <w:rsid w:val="00382E98"/>
    <w:rsid w:val="00385930"/>
    <w:rsid w:val="003863C2"/>
    <w:rsid w:val="00393B53"/>
    <w:rsid w:val="00396B82"/>
    <w:rsid w:val="003A10EE"/>
    <w:rsid w:val="003A35CD"/>
    <w:rsid w:val="003A37B1"/>
    <w:rsid w:val="003A3FC8"/>
    <w:rsid w:val="003A56A4"/>
    <w:rsid w:val="003A5EE8"/>
    <w:rsid w:val="003A78D7"/>
    <w:rsid w:val="003B4D6F"/>
    <w:rsid w:val="003C0435"/>
    <w:rsid w:val="003C07F5"/>
    <w:rsid w:val="003C2F32"/>
    <w:rsid w:val="003C526E"/>
    <w:rsid w:val="003D4214"/>
    <w:rsid w:val="003D481B"/>
    <w:rsid w:val="003D65B5"/>
    <w:rsid w:val="003E3392"/>
    <w:rsid w:val="003E4832"/>
    <w:rsid w:val="003E7395"/>
    <w:rsid w:val="003F2BA6"/>
    <w:rsid w:val="003F2C72"/>
    <w:rsid w:val="003F426F"/>
    <w:rsid w:val="003F59FC"/>
    <w:rsid w:val="00400744"/>
    <w:rsid w:val="0040108F"/>
    <w:rsid w:val="0040221A"/>
    <w:rsid w:val="004036C2"/>
    <w:rsid w:val="004045D4"/>
    <w:rsid w:val="00405BCC"/>
    <w:rsid w:val="00407992"/>
    <w:rsid w:val="00412BF5"/>
    <w:rsid w:val="00414B7B"/>
    <w:rsid w:val="00415FBA"/>
    <w:rsid w:val="004174EB"/>
    <w:rsid w:val="00420443"/>
    <w:rsid w:val="004239CD"/>
    <w:rsid w:val="00425CE4"/>
    <w:rsid w:val="004342E7"/>
    <w:rsid w:val="0044145A"/>
    <w:rsid w:val="0044182E"/>
    <w:rsid w:val="00441A32"/>
    <w:rsid w:val="004421E7"/>
    <w:rsid w:val="0044366B"/>
    <w:rsid w:val="004446E9"/>
    <w:rsid w:val="00451CE5"/>
    <w:rsid w:val="004524CE"/>
    <w:rsid w:val="0045340A"/>
    <w:rsid w:val="00453C6C"/>
    <w:rsid w:val="00453D39"/>
    <w:rsid w:val="00454A8F"/>
    <w:rsid w:val="004605D4"/>
    <w:rsid w:val="00461D12"/>
    <w:rsid w:val="00462B7F"/>
    <w:rsid w:val="00466417"/>
    <w:rsid w:val="00466F24"/>
    <w:rsid w:val="0047129F"/>
    <w:rsid w:val="004742B3"/>
    <w:rsid w:val="0047739D"/>
    <w:rsid w:val="00477519"/>
    <w:rsid w:val="00481E73"/>
    <w:rsid w:val="00491834"/>
    <w:rsid w:val="004A1868"/>
    <w:rsid w:val="004A5E9C"/>
    <w:rsid w:val="004B6E12"/>
    <w:rsid w:val="004B708F"/>
    <w:rsid w:val="004C0D8E"/>
    <w:rsid w:val="004C335E"/>
    <w:rsid w:val="004D3769"/>
    <w:rsid w:val="004D51D2"/>
    <w:rsid w:val="004D6BFA"/>
    <w:rsid w:val="004D7079"/>
    <w:rsid w:val="004D7C3F"/>
    <w:rsid w:val="004E0794"/>
    <w:rsid w:val="004E6867"/>
    <w:rsid w:val="004F10BD"/>
    <w:rsid w:val="0050080F"/>
    <w:rsid w:val="0050207E"/>
    <w:rsid w:val="0050215C"/>
    <w:rsid w:val="005033CB"/>
    <w:rsid w:val="005048A1"/>
    <w:rsid w:val="00505B7F"/>
    <w:rsid w:val="00505CB1"/>
    <w:rsid w:val="005102E9"/>
    <w:rsid w:val="005137EA"/>
    <w:rsid w:val="00513A57"/>
    <w:rsid w:val="0052296B"/>
    <w:rsid w:val="00524050"/>
    <w:rsid w:val="0052579B"/>
    <w:rsid w:val="00525CB3"/>
    <w:rsid w:val="0054084A"/>
    <w:rsid w:val="00540E71"/>
    <w:rsid w:val="005436F3"/>
    <w:rsid w:val="0054424C"/>
    <w:rsid w:val="0054720A"/>
    <w:rsid w:val="00547F08"/>
    <w:rsid w:val="00553DE6"/>
    <w:rsid w:val="00554DD6"/>
    <w:rsid w:val="005627FA"/>
    <w:rsid w:val="00563EF1"/>
    <w:rsid w:val="00564FE0"/>
    <w:rsid w:val="005714C3"/>
    <w:rsid w:val="005732CB"/>
    <w:rsid w:val="005775BD"/>
    <w:rsid w:val="0058590A"/>
    <w:rsid w:val="00585B2E"/>
    <w:rsid w:val="005A5BCF"/>
    <w:rsid w:val="005A7458"/>
    <w:rsid w:val="005A758B"/>
    <w:rsid w:val="005A76EB"/>
    <w:rsid w:val="005B6710"/>
    <w:rsid w:val="005C0E21"/>
    <w:rsid w:val="005C24F4"/>
    <w:rsid w:val="005C479D"/>
    <w:rsid w:val="005D04B6"/>
    <w:rsid w:val="005D0800"/>
    <w:rsid w:val="005E065F"/>
    <w:rsid w:val="005E4300"/>
    <w:rsid w:val="005E66D1"/>
    <w:rsid w:val="005E6A4E"/>
    <w:rsid w:val="005E7CD7"/>
    <w:rsid w:val="005F0DD5"/>
    <w:rsid w:val="005F3C35"/>
    <w:rsid w:val="005F4454"/>
    <w:rsid w:val="005F4A90"/>
    <w:rsid w:val="005F4E08"/>
    <w:rsid w:val="005F6FF1"/>
    <w:rsid w:val="00607B6A"/>
    <w:rsid w:val="006125E5"/>
    <w:rsid w:val="0061635B"/>
    <w:rsid w:val="0061650C"/>
    <w:rsid w:val="0061777C"/>
    <w:rsid w:val="0062041F"/>
    <w:rsid w:val="006209AF"/>
    <w:rsid w:val="006220E2"/>
    <w:rsid w:val="006246D3"/>
    <w:rsid w:val="00626805"/>
    <w:rsid w:val="00631C3B"/>
    <w:rsid w:val="006329BD"/>
    <w:rsid w:val="00636067"/>
    <w:rsid w:val="006430FD"/>
    <w:rsid w:val="00651292"/>
    <w:rsid w:val="00654A3E"/>
    <w:rsid w:val="006550D0"/>
    <w:rsid w:val="00655A77"/>
    <w:rsid w:val="00661F20"/>
    <w:rsid w:val="00662702"/>
    <w:rsid w:val="0066334B"/>
    <w:rsid w:val="006638C6"/>
    <w:rsid w:val="006667C2"/>
    <w:rsid w:val="006669F6"/>
    <w:rsid w:val="00670656"/>
    <w:rsid w:val="00670C07"/>
    <w:rsid w:val="00675218"/>
    <w:rsid w:val="00675A10"/>
    <w:rsid w:val="006778A5"/>
    <w:rsid w:val="006813BD"/>
    <w:rsid w:val="00681A1B"/>
    <w:rsid w:val="006861F1"/>
    <w:rsid w:val="006867B3"/>
    <w:rsid w:val="0068758D"/>
    <w:rsid w:val="00687FF6"/>
    <w:rsid w:val="00691E0E"/>
    <w:rsid w:val="00695D05"/>
    <w:rsid w:val="006A45D8"/>
    <w:rsid w:val="006A6CDC"/>
    <w:rsid w:val="006B1C9A"/>
    <w:rsid w:val="006B207D"/>
    <w:rsid w:val="006B5035"/>
    <w:rsid w:val="006C1D90"/>
    <w:rsid w:val="006C2130"/>
    <w:rsid w:val="006C5B73"/>
    <w:rsid w:val="006C6FB4"/>
    <w:rsid w:val="006C72C7"/>
    <w:rsid w:val="006D1A13"/>
    <w:rsid w:val="006D1E2F"/>
    <w:rsid w:val="006D2FDE"/>
    <w:rsid w:val="006D5282"/>
    <w:rsid w:val="006D6032"/>
    <w:rsid w:val="006E270D"/>
    <w:rsid w:val="006E2F9F"/>
    <w:rsid w:val="006E314A"/>
    <w:rsid w:val="006F189E"/>
    <w:rsid w:val="006F1CC8"/>
    <w:rsid w:val="00701992"/>
    <w:rsid w:val="00701EB8"/>
    <w:rsid w:val="00706CC5"/>
    <w:rsid w:val="00706E5D"/>
    <w:rsid w:val="007164E0"/>
    <w:rsid w:val="00717A09"/>
    <w:rsid w:val="0073749E"/>
    <w:rsid w:val="00740BC4"/>
    <w:rsid w:val="007508AF"/>
    <w:rsid w:val="00752167"/>
    <w:rsid w:val="00756AF9"/>
    <w:rsid w:val="00757E4C"/>
    <w:rsid w:val="007630FC"/>
    <w:rsid w:val="0076488C"/>
    <w:rsid w:val="00764FF6"/>
    <w:rsid w:val="00766B2C"/>
    <w:rsid w:val="007677E5"/>
    <w:rsid w:val="00767AA7"/>
    <w:rsid w:val="007720FE"/>
    <w:rsid w:val="007750C7"/>
    <w:rsid w:val="00785050"/>
    <w:rsid w:val="00787183"/>
    <w:rsid w:val="007913CD"/>
    <w:rsid w:val="0079191C"/>
    <w:rsid w:val="00791E95"/>
    <w:rsid w:val="00795605"/>
    <w:rsid w:val="00797FF9"/>
    <w:rsid w:val="007A12B4"/>
    <w:rsid w:val="007A32AA"/>
    <w:rsid w:val="007A3339"/>
    <w:rsid w:val="007A3EF1"/>
    <w:rsid w:val="007A50A6"/>
    <w:rsid w:val="007A6D5A"/>
    <w:rsid w:val="007B4AFE"/>
    <w:rsid w:val="007C31DA"/>
    <w:rsid w:val="007C5A23"/>
    <w:rsid w:val="007C7751"/>
    <w:rsid w:val="007D1A40"/>
    <w:rsid w:val="007D465B"/>
    <w:rsid w:val="007D4DD5"/>
    <w:rsid w:val="007D77DD"/>
    <w:rsid w:val="007E6578"/>
    <w:rsid w:val="007E7DB4"/>
    <w:rsid w:val="007F0619"/>
    <w:rsid w:val="007F3192"/>
    <w:rsid w:val="007F7364"/>
    <w:rsid w:val="00800159"/>
    <w:rsid w:val="00801842"/>
    <w:rsid w:val="00803BAA"/>
    <w:rsid w:val="0080780C"/>
    <w:rsid w:val="008106BC"/>
    <w:rsid w:val="008211F9"/>
    <w:rsid w:val="00822EDB"/>
    <w:rsid w:val="00836594"/>
    <w:rsid w:val="00840DA9"/>
    <w:rsid w:val="0084282B"/>
    <w:rsid w:val="00843859"/>
    <w:rsid w:val="00845E47"/>
    <w:rsid w:val="00851DDB"/>
    <w:rsid w:val="008547FA"/>
    <w:rsid w:val="008552DA"/>
    <w:rsid w:val="00870957"/>
    <w:rsid w:val="008745AD"/>
    <w:rsid w:val="00876A03"/>
    <w:rsid w:val="00880223"/>
    <w:rsid w:val="0088091B"/>
    <w:rsid w:val="00880B76"/>
    <w:rsid w:val="00880F80"/>
    <w:rsid w:val="00882EFF"/>
    <w:rsid w:val="0088439F"/>
    <w:rsid w:val="008846B6"/>
    <w:rsid w:val="00885B6C"/>
    <w:rsid w:val="00887792"/>
    <w:rsid w:val="00890223"/>
    <w:rsid w:val="008929A5"/>
    <w:rsid w:val="008A1191"/>
    <w:rsid w:val="008A3F4A"/>
    <w:rsid w:val="008A4C51"/>
    <w:rsid w:val="008A539C"/>
    <w:rsid w:val="008B2533"/>
    <w:rsid w:val="008B5EF8"/>
    <w:rsid w:val="008B77DD"/>
    <w:rsid w:val="008C0DA0"/>
    <w:rsid w:val="008C1917"/>
    <w:rsid w:val="008C302F"/>
    <w:rsid w:val="008C458E"/>
    <w:rsid w:val="008C6C4B"/>
    <w:rsid w:val="008C78D2"/>
    <w:rsid w:val="008E0031"/>
    <w:rsid w:val="008E0217"/>
    <w:rsid w:val="008E0CB0"/>
    <w:rsid w:val="008E4ED9"/>
    <w:rsid w:val="008E5CA4"/>
    <w:rsid w:val="008F08B4"/>
    <w:rsid w:val="008F190C"/>
    <w:rsid w:val="008F5ACF"/>
    <w:rsid w:val="008F5B14"/>
    <w:rsid w:val="008F7779"/>
    <w:rsid w:val="00910431"/>
    <w:rsid w:val="0091251F"/>
    <w:rsid w:val="009152CD"/>
    <w:rsid w:val="00921808"/>
    <w:rsid w:val="0092513D"/>
    <w:rsid w:val="0092570E"/>
    <w:rsid w:val="0092700D"/>
    <w:rsid w:val="0093054A"/>
    <w:rsid w:val="00932E67"/>
    <w:rsid w:val="009342CD"/>
    <w:rsid w:val="0093605F"/>
    <w:rsid w:val="009410A9"/>
    <w:rsid w:val="0094228D"/>
    <w:rsid w:val="00942C9D"/>
    <w:rsid w:val="00942DE7"/>
    <w:rsid w:val="00943FB5"/>
    <w:rsid w:val="009441C2"/>
    <w:rsid w:val="009442A5"/>
    <w:rsid w:val="00950755"/>
    <w:rsid w:val="009531C5"/>
    <w:rsid w:val="00956071"/>
    <w:rsid w:val="00956FB3"/>
    <w:rsid w:val="00957111"/>
    <w:rsid w:val="00961821"/>
    <w:rsid w:val="00962C06"/>
    <w:rsid w:val="009652E0"/>
    <w:rsid w:val="00977465"/>
    <w:rsid w:val="00980AE8"/>
    <w:rsid w:val="00982909"/>
    <w:rsid w:val="0098367F"/>
    <w:rsid w:val="00984DC7"/>
    <w:rsid w:val="009851A8"/>
    <w:rsid w:val="0098542B"/>
    <w:rsid w:val="00990CB6"/>
    <w:rsid w:val="00991E72"/>
    <w:rsid w:val="00993640"/>
    <w:rsid w:val="009950B3"/>
    <w:rsid w:val="009A1296"/>
    <w:rsid w:val="009A7169"/>
    <w:rsid w:val="009B31DA"/>
    <w:rsid w:val="009B53DC"/>
    <w:rsid w:val="009C1CA2"/>
    <w:rsid w:val="009C63D9"/>
    <w:rsid w:val="009D296D"/>
    <w:rsid w:val="009D74CE"/>
    <w:rsid w:val="009D79A6"/>
    <w:rsid w:val="009E004D"/>
    <w:rsid w:val="009E264E"/>
    <w:rsid w:val="009E74EF"/>
    <w:rsid w:val="009F26EB"/>
    <w:rsid w:val="009F615A"/>
    <w:rsid w:val="009F736B"/>
    <w:rsid w:val="009F7E01"/>
    <w:rsid w:val="00A049C2"/>
    <w:rsid w:val="00A05217"/>
    <w:rsid w:val="00A0560C"/>
    <w:rsid w:val="00A06A37"/>
    <w:rsid w:val="00A0787B"/>
    <w:rsid w:val="00A11357"/>
    <w:rsid w:val="00A136FF"/>
    <w:rsid w:val="00A137E6"/>
    <w:rsid w:val="00A1489A"/>
    <w:rsid w:val="00A17FE2"/>
    <w:rsid w:val="00A211B7"/>
    <w:rsid w:val="00A2216D"/>
    <w:rsid w:val="00A22FAC"/>
    <w:rsid w:val="00A23004"/>
    <w:rsid w:val="00A234D5"/>
    <w:rsid w:val="00A24CA2"/>
    <w:rsid w:val="00A25246"/>
    <w:rsid w:val="00A261D8"/>
    <w:rsid w:val="00A314CE"/>
    <w:rsid w:val="00A31BA5"/>
    <w:rsid w:val="00A31E82"/>
    <w:rsid w:val="00A321D1"/>
    <w:rsid w:val="00A3223E"/>
    <w:rsid w:val="00A351B1"/>
    <w:rsid w:val="00A35F65"/>
    <w:rsid w:val="00A364B0"/>
    <w:rsid w:val="00A36D9F"/>
    <w:rsid w:val="00A42F51"/>
    <w:rsid w:val="00A474D5"/>
    <w:rsid w:val="00A52B43"/>
    <w:rsid w:val="00A5375A"/>
    <w:rsid w:val="00A54F00"/>
    <w:rsid w:val="00A62B63"/>
    <w:rsid w:val="00A67C64"/>
    <w:rsid w:val="00A80D74"/>
    <w:rsid w:val="00A8550D"/>
    <w:rsid w:val="00A85527"/>
    <w:rsid w:val="00A87E55"/>
    <w:rsid w:val="00A900B6"/>
    <w:rsid w:val="00A91FBD"/>
    <w:rsid w:val="00A9312D"/>
    <w:rsid w:val="00A977A6"/>
    <w:rsid w:val="00AA0A64"/>
    <w:rsid w:val="00AA20C4"/>
    <w:rsid w:val="00AA26CE"/>
    <w:rsid w:val="00AB2BA0"/>
    <w:rsid w:val="00AC4674"/>
    <w:rsid w:val="00AC4A0D"/>
    <w:rsid w:val="00AC7EA5"/>
    <w:rsid w:val="00AD0459"/>
    <w:rsid w:val="00AD31C4"/>
    <w:rsid w:val="00AD52FF"/>
    <w:rsid w:val="00AD54B7"/>
    <w:rsid w:val="00AE1048"/>
    <w:rsid w:val="00AE3F51"/>
    <w:rsid w:val="00AE4921"/>
    <w:rsid w:val="00AF16C3"/>
    <w:rsid w:val="00AF235B"/>
    <w:rsid w:val="00AF4DE4"/>
    <w:rsid w:val="00B02978"/>
    <w:rsid w:val="00B03F76"/>
    <w:rsid w:val="00B10942"/>
    <w:rsid w:val="00B15015"/>
    <w:rsid w:val="00B158F2"/>
    <w:rsid w:val="00B15D11"/>
    <w:rsid w:val="00B16BD5"/>
    <w:rsid w:val="00B20115"/>
    <w:rsid w:val="00B2200E"/>
    <w:rsid w:val="00B304FE"/>
    <w:rsid w:val="00B328F9"/>
    <w:rsid w:val="00B33BB6"/>
    <w:rsid w:val="00B36BF4"/>
    <w:rsid w:val="00B36F52"/>
    <w:rsid w:val="00B455DD"/>
    <w:rsid w:val="00B61586"/>
    <w:rsid w:val="00B61ED2"/>
    <w:rsid w:val="00B75E3A"/>
    <w:rsid w:val="00B80E42"/>
    <w:rsid w:val="00B82804"/>
    <w:rsid w:val="00B837DB"/>
    <w:rsid w:val="00B90D33"/>
    <w:rsid w:val="00B926B9"/>
    <w:rsid w:val="00B942F1"/>
    <w:rsid w:val="00B95AC1"/>
    <w:rsid w:val="00B95EB6"/>
    <w:rsid w:val="00B96619"/>
    <w:rsid w:val="00B9740F"/>
    <w:rsid w:val="00B976A0"/>
    <w:rsid w:val="00BA30C9"/>
    <w:rsid w:val="00BA48EE"/>
    <w:rsid w:val="00BA7965"/>
    <w:rsid w:val="00BB66F4"/>
    <w:rsid w:val="00BB6B7E"/>
    <w:rsid w:val="00BC1DE5"/>
    <w:rsid w:val="00BC3681"/>
    <w:rsid w:val="00BC47EC"/>
    <w:rsid w:val="00BC7579"/>
    <w:rsid w:val="00BC783B"/>
    <w:rsid w:val="00BD0E60"/>
    <w:rsid w:val="00BD5C78"/>
    <w:rsid w:val="00BE0B1C"/>
    <w:rsid w:val="00BE3530"/>
    <w:rsid w:val="00BF20B9"/>
    <w:rsid w:val="00BF2E2B"/>
    <w:rsid w:val="00BF332F"/>
    <w:rsid w:val="00BF3936"/>
    <w:rsid w:val="00BF4AE2"/>
    <w:rsid w:val="00BF61B5"/>
    <w:rsid w:val="00C00BD5"/>
    <w:rsid w:val="00C0202B"/>
    <w:rsid w:val="00C0498A"/>
    <w:rsid w:val="00C0612E"/>
    <w:rsid w:val="00C105A7"/>
    <w:rsid w:val="00C10D29"/>
    <w:rsid w:val="00C12D3A"/>
    <w:rsid w:val="00C16743"/>
    <w:rsid w:val="00C17C2C"/>
    <w:rsid w:val="00C17FF6"/>
    <w:rsid w:val="00C20413"/>
    <w:rsid w:val="00C209F6"/>
    <w:rsid w:val="00C22056"/>
    <w:rsid w:val="00C24A27"/>
    <w:rsid w:val="00C266A9"/>
    <w:rsid w:val="00C307B6"/>
    <w:rsid w:val="00C37100"/>
    <w:rsid w:val="00C375B6"/>
    <w:rsid w:val="00C45722"/>
    <w:rsid w:val="00C45EAB"/>
    <w:rsid w:val="00C51537"/>
    <w:rsid w:val="00C5552A"/>
    <w:rsid w:val="00C715A9"/>
    <w:rsid w:val="00C73188"/>
    <w:rsid w:val="00C7368B"/>
    <w:rsid w:val="00C7372D"/>
    <w:rsid w:val="00C737AF"/>
    <w:rsid w:val="00C740D8"/>
    <w:rsid w:val="00C74121"/>
    <w:rsid w:val="00C75FF0"/>
    <w:rsid w:val="00C8006F"/>
    <w:rsid w:val="00C8182A"/>
    <w:rsid w:val="00C82197"/>
    <w:rsid w:val="00C83D06"/>
    <w:rsid w:val="00C84084"/>
    <w:rsid w:val="00C84F1C"/>
    <w:rsid w:val="00C90B54"/>
    <w:rsid w:val="00C90D90"/>
    <w:rsid w:val="00C922DC"/>
    <w:rsid w:val="00C93194"/>
    <w:rsid w:val="00C971A5"/>
    <w:rsid w:val="00CA350F"/>
    <w:rsid w:val="00CA6AE8"/>
    <w:rsid w:val="00CA7B73"/>
    <w:rsid w:val="00CB069D"/>
    <w:rsid w:val="00CB4BB5"/>
    <w:rsid w:val="00CC1866"/>
    <w:rsid w:val="00CC4A2F"/>
    <w:rsid w:val="00CC4B42"/>
    <w:rsid w:val="00CC5E19"/>
    <w:rsid w:val="00CC7482"/>
    <w:rsid w:val="00CD1AA7"/>
    <w:rsid w:val="00CD2DAE"/>
    <w:rsid w:val="00CD4D77"/>
    <w:rsid w:val="00CD5454"/>
    <w:rsid w:val="00CE2500"/>
    <w:rsid w:val="00CF46D8"/>
    <w:rsid w:val="00CF4AA4"/>
    <w:rsid w:val="00CF5050"/>
    <w:rsid w:val="00CF78EE"/>
    <w:rsid w:val="00D071EF"/>
    <w:rsid w:val="00D07475"/>
    <w:rsid w:val="00D077F3"/>
    <w:rsid w:val="00D11F62"/>
    <w:rsid w:val="00D169AB"/>
    <w:rsid w:val="00D231F8"/>
    <w:rsid w:val="00D23B94"/>
    <w:rsid w:val="00D24283"/>
    <w:rsid w:val="00D27873"/>
    <w:rsid w:val="00D36654"/>
    <w:rsid w:val="00D373BD"/>
    <w:rsid w:val="00D41386"/>
    <w:rsid w:val="00D42915"/>
    <w:rsid w:val="00D438B0"/>
    <w:rsid w:val="00D44D24"/>
    <w:rsid w:val="00D456CA"/>
    <w:rsid w:val="00D47F18"/>
    <w:rsid w:val="00D506AD"/>
    <w:rsid w:val="00D51C0B"/>
    <w:rsid w:val="00D52037"/>
    <w:rsid w:val="00D52A17"/>
    <w:rsid w:val="00D53639"/>
    <w:rsid w:val="00D55C93"/>
    <w:rsid w:val="00D60717"/>
    <w:rsid w:val="00D747ED"/>
    <w:rsid w:val="00D81E5C"/>
    <w:rsid w:val="00D83F97"/>
    <w:rsid w:val="00D86434"/>
    <w:rsid w:val="00D875D9"/>
    <w:rsid w:val="00D92BA8"/>
    <w:rsid w:val="00D94896"/>
    <w:rsid w:val="00D96AB4"/>
    <w:rsid w:val="00DA0354"/>
    <w:rsid w:val="00DA5381"/>
    <w:rsid w:val="00DA6B4D"/>
    <w:rsid w:val="00DB0228"/>
    <w:rsid w:val="00DB30BB"/>
    <w:rsid w:val="00DB68EC"/>
    <w:rsid w:val="00DB7728"/>
    <w:rsid w:val="00DC15AF"/>
    <w:rsid w:val="00DC3455"/>
    <w:rsid w:val="00DD042E"/>
    <w:rsid w:val="00DD066F"/>
    <w:rsid w:val="00DD353B"/>
    <w:rsid w:val="00DD4BA0"/>
    <w:rsid w:val="00DE0409"/>
    <w:rsid w:val="00DE39D5"/>
    <w:rsid w:val="00DE4EA8"/>
    <w:rsid w:val="00DF3D3D"/>
    <w:rsid w:val="00DF544C"/>
    <w:rsid w:val="00DF61D9"/>
    <w:rsid w:val="00E03509"/>
    <w:rsid w:val="00E03511"/>
    <w:rsid w:val="00E04C31"/>
    <w:rsid w:val="00E21513"/>
    <w:rsid w:val="00E2264B"/>
    <w:rsid w:val="00E25E73"/>
    <w:rsid w:val="00E2735D"/>
    <w:rsid w:val="00E35C21"/>
    <w:rsid w:val="00E434A5"/>
    <w:rsid w:val="00E443A3"/>
    <w:rsid w:val="00E56003"/>
    <w:rsid w:val="00E64551"/>
    <w:rsid w:val="00E650CB"/>
    <w:rsid w:val="00E65B54"/>
    <w:rsid w:val="00E7165C"/>
    <w:rsid w:val="00E717FB"/>
    <w:rsid w:val="00E83004"/>
    <w:rsid w:val="00E8692B"/>
    <w:rsid w:val="00E874E5"/>
    <w:rsid w:val="00E90685"/>
    <w:rsid w:val="00E90932"/>
    <w:rsid w:val="00E91018"/>
    <w:rsid w:val="00E91FD0"/>
    <w:rsid w:val="00E93559"/>
    <w:rsid w:val="00E95AEC"/>
    <w:rsid w:val="00EA1656"/>
    <w:rsid w:val="00EA6CCA"/>
    <w:rsid w:val="00EB028D"/>
    <w:rsid w:val="00EB1B7A"/>
    <w:rsid w:val="00EB7D7A"/>
    <w:rsid w:val="00EC0215"/>
    <w:rsid w:val="00ED0925"/>
    <w:rsid w:val="00ED1747"/>
    <w:rsid w:val="00ED3D2C"/>
    <w:rsid w:val="00ED77AF"/>
    <w:rsid w:val="00EE0513"/>
    <w:rsid w:val="00EE47D1"/>
    <w:rsid w:val="00EE6C76"/>
    <w:rsid w:val="00EF043D"/>
    <w:rsid w:val="00EF1538"/>
    <w:rsid w:val="00EF302E"/>
    <w:rsid w:val="00EF4D82"/>
    <w:rsid w:val="00F01A73"/>
    <w:rsid w:val="00F0437D"/>
    <w:rsid w:val="00F10E86"/>
    <w:rsid w:val="00F13127"/>
    <w:rsid w:val="00F145E4"/>
    <w:rsid w:val="00F17867"/>
    <w:rsid w:val="00F17DD2"/>
    <w:rsid w:val="00F20263"/>
    <w:rsid w:val="00F22C31"/>
    <w:rsid w:val="00F24279"/>
    <w:rsid w:val="00F27326"/>
    <w:rsid w:val="00F4221D"/>
    <w:rsid w:val="00F461AB"/>
    <w:rsid w:val="00F46A7C"/>
    <w:rsid w:val="00F55E8A"/>
    <w:rsid w:val="00F57DC7"/>
    <w:rsid w:val="00F6518E"/>
    <w:rsid w:val="00F71513"/>
    <w:rsid w:val="00F74E3A"/>
    <w:rsid w:val="00F767F4"/>
    <w:rsid w:val="00F923A5"/>
    <w:rsid w:val="00F93F5B"/>
    <w:rsid w:val="00F945DB"/>
    <w:rsid w:val="00FA3211"/>
    <w:rsid w:val="00FA7259"/>
    <w:rsid w:val="00FB4E31"/>
    <w:rsid w:val="00FB4F95"/>
    <w:rsid w:val="00FB59EA"/>
    <w:rsid w:val="00FC103A"/>
    <w:rsid w:val="00FC3237"/>
    <w:rsid w:val="00FC63F2"/>
    <w:rsid w:val="00FC78E8"/>
    <w:rsid w:val="00FD25CE"/>
    <w:rsid w:val="00FD2B03"/>
    <w:rsid w:val="00FE10C4"/>
    <w:rsid w:val="00FE1B66"/>
    <w:rsid w:val="00FE51D5"/>
    <w:rsid w:val="00FE71F6"/>
    <w:rsid w:val="00FF076D"/>
    <w:rsid w:val="00FF0990"/>
    <w:rsid w:val="00FF1BC3"/>
    <w:rsid w:val="00FF2854"/>
    <w:rsid w:val="00FF2BB1"/>
    <w:rsid w:val="00FF49C0"/>
    <w:rsid w:val="00FF4B7A"/>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3AFFD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4"/>
        <w:szCs w:val="24"/>
        <w:lang w:val="en-AU"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8"/>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8"/>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8"/>
    <w:lsdException w:name="Emphasis" w:semiHidden="1" w:uiPriority="98"/>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98"/>
    <w:lsdException w:name="Intense Quote" w:semiHidden="1" w:uiPriority="9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8"/>
    <w:lsdException w:name="Intense Emphasis" w:semiHidden="1" w:uiPriority="98"/>
    <w:lsdException w:name="Subtle Reference" w:semiHidden="1" w:uiPriority="98"/>
    <w:lsdException w:name="Intense Reference" w:semiHidden="1" w:uiPriority="98"/>
    <w:lsdException w:name="Book Title" w:semiHidden="1" w:uiPriority="98"/>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E47D1"/>
  </w:style>
  <w:style w:type="paragraph" w:styleId="Heading1">
    <w:name w:val="heading 1"/>
    <w:basedOn w:val="Normal"/>
    <w:next w:val="BTBodyText"/>
    <w:link w:val="Heading1Char"/>
    <w:uiPriority w:val="33"/>
    <w:rsid w:val="00887792"/>
    <w:pPr>
      <w:keepNext/>
      <w:keepLines/>
      <w:outlineLvl w:val="0"/>
    </w:pPr>
    <w:rPr>
      <w:rFonts w:eastAsiaTheme="majorEastAsia" w:cstheme="majorBidi"/>
      <w:b/>
      <w:caps/>
      <w:sz w:val="28"/>
      <w:szCs w:val="32"/>
    </w:rPr>
  </w:style>
  <w:style w:type="paragraph" w:styleId="Heading2">
    <w:name w:val="heading 2"/>
    <w:basedOn w:val="Normal"/>
    <w:next w:val="BTBodyText"/>
    <w:link w:val="Heading2Char"/>
    <w:uiPriority w:val="33"/>
    <w:unhideWhenUsed/>
    <w:rsid w:val="00887792"/>
    <w:pPr>
      <w:keepNext/>
      <w:keepLines/>
      <w:outlineLvl w:val="1"/>
    </w:pPr>
    <w:rPr>
      <w:rFonts w:eastAsiaTheme="majorEastAsia" w:cstheme="majorBidi"/>
      <w:b/>
      <w:smallCaps/>
      <w:sz w:val="28"/>
      <w:szCs w:val="26"/>
    </w:rPr>
  </w:style>
  <w:style w:type="paragraph" w:styleId="Heading3">
    <w:name w:val="heading 3"/>
    <w:basedOn w:val="Normal"/>
    <w:next w:val="BTBodyText"/>
    <w:link w:val="Heading3Char"/>
    <w:uiPriority w:val="33"/>
    <w:unhideWhenUsed/>
    <w:rsid w:val="00887792"/>
    <w:pPr>
      <w:keepNext/>
      <w:keepLines/>
      <w:outlineLvl w:val="2"/>
    </w:pPr>
    <w:rPr>
      <w:rFonts w:eastAsiaTheme="majorEastAsia" w:cstheme="majorBidi"/>
      <w:b/>
    </w:rPr>
  </w:style>
  <w:style w:type="paragraph" w:styleId="Heading4">
    <w:name w:val="heading 4"/>
    <w:basedOn w:val="Normal"/>
    <w:next w:val="BTBodyText"/>
    <w:link w:val="Heading4Char"/>
    <w:uiPriority w:val="33"/>
    <w:unhideWhenUsed/>
    <w:rsid w:val="00887792"/>
    <w:pPr>
      <w:keepNext/>
      <w:keepLines/>
      <w:outlineLvl w:val="3"/>
    </w:pPr>
    <w:rPr>
      <w:rFonts w:eastAsiaTheme="majorEastAsia" w:cstheme="majorBidi"/>
      <w:iCs/>
      <w:u w:val="single"/>
    </w:rPr>
  </w:style>
  <w:style w:type="paragraph" w:styleId="Heading5">
    <w:name w:val="heading 5"/>
    <w:basedOn w:val="Normal"/>
    <w:next w:val="BTBodyText"/>
    <w:link w:val="Heading5Char"/>
    <w:uiPriority w:val="33"/>
    <w:unhideWhenUsed/>
    <w:rsid w:val="00887792"/>
    <w:pPr>
      <w:keepNext/>
      <w:keepLines/>
      <w:outlineLvl w:val="4"/>
    </w:pPr>
    <w:rPr>
      <w:rFonts w:eastAsiaTheme="majorEastAsia" w:cstheme="majorBidi"/>
      <w:i/>
    </w:rPr>
  </w:style>
  <w:style w:type="paragraph" w:styleId="Heading6">
    <w:name w:val="heading 6"/>
    <w:basedOn w:val="Normal"/>
    <w:next w:val="BTBodyText"/>
    <w:link w:val="Heading6Char"/>
    <w:uiPriority w:val="33"/>
    <w:unhideWhenUsed/>
    <w:rsid w:val="00887792"/>
    <w:pPr>
      <w:keepNext/>
      <w:keepLines/>
      <w:outlineLvl w:val="5"/>
    </w:pPr>
    <w:rPr>
      <w:rFonts w:eastAsiaTheme="majorEastAsia" w:cstheme="majorBidi"/>
      <w:u w:val="single"/>
    </w:rPr>
  </w:style>
  <w:style w:type="paragraph" w:styleId="Heading7">
    <w:name w:val="heading 7"/>
    <w:basedOn w:val="Normal"/>
    <w:next w:val="BTBodyText"/>
    <w:link w:val="Heading7Char"/>
    <w:uiPriority w:val="33"/>
    <w:unhideWhenUsed/>
    <w:rsid w:val="00887792"/>
    <w:pPr>
      <w:keepNext/>
      <w:keepLines/>
      <w:outlineLvl w:val="6"/>
    </w:pPr>
    <w:rPr>
      <w:rFonts w:eastAsiaTheme="majorEastAsia" w:cstheme="majorBidi"/>
      <w:i/>
      <w:iCs/>
    </w:rPr>
  </w:style>
  <w:style w:type="paragraph" w:styleId="Heading8">
    <w:name w:val="heading 8"/>
    <w:basedOn w:val="Normal"/>
    <w:next w:val="BTBodyText"/>
    <w:link w:val="Heading8Char"/>
    <w:uiPriority w:val="33"/>
    <w:unhideWhenUsed/>
    <w:rsid w:val="00887792"/>
    <w:pPr>
      <w:keepNext/>
      <w:keepLines/>
      <w:outlineLvl w:val="7"/>
    </w:pPr>
    <w:rPr>
      <w:rFonts w:eastAsiaTheme="majorEastAsia" w:cstheme="majorBidi"/>
      <w:szCs w:val="21"/>
      <w:u w:val="single"/>
    </w:rPr>
  </w:style>
  <w:style w:type="paragraph" w:styleId="Heading9">
    <w:name w:val="heading 9"/>
    <w:basedOn w:val="Normal"/>
    <w:next w:val="BTBodyText"/>
    <w:link w:val="Heading9Char"/>
    <w:uiPriority w:val="33"/>
    <w:unhideWhenUsed/>
    <w:rsid w:val="00887792"/>
    <w:pPr>
      <w:keepNext/>
      <w:keepLines/>
      <w:outlineLvl w:val="8"/>
    </w:pPr>
    <w:rPr>
      <w:rFonts w:eastAsiaTheme="majorEastAsia" w:cstheme="majorBidi"/>
      <w: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4A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4A06"/>
    <w:rPr>
      <w:rFonts w:ascii="Segoe UI" w:hAnsi="Segoe UI" w:cs="Segoe UI"/>
      <w:sz w:val="18"/>
      <w:szCs w:val="18"/>
    </w:rPr>
  </w:style>
  <w:style w:type="paragraph" w:customStyle="1" w:styleId="BTBodyText">
    <w:name w:val="[BT] Body Text"/>
    <w:basedOn w:val="Normal"/>
    <w:link w:val="BTBodyTextChar"/>
    <w:uiPriority w:val="2"/>
    <w:qFormat/>
    <w:rsid w:val="00354A06"/>
  </w:style>
  <w:style w:type="paragraph" w:customStyle="1" w:styleId="BTIBodyTextIndented">
    <w:name w:val="[BTI] Body Text Indented"/>
    <w:basedOn w:val="BTBodyText"/>
    <w:link w:val="BTIBodyTextIndentedChar"/>
    <w:uiPriority w:val="2"/>
    <w:qFormat/>
    <w:rsid w:val="00354A06"/>
    <w:pPr>
      <w:ind w:left="851"/>
    </w:pPr>
  </w:style>
  <w:style w:type="character" w:customStyle="1" w:styleId="BTBodyTextChar">
    <w:name w:val="[BT] Body Text Char"/>
    <w:basedOn w:val="DefaultParagraphFont"/>
    <w:link w:val="BTBodyText"/>
    <w:uiPriority w:val="2"/>
    <w:rsid w:val="00AD0459"/>
  </w:style>
  <w:style w:type="paragraph" w:customStyle="1" w:styleId="BTIIBodyTextTwiceIndented">
    <w:name w:val="[BTII] Body Text Twice Indented"/>
    <w:basedOn w:val="BTBodyText"/>
    <w:link w:val="BTIIBodyTextTwiceIndentedChar"/>
    <w:uiPriority w:val="2"/>
    <w:qFormat/>
    <w:rsid w:val="00354A06"/>
    <w:pPr>
      <w:ind w:left="1702"/>
    </w:pPr>
  </w:style>
  <w:style w:type="character" w:customStyle="1" w:styleId="BTIBodyTextIndentedChar">
    <w:name w:val="[BTI] Body Text Indented Char"/>
    <w:basedOn w:val="BTBodyTextChar"/>
    <w:link w:val="BTIBodyTextIndented"/>
    <w:uiPriority w:val="2"/>
    <w:rsid w:val="00AD0459"/>
  </w:style>
  <w:style w:type="paragraph" w:styleId="ListParagraph">
    <w:name w:val="List Paragraph"/>
    <w:basedOn w:val="Normal"/>
    <w:uiPriority w:val="34"/>
    <w:rsid w:val="003A10EE"/>
    <w:pPr>
      <w:ind w:left="851"/>
    </w:pPr>
  </w:style>
  <w:style w:type="character" w:customStyle="1" w:styleId="BTIIBodyTextTwiceIndentedChar">
    <w:name w:val="[BTII] Body Text Twice Indented Char"/>
    <w:basedOn w:val="BTBodyTextChar"/>
    <w:link w:val="BTIIBodyTextTwiceIndented"/>
    <w:uiPriority w:val="2"/>
    <w:rsid w:val="00AD0459"/>
  </w:style>
  <w:style w:type="paragraph" w:styleId="NoSpacing">
    <w:name w:val="No Spacing"/>
    <w:link w:val="NoSpacingChar"/>
    <w:uiPriority w:val="1"/>
    <w:rsid w:val="001F46B7"/>
    <w:pPr>
      <w:spacing w:after="0" w:line="240" w:lineRule="auto"/>
    </w:pPr>
  </w:style>
  <w:style w:type="paragraph" w:customStyle="1" w:styleId="BTNSBodyTextNoSpacing">
    <w:name w:val="[BTNS] Body Text No Spacing"/>
    <w:basedOn w:val="NoSpacing"/>
    <w:link w:val="BTNSBodyTextNoSpacingChar"/>
    <w:uiPriority w:val="2"/>
    <w:qFormat/>
    <w:rsid w:val="001F46B7"/>
  </w:style>
  <w:style w:type="paragraph" w:customStyle="1" w:styleId="BTNSSBodyTextNoSpacingSmall">
    <w:name w:val="[BTNSS] Body Text No Spacing Small"/>
    <w:basedOn w:val="BTNSBodyTextNoSpacing"/>
    <w:link w:val="BTNSSBodyTextNoSpacingSmallChar"/>
    <w:uiPriority w:val="2"/>
    <w:rsid w:val="001F46B7"/>
    <w:rPr>
      <w:sz w:val="8"/>
      <w:szCs w:val="8"/>
    </w:rPr>
  </w:style>
  <w:style w:type="character" w:customStyle="1" w:styleId="NoSpacingChar">
    <w:name w:val="No Spacing Char"/>
    <w:basedOn w:val="DefaultParagraphFont"/>
    <w:link w:val="NoSpacing"/>
    <w:uiPriority w:val="1"/>
    <w:rsid w:val="001F46B7"/>
  </w:style>
  <w:style w:type="character" w:customStyle="1" w:styleId="BTNSBodyTextNoSpacingChar">
    <w:name w:val="[BTNS] Body Text No Spacing Char"/>
    <w:basedOn w:val="NoSpacingChar"/>
    <w:link w:val="BTNSBodyTextNoSpacing"/>
    <w:uiPriority w:val="2"/>
    <w:rsid w:val="00B10942"/>
  </w:style>
  <w:style w:type="character" w:customStyle="1" w:styleId="BTNSSBodyTextNoSpacingSmallChar">
    <w:name w:val="[BTNSS] Body Text No Spacing Small Char"/>
    <w:basedOn w:val="BTNSBodyTextNoSpacingChar"/>
    <w:link w:val="BTNSSBodyTextNoSpacingSmall"/>
    <w:uiPriority w:val="2"/>
    <w:rsid w:val="00B10942"/>
    <w:rPr>
      <w:sz w:val="8"/>
      <w:szCs w:val="8"/>
    </w:rPr>
  </w:style>
  <w:style w:type="paragraph" w:customStyle="1" w:styleId="P1-N1Paragraph1-Number1">
    <w:name w:val="[P1-N1] Paragraph 1 - Number 1"/>
    <w:basedOn w:val="BTBodyText"/>
    <w:link w:val="P1-N1Paragraph1-Number1Char"/>
    <w:uiPriority w:val="6"/>
    <w:qFormat/>
    <w:rsid w:val="006F189E"/>
    <w:pPr>
      <w:numPr>
        <w:numId w:val="1"/>
      </w:numPr>
    </w:pPr>
  </w:style>
  <w:style w:type="paragraph" w:customStyle="1" w:styleId="P2-B1Paragraph2-Bullet1">
    <w:name w:val="[P2-B1] Paragraph 2 - Bullet 1"/>
    <w:basedOn w:val="BTBodyText"/>
    <w:link w:val="P2-B1Paragraph2-Bullet1Char"/>
    <w:uiPriority w:val="6"/>
    <w:qFormat/>
    <w:rsid w:val="00C45722"/>
    <w:pPr>
      <w:numPr>
        <w:ilvl w:val="1"/>
        <w:numId w:val="1"/>
      </w:numPr>
      <w:spacing w:after="120"/>
      <w:ind w:left="1702" w:hanging="851"/>
    </w:pPr>
  </w:style>
  <w:style w:type="character" w:customStyle="1" w:styleId="P1-N1Paragraph1-Number1Char">
    <w:name w:val="[P1-N1] Paragraph 1 - Number 1 Char"/>
    <w:basedOn w:val="BTBodyTextChar"/>
    <w:link w:val="P1-N1Paragraph1-Number1"/>
    <w:uiPriority w:val="6"/>
    <w:rsid w:val="002603E6"/>
  </w:style>
  <w:style w:type="paragraph" w:customStyle="1" w:styleId="P3-B2Paragraph3-Bullet2">
    <w:name w:val="[P3-B2] Paragraph 3 - Bullet 2"/>
    <w:basedOn w:val="BTBodyText"/>
    <w:link w:val="P3-B2Paragraph3-Bullet2Char"/>
    <w:uiPriority w:val="6"/>
    <w:qFormat/>
    <w:rsid w:val="00C45722"/>
    <w:pPr>
      <w:numPr>
        <w:ilvl w:val="2"/>
        <w:numId w:val="1"/>
      </w:numPr>
      <w:spacing w:after="120"/>
    </w:pPr>
  </w:style>
  <w:style w:type="character" w:customStyle="1" w:styleId="P2-B1Paragraph2-Bullet1Char">
    <w:name w:val="[P2-B1] Paragraph 2 - Bullet 1 Char"/>
    <w:basedOn w:val="BTBodyTextChar"/>
    <w:link w:val="P2-B1Paragraph2-Bullet1"/>
    <w:uiPriority w:val="6"/>
    <w:rsid w:val="00C45722"/>
  </w:style>
  <w:style w:type="paragraph" w:customStyle="1" w:styleId="P4-B3Paragraph4-Bullet3">
    <w:name w:val="[P4-B3] Paragraph 4 - Bullet 3"/>
    <w:basedOn w:val="BTBodyText"/>
    <w:link w:val="P4-B3Paragraph4-Bullet3Char"/>
    <w:uiPriority w:val="6"/>
    <w:rsid w:val="00C45722"/>
    <w:pPr>
      <w:numPr>
        <w:ilvl w:val="3"/>
        <w:numId w:val="1"/>
      </w:numPr>
      <w:spacing w:after="120"/>
      <w:ind w:left="3403" w:hanging="851"/>
    </w:pPr>
  </w:style>
  <w:style w:type="character" w:customStyle="1" w:styleId="P3-B2Paragraph3-Bullet2Char">
    <w:name w:val="[P3-B2] Paragraph 3 - Bullet 2 Char"/>
    <w:basedOn w:val="BTBodyTextChar"/>
    <w:link w:val="P3-B2Paragraph3-Bullet2"/>
    <w:uiPriority w:val="6"/>
    <w:rsid w:val="00C45722"/>
  </w:style>
  <w:style w:type="paragraph" w:customStyle="1" w:styleId="P5-B4Paragraph5-Bullet4">
    <w:name w:val="[P5-B4] Paragraph 5 - Bullet 4"/>
    <w:basedOn w:val="BTBodyText"/>
    <w:link w:val="P5-B4Paragraph5-Bullet4Char"/>
    <w:uiPriority w:val="6"/>
    <w:rsid w:val="00C45722"/>
    <w:pPr>
      <w:numPr>
        <w:ilvl w:val="4"/>
        <w:numId w:val="1"/>
      </w:numPr>
      <w:spacing w:after="120"/>
    </w:pPr>
  </w:style>
  <w:style w:type="character" w:customStyle="1" w:styleId="P4-B3Paragraph4-Bullet3Char">
    <w:name w:val="[P4-B3] Paragraph 4 - Bullet 3 Char"/>
    <w:basedOn w:val="BTBodyTextChar"/>
    <w:link w:val="P4-B3Paragraph4-Bullet3"/>
    <w:uiPriority w:val="6"/>
    <w:rsid w:val="00C45722"/>
  </w:style>
  <w:style w:type="paragraph" w:customStyle="1" w:styleId="P6-B5Paragraph6-Bullet5">
    <w:name w:val="[P6-B5] Paragraph 6 - Bullet 5"/>
    <w:basedOn w:val="BTBodyText"/>
    <w:link w:val="P6-B5Paragraph6-Bullet5Char"/>
    <w:uiPriority w:val="6"/>
    <w:rsid w:val="00C45722"/>
    <w:pPr>
      <w:numPr>
        <w:ilvl w:val="5"/>
        <w:numId w:val="1"/>
      </w:numPr>
      <w:spacing w:after="120"/>
      <w:ind w:left="5104" w:hanging="851"/>
    </w:pPr>
  </w:style>
  <w:style w:type="character" w:customStyle="1" w:styleId="P5-B4Paragraph5-Bullet4Char">
    <w:name w:val="[P5-B4] Paragraph 5 - Bullet 4 Char"/>
    <w:basedOn w:val="BTBodyTextChar"/>
    <w:link w:val="P5-B4Paragraph5-Bullet4"/>
    <w:uiPriority w:val="6"/>
    <w:rsid w:val="00C45722"/>
  </w:style>
  <w:style w:type="paragraph" w:customStyle="1" w:styleId="P7-B6Paragraph7-Bullet6">
    <w:name w:val="[P7-B6] Paragraph 7 - Bullet 6"/>
    <w:basedOn w:val="BTBodyText"/>
    <w:link w:val="P7-B6Paragraph7-Bullet6Char"/>
    <w:uiPriority w:val="6"/>
    <w:rsid w:val="00C45722"/>
    <w:pPr>
      <w:numPr>
        <w:ilvl w:val="6"/>
        <w:numId w:val="1"/>
      </w:numPr>
      <w:spacing w:after="120"/>
    </w:pPr>
  </w:style>
  <w:style w:type="character" w:customStyle="1" w:styleId="P6-B5Paragraph6-Bullet5Char">
    <w:name w:val="[P6-B5] Paragraph 6 - Bullet 5 Char"/>
    <w:basedOn w:val="BTBodyTextChar"/>
    <w:link w:val="P6-B5Paragraph6-Bullet5"/>
    <w:uiPriority w:val="6"/>
    <w:rsid w:val="00C45722"/>
  </w:style>
  <w:style w:type="paragraph" w:customStyle="1" w:styleId="P8-B7Paragraph8-Bullet7">
    <w:name w:val="[P8-B7] Paragraph 8 - Bullet 7"/>
    <w:basedOn w:val="BTBodyText"/>
    <w:link w:val="P8-B7Paragraph8-Bullet7Char"/>
    <w:uiPriority w:val="6"/>
    <w:rsid w:val="00C45722"/>
    <w:pPr>
      <w:numPr>
        <w:ilvl w:val="7"/>
        <w:numId w:val="1"/>
      </w:numPr>
      <w:spacing w:after="120"/>
      <w:ind w:left="6805" w:hanging="851"/>
    </w:pPr>
  </w:style>
  <w:style w:type="character" w:customStyle="1" w:styleId="P7-B6Paragraph7-Bullet6Char">
    <w:name w:val="[P7-B6] Paragraph 7 - Bullet 6 Char"/>
    <w:basedOn w:val="BTBodyTextChar"/>
    <w:link w:val="P7-B6Paragraph7-Bullet6"/>
    <w:uiPriority w:val="6"/>
    <w:semiHidden/>
    <w:rsid w:val="00C45722"/>
  </w:style>
  <w:style w:type="paragraph" w:customStyle="1" w:styleId="P9-B8Paragraph9-Bullet8">
    <w:name w:val="[P9-B8] Paragraph 9 - Bullet 8"/>
    <w:basedOn w:val="BTBodyText"/>
    <w:link w:val="P9-B8Paragraph9-Bullet8Char"/>
    <w:uiPriority w:val="6"/>
    <w:rsid w:val="00C45722"/>
    <w:pPr>
      <w:numPr>
        <w:ilvl w:val="8"/>
        <w:numId w:val="1"/>
      </w:numPr>
      <w:spacing w:after="120"/>
    </w:pPr>
  </w:style>
  <w:style w:type="character" w:customStyle="1" w:styleId="P8-B7Paragraph8-Bullet7Char">
    <w:name w:val="[P8-B7] Paragraph 8 - Bullet 7 Char"/>
    <w:basedOn w:val="BTBodyTextChar"/>
    <w:link w:val="P8-B7Paragraph8-Bullet7"/>
    <w:uiPriority w:val="6"/>
    <w:semiHidden/>
    <w:rsid w:val="00C45722"/>
  </w:style>
  <w:style w:type="paragraph" w:customStyle="1" w:styleId="QQuotation">
    <w:name w:val="[Q] Quotation"/>
    <w:basedOn w:val="BTIBodyTextIndented"/>
    <w:next w:val="P1-N1Paragraph1-Number1"/>
    <w:link w:val="QQuotationChar"/>
    <w:uiPriority w:val="8"/>
    <w:qFormat/>
    <w:rsid w:val="00EF4D82"/>
    <w:pPr>
      <w:spacing w:after="240" w:line="276" w:lineRule="auto"/>
    </w:pPr>
    <w:rPr>
      <w:sz w:val="22"/>
    </w:rPr>
  </w:style>
  <w:style w:type="character" w:customStyle="1" w:styleId="P9-B8Paragraph9-Bullet8Char">
    <w:name w:val="[P9-B8] Paragraph 9 - Bullet 8 Char"/>
    <w:basedOn w:val="BTBodyTextChar"/>
    <w:link w:val="P9-B8Paragraph9-Bullet8"/>
    <w:uiPriority w:val="6"/>
    <w:semiHidden/>
    <w:rsid w:val="00C45722"/>
  </w:style>
  <w:style w:type="character" w:customStyle="1" w:styleId="Heading1Char">
    <w:name w:val="Heading 1 Char"/>
    <w:basedOn w:val="DefaultParagraphFont"/>
    <w:link w:val="Heading1"/>
    <w:uiPriority w:val="33"/>
    <w:rsid w:val="002603E6"/>
    <w:rPr>
      <w:rFonts w:eastAsiaTheme="majorEastAsia" w:cstheme="majorBidi"/>
      <w:b/>
      <w:caps/>
      <w:sz w:val="28"/>
      <w:szCs w:val="32"/>
    </w:rPr>
  </w:style>
  <w:style w:type="character" w:customStyle="1" w:styleId="QQuotationChar">
    <w:name w:val="[Q] Quotation Char"/>
    <w:basedOn w:val="BTIBodyTextIndentedChar"/>
    <w:link w:val="QQuotation"/>
    <w:uiPriority w:val="8"/>
    <w:rsid w:val="00EF4D82"/>
    <w:rPr>
      <w:sz w:val="22"/>
    </w:rPr>
  </w:style>
  <w:style w:type="character" w:customStyle="1" w:styleId="Heading2Char">
    <w:name w:val="Heading 2 Char"/>
    <w:basedOn w:val="DefaultParagraphFont"/>
    <w:link w:val="Heading2"/>
    <w:uiPriority w:val="33"/>
    <w:rsid w:val="002603E6"/>
    <w:rPr>
      <w:rFonts w:eastAsiaTheme="majorEastAsia" w:cstheme="majorBidi"/>
      <w:b/>
      <w:smallCaps/>
      <w:sz w:val="28"/>
      <w:szCs w:val="26"/>
    </w:rPr>
  </w:style>
  <w:style w:type="character" w:customStyle="1" w:styleId="Heading3Char">
    <w:name w:val="Heading 3 Char"/>
    <w:basedOn w:val="DefaultParagraphFont"/>
    <w:link w:val="Heading3"/>
    <w:uiPriority w:val="33"/>
    <w:rsid w:val="002603E6"/>
    <w:rPr>
      <w:rFonts w:eastAsiaTheme="majorEastAsia" w:cstheme="majorBidi"/>
      <w:b/>
    </w:rPr>
  </w:style>
  <w:style w:type="character" w:customStyle="1" w:styleId="Heading4Char">
    <w:name w:val="Heading 4 Char"/>
    <w:basedOn w:val="DefaultParagraphFont"/>
    <w:link w:val="Heading4"/>
    <w:uiPriority w:val="33"/>
    <w:rsid w:val="002603E6"/>
    <w:rPr>
      <w:rFonts w:eastAsiaTheme="majorEastAsia" w:cstheme="majorBidi"/>
      <w:iCs/>
      <w:u w:val="single"/>
    </w:rPr>
  </w:style>
  <w:style w:type="character" w:customStyle="1" w:styleId="Heading5Char">
    <w:name w:val="Heading 5 Char"/>
    <w:basedOn w:val="DefaultParagraphFont"/>
    <w:link w:val="Heading5"/>
    <w:uiPriority w:val="33"/>
    <w:rsid w:val="002603E6"/>
    <w:rPr>
      <w:rFonts w:eastAsiaTheme="majorEastAsia" w:cstheme="majorBidi"/>
      <w:i/>
    </w:rPr>
  </w:style>
  <w:style w:type="character" w:customStyle="1" w:styleId="Heading6Char">
    <w:name w:val="Heading 6 Char"/>
    <w:basedOn w:val="DefaultParagraphFont"/>
    <w:link w:val="Heading6"/>
    <w:uiPriority w:val="33"/>
    <w:rsid w:val="002603E6"/>
    <w:rPr>
      <w:rFonts w:eastAsiaTheme="majorEastAsia" w:cstheme="majorBidi"/>
      <w:u w:val="single"/>
    </w:rPr>
  </w:style>
  <w:style w:type="character" w:customStyle="1" w:styleId="Heading7Char">
    <w:name w:val="Heading 7 Char"/>
    <w:basedOn w:val="DefaultParagraphFont"/>
    <w:link w:val="Heading7"/>
    <w:uiPriority w:val="33"/>
    <w:rsid w:val="002603E6"/>
    <w:rPr>
      <w:rFonts w:eastAsiaTheme="majorEastAsia" w:cstheme="majorBidi"/>
      <w:i/>
      <w:iCs/>
    </w:rPr>
  </w:style>
  <w:style w:type="character" w:customStyle="1" w:styleId="Heading8Char">
    <w:name w:val="Heading 8 Char"/>
    <w:basedOn w:val="DefaultParagraphFont"/>
    <w:link w:val="Heading8"/>
    <w:uiPriority w:val="33"/>
    <w:rsid w:val="002603E6"/>
    <w:rPr>
      <w:rFonts w:eastAsiaTheme="majorEastAsia" w:cstheme="majorBidi"/>
      <w:szCs w:val="21"/>
      <w:u w:val="single"/>
    </w:rPr>
  </w:style>
  <w:style w:type="character" w:customStyle="1" w:styleId="Heading9Char">
    <w:name w:val="Heading 9 Char"/>
    <w:basedOn w:val="DefaultParagraphFont"/>
    <w:link w:val="Heading9"/>
    <w:uiPriority w:val="33"/>
    <w:rsid w:val="002603E6"/>
    <w:rPr>
      <w:rFonts w:eastAsiaTheme="majorEastAsia" w:cstheme="majorBidi"/>
      <w:i/>
      <w:iCs/>
      <w:szCs w:val="21"/>
    </w:rPr>
  </w:style>
  <w:style w:type="paragraph" w:customStyle="1" w:styleId="HL1HeadingLevel1">
    <w:name w:val="[HL1] Heading Level 1"/>
    <w:basedOn w:val="Heading1"/>
    <w:next w:val="P1-N1Paragraph1-Number1"/>
    <w:link w:val="HL1HeadingLevel1Char"/>
    <w:uiPriority w:val="4"/>
    <w:qFormat/>
    <w:rsid w:val="00B9740F"/>
    <w:pPr>
      <w:numPr>
        <w:numId w:val="2"/>
      </w:numPr>
    </w:pPr>
  </w:style>
  <w:style w:type="paragraph" w:customStyle="1" w:styleId="HL2HeadingLevel2">
    <w:name w:val="[HL2] Heading Level 2"/>
    <w:basedOn w:val="Heading2"/>
    <w:next w:val="P1-N1Paragraph1-Number1"/>
    <w:link w:val="HL2HeadingLevel2Char"/>
    <w:uiPriority w:val="4"/>
    <w:qFormat/>
    <w:rsid w:val="00B9740F"/>
    <w:pPr>
      <w:numPr>
        <w:ilvl w:val="1"/>
        <w:numId w:val="2"/>
      </w:numPr>
    </w:pPr>
  </w:style>
  <w:style w:type="character" w:customStyle="1" w:styleId="HL1HeadingLevel1Char">
    <w:name w:val="[HL1] Heading Level 1 Char"/>
    <w:basedOn w:val="BTBodyTextChar"/>
    <w:link w:val="HL1HeadingLevel1"/>
    <w:uiPriority w:val="4"/>
    <w:rsid w:val="002603E6"/>
    <w:rPr>
      <w:rFonts w:eastAsiaTheme="majorEastAsia" w:cstheme="majorBidi"/>
      <w:b/>
      <w:caps/>
      <w:sz w:val="28"/>
      <w:szCs w:val="32"/>
    </w:rPr>
  </w:style>
  <w:style w:type="paragraph" w:customStyle="1" w:styleId="HL3HeadingLevel3">
    <w:name w:val="[HL3] Heading Level 3"/>
    <w:basedOn w:val="Heading3"/>
    <w:next w:val="P1-N1Paragraph1-Number1"/>
    <w:link w:val="HL3HeadingLevel3Char"/>
    <w:uiPriority w:val="4"/>
    <w:qFormat/>
    <w:rsid w:val="00B9740F"/>
    <w:pPr>
      <w:numPr>
        <w:ilvl w:val="2"/>
        <w:numId w:val="2"/>
      </w:numPr>
    </w:pPr>
  </w:style>
  <w:style w:type="character" w:customStyle="1" w:styleId="HL2HeadingLevel2Char">
    <w:name w:val="[HL2] Heading Level 2 Char"/>
    <w:basedOn w:val="BTBodyTextChar"/>
    <w:link w:val="HL2HeadingLevel2"/>
    <w:uiPriority w:val="4"/>
    <w:rsid w:val="002603E6"/>
    <w:rPr>
      <w:rFonts w:eastAsiaTheme="majorEastAsia" w:cstheme="majorBidi"/>
      <w:b/>
      <w:smallCaps/>
      <w:sz w:val="28"/>
      <w:szCs w:val="26"/>
    </w:rPr>
  </w:style>
  <w:style w:type="paragraph" w:customStyle="1" w:styleId="HL4HeadingLevel4">
    <w:name w:val="[HL4] Heading Level 4"/>
    <w:basedOn w:val="Heading4"/>
    <w:next w:val="P1-N1Paragraph1-Number1"/>
    <w:link w:val="HL4HeadingLevel4Char"/>
    <w:uiPriority w:val="4"/>
    <w:qFormat/>
    <w:rsid w:val="00B9740F"/>
    <w:pPr>
      <w:numPr>
        <w:ilvl w:val="3"/>
        <w:numId w:val="2"/>
      </w:numPr>
    </w:pPr>
  </w:style>
  <w:style w:type="character" w:customStyle="1" w:styleId="HL3HeadingLevel3Char">
    <w:name w:val="[HL3] Heading Level 3 Char"/>
    <w:basedOn w:val="BTBodyTextChar"/>
    <w:link w:val="HL3HeadingLevel3"/>
    <w:uiPriority w:val="4"/>
    <w:rsid w:val="002603E6"/>
    <w:rPr>
      <w:rFonts w:eastAsiaTheme="majorEastAsia" w:cstheme="majorBidi"/>
      <w:b/>
    </w:rPr>
  </w:style>
  <w:style w:type="paragraph" w:customStyle="1" w:styleId="HL5HeadingLevel5">
    <w:name w:val="[HL5] Heading Level 5"/>
    <w:basedOn w:val="Heading5"/>
    <w:next w:val="P1-N1Paragraph1-Number1"/>
    <w:link w:val="HL5HeadingLevel5Char"/>
    <w:uiPriority w:val="4"/>
    <w:qFormat/>
    <w:rsid w:val="00B9740F"/>
    <w:pPr>
      <w:numPr>
        <w:ilvl w:val="4"/>
        <w:numId w:val="2"/>
      </w:numPr>
    </w:pPr>
  </w:style>
  <w:style w:type="character" w:customStyle="1" w:styleId="HL4HeadingLevel4Char">
    <w:name w:val="[HL4] Heading Level 4 Char"/>
    <w:basedOn w:val="BTBodyTextChar"/>
    <w:link w:val="HL4HeadingLevel4"/>
    <w:uiPriority w:val="4"/>
    <w:rsid w:val="002603E6"/>
    <w:rPr>
      <w:rFonts w:eastAsiaTheme="majorEastAsia" w:cstheme="majorBidi"/>
      <w:iCs/>
      <w:u w:val="single"/>
    </w:rPr>
  </w:style>
  <w:style w:type="paragraph" w:customStyle="1" w:styleId="HL6HeadingLevel6">
    <w:name w:val="[HL6] Heading Level 6"/>
    <w:basedOn w:val="Heading6"/>
    <w:next w:val="P1-N1Paragraph1-Number1"/>
    <w:link w:val="HL6HeadingLevel6Char"/>
    <w:uiPriority w:val="4"/>
    <w:semiHidden/>
    <w:rsid w:val="00B9740F"/>
    <w:pPr>
      <w:numPr>
        <w:ilvl w:val="5"/>
        <w:numId w:val="2"/>
      </w:numPr>
    </w:pPr>
  </w:style>
  <w:style w:type="character" w:customStyle="1" w:styleId="HL5HeadingLevel5Char">
    <w:name w:val="[HL5] Heading Level 5 Char"/>
    <w:basedOn w:val="BTBodyTextChar"/>
    <w:link w:val="HL5HeadingLevel5"/>
    <w:uiPriority w:val="4"/>
    <w:rsid w:val="002603E6"/>
    <w:rPr>
      <w:rFonts w:eastAsiaTheme="majorEastAsia" w:cstheme="majorBidi"/>
      <w:i/>
    </w:rPr>
  </w:style>
  <w:style w:type="paragraph" w:customStyle="1" w:styleId="HL7HeadingLevel7">
    <w:name w:val="[HL7] Heading Level 7"/>
    <w:basedOn w:val="Heading7"/>
    <w:next w:val="P1-N1Paragraph1-Number1"/>
    <w:link w:val="HL7HeadingLevel7Char"/>
    <w:uiPriority w:val="4"/>
    <w:semiHidden/>
    <w:rsid w:val="00B9740F"/>
    <w:pPr>
      <w:numPr>
        <w:ilvl w:val="6"/>
        <w:numId w:val="2"/>
      </w:numPr>
    </w:pPr>
  </w:style>
  <w:style w:type="character" w:customStyle="1" w:styleId="HL6HeadingLevel6Char">
    <w:name w:val="[HL6] Heading Level 6 Char"/>
    <w:basedOn w:val="BTBodyTextChar"/>
    <w:link w:val="HL6HeadingLevel6"/>
    <w:uiPriority w:val="4"/>
    <w:semiHidden/>
    <w:rsid w:val="00C74121"/>
    <w:rPr>
      <w:rFonts w:eastAsiaTheme="majorEastAsia" w:cstheme="majorBidi"/>
      <w:u w:val="single"/>
    </w:rPr>
  </w:style>
  <w:style w:type="paragraph" w:customStyle="1" w:styleId="HL8HeadingLevel8">
    <w:name w:val="[HL8] Heading Level 8"/>
    <w:basedOn w:val="Heading8"/>
    <w:next w:val="P1-N1Paragraph1-Number1"/>
    <w:link w:val="HL8HeadingLevel8Char"/>
    <w:uiPriority w:val="4"/>
    <w:semiHidden/>
    <w:rsid w:val="00B9740F"/>
    <w:pPr>
      <w:numPr>
        <w:ilvl w:val="7"/>
        <w:numId w:val="2"/>
      </w:numPr>
    </w:pPr>
  </w:style>
  <w:style w:type="character" w:customStyle="1" w:styleId="HL7HeadingLevel7Char">
    <w:name w:val="[HL7] Heading Level 7 Char"/>
    <w:basedOn w:val="BTBodyTextChar"/>
    <w:link w:val="HL7HeadingLevel7"/>
    <w:uiPriority w:val="4"/>
    <w:semiHidden/>
    <w:rsid w:val="00C74121"/>
    <w:rPr>
      <w:rFonts w:eastAsiaTheme="majorEastAsia" w:cstheme="majorBidi"/>
      <w:i/>
      <w:iCs/>
    </w:rPr>
  </w:style>
  <w:style w:type="paragraph" w:customStyle="1" w:styleId="HL9HeadingLevel9">
    <w:name w:val="[HL9] Heading Level 9"/>
    <w:basedOn w:val="Heading9"/>
    <w:next w:val="P1-N1Paragraph1-Number1"/>
    <w:link w:val="HL9HeadingLevel9Char"/>
    <w:uiPriority w:val="4"/>
    <w:semiHidden/>
    <w:rsid w:val="00B9740F"/>
    <w:pPr>
      <w:numPr>
        <w:ilvl w:val="8"/>
        <w:numId w:val="2"/>
      </w:numPr>
    </w:pPr>
  </w:style>
  <w:style w:type="character" w:customStyle="1" w:styleId="HL8HeadingLevel8Char">
    <w:name w:val="[HL8] Heading Level 8 Char"/>
    <w:basedOn w:val="BTBodyTextChar"/>
    <w:link w:val="HL8HeadingLevel8"/>
    <w:uiPriority w:val="4"/>
    <w:semiHidden/>
    <w:rsid w:val="00C74121"/>
    <w:rPr>
      <w:rFonts w:eastAsiaTheme="majorEastAsia" w:cstheme="majorBidi"/>
      <w:szCs w:val="21"/>
      <w:u w:val="single"/>
    </w:rPr>
  </w:style>
  <w:style w:type="paragraph" w:customStyle="1" w:styleId="SHSectionHeading">
    <w:name w:val="[SH] Section Heading"/>
    <w:basedOn w:val="Heading1"/>
    <w:next w:val="BTBodyText"/>
    <w:link w:val="SHSectionHeadingChar"/>
    <w:uiPriority w:val="12"/>
    <w:qFormat/>
    <w:rsid w:val="002F433F"/>
    <w:pPr>
      <w:spacing w:before="240" w:after="0"/>
      <w:jc w:val="center"/>
    </w:pPr>
    <w:rPr>
      <w:sz w:val="24"/>
    </w:rPr>
  </w:style>
  <w:style w:type="character" w:customStyle="1" w:styleId="HL9HeadingLevel9Char">
    <w:name w:val="[HL9] Heading Level 9 Char"/>
    <w:basedOn w:val="BTBodyTextChar"/>
    <w:link w:val="HL9HeadingLevel9"/>
    <w:uiPriority w:val="4"/>
    <w:semiHidden/>
    <w:rsid w:val="00C74121"/>
    <w:rPr>
      <w:rFonts w:eastAsiaTheme="majorEastAsia" w:cstheme="majorBidi"/>
      <w:i/>
      <w:iCs/>
      <w:szCs w:val="21"/>
    </w:rPr>
  </w:style>
  <w:style w:type="paragraph" w:styleId="TOCHeading">
    <w:name w:val="TOC Heading"/>
    <w:basedOn w:val="Normal"/>
    <w:next w:val="Normal"/>
    <w:uiPriority w:val="39"/>
    <w:unhideWhenUsed/>
    <w:rsid w:val="00AC4A0D"/>
    <w:pPr>
      <w:spacing w:after="0" w:line="240" w:lineRule="auto"/>
      <w:jc w:val="center"/>
    </w:pPr>
    <w:rPr>
      <w:b/>
      <w:caps/>
      <w:lang w:val="en-US"/>
    </w:rPr>
  </w:style>
  <w:style w:type="character" w:customStyle="1" w:styleId="SHSectionHeadingChar">
    <w:name w:val="[SH] Section Heading Char"/>
    <w:basedOn w:val="Heading1Char"/>
    <w:link w:val="SHSectionHeading"/>
    <w:uiPriority w:val="12"/>
    <w:rsid w:val="002F433F"/>
    <w:rPr>
      <w:rFonts w:eastAsiaTheme="majorEastAsia" w:cstheme="majorBidi"/>
      <w:b/>
      <w:caps/>
      <w:sz w:val="28"/>
      <w:szCs w:val="32"/>
    </w:rPr>
  </w:style>
  <w:style w:type="paragraph" w:styleId="TOC1">
    <w:name w:val="toc 1"/>
    <w:basedOn w:val="Normal"/>
    <w:next w:val="Normal"/>
    <w:autoRedefine/>
    <w:uiPriority w:val="39"/>
    <w:unhideWhenUsed/>
    <w:rsid w:val="0062041F"/>
    <w:pPr>
      <w:tabs>
        <w:tab w:val="left" w:pos="851"/>
        <w:tab w:val="right" w:leader="dot" w:pos="9060"/>
      </w:tabs>
      <w:spacing w:before="180" w:after="100" w:line="240" w:lineRule="auto"/>
      <w:ind w:left="851" w:hanging="851"/>
    </w:pPr>
    <w:rPr>
      <w:b/>
      <w:caps/>
    </w:rPr>
  </w:style>
  <w:style w:type="paragraph" w:styleId="TOC2">
    <w:name w:val="toc 2"/>
    <w:basedOn w:val="Normal"/>
    <w:next w:val="Normal"/>
    <w:autoRedefine/>
    <w:uiPriority w:val="39"/>
    <w:unhideWhenUsed/>
    <w:rsid w:val="00380795"/>
    <w:pPr>
      <w:tabs>
        <w:tab w:val="left" w:pos="1276"/>
        <w:tab w:val="right" w:leader="dot" w:pos="9060"/>
      </w:tabs>
      <w:spacing w:before="120" w:after="100" w:line="240" w:lineRule="auto"/>
      <w:ind w:left="1276" w:hanging="851"/>
    </w:pPr>
    <w:rPr>
      <w:b/>
      <w:smallCaps/>
    </w:rPr>
  </w:style>
  <w:style w:type="paragraph" w:styleId="TOC3">
    <w:name w:val="toc 3"/>
    <w:basedOn w:val="Normal"/>
    <w:next w:val="Normal"/>
    <w:autoRedefine/>
    <w:uiPriority w:val="39"/>
    <w:unhideWhenUsed/>
    <w:rsid w:val="00380795"/>
    <w:pPr>
      <w:tabs>
        <w:tab w:val="left" w:pos="1701"/>
        <w:tab w:val="right" w:leader="dot" w:pos="9060"/>
      </w:tabs>
      <w:spacing w:before="120" w:after="100" w:line="240" w:lineRule="auto"/>
      <w:ind w:left="1702" w:hanging="851"/>
    </w:pPr>
    <w:rPr>
      <w:b/>
    </w:rPr>
  </w:style>
  <w:style w:type="character" w:styleId="Hyperlink">
    <w:name w:val="Hyperlink"/>
    <w:basedOn w:val="DefaultParagraphFont"/>
    <w:uiPriority w:val="99"/>
    <w:unhideWhenUsed/>
    <w:rsid w:val="00D47F18"/>
    <w:rPr>
      <w:color w:val="0563C1" w:themeColor="hyperlink"/>
      <w:u w:val="single"/>
    </w:rPr>
  </w:style>
  <w:style w:type="paragraph" w:styleId="TOC4">
    <w:name w:val="toc 4"/>
    <w:basedOn w:val="Normal"/>
    <w:next w:val="Normal"/>
    <w:autoRedefine/>
    <w:uiPriority w:val="39"/>
    <w:unhideWhenUsed/>
    <w:rsid w:val="00380795"/>
    <w:pPr>
      <w:tabs>
        <w:tab w:val="left" w:pos="2127"/>
        <w:tab w:val="right" w:leader="dot" w:pos="9060"/>
      </w:tabs>
      <w:spacing w:before="120" w:after="100" w:line="240" w:lineRule="auto"/>
      <w:ind w:left="2127" w:hanging="851"/>
    </w:pPr>
    <w:rPr>
      <w:u w:val="single"/>
    </w:rPr>
  </w:style>
  <w:style w:type="paragraph" w:styleId="TOC5">
    <w:name w:val="toc 5"/>
    <w:basedOn w:val="Normal"/>
    <w:next w:val="Normal"/>
    <w:autoRedefine/>
    <w:uiPriority w:val="39"/>
    <w:unhideWhenUsed/>
    <w:rsid w:val="00380795"/>
    <w:pPr>
      <w:tabs>
        <w:tab w:val="left" w:pos="2552"/>
        <w:tab w:val="right" w:leader="dot" w:pos="9060"/>
      </w:tabs>
      <w:spacing w:before="120" w:after="100" w:line="240" w:lineRule="auto"/>
      <w:ind w:left="2552" w:hanging="851"/>
    </w:pPr>
    <w:rPr>
      <w:i/>
    </w:rPr>
  </w:style>
  <w:style w:type="paragraph" w:styleId="TOC6">
    <w:name w:val="toc 6"/>
    <w:basedOn w:val="Normal"/>
    <w:next w:val="Normal"/>
    <w:autoRedefine/>
    <w:uiPriority w:val="39"/>
    <w:unhideWhenUsed/>
    <w:rsid w:val="00380795"/>
    <w:pPr>
      <w:tabs>
        <w:tab w:val="left" w:pos="2977"/>
        <w:tab w:val="right" w:leader="dot" w:pos="9060"/>
      </w:tabs>
      <w:spacing w:before="120" w:after="100" w:line="240" w:lineRule="auto"/>
      <w:ind w:left="2977" w:hanging="851"/>
    </w:pPr>
  </w:style>
  <w:style w:type="paragraph" w:styleId="TOC7">
    <w:name w:val="toc 7"/>
    <w:basedOn w:val="Normal"/>
    <w:next w:val="Normal"/>
    <w:autoRedefine/>
    <w:uiPriority w:val="39"/>
    <w:unhideWhenUsed/>
    <w:rsid w:val="00380795"/>
    <w:pPr>
      <w:spacing w:before="120" w:after="100" w:line="240" w:lineRule="auto"/>
      <w:ind w:left="3403" w:hanging="851"/>
    </w:pPr>
  </w:style>
  <w:style w:type="paragraph" w:styleId="TOC8">
    <w:name w:val="toc 8"/>
    <w:basedOn w:val="Normal"/>
    <w:next w:val="Normal"/>
    <w:autoRedefine/>
    <w:uiPriority w:val="39"/>
    <w:unhideWhenUsed/>
    <w:rsid w:val="00380795"/>
    <w:pPr>
      <w:tabs>
        <w:tab w:val="left" w:pos="1134"/>
        <w:tab w:val="right" w:leader="dot" w:pos="9060"/>
      </w:tabs>
      <w:spacing w:before="120" w:after="100" w:line="240" w:lineRule="auto"/>
      <w:ind w:left="1134" w:hanging="1134"/>
    </w:pPr>
  </w:style>
  <w:style w:type="paragraph" w:styleId="TOC9">
    <w:name w:val="toc 9"/>
    <w:basedOn w:val="Normal"/>
    <w:next w:val="Normal"/>
    <w:autoRedefine/>
    <w:uiPriority w:val="39"/>
    <w:unhideWhenUsed/>
    <w:rsid w:val="00380795"/>
    <w:pPr>
      <w:tabs>
        <w:tab w:val="left" w:pos="1134"/>
        <w:tab w:val="right" w:leader="dot" w:pos="9060"/>
      </w:tabs>
      <w:spacing w:before="120" w:after="100" w:line="240" w:lineRule="auto"/>
      <w:ind w:left="1134" w:hanging="1134"/>
    </w:pPr>
  </w:style>
  <w:style w:type="paragraph" w:customStyle="1" w:styleId="FCFigureCaption">
    <w:name w:val="[FC] Figure Caption"/>
    <w:basedOn w:val="BTBodyText"/>
    <w:next w:val="BTBodyText"/>
    <w:link w:val="FCFigureCaptionChar"/>
    <w:uiPriority w:val="10"/>
    <w:qFormat/>
    <w:rsid w:val="00EE47D1"/>
    <w:pPr>
      <w:keepNext/>
      <w:numPr>
        <w:numId w:val="4"/>
      </w:numPr>
      <w:spacing w:before="240" w:after="0"/>
      <w:jc w:val="center"/>
      <w:outlineLvl w:val="7"/>
    </w:pPr>
    <w:rPr>
      <w:b/>
    </w:rPr>
  </w:style>
  <w:style w:type="character" w:customStyle="1" w:styleId="FCFigureCaptionChar">
    <w:name w:val="[FC] Figure Caption Char"/>
    <w:basedOn w:val="BTBodyTextChar"/>
    <w:link w:val="FCFigureCaption"/>
    <w:uiPriority w:val="10"/>
    <w:rsid w:val="00EE47D1"/>
    <w:rPr>
      <w:b/>
    </w:rPr>
  </w:style>
  <w:style w:type="paragraph" w:customStyle="1" w:styleId="TCTableCaption">
    <w:name w:val="[TC] Table Caption"/>
    <w:basedOn w:val="FCFigureCaption"/>
    <w:next w:val="BTBodyText"/>
    <w:link w:val="TCTableCaptionChar"/>
    <w:uiPriority w:val="10"/>
    <w:qFormat/>
    <w:rsid w:val="00ED1747"/>
    <w:pPr>
      <w:numPr>
        <w:numId w:val="5"/>
      </w:numPr>
      <w:outlineLvl w:val="8"/>
    </w:pPr>
  </w:style>
  <w:style w:type="table" w:styleId="TableGrid">
    <w:name w:val="Table Grid"/>
    <w:basedOn w:val="TableNormal"/>
    <w:uiPriority w:val="39"/>
    <w:rsid w:val="006F1C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CTableCaptionChar">
    <w:name w:val="[TC] Table Caption Char"/>
    <w:basedOn w:val="BTBodyTextChar"/>
    <w:link w:val="TCTableCaption"/>
    <w:uiPriority w:val="10"/>
    <w:rsid w:val="00093175"/>
    <w:rPr>
      <w:b/>
    </w:rPr>
  </w:style>
  <w:style w:type="paragraph" w:customStyle="1" w:styleId="TTTableText">
    <w:name w:val="[TT] Table Text"/>
    <w:basedOn w:val="BTBodyText"/>
    <w:link w:val="TTTableTextChar"/>
    <w:uiPriority w:val="19"/>
    <w:qFormat/>
    <w:rsid w:val="008E0031"/>
    <w:pPr>
      <w:spacing w:before="40" w:after="40" w:line="240" w:lineRule="auto"/>
      <w:jc w:val="left"/>
    </w:pPr>
  </w:style>
  <w:style w:type="paragraph" w:customStyle="1" w:styleId="THTableHeading">
    <w:name w:val="[TH] Table Heading"/>
    <w:basedOn w:val="TTTableText"/>
    <w:link w:val="THTableHeadingChar"/>
    <w:uiPriority w:val="19"/>
    <w:qFormat/>
    <w:rsid w:val="008E0031"/>
    <w:rPr>
      <w:b/>
    </w:rPr>
  </w:style>
  <w:style w:type="character" w:customStyle="1" w:styleId="TTTableTextChar">
    <w:name w:val="[TT] Table Text Char"/>
    <w:basedOn w:val="BTBodyTextChar"/>
    <w:link w:val="TTTableText"/>
    <w:uiPriority w:val="19"/>
    <w:rsid w:val="00093175"/>
  </w:style>
  <w:style w:type="paragraph" w:customStyle="1" w:styleId="AHL1AnnexHeadingLevel1">
    <w:name w:val="[AHL1] Annex Heading Level 1"/>
    <w:basedOn w:val="Heading1"/>
    <w:next w:val="P1-N1Paragraph1-Number1"/>
    <w:link w:val="AHL1AnnexHeadingLevel1Char"/>
    <w:uiPriority w:val="15"/>
    <w:qFormat/>
    <w:rsid w:val="006C1D90"/>
    <w:pPr>
      <w:numPr>
        <w:numId w:val="6"/>
      </w:numPr>
    </w:pPr>
    <w:rPr>
      <w:caps w:val="0"/>
      <w:sz w:val="24"/>
    </w:rPr>
  </w:style>
  <w:style w:type="character" w:customStyle="1" w:styleId="THTableHeadingChar">
    <w:name w:val="[TH] Table Heading Char"/>
    <w:basedOn w:val="TTTableTextChar"/>
    <w:link w:val="THTableHeading"/>
    <w:uiPriority w:val="19"/>
    <w:rsid w:val="00093175"/>
    <w:rPr>
      <w:b/>
    </w:rPr>
  </w:style>
  <w:style w:type="paragraph" w:customStyle="1" w:styleId="AHL2AnnexHeadingLevel2">
    <w:name w:val="[AHL2] Annex Heading Level 2"/>
    <w:basedOn w:val="Heading2"/>
    <w:next w:val="P1-N1Paragraph1-Number1"/>
    <w:link w:val="AHL2AnnexHeadingLevel2Char"/>
    <w:uiPriority w:val="15"/>
    <w:qFormat/>
    <w:rsid w:val="006C1D90"/>
    <w:pPr>
      <w:numPr>
        <w:ilvl w:val="1"/>
        <w:numId w:val="6"/>
      </w:numPr>
    </w:pPr>
    <w:rPr>
      <w:sz w:val="24"/>
    </w:rPr>
  </w:style>
  <w:style w:type="character" w:customStyle="1" w:styleId="AHL1AnnexHeadingLevel1Char">
    <w:name w:val="[AHL1] Annex Heading Level 1 Char"/>
    <w:basedOn w:val="BTBodyTextChar"/>
    <w:link w:val="AHL1AnnexHeadingLevel1"/>
    <w:uiPriority w:val="15"/>
    <w:rsid w:val="00D456CA"/>
    <w:rPr>
      <w:rFonts w:eastAsiaTheme="majorEastAsia" w:cstheme="majorBidi"/>
      <w:b/>
      <w:szCs w:val="32"/>
    </w:rPr>
  </w:style>
  <w:style w:type="paragraph" w:customStyle="1" w:styleId="AHL3AnnexHeadingLevel3">
    <w:name w:val="[AHL3] Annex Heading Level 3"/>
    <w:basedOn w:val="Heading3"/>
    <w:next w:val="P1-N1Paragraph1-Number1"/>
    <w:link w:val="AHL3AnnexHeadingLevel3Char"/>
    <w:uiPriority w:val="15"/>
    <w:qFormat/>
    <w:rsid w:val="0093054A"/>
    <w:pPr>
      <w:numPr>
        <w:ilvl w:val="2"/>
        <w:numId w:val="6"/>
      </w:numPr>
    </w:pPr>
  </w:style>
  <w:style w:type="character" w:customStyle="1" w:styleId="AHL2AnnexHeadingLevel2Char">
    <w:name w:val="[AHL2] Annex Heading Level 2 Char"/>
    <w:basedOn w:val="BTBodyTextChar"/>
    <w:link w:val="AHL2AnnexHeadingLevel2"/>
    <w:uiPriority w:val="15"/>
    <w:rsid w:val="00D456CA"/>
    <w:rPr>
      <w:rFonts w:eastAsiaTheme="majorEastAsia" w:cstheme="majorBidi"/>
      <w:b/>
      <w:smallCaps/>
      <w:szCs w:val="26"/>
    </w:rPr>
  </w:style>
  <w:style w:type="paragraph" w:customStyle="1" w:styleId="AHL4AnnexHeadingLevel4">
    <w:name w:val="[AHL4] Annex Heading Level 4"/>
    <w:basedOn w:val="Heading4"/>
    <w:next w:val="P1-N1Paragraph1-Number1"/>
    <w:link w:val="AHL4AnnexHeadingLevel4Char"/>
    <w:uiPriority w:val="15"/>
    <w:semiHidden/>
    <w:rsid w:val="0093054A"/>
    <w:pPr>
      <w:numPr>
        <w:ilvl w:val="3"/>
        <w:numId w:val="6"/>
      </w:numPr>
    </w:pPr>
  </w:style>
  <w:style w:type="character" w:customStyle="1" w:styleId="AHL3AnnexHeadingLevel3Char">
    <w:name w:val="[AHL3] Annex Heading Level 3 Char"/>
    <w:basedOn w:val="BTBodyTextChar"/>
    <w:link w:val="AHL3AnnexHeadingLevel3"/>
    <w:uiPriority w:val="15"/>
    <w:rsid w:val="00D456CA"/>
    <w:rPr>
      <w:rFonts w:eastAsiaTheme="majorEastAsia" w:cstheme="majorBidi"/>
      <w:b/>
    </w:rPr>
  </w:style>
  <w:style w:type="paragraph" w:customStyle="1" w:styleId="AHL5AnnexHeadingLevel5">
    <w:name w:val="[AHL5] Annex Heading Level 5"/>
    <w:basedOn w:val="Heading5"/>
    <w:next w:val="P1-N1Paragraph1-Number1"/>
    <w:link w:val="AHL5AnnexHeadingLevel5Char"/>
    <w:uiPriority w:val="15"/>
    <w:semiHidden/>
    <w:rsid w:val="006C1D90"/>
    <w:pPr>
      <w:numPr>
        <w:ilvl w:val="4"/>
        <w:numId w:val="6"/>
      </w:numPr>
    </w:pPr>
    <w:rPr>
      <w:b/>
      <w:i w:val="0"/>
    </w:rPr>
  </w:style>
  <w:style w:type="character" w:customStyle="1" w:styleId="AHL4AnnexHeadingLevel4Char">
    <w:name w:val="[AHL4] Annex Heading Level 4 Char"/>
    <w:basedOn w:val="BTBodyTextChar"/>
    <w:link w:val="AHL4AnnexHeadingLevel4"/>
    <w:uiPriority w:val="15"/>
    <w:semiHidden/>
    <w:rsid w:val="00D456CA"/>
    <w:rPr>
      <w:rFonts w:eastAsiaTheme="majorEastAsia" w:cstheme="majorBidi"/>
      <w:iCs/>
      <w:u w:val="single"/>
    </w:rPr>
  </w:style>
  <w:style w:type="paragraph" w:customStyle="1" w:styleId="AHL6AnnexHeadingLevel6">
    <w:name w:val="[AHL6] Annex Heading Level 6"/>
    <w:basedOn w:val="Heading6"/>
    <w:next w:val="P1-N1Paragraph1-Number1"/>
    <w:link w:val="AHL6AnnexHeadingLevel6Char"/>
    <w:uiPriority w:val="15"/>
    <w:semiHidden/>
    <w:rsid w:val="0093054A"/>
    <w:pPr>
      <w:numPr>
        <w:ilvl w:val="5"/>
        <w:numId w:val="6"/>
      </w:numPr>
    </w:pPr>
  </w:style>
  <w:style w:type="character" w:customStyle="1" w:styleId="AHL5AnnexHeadingLevel5Char">
    <w:name w:val="[AHL5] Annex Heading Level 5 Char"/>
    <w:basedOn w:val="BTBodyTextChar"/>
    <w:link w:val="AHL5AnnexHeadingLevel5"/>
    <w:uiPriority w:val="15"/>
    <w:semiHidden/>
    <w:rsid w:val="00D456CA"/>
    <w:rPr>
      <w:rFonts w:eastAsiaTheme="majorEastAsia" w:cstheme="majorBidi"/>
      <w:b/>
    </w:rPr>
  </w:style>
  <w:style w:type="paragraph" w:customStyle="1" w:styleId="AHL7AnnexHeadingLevel7">
    <w:name w:val="[AHL7] Annex Heading Level 7"/>
    <w:basedOn w:val="Heading7"/>
    <w:next w:val="P1-N1Paragraph1-Number1"/>
    <w:link w:val="AHL7AnnexHeadingLevel7Char"/>
    <w:uiPriority w:val="15"/>
    <w:semiHidden/>
    <w:rsid w:val="0093054A"/>
    <w:pPr>
      <w:numPr>
        <w:ilvl w:val="6"/>
        <w:numId w:val="6"/>
      </w:numPr>
    </w:pPr>
  </w:style>
  <w:style w:type="character" w:customStyle="1" w:styleId="AHL6AnnexHeadingLevel6Char">
    <w:name w:val="[AHL6] Annex Heading Level 6 Char"/>
    <w:basedOn w:val="BTBodyTextChar"/>
    <w:link w:val="AHL6AnnexHeadingLevel6"/>
    <w:uiPriority w:val="15"/>
    <w:semiHidden/>
    <w:rsid w:val="00D456CA"/>
    <w:rPr>
      <w:rFonts w:eastAsiaTheme="majorEastAsia" w:cstheme="majorBidi"/>
      <w:u w:val="single"/>
    </w:rPr>
  </w:style>
  <w:style w:type="paragraph" w:customStyle="1" w:styleId="AHL8AnnexHeadingLevel8">
    <w:name w:val="[AHL8] Annex Heading Level 8"/>
    <w:basedOn w:val="Heading8"/>
    <w:next w:val="P1-N1Paragraph1-Number1"/>
    <w:link w:val="AHL8AnnexHeadingLevel8Char"/>
    <w:uiPriority w:val="15"/>
    <w:semiHidden/>
    <w:rsid w:val="0093054A"/>
    <w:pPr>
      <w:numPr>
        <w:ilvl w:val="7"/>
        <w:numId w:val="6"/>
      </w:numPr>
    </w:pPr>
  </w:style>
  <w:style w:type="character" w:customStyle="1" w:styleId="AHL7AnnexHeadingLevel7Char">
    <w:name w:val="[AHL7] Annex Heading Level 7 Char"/>
    <w:basedOn w:val="BTBodyTextChar"/>
    <w:link w:val="AHL7AnnexHeadingLevel7"/>
    <w:uiPriority w:val="15"/>
    <w:semiHidden/>
    <w:rsid w:val="00D456CA"/>
    <w:rPr>
      <w:rFonts w:eastAsiaTheme="majorEastAsia" w:cstheme="majorBidi"/>
      <w:i/>
      <w:iCs/>
    </w:rPr>
  </w:style>
  <w:style w:type="paragraph" w:customStyle="1" w:styleId="AHL9AnnexHeadingLevel9">
    <w:name w:val="[AHL9] Annex Heading Level 9"/>
    <w:basedOn w:val="Heading9"/>
    <w:next w:val="P1-N1Paragraph1-Number1"/>
    <w:link w:val="AHL9AnnexHeadingLevel9Char"/>
    <w:uiPriority w:val="15"/>
    <w:semiHidden/>
    <w:rsid w:val="0093054A"/>
    <w:pPr>
      <w:numPr>
        <w:ilvl w:val="8"/>
        <w:numId w:val="6"/>
      </w:numPr>
    </w:pPr>
  </w:style>
  <w:style w:type="character" w:customStyle="1" w:styleId="AHL8AnnexHeadingLevel8Char">
    <w:name w:val="[AHL8] Annex Heading Level 8 Char"/>
    <w:basedOn w:val="BTBodyTextChar"/>
    <w:link w:val="AHL8AnnexHeadingLevel8"/>
    <w:uiPriority w:val="15"/>
    <w:semiHidden/>
    <w:rsid w:val="00D456CA"/>
    <w:rPr>
      <w:rFonts w:eastAsiaTheme="majorEastAsia" w:cstheme="majorBidi"/>
      <w:szCs w:val="21"/>
      <w:u w:val="single"/>
    </w:rPr>
  </w:style>
  <w:style w:type="paragraph" w:styleId="Header">
    <w:name w:val="header"/>
    <w:basedOn w:val="Normal"/>
    <w:link w:val="HeaderChar"/>
    <w:uiPriority w:val="99"/>
    <w:unhideWhenUsed/>
    <w:rsid w:val="00006269"/>
    <w:pPr>
      <w:tabs>
        <w:tab w:val="center" w:pos="4536"/>
        <w:tab w:val="right" w:pos="9072"/>
      </w:tabs>
      <w:spacing w:after="0" w:line="240" w:lineRule="auto"/>
    </w:pPr>
    <w:rPr>
      <w:sz w:val="22"/>
    </w:rPr>
  </w:style>
  <w:style w:type="character" w:customStyle="1" w:styleId="AHL9AnnexHeadingLevel9Char">
    <w:name w:val="[AHL9] Annex Heading Level 9 Char"/>
    <w:basedOn w:val="BTBodyTextChar"/>
    <w:link w:val="AHL9AnnexHeadingLevel9"/>
    <w:uiPriority w:val="15"/>
    <w:semiHidden/>
    <w:rsid w:val="00D456CA"/>
    <w:rPr>
      <w:rFonts w:eastAsiaTheme="majorEastAsia" w:cstheme="majorBidi"/>
      <w:i/>
      <w:iCs/>
      <w:szCs w:val="21"/>
    </w:rPr>
  </w:style>
  <w:style w:type="character" w:customStyle="1" w:styleId="HeaderChar">
    <w:name w:val="Header Char"/>
    <w:basedOn w:val="DefaultParagraphFont"/>
    <w:link w:val="Header"/>
    <w:uiPriority w:val="99"/>
    <w:rsid w:val="00006269"/>
    <w:rPr>
      <w:sz w:val="22"/>
    </w:rPr>
  </w:style>
  <w:style w:type="paragraph" w:styleId="Footer">
    <w:name w:val="footer"/>
    <w:basedOn w:val="Normal"/>
    <w:link w:val="FooterChar"/>
    <w:uiPriority w:val="99"/>
    <w:unhideWhenUsed/>
    <w:rsid w:val="00006269"/>
    <w:pPr>
      <w:tabs>
        <w:tab w:val="center" w:pos="4536"/>
        <w:tab w:val="right" w:pos="9072"/>
      </w:tabs>
      <w:spacing w:after="0" w:line="240" w:lineRule="auto"/>
    </w:pPr>
    <w:rPr>
      <w:sz w:val="22"/>
    </w:rPr>
  </w:style>
  <w:style w:type="character" w:customStyle="1" w:styleId="FooterChar">
    <w:name w:val="Footer Char"/>
    <w:basedOn w:val="DefaultParagraphFont"/>
    <w:link w:val="Footer"/>
    <w:uiPriority w:val="99"/>
    <w:rsid w:val="00006269"/>
    <w:rPr>
      <w:sz w:val="22"/>
    </w:rPr>
  </w:style>
  <w:style w:type="paragraph" w:styleId="FootnoteText">
    <w:name w:val="footnote text"/>
    <w:aliases w:val="fn,footnote text,Footnotes,Footnote ak,ft,fn cafc,fn Char Char,footnote text Char Char,Footnotes Char Char,Footnote ak Char Char,Footnote Text 2,footnote citation,Footnote Text Char Char,footnote text Char Char Char Ch,Ca,C,f,Car,Cha"/>
    <w:basedOn w:val="Normal"/>
    <w:link w:val="FootnoteTextChar"/>
    <w:uiPriority w:val="99"/>
    <w:qFormat/>
    <w:rsid w:val="00EE47D1"/>
    <w:pPr>
      <w:spacing w:after="0" w:line="240" w:lineRule="auto"/>
    </w:pPr>
    <w:rPr>
      <w:sz w:val="18"/>
      <w:szCs w:val="20"/>
    </w:rPr>
  </w:style>
  <w:style w:type="character" w:customStyle="1" w:styleId="FootnoteTextChar">
    <w:name w:val="Footnote Text Char"/>
    <w:aliases w:val="fn Char,footnote text Char,Footnotes Char,Footnote ak Char,ft Char,fn cafc Char,fn Char Char Char,footnote text Char Char Char,Footnotes Char Char Char,Footnote ak Char Char Char,Footnote Text 2 Char,footnote citation Char,Ca Char"/>
    <w:basedOn w:val="DefaultParagraphFont"/>
    <w:link w:val="FootnoteText"/>
    <w:uiPriority w:val="99"/>
    <w:qFormat/>
    <w:rsid w:val="00EE47D1"/>
    <w:rPr>
      <w:sz w:val="18"/>
      <w:szCs w:val="20"/>
    </w:rPr>
  </w:style>
  <w:style w:type="character" w:styleId="FootnoteReference">
    <w:name w:val="footnote reference"/>
    <w:aliases w:val="A4 Footnote Reference,Ref,de nota al pie,註腳內容,de nota al pie + (Asian) MS Mincho,11 pt,Footnote Reference1,Ref1,de nota al pie1,Style 15,註?腳Ò®é»,11 p,註?腳內—e,-E Fußnotenzeichen,註????腳內—e,f?,註??腳內—e,11,16 Point,Superscript 6 Point"/>
    <w:basedOn w:val="DefaultParagraphFont"/>
    <w:link w:val="CharChar6CharCharCharCharCharChar"/>
    <w:uiPriority w:val="99"/>
    <w:qFormat/>
    <w:rsid w:val="00BD0E60"/>
    <w:rPr>
      <w:rFonts w:ascii="Calibri" w:hAnsi="Calibri"/>
      <w:vertAlign w:val="superscript"/>
    </w:rPr>
  </w:style>
  <w:style w:type="character" w:styleId="UnresolvedMention">
    <w:name w:val="Unresolved Mention"/>
    <w:basedOn w:val="DefaultParagraphFont"/>
    <w:uiPriority w:val="99"/>
    <w:semiHidden/>
    <w:unhideWhenUsed/>
    <w:rsid w:val="00030A32"/>
    <w:rPr>
      <w:color w:val="605E5C"/>
      <w:shd w:val="clear" w:color="auto" w:fill="E1DFDD"/>
    </w:rPr>
  </w:style>
  <w:style w:type="paragraph" w:customStyle="1" w:styleId="WTODTWTODisputeTitle">
    <w:name w:val="[WTODT] WTO Dispute Title"/>
    <w:basedOn w:val="BTBodyText"/>
    <w:link w:val="WTODTWTODisputeTitleChar"/>
    <w:uiPriority w:val="27"/>
    <w:rsid w:val="00DA5381"/>
    <w:pPr>
      <w:spacing w:line="240" w:lineRule="auto"/>
      <w:jc w:val="center"/>
    </w:pPr>
    <w:rPr>
      <w:b/>
      <w:bCs/>
      <w:smallCaps/>
      <w:sz w:val="40"/>
      <w:szCs w:val="40"/>
    </w:rPr>
  </w:style>
  <w:style w:type="paragraph" w:customStyle="1" w:styleId="DSNDSNumber">
    <w:name w:val="[DSN] DS Number"/>
    <w:basedOn w:val="BTBodyText"/>
    <w:link w:val="DSNDSNumberChar"/>
    <w:uiPriority w:val="27"/>
    <w:rsid w:val="00DA5381"/>
    <w:pPr>
      <w:spacing w:line="240" w:lineRule="auto"/>
      <w:jc w:val="center"/>
    </w:pPr>
  </w:style>
  <w:style w:type="character" w:customStyle="1" w:styleId="WTODTWTODisputeTitleChar">
    <w:name w:val="[WTODT] WTO Dispute Title Char"/>
    <w:basedOn w:val="BTBodyTextChar"/>
    <w:link w:val="WTODTWTODisputeTitle"/>
    <w:uiPriority w:val="27"/>
    <w:rsid w:val="0026128E"/>
    <w:rPr>
      <w:b/>
      <w:bCs/>
      <w:smallCaps/>
      <w:sz w:val="40"/>
      <w:szCs w:val="40"/>
    </w:rPr>
  </w:style>
  <w:style w:type="paragraph" w:customStyle="1" w:styleId="DTDocumentTitle">
    <w:name w:val="[DT] Document Title"/>
    <w:basedOn w:val="BTBodyText"/>
    <w:link w:val="DTDocumentTitleChar"/>
    <w:uiPriority w:val="27"/>
    <w:rsid w:val="00DA5381"/>
    <w:pPr>
      <w:spacing w:line="240" w:lineRule="auto"/>
      <w:jc w:val="center"/>
    </w:pPr>
    <w:rPr>
      <w:b/>
      <w:bCs/>
      <w:smallCaps/>
      <w:sz w:val="36"/>
      <w:szCs w:val="36"/>
    </w:rPr>
  </w:style>
  <w:style w:type="character" w:customStyle="1" w:styleId="DSNDSNumberChar">
    <w:name w:val="[DSN] DS Number Char"/>
    <w:basedOn w:val="BTBodyTextChar"/>
    <w:link w:val="DSNDSNumber"/>
    <w:uiPriority w:val="27"/>
    <w:rsid w:val="0026128E"/>
  </w:style>
  <w:style w:type="paragraph" w:customStyle="1" w:styleId="DDDocumentDate">
    <w:name w:val="[DD] Document Date"/>
    <w:basedOn w:val="BTBodyText"/>
    <w:link w:val="DDDocumentDateChar"/>
    <w:uiPriority w:val="27"/>
    <w:rsid w:val="00DA5381"/>
    <w:pPr>
      <w:spacing w:line="240" w:lineRule="auto"/>
      <w:jc w:val="center"/>
    </w:pPr>
    <w:rPr>
      <w:sz w:val="32"/>
      <w:szCs w:val="32"/>
    </w:rPr>
  </w:style>
  <w:style w:type="character" w:customStyle="1" w:styleId="DTDocumentTitleChar">
    <w:name w:val="[DT] Document Title Char"/>
    <w:basedOn w:val="BTBodyTextChar"/>
    <w:link w:val="DTDocumentTitle"/>
    <w:uiPriority w:val="27"/>
    <w:rsid w:val="0026128E"/>
    <w:rPr>
      <w:b/>
      <w:bCs/>
      <w:smallCaps/>
      <w:sz w:val="36"/>
      <w:szCs w:val="36"/>
    </w:rPr>
  </w:style>
  <w:style w:type="character" w:customStyle="1" w:styleId="DDDocumentDateChar">
    <w:name w:val="[DD] Document Date Char"/>
    <w:basedOn w:val="BTBodyTextChar"/>
    <w:link w:val="DDDocumentDate"/>
    <w:uiPriority w:val="27"/>
    <w:rsid w:val="0026128E"/>
    <w:rPr>
      <w:sz w:val="32"/>
      <w:szCs w:val="32"/>
    </w:rPr>
  </w:style>
  <w:style w:type="character" w:styleId="PlaceholderText">
    <w:name w:val="Placeholder Text"/>
    <w:basedOn w:val="DefaultParagraphFont"/>
    <w:uiPriority w:val="99"/>
    <w:semiHidden/>
    <w:rsid w:val="00D52A17"/>
    <w:rPr>
      <w:color w:val="808080"/>
    </w:rPr>
  </w:style>
  <w:style w:type="character" w:styleId="CommentReference">
    <w:name w:val="annotation reference"/>
    <w:basedOn w:val="DefaultParagraphFont"/>
    <w:uiPriority w:val="99"/>
    <w:semiHidden/>
    <w:unhideWhenUsed/>
    <w:rsid w:val="00F6518E"/>
    <w:rPr>
      <w:sz w:val="16"/>
      <w:szCs w:val="16"/>
    </w:rPr>
  </w:style>
  <w:style w:type="paragraph" w:styleId="CommentText">
    <w:name w:val="annotation text"/>
    <w:basedOn w:val="Normal"/>
    <w:link w:val="CommentTextChar"/>
    <w:uiPriority w:val="99"/>
    <w:unhideWhenUsed/>
    <w:rsid w:val="00F6518E"/>
    <w:pPr>
      <w:spacing w:line="240" w:lineRule="auto"/>
    </w:pPr>
    <w:rPr>
      <w:sz w:val="20"/>
      <w:szCs w:val="20"/>
    </w:rPr>
  </w:style>
  <w:style w:type="character" w:customStyle="1" w:styleId="CommentTextChar">
    <w:name w:val="Comment Text Char"/>
    <w:basedOn w:val="DefaultParagraphFont"/>
    <w:link w:val="CommentText"/>
    <w:uiPriority w:val="99"/>
    <w:rsid w:val="00F6518E"/>
    <w:rPr>
      <w:sz w:val="20"/>
      <w:szCs w:val="20"/>
    </w:rPr>
  </w:style>
  <w:style w:type="paragraph" w:styleId="CommentSubject">
    <w:name w:val="annotation subject"/>
    <w:basedOn w:val="CommentText"/>
    <w:next w:val="CommentText"/>
    <w:link w:val="CommentSubjectChar"/>
    <w:uiPriority w:val="99"/>
    <w:semiHidden/>
    <w:unhideWhenUsed/>
    <w:rsid w:val="00F6518E"/>
    <w:rPr>
      <w:b/>
      <w:bCs/>
    </w:rPr>
  </w:style>
  <w:style w:type="character" w:customStyle="1" w:styleId="CommentSubjectChar">
    <w:name w:val="Comment Subject Char"/>
    <w:basedOn w:val="CommentTextChar"/>
    <w:link w:val="CommentSubject"/>
    <w:uiPriority w:val="99"/>
    <w:semiHidden/>
    <w:rsid w:val="00F6518E"/>
    <w:rPr>
      <w:b/>
      <w:bCs/>
      <w:sz w:val="20"/>
      <w:szCs w:val="20"/>
    </w:rPr>
  </w:style>
  <w:style w:type="paragraph" w:customStyle="1" w:styleId="Default">
    <w:name w:val="Default"/>
    <w:rsid w:val="009C63D9"/>
    <w:pPr>
      <w:autoSpaceDE w:val="0"/>
      <w:autoSpaceDN w:val="0"/>
      <w:adjustRightInd w:val="0"/>
      <w:spacing w:after="0" w:line="240" w:lineRule="auto"/>
      <w:jc w:val="left"/>
    </w:pPr>
    <w:rPr>
      <w:rFonts w:cs="Calibri"/>
      <w:color w:val="000000"/>
    </w:rPr>
  </w:style>
  <w:style w:type="paragraph" w:styleId="Revision">
    <w:name w:val="Revision"/>
    <w:hidden/>
    <w:uiPriority w:val="99"/>
    <w:semiHidden/>
    <w:rsid w:val="00CC4B42"/>
    <w:pPr>
      <w:spacing w:after="0" w:line="240" w:lineRule="auto"/>
      <w:jc w:val="left"/>
    </w:pPr>
  </w:style>
  <w:style w:type="paragraph" w:customStyle="1" w:styleId="CharChar6CharCharCharCharCharChar">
    <w:name w:val="Char Char6 Char Char Char Char Char Char"/>
    <w:aliases w:val="Char6 Char Char Char Char Char Char Char"/>
    <w:basedOn w:val="Normal"/>
    <w:link w:val="FootnoteReference"/>
    <w:uiPriority w:val="99"/>
    <w:qFormat/>
    <w:rsid w:val="00E64551"/>
    <w:pPr>
      <w:spacing w:after="240"/>
      <w:jc w:val="center"/>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31807">
      <w:bodyDiv w:val="1"/>
      <w:marLeft w:val="0"/>
      <w:marRight w:val="0"/>
      <w:marTop w:val="0"/>
      <w:marBottom w:val="0"/>
      <w:divBdr>
        <w:top w:val="none" w:sz="0" w:space="0" w:color="auto"/>
        <w:left w:val="none" w:sz="0" w:space="0" w:color="auto"/>
        <w:bottom w:val="none" w:sz="0" w:space="0" w:color="auto"/>
        <w:right w:val="none" w:sz="0" w:space="0" w:color="auto"/>
      </w:divBdr>
    </w:div>
    <w:div w:id="107700893">
      <w:bodyDiv w:val="1"/>
      <w:marLeft w:val="0"/>
      <w:marRight w:val="0"/>
      <w:marTop w:val="0"/>
      <w:marBottom w:val="0"/>
      <w:divBdr>
        <w:top w:val="none" w:sz="0" w:space="0" w:color="auto"/>
        <w:left w:val="none" w:sz="0" w:space="0" w:color="auto"/>
        <w:bottom w:val="none" w:sz="0" w:space="0" w:color="auto"/>
        <w:right w:val="none" w:sz="0" w:space="0" w:color="auto"/>
      </w:divBdr>
    </w:div>
    <w:div w:id="124936112">
      <w:bodyDiv w:val="1"/>
      <w:marLeft w:val="0"/>
      <w:marRight w:val="0"/>
      <w:marTop w:val="0"/>
      <w:marBottom w:val="0"/>
      <w:divBdr>
        <w:top w:val="none" w:sz="0" w:space="0" w:color="auto"/>
        <w:left w:val="none" w:sz="0" w:space="0" w:color="auto"/>
        <w:bottom w:val="none" w:sz="0" w:space="0" w:color="auto"/>
        <w:right w:val="none" w:sz="0" w:space="0" w:color="auto"/>
      </w:divBdr>
    </w:div>
    <w:div w:id="136532034">
      <w:bodyDiv w:val="1"/>
      <w:marLeft w:val="0"/>
      <w:marRight w:val="0"/>
      <w:marTop w:val="0"/>
      <w:marBottom w:val="0"/>
      <w:divBdr>
        <w:top w:val="none" w:sz="0" w:space="0" w:color="auto"/>
        <w:left w:val="none" w:sz="0" w:space="0" w:color="auto"/>
        <w:bottom w:val="none" w:sz="0" w:space="0" w:color="auto"/>
        <w:right w:val="none" w:sz="0" w:space="0" w:color="auto"/>
      </w:divBdr>
    </w:div>
    <w:div w:id="252669553">
      <w:bodyDiv w:val="1"/>
      <w:marLeft w:val="0"/>
      <w:marRight w:val="0"/>
      <w:marTop w:val="0"/>
      <w:marBottom w:val="0"/>
      <w:divBdr>
        <w:top w:val="none" w:sz="0" w:space="0" w:color="auto"/>
        <w:left w:val="none" w:sz="0" w:space="0" w:color="auto"/>
        <w:bottom w:val="none" w:sz="0" w:space="0" w:color="auto"/>
        <w:right w:val="none" w:sz="0" w:space="0" w:color="auto"/>
      </w:divBdr>
    </w:div>
    <w:div w:id="306856878">
      <w:bodyDiv w:val="1"/>
      <w:marLeft w:val="0"/>
      <w:marRight w:val="0"/>
      <w:marTop w:val="0"/>
      <w:marBottom w:val="0"/>
      <w:divBdr>
        <w:top w:val="none" w:sz="0" w:space="0" w:color="auto"/>
        <w:left w:val="none" w:sz="0" w:space="0" w:color="auto"/>
        <w:bottom w:val="none" w:sz="0" w:space="0" w:color="auto"/>
        <w:right w:val="none" w:sz="0" w:space="0" w:color="auto"/>
      </w:divBdr>
    </w:div>
    <w:div w:id="475487208">
      <w:bodyDiv w:val="1"/>
      <w:marLeft w:val="0"/>
      <w:marRight w:val="0"/>
      <w:marTop w:val="0"/>
      <w:marBottom w:val="0"/>
      <w:divBdr>
        <w:top w:val="none" w:sz="0" w:space="0" w:color="auto"/>
        <w:left w:val="none" w:sz="0" w:space="0" w:color="auto"/>
        <w:bottom w:val="none" w:sz="0" w:space="0" w:color="auto"/>
        <w:right w:val="none" w:sz="0" w:space="0" w:color="auto"/>
      </w:divBdr>
    </w:div>
    <w:div w:id="478349008">
      <w:bodyDiv w:val="1"/>
      <w:marLeft w:val="0"/>
      <w:marRight w:val="0"/>
      <w:marTop w:val="0"/>
      <w:marBottom w:val="0"/>
      <w:divBdr>
        <w:top w:val="none" w:sz="0" w:space="0" w:color="auto"/>
        <w:left w:val="none" w:sz="0" w:space="0" w:color="auto"/>
        <w:bottom w:val="none" w:sz="0" w:space="0" w:color="auto"/>
        <w:right w:val="none" w:sz="0" w:space="0" w:color="auto"/>
      </w:divBdr>
    </w:div>
    <w:div w:id="508494263">
      <w:bodyDiv w:val="1"/>
      <w:marLeft w:val="0"/>
      <w:marRight w:val="0"/>
      <w:marTop w:val="0"/>
      <w:marBottom w:val="0"/>
      <w:divBdr>
        <w:top w:val="none" w:sz="0" w:space="0" w:color="auto"/>
        <w:left w:val="none" w:sz="0" w:space="0" w:color="auto"/>
        <w:bottom w:val="none" w:sz="0" w:space="0" w:color="auto"/>
        <w:right w:val="none" w:sz="0" w:space="0" w:color="auto"/>
      </w:divBdr>
    </w:div>
    <w:div w:id="635337275">
      <w:bodyDiv w:val="1"/>
      <w:marLeft w:val="0"/>
      <w:marRight w:val="0"/>
      <w:marTop w:val="0"/>
      <w:marBottom w:val="0"/>
      <w:divBdr>
        <w:top w:val="none" w:sz="0" w:space="0" w:color="auto"/>
        <w:left w:val="none" w:sz="0" w:space="0" w:color="auto"/>
        <w:bottom w:val="none" w:sz="0" w:space="0" w:color="auto"/>
        <w:right w:val="none" w:sz="0" w:space="0" w:color="auto"/>
      </w:divBdr>
    </w:div>
    <w:div w:id="743533692">
      <w:bodyDiv w:val="1"/>
      <w:marLeft w:val="0"/>
      <w:marRight w:val="0"/>
      <w:marTop w:val="0"/>
      <w:marBottom w:val="0"/>
      <w:divBdr>
        <w:top w:val="none" w:sz="0" w:space="0" w:color="auto"/>
        <w:left w:val="none" w:sz="0" w:space="0" w:color="auto"/>
        <w:bottom w:val="none" w:sz="0" w:space="0" w:color="auto"/>
        <w:right w:val="none" w:sz="0" w:space="0" w:color="auto"/>
      </w:divBdr>
    </w:div>
    <w:div w:id="904754712">
      <w:bodyDiv w:val="1"/>
      <w:marLeft w:val="0"/>
      <w:marRight w:val="0"/>
      <w:marTop w:val="0"/>
      <w:marBottom w:val="0"/>
      <w:divBdr>
        <w:top w:val="none" w:sz="0" w:space="0" w:color="auto"/>
        <w:left w:val="none" w:sz="0" w:space="0" w:color="auto"/>
        <w:bottom w:val="none" w:sz="0" w:space="0" w:color="auto"/>
        <w:right w:val="none" w:sz="0" w:space="0" w:color="auto"/>
      </w:divBdr>
    </w:div>
    <w:div w:id="988553067">
      <w:bodyDiv w:val="1"/>
      <w:marLeft w:val="0"/>
      <w:marRight w:val="0"/>
      <w:marTop w:val="0"/>
      <w:marBottom w:val="0"/>
      <w:divBdr>
        <w:top w:val="none" w:sz="0" w:space="0" w:color="auto"/>
        <w:left w:val="none" w:sz="0" w:space="0" w:color="auto"/>
        <w:bottom w:val="none" w:sz="0" w:space="0" w:color="auto"/>
        <w:right w:val="none" w:sz="0" w:space="0" w:color="auto"/>
      </w:divBdr>
    </w:div>
    <w:div w:id="1028607902">
      <w:bodyDiv w:val="1"/>
      <w:marLeft w:val="0"/>
      <w:marRight w:val="0"/>
      <w:marTop w:val="0"/>
      <w:marBottom w:val="0"/>
      <w:divBdr>
        <w:top w:val="none" w:sz="0" w:space="0" w:color="auto"/>
        <w:left w:val="none" w:sz="0" w:space="0" w:color="auto"/>
        <w:bottom w:val="none" w:sz="0" w:space="0" w:color="auto"/>
        <w:right w:val="none" w:sz="0" w:space="0" w:color="auto"/>
      </w:divBdr>
    </w:div>
    <w:div w:id="1060596027">
      <w:bodyDiv w:val="1"/>
      <w:marLeft w:val="0"/>
      <w:marRight w:val="0"/>
      <w:marTop w:val="0"/>
      <w:marBottom w:val="0"/>
      <w:divBdr>
        <w:top w:val="none" w:sz="0" w:space="0" w:color="auto"/>
        <w:left w:val="none" w:sz="0" w:space="0" w:color="auto"/>
        <w:bottom w:val="none" w:sz="0" w:space="0" w:color="auto"/>
        <w:right w:val="none" w:sz="0" w:space="0" w:color="auto"/>
      </w:divBdr>
    </w:div>
    <w:div w:id="1158620033">
      <w:bodyDiv w:val="1"/>
      <w:marLeft w:val="0"/>
      <w:marRight w:val="0"/>
      <w:marTop w:val="0"/>
      <w:marBottom w:val="0"/>
      <w:divBdr>
        <w:top w:val="none" w:sz="0" w:space="0" w:color="auto"/>
        <w:left w:val="none" w:sz="0" w:space="0" w:color="auto"/>
        <w:bottom w:val="none" w:sz="0" w:space="0" w:color="auto"/>
        <w:right w:val="none" w:sz="0" w:space="0" w:color="auto"/>
      </w:divBdr>
    </w:div>
    <w:div w:id="1164080804">
      <w:bodyDiv w:val="1"/>
      <w:marLeft w:val="0"/>
      <w:marRight w:val="0"/>
      <w:marTop w:val="0"/>
      <w:marBottom w:val="0"/>
      <w:divBdr>
        <w:top w:val="none" w:sz="0" w:space="0" w:color="auto"/>
        <w:left w:val="none" w:sz="0" w:space="0" w:color="auto"/>
        <w:bottom w:val="none" w:sz="0" w:space="0" w:color="auto"/>
        <w:right w:val="none" w:sz="0" w:space="0" w:color="auto"/>
      </w:divBdr>
    </w:div>
    <w:div w:id="1164974501">
      <w:bodyDiv w:val="1"/>
      <w:marLeft w:val="0"/>
      <w:marRight w:val="0"/>
      <w:marTop w:val="0"/>
      <w:marBottom w:val="0"/>
      <w:divBdr>
        <w:top w:val="none" w:sz="0" w:space="0" w:color="auto"/>
        <w:left w:val="none" w:sz="0" w:space="0" w:color="auto"/>
        <w:bottom w:val="none" w:sz="0" w:space="0" w:color="auto"/>
        <w:right w:val="none" w:sz="0" w:space="0" w:color="auto"/>
      </w:divBdr>
    </w:div>
    <w:div w:id="1283852338">
      <w:bodyDiv w:val="1"/>
      <w:marLeft w:val="0"/>
      <w:marRight w:val="0"/>
      <w:marTop w:val="0"/>
      <w:marBottom w:val="0"/>
      <w:divBdr>
        <w:top w:val="none" w:sz="0" w:space="0" w:color="auto"/>
        <w:left w:val="none" w:sz="0" w:space="0" w:color="auto"/>
        <w:bottom w:val="none" w:sz="0" w:space="0" w:color="auto"/>
        <w:right w:val="none" w:sz="0" w:space="0" w:color="auto"/>
      </w:divBdr>
    </w:div>
    <w:div w:id="1303580206">
      <w:bodyDiv w:val="1"/>
      <w:marLeft w:val="0"/>
      <w:marRight w:val="0"/>
      <w:marTop w:val="0"/>
      <w:marBottom w:val="0"/>
      <w:divBdr>
        <w:top w:val="none" w:sz="0" w:space="0" w:color="auto"/>
        <w:left w:val="none" w:sz="0" w:space="0" w:color="auto"/>
        <w:bottom w:val="none" w:sz="0" w:space="0" w:color="auto"/>
        <w:right w:val="none" w:sz="0" w:space="0" w:color="auto"/>
      </w:divBdr>
    </w:div>
    <w:div w:id="1391146486">
      <w:bodyDiv w:val="1"/>
      <w:marLeft w:val="0"/>
      <w:marRight w:val="0"/>
      <w:marTop w:val="0"/>
      <w:marBottom w:val="0"/>
      <w:divBdr>
        <w:top w:val="none" w:sz="0" w:space="0" w:color="auto"/>
        <w:left w:val="none" w:sz="0" w:space="0" w:color="auto"/>
        <w:bottom w:val="none" w:sz="0" w:space="0" w:color="auto"/>
        <w:right w:val="none" w:sz="0" w:space="0" w:color="auto"/>
      </w:divBdr>
    </w:div>
    <w:div w:id="1456799815">
      <w:bodyDiv w:val="1"/>
      <w:marLeft w:val="0"/>
      <w:marRight w:val="0"/>
      <w:marTop w:val="0"/>
      <w:marBottom w:val="0"/>
      <w:divBdr>
        <w:top w:val="none" w:sz="0" w:space="0" w:color="auto"/>
        <w:left w:val="none" w:sz="0" w:space="0" w:color="auto"/>
        <w:bottom w:val="none" w:sz="0" w:space="0" w:color="auto"/>
        <w:right w:val="none" w:sz="0" w:space="0" w:color="auto"/>
      </w:divBdr>
    </w:div>
    <w:div w:id="1483544662">
      <w:bodyDiv w:val="1"/>
      <w:marLeft w:val="0"/>
      <w:marRight w:val="0"/>
      <w:marTop w:val="0"/>
      <w:marBottom w:val="0"/>
      <w:divBdr>
        <w:top w:val="none" w:sz="0" w:space="0" w:color="auto"/>
        <w:left w:val="none" w:sz="0" w:space="0" w:color="auto"/>
        <w:bottom w:val="none" w:sz="0" w:space="0" w:color="auto"/>
        <w:right w:val="none" w:sz="0" w:space="0" w:color="auto"/>
      </w:divBdr>
    </w:div>
    <w:div w:id="1542477953">
      <w:bodyDiv w:val="1"/>
      <w:marLeft w:val="0"/>
      <w:marRight w:val="0"/>
      <w:marTop w:val="0"/>
      <w:marBottom w:val="0"/>
      <w:divBdr>
        <w:top w:val="none" w:sz="0" w:space="0" w:color="auto"/>
        <w:left w:val="none" w:sz="0" w:space="0" w:color="auto"/>
        <w:bottom w:val="none" w:sz="0" w:space="0" w:color="auto"/>
        <w:right w:val="none" w:sz="0" w:space="0" w:color="auto"/>
      </w:divBdr>
    </w:div>
    <w:div w:id="1575436984">
      <w:bodyDiv w:val="1"/>
      <w:marLeft w:val="0"/>
      <w:marRight w:val="0"/>
      <w:marTop w:val="0"/>
      <w:marBottom w:val="0"/>
      <w:divBdr>
        <w:top w:val="none" w:sz="0" w:space="0" w:color="auto"/>
        <w:left w:val="none" w:sz="0" w:space="0" w:color="auto"/>
        <w:bottom w:val="none" w:sz="0" w:space="0" w:color="auto"/>
        <w:right w:val="none" w:sz="0" w:space="0" w:color="auto"/>
      </w:divBdr>
    </w:div>
    <w:div w:id="1630166612">
      <w:bodyDiv w:val="1"/>
      <w:marLeft w:val="0"/>
      <w:marRight w:val="0"/>
      <w:marTop w:val="0"/>
      <w:marBottom w:val="0"/>
      <w:divBdr>
        <w:top w:val="none" w:sz="0" w:space="0" w:color="auto"/>
        <w:left w:val="none" w:sz="0" w:space="0" w:color="auto"/>
        <w:bottom w:val="none" w:sz="0" w:space="0" w:color="auto"/>
        <w:right w:val="none" w:sz="0" w:space="0" w:color="auto"/>
      </w:divBdr>
    </w:div>
    <w:div w:id="1660382636">
      <w:bodyDiv w:val="1"/>
      <w:marLeft w:val="0"/>
      <w:marRight w:val="0"/>
      <w:marTop w:val="0"/>
      <w:marBottom w:val="0"/>
      <w:divBdr>
        <w:top w:val="none" w:sz="0" w:space="0" w:color="auto"/>
        <w:left w:val="none" w:sz="0" w:space="0" w:color="auto"/>
        <w:bottom w:val="none" w:sz="0" w:space="0" w:color="auto"/>
        <w:right w:val="none" w:sz="0" w:space="0" w:color="auto"/>
      </w:divBdr>
    </w:div>
    <w:div w:id="1864901540">
      <w:bodyDiv w:val="1"/>
      <w:marLeft w:val="0"/>
      <w:marRight w:val="0"/>
      <w:marTop w:val="0"/>
      <w:marBottom w:val="0"/>
      <w:divBdr>
        <w:top w:val="none" w:sz="0" w:space="0" w:color="auto"/>
        <w:left w:val="none" w:sz="0" w:space="0" w:color="auto"/>
        <w:bottom w:val="none" w:sz="0" w:space="0" w:color="auto"/>
        <w:right w:val="none" w:sz="0" w:space="0" w:color="auto"/>
      </w:divBdr>
    </w:div>
    <w:div w:id="2073892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7981E-3412-4574-9D01-35ED7F6FAF74}">
  <ds:schemaRefs>
    <ds:schemaRef ds:uri="http://schemas.openxmlformats.org/officeDocument/2006/bibliography"/>
  </ds:schemaRefs>
</ds:datastoreItem>
</file>

<file path=docMetadata/LabelInfo.xml><?xml version="1.0" encoding="utf-8"?>
<clbl:labelList xmlns:clbl="http://schemas.microsoft.com/office/2020/mipLabelMetadata">
  <clbl:label id="{610a6645-df8a-461f-957a-aeb16698bd53}" enabled="1" method="Privilege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1248</Words>
  <Characters>8519</Characters>
  <Application>Microsoft Office Word</Application>
  <DocSecurity>0</DocSecurity>
  <Lines>146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Union – Definitive countervailing duties on new battery electric vehicles from China (DS630) - Australia's executive summary</dc:title>
  <dc:subject/>
  <dc:creator/>
  <cp:keywords/>
  <dc:description/>
  <cp:lastModifiedBy/>
  <cp:revision>1</cp:revision>
  <dcterms:created xsi:type="dcterms:W3CDTF">2026-07-30T00:15:00Z</dcterms:created>
  <dcterms:modified xsi:type="dcterms:W3CDTF">2026-08-14T01:47:00Z</dcterms:modified>
  <cp:category/>
</cp:coreProperties>
</file>