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070"/>
      </w:tblGrid>
      <w:tr w:rsidR="00A44CD4" w:rsidRPr="00C564DD" w14:paraId="17DDDEFB" w14:textId="77777777" w:rsidTr="007A52CD">
        <w:trPr>
          <w:trHeight w:val="4365"/>
        </w:trPr>
        <w:tc>
          <w:tcPr>
            <w:tcW w:w="9060" w:type="dxa"/>
          </w:tcPr>
          <w:p w14:paraId="46ABEF01" w14:textId="77777777" w:rsidR="00A44CD4" w:rsidRPr="00C564DD" w:rsidRDefault="00A44CD4" w:rsidP="007A52CD">
            <w:pPr>
              <w:pStyle w:val="BTBodyText"/>
              <w:spacing w:after="240"/>
              <w:jc w:val="center"/>
              <w:rPr>
                <w:b/>
                <w:bCs/>
                <w:sz w:val="32"/>
                <w:szCs w:val="32"/>
              </w:rPr>
            </w:pPr>
            <w:r w:rsidRPr="00C564DD">
              <w:rPr>
                <w:b/>
                <w:bCs/>
                <w:sz w:val="32"/>
                <w:szCs w:val="32"/>
              </w:rPr>
              <w:t>Before the World Trade Organization</w:t>
            </w:r>
          </w:p>
          <w:p w14:paraId="4CFCC351" w14:textId="77777777" w:rsidR="00A44CD4" w:rsidRPr="00C564DD" w:rsidRDefault="00A44CD4" w:rsidP="007A52CD">
            <w:pPr>
              <w:pStyle w:val="BTBodyText"/>
              <w:spacing w:after="240"/>
              <w:jc w:val="center"/>
              <w:rPr>
                <w:b/>
                <w:bCs/>
                <w:sz w:val="32"/>
                <w:szCs w:val="32"/>
              </w:rPr>
            </w:pPr>
            <w:r w:rsidRPr="00C564DD">
              <w:rPr>
                <w:b/>
                <w:bCs/>
                <w:sz w:val="32"/>
                <w:szCs w:val="32"/>
              </w:rPr>
              <w:t>Panel Proceedings</w:t>
            </w:r>
          </w:p>
        </w:tc>
      </w:tr>
      <w:tr w:rsidR="00A44CD4" w:rsidRPr="00C564DD" w14:paraId="24C790A2" w14:textId="77777777" w:rsidTr="007A52CD">
        <w:trPr>
          <w:trHeight w:val="737"/>
        </w:trPr>
        <w:tc>
          <w:tcPr>
            <w:tcW w:w="9060" w:type="dxa"/>
          </w:tcPr>
          <w:p w14:paraId="35C013E2" w14:textId="2A906D98" w:rsidR="00A44CD4" w:rsidRPr="00C564DD" w:rsidRDefault="00A44CD4" w:rsidP="007A52CD">
            <w:pPr>
              <w:pStyle w:val="WTODTWTODisputeTitle"/>
            </w:pPr>
            <w:r w:rsidRPr="00C564DD">
              <w:rPr>
                <w:lang w:val="en-US"/>
              </w:rPr>
              <w:t>Türkiye — Measures Concerning Electric Vehicles and Other Types of Vehicles from China</w:t>
            </w:r>
          </w:p>
        </w:tc>
      </w:tr>
      <w:tr w:rsidR="00A44CD4" w:rsidRPr="00C564DD" w14:paraId="1B2E43FB" w14:textId="77777777" w:rsidTr="007A52CD">
        <w:trPr>
          <w:trHeight w:val="3175"/>
        </w:trPr>
        <w:tc>
          <w:tcPr>
            <w:tcW w:w="9060" w:type="dxa"/>
          </w:tcPr>
          <w:p w14:paraId="17044DED" w14:textId="6841F9D1" w:rsidR="00A44CD4" w:rsidRPr="00C564DD" w:rsidRDefault="00A44CD4" w:rsidP="007A52CD">
            <w:pPr>
              <w:pStyle w:val="DSNDSNumber"/>
            </w:pPr>
            <w:r w:rsidRPr="00C564DD">
              <w:t>(DS629)</w:t>
            </w:r>
          </w:p>
        </w:tc>
      </w:tr>
      <w:tr w:rsidR="00A44CD4" w:rsidRPr="00C564DD" w14:paraId="74DF58F8" w14:textId="77777777" w:rsidTr="007A52CD">
        <w:trPr>
          <w:trHeight w:val="3798"/>
        </w:trPr>
        <w:tc>
          <w:tcPr>
            <w:tcW w:w="9060" w:type="dxa"/>
          </w:tcPr>
          <w:p w14:paraId="4716D72C" w14:textId="75A9149D" w:rsidR="00A44CD4" w:rsidRPr="00C564DD" w:rsidRDefault="00A44CD4" w:rsidP="00401824">
            <w:pPr>
              <w:pStyle w:val="DTDocumentTitle"/>
            </w:pPr>
            <w:r w:rsidRPr="00C564DD">
              <w:t>THIRD PARTY WRITTEN SUBMISSION OF AUSTR</w:t>
            </w:r>
            <w:r w:rsidR="00D31006" w:rsidRPr="00C564DD">
              <w:t>AL</w:t>
            </w:r>
            <w:r w:rsidRPr="00C564DD">
              <w:t>IA</w:t>
            </w:r>
          </w:p>
          <w:p w14:paraId="58F2C794" w14:textId="4026FC39" w:rsidR="00A44CD4" w:rsidRPr="00C564DD" w:rsidRDefault="00A44CD4" w:rsidP="007A52CD">
            <w:pPr>
              <w:pStyle w:val="DTDocumentTitle"/>
            </w:pPr>
          </w:p>
        </w:tc>
      </w:tr>
      <w:tr w:rsidR="00A44CD4" w:rsidRPr="00C564DD" w14:paraId="3F2F005B" w14:textId="77777777" w:rsidTr="007A52CD">
        <w:trPr>
          <w:trHeight w:val="624"/>
        </w:trPr>
        <w:tc>
          <w:tcPr>
            <w:tcW w:w="9060" w:type="dxa"/>
          </w:tcPr>
          <w:p w14:paraId="37652AFD" w14:textId="00384605" w:rsidR="00A44CD4" w:rsidRPr="00C564DD" w:rsidRDefault="00A44CD4" w:rsidP="007A52CD">
            <w:pPr>
              <w:pStyle w:val="DDDocumentDate"/>
            </w:pPr>
            <w:r w:rsidRPr="00C564DD">
              <w:t>31 July 2025</w:t>
            </w:r>
          </w:p>
        </w:tc>
      </w:tr>
    </w:tbl>
    <w:p w14:paraId="092D71BD" w14:textId="77777777" w:rsidR="00A44CD4" w:rsidRPr="00C564DD" w:rsidRDefault="00A44CD4" w:rsidP="00A44CD4">
      <w:pPr>
        <w:pStyle w:val="BTNSSBodyTextNoSpacingSmall"/>
      </w:pPr>
    </w:p>
    <w:p w14:paraId="2F71087F" w14:textId="77777777" w:rsidR="00A44CD4" w:rsidRPr="00C564DD" w:rsidRDefault="00A44CD4" w:rsidP="00A44CD4">
      <w:pPr>
        <w:pStyle w:val="BTNSSBodyTextNoSpacingSmall"/>
      </w:pPr>
      <w:r w:rsidRPr="00C564DD">
        <w:br w:type="page"/>
      </w:r>
    </w:p>
    <w:p w14:paraId="1D58A4E7" w14:textId="77777777" w:rsidR="00354A06" w:rsidRPr="00C564DD" w:rsidRDefault="00354A06" w:rsidP="005714C3">
      <w:pPr>
        <w:pStyle w:val="BTNSSBodyTextNoSpacingSmall"/>
        <w:rPr>
          <w:sz w:val="2"/>
          <w:szCs w:val="2"/>
        </w:rPr>
      </w:pPr>
    </w:p>
    <w:p w14:paraId="04649D23" w14:textId="77777777" w:rsidR="00F01A73" w:rsidRPr="00C564DD" w:rsidRDefault="00F01A73" w:rsidP="00F01A73">
      <w:pPr>
        <w:pStyle w:val="BTNSSBodyTextNoSpacingSmall"/>
        <w:rPr>
          <w:sz w:val="2"/>
          <w:szCs w:val="2"/>
        </w:rPr>
      </w:pPr>
    </w:p>
    <w:sdt>
      <w:sdtPr>
        <w:rPr>
          <w:b w:val="0"/>
          <w:caps w:val="0"/>
          <w:sz w:val="8"/>
          <w:szCs w:val="8"/>
          <w:lang w:val="en-AU"/>
        </w:rPr>
        <w:id w:val="-1730524273"/>
        <w:docPartObj>
          <w:docPartGallery w:val="Table of Contents"/>
          <w:docPartUnique/>
        </w:docPartObj>
      </w:sdtPr>
      <w:sdtEndPr>
        <w:rPr>
          <w:bCs/>
        </w:rPr>
      </w:sdtEndPr>
      <w:sdtContent>
        <w:p w14:paraId="22ECF19A" w14:textId="77777777" w:rsidR="00D47F18" w:rsidRPr="00C564DD" w:rsidRDefault="00D47F18">
          <w:pPr>
            <w:pStyle w:val="TOCHeading"/>
            <w:rPr>
              <w:lang w:val="en-AU"/>
            </w:rPr>
          </w:pPr>
          <w:r w:rsidRPr="00C564DD">
            <w:rPr>
              <w:lang w:val="en-AU"/>
            </w:rPr>
            <w:t>Table of Contents</w:t>
          </w:r>
        </w:p>
        <w:p w14:paraId="625DB20C" w14:textId="08E3A3F0" w:rsidR="00F55698" w:rsidRDefault="00F945DB">
          <w:pPr>
            <w:pStyle w:val="TOC1"/>
            <w:rPr>
              <w:rFonts w:asciiTheme="minorHAnsi" w:eastAsiaTheme="minorEastAsia" w:hAnsiTheme="minorHAnsi"/>
              <w:b w:val="0"/>
              <w:caps w:val="0"/>
              <w:noProof/>
              <w:kern w:val="2"/>
              <w:lang w:val="en-US"/>
              <w14:ligatures w14:val="standardContextual"/>
            </w:rPr>
          </w:pPr>
          <w:r w:rsidRPr="00C564DD">
            <w:fldChar w:fldCharType="begin"/>
          </w:r>
          <w:r w:rsidRPr="00C564DD">
            <w:instrText xml:space="preserve"> TOC \o "1-5" \h \z \u </w:instrText>
          </w:r>
          <w:r w:rsidRPr="00C564DD">
            <w:fldChar w:fldCharType="separate"/>
          </w:r>
          <w:hyperlink w:anchor="_Toc204865821" w:history="1">
            <w:r w:rsidR="00F55698" w:rsidRPr="008A2A40">
              <w:rPr>
                <w:rStyle w:val="Hyperlink"/>
                <w:noProof/>
              </w:rPr>
              <w:t>Table of Cases</w:t>
            </w:r>
            <w:r w:rsidR="00F55698">
              <w:rPr>
                <w:noProof/>
                <w:webHidden/>
              </w:rPr>
              <w:tab/>
            </w:r>
            <w:r w:rsidR="00F55698">
              <w:rPr>
                <w:noProof/>
                <w:webHidden/>
              </w:rPr>
              <w:fldChar w:fldCharType="begin"/>
            </w:r>
            <w:r w:rsidR="00F55698">
              <w:rPr>
                <w:noProof/>
                <w:webHidden/>
              </w:rPr>
              <w:instrText xml:space="preserve"> PAGEREF _Toc204865821 \h </w:instrText>
            </w:r>
            <w:r w:rsidR="00F55698">
              <w:rPr>
                <w:noProof/>
                <w:webHidden/>
              </w:rPr>
            </w:r>
            <w:r w:rsidR="00F55698">
              <w:rPr>
                <w:noProof/>
                <w:webHidden/>
              </w:rPr>
              <w:fldChar w:fldCharType="separate"/>
            </w:r>
            <w:r w:rsidR="00BE310D">
              <w:rPr>
                <w:noProof/>
                <w:webHidden/>
              </w:rPr>
              <w:t>2</w:t>
            </w:r>
            <w:r w:rsidR="00F55698">
              <w:rPr>
                <w:noProof/>
                <w:webHidden/>
              </w:rPr>
              <w:fldChar w:fldCharType="end"/>
            </w:r>
          </w:hyperlink>
        </w:p>
        <w:p w14:paraId="3F846EFD" w14:textId="4B63DE23" w:rsidR="00F55698" w:rsidRDefault="00F55698">
          <w:pPr>
            <w:pStyle w:val="TOC1"/>
            <w:rPr>
              <w:rFonts w:asciiTheme="minorHAnsi" w:eastAsiaTheme="minorEastAsia" w:hAnsiTheme="minorHAnsi"/>
              <w:b w:val="0"/>
              <w:caps w:val="0"/>
              <w:noProof/>
              <w:kern w:val="2"/>
              <w:lang w:val="en-US"/>
              <w14:ligatures w14:val="standardContextual"/>
            </w:rPr>
          </w:pPr>
          <w:hyperlink w:anchor="_Toc204865822" w:history="1">
            <w:r w:rsidRPr="008A2A40">
              <w:rPr>
                <w:rStyle w:val="Hyperlink"/>
                <w:noProof/>
              </w:rPr>
              <w:t>List of Acronyms, Abbreviations and Short Forms</w:t>
            </w:r>
            <w:r>
              <w:rPr>
                <w:noProof/>
                <w:webHidden/>
              </w:rPr>
              <w:tab/>
            </w:r>
            <w:r>
              <w:rPr>
                <w:noProof/>
                <w:webHidden/>
              </w:rPr>
              <w:fldChar w:fldCharType="begin"/>
            </w:r>
            <w:r>
              <w:rPr>
                <w:noProof/>
                <w:webHidden/>
              </w:rPr>
              <w:instrText xml:space="preserve"> PAGEREF _Toc204865822 \h </w:instrText>
            </w:r>
            <w:r>
              <w:rPr>
                <w:noProof/>
                <w:webHidden/>
              </w:rPr>
            </w:r>
            <w:r>
              <w:rPr>
                <w:noProof/>
                <w:webHidden/>
              </w:rPr>
              <w:fldChar w:fldCharType="separate"/>
            </w:r>
            <w:r w:rsidR="00BE310D">
              <w:rPr>
                <w:noProof/>
                <w:webHidden/>
              </w:rPr>
              <w:t>3</w:t>
            </w:r>
            <w:r>
              <w:rPr>
                <w:noProof/>
                <w:webHidden/>
              </w:rPr>
              <w:fldChar w:fldCharType="end"/>
            </w:r>
          </w:hyperlink>
        </w:p>
        <w:p w14:paraId="56A2C30A" w14:textId="2E3263A8" w:rsidR="00F55698" w:rsidRDefault="00F55698">
          <w:pPr>
            <w:pStyle w:val="TOC1"/>
            <w:rPr>
              <w:rFonts w:asciiTheme="minorHAnsi" w:eastAsiaTheme="minorEastAsia" w:hAnsiTheme="minorHAnsi"/>
              <w:b w:val="0"/>
              <w:caps w:val="0"/>
              <w:noProof/>
              <w:kern w:val="2"/>
              <w:lang w:val="en-US"/>
              <w14:ligatures w14:val="standardContextual"/>
            </w:rPr>
          </w:pPr>
          <w:hyperlink w:anchor="_Toc204865823" w:history="1">
            <w:r w:rsidRPr="008A2A40">
              <w:rPr>
                <w:rStyle w:val="Hyperlink"/>
                <w:noProof/>
              </w:rPr>
              <w:t>I.</w:t>
            </w:r>
            <w:r>
              <w:rPr>
                <w:rFonts w:asciiTheme="minorHAnsi" w:eastAsiaTheme="minorEastAsia" w:hAnsiTheme="minorHAnsi"/>
                <w:b w:val="0"/>
                <w:caps w:val="0"/>
                <w:noProof/>
                <w:kern w:val="2"/>
                <w:lang w:val="en-US"/>
                <w14:ligatures w14:val="standardContextual"/>
              </w:rPr>
              <w:tab/>
            </w:r>
            <w:r w:rsidRPr="008A2A40">
              <w:rPr>
                <w:rStyle w:val="Hyperlink"/>
                <w:noProof/>
              </w:rPr>
              <w:t>Introduction</w:t>
            </w:r>
            <w:r>
              <w:rPr>
                <w:noProof/>
                <w:webHidden/>
              </w:rPr>
              <w:tab/>
            </w:r>
            <w:r>
              <w:rPr>
                <w:noProof/>
                <w:webHidden/>
              </w:rPr>
              <w:fldChar w:fldCharType="begin"/>
            </w:r>
            <w:r>
              <w:rPr>
                <w:noProof/>
                <w:webHidden/>
              </w:rPr>
              <w:instrText xml:space="preserve"> PAGEREF _Toc204865823 \h </w:instrText>
            </w:r>
            <w:r>
              <w:rPr>
                <w:noProof/>
                <w:webHidden/>
              </w:rPr>
            </w:r>
            <w:r>
              <w:rPr>
                <w:noProof/>
                <w:webHidden/>
              </w:rPr>
              <w:fldChar w:fldCharType="separate"/>
            </w:r>
            <w:r w:rsidR="00BE310D">
              <w:rPr>
                <w:noProof/>
                <w:webHidden/>
              </w:rPr>
              <w:t>4</w:t>
            </w:r>
            <w:r>
              <w:rPr>
                <w:noProof/>
                <w:webHidden/>
              </w:rPr>
              <w:fldChar w:fldCharType="end"/>
            </w:r>
          </w:hyperlink>
        </w:p>
        <w:p w14:paraId="3D213C63" w14:textId="70783D7A" w:rsidR="00F55698" w:rsidRDefault="00F55698">
          <w:pPr>
            <w:pStyle w:val="TOC1"/>
            <w:rPr>
              <w:rFonts w:asciiTheme="minorHAnsi" w:eastAsiaTheme="minorEastAsia" w:hAnsiTheme="minorHAnsi"/>
              <w:b w:val="0"/>
              <w:caps w:val="0"/>
              <w:noProof/>
              <w:kern w:val="2"/>
              <w:lang w:val="en-US"/>
              <w14:ligatures w14:val="standardContextual"/>
            </w:rPr>
          </w:pPr>
          <w:hyperlink w:anchor="_Toc204865824" w:history="1">
            <w:r w:rsidRPr="008A2A40">
              <w:rPr>
                <w:rStyle w:val="Hyperlink"/>
                <w:noProof/>
              </w:rPr>
              <w:t>II.</w:t>
            </w:r>
            <w:r>
              <w:rPr>
                <w:rFonts w:asciiTheme="minorHAnsi" w:eastAsiaTheme="minorEastAsia" w:hAnsiTheme="minorHAnsi"/>
                <w:b w:val="0"/>
                <w:caps w:val="0"/>
                <w:noProof/>
                <w:kern w:val="2"/>
                <w:lang w:val="en-US"/>
                <w14:ligatures w14:val="standardContextual"/>
              </w:rPr>
              <w:tab/>
            </w:r>
            <w:r w:rsidRPr="008A2A40">
              <w:rPr>
                <w:rStyle w:val="Hyperlink"/>
                <w:noProof/>
              </w:rPr>
              <w:t>article II of the gatt and legitimate expectations</w:t>
            </w:r>
            <w:r>
              <w:rPr>
                <w:noProof/>
                <w:webHidden/>
              </w:rPr>
              <w:tab/>
            </w:r>
            <w:r>
              <w:rPr>
                <w:noProof/>
                <w:webHidden/>
              </w:rPr>
              <w:fldChar w:fldCharType="begin"/>
            </w:r>
            <w:r>
              <w:rPr>
                <w:noProof/>
                <w:webHidden/>
              </w:rPr>
              <w:instrText xml:space="preserve"> PAGEREF _Toc204865824 \h </w:instrText>
            </w:r>
            <w:r>
              <w:rPr>
                <w:noProof/>
                <w:webHidden/>
              </w:rPr>
            </w:r>
            <w:r>
              <w:rPr>
                <w:noProof/>
                <w:webHidden/>
              </w:rPr>
              <w:fldChar w:fldCharType="separate"/>
            </w:r>
            <w:r w:rsidR="00BE310D">
              <w:rPr>
                <w:noProof/>
                <w:webHidden/>
              </w:rPr>
              <w:t>4</w:t>
            </w:r>
            <w:r>
              <w:rPr>
                <w:noProof/>
                <w:webHidden/>
              </w:rPr>
              <w:fldChar w:fldCharType="end"/>
            </w:r>
          </w:hyperlink>
        </w:p>
        <w:p w14:paraId="3F166F11" w14:textId="2F34C3B9" w:rsidR="00F55698" w:rsidRDefault="00F55698">
          <w:pPr>
            <w:pStyle w:val="TOC1"/>
            <w:rPr>
              <w:rFonts w:asciiTheme="minorHAnsi" w:eastAsiaTheme="minorEastAsia" w:hAnsiTheme="minorHAnsi"/>
              <w:b w:val="0"/>
              <w:caps w:val="0"/>
              <w:noProof/>
              <w:kern w:val="2"/>
              <w:lang w:val="en-US"/>
              <w14:ligatures w14:val="standardContextual"/>
            </w:rPr>
          </w:pPr>
          <w:hyperlink w:anchor="_Toc204865825" w:history="1">
            <w:r w:rsidRPr="008A2A40">
              <w:rPr>
                <w:rStyle w:val="Hyperlink"/>
                <w:noProof/>
              </w:rPr>
              <w:t>III.</w:t>
            </w:r>
            <w:r>
              <w:rPr>
                <w:rFonts w:asciiTheme="minorHAnsi" w:eastAsiaTheme="minorEastAsia" w:hAnsiTheme="minorHAnsi"/>
                <w:b w:val="0"/>
                <w:caps w:val="0"/>
                <w:noProof/>
                <w:kern w:val="2"/>
                <w:lang w:val="en-US"/>
                <w14:ligatures w14:val="standardContextual"/>
              </w:rPr>
              <w:tab/>
            </w:r>
            <w:r w:rsidRPr="008A2A40">
              <w:rPr>
                <w:rStyle w:val="Hyperlink"/>
                <w:noProof/>
              </w:rPr>
              <w:t>article xx (B) and (g) of the gatt 1994</w:t>
            </w:r>
            <w:r>
              <w:rPr>
                <w:noProof/>
                <w:webHidden/>
              </w:rPr>
              <w:tab/>
            </w:r>
            <w:r>
              <w:rPr>
                <w:noProof/>
                <w:webHidden/>
              </w:rPr>
              <w:fldChar w:fldCharType="begin"/>
            </w:r>
            <w:r>
              <w:rPr>
                <w:noProof/>
                <w:webHidden/>
              </w:rPr>
              <w:instrText xml:space="preserve"> PAGEREF _Toc204865825 \h </w:instrText>
            </w:r>
            <w:r>
              <w:rPr>
                <w:noProof/>
                <w:webHidden/>
              </w:rPr>
            </w:r>
            <w:r>
              <w:rPr>
                <w:noProof/>
                <w:webHidden/>
              </w:rPr>
              <w:fldChar w:fldCharType="separate"/>
            </w:r>
            <w:r w:rsidR="00BE310D">
              <w:rPr>
                <w:noProof/>
                <w:webHidden/>
              </w:rPr>
              <w:t>6</w:t>
            </w:r>
            <w:r>
              <w:rPr>
                <w:noProof/>
                <w:webHidden/>
              </w:rPr>
              <w:fldChar w:fldCharType="end"/>
            </w:r>
          </w:hyperlink>
        </w:p>
        <w:p w14:paraId="5AAFB57E" w14:textId="7E50138E" w:rsidR="00F55698" w:rsidRDefault="00F55698">
          <w:pPr>
            <w:pStyle w:val="TOC1"/>
            <w:rPr>
              <w:rFonts w:asciiTheme="minorHAnsi" w:eastAsiaTheme="minorEastAsia" w:hAnsiTheme="minorHAnsi"/>
              <w:b w:val="0"/>
              <w:caps w:val="0"/>
              <w:noProof/>
              <w:kern w:val="2"/>
              <w:lang w:val="en-US"/>
              <w14:ligatures w14:val="standardContextual"/>
            </w:rPr>
          </w:pPr>
          <w:hyperlink w:anchor="_Toc204865826" w:history="1">
            <w:r w:rsidRPr="008A2A40">
              <w:rPr>
                <w:rStyle w:val="Hyperlink"/>
                <w:noProof/>
              </w:rPr>
              <w:t>IV.</w:t>
            </w:r>
            <w:r>
              <w:rPr>
                <w:rFonts w:asciiTheme="minorHAnsi" w:eastAsiaTheme="minorEastAsia" w:hAnsiTheme="minorHAnsi"/>
                <w:b w:val="0"/>
                <w:caps w:val="0"/>
                <w:noProof/>
                <w:kern w:val="2"/>
                <w:lang w:val="en-US"/>
                <w14:ligatures w14:val="standardContextual"/>
              </w:rPr>
              <w:tab/>
            </w:r>
            <w:r w:rsidRPr="008A2A40">
              <w:rPr>
                <w:rStyle w:val="Hyperlink"/>
                <w:noProof/>
              </w:rPr>
              <w:t>Chapeau of article xx of the gatt 1994 – "same conditions prevail"</w:t>
            </w:r>
            <w:r>
              <w:rPr>
                <w:noProof/>
                <w:webHidden/>
              </w:rPr>
              <w:tab/>
            </w:r>
            <w:r>
              <w:rPr>
                <w:noProof/>
                <w:webHidden/>
              </w:rPr>
              <w:fldChar w:fldCharType="begin"/>
            </w:r>
            <w:r>
              <w:rPr>
                <w:noProof/>
                <w:webHidden/>
              </w:rPr>
              <w:instrText xml:space="preserve"> PAGEREF _Toc204865826 \h </w:instrText>
            </w:r>
            <w:r>
              <w:rPr>
                <w:noProof/>
                <w:webHidden/>
              </w:rPr>
            </w:r>
            <w:r>
              <w:rPr>
                <w:noProof/>
                <w:webHidden/>
              </w:rPr>
              <w:fldChar w:fldCharType="separate"/>
            </w:r>
            <w:r w:rsidR="00BE310D">
              <w:rPr>
                <w:noProof/>
                <w:webHidden/>
              </w:rPr>
              <w:t>8</w:t>
            </w:r>
            <w:r>
              <w:rPr>
                <w:noProof/>
                <w:webHidden/>
              </w:rPr>
              <w:fldChar w:fldCharType="end"/>
            </w:r>
          </w:hyperlink>
        </w:p>
        <w:p w14:paraId="21D28635" w14:textId="06425F5F" w:rsidR="00F55698" w:rsidRDefault="00F55698">
          <w:pPr>
            <w:pStyle w:val="TOC1"/>
            <w:rPr>
              <w:rFonts w:asciiTheme="minorHAnsi" w:eastAsiaTheme="minorEastAsia" w:hAnsiTheme="minorHAnsi"/>
              <w:b w:val="0"/>
              <w:caps w:val="0"/>
              <w:noProof/>
              <w:kern w:val="2"/>
              <w:lang w:val="en-US"/>
              <w14:ligatures w14:val="standardContextual"/>
            </w:rPr>
          </w:pPr>
          <w:hyperlink w:anchor="_Toc204865827" w:history="1">
            <w:r w:rsidRPr="008A2A40">
              <w:rPr>
                <w:rStyle w:val="Hyperlink"/>
                <w:noProof/>
              </w:rPr>
              <w:t>V.</w:t>
            </w:r>
            <w:r>
              <w:rPr>
                <w:rFonts w:asciiTheme="minorHAnsi" w:eastAsiaTheme="minorEastAsia" w:hAnsiTheme="minorHAnsi"/>
                <w:b w:val="0"/>
                <w:caps w:val="0"/>
                <w:noProof/>
                <w:kern w:val="2"/>
                <w:lang w:val="en-US"/>
                <w14:ligatures w14:val="standardContextual"/>
              </w:rPr>
              <w:tab/>
            </w:r>
            <w:r w:rsidRPr="008A2A40">
              <w:rPr>
                <w:rStyle w:val="Hyperlink"/>
                <w:noProof/>
              </w:rPr>
              <w:t>article xxiv</w:t>
            </w:r>
            <w:r>
              <w:rPr>
                <w:noProof/>
                <w:webHidden/>
              </w:rPr>
              <w:tab/>
            </w:r>
            <w:r>
              <w:rPr>
                <w:noProof/>
                <w:webHidden/>
              </w:rPr>
              <w:fldChar w:fldCharType="begin"/>
            </w:r>
            <w:r>
              <w:rPr>
                <w:noProof/>
                <w:webHidden/>
              </w:rPr>
              <w:instrText xml:space="preserve"> PAGEREF _Toc204865827 \h </w:instrText>
            </w:r>
            <w:r>
              <w:rPr>
                <w:noProof/>
                <w:webHidden/>
              </w:rPr>
            </w:r>
            <w:r>
              <w:rPr>
                <w:noProof/>
                <w:webHidden/>
              </w:rPr>
              <w:fldChar w:fldCharType="separate"/>
            </w:r>
            <w:r w:rsidR="00BE310D">
              <w:rPr>
                <w:noProof/>
                <w:webHidden/>
              </w:rPr>
              <w:t>9</w:t>
            </w:r>
            <w:r>
              <w:rPr>
                <w:noProof/>
                <w:webHidden/>
              </w:rPr>
              <w:fldChar w:fldCharType="end"/>
            </w:r>
          </w:hyperlink>
        </w:p>
        <w:p w14:paraId="24735428" w14:textId="3DE34F06" w:rsidR="00F55698" w:rsidRDefault="00F55698">
          <w:pPr>
            <w:pStyle w:val="TOC1"/>
            <w:rPr>
              <w:rFonts w:asciiTheme="minorHAnsi" w:eastAsiaTheme="minorEastAsia" w:hAnsiTheme="minorHAnsi"/>
              <w:b w:val="0"/>
              <w:caps w:val="0"/>
              <w:noProof/>
              <w:kern w:val="2"/>
              <w:lang w:val="en-US"/>
              <w14:ligatures w14:val="standardContextual"/>
            </w:rPr>
          </w:pPr>
          <w:hyperlink w:anchor="_Toc204865828" w:history="1">
            <w:r w:rsidRPr="008A2A40">
              <w:rPr>
                <w:rStyle w:val="Hyperlink"/>
                <w:noProof/>
              </w:rPr>
              <w:t>VI.</w:t>
            </w:r>
            <w:r>
              <w:rPr>
                <w:rFonts w:asciiTheme="minorHAnsi" w:eastAsiaTheme="minorEastAsia" w:hAnsiTheme="minorHAnsi"/>
                <w:b w:val="0"/>
                <w:caps w:val="0"/>
                <w:noProof/>
                <w:kern w:val="2"/>
                <w:lang w:val="en-US"/>
                <w14:ligatures w14:val="standardContextual"/>
              </w:rPr>
              <w:tab/>
            </w:r>
            <w:r w:rsidRPr="008A2A40">
              <w:rPr>
                <w:rStyle w:val="Hyperlink"/>
                <w:noProof/>
              </w:rPr>
              <w:t>conclusion</w:t>
            </w:r>
            <w:r>
              <w:rPr>
                <w:noProof/>
                <w:webHidden/>
              </w:rPr>
              <w:tab/>
            </w:r>
            <w:r>
              <w:rPr>
                <w:noProof/>
                <w:webHidden/>
              </w:rPr>
              <w:fldChar w:fldCharType="begin"/>
            </w:r>
            <w:r>
              <w:rPr>
                <w:noProof/>
                <w:webHidden/>
              </w:rPr>
              <w:instrText xml:space="preserve"> PAGEREF _Toc204865828 \h </w:instrText>
            </w:r>
            <w:r>
              <w:rPr>
                <w:noProof/>
                <w:webHidden/>
              </w:rPr>
            </w:r>
            <w:r>
              <w:rPr>
                <w:noProof/>
                <w:webHidden/>
              </w:rPr>
              <w:fldChar w:fldCharType="separate"/>
            </w:r>
            <w:r w:rsidR="00BE310D">
              <w:rPr>
                <w:noProof/>
                <w:webHidden/>
              </w:rPr>
              <w:t>11</w:t>
            </w:r>
            <w:r>
              <w:rPr>
                <w:noProof/>
                <w:webHidden/>
              </w:rPr>
              <w:fldChar w:fldCharType="end"/>
            </w:r>
          </w:hyperlink>
        </w:p>
        <w:p w14:paraId="3EF40CBE" w14:textId="77703F25" w:rsidR="00112CBA" w:rsidRPr="00C564DD" w:rsidRDefault="00F945DB" w:rsidP="00A44CD4">
          <w:pPr>
            <w:pStyle w:val="BTNSSBodyTextNoSpacingSmall"/>
          </w:pPr>
          <w:r w:rsidRPr="00C564DD">
            <w:rPr>
              <w:rFonts w:eastAsiaTheme="majorEastAsia" w:cstheme="majorBidi"/>
              <w:sz w:val="24"/>
              <w:szCs w:val="32"/>
            </w:rPr>
            <w:fldChar w:fldCharType="end"/>
          </w:r>
        </w:p>
      </w:sdtContent>
    </w:sdt>
    <w:p w14:paraId="45A01575" w14:textId="46F340A1" w:rsidR="00F945DB" w:rsidRPr="00C564DD" w:rsidRDefault="00F945DB" w:rsidP="00C73188">
      <w:pPr>
        <w:pStyle w:val="SHSectionHeading"/>
      </w:pPr>
      <w:bookmarkStart w:id="0" w:name="_Toc204865821"/>
      <w:r w:rsidRPr="00C564DD">
        <w:t>Table of Cases</w:t>
      </w:r>
      <w:bookmarkEnd w:id="0"/>
    </w:p>
    <w:tbl>
      <w:tblPr>
        <w:tblStyle w:val="TableGrid"/>
        <w:tblW w:w="5000" w:type="pct"/>
        <w:tblLook w:val="04A0" w:firstRow="1" w:lastRow="0" w:firstColumn="1" w:lastColumn="0" w:noHBand="0" w:noVBand="1"/>
      </w:tblPr>
      <w:tblGrid>
        <w:gridCol w:w="2265"/>
        <w:gridCol w:w="6795"/>
      </w:tblGrid>
      <w:tr w:rsidR="008A1191" w:rsidRPr="00C564DD" w14:paraId="313B47E0" w14:textId="77777777" w:rsidTr="008A4C51">
        <w:trPr>
          <w:cantSplit/>
          <w:trHeight w:val="397"/>
          <w:tblHeader/>
        </w:trPr>
        <w:tc>
          <w:tcPr>
            <w:tcW w:w="2265" w:type="dxa"/>
            <w:shd w:val="clear" w:color="auto" w:fill="D9D9D9" w:themeFill="background1" w:themeFillShade="D9"/>
          </w:tcPr>
          <w:p w14:paraId="29640418" w14:textId="77777777" w:rsidR="008A1191" w:rsidRPr="00C564DD" w:rsidRDefault="008A1191" w:rsidP="008A4C51">
            <w:pPr>
              <w:pStyle w:val="THTableHeading"/>
              <w:jc w:val="center"/>
            </w:pPr>
            <w:r w:rsidRPr="00C564DD">
              <w:t>Short Title</w:t>
            </w:r>
          </w:p>
        </w:tc>
        <w:tc>
          <w:tcPr>
            <w:tcW w:w="6795" w:type="dxa"/>
            <w:shd w:val="clear" w:color="auto" w:fill="D9D9D9" w:themeFill="background1" w:themeFillShade="D9"/>
          </w:tcPr>
          <w:p w14:paraId="7CFDD758" w14:textId="77777777" w:rsidR="008A1191" w:rsidRPr="00C564DD" w:rsidRDefault="008A1191" w:rsidP="008A4C51">
            <w:pPr>
              <w:pStyle w:val="THTableHeading"/>
              <w:jc w:val="center"/>
            </w:pPr>
            <w:r w:rsidRPr="00C564DD">
              <w:t>Full Case Title and Citation</w:t>
            </w:r>
          </w:p>
        </w:tc>
      </w:tr>
      <w:tr w:rsidR="008A1191" w:rsidRPr="00C564DD" w14:paraId="017CB46F" w14:textId="77777777" w:rsidTr="008A4C51">
        <w:trPr>
          <w:cantSplit/>
          <w:trHeight w:val="397"/>
        </w:trPr>
        <w:tc>
          <w:tcPr>
            <w:tcW w:w="2265" w:type="dxa"/>
          </w:tcPr>
          <w:p w14:paraId="4A412E6C" w14:textId="57880038" w:rsidR="008A1191" w:rsidRPr="00C564DD" w:rsidRDefault="00112CBA" w:rsidP="008A4C51">
            <w:pPr>
              <w:pStyle w:val="TTTableText"/>
            </w:pPr>
            <w:r w:rsidRPr="00C564DD">
              <w:rPr>
                <w:i/>
                <w:iCs/>
              </w:rPr>
              <w:t>Brazil – Retreaded Tyres</w:t>
            </w:r>
          </w:p>
        </w:tc>
        <w:tc>
          <w:tcPr>
            <w:tcW w:w="6795" w:type="dxa"/>
          </w:tcPr>
          <w:p w14:paraId="419EBB1A" w14:textId="3CE22B6C" w:rsidR="008A1191" w:rsidRPr="00C564DD" w:rsidRDefault="00112CBA" w:rsidP="008A4C51">
            <w:pPr>
              <w:pStyle w:val="TTTableText"/>
            </w:pPr>
            <w:r w:rsidRPr="00C564DD">
              <w:rPr>
                <w:i/>
                <w:iCs/>
              </w:rPr>
              <w:t xml:space="preserve">Appellate Body Report, Brazil – Measures Affecting Imports of Retreaded Tyres, WT/DS332/AB/R, adopted 17 December 2007, DSR </w:t>
            </w:r>
            <w:proofErr w:type="gramStart"/>
            <w:r w:rsidRPr="00C564DD">
              <w:rPr>
                <w:i/>
                <w:iCs/>
              </w:rPr>
              <w:t>2007:IV</w:t>
            </w:r>
            <w:proofErr w:type="gramEnd"/>
            <w:r w:rsidRPr="00C564DD">
              <w:rPr>
                <w:i/>
                <w:iCs/>
              </w:rPr>
              <w:t>, p. 1527</w:t>
            </w:r>
          </w:p>
        </w:tc>
      </w:tr>
      <w:tr w:rsidR="00112CBA" w:rsidRPr="00C564DD" w14:paraId="2F9AE7DD" w14:textId="77777777" w:rsidTr="008A4C51">
        <w:trPr>
          <w:cantSplit/>
          <w:trHeight w:val="397"/>
        </w:trPr>
        <w:tc>
          <w:tcPr>
            <w:tcW w:w="2265" w:type="dxa"/>
          </w:tcPr>
          <w:p w14:paraId="1C9ABB1D" w14:textId="57575F03" w:rsidR="00112CBA" w:rsidRPr="00C564DD" w:rsidRDefault="00112CBA" w:rsidP="00112CBA">
            <w:pPr>
              <w:pStyle w:val="TTTableText"/>
              <w:rPr>
                <w:i/>
                <w:iCs/>
              </w:rPr>
            </w:pPr>
            <w:r w:rsidRPr="00C564DD">
              <w:rPr>
                <w:i/>
                <w:iCs/>
              </w:rPr>
              <w:t xml:space="preserve">Brazil – Taxation </w:t>
            </w:r>
          </w:p>
        </w:tc>
        <w:tc>
          <w:tcPr>
            <w:tcW w:w="6795" w:type="dxa"/>
          </w:tcPr>
          <w:p w14:paraId="7932A1CA" w14:textId="77777777" w:rsidR="00112CBA" w:rsidRPr="00C564DD" w:rsidRDefault="00112CBA" w:rsidP="00112CBA">
            <w:pPr>
              <w:pStyle w:val="TTTableText"/>
              <w:rPr>
                <w:i/>
                <w:iCs/>
              </w:rPr>
            </w:pPr>
            <w:r w:rsidRPr="00C564DD">
              <w:rPr>
                <w:i/>
                <w:iCs/>
              </w:rPr>
              <w:t>Panel Reports, Brazil – Certain Measures Concerning Taxation and</w:t>
            </w:r>
            <w:r w:rsidRPr="00C564DD">
              <w:rPr>
                <w:i/>
                <w:iCs/>
              </w:rPr>
              <w:br/>
              <w:t xml:space="preserve">Charges, WT/DS472/R, </w:t>
            </w:r>
            <w:proofErr w:type="gramStart"/>
            <w:r w:rsidRPr="00C564DD">
              <w:rPr>
                <w:i/>
                <w:iCs/>
              </w:rPr>
              <w:t>Add</w:t>
            </w:r>
            <w:proofErr w:type="gramEnd"/>
            <w:r w:rsidRPr="00C564DD">
              <w:rPr>
                <w:i/>
                <w:iCs/>
              </w:rPr>
              <w:t xml:space="preserve">.1 and Corr.1 /WT/DS497/R, </w:t>
            </w:r>
            <w:proofErr w:type="gramStart"/>
            <w:r w:rsidRPr="00C564DD">
              <w:rPr>
                <w:i/>
                <w:iCs/>
              </w:rPr>
              <w:t>Add</w:t>
            </w:r>
            <w:proofErr w:type="gramEnd"/>
            <w:r w:rsidRPr="00C564DD">
              <w:rPr>
                <w:i/>
                <w:iCs/>
              </w:rPr>
              <w:t xml:space="preserve">.1 and Corr.1, adopted 11 January 2019, as modified by Appellate Body Reports WT/DS472/AB/R/WT/DS497/AB/R, DSR </w:t>
            </w:r>
            <w:proofErr w:type="gramStart"/>
            <w:r w:rsidRPr="00C564DD">
              <w:rPr>
                <w:i/>
                <w:iCs/>
              </w:rPr>
              <w:t>2019:II</w:t>
            </w:r>
            <w:proofErr w:type="gramEnd"/>
            <w:r w:rsidRPr="00C564DD">
              <w:rPr>
                <w:i/>
                <w:iCs/>
              </w:rPr>
              <w:t>, p. 345</w:t>
            </w:r>
          </w:p>
          <w:p w14:paraId="770901E7" w14:textId="2675CAAE" w:rsidR="00112CBA" w:rsidRPr="00C564DD" w:rsidRDefault="00112CBA" w:rsidP="00112CBA">
            <w:pPr>
              <w:pStyle w:val="TTTableText"/>
              <w:rPr>
                <w:i/>
                <w:iCs/>
              </w:rPr>
            </w:pPr>
            <w:r w:rsidRPr="00C564DD">
              <w:rPr>
                <w:i/>
                <w:iCs/>
              </w:rPr>
              <w:t xml:space="preserve">Appellate Body Reports, Brazil – Certain Measures Concerning Taxation and Charges, WT/DS472/AB/R and Add.1 /WT/DS497/AB/R and Add.1, adopted 11 January 2019, DSR </w:t>
            </w:r>
            <w:proofErr w:type="gramStart"/>
            <w:r w:rsidRPr="00C564DD">
              <w:rPr>
                <w:i/>
                <w:iCs/>
              </w:rPr>
              <w:t>2019:I</w:t>
            </w:r>
            <w:proofErr w:type="gramEnd"/>
            <w:r w:rsidRPr="00C564DD">
              <w:rPr>
                <w:i/>
                <w:iCs/>
              </w:rPr>
              <w:t>, p. 7</w:t>
            </w:r>
          </w:p>
        </w:tc>
      </w:tr>
      <w:tr w:rsidR="00112CBA" w:rsidRPr="00C564DD" w14:paraId="2445090F" w14:textId="77777777" w:rsidTr="008A4C51">
        <w:trPr>
          <w:cantSplit/>
          <w:trHeight w:val="397"/>
        </w:trPr>
        <w:tc>
          <w:tcPr>
            <w:tcW w:w="2265" w:type="dxa"/>
          </w:tcPr>
          <w:p w14:paraId="3AA4EB4A" w14:textId="1CC7AA52" w:rsidR="00112CBA" w:rsidRPr="00C564DD" w:rsidRDefault="00112CBA" w:rsidP="00112CBA">
            <w:pPr>
              <w:pStyle w:val="TTTableText"/>
              <w:rPr>
                <w:i/>
                <w:iCs/>
              </w:rPr>
            </w:pPr>
            <w:r w:rsidRPr="00C564DD">
              <w:rPr>
                <w:i/>
                <w:iCs/>
              </w:rPr>
              <w:t>China – Additional Duties</w:t>
            </w:r>
            <w:r w:rsidR="000960CE" w:rsidRPr="00C564DD">
              <w:rPr>
                <w:i/>
                <w:iCs/>
              </w:rPr>
              <w:t xml:space="preserve"> (US)</w:t>
            </w:r>
            <w:r w:rsidRPr="00C564DD">
              <w:rPr>
                <w:i/>
                <w:iCs/>
              </w:rPr>
              <w:t xml:space="preserve"> </w:t>
            </w:r>
          </w:p>
        </w:tc>
        <w:tc>
          <w:tcPr>
            <w:tcW w:w="6795" w:type="dxa"/>
          </w:tcPr>
          <w:p w14:paraId="63E35BC9" w14:textId="7BF5219B" w:rsidR="000960CE" w:rsidRPr="00C564DD" w:rsidRDefault="00112CBA" w:rsidP="000960CE">
            <w:pPr>
              <w:pStyle w:val="TTTableText"/>
              <w:rPr>
                <w:i/>
                <w:iCs/>
              </w:rPr>
            </w:pPr>
            <w:r w:rsidRPr="00C564DD">
              <w:rPr>
                <w:i/>
                <w:iCs/>
              </w:rPr>
              <w:t>Panel Report, China – Additional Duties on Certain Products from the United States, WT/DS558/R and Add.1, circulated to WTO Members 16 August 2023, appealed 18 September 2023</w:t>
            </w:r>
          </w:p>
        </w:tc>
      </w:tr>
      <w:tr w:rsidR="00112CBA" w:rsidRPr="00C564DD" w14:paraId="5F9BBA46" w14:textId="77777777" w:rsidTr="008A4C51">
        <w:trPr>
          <w:cantSplit/>
          <w:trHeight w:val="397"/>
        </w:trPr>
        <w:tc>
          <w:tcPr>
            <w:tcW w:w="2265" w:type="dxa"/>
          </w:tcPr>
          <w:p w14:paraId="6A4ACEFB" w14:textId="71C399CA" w:rsidR="00112CBA" w:rsidRPr="00C564DD" w:rsidRDefault="00112CBA" w:rsidP="00112CBA">
            <w:pPr>
              <w:pStyle w:val="TTTableText"/>
              <w:rPr>
                <w:i/>
                <w:iCs/>
              </w:rPr>
            </w:pPr>
            <w:r w:rsidRPr="00C564DD">
              <w:rPr>
                <w:i/>
                <w:iCs/>
              </w:rPr>
              <w:t>China – Publications and Audiovisual Products</w:t>
            </w:r>
          </w:p>
        </w:tc>
        <w:tc>
          <w:tcPr>
            <w:tcW w:w="6795" w:type="dxa"/>
          </w:tcPr>
          <w:p w14:paraId="52F36CA4" w14:textId="1D4A6D85" w:rsidR="00112CBA" w:rsidRPr="00C564DD" w:rsidRDefault="00112CBA" w:rsidP="00112CBA">
            <w:pPr>
              <w:pStyle w:val="TTTableText"/>
              <w:rPr>
                <w:i/>
                <w:iCs/>
              </w:rPr>
            </w:pPr>
            <w:r w:rsidRPr="00C564DD">
              <w:rPr>
                <w:i/>
                <w:iCs/>
              </w:rPr>
              <w:t xml:space="preserve">Appellate Body Report, China – Measures Affecting Trading Rights and Distribution Services for Certain Publications and Audiovisual Entertainment Products, WT/DS363/AB/R, adopted 19 January 2010, DSR </w:t>
            </w:r>
            <w:proofErr w:type="gramStart"/>
            <w:r w:rsidRPr="00C564DD">
              <w:rPr>
                <w:i/>
                <w:iCs/>
              </w:rPr>
              <w:t>2010:I</w:t>
            </w:r>
            <w:proofErr w:type="gramEnd"/>
            <w:r w:rsidRPr="00C564DD">
              <w:rPr>
                <w:i/>
                <w:iCs/>
              </w:rPr>
              <w:t>, p. 3</w:t>
            </w:r>
          </w:p>
        </w:tc>
      </w:tr>
      <w:tr w:rsidR="00112CBA" w:rsidRPr="00C564DD" w14:paraId="5DD6A076" w14:textId="77777777" w:rsidTr="008A4C51">
        <w:trPr>
          <w:cantSplit/>
          <w:trHeight w:val="397"/>
        </w:trPr>
        <w:tc>
          <w:tcPr>
            <w:tcW w:w="2265" w:type="dxa"/>
          </w:tcPr>
          <w:p w14:paraId="74460271" w14:textId="4F1AB88C" w:rsidR="00112CBA" w:rsidRPr="00C564DD" w:rsidRDefault="00112CBA" w:rsidP="00112CBA">
            <w:pPr>
              <w:pStyle w:val="TTTableText"/>
              <w:rPr>
                <w:i/>
                <w:iCs/>
              </w:rPr>
            </w:pPr>
            <w:r w:rsidRPr="00C564DD">
              <w:rPr>
                <w:i/>
                <w:iCs/>
              </w:rPr>
              <w:t xml:space="preserve">EC – Chicken Cuts </w:t>
            </w:r>
          </w:p>
        </w:tc>
        <w:tc>
          <w:tcPr>
            <w:tcW w:w="6795" w:type="dxa"/>
          </w:tcPr>
          <w:p w14:paraId="3CD8A249" w14:textId="19F2BE3F" w:rsidR="00112CBA" w:rsidRPr="00C564DD" w:rsidRDefault="00112CBA" w:rsidP="00112CBA">
            <w:pPr>
              <w:pStyle w:val="TTTableText"/>
              <w:rPr>
                <w:i/>
                <w:iCs/>
              </w:rPr>
            </w:pPr>
            <w:r w:rsidRPr="00C564DD">
              <w:rPr>
                <w:i/>
                <w:iCs/>
              </w:rPr>
              <w:t xml:space="preserve">Panel Reports, European Communities – Customs Classification of Frozen Boneless Chicken Cuts, WT/DS269/R (Brazil) / WT/DS286/R (Thailand), adopted 27 September 2005, as modified by Appellate Body Report WT/DS269/AB/R, WT/DS286/AB/R, DSR </w:t>
            </w:r>
            <w:proofErr w:type="gramStart"/>
            <w:r w:rsidRPr="00C564DD">
              <w:rPr>
                <w:i/>
                <w:iCs/>
              </w:rPr>
              <w:t>2005:XIX</w:t>
            </w:r>
            <w:proofErr w:type="gramEnd"/>
            <w:r w:rsidRPr="00C564DD">
              <w:rPr>
                <w:i/>
                <w:iCs/>
              </w:rPr>
              <w:t xml:space="preserve">, p. 9295 / DSR </w:t>
            </w:r>
            <w:proofErr w:type="gramStart"/>
            <w:r w:rsidRPr="00C564DD">
              <w:rPr>
                <w:i/>
                <w:iCs/>
              </w:rPr>
              <w:t>2005:XX</w:t>
            </w:r>
            <w:proofErr w:type="gramEnd"/>
            <w:r w:rsidRPr="00C564DD">
              <w:rPr>
                <w:i/>
                <w:iCs/>
              </w:rPr>
              <w:t>, p. 9721</w:t>
            </w:r>
          </w:p>
        </w:tc>
      </w:tr>
      <w:tr w:rsidR="00112CBA" w:rsidRPr="00C564DD" w14:paraId="781A06DA" w14:textId="77777777" w:rsidTr="008A4C51">
        <w:trPr>
          <w:cantSplit/>
          <w:trHeight w:val="397"/>
        </w:trPr>
        <w:tc>
          <w:tcPr>
            <w:tcW w:w="2265" w:type="dxa"/>
          </w:tcPr>
          <w:p w14:paraId="0DD6B5D2" w14:textId="6E169D90" w:rsidR="00112CBA" w:rsidRPr="00C564DD" w:rsidRDefault="00112CBA" w:rsidP="00112CBA">
            <w:pPr>
              <w:pStyle w:val="TTTableText"/>
              <w:rPr>
                <w:i/>
                <w:iCs/>
              </w:rPr>
            </w:pPr>
            <w:r w:rsidRPr="00C564DD">
              <w:rPr>
                <w:i/>
                <w:iCs/>
              </w:rPr>
              <w:t>EC – Computer Equipment</w:t>
            </w:r>
          </w:p>
        </w:tc>
        <w:tc>
          <w:tcPr>
            <w:tcW w:w="6795" w:type="dxa"/>
          </w:tcPr>
          <w:p w14:paraId="010A02CC" w14:textId="34AF3BE5" w:rsidR="00112CBA" w:rsidRPr="00C564DD" w:rsidRDefault="00112CBA" w:rsidP="00112CBA">
            <w:pPr>
              <w:pStyle w:val="TTTableText"/>
              <w:rPr>
                <w:i/>
                <w:iCs/>
              </w:rPr>
            </w:pPr>
            <w:r w:rsidRPr="00C564DD">
              <w:rPr>
                <w:i/>
                <w:iCs/>
              </w:rPr>
              <w:t xml:space="preserve">Appellate Body Report, European Communities – Customs Classification of Certain Computer Equipment, WT/DS62/AB/R, WT/DS67/AB/R, WT/DS68/AB/R, adopted 22 June 1998, DSR </w:t>
            </w:r>
            <w:proofErr w:type="gramStart"/>
            <w:r w:rsidRPr="00C564DD">
              <w:rPr>
                <w:i/>
                <w:iCs/>
              </w:rPr>
              <w:t>1998:V</w:t>
            </w:r>
            <w:proofErr w:type="gramEnd"/>
            <w:r w:rsidRPr="00C564DD">
              <w:rPr>
                <w:i/>
                <w:iCs/>
              </w:rPr>
              <w:t>, p. 1851</w:t>
            </w:r>
          </w:p>
        </w:tc>
      </w:tr>
      <w:tr w:rsidR="00112CBA" w:rsidRPr="00C564DD" w14:paraId="6107A44C" w14:textId="77777777" w:rsidTr="008A4C51">
        <w:trPr>
          <w:cantSplit/>
          <w:trHeight w:val="397"/>
        </w:trPr>
        <w:tc>
          <w:tcPr>
            <w:tcW w:w="2265" w:type="dxa"/>
          </w:tcPr>
          <w:p w14:paraId="70A65926" w14:textId="62907A2C" w:rsidR="00112CBA" w:rsidRPr="00C564DD" w:rsidRDefault="00112CBA" w:rsidP="00112CBA">
            <w:pPr>
              <w:pStyle w:val="TTTableText"/>
              <w:rPr>
                <w:i/>
                <w:iCs/>
              </w:rPr>
            </w:pPr>
            <w:r w:rsidRPr="00C564DD">
              <w:rPr>
                <w:i/>
                <w:iCs/>
              </w:rPr>
              <w:lastRenderedPageBreak/>
              <w:t>EC – Export Subsidies on Sugar</w:t>
            </w:r>
          </w:p>
        </w:tc>
        <w:tc>
          <w:tcPr>
            <w:tcW w:w="6795" w:type="dxa"/>
          </w:tcPr>
          <w:p w14:paraId="38B70A01" w14:textId="159F3673" w:rsidR="00112CBA" w:rsidRPr="00C564DD" w:rsidRDefault="00112CBA" w:rsidP="00112CBA">
            <w:pPr>
              <w:pStyle w:val="TTTableText"/>
              <w:rPr>
                <w:i/>
                <w:iCs/>
              </w:rPr>
            </w:pPr>
            <w:r w:rsidRPr="00C564DD">
              <w:rPr>
                <w:i/>
                <w:iCs/>
              </w:rPr>
              <w:t xml:space="preserve">Appellate Body Report, European Communities – Export Subsidies on Sugar, WT/DS265/AB/R, WT/DS266/AB/R, WT/DS283/AB/R, adopted 19 May 2005, DSR </w:t>
            </w:r>
            <w:proofErr w:type="gramStart"/>
            <w:r w:rsidRPr="00C564DD">
              <w:rPr>
                <w:i/>
                <w:iCs/>
              </w:rPr>
              <w:t>2005:XIII</w:t>
            </w:r>
            <w:proofErr w:type="gramEnd"/>
            <w:r w:rsidRPr="00C564DD">
              <w:rPr>
                <w:i/>
                <w:iCs/>
              </w:rPr>
              <w:t>, p. 6365</w:t>
            </w:r>
          </w:p>
        </w:tc>
      </w:tr>
      <w:tr w:rsidR="00112CBA" w:rsidRPr="00C564DD" w14:paraId="2F40CC5F" w14:textId="77777777" w:rsidTr="008A4C51">
        <w:trPr>
          <w:cantSplit/>
          <w:trHeight w:val="397"/>
        </w:trPr>
        <w:tc>
          <w:tcPr>
            <w:tcW w:w="2265" w:type="dxa"/>
          </w:tcPr>
          <w:p w14:paraId="7D36F2F0" w14:textId="081184A8" w:rsidR="00112CBA" w:rsidRPr="00C564DD" w:rsidRDefault="00112CBA" w:rsidP="00112CBA">
            <w:pPr>
              <w:pStyle w:val="TTTableText"/>
              <w:rPr>
                <w:i/>
                <w:iCs/>
              </w:rPr>
            </w:pPr>
            <w:r w:rsidRPr="00C564DD">
              <w:rPr>
                <w:i/>
                <w:iCs/>
              </w:rPr>
              <w:t xml:space="preserve">EC – Seal Products </w:t>
            </w:r>
          </w:p>
        </w:tc>
        <w:tc>
          <w:tcPr>
            <w:tcW w:w="6795" w:type="dxa"/>
          </w:tcPr>
          <w:p w14:paraId="4012E0A4" w14:textId="588DC2EE" w:rsidR="00112CBA" w:rsidRPr="00C564DD" w:rsidRDefault="00112CBA" w:rsidP="00112CBA">
            <w:pPr>
              <w:pStyle w:val="TTTableText"/>
              <w:rPr>
                <w:i/>
                <w:iCs/>
              </w:rPr>
            </w:pPr>
            <w:r w:rsidRPr="00C564DD">
              <w:rPr>
                <w:i/>
                <w:iCs/>
              </w:rPr>
              <w:t xml:space="preserve">Appellate Body Reports, European Communities – Measures Prohibiting the Importation and Marketing of Seal Products, WT/DS400/AB/R / WT/DS401/AB/R, adopted 18 June 2014, DSR </w:t>
            </w:r>
            <w:proofErr w:type="gramStart"/>
            <w:r w:rsidRPr="00C564DD">
              <w:rPr>
                <w:i/>
                <w:iCs/>
              </w:rPr>
              <w:t>2014:I</w:t>
            </w:r>
            <w:proofErr w:type="gramEnd"/>
            <w:r w:rsidRPr="00C564DD">
              <w:rPr>
                <w:i/>
                <w:iCs/>
              </w:rPr>
              <w:t>, p. 7</w:t>
            </w:r>
          </w:p>
        </w:tc>
      </w:tr>
      <w:tr w:rsidR="00112CBA" w:rsidRPr="00C564DD" w14:paraId="07F173DB" w14:textId="77777777" w:rsidTr="008A4C51">
        <w:trPr>
          <w:cantSplit/>
          <w:trHeight w:val="397"/>
        </w:trPr>
        <w:tc>
          <w:tcPr>
            <w:tcW w:w="2265" w:type="dxa"/>
          </w:tcPr>
          <w:p w14:paraId="63ED155A" w14:textId="10E54159" w:rsidR="00112CBA" w:rsidRPr="00C564DD" w:rsidRDefault="00112CBA" w:rsidP="00112CBA">
            <w:pPr>
              <w:pStyle w:val="TTTableText"/>
              <w:rPr>
                <w:i/>
                <w:iCs/>
              </w:rPr>
            </w:pPr>
            <w:r w:rsidRPr="00C564DD">
              <w:rPr>
                <w:i/>
                <w:iCs/>
              </w:rPr>
              <w:t>EC – Tariff Preferences</w:t>
            </w:r>
          </w:p>
        </w:tc>
        <w:tc>
          <w:tcPr>
            <w:tcW w:w="6795" w:type="dxa"/>
          </w:tcPr>
          <w:p w14:paraId="19590A6B" w14:textId="5541C161" w:rsidR="00112CBA" w:rsidRPr="00C564DD" w:rsidRDefault="00112CBA" w:rsidP="00112CBA">
            <w:pPr>
              <w:pStyle w:val="TTTableText"/>
              <w:rPr>
                <w:i/>
                <w:iCs/>
              </w:rPr>
            </w:pPr>
            <w:r w:rsidRPr="00C564DD">
              <w:rPr>
                <w:i/>
                <w:iCs/>
              </w:rPr>
              <w:t xml:space="preserve">Appellate Body Report, European Communities – Conditions for the Granting of Tariff Preferences to Developing Countries, WT/DS246/AB/R, adopted 20 April 2004, DSR </w:t>
            </w:r>
            <w:proofErr w:type="gramStart"/>
            <w:r w:rsidRPr="00C564DD">
              <w:rPr>
                <w:i/>
                <w:iCs/>
              </w:rPr>
              <w:t>2004:III</w:t>
            </w:r>
            <w:proofErr w:type="gramEnd"/>
            <w:r w:rsidRPr="00C564DD">
              <w:rPr>
                <w:i/>
                <w:iCs/>
              </w:rPr>
              <w:t>, p. 925</w:t>
            </w:r>
          </w:p>
        </w:tc>
      </w:tr>
      <w:tr w:rsidR="00C564DD" w:rsidRPr="00C564DD" w14:paraId="08DE5091" w14:textId="77777777" w:rsidTr="008A4C51">
        <w:trPr>
          <w:cantSplit/>
          <w:trHeight w:val="397"/>
        </w:trPr>
        <w:tc>
          <w:tcPr>
            <w:tcW w:w="2265" w:type="dxa"/>
          </w:tcPr>
          <w:p w14:paraId="6E1CF2BF" w14:textId="75376776" w:rsidR="00C564DD" w:rsidRPr="00C564DD" w:rsidRDefault="00C564DD" w:rsidP="00112CBA">
            <w:pPr>
              <w:pStyle w:val="TTTableText"/>
              <w:rPr>
                <w:i/>
                <w:iCs/>
                <w:lang w:val="es-AR"/>
              </w:rPr>
            </w:pPr>
            <w:r w:rsidRPr="00C564DD">
              <w:rPr>
                <w:i/>
                <w:iCs/>
                <w:lang w:val="es-AR"/>
              </w:rPr>
              <w:t>EU – Palm Oil (Malaysia)</w:t>
            </w:r>
          </w:p>
        </w:tc>
        <w:tc>
          <w:tcPr>
            <w:tcW w:w="6795" w:type="dxa"/>
          </w:tcPr>
          <w:p w14:paraId="67998DB5" w14:textId="6904B8EE" w:rsidR="00C564DD" w:rsidRPr="00C564DD" w:rsidRDefault="00C564DD" w:rsidP="00112CBA">
            <w:pPr>
              <w:pStyle w:val="TTTableText"/>
              <w:rPr>
                <w:i/>
                <w:iCs/>
              </w:rPr>
            </w:pPr>
            <w:r w:rsidRPr="00C564DD">
              <w:rPr>
                <w:i/>
                <w:iCs/>
              </w:rPr>
              <w:t>Panel Report, European Union and Certain Member States – Certain Measures Concerning Palm Oil and Oil Palm Crop-Based Biofuels, WT/DS600/R and Add.1, adopted 26 April 2024</w:t>
            </w:r>
          </w:p>
        </w:tc>
      </w:tr>
      <w:tr w:rsidR="00112CBA" w:rsidRPr="00C564DD" w14:paraId="5D3CAB8C" w14:textId="77777777" w:rsidTr="008A4C51">
        <w:trPr>
          <w:cantSplit/>
          <w:trHeight w:val="397"/>
        </w:trPr>
        <w:tc>
          <w:tcPr>
            <w:tcW w:w="2265" w:type="dxa"/>
          </w:tcPr>
          <w:p w14:paraId="31828589" w14:textId="05257EE1" w:rsidR="001016BA" w:rsidRPr="00C564DD" w:rsidRDefault="001016BA" w:rsidP="00112CBA">
            <w:pPr>
              <w:pStyle w:val="TTTableText"/>
              <w:rPr>
                <w:i/>
                <w:iCs/>
                <w:lang w:val="es-AR"/>
              </w:rPr>
            </w:pPr>
            <w:r w:rsidRPr="00C564DD">
              <w:rPr>
                <w:i/>
                <w:iCs/>
                <w:lang w:val="es-AR"/>
              </w:rPr>
              <w:t>EU – Palm Oil (Indonesia)</w:t>
            </w:r>
          </w:p>
        </w:tc>
        <w:tc>
          <w:tcPr>
            <w:tcW w:w="6795" w:type="dxa"/>
          </w:tcPr>
          <w:p w14:paraId="77499742" w14:textId="45B43393" w:rsidR="00112CBA" w:rsidRPr="00C564DD" w:rsidRDefault="00112CBA" w:rsidP="00112CBA">
            <w:pPr>
              <w:pStyle w:val="TTTableText"/>
              <w:rPr>
                <w:i/>
                <w:iCs/>
              </w:rPr>
            </w:pPr>
            <w:r w:rsidRPr="00C564DD">
              <w:rPr>
                <w:i/>
                <w:iCs/>
              </w:rPr>
              <w:t>Panel Report, European Union – Certain Measures Concerning Palm Oil and Oil Palm Crop-based Biofuels, WT/DS593/R and Add.1, adopted 24 February 2025</w:t>
            </w:r>
          </w:p>
        </w:tc>
      </w:tr>
      <w:tr w:rsidR="00112CBA" w:rsidRPr="00C564DD" w14:paraId="66CF3C43" w14:textId="77777777" w:rsidTr="008A4C51">
        <w:trPr>
          <w:cantSplit/>
          <w:trHeight w:val="397"/>
        </w:trPr>
        <w:tc>
          <w:tcPr>
            <w:tcW w:w="2265" w:type="dxa"/>
          </w:tcPr>
          <w:p w14:paraId="7B8DFB56" w14:textId="3D230921" w:rsidR="00112CBA" w:rsidRPr="00C564DD" w:rsidRDefault="00112CBA" w:rsidP="00112CBA">
            <w:pPr>
              <w:pStyle w:val="TTTableText"/>
              <w:rPr>
                <w:i/>
                <w:iCs/>
              </w:rPr>
            </w:pPr>
            <w:r w:rsidRPr="00C564DD">
              <w:rPr>
                <w:i/>
                <w:iCs/>
              </w:rPr>
              <w:t xml:space="preserve">India – Tariffs on ICT Goods </w:t>
            </w:r>
            <w:r w:rsidR="000960CE" w:rsidRPr="00C564DD">
              <w:rPr>
                <w:i/>
                <w:iCs/>
              </w:rPr>
              <w:t xml:space="preserve"> </w:t>
            </w:r>
          </w:p>
        </w:tc>
        <w:tc>
          <w:tcPr>
            <w:tcW w:w="6795" w:type="dxa"/>
          </w:tcPr>
          <w:p w14:paraId="10F01E83" w14:textId="528158A4" w:rsidR="00112CBA" w:rsidRPr="00C564DD" w:rsidRDefault="00112CBA" w:rsidP="00112CBA">
            <w:pPr>
              <w:pStyle w:val="TTTableText"/>
              <w:rPr>
                <w:i/>
                <w:iCs/>
              </w:rPr>
            </w:pPr>
            <w:r w:rsidRPr="00C564DD">
              <w:rPr>
                <w:i/>
                <w:iCs/>
              </w:rPr>
              <w:t>Panel Reports, India – Tariff Treatment on Certain Goods in the Information and Communications Technology Sector, WT/DS582/R and Add.1 (EU) / WT/DS584/R and Add.1 (Japan) / WT/DS588/R and Add.1 (Chinese Taipei), circulated to WTO Members 17 April 2023</w:t>
            </w:r>
          </w:p>
        </w:tc>
      </w:tr>
      <w:tr w:rsidR="00112CBA" w:rsidRPr="00C564DD" w14:paraId="6E26AE2D" w14:textId="77777777" w:rsidTr="008A4C51">
        <w:trPr>
          <w:cantSplit/>
          <w:trHeight w:val="397"/>
        </w:trPr>
        <w:tc>
          <w:tcPr>
            <w:tcW w:w="2265" w:type="dxa"/>
          </w:tcPr>
          <w:p w14:paraId="3747CAC7" w14:textId="752157C1" w:rsidR="00112CBA" w:rsidRPr="00C564DD" w:rsidRDefault="00112CBA" w:rsidP="00112CBA">
            <w:pPr>
              <w:pStyle w:val="TTTableText"/>
              <w:rPr>
                <w:i/>
                <w:iCs/>
              </w:rPr>
            </w:pPr>
            <w:r w:rsidRPr="00C564DD">
              <w:rPr>
                <w:i/>
                <w:iCs/>
              </w:rPr>
              <w:t>Indonesia – Import Licensing Regimes</w:t>
            </w:r>
          </w:p>
        </w:tc>
        <w:tc>
          <w:tcPr>
            <w:tcW w:w="6795" w:type="dxa"/>
          </w:tcPr>
          <w:p w14:paraId="583B1879" w14:textId="3F622A2A" w:rsidR="00112CBA" w:rsidRPr="00C564DD" w:rsidRDefault="00112CBA" w:rsidP="00112CBA">
            <w:pPr>
              <w:pStyle w:val="TTTableText"/>
              <w:rPr>
                <w:i/>
                <w:iCs/>
              </w:rPr>
            </w:pPr>
            <w:r w:rsidRPr="00C564DD">
              <w:rPr>
                <w:i/>
                <w:iCs/>
              </w:rPr>
              <w:t xml:space="preserve">Appellate Body Report, Indonesia – Importation of Horticultural Products, Animals and Animal Products, WT/DS477/AB/R, WT/DS478/AB/R, and Add.1, adopted 22 November 2017, DSR </w:t>
            </w:r>
            <w:proofErr w:type="gramStart"/>
            <w:r w:rsidRPr="00C564DD">
              <w:rPr>
                <w:i/>
                <w:iCs/>
              </w:rPr>
              <w:t>2017:VII</w:t>
            </w:r>
            <w:proofErr w:type="gramEnd"/>
            <w:r w:rsidRPr="00C564DD">
              <w:rPr>
                <w:i/>
                <w:iCs/>
              </w:rPr>
              <w:t>, p. 3037</w:t>
            </w:r>
          </w:p>
        </w:tc>
      </w:tr>
      <w:tr w:rsidR="00112CBA" w:rsidRPr="00C564DD" w14:paraId="1138EF17" w14:textId="77777777" w:rsidTr="008A4C51">
        <w:trPr>
          <w:cantSplit/>
          <w:trHeight w:val="397"/>
        </w:trPr>
        <w:tc>
          <w:tcPr>
            <w:tcW w:w="2265" w:type="dxa"/>
          </w:tcPr>
          <w:p w14:paraId="03317F40" w14:textId="1416C98C" w:rsidR="00112CBA" w:rsidRPr="00C564DD" w:rsidRDefault="00112CBA" w:rsidP="00112CBA">
            <w:pPr>
              <w:pStyle w:val="TTTableText"/>
              <w:rPr>
                <w:i/>
                <w:iCs/>
              </w:rPr>
            </w:pPr>
            <w:r w:rsidRPr="00C564DD">
              <w:rPr>
                <w:i/>
                <w:iCs/>
              </w:rPr>
              <w:t xml:space="preserve">US – Gasoline  </w:t>
            </w:r>
          </w:p>
        </w:tc>
        <w:tc>
          <w:tcPr>
            <w:tcW w:w="6795" w:type="dxa"/>
          </w:tcPr>
          <w:p w14:paraId="1CEB7D77" w14:textId="7FDF0D99" w:rsidR="00112CBA" w:rsidRPr="00C564DD" w:rsidRDefault="00112CBA" w:rsidP="00112CBA">
            <w:pPr>
              <w:pStyle w:val="TTTableText"/>
              <w:rPr>
                <w:i/>
                <w:iCs/>
              </w:rPr>
            </w:pPr>
            <w:r w:rsidRPr="00C564DD">
              <w:rPr>
                <w:i/>
                <w:iCs/>
              </w:rPr>
              <w:t xml:space="preserve">Appellate Body Report, United States – Standards for Reformulated and Conventional Gasoline, WT/DS2/AB/R, adopted 20 May 1996, DSR </w:t>
            </w:r>
            <w:proofErr w:type="gramStart"/>
            <w:r w:rsidRPr="00C564DD">
              <w:rPr>
                <w:i/>
                <w:iCs/>
              </w:rPr>
              <w:t>1996:I</w:t>
            </w:r>
            <w:proofErr w:type="gramEnd"/>
            <w:r w:rsidRPr="00C564DD">
              <w:rPr>
                <w:i/>
                <w:iCs/>
              </w:rPr>
              <w:t>, p. 3</w:t>
            </w:r>
          </w:p>
        </w:tc>
      </w:tr>
      <w:tr w:rsidR="00112CBA" w:rsidRPr="00C564DD" w14:paraId="28506179" w14:textId="77777777" w:rsidTr="008A4C51">
        <w:trPr>
          <w:cantSplit/>
          <w:trHeight w:val="397"/>
        </w:trPr>
        <w:tc>
          <w:tcPr>
            <w:tcW w:w="2265" w:type="dxa"/>
          </w:tcPr>
          <w:p w14:paraId="5038F9F4" w14:textId="5101F35D" w:rsidR="00112CBA" w:rsidRPr="00C564DD" w:rsidRDefault="00112CBA" w:rsidP="00112CBA">
            <w:pPr>
              <w:pStyle w:val="TTTableText"/>
              <w:rPr>
                <w:i/>
                <w:iCs/>
              </w:rPr>
            </w:pPr>
            <w:r w:rsidRPr="00C564DD">
              <w:rPr>
                <w:i/>
                <w:iCs/>
              </w:rPr>
              <w:t>US – Shrimp</w:t>
            </w:r>
          </w:p>
        </w:tc>
        <w:tc>
          <w:tcPr>
            <w:tcW w:w="6795" w:type="dxa"/>
          </w:tcPr>
          <w:p w14:paraId="34D9F31D" w14:textId="0D06C54A" w:rsidR="00112CBA" w:rsidRPr="00C564DD" w:rsidRDefault="00112CBA" w:rsidP="00112CBA">
            <w:pPr>
              <w:pStyle w:val="TTTableText"/>
              <w:rPr>
                <w:i/>
                <w:iCs/>
              </w:rPr>
            </w:pPr>
            <w:r w:rsidRPr="00C564DD">
              <w:rPr>
                <w:i/>
                <w:iCs/>
              </w:rPr>
              <w:t xml:space="preserve">Appellate Body Report, United States – Import Prohibition of Certain Shrimp and Shrimp Products, WT/DS58/AB/R, adopted 6 November 1998, DSR </w:t>
            </w:r>
            <w:proofErr w:type="gramStart"/>
            <w:r w:rsidRPr="00C564DD">
              <w:rPr>
                <w:i/>
                <w:iCs/>
              </w:rPr>
              <w:t>1998:VII</w:t>
            </w:r>
            <w:proofErr w:type="gramEnd"/>
            <w:r w:rsidRPr="00C564DD">
              <w:rPr>
                <w:i/>
                <w:iCs/>
              </w:rPr>
              <w:t>, p. 2755</w:t>
            </w:r>
          </w:p>
        </w:tc>
      </w:tr>
    </w:tbl>
    <w:p w14:paraId="2822AD97" w14:textId="467AA6BA" w:rsidR="004D7079" w:rsidRPr="00C564DD" w:rsidRDefault="004D7079" w:rsidP="00AC5F35"/>
    <w:p w14:paraId="556A343A" w14:textId="77777777" w:rsidR="008A1191" w:rsidRPr="00C564DD" w:rsidRDefault="004524CE" w:rsidP="004524CE">
      <w:pPr>
        <w:pStyle w:val="SHSectionHeading"/>
      </w:pPr>
      <w:bookmarkStart w:id="1" w:name="_Toc204865822"/>
      <w:r w:rsidRPr="00C564DD">
        <w:t>List of Acronyms, Abbreviations and Short Forms</w:t>
      </w:r>
      <w:bookmarkEnd w:id="1"/>
    </w:p>
    <w:tbl>
      <w:tblPr>
        <w:tblStyle w:val="TableGrid"/>
        <w:tblW w:w="5000" w:type="pct"/>
        <w:tblLook w:val="04A0" w:firstRow="1" w:lastRow="0" w:firstColumn="1" w:lastColumn="0" w:noHBand="0" w:noVBand="1"/>
      </w:tblPr>
      <w:tblGrid>
        <w:gridCol w:w="1696"/>
        <w:gridCol w:w="7364"/>
      </w:tblGrid>
      <w:tr w:rsidR="008A1191" w:rsidRPr="00C564DD" w14:paraId="1C5D6733" w14:textId="77777777" w:rsidTr="008A1191">
        <w:trPr>
          <w:cantSplit/>
          <w:trHeight w:val="397"/>
          <w:tblHeader/>
        </w:trPr>
        <w:tc>
          <w:tcPr>
            <w:tcW w:w="1696" w:type="dxa"/>
            <w:shd w:val="clear" w:color="auto" w:fill="D9D9D9" w:themeFill="background1" w:themeFillShade="D9"/>
          </w:tcPr>
          <w:p w14:paraId="66626727" w14:textId="77777777" w:rsidR="008A1191" w:rsidRPr="00C564DD" w:rsidRDefault="008A1191" w:rsidP="008A4C51">
            <w:pPr>
              <w:pStyle w:val="THTableHeading"/>
              <w:jc w:val="center"/>
            </w:pPr>
            <w:r w:rsidRPr="00C564DD">
              <w:t>Abbreviation</w:t>
            </w:r>
          </w:p>
        </w:tc>
        <w:tc>
          <w:tcPr>
            <w:tcW w:w="7364" w:type="dxa"/>
            <w:shd w:val="clear" w:color="auto" w:fill="D9D9D9" w:themeFill="background1" w:themeFillShade="D9"/>
          </w:tcPr>
          <w:p w14:paraId="681C2FA9" w14:textId="77777777" w:rsidR="008A1191" w:rsidRPr="00C564DD" w:rsidRDefault="008A1191" w:rsidP="008A4C51">
            <w:pPr>
              <w:pStyle w:val="THTableHeading"/>
              <w:jc w:val="center"/>
            </w:pPr>
            <w:r w:rsidRPr="00C564DD">
              <w:t>Full Form or Description</w:t>
            </w:r>
          </w:p>
        </w:tc>
      </w:tr>
      <w:tr w:rsidR="00401824" w:rsidRPr="00C564DD" w14:paraId="0F752B7E" w14:textId="77777777" w:rsidTr="008A1191">
        <w:trPr>
          <w:cantSplit/>
          <w:trHeight w:val="397"/>
        </w:trPr>
        <w:tc>
          <w:tcPr>
            <w:tcW w:w="1696" w:type="dxa"/>
          </w:tcPr>
          <w:p w14:paraId="0506737A" w14:textId="64661D84" w:rsidR="00401824" w:rsidRPr="00C564DD" w:rsidRDefault="00401824" w:rsidP="008A4C51">
            <w:pPr>
              <w:pStyle w:val="TTTableText"/>
            </w:pPr>
            <w:r w:rsidRPr="00C564DD">
              <w:t>FTA</w:t>
            </w:r>
          </w:p>
        </w:tc>
        <w:tc>
          <w:tcPr>
            <w:tcW w:w="7364" w:type="dxa"/>
          </w:tcPr>
          <w:p w14:paraId="6388BADA" w14:textId="411CE770" w:rsidR="00401824" w:rsidRPr="00C564DD" w:rsidRDefault="00401824" w:rsidP="008A4C51">
            <w:pPr>
              <w:pStyle w:val="TTTableText"/>
            </w:pPr>
            <w:r w:rsidRPr="00C564DD">
              <w:t>Free trade agreement</w:t>
            </w:r>
          </w:p>
        </w:tc>
      </w:tr>
      <w:tr w:rsidR="008A1191" w:rsidRPr="00C564DD" w14:paraId="32A54636" w14:textId="77777777" w:rsidTr="008A1191">
        <w:trPr>
          <w:cantSplit/>
          <w:trHeight w:val="397"/>
        </w:trPr>
        <w:tc>
          <w:tcPr>
            <w:tcW w:w="1696" w:type="dxa"/>
          </w:tcPr>
          <w:p w14:paraId="464CCC38" w14:textId="0203F03F" w:rsidR="008A1191" w:rsidRPr="00C564DD" w:rsidRDefault="00373C37" w:rsidP="008A4C51">
            <w:pPr>
              <w:pStyle w:val="TTTableText"/>
            </w:pPr>
            <w:r w:rsidRPr="00C564DD">
              <w:t>GATT</w:t>
            </w:r>
          </w:p>
        </w:tc>
        <w:tc>
          <w:tcPr>
            <w:tcW w:w="7364" w:type="dxa"/>
          </w:tcPr>
          <w:p w14:paraId="0B435F22" w14:textId="514424A4" w:rsidR="008A1191" w:rsidRPr="00C564DD" w:rsidRDefault="00373C37" w:rsidP="008A4C51">
            <w:pPr>
              <w:pStyle w:val="TTTableText"/>
            </w:pPr>
            <w:r w:rsidRPr="00C564DD">
              <w:t xml:space="preserve">General Agreement on Tariffs and Trade </w:t>
            </w:r>
          </w:p>
        </w:tc>
      </w:tr>
      <w:tr w:rsidR="00401824" w:rsidRPr="00C564DD" w14:paraId="1B953F1B" w14:textId="77777777" w:rsidTr="008A1191">
        <w:trPr>
          <w:cantSplit/>
          <w:trHeight w:val="397"/>
        </w:trPr>
        <w:tc>
          <w:tcPr>
            <w:tcW w:w="1696" w:type="dxa"/>
          </w:tcPr>
          <w:p w14:paraId="5D0B1A5E" w14:textId="5E25D4F0" w:rsidR="00401824" w:rsidRPr="00C564DD" w:rsidRDefault="00401824" w:rsidP="008A4C51">
            <w:pPr>
              <w:pStyle w:val="TTTableText"/>
            </w:pPr>
            <w:r w:rsidRPr="00C564DD">
              <w:t>ICJ</w:t>
            </w:r>
          </w:p>
        </w:tc>
        <w:tc>
          <w:tcPr>
            <w:tcW w:w="7364" w:type="dxa"/>
          </w:tcPr>
          <w:p w14:paraId="0DFF70C0" w14:textId="2E9B92CC" w:rsidR="00401824" w:rsidRPr="00C564DD" w:rsidRDefault="00401824" w:rsidP="008A4C51">
            <w:pPr>
              <w:pStyle w:val="TTTableText"/>
            </w:pPr>
            <w:r w:rsidRPr="00C564DD">
              <w:t>International Court of Justice</w:t>
            </w:r>
          </w:p>
        </w:tc>
      </w:tr>
      <w:tr w:rsidR="00373C37" w:rsidRPr="00C564DD" w14:paraId="5458EBF2" w14:textId="77777777" w:rsidTr="008A1191">
        <w:trPr>
          <w:cantSplit/>
          <w:trHeight w:val="397"/>
        </w:trPr>
        <w:tc>
          <w:tcPr>
            <w:tcW w:w="1696" w:type="dxa"/>
          </w:tcPr>
          <w:p w14:paraId="7850414E" w14:textId="34830AF0" w:rsidR="00373C37" w:rsidRPr="00C564DD" w:rsidRDefault="00373C37" w:rsidP="008A4C51">
            <w:pPr>
              <w:pStyle w:val="TTTableText"/>
            </w:pPr>
            <w:r w:rsidRPr="00C564DD">
              <w:t xml:space="preserve">Member </w:t>
            </w:r>
          </w:p>
        </w:tc>
        <w:tc>
          <w:tcPr>
            <w:tcW w:w="7364" w:type="dxa"/>
          </w:tcPr>
          <w:p w14:paraId="39E65508" w14:textId="2386CD95" w:rsidR="00373C37" w:rsidRPr="00C564DD" w:rsidRDefault="00373C37" w:rsidP="008A4C51">
            <w:pPr>
              <w:pStyle w:val="TTTableText"/>
            </w:pPr>
            <w:r w:rsidRPr="00C564DD">
              <w:t>Member of the World Trade Organization</w:t>
            </w:r>
          </w:p>
        </w:tc>
      </w:tr>
      <w:tr w:rsidR="00373C37" w:rsidRPr="00C564DD" w14:paraId="2DD18050" w14:textId="77777777" w:rsidTr="008A1191">
        <w:trPr>
          <w:cantSplit/>
          <w:trHeight w:val="397"/>
        </w:trPr>
        <w:tc>
          <w:tcPr>
            <w:tcW w:w="1696" w:type="dxa"/>
          </w:tcPr>
          <w:p w14:paraId="514CE08B" w14:textId="485BA20C" w:rsidR="00373C37" w:rsidRPr="00C564DD" w:rsidRDefault="00373C37" w:rsidP="008A4C51">
            <w:pPr>
              <w:pStyle w:val="TTTableText"/>
            </w:pPr>
            <w:r w:rsidRPr="00C564DD">
              <w:t>WTO</w:t>
            </w:r>
          </w:p>
        </w:tc>
        <w:tc>
          <w:tcPr>
            <w:tcW w:w="7364" w:type="dxa"/>
          </w:tcPr>
          <w:p w14:paraId="0D4F147C" w14:textId="57FCB1EB" w:rsidR="00373C37" w:rsidRPr="00C564DD" w:rsidRDefault="00373C37" w:rsidP="008A4C51">
            <w:pPr>
              <w:pStyle w:val="TTTableText"/>
            </w:pPr>
            <w:r w:rsidRPr="00C564DD">
              <w:t>World Trade Organization</w:t>
            </w:r>
          </w:p>
        </w:tc>
      </w:tr>
    </w:tbl>
    <w:p w14:paraId="1387A445" w14:textId="0F50F813" w:rsidR="00D52A17" w:rsidRPr="00C564DD" w:rsidRDefault="00750304" w:rsidP="00AC5F35">
      <w:pPr>
        <w:pStyle w:val="HL1HeadingLevel1"/>
      </w:pPr>
      <w:bookmarkStart w:id="2" w:name="_Toc204865823"/>
      <w:r w:rsidRPr="00C564DD">
        <w:rPr>
          <w:caps w:val="0"/>
        </w:rPr>
        <w:lastRenderedPageBreak/>
        <w:t>INTRODUCTION</w:t>
      </w:r>
      <w:bookmarkEnd w:id="2"/>
    </w:p>
    <w:p w14:paraId="133D4C7F" w14:textId="77777777" w:rsidR="009B22DD" w:rsidRPr="00C564DD" w:rsidRDefault="009B22DD" w:rsidP="009B22DD">
      <w:pPr>
        <w:pStyle w:val="P1-N1Paragraph1-Number1"/>
      </w:pPr>
      <w:r w:rsidRPr="00C564DD">
        <w:t xml:space="preserve">Australia welcomes the opportunity to present its views to the Panel regarding the application and interpretation of Article II, Article XX and Article XXIV of the GATT 1994. </w:t>
      </w:r>
    </w:p>
    <w:p w14:paraId="31AC5A03" w14:textId="77777777" w:rsidR="009B22DD" w:rsidRPr="00C564DD" w:rsidRDefault="009B22DD" w:rsidP="009B22DD">
      <w:pPr>
        <w:pStyle w:val="P1-N1Paragraph1-Number1"/>
      </w:pPr>
      <w:r w:rsidRPr="00C564DD">
        <w:t>In this submission, Australia will address:</w:t>
      </w:r>
    </w:p>
    <w:p w14:paraId="3C05EF92" w14:textId="77777777" w:rsidR="009B22DD" w:rsidRPr="00C564DD" w:rsidRDefault="009B22DD" w:rsidP="009B22DD">
      <w:pPr>
        <w:pStyle w:val="P2-B1Paragraph2-Bullet1"/>
      </w:pPr>
      <w:r w:rsidRPr="00C564DD">
        <w:t xml:space="preserve">The application of the bound rate in a WTO Member’s schedule of concessions to goods which undertake technological </w:t>
      </w:r>
      <w:proofErr w:type="gramStart"/>
      <w:r w:rsidRPr="00C564DD">
        <w:t>advancement;</w:t>
      </w:r>
      <w:proofErr w:type="gramEnd"/>
    </w:p>
    <w:p w14:paraId="4AC47CA5" w14:textId="77777777" w:rsidR="009B22DD" w:rsidRPr="00C564DD" w:rsidRDefault="009B22DD" w:rsidP="009B22DD">
      <w:pPr>
        <w:pStyle w:val="P2-B1Paragraph2-Bullet1"/>
      </w:pPr>
      <w:r w:rsidRPr="00C564DD">
        <w:t xml:space="preserve">Whether climate change mitigation measures can be justified by Article XX (b) and (g) of the GATT </w:t>
      </w:r>
      <w:proofErr w:type="gramStart"/>
      <w:r w:rsidRPr="00C564DD">
        <w:t>1994;</w:t>
      </w:r>
      <w:proofErr w:type="gramEnd"/>
    </w:p>
    <w:p w14:paraId="6EEEA027" w14:textId="77777777" w:rsidR="009B22DD" w:rsidRPr="00C564DD" w:rsidRDefault="009B22DD" w:rsidP="009B22DD">
      <w:pPr>
        <w:pStyle w:val="P2-B1Paragraph2-Bullet1"/>
      </w:pPr>
      <w:r w:rsidRPr="00C564DD">
        <w:t xml:space="preserve">The interpretation of the phrase “between countries where the same conditions prevail” in the </w:t>
      </w:r>
      <w:r w:rsidRPr="00C564DD">
        <w:rPr>
          <w:i/>
          <w:iCs/>
        </w:rPr>
        <w:t>chapeau</w:t>
      </w:r>
      <w:r w:rsidRPr="00C564DD">
        <w:t xml:space="preserve"> to Article XX of the GATT 1994; and</w:t>
      </w:r>
    </w:p>
    <w:p w14:paraId="5382ECAE" w14:textId="77777777" w:rsidR="009B22DD" w:rsidRPr="00C564DD" w:rsidRDefault="009B22DD" w:rsidP="009B22DD">
      <w:pPr>
        <w:pStyle w:val="P2-B1Paragraph2-Bullet1"/>
      </w:pPr>
      <w:r w:rsidRPr="00C564DD">
        <w:t>Whether a complainant bears the onus to raise Article XXIV in its panel request or first written submission.</w:t>
      </w:r>
    </w:p>
    <w:p w14:paraId="60BEBA6F" w14:textId="77777777" w:rsidR="009B22DD" w:rsidRPr="00C564DD" w:rsidRDefault="009B22DD" w:rsidP="009B22DD">
      <w:pPr>
        <w:pStyle w:val="P1-N1Paragraph1-Number1"/>
      </w:pPr>
      <w:r w:rsidRPr="00C564DD">
        <w:t xml:space="preserve">Australia does not present any position on the specific facts of this dispute and reserves the right to raise other issues at the </w:t>
      </w:r>
      <w:proofErr w:type="gramStart"/>
      <w:r w:rsidRPr="00C564DD">
        <w:t>third party</w:t>
      </w:r>
      <w:proofErr w:type="gramEnd"/>
      <w:r w:rsidRPr="00C564DD">
        <w:t xml:space="preserve"> hearing before the Panel.</w:t>
      </w:r>
    </w:p>
    <w:p w14:paraId="087FBEE5" w14:textId="34F088E7" w:rsidR="009B22DD" w:rsidRPr="00C564DD" w:rsidRDefault="00750304" w:rsidP="009B22DD">
      <w:pPr>
        <w:pStyle w:val="HL1HeadingLevel1"/>
      </w:pPr>
      <w:bookmarkStart w:id="3" w:name="_Toc204865824"/>
      <w:r>
        <w:rPr>
          <w:caps w:val="0"/>
        </w:rPr>
        <w:t>A</w:t>
      </w:r>
      <w:r w:rsidRPr="00C564DD">
        <w:rPr>
          <w:caps w:val="0"/>
        </w:rPr>
        <w:t>RTICLE II OF THE GATT AND LEGITIMATE EXPECTATIONS</w:t>
      </w:r>
      <w:bookmarkEnd w:id="3"/>
      <w:r w:rsidRPr="00C564DD">
        <w:rPr>
          <w:caps w:val="0"/>
        </w:rPr>
        <w:t xml:space="preserve"> </w:t>
      </w:r>
    </w:p>
    <w:p w14:paraId="2AE54B56" w14:textId="47A07F8C" w:rsidR="009B22DD" w:rsidRDefault="009B22DD" w:rsidP="009B22DD">
      <w:pPr>
        <w:pStyle w:val="P1-N1Paragraph1-Number1"/>
      </w:pPr>
      <w:r w:rsidRPr="00C564DD">
        <w:t>China claims that Türkiye’s additional duties on electric vehicles are inconsistent with Article II:1(b), first sentence, of the GATT 1994 because they exceed the bound rate in Türkiye’s WTO schedule of concessions, and thus are also inconsistent with Article II:1(a) of the GATT.</w:t>
      </w:r>
      <w:r w:rsidRPr="00C564DD">
        <w:rPr>
          <w:rStyle w:val="FootnoteReference"/>
        </w:rPr>
        <w:footnoteReference w:id="1"/>
      </w:r>
      <w:r w:rsidRPr="00C564DD">
        <w:t xml:space="preserve"> Türkiye claims that a Member cannot be considered to have bound itself, at the end of the Uruguay Round, with respect to vehicles that incorporate a technology that “barely existed at that time and had no commercial relevance within the automobile sector.”</w:t>
      </w:r>
      <w:r w:rsidRPr="00C564DD">
        <w:rPr>
          <w:rStyle w:val="FootnoteReference"/>
        </w:rPr>
        <w:footnoteReference w:id="2"/>
      </w:r>
      <w:r w:rsidRPr="00C564DD">
        <w:t xml:space="preserve"> </w:t>
      </w:r>
    </w:p>
    <w:p w14:paraId="1D0BFC9D" w14:textId="77777777" w:rsidR="00C564DD" w:rsidRPr="00C564DD" w:rsidRDefault="00C564DD" w:rsidP="00C564DD">
      <w:pPr>
        <w:pStyle w:val="P1-N1Paragraph1-Number1"/>
      </w:pPr>
      <w:r w:rsidRPr="00C564DD">
        <w:br w:type="page"/>
      </w:r>
    </w:p>
    <w:p w14:paraId="3987FD6E" w14:textId="799D3418" w:rsidR="009B22DD" w:rsidRPr="00C564DD" w:rsidRDefault="00F55698" w:rsidP="00F55698">
      <w:pPr>
        <w:pStyle w:val="P1-N1Paragraph1-Number1"/>
        <w:numPr>
          <w:ilvl w:val="0"/>
          <w:numId w:val="0"/>
        </w:numPr>
      </w:pPr>
      <w:r>
        <w:lastRenderedPageBreak/>
        <w:t xml:space="preserve">5. </w:t>
      </w:r>
      <w:r>
        <w:tab/>
      </w:r>
      <w:r w:rsidR="009B22DD" w:rsidRPr="00C564DD">
        <w:t xml:space="preserve">To support its claim, Türkiye points to the Panel’s finding in </w:t>
      </w:r>
      <w:r w:rsidR="009B22DD" w:rsidRPr="00C564DD">
        <w:rPr>
          <w:i/>
          <w:iCs/>
        </w:rPr>
        <w:t>EC – Computer Equipment</w:t>
      </w:r>
      <w:r w:rsidR="009B22DD" w:rsidRPr="00C564DD">
        <w:t>, that "the protection of legitimate expectations in respect of tariff treatment of a bound item is one of the most important functions of Article II."</w:t>
      </w:r>
      <w:r w:rsidR="009B22DD" w:rsidRPr="00C564DD">
        <w:rPr>
          <w:rStyle w:val="FootnoteReference"/>
        </w:rPr>
        <w:footnoteReference w:id="3"/>
      </w:r>
      <w:r w:rsidR="009B22DD" w:rsidRPr="00C564DD">
        <w:t xml:space="preserve"> We note, however, that the Appellate Body in </w:t>
      </w:r>
      <w:r w:rsidR="009B22DD" w:rsidRPr="00C564DD">
        <w:rPr>
          <w:i/>
          <w:iCs/>
        </w:rPr>
        <w:t xml:space="preserve">EC - Computer Equipment </w:t>
      </w:r>
      <w:r w:rsidR="009B22DD" w:rsidRPr="00C564DD">
        <w:t>reversed the Panel's findings on this issue.</w:t>
      </w:r>
      <w:r w:rsidR="009B22DD" w:rsidRPr="00C564DD">
        <w:rPr>
          <w:rStyle w:val="FootnoteReference"/>
        </w:rPr>
        <w:footnoteReference w:id="4"/>
      </w:r>
      <w:r w:rsidR="009B22DD" w:rsidRPr="00C564DD">
        <w:t xml:space="preserve"> The Appellate Body also rejected the panel’s finding that interpreting the meaning of a concession in a Member’s Schedule in light of the “legitimate expectations” was consistent with Article 31 of the </w:t>
      </w:r>
      <w:r w:rsidR="009B22DD" w:rsidRPr="00C564DD">
        <w:rPr>
          <w:i/>
          <w:iCs/>
        </w:rPr>
        <w:t>Vienna Convention on the Law of Treaties</w:t>
      </w:r>
      <w:r w:rsidR="009B22DD" w:rsidRPr="00C564DD">
        <w:t>.</w:t>
      </w:r>
      <w:r w:rsidR="009B22DD" w:rsidRPr="00C564DD">
        <w:rPr>
          <w:rStyle w:val="FootnoteReference"/>
        </w:rPr>
        <w:footnoteReference w:id="5"/>
      </w:r>
    </w:p>
    <w:p w14:paraId="311240F9" w14:textId="77777777" w:rsidR="009B22DD" w:rsidRPr="00C564DD" w:rsidRDefault="009B22DD" w:rsidP="009B22DD">
      <w:pPr>
        <w:pStyle w:val="P1-N1Paragraph1-Number1"/>
      </w:pPr>
      <w:r w:rsidRPr="00C564DD">
        <w:t>Members’ WTO Schedules, as an integral part of the GATT 1994 and the WTO Agreement, are to be interpreted in accordance with customary rules of interpretation of public international law, pursuant to Article 3.2 of the DSU.</w:t>
      </w:r>
      <w:r w:rsidRPr="00C564DD">
        <w:rPr>
          <w:rStyle w:val="FootnoteReference"/>
        </w:rPr>
        <w:footnoteReference w:id="6"/>
      </w:r>
      <w:r w:rsidRPr="00C564DD">
        <w:t xml:space="preserve"> This may include reference to supplementary material, including World Customs Organization materials such as the </w:t>
      </w:r>
      <w:r w:rsidRPr="00C564DD">
        <w:rPr>
          <w:i/>
          <w:iCs/>
        </w:rPr>
        <w:t xml:space="preserve">Harmonized System </w:t>
      </w:r>
      <w:r w:rsidRPr="00C564DD">
        <w:t xml:space="preserve">and its </w:t>
      </w:r>
      <w:r w:rsidRPr="00C564DD">
        <w:rPr>
          <w:i/>
          <w:iCs/>
        </w:rPr>
        <w:t>Explanatory Notes</w:t>
      </w:r>
      <w:r w:rsidRPr="00C564DD">
        <w:t>.</w:t>
      </w:r>
      <w:r w:rsidRPr="00C564DD">
        <w:rPr>
          <w:rStyle w:val="FootnoteReference"/>
        </w:rPr>
        <w:footnoteReference w:id="7"/>
      </w:r>
      <w:r w:rsidRPr="00C564DD">
        <w:t xml:space="preserve"> A tariff concession in a Member’s WTO Schedule applies to all products falling under the terms of the concession, as interpreted based on its ordinary meaning when read in context, and in light of the object and purpose of the agreement.</w:t>
      </w:r>
      <w:r w:rsidRPr="00C564DD">
        <w:rPr>
          <w:rStyle w:val="FootnoteReference"/>
        </w:rPr>
        <w:footnoteReference w:id="8"/>
      </w:r>
      <w:r w:rsidRPr="00C564DD">
        <w:t xml:space="preserve"> The Panel in </w:t>
      </w:r>
      <w:r w:rsidRPr="00C564DD">
        <w:rPr>
          <w:i/>
          <w:iCs/>
        </w:rPr>
        <w:t xml:space="preserve">India – Tariff Treatment </w:t>
      </w:r>
      <w:r w:rsidRPr="00C564DD">
        <w:t>found that this included “new products that come into existence as a result of technological innovation, and which did not exist at the time that the concession in the Schedule was agreed upon”.</w:t>
      </w:r>
      <w:r w:rsidRPr="00C564DD">
        <w:rPr>
          <w:rStyle w:val="FootnoteReference"/>
        </w:rPr>
        <w:footnoteReference w:id="9"/>
      </w:r>
      <w:r w:rsidRPr="00C564DD">
        <w:t xml:space="preserve"> </w:t>
      </w:r>
    </w:p>
    <w:p w14:paraId="7ABC29B3" w14:textId="150E0BAC" w:rsidR="00AC5F35" w:rsidRDefault="009B22DD" w:rsidP="00401824">
      <w:pPr>
        <w:pStyle w:val="P1-N1Paragraph1-Number1"/>
      </w:pPr>
      <w:r w:rsidRPr="00C564DD">
        <w:t xml:space="preserve">We also note that, in </w:t>
      </w:r>
      <w:r w:rsidRPr="00C564DD">
        <w:rPr>
          <w:i/>
          <w:iCs/>
        </w:rPr>
        <w:t>China – Publications and Audiovisual Products</w:t>
      </w:r>
      <w:r w:rsidRPr="00C564DD">
        <w:t>, the Appellate Body: (i) acknowledged that WTO scheduled commitments are continuing obligations and what they apply to may change over time; and (ii) found that to interpret each Member’s scheduled commitments based on the ordinary meaning at the time that member was bound can produce unfavourable results, which would substantially undermine the security and predictability of Members' tariff commitments.</w:t>
      </w:r>
      <w:r w:rsidRPr="00C564DD">
        <w:rPr>
          <w:rStyle w:val="FootnoteReference"/>
        </w:rPr>
        <w:footnoteReference w:id="10"/>
      </w:r>
    </w:p>
    <w:p w14:paraId="74D3CA24" w14:textId="0F4EA42F" w:rsidR="00C564DD" w:rsidRPr="00C564DD" w:rsidRDefault="00C564DD" w:rsidP="00C564DD">
      <w:pPr>
        <w:pStyle w:val="P1-N1Paragraph1-Number1"/>
      </w:pPr>
      <w:r w:rsidRPr="00C564DD">
        <w:br w:type="page"/>
      </w:r>
    </w:p>
    <w:p w14:paraId="373EE1C0" w14:textId="58231166" w:rsidR="00D52A17" w:rsidRPr="00C564DD" w:rsidRDefault="00750304" w:rsidP="00AC5F35">
      <w:pPr>
        <w:pStyle w:val="HL1HeadingLevel1"/>
      </w:pPr>
      <w:bookmarkStart w:id="4" w:name="_Toc204865825"/>
      <w:r w:rsidRPr="00C564DD">
        <w:rPr>
          <w:caps w:val="0"/>
        </w:rPr>
        <w:lastRenderedPageBreak/>
        <w:t>ARTICLE XX (B) AND (G) OF THE GATT 1994</w:t>
      </w:r>
      <w:bookmarkEnd w:id="4"/>
      <w:r w:rsidRPr="00C564DD">
        <w:rPr>
          <w:caps w:val="0"/>
        </w:rPr>
        <w:t xml:space="preserve"> </w:t>
      </w:r>
    </w:p>
    <w:p w14:paraId="04142BA2" w14:textId="25297735" w:rsidR="009B22DD" w:rsidRPr="00C564DD" w:rsidRDefault="00C17954" w:rsidP="00C17954">
      <w:pPr>
        <w:pStyle w:val="P1-N1Paragraph1-Number1"/>
        <w:numPr>
          <w:ilvl w:val="0"/>
          <w:numId w:val="0"/>
        </w:numPr>
      </w:pPr>
      <w:r w:rsidRPr="00C564DD">
        <w:t xml:space="preserve">8. </w:t>
      </w:r>
      <w:r w:rsidRPr="00C564DD">
        <w:tab/>
      </w:r>
      <w:r w:rsidR="009B22DD" w:rsidRPr="00C564DD">
        <w:t xml:space="preserve">A significant issue in this dispute is the operation of Articles XX (b) and (g) of the GATT. These provisions play an integral part in providing appropriate policy space to WTO Members to pursue measures that are inconsistent with the GATT, but necessary to protect human, animal or plant life or health (paragraph (b)) or relating to the conservation of exhaustible natural resources (paragraph (g)). </w:t>
      </w:r>
    </w:p>
    <w:p w14:paraId="14DAA82B" w14:textId="77777777" w:rsidR="009B22DD" w:rsidRPr="00C564DD" w:rsidRDefault="009B22DD" w:rsidP="009B22DD">
      <w:pPr>
        <w:pStyle w:val="P1-N1Paragraph1-Number1"/>
      </w:pPr>
      <w:r w:rsidRPr="00C564DD">
        <w:t>It is well-established that it is for each Member to set its own policy objectives within the scope of each of the areas of public interest enumerated in Article XX of GATT 1994.</w:t>
      </w:r>
      <w:r w:rsidRPr="00C564DD">
        <w:rPr>
          <w:rStyle w:val="FootnoteReference"/>
        </w:rPr>
        <w:footnoteReference w:id="11"/>
      </w:r>
      <w:r w:rsidRPr="00C564DD">
        <w:t xml:space="preserve"> Australia recognises the right of WTO Members to take measures necessary for protecting legitimate public policy objectives such as environmental protection.</w:t>
      </w:r>
      <w:r w:rsidRPr="00C564DD">
        <w:rPr>
          <w:rStyle w:val="FootnoteReference"/>
        </w:rPr>
        <w:footnoteReference w:id="12"/>
      </w:r>
      <w:r w:rsidRPr="00C564DD">
        <w:t xml:space="preserve"> </w:t>
      </w:r>
    </w:p>
    <w:p w14:paraId="23722395" w14:textId="77777777" w:rsidR="009B22DD" w:rsidRPr="00C564DD" w:rsidRDefault="009B22DD" w:rsidP="009B22DD">
      <w:pPr>
        <w:pStyle w:val="P1-N1Paragraph1-Number1"/>
      </w:pPr>
      <w:r w:rsidRPr="00C564DD">
        <w:t>The ICJ has recently found that the consequences of climate change are severe and far-reaching and that they affect both natural ecosystems and human populations. These consequences pose an urgent and existential threat.</w:t>
      </w:r>
      <w:r w:rsidRPr="00C564DD">
        <w:rPr>
          <w:rStyle w:val="FootnoteReference"/>
        </w:rPr>
        <w:footnoteReference w:id="13"/>
      </w:r>
      <w:r w:rsidRPr="00C564DD">
        <w:t xml:space="preserve"> </w:t>
      </w:r>
    </w:p>
    <w:p w14:paraId="26FBF8A0" w14:textId="701F49AA" w:rsidR="00C564DD" w:rsidRDefault="009B22DD" w:rsidP="00C564DD">
      <w:pPr>
        <w:pStyle w:val="P1-N1Paragraph1-Number1"/>
      </w:pPr>
      <w:r w:rsidRPr="00C564DD">
        <w:t xml:space="preserve">Australia considers that, in principle, a GATT inconsistent measure undertaken in pursuit of climate change mitigation may be justified under both Article XX (b) and (g) of the GATT 1994, provided the measure at issue is provisionally justified under sub paragraph (b) and (g); and the measure satisfies the requirements of the </w:t>
      </w:r>
      <w:r w:rsidRPr="00C564DD">
        <w:rPr>
          <w:i/>
          <w:iCs/>
        </w:rPr>
        <w:t>chapeau</w:t>
      </w:r>
      <w:r w:rsidRPr="00C564DD">
        <w:t>. In Australia’s view, panels and the Appellate Body have been correct in finding that measures undertaken to pursue a legitimate climate change mitigation objective can fall within the scope of Article XX of the GATT.</w:t>
      </w:r>
    </w:p>
    <w:p w14:paraId="43B71639" w14:textId="07BC07C5" w:rsidR="00C564DD" w:rsidRPr="00C564DD" w:rsidRDefault="00C564DD" w:rsidP="00C564DD">
      <w:pPr>
        <w:pStyle w:val="P1-N1Paragraph1-Number1"/>
      </w:pPr>
      <w:r w:rsidRPr="00C564DD">
        <w:br w:type="page"/>
      </w:r>
    </w:p>
    <w:p w14:paraId="6F62DB7C" w14:textId="1A1B0804" w:rsidR="009B22DD" w:rsidRPr="00C564DD" w:rsidRDefault="00F55698" w:rsidP="00F55698">
      <w:pPr>
        <w:pStyle w:val="P1-N1Paragraph1-Number1"/>
        <w:numPr>
          <w:ilvl w:val="0"/>
          <w:numId w:val="0"/>
        </w:numPr>
      </w:pPr>
      <w:r>
        <w:lastRenderedPageBreak/>
        <w:t xml:space="preserve">12. </w:t>
      </w:r>
      <w:r>
        <w:tab/>
      </w:r>
      <w:r w:rsidR="009B22DD" w:rsidRPr="00C564DD">
        <w:t xml:space="preserve">Australia recalls that, in </w:t>
      </w:r>
      <w:r w:rsidR="009B22DD" w:rsidRPr="00C564DD">
        <w:rPr>
          <w:i/>
          <w:iCs/>
        </w:rPr>
        <w:t xml:space="preserve">EU – Palm Oil (Malaysia), </w:t>
      </w:r>
      <w:r w:rsidR="009B22DD" w:rsidRPr="00C564DD">
        <w:t xml:space="preserve">and in </w:t>
      </w:r>
      <w:r w:rsidR="009B22DD" w:rsidRPr="00C564DD">
        <w:rPr>
          <w:i/>
          <w:iCs/>
        </w:rPr>
        <w:t xml:space="preserve">EU – Palm Oil (Indonesia) </w:t>
      </w:r>
      <w:r w:rsidR="009B22DD" w:rsidRPr="00C564DD">
        <w:t xml:space="preserve"> the Panel referred to the Appellate Body’s suggestion in </w:t>
      </w:r>
      <w:r w:rsidR="009B22DD" w:rsidRPr="00C564DD">
        <w:rPr>
          <w:i/>
          <w:iCs/>
        </w:rPr>
        <w:t>Brazil – Retreaded Tyres</w:t>
      </w:r>
      <w:r w:rsidR="009B22DD" w:rsidRPr="00C564DD">
        <w:t xml:space="preserve"> that “measures adopted in order to attenuate global warming and climate change" would fall within the scope of Article XX(b) of the GATT 1994.</w:t>
      </w:r>
      <w:r w:rsidR="009B22DD" w:rsidRPr="00C564DD">
        <w:rPr>
          <w:rStyle w:val="FootnoteReference"/>
        </w:rPr>
        <w:footnoteReference w:id="14"/>
      </w:r>
      <w:r w:rsidR="009B22DD" w:rsidRPr="00C564DD">
        <w:t xml:space="preserve"> The Appellate Body also noted that</w:t>
      </w:r>
      <w:r w:rsidR="00C564DD">
        <w:t xml:space="preserve"> </w:t>
      </w:r>
      <w:r w:rsidR="009B22DD" w:rsidRPr="00C564DD">
        <w:t>“certain complex public health or environmental problems may be tackled only with a comprehensive policy comprising a multiplicity of interacting measures.”</w:t>
      </w:r>
      <w:r w:rsidR="009B22DD" w:rsidRPr="00C564DD">
        <w:rPr>
          <w:rStyle w:val="FootnoteReference"/>
        </w:rPr>
        <w:footnoteReference w:id="15"/>
      </w:r>
      <w:r w:rsidR="009B22DD" w:rsidRPr="00C564DD">
        <w:t xml:space="preserve"> </w:t>
      </w:r>
    </w:p>
    <w:p w14:paraId="3E8B16FD" w14:textId="77777777" w:rsidR="009B22DD" w:rsidRPr="00C564DD" w:rsidRDefault="009B22DD" w:rsidP="009B22DD">
      <w:pPr>
        <w:pStyle w:val="P1-N1Paragraph1-Number1"/>
      </w:pPr>
      <w:r w:rsidRPr="00C564DD">
        <w:t>In respect of Article XX(g), the Appellate Body has found that the term “natural resources” is “by definition, evolutionary”</w:t>
      </w:r>
      <w:r w:rsidRPr="00C564DD">
        <w:rPr>
          <w:rStyle w:val="FootnoteReference"/>
        </w:rPr>
        <w:footnoteReference w:id="16"/>
      </w:r>
      <w:r w:rsidRPr="00C564DD">
        <w:t xml:space="preserve"> and that the terms “exhaustible natural resources” must be read “in the light of contemporary concerns of nations about the protection and conservation of the environment”.</w:t>
      </w:r>
      <w:r w:rsidRPr="00C564DD">
        <w:rPr>
          <w:rStyle w:val="FootnoteReference"/>
        </w:rPr>
        <w:footnoteReference w:id="17"/>
      </w:r>
      <w:r w:rsidRPr="00C564DD">
        <w:t xml:space="preserve"> </w:t>
      </w:r>
    </w:p>
    <w:p w14:paraId="78FDB3F6" w14:textId="77777777" w:rsidR="009B22DD" w:rsidRPr="00C564DD" w:rsidRDefault="009B22DD" w:rsidP="009B22DD">
      <w:pPr>
        <w:pStyle w:val="P1-N1Paragraph1-Number1"/>
      </w:pPr>
      <w:r w:rsidRPr="00C564DD">
        <w:t>In </w:t>
      </w:r>
      <w:r w:rsidRPr="00C564DD">
        <w:rPr>
          <w:i/>
          <w:iCs/>
        </w:rPr>
        <w:t>US - Gasoline</w:t>
      </w:r>
      <w:r w:rsidRPr="00C564DD">
        <w:t>, the Appellate Body accepted the panel's finding that, as clean air is a "natural resource" susceptible to depletion, "a policy to reduce the depletion of clean air was a policy to conserve an exhaustible natural resource".</w:t>
      </w:r>
      <w:r w:rsidRPr="00C564DD">
        <w:rPr>
          <w:rStyle w:val="FootnoteReference"/>
        </w:rPr>
        <w:footnoteReference w:id="18"/>
      </w:r>
      <w:r w:rsidRPr="00C564DD">
        <w:t xml:space="preserve"> </w:t>
      </w:r>
    </w:p>
    <w:p w14:paraId="7DDEDBD0" w14:textId="3B77DB32" w:rsidR="00C564DD" w:rsidRDefault="009B22DD" w:rsidP="00C564DD">
      <w:pPr>
        <w:pStyle w:val="P1-N1Paragraph1-Number1"/>
      </w:pPr>
      <w:r w:rsidRPr="00C564DD">
        <w:t>The Appellate Body has also concluded that Article XX(g) referred to the conservation of both living and non-living exhaustible natural resources.</w:t>
      </w:r>
      <w:r w:rsidRPr="00C564DD">
        <w:rPr>
          <w:rStyle w:val="FootnoteReference"/>
        </w:rPr>
        <w:footnoteReference w:id="19"/>
      </w:r>
      <w:r w:rsidRPr="00C564DD">
        <w:t xml:space="preserve"> Recently, the panel in </w:t>
      </w:r>
      <w:r w:rsidRPr="00C564DD">
        <w:rPr>
          <w:i/>
          <w:iCs/>
        </w:rPr>
        <w:t xml:space="preserve">EU – Palm Oil (Indonesia) </w:t>
      </w:r>
      <w:r w:rsidRPr="00C564DD">
        <w:t>considered that measures taken to avoid or reduce greenhouse gas emissions and climate change fall within the scope of the objective of "the conservation of exhaustible natural resources”.</w:t>
      </w:r>
      <w:r w:rsidRPr="00C564DD">
        <w:rPr>
          <w:rStyle w:val="FootnoteReference"/>
        </w:rPr>
        <w:footnoteReference w:id="20"/>
      </w:r>
    </w:p>
    <w:p w14:paraId="07AA15CB" w14:textId="769E711E" w:rsidR="00C564DD" w:rsidRPr="00C564DD" w:rsidRDefault="00C564DD" w:rsidP="00C564DD">
      <w:pPr>
        <w:pStyle w:val="P1-N1Paragraph1-Number1"/>
      </w:pPr>
      <w:r w:rsidRPr="00C564DD">
        <w:br w:type="page"/>
      </w:r>
    </w:p>
    <w:p w14:paraId="50CF0FA5" w14:textId="322A6C63" w:rsidR="00AC5F35" w:rsidRPr="00C564DD" w:rsidRDefault="00750304" w:rsidP="00AC5F35">
      <w:pPr>
        <w:pStyle w:val="HL1HeadingLevel1"/>
      </w:pPr>
      <w:bookmarkStart w:id="5" w:name="_Toc204865826"/>
      <w:r w:rsidRPr="00C564DD">
        <w:rPr>
          <w:caps w:val="0"/>
        </w:rPr>
        <w:lastRenderedPageBreak/>
        <w:t>CHAPEAU OF ARTICLE XX OF THE GATT 1994 – "SAME CONDITIONS PREVAIL"</w:t>
      </w:r>
      <w:bookmarkEnd w:id="5"/>
    </w:p>
    <w:p w14:paraId="5325B79C" w14:textId="7F5F47DA" w:rsidR="009B22DD" w:rsidRPr="00C564DD" w:rsidRDefault="00F55698" w:rsidP="00F55698">
      <w:pPr>
        <w:pStyle w:val="P1-N1Paragraph1-Number1"/>
        <w:numPr>
          <w:ilvl w:val="0"/>
          <w:numId w:val="0"/>
        </w:numPr>
      </w:pPr>
      <w:r>
        <w:t xml:space="preserve">16. </w:t>
      </w:r>
      <w:r>
        <w:tab/>
      </w:r>
      <w:r w:rsidR="009B22DD" w:rsidRPr="00C564DD">
        <w:t xml:space="preserve">Türkiye claims that, for the purposes of the </w:t>
      </w:r>
      <w:r w:rsidR="009B22DD" w:rsidRPr="00C564DD">
        <w:rPr>
          <w:i/>
          <w:iCs/>
        </w:rPr>
        <w:t>chapeau</w:t>
      </w:r>
      <w:r w:rsidR="009B22DD" w:rsidRPr="00C564DD">
        <w:t xml:space="preserve"> to Article XX,” China cannot be considered as a WTO Member in which the “same conditions prevail” as Türkiye or other WTO Members”,</w:t>
      </w:r>
      <w:r w:rsidR="009B22DD" w:rsidRPr="00C564DD">
        <w:rPr>
          <w:rStyle w:val="FootnoteReference"/>
        </w:rPr>
        <w:footnoteReference w:id="21"/>
      </w:r>
      <w:r w:rsidR="009B22DD" w:rsidRPr="00C564DD">
        <w:t xml:space="preserve"> including because of, </w:t>
      </w:r>
      <w:r w:rsidR="009B22DD" w:rsidRPr="00C564DD">
        <w:rPr>
          <w:i/>
          <w:iCs/>
        </w:rPr>
        <w:t>inter alia</w:t>
      </w:r>
      <w:r w:rsidR="009B22DD" w:rsidRPr="00C564DD">
        <w:t>, China’s share of global electric vehicle and electric vehicle battery production and its industry policies directed towards the electric vehicle sector.</w:t>
      </w:r>
      <w:r w:rsidR="009B22DD" w:rsidRPr="00C564DD">
        <w:rPr>
          <w:rStyle w:val="FootnoteReference"/>
        </w:rPr>
        <w:footnoteReference w:id="22"/>
      </w:r>
    </w:p>
    <w:p w14:paraId="6901B762" w14:textId="77777777" w:rsidR="009B22DD" w:rsidRPr="00C564DD" w:rsidRDefault="009B22DD" w:rsidP="009B22DD">
      <w:pPr>
        <w:pStyle w:val="P1-N1Paragraph1-Number1"/>
      </w:pPr>
      <w:r w:rsidRPr="00C564DD">
        <w:t>Australia considers that whether the same conditions prevail in different countries is an objective question.</w:t>
      </w:r>
      <w:r w:rsidRPr="00C564DD">
        <w:rPr>
          <w:rStyle w:val="FootnoteReference"/>
        </w:rPr>
        <w:footnoteReference w:id="23"/>
      </w:r>
    </w:p>
    <w:p w14:paraId="77552937" w14:textId="7EEE7503" w:rsidR="009B22DD" w:rsidRPr="00C564DD" w:rsidRDefault="009B22DD" w:rsidP="004E3BF2">
      <w:pPr>
        <w:pStyle w:val="P1-N1Paragraph1-Number1"/>
      </w:pPr>
      <w:r w:rsidRPr="00C564DD">
        <w:t>The Appellate Body has noted that "condition" is defined as "a way of living or existing"; "the state of something"; "the physical state of something"; and "the physical or mental state of a person or thing".</w:t>
      </w:r>
      <w:r w:rsidRPr="00C564DD">
        <w:rPr>
          <w:rStyle w:val="FootnoteReference"/>
        </w:rPr>
        <w:footnoteReference w:id="24"/>
      </w:r>
      <w:r w:rsidRPr="00C564DD">
        <w:t xml:space="preserve"> The term "conditions" in the </w:t>
      </w:r>
      <w:r w:rsidRPr="00C564DD">
        <w:rPr>
          <w:i/>
          <w:iCs/>
        </w:rPr>
        <w:t>chapeau</w:t>
      </w:r>
      <w:r w:rsidRPr="00C564DD">
        <w:t xml:space="preserve"> to Article XX can thus potentially encompass a wide variety of circumstances within WTO Members.</w:t>
      </w:r>
      <w:r w:rsidRPr="00C564DD">
        <w:rPr>
          <w:rStyle w:val="FootnoteReference"/>
        </w:rPr>
        <w:footnoteReference w:id="25"/>
      </w:r>
    </w:p>
    <w:p w14:paraId="4BCB1EFF" w14:textId="77777777" w:rsidR="009B22DD" w:rsidRPr="00C564DD" w:rsidRDefault="009B22DD" w:rsidP="009B22DD">
      <w:pPr>
        <w:pStyle w:val="P1-N1Paragraph1-Number1"/>
      </w:pPr>
      <w:r w:rsidRPr="00C564DD">
        <w:t xml:space="preserve">In addition, the Appellate Body in </w:t>
      </w:r>
      <w:r w:rsidRPr="00C564DD">
        <w:rPr>
          <w:i/>
          <w:iCs/>
        </w:rPr>
        <w:t>EC – Seal Products</w:t>
      </w:r>
      <w:r w:rsidRPr="00C564DD">
        <w:t xml:space="preserve"> stated that: </w:t>
      </w:r>
    </w:p>
    <w:p w14:paraId="4A70F43B" w14:textId="77777777" w:rsidR="009B22DD" w:rsidRPr="00C564DD" w:rsidRDefault="009B22DD" w:rsidP="009B22DD">
      <w:pPr>
        <w:pStyle w:val="P1-N1Paragraph1-Number1"/>
        <w:numPr>
          <w:ilvl w:val="0"/>
          <w:numId w:val="0"/>
        </w:numPr>
        <w:ind w:left="851"/>
      </w:pPr>
      <w:r w:rsidRPr="00C564DD">
        <w:t xml:space="preserve">We consider that, in determining which "conditions" prevailing in different countries are relevant in the context of the </w:t>
      </w:r>
      <w:r w:rsidRPr="00C564DD">
        <w:rPr>
          <w:i/>
          <w:iCs/>
        </w:rPr>
        <w:t>chapeau</w:t>
      </w:r>
      <w:r w:rsidRPr="00C564DD">
        <w:t>, the subparagraphs of Article XX, and in particular the subparagraph under which a measure has been provisionally justified, provide pertinent context … [T]he type or cause of the violation that has been found to exist may [also] inform the determination of which countries should be compared with respect to the conditions that prevail in them.</w:t>
      </w:r>
      <w:r w:rsidRPr="00C564DD">
        <w:rPr>
          <w:rStyle w:val="FootnoteReference"/>
        </w:rPr>
        <w:footnoteReference w:id="26"/>
      </w:r>
    </w:p>
    <w:p w14:paraId="078FA80C" w14:textId="57F1C5AC" w:rsidR="00586DAE" w:rsidRDefault="009B22DD" w:rsidP="00401824">
      <w:pPr>
        <w:pStyle w:val="P1-N1Paragraph1-Number1"/>
      </w:pPr>
      <w:r w:rsidRPr="00C564DD">
        <w:t xml:space="preserve">The Appellate Body has also noted that the “contours and contents of [the] standards [in the </w:t>
      </w:r>
      <w:r w:rsidRPr="00C564DD">
        <w:rPr>
          <w:i/>
          <w:iCs/>
        </w:rPr>
        <w:t>chapeau</w:t>
      </w:r>
      <w:r w:rsidRPr="00C564DD">
        <w:t xml:space="preserve"> to Article XX] will vary as the kind of measure under examination varies.”</w:t>
      </w:r>
      <w:r w:rsidRPr="00C564DD">
        <w:rPr>
          <w:rStyle w:val="FootnoteReference"/>
        </w:rPr>
        <w:footnoteReference w:id="27"/>
      </w:r>
    </w:p>
    <w:p w14:paraId="7167B23A" w14:textId="09BCB409" w:rsidR="00C564DD" w:rsidRPr="00C564DD" w:rsidRDefault="00C564DD" w:rsidP="00C564DD">
      <w:pPr>
        <w:pStyle w:val="P1-N1Paragraph1-Number1"/>
      </w:pPr>
      <w:r w:rsidRPr="00C564DD">
        <w:br w:type="page"/>
      </w:r>
    </w:p>
    <w:p w14:paraId="36D838CE" w14:textId="004776E5" w:rsidR="00AC5F35" w:rsidRPr="00C564DD" w:rsidRDefault="009B22DD" w:rsidP="00F55698">
      <w:pPr>
        <w:pStyle w:val="P1-N1Paragraph1-Number1"/>
        <w:numPr>
          <w:ilvl w:val="0"/>
          <w:numId w:val="9"/>
        </w:numPr>
      </w:pPr>
      <w:r w:rsidRPr="00C564DD">
        <w:lastRenderedPageBreak/>
        <w:t xml:space="preserve">Australia recalls that the relevant measure being examined is higher tariffs on Chinese electric vehicles, that the alleged violation includes a claim that China is not provided with most favoured nation status by Türkiye vis-à-vis tariffs on electric vehicles, that the exceptions relied upon by Türkiye both relate to climate change mitigation, and that a shift from internal combustion vehicles to electric vehicles could assist in climate change mitigation. </w:t>
      </w:r>
    </w:p>
    <w:p w14:paraId="72502FA5" w14:textId="7EF09EB0" w:rsidR="00AC5F35" w:rsidRPr="00C564DD" w:rsidRDefault="00750304" w:rsidP="00AC5F35">
      <w:pPr>
        <w:pStyle w:val="HL1HeadingLevel1"/>
      </w:pPr>
      <w:bookmarkStart w:id="6" w:name="_Toc204865827"/>
      <w:r w:rsidRPr="00C564DD">
        <w:rPr>
          <w:caps w:val="0"/>
        </w:rPr>
        <w:t>ARTICLE XXIV</w:t>
      </w:r>
      <w:bookmarkEnd w:id="6"/>
    </w:p>
    <w:p w14:paraId="61A1B479" w14:textId="77777777" w:rsidR="009B22DD" w:rsidRPr="00C564DD" w:rsidRDefault="009B22DD" w:rsidP="009B22DD">
      <w:pPr>
        <w:pStyle w:val="P1-N1Paragraph1-Number1"/>
      </w:pPr>
      <w:r w:rsidRPr="00C564DD">
        <w:t>Türkiye claims that China’s failure to raise Article XXIV of the GATT 1994 in its panel request or its first written submission vitiates its challenge against the exclusion of FTA or customs union partners whose agreements do not fall within the Enabling Clause.</w:t>
      </w:r>
      <w:r w:rsidRPr="00C564DD">
        <w:rPr>
          <w:rStyle w:val="FootnoteReference"/>
        </w:rPr>
        <w:footnoteReference w:id="28"/>
      </w:r>
      <w:r w:rsidRPr="00C564DD">
        <w:t xml:space="preserve"> </w:t>
      </w:r>
    </w:p>
    <w:p w14:paraId="6809BE6E" w14:textId="19B06EE8" w:rsidR="004E3BF2" w:rsidRPr="00C564DD" w:rsidRDefault="009B22DD" w:rsidP="009B22DD">
      <w:pPr>
        <w:pStyle w:val="P1-N1Paragraph1-Number1"/>
      </w:pPr>
      <w:r w:rsidRPr="00C564DD">
        <w:t xml:space="preserve">Specifically, Türkiye refers to the findings of the Appellate Body in </w:t>
      </w:r>
      <w:r w:rsidRPr="00C564DD">
        <w:rPr>
          <w:i/>
          <w:iCs/>
        </w:rPr>
        <w:t xml:space="preserve">EC – Tariff Preferences, </w:t>
      </w:r>
      <w:r w:rsidRPr="00C564DD">
        <w:t>where the Appellate Body said that “with respect to certain affirmative defences, a complainant is required not only to state a claim of violation, but must also "raise" (mention) the affirmative defence that is a "plain" (obvious) legal basis for the challenged measure and explain why, in its view, the conditions for the application of the affirmative defence are not satisfied”.</w:t>
      </w:r>
      <w:r w:rsidRPr="00C564DD">
        <w:rPr>
          <w:rStyle w:val="FootnoteReference"/>
        </w:rPr>
        <w:footnoteReference w:id="29"/>
      </w:r>
      <w:r w:rsidRPr="00C564DD">
        <w:t xml:space="preserve"> Türkiye claims that the Appellate Body’s ruling in </w:t>
      </w:r>
      <w:r w:rsidRPr="00C564DD">
        <w:rPr>
          <w:i/>
          <w:iCs/>
        </w:rPr>
        <w:t xml:space="preserve">EC – Tariff Preferences, </w:t>
      </w:r>
      <w:r w:rsidRPr="00C564DD">
        <w:t>applies “with equal force” to Article XXIV.</w:t>
      </w:r>
      <w:r w:rsidRPr="00C564DD">
        <w:rPr>
          <w:rStyle w:val="FootnoteReference"/>
        </w:rPr>
        <w:footnoteReference w:id="30"/>
      </w:r>
    </w:p>
    <w:p w14:paraId="58DB6DEE" w14:textId="77777777" w:rsidR="009B22DD" w:rsidRPr="00C564DD" w:rsidRDefault="009B22DD" w:rsidP="009B22DD">
      <w:pPr>
        <w:pStyle w:val="P1-N1Paragraph1-Number1"/>
      </w:pPr>
      <w:r w:rsidRPr="00C564DD">
        <w:t xml:space="preserve">As noted by the Panel in </w:t>
      </w:r>
      <w:r w:rsidRPr="00C564DD">
        <w:rPr>
          <w:i/>
          <w:iCs/>
        </w:rPr>
        <w:t>China – Additional Duties</w:t>
      </w:r>
      <w:r w:rsidRPr="00C564DD">
        <w:t xml:space="preserve">, the approach taken by the Appellate Body in </w:t>
      </w:r>
      <w:r w:rsidRPr="00C564DD">
        <w:rPr>
          <w:i/>
          <w:iCs/>
        </w:rPr>
        <w:t xml:space="preserve">EC – Tariff Preferences </w:t>
      </w:r>
      <w:r w:rsidRPr="00C564DD">
        <w:t>was unusual.</w:t>
      </w:r>
      <w:r w:rsidRPr="00C564DD">
        <w:rPr>
          <w:rStyle w:val="FootnoteReference"/>
        </w:rPr>
        <w:footnoteReference w:id="31"/>
      </w:r>
      <w:r w:rsidRPr="00C564DD">
        <w:t xml:space="preserve"> The Appellate Body in </w:t>
      </w:r>
      <w:r w:rsidRPr="00C564DD">
        <w:rPr>
          <w:i/>
          <w:iCs/>
        </w:rPr>
        <w:t xml:space="preserve">EC – Tariff Preferences </w:t>
      </w:r>
      <w:r w:rsidRPr="00C564DD">
        <w:t>recognised that its treatment of the Enabling Clause was “special” and justified by “the particular circumstances” of that case.</w:t>
      </w:r>
      <w:r w:rsidRPr="00C564DD">
        <w:rPr>
          <w:rStyle w:val="FootnoteReference"/>
        </w:rPr>
        <w:footnoteReference w:id="32"/>
      </w:r>
      <w:r w:rsidRPr="00C564DD">
        <w:t xml:space="preserve"> The Panel in </w:t>
      </w:r>
      <w:r w:rsidRPr="00C564DD">
        <w:rPr>
          <w:i/>
          <w:iCs/>
        </w:rPr>
        <w:t xml:space="preserve">China – Additional Duties </w:t>
      </w:r>
      <w:r w:rsidRPr="00C564DD">
        <w:t>observed that the Appellate Body also placed particular emphasis on the Enabling Clause’s “special status in the covered agreements”, which engendered “particular implications for WTO dispute settlement.”</w:t>
      </w:r>
      <w:r w:rsidRPr="00C564DD">
        <w:rPr>
          <w:rStyle w:val="FootnoteReference"/>
        </w:rPr>
        <w:footnoteReference w:id="33"/>
      </w:r>
      <w:r w:rsidRPr="00C564DD">
        <w:t xml:space="preserve"> </w:t>
      </w:r>
    </w:p>
    <w:p w14:paraId="751539D8" w14:textId="77777777" w:rsidR="009B22DD" w:rsidRPr="00C564DD" w:rsidRDefault="009B22DD" w:rsidP="009B22DD">
      <w:pPr>
        <w:pStyle w:val="P1-N1Paragraph1-Number1"/>
      </w:pPr>
      <w:r w:rsidRPr="00C564DD">
        <w:lastRenderedPageBreak/>
        <w:t xml:space="preserve">The Appellate Body agreed with the finding of the Panel in </w:t>
      </w:r>
      <w:r w:rsidRPr="00C564DD">
        <w:rPr>
          <w:i/>
          <w:iCs/>
        </w:rPr>
        <w:t xml:space="preserve">Brazil – Taxation </w:t>
      </w:r>
      <w:r w:rsidRPr="00C564DD">
        <w:t xml:space="preserve">that “a burden to invoke a particular provision of the Enabling Clause in a panel request could only be placed on a complaining party, if that complaining party was </w:t>
      </w:r>
      <w:r w:rsidRPr="00C564DD">
        <w:rPr>
          <w:i/>
          <w:iCs/>
        </w:rPr>
        <w:t xml:space="preserve">appropriately informed prior to the time of the panel request </w:t>
      </w:r>
      <w:r w:rsidRPr="00C564DD">
        <w:t>that the responding party considered the relevant measure to be adopted and justified pursuant to the Enabling Clause” [emphasis added].</w:t>
      </w:r>
      <w:r w:rsidRPr="00C564DD">
        <w:rPr>
          <w:rStyle w:val="FootnoteReference"/>
        </w:rPr>
        <w:footnoteReference w:id="34"/>
      </w:r>
      <w:r w:rsidRPr="00C564DD">
        <w:t xml:space="preserve"> Indeed, the Panel considered that “an alternative approach could result in absurd outcomes, such as a complaining party invoking </w:t>
      </w:r>
      <w:r w:rsidRPr="00C564DD">
        <w:rPr>
          <w:i/>
          <w:iCs/>
        </w:rPr>
        <w:t xml:space="preserve">all </w:t>
      </w:r>
      <w:r w:rsidRPr="00C564DD">
        <w:t xml:space="preserve">the provisions of the Enabling Clause in its panel request in any dispute involving claims under Article I:1 of the GATT 1994, in order to resolve its burden of invocation and guard against </w:t>
      </w:r>
      <w:r w:rsidRPr="00C564DD">
        <w:rPr>
          <w:i/>
          <w:iCs/>
        </w:rPr>
        <w:t xml:space="preserve">all </w:t>
      </w:r>
      <w:r w:rsidRPr="00C564DD">
        <w:t>possible defences raised by a responding party pursuant to the Enabling Clause.”</w:t>
      </w:r>
      <w:r w:rsidRPr="00C564DD">
        <w:rPr>
          <w:rStyle w:val="FootnoteReference"/>
        </w:rPr>
        <w:footnoteReference w:id="35"/>
      </w:r>
    </w:p>
    <w:p w14:paraId="5648FFBF" w14:textId="32C3F4F2" w:rsidR="004E3BF2" w:rsidRPr="00C564DD" w:rsidRDefault="009B22DD" w:rsidP="009B22DD">
      <w:pPr>
        <w:pStyle w:val="P1-N1Paragraph1-Number1"/>
      </w:pPr>
      <w:r w:rsidRPr="00C564DD">
        <w:t xml:space="preserve">As the Appellate Body stated in </w:t>
      </w:r>
      <w:r w:rsidRPr="00C564DD">
        <w:rPr>
          <w:i/>
          <w:iCs/>
        </w:rPr>
        <w:t>Brazil – Taxation,</w:t>
      </w:r>
      <w:r w:rsidRPr="00C564DD">
        <w:rPr>
          <w:rStyle w:val="FootnoteReference"/>
        </w:rPr>
        <w:footnoteReference w:id="36"/>
      </w:r>
      <w:r w:rsidRPr="00C564DD">
        <w:rPr>
          <w:i/>
          <w:iCs/>
        </w:rPr>
        <w:t xml:space="preserve"> </w:t>
      </w:r>
      <w:r w:rsidRPr="00C564DD">
        <w:t xml:space="preserve">the Appellate Body’s statements in </w:t>
      </w:r>
      <w:r w:rsidRPr="00C564DD">
        <w:rPr>
          <w:i/>
          <w:iCs/>
        </w:rPr>
        <w:t>EC – Tariff Preferences</w:t>
      </w:r>
      <w:r w:rsidRPr="00C564DD">
        <w:t xml:space="preserve"> concerning the burden on the complaining party to raise the Enabling Clause and identify the relevant provision(s) thereof in its panel request should be read in the context of the challenged measure at issue in that dispute, i.e. the tariff preference scheme, which as the Appellate Body itself indicated, was </w:t>
      </w:r>
      <w:r w:rsidRPr="00C564DD">
        <w:rPr>
          <w:i/>
          <w:iCs/>
        </w:rPr>
        <w:t xml:space="preserve">“plainly taken </w:t>
      </w:r>
      <w:r w:rsidRPr="00C564DD">
        <w:t>pursuant to the Enabling Clause”.</w:t>
      </w:r>
      <w:r w:rsidRPr="00C564DD">
        <w:rPr>
          <w:rStyle w:val="FootnoteReference"/>
        </w:rPr>
        <w:footnoteReference w:id="37"/>
      </w:r>
    </w:p>
    <w:p w14:paraId="6AB81329" w14:textId="5ABC4916" w:rsidR="009B22DD" w:rsidRPr="00C564DD" w:rsidRDefault="004E3BF2" w:rsidP="004E3BF2">
      <w:r w:rsidRPr="00C564DD">
        <w:br w:type="page"/>
      </w:r>
    </w:p>
    <w:p w14:paraId="4988333A" w14:textId="77777777" w:rsidR="009B22DD" w:rsidRPr="00C564DD" w:rsidRDefault="009B22DD" w:rsidP="009B22DD">
      <w:pPr>
        <w:pStyle w:val="P1-N1Paragraph1-Number1"/>
      </w:pPr>
      <w:r w:rsidRPr="00C564DD">
        <w:lastRenderedPageBreak/>
        <w:t xml:space="preserve">In that case, the Appellate Body further noted that the challenged measure in that dispute was </w:t>
      </w:r>
      <w:r w:rsidRPr="00C564DD">
        <w:rPr>
          <w:i/>
          <w:iCs/>
        </w:rPr>
        <w:t xml:space="preserve">“unmistakably </w:t>
      </w:r>
      <w:r w:rsidRPr="00C564DD">
        <w:t>a preferential tariff scheme, granted by a developed country Member in favour of developing countries, and proclaiming to be in accordance with the GSP” [emphasis added].</w:t>
      </w:r>
      <w:r w:rsidRPr="00C564DD">
        <w:rPr>
          <w:rStyle w:val="FootnoteReference"/>
        </w:rPr>
        <w:footnoteReference w:id="38"/>
      </w:r>
      <w:r w:rsidRPr="00C564DD">
        <w:t xml:space="preserve"> Thus, the Appellate Body found it “clear, on the face of the Regulation</w:t>
      </w:r>
      <w:r w:rsidRPr="00C564DD">
        <w:rPr>
          <w:i/>
          <w:iCs/>
        </w:rPr>
        <w:t xml:space="preserve"> </w:t>
      </w:r>
      <w:r w:rsidRPr="00C564DD">
        <w:t>and from official, publicly-available explanatory documentation”, that the “Drug Arrangements” at issue in that dispute were “part of a preferential tariff scheme implemented by the European Communities pursuant to the authorization in paragraph 2(a) of the Enabling Clause.”</w:t>
      </w:r>
      <w:r w:rsidRPr="00C564DD">
        <w:rPr>
          <w:rStyle w:val="FootnoteReference"/>
        </w:rPr>
        <w:footnoteReference w:id="39"/>
      </w:r>
      <w:r w:rsidRPr="00C564DD">
        <w:t xml:space="preserve"> Accordingly in that dispute, the Appellate Body noted that India would have been “well aware” that the Drug Arrangements must comply with the requirements of the Enabling Clause, and that “the European Communities was likely to invoke the Enabling Clause in response to a challenge of inconsistency with Article I:1.”</w:t>
      </w:r>
      <w:r w:rsidRPr="00C564DD">
        <w:rPr>
          <w:rStyle w:val="FootnoteReference"/>
        </w:rPr>
        <w:footnoteReference w:id="40"/>
      </w:r>
      <w:r w:rsidRPr="00C564DD">
        <w:t xml:space="preserve"> </w:t>
      </w:r>
    </w:p>
    <w:p w14:paraId="62ADAB43" w14:textId="0922270B" w:rsidR="00AC5F35" w:rsidRPr="00C564DD" w:rsidRDefault="009B22DD" w:rsidP="009B22DD">
      <w:pPr>
        <w:pStyle w:val="P1-N1Paragraph1-Number1"/>
      </w:pPr>
      <w:r w:rsidRPr="00C564DD">
        <w:t xml:space="preserve">In Australia’s view, the approach adopted by the Appellate Body in </w:t>
      </w:r>
      <w:r w:rsidRPr="00C564DD">
        <w:rPr>
          <w:i/>
          <w:iCs/>
        </w:rPr>
        <w:t>EC – Tariff Preferences</w:t>
      </w:r>
      <w:r w:rsidRPr="00C564DD">
        <w:t xml:space="preserve"> was based on the circumstances of that case which dictated a “special approach”.</w:t>
      </w:r>
      <w:r w:rsidRPr="00C564DD">
        <w:rPr>
          <w:rStyle w:val="FootnoteReference"/>
        </w:rPr>
        <w:footnoteReference w:id="41"/>
      </w:r>
      <w:r w:rsidRPr="00C564DD">
        <w:t xml:space="preserve"> This unique approach to the Enabling Clause cannot be assumed to automatically translate to Article XXIV.</w:t>
      </w:r>
    </w:p>
    <w:p w14:paraId="000CCCDD" w14:textId="3D4AC9EC" w:rsidR="00AC5F35" w:rsidRPr="00C564DD" w:rsidRDefault="00750304" w:rsidP="00373C37">
      <w:pPr>
        <w:pStyle w:val="HL1HeadingLevel1"/>
      </w:pPr>
      <w:bookmarkStart w:id="7" w:name="_Toc204865828"/>
      <w:r w:rsidRPr="00C564DD">
        <w:rPr>
          <w:caps w:val="0"/>
        </w:rPr>
        <w:t>CONCLUSION</w:t>
      </w:r>
      <w:bookmarkEnd w:id="7"/>
    </w:p>
    <w:p w14:paraId="3B4D4E34" w14:textId="1916FF0D" w:rsidR="00D52A17" w:rsidRPr="00C564DD" w:rsidRDefault="009C5F6D" w:rsidP="00373C37">
      <w:pPr>
        <w:pStyle w:val="P1-N1Paragraph1-Number1"/>
      </w:pPr>
      <w:r w:rsidRPr="00C564DD">
        <w:t>Australia thanks the Panel for the opportunity to submit its views on the issues raised in this dispute.</w:t>
      </w:r>
    </w:p>
    <w:sectPr w:rsidR="00D52A17" w:rsidRPr="00C564DD" w:rsidSect="008F5B14">
      <w:headerReference w:type="default" r:id="rId11"/>
      <w:footerReference w:type="default" r:id="rId12"/>
      <w:pgSz w:w="11906" w:h="16838" w:code="9"/>
      <w:pgMar w:top="1418" w:right="1418" w:bottom="1418"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8A22F9" w14:textId="77777777" w:rsidR="00772040" w:rsidRDefault="00772040" w:rsidP="00006269">
      <w:pPr>
        <w:spacing w:after="0" w:line="240" w:lineRule="auto"/>
      </w:pPr>
      <w:r>
        <w:separator/>
      </w:r>
    </w:p>
  </w:endnote>
  <w:endnote w:type="continuationSeparator" w:id="0">
    <w:p w14:paraId="28DBE725" w14:textId="77777777" w:rsidR="00772040" w:rsidRDefault="00772040" w:rsidP="000062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99EA1" w14:textId="77777777" w:rsidR="00380795" w:rsidRDefault="00380795">
    <w:pPr>
      <w:pStyle w:val="Footer"/>
    </w:pPr>
    <w:r>
      <w:ptab w:relativeTo="margin" w:alignment="right" w:leader="none"/>
    </w:r>
    <w:r w:rsidRPr="00006269">
      <w:fldChar w:fldCharType="begin"/>
    </w:r>
    <w:r w:rsidRPr="00006269">
      <w:instrText xml:space="preserve"> PAGE   \* MERGEFORMAT </w:instrText>
    </w:r>
    <w:r w:rsidRPr="00006269">
      <w:fldChar w:fldCharType="separate"/>
    </w:r>
    <w:r w:rsidRPr="00006269">
      <w:rPr>
        <w:noProof/>
      </w:rPr>
      <w:t>1</w:t>
    </w:r>
    <w:r w:rsidRPr="00006269">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2ACB6C" w14:textId="77777777" w:rsidR="00772040" w:rsidRDefault="00772040" w:rsidP="00006269">
      <w:pPr>
        <w:spacing w:after="0" w:line="240" w:lineRule="auto"/>
      </w:pPr>
      <w:r>
        <w:separator/>
      </w:r>
    </w:p>
  </w:footnote>
  <w:footnote w:type="continuationSeparator" w:id="0">
    <w:p w14:paraId="0E1E90E1" w14:textId="77777777" w:rsidR="00772040" w:rsidRDefault="00772040" w:rsidP="00006269">
      <w:pPr>
        <w:spacing w:after="0" w:line="240" w:lineRule="auto"/>
      </w:pPr>
      <w:r>
        <w:continuationSeparator/>
      </w:r>
    </w:p>
  </w:footnote>
  <w:footnote w:id="1">
    <w:p w14:paraId="2F7233A9" w14:textId="098240D7" w:rsidR="009B22DD" w:rsidRDefault="009B22DD" w:rsidP="009B22DD">
      <w:pPr>
        <w:pStyle w:val="FootnoteText"/>
      </w:pPr>
      <w:r>
        <w:rPr>
          <w:rStyle w:val="FootnoteReference"/>
        </w:rPr>
        <w:footnoteRef/>
      </w:r>
      <w:r>
        <w:t xml:space="preserve"> China’s First Written Submission, paras. 131, 132 and 273. </w:t>
      </w:r>
    </w:p>
  </w:footnote>
  <w:footnote w:id="2">
    <w:p w14:paraId="4B34B37C" w14:textId="77777777" w:rsidR="009B22DD" w:rsidRDefault="009B22DD" w:rsidP="009B22DD">
      <w:pPr>
        <w:pStyle w:val="FootnoteText"/>
      </w:pPr>
      <w:r>
        <w:rPr>
          <w:rStyle w:val="FootnoteReference"/>
        </w:rPr>
        <w:footnoteRef/>
      </w:r>
      <w:r>
        <w:t xml:space="preserve"> Türkiye’s First Written Submission, para. 2.15.</w:t>
      </w:r>
    </w:p>
  </w:footnote>
  <w:footnote w:id="3">
    <w:p w14:paraId="3FD674C3" w14:textId="77777777" w:rsidR="009B22DD" w:rsidRDefault="009B22DD" w:rsidP="009B22DD">
      <w:pPr>
        <w:pStyle w:val="FootnoteText"/>
      </w:pPr>
      <w:r>
        <w:rPr>
          <w:rStyle w:val="FootnoteReference"/>
        </w:rPr>
        <w:footnoteRef/>
      </w:r>
      <w:r>
        <w:t xml:space="preserve"> Türkiye’s First Written Submission, para. 2.15. </w:t>
      </w:r>
    </w:p>
  </w:footnote>
  <w:footnote w:id="4">
    <w:p w14:paraId="214A3914" w14:textId="77777777" w:rsidR="009B22DD" w:rsidRDefault="009B22DD" w:rsidP="009B22DD">
      <w:pPr>
        <w:pStyle w:val="FootnoteText"/>
      </w:pPr>
      <w:r>
        <w:rPr>
          <w:rStyle w:val="FootnoteReference"/>
        </w:rPr>
        <w:footnoteRef/>
      </w:r>
      <w:r>
        <w:t xml:space="preserve"> Appellate Body Report, EC – </w:t>
      </w:r>
      <w:r w:rsidRPr="00285D8D">
        <w:rPr>
          <w:i/>
        </w:rPr>
        <w:t>Computer Equipment</w:t>
      </w:r>
      <w:r w:rsidRPr="00285D8D">
        <w:rPr>
          <w:i/>
          <w:iCs/>
        </w:rPr>
        <w:t>,</w:t>
      </w:r>
      <w:r>
        <w:t xml:space="preserve"> para. 81. </w:t>
      </w:r>
    </w:p>
  </w:footnote>
  <w:footnote w:id="5">
    <w:p w14:paraId="377C7EBF" w14:textId="77777777" w:rsidR="009B22DD" w:rsidRPr="00DF1CAF" w:rsidRDefault="009B22DD" w:rsidP="009B22DD">
      <w:pPr>
        <w:pStyle w:val="FootnoteText"/>
      </w:pPr>
      <w:r>
        <w:rPr>
          <w:rStyle w:val="FootnoteReference"/>
        </w:rPr>
        <w:footnoteRef/>
      </w:r>
      <w:r>
        <w:t xml:space="preserve"> Appellate Body Report, EC – </w:t>
      </w:r>
      <w:r w:rsidRPr="00285D8D">
        <w:rPr>
          <w:i/>
        </w:rPr>
        <w:t>Computer Equipment</w:t>
      </w:r>
      <w:r w:rsidRPr="00285D8D">
        <w:rPr>
          <w:i/>
          <w:iCs/>
        </w:rPr>
        <w:t>,</w:t>
      </w:r>
      <w:r>
        <w:t xml:space="preserve"> para. 83.</w:t>
      </w:r>
    </w:p>
  </w:footnote>
  <w:footnote w:id="6">
    <w:p w14:paraId="3E172DFE" w14:textId="64FE31A6" w:rsidR="009B22DD" w:rsidRDefault="009B22DD" w:rsidP="009B22DD">
      <w:pPr>
        <w:pStyle w:val="FootnoteText"/>
      </w:pPr>
      <w:r>
        <w:rPr>
          <w:rStyle w:val="FootnoteReference"/>
        </w:rPr>
        <w:footnoteRef/>
      </w:r>
      <w:r>
        <w:t xml:space="preserve"> </w:t>
      </w:r>
      <w:r w:rsidRPr="0058511D">
        <w:t>Article II:7 of the GATT</w:t>
      </w:r>
      <w:r>
        <w:t xml:space="preserve">; </w:t>
      </w:r>
      <w:r w:rsidRPr="00091ECE">
        <w:t xml:space="preserve">Appellate Body Reports, </w:t>
      </w:r>
      <w:r w:rsidRPr="00091ECE">
        <w:rPr>
          <w:i/>
          <w:iCs/>
        </w:rPr>
        <w:t>EC – Computer Equipment,</w:t>
      </w:r>
      <w:r w:rsidRPr="00091ECE">
        <w:t xml:space="preserve"> para. 84; </w:t>
      </w:r>
      <w:r w:rsidRPr="00091ECE">
        <w:rPr>
          <w:i/>
          <w:iCs/>
        </w:rPr>
        <w:t>EC – Export Subsidies on Sugar,</w:t>
      </w:r>
      <w:r w:rsidRPr="00091ECE">
        <w:t xml:space="preserve"> para. 167; and Panel Reports, </w:t>
      </w:r>
      <w:r w:rsidRPr="00091ECE">
        <w:rPr>
          <w:i/>
          <w:iCs/>
        </w:rPr>
        <w:t>EC – Chicken Cuts,</w:t>
      </w:r>
      <w:r w:rsidRPr="00091ECE">
        <w:t xml:space="preserve"> para. 7.87</w:t>
      </w:r>
      <w:r>
        <w:t xml:space="preserve">; </w:t>
      </w:r>
      <w:r>
        <w:rPr>
          <w:i/>
          <w:iCs/>
        </w:rPr>
        <w:t xml:space="preserve">India – Tariff Treatment, </w:t>
      </w:r>
      <w:r w:rsidRPr="00D544FC">
        <w:t>para</w:t>
      </w:r>
      <w:r>
        <w:t xml:space="preserve">. </w:t>
      </w:r>
      <w:r w:rsidRPr="00D544FC">
        <w:t>7.63</w:t>
      </w:r>
    </w:p>
  </w:footnote>
  <w:footnote w:id="7">
    <w:p w14:paraId="1A4C437D" w14:textId="77777777" w:rsidR="009B22DD" w:rsidRPr="00DC2CAA" w:rsidRDefault="009B22DD" w:rsidP="009B22DD">
      <w:pPr>
        <w:pStyle w:val="FootnoteText"/>
      </w:pPr>
      <w:r>
        <w:rPr>
          <w:rStyle w:val="FootnoteReference"/>
        </w:rPr>
        <w:footnoteRef/>
      </w:r>
      <w:r w:rsidRPr="00DC2CAA">
        <w:t xml:space="preserve"> </w:t>
      </w:r>
      <w:r>
        <w:t>Appellate Body</w:t>
      </w:r>
      <w:r w:rsidRPr="00DC2CAA">
        <w:t xml:space="preserve"> </w:t>
      </w:r>
      <w:r>
        <w:t xml:space="preserve">Report, </w:t>
      </w:r>
      <w:r w:rsidRPr="00DC2CAA">
        <w:rPr>
          <w:i/>
          <w:iCs/>
        </w:rPr>
        <w:t>EC – Computer Equipment</w:t>
      </w:r>
      <w:r>
        <w:t>, para. 89.</w:t>
      </w:r>
    </w:p>
  </w:footnote>
  <w:footnote w:id="8">
    <w:p w14:paraId="7AC5E08F" w14:textId="77777777" w:rsidR="009B22DD" w:rsidRPr="00DC2CAA" w:rsidRDefault="009B22DD" w:rsidP="009B22DD">
      <w:pPr>
        <w:pStyle w:val="FootnoteText"/>
        <w:rPr>
          <w:i/>
          <w:iCs/>
        </w:rPr>
      </w:pPr>
      <w:r>
        <w:rPr>
          <w:rStyle w:val="FootnoteReference"/>
        </w:rPr>
        <w:footnoteRef/>
      </w:r>
      <w:r>
        <w:t xml:space="preserve"> Panel Report, </w:t>
      </w:r>
      <w:r>
        <w:rPr>
          <w:i/>
          <w:iCs/>
        </w:rPr>
        <w:t xml:space="preserve">India – Tariff Treatment, </w:t>
      </w:r>
      <w:r w:rsidRPr="00D544FC">
        <w:t>para</w:t>
      </w:r>
      <w:r>
        <w:t xml:space="preserve">. </w:t>
      </w:r>
      <w:r w:rsidRPr="00D544FC">
        <w:t>7.63</w:t>
      </w:r>
      <w:r>
        <w:t>.</w:t>
      </w:r>
    </w:p>
  </w:footnote>
  <w:footnote w:id="9">
    <w:p w14:paraId="1444B91A" w14:textId="77777777" w:rsidR="009B22DD" w:rsidRPr="00B32705" w:rsidRDefault="009B22DD" w:rsidP="009B22DD">
      <w:pPr>
        <w:pStyle w:val="FootnoteText"/>
        <w:rPr>
          <w:i/>
          <w:iCs/>
        </w:rPr>
      </w:pPr>
      <w:r>
        <w:rPr>
          <w:rStyle w:val="FootnoteReference"/>
        </w:rPr>
        <w:footnoteRef/>
      </w:r>
      <w:r>
        <w:t xml:space="preserve"> Panel Report, </w:t>
      </w:r>
      <w:r>
        <w:rPr>
          <w:i/>
          <w:iCs/>
        </w:rPr>
        <w:t>India – Tariff Treatment,</w:t>
      </w:r>
      <w:r w:rsidRPr="00961BD1">
        <w:t xml:space="preserve"> para. 7.63</w:t>
      </w:r>
      <w:r>
        <w:rPr>
          <w:i/>
          <w:iCs/>
        </w:rPr>
        <w:t xml:space="preserve">. </w:t>
      </w:r>
    </w:p>
  </w:footnote>
  <w:footnote w:id="10">
    <w:p w14:paraId="2B7DC455" w14:textId="77777777" w:rsidR="009B22DD" w:rsidRDefault="009B22DD" w:rsidP="009B22DD">
      <w:pPr>
        <w:pStyle w:val="FootnoteText"/>
      </w:pPr>
      <w:r>
        <w:rPr>
          <w:rStyle w:val="FootnoteReference"/>
        </w:rPr>
        <w:footnoteRef/>
      </w:r>
      <w:r>
        <w:t xml:space="preserve"> Appellate Body Report, </w:t>
      </w:r>
      <w:r w:rsidRPr="008D2B23">
        <w:rPr>
          <w:i/>
          <w:iCs/>
        </w:rPr>
        <w:t>China – Publications and Audiovisual Product,</w:t>
      </w:r>
      <w:r>
        <w:t xml:space="preserve"> paras. 396-397. </w:t>
      </w:r>
    </w:p>
  </w:footnote>
  <w:footnote w:id="11">
    <w:p w14:paraId="38C050E4" w14:textId="658C1E17" w:rsidR="009B22DD" w:rsidRDefault="009B22DD" w:rsidP="009B22DD">
      <w:pPr>
        <w:pStyle w:val="FootnoteText"/>
      </w:pPr>
      <w:r>
        <w:rPr>
          <w:rStyle w:val="FootnoteReference"/>
        </w:rPr>
        <w:footnoteRef/>
      </w:r>
      <w:r>
        <w:t xml:space="preserve"> </w:t>
      </w:r>
      <w:r w:rsidRPr="00664E8D">
        <w:t>Appellate Body Report</w:t>
      </w:r>
      <w:r w:rsidR="00755CAB">
        <w:t>s</w:t>
      </w:r>
      <w:r w:rsidRPr="00664E8D">
        <w:t xml:space="preserve">, </w:t>
      </w:r>
      <w:r w:rsidRPr="00272AA4">
        <w:rPr>
          <w:i/>
        </w:rPr>
        <w:t>US – Gasoline</w:t>
      </w:r>
      <w:r w:rsidRPr="00664E8D">
        <w:t xml:space="preserve">, page </w:t>
      </w:r>
      <w:r>
        <w:t>30</w:t>
      </w:r>
      <w:r w:rsidRPr="00664E8D">
        <w:t xml:space="preserve">; </w:t>
      </w:r>
      <w:r w:rsidRPr="00765CAB">
        <w:rPr>
          <w:i/>
          <w:iCs/>
        </w:rPr>
        <w:t>Brazil – Retreaded Tyres</w:t>
      </w:r>
      <w:r w:rsidRPr="00664E8D">
        <w:t>, para. 140</w:t>
      </w:r>
      <w:r>
        <w:t>.</w:t>
      </w:r>
    </w:p>
  </w:footnote>
  <w:footnote w:id="12">
    <w:p w14:paraId="44EC1EC8" w14:textId="614CE55E" w:rsidR="009B22DD" w:rsidRPr="00215FA4" w:rsidRDefault="009B22DD" w:rsidP="009B22DD">
      <w:pPr>
        <w:pStyle w:val="FootnoteText"/>
        <w:rPr>
          <w:b/>
          <w:bCs/>
          <w:i/>
          <w:iCs/>
        </w:rPr>
      </w:pPr>
      <w:r>
        <w:rPr>
          <w:rStyle w:val="FootnoteReference"/>
        </w:rPr>
        <w:footnoteRef/>
      </w:r>
      <w:r>
        <w:t xml:space="preserve"> Australia’s third party submission</w:t>
      </w:r>
      <w:r>
        <w:rPr>
          <w:i/>
          <w:iCs/>
        </w:rPr>
        <w:t xml:space="preserve">, </w:t>
      </w:r>
      <w:r>
        <w:t xml:space="preserve">14 December 2021,  </w:t>
      </w:r>
      <w:r>
        <w:rPr>
          <w:i/>
          <w:iCs/>
        </w:rPr>
        <w:t xml:space="preserve">EU – Palm Oil (Malaysia), </w:t>
      </w:r>
      <w:r>
        <w:t>para. 2.</w:t>
      </w:r>
    </w:p>
  </w:footnote>
  <w:footnote w:id="13">
    <w:p w14:paraId="3165C456" w14:textId="57A3DBA9" w:rsidR="009B22DD" w:rsidRPr="001F1E65" w:rsidRDefault="009B22DD" w:rsidP="009B22DD">
      <w:pPr>
        <w:pStyle w:val="FootnoteText"/>
      </w:pPr>
      <w:r w:rsidRPr="001F1E65">
        <w:rPr>
          <w:rStyle w:val="FootnoteReference"/>
        </w:rPr>
        <w:footnoteRef/>
      </w:r>
      <w:r>
        <w:t xml:space="preserve"> Advisory Opinion of the ICJ, 31 July 2025, para. 73.</w:t>
      </w:r>
    </w:p>
  </w:footnote>
  <w:footnote w:id="14">
    <w:p w14:paraId="2829DD60" w14:textId="7375D100" w:rsidR="009B22DD" w:rsidRPr="00601C5F" w:rsidRDefault="009B22DD" w:rsidP="009B22DD">
      <w:pPr>
        <w:pStyle w:val="FootnoteText"/>
      </w:pPr>
      <w:r w:rsidRPr="00B06C04">
        <w:rPr>
          <w:rStyle w:val="FootnoteReference"/>
        </w:rPr>
        <w:footnoteRef/>
      </w:r>
      <w:r w:rsidRPr="00B06C04">
        <w:t xml:space="preserve"> </w:t>
      </w:r>
      <w:r w:rsidR="00312B9F">
        <w:t xml:space="preserve">Panel Reports, </w:t>
      </w:r>
      <w:r>
        <w:rPr>
          <w:i/>
        </w:rPr>
        <w:t>EU and Certain Member States – Palm Oil (Malaysia)</w:t>
      </w:r>
      <w:r>
        <w:t>,</w:t>
      </w:r>
      <w:r>
        <w:rPr>
          <w:i/>
        </w:rPr>
        <w:t xml:space="preserve"> </w:t>
      </w:r>
      <w:r>
        <w:t>paras 7.281,7.1085</w:t>
      </w:r>
      <w:r w:rsidR="00402F7C">
        <w:t xml:space="preserve"> and</w:t>
      </w:r>
      <w:r>
        <w:t xml:space="preserve"> </w:t>
      </w:r>
      <w:r>
        <w:rPr>
          <w:i/>
        </w:rPr>
        <w:t>EU – Palm Oil (Indonesia)</w:t>
      </w:r>
      <w:r>
        <w:t>, paras 7.290, 7.1093;</w:t>
      </w:r>
      <w:r w:rsidRPr="00B06C04">
        <w:t xml:space="preserve"> Appellate Body Report, </w:t>
      </w:r>
      <w:r w:rsidRPr="000E49F9">
        <w:rPr>
          <w:i/>
          <w:iCs/>
        </w:rPr>
        <w:t>Brazil – Retreaded Tyres</w:t>
      </w:r>
      <w:r w:rsidRPr="00B06C04">
        <w:t>, para. 151</w:t>
      </w:r>
      <w:r>
        <w:t>.</w:t>
      </w:r>
    </w:p>
  </w:footnote>
  <w:footnote w:id="15">
    <w:p w14:paraId="691E8650" w14:textId="77A01FBE" w:rsidR="009B22DD" w:rsidRDefault="009B22DD" w:rsidP="009B22DD">
      <w:pPr>
        <w:pStyle w:val="FootnoteText"/>
      </w:pPr>
      <w:r>
        <w:rPr>
          <w:rStyle w:val="FootnoteReference"/>
        </w:rPr>
        <w:footnoteRef/>
      </w:r>
      <w:r>
        <w:t xml:space="preserve"> A</w:t>
      </w:r>
      <w:r w:rsidRPr="00235D90">
        <w:t>ppellate</w:t>
      </w:r>
      <w:r>
        <w:t xml:space="preserve"> </w:t>
      </w:r>
      <w:r w:rsidRPr="00235D90">
        <w:t>Body</w:t>
      </w:r>
      <w:r>
        <w:t xml:space="preserve"> </w:t>
      </w:r>
      <w:r w:rsidRPr="00235D90">
        <w:t>Report,</w:t>
      </w:r>
      <w:r>
        <w:t xml:space="preserve"> </w:t>
      </w:r>
      <w:r w:rsidRPr="00063436">
        <w:rPr>
          <w:i/>
          <w:iCs/>
        </w:rPr>
        <w:t>Brazil - Retreaded Tyres</w:t>
      </w:r>
      <w:r w:rsidRPr="00235D90">
        <w:t>, para.</w:t>
      </w:r>
      <w:r>
        <w:t xml:space="preserve"> </w:t>
      </w:r>
      <w:r w:rsidRPr="00235D90">
        <w:t>151</w:t>
      </w:r>
      <w:r>
        <w:t xml:space="preserve">; </w:t>
      </w:r>
      <w:r w:rsidRPr="001016BA">
        <w:t>Panel Report,</w:t>
      </w:r>
      <w:r w:rsidRPr="00B06C04">
        <w:rPr>
          <w:i/>
          <w:iCs/>
        </w:rPr>
        <w:t xml:space="preserve"> </w:t>
      </w:r>
      <w:r w:rsidRPr="00944D09">
        <w:rPr>
          <w:i/>
          <w:iCs/>
        </w:rPr>
        <w:t>EU — Palm Oil (Indonesia)</w:t>
      </w:r>
      <w:r w:rsidRPr="00944D09" w:rsidDel="00944D09">
        <w:rPr>
          <w:i/>
          <w:iCs/>
        </w:rPr>
        <w:t xml:space="preserve"> </w:t>
      </w:r>
      <w:r w:rsidRPr="00063436">
        <w:t>para</w:t>
      </w:r>
      <w:r>
        <w:t>.</w:t>
      </w:r>
      <w:r w:rsidRPr="00063436">
        <w:t xml:space="preserve"> 7.290</w:t>
      </w:r>
      <w:r>
        <w:t>.</w:t>
      </w:r>
    </w:p>
  </w:footnote>
  <w:footnote w:id="16">
    <w:p w14:paraId="53138E1E" w14:textId="77777777" w:rsidR="009B22DD" w:rsidRDefault="009B22DD" w:rsidP="009B22DD">
      <w:pPr>
        <w:pStyle w:val="FootnoteText"/>
      </w:pPr>
      <w:r>
        <w:rPr>
          <w:rStyle w:val="FootnoteReference"/>
        </w:rPr>
        <w:footnoteRef/>
      </w:r>
      <w:r>
        <w:t xml:space="preserve"> </w:t>
      </w:r>
      <w:r w:rsidRPr="008A7C59">
        <w:t xml:space="preserve">Appellate Body Report, </w:t>
      </w:r>
      <w:r w:rsidRPr="000E49F9">
        <w:rPr>
          <w:i/>
          <w:iCs/>
        </w:rPr>
        <w:t>US – Shrimp</w:t>
      </w:r>
      <w:r w:rsidRPr="008A7C59">
        <w:t>, para. 130</w:t>
      </w:r>
      <w:r>
        <w:t>.</w:t>
      </w:r>
    </w:p>
  </w:footnote>
  <w:footnote w:id="17">
    <w:p w14:paraId="303FF3AF" w14:textId="77777777" w:rsidR="009B22DD" w:rsidRDefault="009B22DD" w:rsidP="009B22DD">
      <w:pPr>
        <w:pStyle w:val="FootnoteText"/>
      </w:pPr>
      <w:r>
        <w:rPr>
          <w:rStyle w:val="FootnoteReference"/>
        </w:rPr>
        <w:footnoteRef/>
      </w:r>
      <w:r>
        <w:t xml:space="preserve"> </w:t>
      </w:r>
      <w:r w:rsidRPr="00AB2094">
        <w:t xml:space="preserve">Appellate Body Report, </w:t>
      </w:r>
      <w:r w:rsidRPr="000E49F9">
        <w:rPr>
          <w:i/>
          <w:iCs/>
        </w:rPr>
        <w:t>US – Shrimp</w:t>
      </w:r>
      <w:r w:rsidRPr="00AB2094">
        <w:t>, para. 129</w:t>
      </w:r>
      <w:r>
        <w:t>.</w:t>
      </w:r>
    </w:p>
  </w:footnote>
  <w:footnote w:id="18">
    <w:p w14:paraId="207451CC" w14:textId="606068FB" w:rsidR="009B22DD" w:rsidRPr="00E06669" w:rsidRDefault="009B22DD" w:rsidP="009B22DD">
      <w:pPr>
        <w:pStyle w:val="FootnoteText"/>
      </w:pPr>
      <w:r>
        <w:rPr>
          <w:rStyle w:val="FootnoteReference"/>
        </w:rPr>
        <w:footnoteRef/>
      </w:r>
      <w:r>
        <w:t xml:space="preserve"> </w:t>
      </w:r>
      <w:r w:rsidRPr="00AB2094">
        <w:t>Appellate Body Report</w:t>
      </w:r>
      <w:r>
        <w:t>s</w:t>
      </w:r>
      <w:r w:rsidRPr="00AB2094">
        <w:t xml:space="preserve">, </w:t>
      </w:r>
      <w:r w:rsidRPr="000E49F9">
        <w:rPr>
          <w:i/>
          <w:iCs/>
        </w:rPr>
        <w:t xml:space="preserve">US – </w:t>
      </w:r>
      <w:r>
        <w:rPr>
          <w:i/>
          <w:iCs/>
        </w:rPr>
        <w:t>Gasoline</w:t>
      </w:r>
      <w:r w:rsidRPr="00AB2094">
        <w:t>, pa</w:t>
      </w:r>
      <w:r>
        <w:t xml:space="preserve">ges 14, 19; </w:t>
      </w:r>
      <w:r>
        <w:rPr>
          <w:i/>
          <w:iCs/>
        </w:rPr>
        <w:t xml:space="preserve">US – Shrimp, </w:t>
      </w:r>
      <w:r>
        <w:t>paras</w:t>
      </w:r>
      <w:r w:rsidR="00402F7C">
        <w:t>.</w:t>
      </w:r>
      <w:r>
        <w:t xml:space="preserve"> 136, 141.</w:t>
      </w:r>
    </w:p>
  </w:footnote>
  <w:footnote w:id="19">
    <w:p w14:paraId="2972D50E" w14:textId="77777777" w:rsidR="009B22DD" w:rsidRPr="00B03F15" w:rsidRDefault="009B22DD" w:rsidP="009B22DD">
      <w:pPr>
        <w:pStyle w:val="FootnoteText"/>
        <w:rPr>
          <w:lang w:val="en-US"/>
        </w:rPr>
      </w:pPr>
      <w:r>
        <w:rPr>
          <w:rStyle w:val="FootnoteReference"/>
        </w:rPr>
        <w:footnoteRef/>
      </w:r>
      <w:r>
        <w:t xml:space="preserve"> </w:t>
      </w:r>
      <w:r w:rsidRPr="00260464">
        <w:t xml:space="preserve">Appellate Body Report, </w:t>
      </w:r>
      <w:r w:rsidRPr="00194A1A">
        <w:rPr>
          <w:i/>
          <w:iCs/>
        </w:rPr>
        <w:t>US – Shrimp</w:t>
      </w:r>
      <w:r w:rsidRPr="00260464">
        <w:t xml:space="preserve">, para. </w:t>
      </w:r>
      <w:r w:rsidRPr="00B03F15">
        <w:rPr>
          <w:lang w:val="en-US"/>
        </w:rPr>
        <w:t>131.</w:t>
      </w:r>
    </w:p>
  </w:footnote>
  <w:footnote w:id="20">
    <w:p w14:paraId="35643AAD" w14:textId="68E80A4A" w:rsidR="009B22DD" w:rsidRPr="00B03F15" w:rsidRDefault="009B22DD" w:rsidP="009B22DD">
      <w:pPr>
        <w:pStyle w:val="FootnoteText"/>
        <w:rPr>
          <w:lang w:val="en-US"/>
        </w:rPr>
      </w:pPr>
      <w:r>
        <w:rPr>
          <w:rStyle w:val="FootnoteReference"/>
        </w:rPr>
        <w:footnoteRef/>
      </w:r>
      <w:r w:rsidRPr="00B03F15">
        <w:rPr>
          <w:lang w:val="en-US"/>
        </w:rPr>
        <w:t xml:space="preserve"> Panel Reports, </w:t>
      </w:r>
      <w:r w:rsidRPr="00B03F15">
        <w:rPr>
          <w:i/>
          <w:lang w:val="en-US"/>
        </w:rPr>
        <w:t>EU – Palm Oil (Indonesia)</w:t>
      </w:r>
      <w:r w:rsidRPr="00B03F15">
        <w:rPr>
          <w:lang w:val="en-US"/>
        </w:rPr>
        <w:t>, para 7.286</w:t>
      </w:r>
      <w:r w:rsidR="00402F7C" w:rsidRPr="00B03F15">
        <w:rPr>
          <w:lang w:val="en-US"/>
        </w:rPr>
        <w:t xml:space="preserve"> and </w:t>
      </w:r>
      <w:r w:rsidRPr="00B03F15">
        <w:rPr>
          <w:i/>
          <w:iCs/>
          <w:lang w:val="en-US"/>
        </w:rPr>
        <w:t>EU – Palm Oil (Malaysia)</w:t>
      </w:r>
      <w:r w:rsidRPr="00B03F15">
        <w:rPr>
          <w:lang w:val="en-US"/>
        </w:rPr>
        <w:t xml:space="preserve">, para. 7.277.  </w:t>
      </w:r>
    </w:p>
  </w:footnote>
  <w:footnote w:id="21">
    <w:p w14:paraId="44FEF255" w14:textId="77777777" w:rsidR="009B22DD" w:rsidRPr="00194A1A" w:rsidRDefault="009B22DD" w:rsidP="009B22DD">
      <w:pPr>
        <w:pStyle w:val="FootnoteText"/>
      </w:pPr>
      <w:r>
        <w:rPr>
          <w:rStyle w:val="FootnoteReference"/>
        </w:rPr>
        <w:footnoteRef/>
      </w:r>
      <w:r w:rsidRPr="00194A1A">
        <w:t xml:space="preserve"> Türkiye’s First Written Submission, para</w:t>
      </w:r>
      <w:r>
        <w:t>.</w:t>
      </w:r>
      <w:r w:rsidRPr="00194A1A">
        <w:t xml:space="preserve"> 2.127.</w:t>
      </w:r>
    </w:p>
  </w:footnote>
  <w:footnote w:id="22">
    <w:p w14:paraId="03A38F7C" w14:textId="77777777" w:rsidR="009B22DD" w:rsidRPr="00194A1A" w:rsidRDefault="009B22DD" w:rsidP="009B22DD">
      <w:pPr>
        <w:pStyle w:val="FootnoteText"/>
      </w:pPr>
      <w:r>
        <w:rPr>
          <w:rStyle w:val="FootnoteReference"/>
        </w:rPr>
        <w:footnoteRef/>
      </w:r>
      <w:r w:rsidRPr="00194A1A">
        <w:t xml:space="preserve"> Türkiye’s First Written Submission para</w:t>
      </w:r>
      <w:r>
        <w:t>s.</w:t>
      </w:r>
      <w:r w:rsidRPr="00194A1A">
        <w:t xml:space="preserve"> 1.6</w:t>
      </w:r>
      <w:r>
        <w:t xml:space="preserve"> and</w:t>
      </w:r>
      <w:r w:rsidRPr="00194A1A">
        <w:t xml:space="preserve"> 2.128</w:t>
      </w:r>
      <w:r>
        <w:t>.</w:t>
      </w:r>
    </w:p>
  </w:footnote>
  <w:footnote w:id="23">
    <w:p w14:paraId="34C42B0A" w14:textId="77777777" w:rsidR="009B22DD" w:rsidRPr="00240A8F" w:rsidRDefault="009B22DD" w:rsidP="009B22DD">
      <w:pPr>
        <w:pStyle w:val="FootnoteText"/>
        <w:rPr>
          <w:i/>
          <w:iCs/>
        </w:rPr>
      </w:pPr>
      <w:r>
        <w:rPr>
          <w:rStyle w:val="FootnoteReference"/>
        </w:rPr>
        <w:footnoteRef/>
      </w:r>
      <w:r>
        <w:t xml:space="preserve"> </w:t>
      </w:r>
      <w:r w:rsidRPr="00194A1A">
        <w:t>Appellate Body Report</w:t>
      </w:r>
      <w:r>
        <w:t xml:space="preserve">, </w:t>
      </w:r>
      <w:r w:rsidRPr="00240A8F">
        <w:rPr>
          <w:i/>
          <w:iCs/>
        </w:rPr>
        <w:t xml:space="preserve">Brazil </w:t>
      </w:r>
      <w:r>
        <w:rPr>
          <w:i/>
          <w:iCs/>
        </w:rPr>
        <w:t>Ret</w:t>
      </w:r>
      <w:r w:rsidRPr="00240A8F">
        <w:rPr>
          <w:i/>
          <w:iCs/>
        </w:rPr>
        <w:t>readed Tyres</w:t>
      </w:r>
      <w:r>
        <w:rPr>
          <w:i/>
          <w:iCs/>
        </w:rPr>
        <w:t xml:space="preserve">, </w:t>
      </w:r>
      <w:r>
        <w:t>para. 31.</w:t>
      </w:r>
    </w:p>
  </w:footnote>
  <w:footnote w:id="24">
    <w:p w14:paraId="64B3F1CD" w14:textId="0CDF4E08" w:rsidR="009B22DD" w:rsidRDefault="009B22DD" w:rsidP="009B22DD">
      <w:pPr>
        <w:pStyle w:val="FootnoteText"/>
        <w:jc w:val="left"/>
      </w:pPr>
      <w:r>
        <w:rPr>
          <w:rStyle w:val="FootnoteReference"/>
        </w:rPr>
        <w:footnoteRef/>
      </w:r>
      <w:r w:rsidR="00401824">
        <w:t xml:space="preserve"> </w:t>
      </w:r>
      <w:r w:rsidRPr="00194A1A">
        <w:t xml:space="preserve">Appellate Body Report, </w:t>
      </w:r>
      <w:r w:rsidRPr="00194A1A">
        <w:rPr>
          <w:i/>
          <w:iCs/>
        </w:rPr>
        <w:t>EC – Seal Products</w:t>
      </w:r>
      <w:r w:rsidRPr="00194A1A">
        <w:t>, para. 5.299</w:t>
      </w:r>
      <w:r>
        <w:t>.</w:t>
      </w:r>
    </w:p>
  </w:footnote>
  <w:footnote w:id="25">
    <w:p w14:paraId="66503723" w14:textId="77777777" w:rsidR="009B22DD" w:rsidRDefault="009B22DD" w:rsidP="009B22DD">
      <w:pPr>
        <w:pStyle w:val="FootnoteText"/>
      </w:pPr>
      <w:r>
        <w:rPr>
          <w:rStyle w:val="FootnoteReference"/>
        </w:rPr>
        <w:footnoteRef/>
      </w:r>
      <w:r>
        <w:t xml:space="preserve"> </w:t>
      </w:r>
      <w:r w:rsidRPr="00194A1A">
        <w:t xml:space="preserve">Appellate Body Report, </w:t>
      </w:r>
      <w:r w:rsidRPr="00194A1A">
        <w:rPr>
          <w:i/>
          <w:iCs/>
        </w:rPr>
        <w:t>EC – Seal Products</w:t>
      </w:r>
      <w:r w:rsidRPr="00194A1A">
        <w:t>, para. 5.299</w:t>
      </w:r>
      <w:r w:rsidRPr="00BE6DAC">
        <w:t>.</w:t>
      </w:r>
    </w:p>
  </w:footnote>
  <w:footnote w:id="26">
    <w:p w14:paraId="2E60289C" w14:textId="553609D3" w:rsidR="009B22DD" w:rsidRDefault="009B22DD" w:rsidP="009B22DD">
      <w:pPr>
        <w:pStyle w:val="FootnoteText"/>
      </w:pPr>
      <w:r>
        <w:rPr>
          <w:rStyle w:val="FootnoteReference"/>
        </w:rPr>
        <w:footnoteRef/>
      </w:r>
      <w:r>
        <w:t xml:space="preserve"> </w:t>
      </w:r>
      <w:r w:rsidRPr="00390D6A">
        <w:t>Appellate Body Report</w:t>
      </w:r>
      <w:r w:rsidR="00402F7C">
        <w:t>s</w:t>
      </w:r>
      <w:r w:rsidRPr="00390D6A">
        <w:t>,</w:t>
      </w:r>
      <w:r>
        <w:t xml:space="preserve"> </w:t>
      </w:r>
      <w:r w:rsidRPr="00194A1A">
        <w:rPr>
          <w:i/>
          <w:iCs/>
        </w:rPr>
        <w:t>EC-Seal</w:t>
      </w:r>
      <w:r>
        <w:rPr>
          <w:i/>
          <w:iCs/>
        </w:rPr>
        <w:t xml:space="preserve"> Products</w:t>
      </w:r>
      <w:r w:rsidRPr="00194A1A">
        <w:rPr>
          <w:i/>
          <w:iCs/>
        </w:rPr>
        <w:t>,</w:t>
      </w:r>
      <w:r>
        <w:t xml:space="preserve"> para. 5.300</w:t>
      </w:r>
      <w:r w:rsidR="00402F7C">
        <w:t xml:space="preserve"> and </w:t>
      </w:r>
      <w:r>
        <w:rPr>
          <w:i/>
        </w:rPr>
        <w:t>Indonesia – Import Licensing Regimes</w:t>
      </w:r>
      <w:r>
        <w:t>, para</w:t>
      </w:r>
      <w:r w:rsidR="00402F7C">
        <w:t>.</w:t>
      </w:r>
      <w:r>
        <w:t xml:space="preserve"> 5.99.</w:t>
      </w:r>
    </w:p>
  </w:footnote>
  <w:footnote w:id="27">
    <w:p w14:paraId="3A02BBEB" w14:textId="77777777" w:rsidR="009B22DD" w:rsidRDefault="009B22DD" w:rsidP="009B22DD">
      <w:pPr>
        <w:pStyle w:val="FootnoteText"/>
      </w:pPr>
      <w:r>
        <w:rPr>
          <w:rStyle w:val="FootnoteReference"/>
        </w:rPr>
        <w:footnoteRef/>
      </w:r>
      <w:r>
        <w:t xml:space="preserve"> </w:t>
      </w:r>
      <w:r w:rsidRPr="00AA194A">
        <w:t xml:space="preserve">Appellate Body Report, </w:t>
      </w:r>
      <w:r w:rsidRPr="0055283A">
        <w:rPr>
          <w:i/>
          <w:iCs/>
        </w:rPr>
        <w:t>US – Shrimp</w:t>
      </w:r>
      <w:r w:rsidRPr="00AA194A">
        <w:t>, para. 120</w:t>
      </w:r>
      <w:r>
        <w:t>.</w:t>
      </w:r>
    </w:p>
  </w:footnote>
  <w:footnote w:id="28">
    <w:p w14:paraId="7E4084D8" w14:textId="2DA5A7CF" w:rsidR="009B22DD" w:rsidRDefault="009B22DD" w:rsidP="009B22DD">
      <w:pPr>
        <w:pStyle w:val="FootnoteText"/>
      </w:pPr>
      <w:r>
        <w:rPr>
          <w:rStyle w:val="FootnoteReference"/>
        </w:rPr>
        <w:footnoteRef/>
      </w:r>
      <w:r>
        <w:t xml:space="preserve"> Türkiye’s first written submission, paras. 3.23</w:t>
      </w:r>
      <w:r w:rsidR="001016BA">
        <w:t xml:space="preserve"> and</w:t>
      </w:r>
      <w:r>
        <w:t xml:space="preserve"> 3.11. </w:t>
      </w:r>
    </w:p>
  </w:footnote>
  <w:footnote w:id="29">
    <w:p w14:paraId="0C3546FC" w14:textId="383A2167" w:rsidR="009B22DD" w:rsidRPr="00704193" w:rsidRDefault="009B22DD" w:rsidP="009B22DD">
      <w:pPr>
        <w:pStyle w:val="FootnoteText"/>
      </w:pPr>
      <w:r>
        <w:rPr>
          <w:rStyle w:val="FootnoteReference"/>
        </w:rPr>
        <w:footnoteRef/>
      </w:r>
      <w:r>
        <w:t xml:space="preserve"> Türkiye’s first written submission, para</w:t>
      </w:r>
      <w:r w:rsidR="001016BA">
        <w:t>.</w:t>
      </w:r>
      <w:r>
        <w:t xml:space="preserve"> 3.12, citing </w:t>
      </w:r>
      <w:r>
        <w:rPr>
          <w:i/>
        </w:rPr>
        <w:t>EC – Tariff Preferences</w:t>
      </w:r>
      <w:r>
        <w:t>, paras</w:t>
      </w:r>
      <w:r w:rsidR="001016BA">
        <w:t>.</w:t>
      </w:r>
      <w:r>
        <w:t xml:space="preserve"> 110, 113.</w:t>
      </w:r>
    </w:p>
  </w:footnote>
  <w:footnote w:id="30">
    <w:p w14:paraId="72F0F667" w14:textId="29203AA5" w:rsidR="009B22DD" w:rsidRPr="00DC52CE" w:rsidRDefault="009B22DD" w:rsidP="009B22DD">
      <w:pPr>
        <w:pStyle w:val="FootnoteText"/>
      </w:pPr>
      <w:r>
        <w:rPr>
          <w:rStyle w:val="FootnoteReference"/>
        </w:rPr>
        <w:footnoteRef/>
      </w:r>
      <w:r>
        <w:t xml:space="preserve"> Türkiye’s first written submission, para</w:t>
      </w:r>
      <w:r w:rsidR="001016BA">
        <w:t>.</w:t>
      </w:r>
      <w:r>
        <w:t xml:space="preserve"> 3.23.</w:t>
      </w:r>
    </w:p>
  </w:footnote>
  <w:footnote w:id="31">
    <w:p w14:paraId="2129CADA" w14:textId="77777777" w:rsidR="009B22DD" w:rsidRDefault="009B22DD" w:rsidP="009B22DD">
      <w:pPr>
        <w:pStyle w:val="FootnoteText"/>
      </w:pPr>
      <w:r>
        <w:rPr>
          <w:rStyle w:val="FootnoteReference"/>
        </w:rPr>
        <w:footnoteRef/>
      </w:r>
      <w:r>
        <w:t xml:space="preserve"> </w:t>
      </w:r>
      <w:r w:rsidRPr="00240A8F">
        <w:t xml:space="preserve">Panel Report, </w:t>
      </w:r>
      <w:r w:rsidRPr="00240A8F">
        <w:rPr>
          <w:i/>
          <w:iCs/>
        </w:rPr>
        <w:t>China – Additional Duties,</w:t>
      </w:r>
      <w:r w:rsidRPr="00240A8F">
        <w:t xml:space="preserve"> para. 7.31.</w:t>
      </w:r>
    </w:p>
  </w:footnote>
  <w:footnote w:id="32">
    <w:p w14:paraId="5B57C35E" w14:textId="77777777" w:rsidR="009B22DD" w:rsidRDefault="009B22DD" w:rsidP="009B22DD">
      <w:pPr>
        <w:pStyle w:val="FootnoteText"/>
      </w:pPr>
      <w:r>
        <w:rPr>
          <w:rStyle w:val="FootnoteReference"/>
        </w:rPr>
        <w:footnoteRef/>
      </w:r>
      <w:r>
        <w:t xml:space="preserve"> </w:t>
      </w:r>
      <w:r w:rsidRPr="00194A1A">
        <w:t xml:space="preserve">Appellate Body Report, </w:t>
      </w:r>
      <w:r w:rsidRPr="00194A1A">
        <w:rPr>
          <w:i/>
          <w:iCs/>
        </w:rPr>
        <w:t>EC – Tariff Preferences</w:t>
      </w:r>
      <w:r w:rsidRPr="00194A1A">
        <w:t>, paras. 106</w:t>
      </w:r>
      <w:r>
        <w:t>,</w:t>
      </w:r>
      <w:r w:rsidRPr="00194A1A">
        <w:t xml:space="preserve"> 110</w:t>
      </w:r>
      <w:r>
        <w:t>.</w:t>
      </w:r>
    </w:p>
  </w:footnote>
  <w:footnote w:id="33">
    <w:p w14:paraId="50EED380" w14:textId="77777777" w:rsidR="009B22DD" w:rsidRDefault="009B22DD" w:rsidP="009B22DD">
      <w:pPr>
        <w:pStyle w:val="FootnoteText"/>
      </w:pPr>
      <w:r>
        <w:rPr>
          <w:rStyle w:val="FootnoteReference"/>
        </w:rPr>
        <w:footnoteRef/>
      </w:r>
      <w:r>
        <w:t xml:space="preserve"> </w:t>
      </w:r>
      <w:r w:rsidRPr="00A63287">
        <w:t xml:space="preserve">Panel Report, </w:t>
      </w:r>
      <w:r w:rsidRPr="009C1EC4">
        <w:rPr>
          <w:i/>
          <w:iCs/>
        </w:rPr>
        <w:t>China -</w:t>
      </w:r>
      <w:r w:rsidRPr="00A63287">
        <w:t xml:space="preserve"> </w:t>
      </w:r>
      <w:r w:rsidRPr="00407563">
        <w:rPr>
          <w:i/>
          <w:iCs/>
        </w:rPr>
        <w:t xml:space="preserve">Additional Duties, </w:t>
      </w:r>
      <w:r w:rsidRPr="00A63287">
        <w:t>para</w:t>
      </w:r>
      <w:r>
        <w:t>.</w:t>
      </w:r>
      <w:r w:rsidRPr="00A63287">
        <w:t xml:space="preserve"> 7.31</w:t>
      </w:r>
      <w:r>
        <w:t xml:space="preserve">; </w:t>
      </w:r>
      <w:r w:rsidRPr="00D30392">
        <w:t>Appellate Body Report</w:t>
      </w:r>
      <w:r>
        <w:t>s</w:t>
      </w:r>
      <w:r w:rsidRPr="00D30392">
        <w:t xml:space="preserve">, </w:t>
      </w:r>
      <w:r w:rsidRPr="00D30392">
        <w:rPr>
          <w:i/>
          <w:iCs/>
        </w:rPr>
        <w:t>EC – Tariff Preferences</w:t>
      </w:r>
      <w:r w:rsidRPr="00D30392">
        <w:t xml:space="preserve">, para. 110. The Appellate Body confirmed the exceptional nature of this approach in </w:t>
      </w:r>
      <w:r w:rsidRPr="00D30392">
        <w:rPr>
          <w:i/>
          <w:iCs/>
        </w:rPr>
        <w:t>Brazil – Taxation</w:t>
      </w:r>
      <w:r w:rsidRPr="00D30392">
        <w:t xml:space="preserve">. See Appellate Body Report, </w:t>
      </w:r>
      <w:r w:rsidRPr="00D30392">
        <w:rPr>
          <w:i/>
          <w:iCs/>
        </w:rPr>
        <w:t>Brazil – Taxation</w:t>
      </w:r>
      <w:r w:rsidRPr="00D30392">
        <w:t>, paras. 5.361-5.362.</w:t>
      </w:r>
    </w:p>
  </w:footnote>
  <w:footnote w:id="34">
    <w:p w14:paraId="7534B3FB" w14:textId="77777777" w:rsidR="009B22DD" w:rsidRPr="00752157" w:rsidRDefault="009B22DD" w:rsidP="009B22DD">
      <w:pPr>
        <w:pStyle w:val="FootnoteText"/>
        <w:rPr>
          <w:lang w:val="en-US"/>
        </w:rPr>
      </w:pPr>
      <w:r>
        <w:rPr>
          <w:rStyle w:val="FootnoteReference"/>
        </w:rPr>
        <w:footnoteRef/>
      </w:r>
      <w:r>
        <w:t xml:space="preserve"> </w:t>
      </w:r>
      <w:r w:rsidRPr="00A63287">
        <w:t xml:space="preserve">Appellate Body Report, </w:t>
      </w:r>
      <w:r w:rsidRPr="00407563">
        <w:rPr>
          <w:i/>
          <w:iCs/>
        </w:rPr>
        <w:t xml:space="preserve">Brazil - </w:t>
      </w:r>
      <w:r>
        <w:rPr>
          <w:i/>
          <w:iCs/>
        </w:rPr>
        <w:t>Taxation</w:t>
      </w:r>
      <w:r>
        <w:t>, p</w:t>
      </w:r>
      <w:r w:rsidRPr="00A63287">
        <w:t>ara</w:t>
      </w:r>
      <w:r>
        <w:t xml:space="preserve">. </w:t>
      </w:r>
      <w:r w:rsidRPr="00A63287">
        <w:t>5.36</w:t>
      </w:r>
      <w:r>
        <w:t xml:space="preserve">6; Panel report, </w:t>
      </w:r>
      <w:r w:rsidRPr="00407563">
        <w:rPr>
          <w:i/>
          <w:iCs/>
        </w:rPr>
        <w:t>Brazil – Taxation</w:t>
      </w:r>
      <w:r>
        <w:t>, para. 7.1064.</w:t>
      </w:r>
    </w:p>
  </w:footnote>
  <w:footnote w:id="35">
    <w:p w14:paraId="01E9A643" w14:textId="77777777" w:rsidR="009B22DD" w:rsidRDefault="009B22DD" w:rsidP="009B22DD">
      <w:pPr>
        <w:pStyle w:val="FootnoteText"/>
      </w:pPr>
      <w:r>
        <w:rPr>
          <w:rStyle w:val="FootnoteReference"/>
        </w:rPr>
        <w:footnoteRef/>
      </w:r>
      <w:r>
        <w:t xml:space="preserve"> Panel Report, </w:t>
      </w:r>
      <w:r w:rsidRPr="00407563">
        <w:rPr>
          <w:i/>
          <w:iCs/>
        </w:rPr>
        <w:t>Brazil – Taxation</w:t>
      </w:r>
      <w:r>
        <w:t>, para. 7.1064.</w:t>
      </w:r>
    </w:p>
  </w:footnote>
  <w:footnote w:id="36">
    <w:p w14:paraId="7B9C1866" w14:textId="77777777" w:rsidR="009B22DD" w:rsidRPr="00A63287" w:rsidRDefault="009B22DD" w:rsidP="009B22DD">
      <w:pPr>
        <w:pStyle w:val="FootnoteText"/>
      </w:pPr>
      <w:r>
        <w:rPr>
          <w:rStyle w:val="FootnoteReference"/>
        </w:rPr>
        <w:footnoteRef/>
      </w:r>
      <w:r>
        <w:t xml:space="preserve"> </w:t>
      </w:r>
      <w:r w:rsidRPr="00A63287">
        <w:t xml:space="preserve">Appellate Body Report, </w:t>
      </w:r>
      <w:r w:rsidRPr="00407563">
        <w:rPr>
          <w:i/>
          <w:iCs/>
        </w:rPr>
        <w:t xml:space="preserve">Brazil - </w:t>
      </w:r>
      <w:r>
        <w:rPr>
          <w:i/>
          <w:iCs/>
        </w:rPr>
        <w:t>Taxation</w:t>
      </w:r>
      <w:r>
        <w:t>, p</w:t>
      </w:r>
      <w:r w:rsidRPr="00A63287">
        <w:t>ara</w:t>
      </w:r>
      <w:r>
        <w:t xml:space="preserve">. </w:t>
      </w:r>
      <w:r w:rsidRPr="00A63287">
        <w:t>5.362</w:t>
      </w:r>
      <w:r>
        <w:t>.</w:t>
      </w:r>
    </w:p>
  </w:footnote>
  <w:footnote w:id="37">
    <w:p w14:paraId="2E610CE0" w14:textId="77777777" w:rsidR="009B22DD" w:rsidRDefault="009B22DD" w:rsidP="009B22DD">
      <w:pPr>
        <w:pStyle w:val="FootnoteText"/>
      </w:pPr>
      <w:r w:rsidRPr="00A63287">
        <w:rPr>
          <w:rStyle w:val="FootnoteReference"/>
        </w:rPr>
        <w:footnoteRef/>
      </w:r>
      <w:r w:rsidRPr="00A63287">
        <w:t xml:space="preserve"> </w:t>
      </w:r>
      <w:r>
        <w:t xml:space="preserve">Appellate Body Report, </w:t>
      </w:r>
      <w:r w:rsidRPr="00194A1A">
        <w:rPr>
          <w:i/>
          <w:iCs/>
        </w:rPr>
        <w:t>EC – Tariff Preferences</w:t>
      </w:r>
      <w:r>
        <w:t>, p</w:t>
      </w:r>
      <w:r w:rsidRPr="00A63287">
        <w:t>ara</w:t>
      </w:r>
      <w:r>
        <w:t>.</w:t>
      </w:r>
      <w:r w:rsidRPr="00A63287">
        <w:t xml:space="preserve"> 110</w:t>
      </w:r>
      <w:r>
        <w:t>.</w:t>
      </w:r>
    </w:p>
  </w:footnote>
  <w:footnote w:id="38">
    <w:p w14:paraId="5C37B5AE" w14:textId="77777777" w:rsidR="009B22DD" w:rsidRPr="00CA2538" w:rsidRDefault="009B22DD" w:rsidP="009B22DD">
      <w:pPr>
        <w:pStyle w:val="FootnoteText"/>
        <w:rPr>
          <w:lang w:val="en-US"/>
        </w:rPr>
      </w:pPr>
      <w:r>
        <w:rPr>
          <w:rStyle w:val="FootnoteReference"/>
        </w:rPr>
        <w:footnoteRef/>
      </w:r>
      <w:r>
        <w:t xml:space="preserve"> </w:t>
      </w:r>
      <w:r w:rsidRPr="003531DA">
        <w:t>Appellate Body Report</w:t>
      </w:r>
      <w:r>
        <w:t>s</w:t>
      </w:r>
      <w:r w:rsidRPr="003531DA">
        <w:t>, EC – Tariff Preferences, para. 116</w:t>
      </w:r>
      <w:r>
        <w:t xml:space="preserve">; </w:t>
      </w:r>
      <w:r>
        <w:rPr>
          <w:i/>
        </w:rPr>
        <w:t>Brazil – Taxation</w:t>
      </w:r>
      <w:r>
        <w:t>, para 5.362.</w:t>
      </w:r>
    </w:p>
  </w:footnote>
  <w:footnote w:id="39">
    <w:p w14:paraId="6041B8EA" w14:textId="77777777" w:rsidR="009B22DD" w:rsidRPr="00E57942" w:rsidRDefault="009B22DD" w:rsidP="009B22DD">
      <w:pPr>
        <w:pStyle w:val="FootnoteText"/>
        <w:rPr>
          <w:lang w:val="en-US"/>
        </w:rPr>
      </w:pPr>
      <w:r>
        <w:rPr>
          <w:rStyle w:val="FootnoteReference"/>
        </w:rPr>
        <w:footnoteRef/>
      </w:r>
      <w:r>
        <w:t xml:space="preserve"> </w:t>
      </w:r>
      <w:r w:rsidRPr="00B7703E">
        <w:t>Appellate Body Report</w:t>
      </w:r>
      <w:r w:rsidRPr="00194A1A">
        <w:rPr>
          <w:i/>
          <w:iCs/>
        </w:rPr>
        <w:t>, EC – Tariff Preferences</w:t>
      </w:r>
      <w:r w:rsidRPr="00B7703E">
        <w:t>, para</w:t>
      </w:r>
      <w:r>
        <w:t xml:space="preserve">. 117. </w:t>
      </w:r>
    </w:p>
  </w:footnote>
  <w:footnote w:id="40">
    <w:p w14:paraId="545FC7A4" w14:textId="77777777" w:rsidR="009B22DD" w:rsidRPr="00E57942" w:rsidRDefault="009B22DD" w:rsidP="009B22DD">
      <w:pPr>
        <w:pStyle w:val="FootnoteText"/>
      </w:pPr>
      <w:r>
        <w:rPr>
          <w:rStyle w:val="FootnoteReference"/>
        </w:rPr>
        <w:footnoteRef/>
      </w:r>
      <w:r>
        <w:t xml:space="preserve"> </w:t>
      </w:r>
      <w:r w:rsidRPr="00B7703E">
        <w:t>Appellate Body Report</w:t>
      </w:r>
      <w:r w:rsidRPr="00194A1A">
        <w:rPr>
          <w:i/>
          <w:iCs/>
        </w:rPr>
        <w:t>, EC – Tariff Preferences</w:t>
      </w:r>
      <w:r w:rsidRPr="00B7703E">
        <w:t>, para</w:t>
      </w:r>
      <w:r>
        <w:t>. 117.</w:t>
      </w:r>
    </w:p>
  </w:footnote>
  <w:footnote w:id="41">
    <w:p w14:paraId="797AC839" w14:textId="77777777" w:rsidR="009B22DD" w:rsidRDefault="009B22DD" w:rsidP="009B22DD">
      <w:pPr>
        <w:pStyle w:val="FootnoteText"/>
      </w:pPr>
      <w:r>
        <w:rPr>
          <w:rStyle w:val="FootnoteReference"/>
        </w:rPr>
        <w:footnoteRef/>
      </w:r>
      <w:r>
        <w:t xml:space="preserve"> </w:t>
      </w:r>
      <w:r w:rsidRPr="00B7703E">
        <w:t>Appellate Body Report</w:t>
      </w:r>
      <w:r w:rsidRPr="00194A1A">
        <w:rPr>
          <w:i/>
          <w:iCs/>
        </w:rPr>
        <w:t>, EC – Tariff Preferences</w:t>
      </w:r>
      <w:r w:rsidRPr="00B7703E">
        <w:t>, paras. 106-107</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2CAD4" w14:textId="6B5BD3A7" w:rsidR="00F306A0" w:rsidRDefault="00F306A0" w:rsidP="00F306A0">
    <w:pPr>
      <w:pStyle w:val="Header"/>
      <w:rPr>
        <w:i/>
        <w:iCs/>
      </w:rPr>
    </w:pPr>
    <w:r>
      <w:rPr>
        <w:i/>
        <w:iCs/>
      </w:rPr>
      <w:t>Türkiye – EVs (China</w:t>
    </w:r>
    <w:r w:rsidR="00401824">
      <w:rPr>
        <w:i/>
        <w:iCs/>
      </w:rPr>
      <w:t>)</w:t>
    </w:r>
    <w:r w:rsidR="00401824">
      <w:rPr>
        <w:i/>
        <w:iCs/>
      </w:rPr>
      <w:tab/>
    </w:r>
    <w:r w:rsidR="00401824">
      <w:rPr>
        <w:i/>
        <w:iCs/>
      </w:rPr>
      <w:tab/>
      <w:t>T</w:t>
    </w:r>
    <w:r>
      <w:rPr>
        <w:i/>
        <w:iCs/>
      </w:rPr>
      <w:t>hird party written submission of Australia</w:t>
    </w:r>
  </w:p>
  <w:p w14:paraId="25C0C088" w14:textId="14F269F6" w:rsidR="00F306A0" w:rsidRDefault="00F306A0" w:rsidP="00F306A0">
    <w:pPr>
      <w:pStyle w:val="Header"/>
    </w:pPr>
    <w:r w:rsidRPr="00401824">
      <w:t>(DS629</w:t>
    </w:r>
    <w:r w:rsidR="00401824" w:rsidRPr="00401824">
      <w:t>)</w:t>
    </w:r>
    <w:r w:rsidR="00401824">
      <w:rPr>
        <w:i/>
        <w:iCs/>
      </w:rPr>
      <w:tab/>
    </w:r>
    <w:r w:rsidR="00401824">
      <w:rPr>
        <w:i/>
        <w:iCs/>
      </w:rPr>
      <w:tab/>
    </w:r>
    <w:r w:rsidRPr="00401824">
      <w:t>31 July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0259A"/>
    <w:multiLevelType w:val="hybridMultilevel"/>
    <w:tmpl w:val="C0784592"/>
    <w:lvl w:ilvl="0" w:tplc="AE1A8D56">
      <w:start w:val="1"/>
      <w:numFmt w:val="decimal"/>
      <w:pStyle w:val="FCFigureCaption"/>
      <w:lvlText w:val="Figure %1"/>
      <w:lvlJc w:val="left"/>
      <w:pPr>
        <w:tabs>
          <w:tab w:val="num" w:pos="1134"/>
        </w:tabs>
        <w:ind w:left="1134" w:hanging="1134"/>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C8A4596"/>
    <w:multiLevelType w:val="multilevel"/>
    <w:tmpl w:val="3EF6F766"/>
    <w:lvl w:ilvl="0">
      <w:start w:val="1"/>
      <w:numFmt w:val="upperRoman"/>
      <w:pStyle w:val="HL1HeadingLevel1"/>
      <w:lvlText w:val="%1."/>
      <w:lvlJc w:val="left"/>
      <w:pPr>
        <w:tabs>
          <w:tab w:val="num" w:pos="851"/>
        </w:tabs>
        <w:ind w:left="851" w:hanging="851"/>
      </w:pPr>
      <w:rPr>
        <w:rFonts w:hint="default"/>
      </w:rPr>
    </w:lvl>
    <w:lvl w:ilvl="1">
      <w:start w:val="1"/>
      <w:numFmt w:val="upperLetter"/>
      <w:pStyle w:val="HL2HeadingLevel2"/>
      <w:lvlText w:val="%2."/>
      <w:lvlJc w:val="left"/>
      <w:pPr>
        <w:tabs>
          <w:tab w:val="num" w:pos="1702"/>
        </w:tabs>
        <w:ind w:left="1702" w:hanging="851"/>
      </w:pPr>
      <w:rPr>
        <w:rFonts w:hint="default"/>
      </w:rPr>
    </w:lvl>
    <w:lvl w:ilvl="2">
      <w:start w:val="1"/>
      <w:numFmt w:val="decimal"/>
      <w:pStyle w:val="HL3HeadingLevel3"/>
      <w:lvlText w:val="%3."/>
      <w:lvlJc w:val="left"/>
      <w:pPr>
        <w:tabs>
          <w:tab w:val="num" w:pos="2553"/>
        </w:tabs>
        <w:ind w:left="2553" w:hanging="851"/>
      </w:pPr>
      <w:rPr>
        <w:rFonts w:hint="default"/>
      </w:rPr>
    </w:lvl>
    <w:lvl w:ilvl="3">
      <w:start w:val="1"/>
      <w:numFmt w:val="lowerLetter"/>
      <w:pStyle w:val="HL4HeadingLevel4"/>
      <w:lvlText w:val="(%4)"/>
      <w:lvlJc w:val="left"/>
      <w:pPr>
        <w:tabs>
          <w:tab w:val="num" w:pos="3404"/>
        </w:tabs>
        <w:ind w:left="3404" w:hanging="851"/>
      </w:pPr>
      <w:rPr>
        <w:rFonts w:hint="default"/>
        <w:u w:val="single"/>
      </w:rPr>
    </w:lvl>
    <w:lvl w:ilvl="4">
      <w:start w:val="1"/>
      <w:numFmt w:val="lowerRoman"/>
      <w:pStyle w:val="HL5HeadingLevel5"/>
      <w:lvlText w:val="%5."/>
      <w:lvlJc w:val="left"/>
      <w:pPr>
        <w:tabs>
          <w:tab w:val="num" w:pos="4255"/>
        </w:tabs>
        <w:ind w:left="4255" w:hanging="851"/>
      </w:pPr>
      <w:rPr>
        <w:rFonts w:hint="default"/>
      </w:rPr>
    </w:lvl>
    <w:lvl w:ilvl="5">
      <w:start w:val="1"/>
      <w:numFmt w:val="upperLetter"/>
      <w:pStyle w:val="HL6HeadingLevel6"/>
      <w:lvlText w:val="(%6)"/>
      <w:lvlJc w:val="left"/>
      <w:pPr>
        <w:tabs>
          <w:tab w:val="num" w:pos="5103"/>
        </w:tabs>
        <w:ind w:left="5103" w:hanging="848"/>
      </w:pPr>
      <w:rPr>
        <w:rFonts w:hint="default"/>
      </w:rPr>
    </w:lvl>
    <w:lvl w:ilvl="6">
      <w:start w:val="1"/>
      <w:numFmt w:val="decimal"/>
      <w:pStyle w:val="HL7HeadingLevel7"/>
      <w:lvlText w:val="(%7)"/>
      <w:lvlJc w:val="left"/>
      <w:pPr>
        <w:tabs>
          <w:tab w:val="num" w:pos="5954"/>
        </w:tabs>
        <w:ind w:left="5954" w:hanging="851"/>
      </w:pPr>
      <w:rPr>
        <w:rFonts w:hint="default"/>
      </w:rPr>
    </w:lvl>
    <w:lvl w:ilvl="7">
      <w:start w:val="1"/>
      <w:numFmt w:val="lowerLetter"/>
      <w:pStyle w:val="HL8HeadingLevel8"/>
      <w:lvlText w:val="%8."/>
      <w:lvlJc w:val="left"/>
      <w:pPr>
        <w:tabs>
          <w:tab w:val="num" w:pos="6804"/>
        </w:tabs>
        <w:ind w:left="6804" w:hanging="850"/>
      </w:pPr>
      <w:rPr>
        <w:rFonts w:hint="default"/>
      </w:rPr>
    </w:lvl>
    <w:lvl w:ilvl="8">
      <w:start w:val="1"/>
      <w:numFmt w:val="lowerRoman"/>
      <w:pStyle w:val="HL9HeadingLevel9"/>
      <w:lvlText w:val="%9)"/>
      <w:lvlJc w:val="left"/>
      <w:pPr>
        <w:tabs>
          <w:tab w:val="num" w:pos="7655"/>
        </w:tabs>
        <w:ind w:left="7655" w:hanging="851"/>
      </w:pPr>
      <w:rPr>
        <w:rFonts w:hint="default"/>
      </w:rPr>
    </w:lvl>
  </w:abstractNum>
  <w:abstractNum w:abstractNumId="2" w15:restartNumberingAfterBreak="0">
    <w:nsid w:val="28243105"/>
    <w:multiLevelType w:val="hybridMultilevel"/>
    <w:tmpl w:val="8E56E39C"/>
    <w:lvl w:ilvl="0" w:tplc="ECDA052A">
      <w:start w:val="1"/>
      <w:numFmt w:val="decimal"/>
      <w:pStyle w:val="P1-N1Paragraph1-Number1"/>
      <w:lvlText w:val="%1."/>
      <w:lvlJc w:val="left"/>
      <w:pPr>
        <w:tabs>
          <w:tab w:val="num" w:pos="851"/>
        </w:tabs>
        <w:ind w:left="0" w:firstLine="0"/>
      </w:pPr>
      <w:rPr>
        <w:rFonts w:hint="default"/>
      </w:rPr>
    </w:lvl>
    <w:lvl w:ilvl="1" w:tplc="35D2146C">
      <w:start w:val="1"/>
      <w:numFmt w:val="bullet"/>
      <w:pStyle w:val="P2-B1Paragraph2-Bullet1"/>
      <w:lvlText w:val=""/>
      <w:lvlJc w:val="left"/>
      <w:pPr>
        <w:tabs>
          <w:tab w:val="num" w:pos="1701"/>
        </w:tabs>
        <w:ind w:left="1701" w:hanging="850"/>
      </w:pPr>
      <w:rPr>
        <w:rFonts w:ascii="Symbol" w:hAnsi="Symbol" w:hint="default"/>
      </w:rPr>
    </w:lvl>
    <w:lvl w:ilvl="2" w:tplc="9F3EA8EE">
      <w:start w:val="1"/>
      <w:numFmt w:val="bullet"/>
      <w:pStyle w:val="P3-B2Paragraph3-Bullet2"/>
      <w:lvlText w:val="–"/>
      <w:lvlJc w:val="left"/>
      <w:pPr>
        <w:tabs>
          <w:tab w:val="num" w:pos="2552"/>
        </w:tabs>
        <w:ind w:left="2552" w:hanging="851"/>
      </w:pPr>
      <w:rPr>
        <w:rFonts w:ascii="Calibri" w:eastAsiaTheme="minorHAnsi" w:hAnsi="Calibri" w:cs="Calibri" w:hint="default"/>
      </w:rPr>
    </w:lvl>
    <w:lvl w:ilvl="3" w:tplc="0C20942A">
      <w:start w:val="1"/>
      <w:numFmt w:val="bullet"/>
      <w:pStyle w:val="P4-B3Paragraph4-Bullet3"/>
      <w:lvlText w:val="o"/>
      <w:lvlJc w:val="left"/>
      <w:pPr>
        <w:tabs>
          <w:tab w:val="num" w:pos="3402"/>
        </w:tabs>
        <w:ind w:left="3402" w:hanging="850"/>
      </w:pPr>
      <w:rPr>
        <w:rFonts w:ascii="Courier New" w:hAnsi="Courier New" w:hint="default"/>
      </w:rPr>
    </w:lvl>
    <w:lvl w:ilvl="4" w:tplc="B388F3E6">
      <w:start w:val="1"/>
      <w:numFmt w:val="bullet"/>
      <w:pStyle w:val="P5-B4Paragraph5-Bullet4"/>
      <w:lvlText w:val=""/>
      <w:lvlJc w:val="left"/>
      <w:pPr>
        <w:tabs>
          <w:tab w:val="num" w:pos="4253"/>
        </w:tabs>
        <w:ind w:left="4253" w:hanging="851"/>
      </w:pPr>
      <w:rPr>
        <w:rFonts w:ascii="Wingdings" w:hAnsi="Wingdings" w:hint="default"/>
      </w:rPr>
    </w:lvl>
    <w:lvl w:ilvl="5" w:tplc="041E423A">
      <w:start w:val="1"/>
      <w:numFmt w:val="bullet"/>
      <w:pStyle w:val="P6-B5Paragraph6-Bullet5"/>
      <w:lvlText w:val=""/>
      <w:lvlJc w:val="left"/>
      <w:pPr>
        <w:tabs>
          <w:tab w:val="num" w:pos="5103"/>
        </w:tabs>
        <w:ind w:left="5103" w:hanging="850"/>
      </w:pPr>
      <w:rPr>
        <w:rFonts w:ascii="Wingdings" w:hAnsi="Wingdings" w:hint="default"/>
      </w:rPr>
    </w:lvl>
    <w:lvl w:ilvl="6" w:tplc="B914B13C">
      <w:start w:val="1"/>
      <w:numFmt w:val="bullet"/>
      <w:pStyle w:val="P7-B6Paragraph7-Bullet6"/>
      <w:lvlText w:val=""/>
      <w:lvlJc w:val="left"/>
      <w:pPr>
        <w:tabs>
          <w:tab w:val="num" w:pos="5954"/>
        </w:tabs>
        <w:ind w:left="5954" w:hanging="851"/>
      </w:pPr>
      <w:rPr>
        <w:rFonts w:ascii="Symbol" w:hAnsi="Symbol" w:hint="default"/>
      </w:rPr>
    </w:lvl>
    <w:lvl w:ilvl="7" w:tplc="B136EC4E">
      <w:start w:val="1"/>
      <w:numFmt w:val="bullet"/>
      <w:pStyle w:val="P8-B7Paragraph8-Bullet7"/>
      <w:lvlText w:val="–"/>
      <w:lvlJc w:val="left"/>
      <w:pPr>
        <w:tabs>
          <w:tab w:val="num" w:pos="6804"/>
        </w:tabs>
        <w:ind w:left="6804" w:hanging="850"/>
      </w:pPr>
      <w:rPr>
        <w:rFonts w:ascii="Calibri" w:eastAsiaTheme="minorHAnsi" w:hAnsi="Calibri" w:cs="Calibri" w:hint="default"/>
      </w:rPr>
    </w:lvl>
    <w:lvl w:ilvl="8" w:tplc="7B3C086C">
      <w:start w:val="1"/>
      <w:numFmt w:val="bullet"/>
      <w:pStyle w:val="P9-B8Paragraph9-Bullet8"/>
      <w:lvlText w:val="o"/>
      <w:lvlJc w:val="left"/>
      <w:pPr>
        <w:tabs>
          <w:tab w:val="num" w:pos="7655"/>
        </w:tabs>
        <w:ind w:left="7655" w:hanging="851"/>
      </w:pPr>
      <w:rPr>
        <w:rFonts w:ascii="Courier New" w:hAnsi="Courier New" w:hint="default"/>
      </w:rPr>
    </w:lvl>
  </w:abstractNum>
  <w:abstractNum w:abstractNumId="3" w15:restartNumberingAfterBreak="0">
    <w:nsid w:val="595D1099"/>
    <w:multiLevelType w:val="multilevel"/>
    <w:tmpl w:val="79A4006C"/>
    <w:lvl w:ilvl="0">
      <w:start w:val="1"/>
      <w:numFmt w:val="upperLetter"/>
      <w:pStyle w:val="AHL1AnnexHeadingLevel1"/>
      <w:lvlText w:val="ANNEX %1"/>
      <w:lvlJc w:val="left"/>
      <w:pPr>
        <w:tabs>
          <w:tab w:val="num" w:pos="1418"/>
        </w:tabs>
        <w:ind w:left="1418" w:hanging="1418"/>
      </w:pPr>
      <w:rPr>
        <w:rFonts w:hint="default"/>
      </w:rPr>
    </w:lvl>
    <w:lvl w:ilvl="1">
      <w:start w:val="1"/>
      <w:numFmt w:val="decimal"/>
      <w:pStyle w:val="AHL2AnnexHeadingLevel2"/>
      <w:lvlText w:val="%1.%2"/>
      <w:lvlJc w:val="left"/>
      <w:pPr>
        <w:tabs>
          <w:tab w:val="num" w:pos="851"/>
        </w:tabs>
        <w:ind w:left="851" w:hanging="851"/>
      </w:pPr>
      <w:rPr>
        <w:rFonts w:hint="default"/>
      </w:rPr>
    </w:lvl>
    <w:lvl w:ilvl="2">
      <w:start w:val="1"/>
      <w:numFmt w:val="decimal"/>
      <w:pStyle w:val="AHL3AnnexHeadingLevel3"/>
      <w:lvlText w:val="%1.%2.%3"/>
      <w:lvlJc w:val="left"/>
      <w:pPr>
        <w:tabs>
          <w:tab w:val="num" w:pos="1701"/>
        </w:tabs>
        <w:ind w:left="1701" w:hanging="850"/>
      </w:pPr>
      <w:rPr>
        <w:rFonts w:hint="default"/>
      </w:rPr>
    </w:lvl>
    <w:lvl w:ilvl="3">
      <w:start w:val="1"/>
      <w:numFmt w:val="decimal"/>
      <w:pStyle w:val="AHL4AnnexHeadingLevel4"/>
      <w:lvlText w:val="%1.%2.%3.%4"/>
      <w:lvlJc w:val="left"/>
      <w:pPr>
        <w:tabs>
          <w:tab w:val="num" w:pos="2835"/>
        </w:tabs>
        <w:ind w:left="2835" w:hanging="1134"/>
      </w:pPr>
      <w:rPr>
        <w:rFonts w:hint="default"/>
        <w:u w:val="single"/>
      </w:rPr>
    </w:lvl>
    <w:lvl w:ilvl="4">
      <w:start w:val="1"/>
      <w:numFmt w:val="none"/>
      <w:pStyle w:val="AHL5AnnexHeadingLevel5"/>
      <w:lvlText w:val=""/>
      <w:lvlJc w:val="left"/>
      <w:pPr>
        <w:ind w:left="2552" w:firstLine="0"/>
      </w:pPr>
      <w:rPr>
        <w:rFonts w:hint="default"/>
      </w:rPr>
    </w:lvl>
    <w:lvl w:ilvl="5">
      <w:start w:val="1"/>
      <w:numFmt w:val="none"/>
      <w:pStyle w:val="AHL6AnnexHeadingLevel6"/>
      <w:lvlText w:val=""/>
      <w:lvlJc w:val="left"/>
      <w:pPr>
        <w:ind w:left="3402" w:firstLine="0"/>
      </w:pPr>
      <w:rPr>
        <w:rFonts w:hint="default"/>
      </w:rPr>
    </w:lvl>
    <w:lvl w:ilvl="6">
      <w:start w:val="1"/>
      <w:numFmt w:val="none"/>
      <w:pStyle w:val="AHL7AnnexHeadingLevel7"/>
      <w:lvlText w:val=""/>
      <w:lvlJc w:val="left"/>
      <w:pPr>
        <w:ind w:left="4253" w:firstLine="0"/>
      </w:pPr>
      <w:rPr>
        <w:rFonts w:hint="default"/>
      </w:rPr>
    </w:lvl>
    <w:lvl w:ilvl="7">
      <w:start w:val="1"/>
      <w:numFmt w:val="none"/>
      <w:pStyle w:val="AHL8AnnexHeadingLevel8"/>
      <w:lvlText w:val=""/>
      <w:lvlJc w:val="left"/>
      <w:pPr>
        <w:ind w:left="5103" w:firstLine="0"/>
      </w:pPr>
      <w:rPr>
        <w:rFonts w:hint="default"/>
      </w:rPr>
    </w:lvl>
    <w:lvl w:ilvl="8">
      <w:start w:val="1"/>
      <w:numFmt w:val="none"/>
      <w:pStyle w:val="AHL9AnnexHeadingLevel9"/>
      <w:lvlText w:val=""/>
      <w:lvlJc w:val="left"/>
      <w:pPr>
        <w:ind w:left="5954" w:firstLine="0"/>
      </w:pPr>
      <w:rPr>
        <w:rFonts w:hint="default"/>
      </w:rPr>
    </w:lvl>
  </w:abstractNum>
  <w:abstractNum w:abstractNumId="4" w15:restartNumberingAfterBreak="0">
    <w:nsid w:val="67CE0D86"/>
    <w:multiLevelType w:val="hybridMultilevel"/>
    <w:tmpl w:val="48F8E010"/>
    <w:lvl w:ilvl="0" w:tplc="15ACE29E">
      <w:start w:val="1"/>
      <w:numFmt w:val="decimal"/>
      <w:pStyle w:val="TCTableCaption"/>
      <w:lvlText w:val="Table %1"/>
      <w:lvlJc w:val="left"/>
      <w:pPr>
        <w:tabs>
          <w:tab w:val="num" w:pos="1134"/>
        </w:tabs>
        <w:ind w:left="1134" w:hanging="1134"/>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094861414">
    <w:abstractNumId w:val="2"/>
  </w:num>
  <w:num w:numId="2" w16cid:durableId="357245528">
    <w:abstractNumId w:val="1"/>
  </w:num>
  <w:num w:numId="3" w16cid:durableId="718700423">
    <w:abstractNumId w:val="2"/>
    <w:lvlOverride w:ilvl="0">
      <w:startOverride w:val="1"/>
    </w:lvlOverride>
  </w:num>
  <w:num w:numId="4" w16cid:durableId="1014842275">
    <w:abstractNumId w:val="0"/>
  </w:num>
  <w:num w:numId="5" w16cid:durableId="237785862">
    <w:abstractNumId w:val="4"/>
  </w:num>
  <w:num w:numId="6" w16cid:durableId="605961709">
    <w:abstractNumId w:val="3"/>
  </w:num>
  <w:num w:numId="7" w16cid:durableId="111167449">
    <w:abstractNumId w:val="3"/>
  </w:num>
  <w:num w:numId="8" w16cid:durableId="2126347002">
    <w:abstractNumId w:val="2"/>
  </w:num>
  <w:num w:numId="9" w16cid:durableId="519047797">
    <w:abstractNumId w:val="2"/>
    <w:lvlOverride w:ilvl="0">
      <w:startOverride w:val="2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85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6A0"/>
    <w:rsid w:val="00004009"/>
    <w:rsid w:val="00006269"/>
    <w:rsid w:val="00013F6E"/>
    <w:rsid w:val="00023C47"/>
    <w:rsid w:val="00025483"/>
    <w:rsid w:val="00030A32"/>
    <w:rsid w:val="00031577"/>
    <w:rsid w:val="00040482"/>
    <w:rsid w:val="000453F8"/>
    <w:rsid w:val="00046BAF"/>
    <w:rsid w:val="000662B0"/>
    <w:rsid w:val="000716BD"/>
    <w:rsid w:val="0007327B"/>
    <w:rsid w:val="00081602"/>
    <w:rsid w:val="00082549"/>
    <w:rsid w:val="00093175"/>
    <w:rsid w:val="000950D2"/>
    <w:rsid w:val="000960CE"/>
    <w:rsid w:val="000C14F5"/>
    <w:rsid w:val="000C69EE"/>
    <w:rsid w:val="000E4C65"/>
    <w:rsid w:val="001016BA"/>
    <w:rsid w:val="00112CBA"/>
    <w:rsid w:val="0011547E"/>
    <w:rsid w:val="0012151F"/>
    <w:rsid w:val="001570CB"/>
    <w:rsid w:val="00165108"/>
    <w:rsid w:val="0017192E"/>
    <w:rsid w:val="00182727"/>
    <w:rsid w:val="001A41B7"/>
    <w:rsid w:val="001A4717"/>
    <w:rsid w:val="001D4D0B"/>
    <w:rsid w:val="001F46B7"/>
    <w:rsid w:val="002070FA"/>
    <w:rsid w:val="002074D5"/>
    <w:rsid w:val="00212CBA"/>
    <w:rsid w:val="00230197"/>
    <w:rsid w:val="0023272D"/>
    <w:rsid w:val="00245FA1"/>
    <w:rsid w:val="002603E6"/>
    <w:rsid w:val="0026128E"/>
    <w:rsid w:val="00264EA4"/>
    <w:rsid w:val="002774D9"/>
    <w:rsid w:val="00283DB2"/>
    <w:rsid w:val="002A49A5"/>
    <w:rsid w:val="002C6272"/>
    <w:rsid w:val="002F1025"/>
    <w:rsid w:val="002F433F"/>
    <w:rsid w:val="003005A3"/>
    <w:rsid w:val="0031054B"/>
    <w:rsid w:val="00312B9F"/>
    <w:rsid w:val="00323D58"/>
    <w:rsid w:val="00330582"/>
    <w:rsid w:val="0034182B"/>
    <w:rsid w:val="00343C7D"/>
    <w:rsid w:val="00354A06"/>
    <w:rsid w:val="00355394"/>
    <w:rsid w:val="00373C37"/>
    <w:rsid w:val="00380306"/>
    <w:rsid w:val="00380454"/>
    <w:rsid w:val="00380795"/>
    <w:rsid w:val="00396B82"/>
    <w:rsid w:val="003A10EE"/>
    <w:rsid w:val="003A3FC8"/>
    <w:rsid w:val="003A56A4"/>
    <w:rsid w:val="003A5EE8"/>
    <w:rsid w:val="003F2C72"/>
    <w:rsid w:val="0040108F"/>
    <w:rsid w:val="00401824"/>
    <w:rsid w:val="00402F7C"/>
    <w:rsid w:val="00420443"/>
    <w:rsid w:val="004342E7"/>
    <w:rsid w:val="004524CE"/>
    <w:rsid w:val="00453C6C"/>
    <w:rsid w:val="00454A8F"/>
    <w:rsid w:val="00477519"/>
    <w:rsid w:val="004C0D8E"/>
    <w:rsid w:val="004C1A30"/>
    <w:rsid w:val="004C335E"/>
    <w:rsid w:val="004C5D66"/>
    <w:rsid w:val="004D6BFA"/>
    <w:rsid w:val="004D7079"/>
    <w:rsid w:val="004D7C3F"/>
    <w:rsid w:val="004E3BF2"/>
    <w:rsid w:val="0050080F"/>
    <w:rsid w:val="00505CB1"/>
    <w:rsid w:val="00513A57"/>
    <w:rsid w:val="00525CB3"/>
    <w:rsid w:val="0054720A"/>
    <w:rsid w:val="00547F08"/>
    <w:rsid w:val="005714C3"/>
    <w:rsid w:val="0058590A"/>
    <w:rsid w:val="00586DAE"/>
    <w:rsid w:val="005B6710"/>
    <w:rsid w:val="005C0E21"/>
    <w:rsid w:val="005D0800"/>
    <w:rsid w:val="005E065F"/>
    <w:rsid w:val="005E4300"/>
    <w:rsid w:val="005E66D1"/>
    <w:rsid w:val="005E6A4E"/>
    <w:rsid w:val="005E7CD7"/>
    <w:rsid w:val="005F0DD5"/>
    <w:rsid w:val="005F4454"/>
    <w:rsid w:val="0062041F"/>
    <w:rsid w:val="006220E2"/>
    <w:rsid w:val="00631C3B"/>
    <w:rsid w:val="006550D0"/>
    <w:rsid w:val="006667C2"/>
    <w:rsid w:val="00670656"/>
    <w:rsid w:val="00675218"/>
    <w:rsid w:val="006778A5"/>
    <w:rsid w:val="00695D05"/>
    <w:rsid w:val="006A7D8C"/>
    <w:rsid w:val="006B1C9A"/>
    <w:rsid w:val="006C1D90"/>
    <w:rsid w:val="006E2F9F"/>
    <w:rsid w:val="006E314A"/>
    <w:rsid w:val="006F189E"/>
    <w:rsid w:val="006F1CC8"/>
    <w:rsid w:val="006F4843"/>
    <w:rsid w:val="00701992"/>
    <w:rsid w:val="00701EB8"/>
    <w:rsid w:val="00706CC5"/>
    <w:rsid w:val="00706E5D"/>
    <w:rsid w:val="007441A6"/>
    <w:rsid w:val="00750304"/>
    <w:rsid w:val="00752167"/>
    <w:rsid w:val="00755CAB"/>
    <w:rsid w:val="007630FC"/>
    <w:rsid w:val="0076488C"/>
    <w:rsid w:val="00772040"/>
    <w:rsid w:val="00785050"/>
    <w:rsid w:val="00791E95"/>
    <w:rsid w:val="00795605"/>
    <w:rsid w:val="007A3DA4"/>
    <w:rsid w:val="007A3EF1"/>
    <w:rsid w:val="007A50A6"/>
    <w:rsid w:val="007B4AFE"/>
    <w:rsid w:val="007C5A23"/>
    <w:rsid w:val="007D1A40"/>
    <w:rsid w:val="007D77DD"/>
    <w:rsid w:val="007E7DB4"/>
    <w:rsid w:val="007F0619"/>
    <w:rsid w:val="00800159"/>
    <w:rsid w:val="00842847"/>
    <w:rsid w:val="00876A03"/>
    <w:rsid w:val="0088439F"/>
    <w:rsid w:val="00887792"/>
    <w:rsid w:val="008929A5"/>
    <w:rsid w:val="008A1191"/>
    <w:rsid w:val="008A3AEA"/>
    <w:rsid w:val="008A3F4A"/>
    <w:rsid w:val="008A4C51"/>
    <w:rsid w:val="008B58C5"/>
    <w:rsid w:val="008B5994"/>
    <w:rsid w:val="008C1917"/>
    <w:rsid w:val="008C302F"/>
    <w:rsid w:val="008E0031"/>
    <w:rsid w:val="008E0CB0"/>
    <w:rsid w:val="008F5ACF"/>
    <w:rsid w:val="008F5B14"/>
    <w:rsid w:val="008F7779"/>
    <w:rsid w:val="0093054A"/>
    <w:rsid w:val="009410A9"/>
    <w:rsid w:val="009441C2"/>
    <w:rsid w:val="009442A5"/>
    <w:rsid w:val="00962C06"/>
    <w:rsid w:val="00976DDD"/>
    <w:rsid w:val="00982909"/>
    <w:rsid w:val="00991E72"/>
    <w:rsid w:val="009950B3"/>
    <w:rsid w:val="009B22DD"/>
    <w:rsid w:val="009C5F6D"/>
    <w:rsid w:val="009D6D1F"/>
    <w:rsid w:val="009E004D"/>
    <w:rsid w:val="009F736B"/>
    <w:rsid w:val="00A137E6"/>
    <w:rsid w:val="00A24CA2"/>
    <w:rsid w:val="00A261D8"/>
    <w:rsid w:val="00A31E82"/>
    <w:rsid w:val="00A351B1"/>
    <w:rsid w:val="00A35F65"/>
    <w:rsid w:val="00A44CD4"/>
    <w:rsid w:val="00A5375A"/>
    <w:rsid w:val="00A54F00"/>
    <w:rsid w:val="00A62B63"/>
    <w:rsid w:val="00A81647"/>
    <w:rsid w:val="00A900B6"/>
    <w:rsid w:val="00A977A6"/>
    <w:rsid w:val="00AA0A64"/>
    <w:rsid w:val="00AC4A0D"/>
    <w:rsid w:val="00AC5F35"/>
    <w:rsid w:val="00AD0459"/>
    <w:rsid w:val="00AD31C4"/>
    <w:rsid w:val="00AD52FF"/>
    <w:rsid w:val="00AF4DE4"/>
    <w:rsid w:val="00B03F15"/>
    <w:rsid w:val="00B03F76"/>
    <w:rsid w:val="00B10942"/>
    <w:rsid w:val="00B15D11"/>
    <w:rsid w:val="00B20115"/>
    <w:rsid w:val="00B36BF4"/>
    <w:rsid w:val="00B36F52"/>
    <w:rsid w:val="00B455DD"/>
    <w:rsid w:val="00B4751A"/>
    <w:rsid w:val="00B61586"/>
    <w:rsid w:val="00B61ED2"/>
    <w:rsid w:val="00B80E42"/>
    <w:rsid w:val="00B90D33"/>
    <w:rsid w:val="00B936B1"/>
    <w:rsid w:val="00B96619"/>
    <w:rsid w:val="00B9740F"/>
    <w:rsid w:val="00BA7965"/>
    <w:rsid w:val="00BD0E60"/>
    <w:rsid w:val="00BE0B1C"/>
    <w:rsid w:val="00BE310D"/>
    <w:rsid w:val="00BF2E2B"/>
    <w:rsid w:val="00BF4AE2"/>
    <w:rsid w:val="00C105A7"/>
    <w:rsid w:val="00C10D29"/>
    <w:rsid w:val="00C17954"/>
    <w:rsid w:val="00C22056"/>
    <w:rsid w:val="00C24A27"/>
    <w:rsid w:val="00C45722"/>
    <w:rsid w:val="00C45EAB"/>
    <w:rsid w:val="00C564DD"/>
    <w:rsid w:val="00C715A9"/>
    <w:rsid w:val="00C73188"/>
    <w:rsid w:val="00C7372D"/>
    <w:rsid w:val="00C737AF"/>
    <w:rsid w:val="00C740D8"/>
    <w:rsid w:val="00C74121"/>
    <w:rsid w:val="00C83D06"/>
    <w:rsid w:val="00C84084"/>
    <w:rsid w:val="00C90D90"/>
    <w:rsid w:val="00C93194"/>
    <w:rsid w:val="00C9498C"/>
    <w:rsid w:val="00C971A5"/>
    <w:rsid w:val="00CB069D"/>
    <w:rsid w:val="00CB6B5B"/>
    <w:rsid w:val="00CC4A2F"/>
    <w:rsid w:val="00CD5454"/>
    <w:rsid w:val="00CE5B47"/>
    <w:rsid w:val="00CF08CA"/>
    <w:rsid w:val="00CF26F8"/>
    <w:rsid w:val="00D05095"/>
    <w:rsid w:val="00D277E4"/>
    <w:rsid w:val="00D31006"/>
    <w:rsid w:val="00D36654"/>
    <w:rsid w:val="00D373BD"/>
    <w:rsid w:val="00D441B9"/>
    <w:rsid w:val="00D456CA"/>
    <w:rsid w:val="00D47F18"/>
    <w:rsid w:val="00D52037"/>
    <w:rsid w:val="00D52A17"/>
    <w:rsid w:val="00D55C93"/>
    <w:rsid w:val="00D81E5C"/>
    <w:rsid w:val="00D83F97"/>
    <w:rsid w:val="00D875D9"/>
    <w:rsid w:val="00D94896"/>
    <w:rsid w:val="00DA5381"/>
    <w:rsid w:val="00DB0228"/>
    <w:rsid w:val="00DB68EC"/>
    <w:rsid w:val="00DB7728"/>
    <w:rsid w:val="00DC15AF"/>
    <w:rsid w:val="00DD4BA0"/>
    <w:rsid w:val="00DF544C"/>
    <w:rsid w:val="00DF61D9"/>
    <w:rsid w:val="00E21513"/>
    <w:rsid w:val="00E25E73"/>
    <w:rsid w:val="00E717FB"/>
    <w:rsid w:val="00E8692B"/>
    <w:rsid w:val="00E90685"/>
    <w:rsid w:val="00EA5C80"/>
    <w:rsid w:val="00ED1747"/>
    <w:rsid w:val="00ED3D2C"/>
    <w:rsid w:val="00ED46E9"/>
    <w:rsid w:val="00EE47D1"/>
    <w:rsid w:val="00EE6C76"/>
    <w:rsid w:val="00EF043D"/>
    <w:rsid w:val="00EF4D82"/>
    <w:rsid w:val="00F01A73"/>
    <w:rsid w:val="00F10E86"/>
    <w:rsid w:val="00F17867"/>
    <w:rsid w:val="00F20263"/>
    <w:rsid w:val="00F24279"/>
    <w:rsid w:val="00F306A0"/>
    <w:rsid w:val="00F3724D"/>
    <w:rsid w:val="00F4221D"/>
    <w:rsid w:val="00F55698"/>
    <w:rsid w:val="00F57DC7"/>
    <w:rsid w:val="00F70621"/>
    <w:rsid w:val="00F93F5B"/>
    <w:rsid w:val="00F945DB"/>
    <w:rsid w:val="00FA3211"/>
    <w:rsid w:val="00FB59EA"/>
    <w:rsid w:val="00FC103A"/>
    <w:rsid w:val="00FD25CE"/>
    <w:rsid w:val="00FF1BC3"/>
    <w:rsid w:val="00FF2BB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2248B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sz w:val="24"/>
        <w:szCs w:val="24"/>
        <w:lang w:val="en-AU" w:eastAsia="en-US" w:bidi="ar-SA"/>
      </w:rPr>
    </w:rPrDefault>
    <w:pPrDefault>
      <w:pPr>
        <w:spacing w:after="160" w:line="360" w:lineRule="auto"/>
        <w:jc w:val="both"/>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98"/>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98"/>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semiHidden="1" w:uiPriority="98"/>
    <w:lsdException w:name="Emphasis" w:semiHidden="1" w:uiPriority="98"/>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98"/>
    <w:lsdException w:name="Intense Quote" w:semiHidden="1" w:uiPriority="9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98"/>
    <w:lsdException w:name="Intense Emphasis" w:semiHidden="1" w:uiPriority="98"/>
    <w:lsdException w:name="Subtle Reference" w:semiHidden="1" w:uiPriority="98"/>
    <w:lsdException w:name="Intense Reference" w:semiHidden="1" w:uiPriority="98"/>
    <w:lsdException w:name="Book Title" w:semiHidden="1" w:uiPriority="98"/>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E47D1"/>
  </w:style>
  <w:style w:type="paragraph" w:styleId="Heading1">
    <w:name w:val="heading 1"/>
    <w:basedOn w:val="Normal"/>
    <w:next w:val="BTBodyText"/>
    <w:link w:val="Heading1Char"/>
    <w:uiPriority w:val="33"/>
    <w:rsid w:val="00887792"/>
    <w:pPr>
      <w:keepNext/>
      <w:keepLines/>
      <w:outlineLvl w:val="0"/>
    </w:pPr>
    <w:rPr>
      <w:rFonts w:eastAsiaTheme="majorEastAsia" w:cstheme="majorBidi"/>
      <w:b/>
      <w:caps/>
      <w:sz w:val="28"/>
      <w:szCs w:val="32"/>
    </w:rPr>
  </w:style>
  <w:style w:type="paragraph" w:styleId="Heading2">
    <w:name w:val="heading 2"/>
    <w:basedOn w:val="Normal"/>
    <w:next w:val="BTBodyText"/>
    <w:link w:val="Heading2Char"/>
    <w:uiPriority w:val="33"/>
    <w:unhideWhenUsed/>
    <w:rsid w:val="00887792"/>
    <w:pPr>
      <w:keepNext/>
      <w:keepLines/>
      <w:outlineLvl w:val="1"/>
    </w:pPr>
    <w:rPr>
      <w:rFonts w:eastAsiaTheme="majorEastAsia" w:cstheme="majorBidi"/>
      <w:b/>
      <w:smallCaps/>
      <w:sz w:val="28"/>
      <w:szCs w:val="26"/>
    </w:rPr>
  </w:style>
  <w:style w:type="paragraph" w:styleId="Heading3">
    <w:name w:val="heading 3"/>
    <w:basedOn w:val="Normal"/>
    <w:next w:val="BTBodyText"/>
    <w:link w:val="Heading3Char"/>
    <w:uiPriority w:val="33"/>
    <w:unhideWhenUsed/>
    <w:rsid w:val="00887792"/>
    <w:pPr>
      <w:keepNext/>
      <w:keepLines/>
      <w:outlineLvl w:val="2"/>
    </w:pPr>
    <w:rPr>
      <w:rFonts w:eastAsiaTheme="majorEastAsia" w:cstheme="majorBidi"/>
      <w:b/>
    </w:rPr>
  </w:style>
  <w:style w:type="paragraph" w:styleId="Heading4">
    <w:name w:val="heading 4"/>
    <w:basedOn w:val="Normal"/>
    <w:next w:val="BTBodyText"/>
    <w:link w:val="Heading4Char"/>
    <w:uiPriority w:val="33"/>
    <w:unhideWhenUsed/>
    <w:rsid w:val="00887792"/>
    <w:pPr>
      <w:keepNext/>
      <w:keepLines/>
      <w:outlineLvl w:val="3"/>
    </w:pPr>
    <w:rPr>
      <w:rFonts w:eastAsiaTheme="majorEastAsia" w:cstheme="majorBidi"/>
      <w:iCs/>
      <w:u w:val="single"/>
    </w:rPr>
  </w:style>
  <w:style w:type="paragraph" w:styleId="Heading5">
    <w:name w:val="heading 5"/>
    <w:basedOn w:val="Normal"/>
    <w:next w:val="BTBodyText"/>
    <w:link w:val="Heading5Char"/>
    <w:uiPriority w:val="33"/>
    <w:unhideWhenUsed/>
    <w:rsid w:val="00887792"/>
    <w:pPr>
      <w:keepNext/>
      <w:keepLines/>
      <w:outlineLvl w:val="4"/>
    </w:pPr>
    <w:rPr>
      <w:rFonts w:eastAsiaTheme="majorEastAsia" w:cstheme="majorBidi"/>
      <w:i/>
    </w:rPr>
  </w:style>
  <w:style w:type="paragraph" w:styleId="Heading6">
    <w:name w:val="heading 6"/>
    <w:basedOn w:val="Normal"/>
    <w:next w:val="BTBodyText"/>
    <w:link w:val="Heading6Char"/>
    <w:uiPriority w:val="33"/>
    <w:unhideWhenUsed/>
    <w:rsid w:val="00887792"/>
    <w:pPr>
      <w:keepNext/>
      <w:keepLines/>
      <w:outlineLvl w:val="5"/>
    </w:pPr>
    <w:rPr>
      <w:rFonts w:eastAsiaTheme="majorEastAsia" w:cstheme="majorBidi"/>
      <w:u w:val="single"/>
    </w:rPr>
  </w:style>
  <w:style w:type="paragraph" w:styleId="Heading7">
    <w:name w:val="heading 7"/>
    <w:basedOn w:val="Normal"/>
    <w:next w:val="BTBodyText"/>
    <w:link w:val="Heading7Char"/>
    <w:uiPriority w:val="33"/>
    <w:unhideWhenUsed/>
    <w:rsid w:val="00887792"/>
    <w:pPr>
      <w:keepNext/>
      <w:keepLines/>
      <w:outlineLvl w:val="6"/>
    </w:pPr>
    <w:rPr>
      <w:rFonts w:eastAsiaTheme="majorEastAsia" w:cstheme="majorBidi"/>
      <w:i/>
      <w:iCs/>
    </w:rPr>
  </w:style>
  <w:style w:type="paragraph" w:styleId="Heading8">
    <w:name w:val="heading 8"/>
    <w:basedOn w:val="Normal"/>
    <w:next w:val="BTBodyText"/>
    <w:link w:val="Heading8Char"/>
    <w:uiPriority w:val="33"/>
    <w:unhideWhenUsed/>
    <w:rsid w:val="00887792"/>
    <w:pPr>
      <w:keepNext/>
      <w:keepLines/>
      <w:outlineLvl w:val="7"/>
    </w:pPr>
    <w:rPr>
      <w:rFonts w:eastAsiaTheme="majorEastAsia" w:cstheme="majorBidi"/>
      <w:szCs w:val="21"/>
      <w:u w:val="single"/>
    </w:rPr>
  </w:style>
  <w:style w:type="paragraph" w:styleId="Heading9">
    <w:name w:val="heading 9"/>
    <w:basedOn w:val="Normal"/>
    <w:next w:val="BTBodyText"/>
    <w:link w:val="Heading9Char"/>
    <w:uiPriority w:val="33"/>
    <w:unhideWhenUsed/>
    <w:rsid w:val="00887792"/>
    <w:pPr>
      <w:keepNext/>
      <w:keepLines/>
      <w:outlineLvl w:val="8"/>
    </w:pPr>
    <w:rPr>
      <w:rFonts w:eastAsiaTheme="majorEastAsia" w:cstheme="majorBidi"/>
      <w:i/>
      <w:iCs/>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54A0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4A06"/>
    <w:rPr>
      <w:rFonts w:ascii="Segoe UI" w:hAnsi="Segoe UI" w:cs="Segoe UI"/>
      <w:sz w:val="18"/>
      <w:szCs w:val="18"/>
    </w:rPr>
  </w:style>
  <w:style w:type="paragraph" w:customStyle="1" w:styleId="BTBodyText">
    <w:name w:val="[BT] Body Text"/>
    <w:basedOn w:val="Normal"/>
    <w:link w:val="BTBodyTextChar"/>
    <w:uiPriority w:val="2"/>
    <w:qFormat/>
    <w:rsid w:val="00354A06"/>
  </w:style>
  <w:style w:type="paragraph" w:customStyle="1" w:styleId="BTIBodyTextIndented">
    <w:name w:val="[BTI] Body Text Indented"/>
    <w:basedOn w:val="BTBodyText"/>
    <w:link w:val="BTIBodyTextIndentedChar"/>
    <w:uiPriority w:val="2"/>
    <w:qFormat/>
    <w:rsid w:val="00354A06"/>
    <w:pPr>
      <w:ind w:left="851"/>
    </w:pPr>
  </w:style>
  <w:style w:type="character" w:customStyle="1" w:styleId="BTBodyTextChar">
    <w:name w:val="[BT] Body Text Char"/>
    <w:basedOn w:val="DefaultParagraphFont"/>
    <w:link w:val="BTBodyText"/>
    <w:uiPriority w:val="2"/>
    <w:rsid w:val="00AD0459"/>
  </w:style>
  <w:style w:type="paragraph" w:customStyle="1" w:styleId="BTIIBodyTextTwiceIndented">
    <w:name w:val="[BTII] Body Text Twice Indented"/>
    <w:basedOn w:val="BTBodyText"/>
    <w:link w:val="BTIIBodyTextTwiceIndentedChar"/>
    <w:uiPriority w:val="2"/>
    <w:qFormat/>
    <w:rsid w:val="00354A06"/>
    <w:pPr>
      <w:ind w:left="1702"/>
    </w:pPr>
  </w:style>
  <w:style w:type="character" w:customStyle="1" w:styleId="BTIBodyTextIndentedChar">
    <w:name w:val="[BTI] Body Text Indented Char"/>
    <w:basedOn w:val="BTBodyTextChar"/>
    <w:link w:val="BTIBodyTextIndented"/>
    <w:uiPriority w:val="2"/>
    <w:rsid w:val="00AD0459"/>
  </w:style>
  <w:style w:type="paragraph" w:styleId="ListParagraph">
    <w:name w:val="List Paragraph"/>
    <w:basedOn w:val="Normal"/>
    <w:uiPriority w:val="34"/>
    <w:rsid w:val="003A10EE"/>
    <w:pPr>
      <w:ind w:left="851"/>
    </w:pPr>
  </w:style>
  <w:style w:type="character" w:customStyle="1" w:styleId="BTIIBodyTextTwiceIndentedChar">
    <w:name w:val="[BTII] Body Text Twice Indented Char"/>
    <w:basedOn w:val="BTBodyTextChar"/>
    <w:link w:val="BTIIBodyTextTwiceIndented"/>
    <w:uiPriority w:val="2"/>
    <w:rsid w:val="00AD0459"/>
  </w:style>
  <w:style w:type="paragraph" w:styleId="NoSpacing">
    <w:name w:val="No Spacing"/>
    <w:link w:val="NoSpacingChar"/>
    <w:uiPriority w:val="1"/>
    <w:rsid w:val="001F46B7"/>
    <w:pPr>
      <w:spacing w:after="0" w:line="240" w:lineRule="auto"/>
    </w:pPr>
  </w:style>
  <w:style w:type="paragraph" w:customStyle="1" w:styleId="BTNSBodyTextNoSpacing">
    <w:name w:val="[BTNS] Body Text No Spacing"/>
    <w:basedOn w:val="NoSpacing"/>
    <w:link w:val="BTNSBodyTextNoSpacingChar"/>
    <w:uiPriority w:val="2"/>
    <w:qFormat/>
    <w:rsid w:val="001F46B7"/>
  </w:style>
  <w:style w:type="paragraph" w:customStyle="1" w:styleId="BTNSSBodyTextNoSpacingSmall">
    <w:name w:val="[BTNSS] Body Text No Spacing Small"/>
    <w:basedOn w:val="BTNSBodyTextNoSpacing"/>
    <w:link w:val="BTNSSBodyTextNoSpacingSmallChar"/>
    <w:uiPriority w:val="2"/>
    <w:rsid w:val="001F46B7"/>
    <w:rPr>
      <w:sz w:val="8"/>
      <w:szCs w:val="8"/>
    </w:rPr>
  </w:style>
  <w:style w:type="character" w:customStyle="1" w:styleId="NoSpacingChar">
    <w:name w:val="No Spacing Char"/>
    <w:basedOn w:val="DefaultParagraphFont"/>
    <w:link w:val="NoSpacing"/>
    <w:uiPriority w:val="1"/>
    <w:rsid w:val="001F46B7"/>
  </w:style>
  <w:style w:type="character" w:customStyle="1" w:styleId="BTNSBodyTextNoSpacingChar">
    <w:name w:val="[BTNS] Body Text No Spacing Char"/>
    <w:basedOn w:val="NoSpacingChar"/>
    <w:link w:val="BTNSBodyTextNoSpacing"/>
    <w:uiPriority w:val="2"/>
    <w:rsid w:val="00B10942"/>
  </w:style>
  <w:style w:type="character" w:customStyle="1" w:styleId="BTNSSBodyTextNoSpacingSmallChar">
    <w:name w:val="[BTNSS] Body Text No Spacing Small Char"/>
    <w:basedOn w:val="BTNSBodyTextNoSpacingChar"/>
    <w:link w:val="BTNSSBodyTextNoSpacingSmall"/>
    <w:uiPriority w:val="2"/>
    <w:rsid w:val="00B10942"/>
    <w:rPr>
      <w:sz w:val="8"/>
      <w:szCs w:val="8"/>
    </w:rPr>
  </w:style>
  <w:style w:type="paragraph" w:customStyle="1" w:styleId="P1-N1Paragraph1-Number1">
    <w:name w:val="[P1-N1] Paragraph 1 - Number 1"/>
    <w:basedOn w:val="BTBodyText"/>
    <w:link w:val="P1-N1Paragraph1-Number1Char"/>
    <w:uiPriority w:val="6"/>
    <w:qFormat/>
    <w:rsid w:val="006F189E"/>
    <w:pPr>
      <w:numPr>
        <w:numId w:val="1"/>
      </w:numPr>
    </w:pPr>
  </w:style>
  <w:style w:type="paragraph" w:customStyle="1" w:styleId="P2-B1Paragraph2-Bullet1">
    <w:name w:val="[P2-B1] Paragraph 2 - Bullet 1"/>
    <w:basedOn w:val="BTBodyText"/>
    <w:link w:val="P2-B1Paragraph2-Bullet1Char"/>
    <w:uiPriority w:val="6"/>
    <w:qFormat/>
    <w:rsid w:val="00C45722"/>
    <w:pPr>
      <w:numPr>
        <w:ilvl w:val="1"/>
        <w:numId w:val="1"/>
      </w:numPr>
      <w:spacing w:after="120"/>
      <w:ind w:left="1702" w:hanging="851"/>
    </w:pPr>
  </w:style>
  <w:style w:type="character" w:customStyle="1" w:styleId="P1-N1Paragraph1-Number1Char">
    <w:name w:val="[P1-N1] Paragraph 1 - Number 1 Char"/>
    <w:basedOn w:val="BTBodyTextChar"/>
    <w:link w:val="P1-N1Paragraph1-Number1"/>
    <w:uiPriority w:val="6"/>
    <w:rsid w:val="002603E6"/>
  </w:style>
  <w:style w:type="paragraph" w:customStyle="1" w:styleId="P3-B2Paragraph3-Bullet2">
    <w:name w:val="[P3-B2] Paragraph 3 - Bullet 2"/>
    <w:basedOn w:val="BTBodyText"/>
    <w:link w:val="P3-B2Paragraph3-Bullet2Char"/>
    <w:uiPriority w:val="6"/>
    <w:qFormat/>
    <w:rsid w:val="00C45722"/>
    <w:pPr>
      <w:numPr>
        <w:ilvl w:val="2"/>
        <w:numId w:val="1"/>
      </w:numPr>
      <w:spacing w:after="120"/>
    </w:pPr>
  </w:style>
  <w:style w:type="character" w:customStyle="1" w:styleId="P2-B1Paragraph2-Bullet1Char">
    <w:name w:val="[P2-B1] Paragraph 2 - Bullet 1 Char"/>
    <w:basedOn w:val="BTBodyTextChar"/>
    <w:link w:val="P2-B1Paragraph2-Bullet1"/>
    <w:uiPriority w:val="6"/>
    <w:rsid w:val="00C45722"/>
  </w:style>
  <w:style w:type="paragraph" w:customStyle="1" w:styleId="P4-B3Paragraph4-Bullet3">
    <w:name w:val="[P4-B3] Paragraph 4 - Bullet 3"/>
    <w:basedOn w:val="BTBodyText"/>
    <w:link w:val="P4-B3Paragraph4-Bullet3Char"/>
    <w:uiPriority w:val="6"/>
    <w:rsid w:val="00C45722"/>
    <w:pPr>
      <w:numPr>
        <w:ilvl w:val="3"/>
        <w:numId w:val="1"/>
      </w:numPr>
      <w:spacing w:after="120"/>
      <w:ind w:left="3403" w:hanging="851"/>
    </w:pPr>
  </w:style>
  <w:style w:type="character" w:customStyle="1" w:styleId="P3-B2Paragraph3-Bullet2Char">
    <w:name w:val="[P3-B2] Paragraph 3 - Bullet 2 Char"/>
    <w:basedOn w:val="BTBodyTextChar"/>
    <w:link w:val="P3-B2Paragraph3-Bullet2"/>
    <w:uiPriority w:val="6"/>
    <w:rsid w:val="00C45722"/>
  </w:style>
  <w:style w:type="paragraph" w:customStyle="1" w:styleId="P5-B4Paragraph5-Bullet4">
    <w:name w:val="[P5-B4] Paragraph 5 - Bullet 4"/>
    <w:basedOn w:val="BTBodyText"/>
    <w:link w:val="P5-B4Paragraph5-Bullet4Char"/>
    <w:uiPriority w:val="6"/>
    <w:rsid w:val="00C45722"/>
    <w:pPr>
      <w:numPr>
        <w:ilvl w:val="4"/>
        <w:numId w:val="1"/>
      </w:numPr>
      <w:spacing w:after="120"/>
    </w:pPr>
  </w:style>
  <w:style w:type="character" w:customStyle="1" w:styleId="P4-B3Paragraph4-Bullet3Char">
    <w:name w:val="[P4-B3] Paragraph 4 - Bullet 3 Char"/>
    <w:basedOn w:val="BTBodyTextChar"/>
    <w:link w:val="P4-B3Paragraph4-Bullet3"/>
    <w:uiPriority w:val="6"/>
    <w:rsid w:val="00C45722"/>
  </w:style>
  <w:style w:type="paragraph" w:customStyle="1" w:styleId="P6-B5Paragraph6-Bullet5">
    <w:name w:val="[P6-B5] Paragraph 6 - Bullet 5"/>
    <w:basedOn w:val="BTBodyText"/>
    <w:link w:val="P6-B5Paragraph6-Bullet5Char"/>
    <w:uiPriority w:val="6"/>
    <w:rsid w:val="00C45722"/>
    <w:pPr>
      <w:numPr>
        <w:ilvl w:val="5"/>
        <w:numId w:val="1"/>
      </w:numPr>
      <w:spacing w:after="120"/>
      <w:ind w:left="5104" w:hanging="851"/>
    </w:pPr>
  </w:style>
  <w:style w:type="character" w:customStyle="1" w:styleId="P5-B4Paragraph5-Bullet4Char">
    <w:name w:val="[P5-B4] Paragraph 5 - Bullet 4 Char"/>
    <w:basedOn w:val="BTBodyTextChar"/>
    <w:link w:val="P5-B4Paragraph5-Bullet4"/>
    <w:uiPriority w:val="6"/>
    <w:rsid w:val="00C45722"/>
  </w:style>
  <w:style w:type="paragraph" w:customStyle="1" w:styleId="P7-B6Paragraph7-Bullet6">
    <w:name w:val="[P7-B6] Paragraph 7 - Bullet 6"/>
    <w:basedOn w:val="BTBodyText"/>
    <w:link w:val="P7-B6Paragraph7-Bullet6Char"/>
    <w:uiPriority w:val="6"/>
    <w:semiHidden/>
    <w:rsid w:val="00C45722"/>
    <w:pPr>
      <w:numPr>
        <w:ilvl w:val="6"/>
        <w:numId w:val="1"/>
      </w:numPr>
      <w:spacing w:after="120"/>
    </w:pPr>
  </w:style>
  <w:style w:type="character" w:customStyle="1" w:styleId="P6-B5Paragraph6-Bullet5Char">
    <w:name w:val="[P6-B5] Paragraph 6 - Bullet 5 Char"/>
    <w:basedOn w:val="BTBodyTextChar"/>
    <w:link w:val="P6-B5Paragraph6-Bullet5"/>
    <w:uiPriority w:val="6"/>
    <w:rsid w:val="00C45722"/>
  </w:style>
  <w:style w:type="paragraph" w:customStyle="1" w:styleId="P8-B7Paragraph8-Bullet7">
    <w:name w:val="[P8-B7] Paragraph 8 - Bullet 7"/>
    <w:basedOn w:val="BTBodyText"/>
    <w:link w:val="P8-B7Paragraph8-Bullet7Char"/>
    <w:uiPriority w:val="6"/>
    <w:semiHidden/>
    <w:rsid w:val="00C45722"/>
    <w:pPr>
      <w:numPr>
        <w:ilvl w:val="7"/>
        <w:numId w:val="1"/>
      </w:numPr>
      <w:spacing w:after="120"/>
      <w:ind w:left="6805" w:hanging="851"/>
    </w:pPr>
  </w:style>
  <w:style w:type="character" w:customStyle="1" w:styleId="P7-B6Paragraph7-Bullet6Char">
    <w:name w:val="[P7-B6] Paragraph 7 - Bullet 6 Char"/>
    <w:basedOn w:val="BTBodyTextChar"/>
    <w:link w:val="P7-B6Paragraph7-Bullet6"/>
    <w:uiPriority w:val="6"/>
    <w:semiHidden/>
    <w:rsid w:val="00C45722"/>
  </w:style>
  <w:style w:type="paragraph" w:customStyle="1" w:styleId="P9-B8Paragraph9-Bullet8">
    <w:name w:val="[P9-B8] Paragraph 9 - Bullet 8"/>
    <w:basedOn w:val="BTBodyText"/>
    <w:link w:val="P9-B8Paragraph9-Bullet8Char"/>
    <w:uiPriority w:val="6"/>
    <w:semiHidden/>
    <w:rsid w:val="00C45722"/>
    <w:pPr>
      <w:numPr>
        <w:ilvl w:val="8"/>
        <w:numId w:val="1"/>
      </w:numPr>
      <w:spacing w:after="120"/>
    </w:pPr>
  </w:style>
  <w:style w:type="character" w:customStyle="1" w:styleId="P8-B7Paragraph8-Bullet7Char">
    <w:name w:val="[P8-B7] Paragraph 8 - Bullet 7 Char"/>
    <w:basedOn w:val="BTBodyTextChar"/>
    <w:link w:val="P8-B7Paragraph8-Bullet7"/>
    <w:uiPriority w:val="6"/>
    <w:semiHidden/>
    <w:rsid w:val="00C45722"/>
  </w:style>
  <w:style w:type="paragraph" w:customStyle="1" w:styleId="QQuotation">
    <w:name w:val="[Q] Quotation"/>
    <w:basedOn w:val="BTIBodyTextIndented"/>
    <w:next w:val="P1-N1Paragraph1-Number1"/>
    <w:link w:val="QQuotationChar"/>
    <w:uiPriority w:val="8"/>
    <w:qFormat/>
    <w:rsid w:val="00EF4D82"/>
    <w:pPr>
      <w:spacing w:after="240" w:line="276" w:lineRule="auto"/>
    </w:pPr>
    <w:rPr>
      <w:sz w:val="22"/>
    </w:rPr>
  </w:style>
  <w:style w:type="character" w:customStyle="1" w:styleId="P9-B8Paragraph9-Bullet8Char">
    <w:name w:val="[P9-B8] Paragraph 9 - Bullet 8 Char"/>
    <w:basedOn w:val="BTBodyTextChar"/>
    <w:link w:val="P9-B8Paragraph9-Bullet8"/>
    <w:uiPriority w:val="6"/>
    <w:semiHidden/>
    <w:rsid w:val="00C45722"/>
  </w:style>
  <w:style w:type="character" w:customStyle="1" w:styleId="Heading1Char">
    <w:name w:val="Heading 1 Char"/>
    <w:basedOn w:val="DefaultParagraphFont"/>
    <w:link w:val="Heading1"/>
    <w:uiPriority w:val="33"/>
    <w:rsid w:val="002603E6"/>
    <w:rPr>
      <w:rFonts w:eastAsiaTheme="majorEastAsia" w:cstheme="majorBidi"/>
      <w:b/>
      <w:caps/>
      <w:sz w:val="28"/>
      <w:szCs w:val="32"/>
    </w:rPr>
  </w:style>
  <w:style w:type="character" w:customStyle="1" w:styleId="QQuotationChar">
    <w:name w:val="[Q] Quotation Char"/>
    <w:basedOn w:val="BTIBodyTextIndentedChar"/>
    <w:link w:val="QQuotation"/>
    <w:uiPriority w:val="8"/>
    <w:rsid w:val="00EF4D82"/>
    <w:rPr>
      <w:sz w:val="22"/>
    </w:rPr>
  </w:style>
  <w:style w:type="character" w:customStyle="1" w:styleId="Heading2Char">
    <w:name w:val="Heading 2 Char"/>
    <w:basedOn w:val="DefaultParagraphFont"/>
    <w:link w:val="Heading2"/>
    <w:uiPriority w:val="33"/>
    <w:rsid w:val="002603E6"/>
    <w:rPr>
      <w:rFonts w:eastAsiaTheme="majorEastAsia" w:cstheme="majorBidi"/>
      <w:b/>
      <w:smallCaps/>
      <w:sz w:val="28"/>
      <w:szCs w:val="26"/>
    </w:rPr>
  </w:style>
  <w:style w:type="character" w:customStyle="1" w:styleId="Heading3Char">
    <w:name w:val="Heading 3 Char"/>
    <w:basedOn w:val="DefaultParagraphFont"/>
    <w:link w:val="Heading3"/>
    <w:uiPriority w:val="33"/>
    <w:rsid w:val="002603E6"/>
    <w:rPr>
      <w:rFonts w:eastAsiaTheme="majorEastAsia" w:cstheme="majorBidi"/>
      <w:b/>
    </w:rPr>
  </w:style>
  <w:style w:type="character" w:customStyle="1" w:styleId="Heading4Char">
    <w:name w:val="Heading 4 Char"/>
    <w:basedOn w:val="DefaultParagraphFont"/>
    <w:link w:val="Heading4"/>
    <w:uiPriority w:val="33"/>
    <w:rsid w:val="002603E6"/>
    <w:rPr>
      <w:rFonts w:eastAsiaTheme="majorEastAsia" w:cstheme="majorBidi"/>
      <w:iCs/>
      <w:u w:val="single"/>
    </w:rPr>
  </w:style>
  <w:style w:type="character" w:customStyle="1" w:styleId="Heading5Char">
    <w:name w:val="Heading 5 Char"/>
    <w:basedOn w:val="DefaultParagraphFont"/>
    <w:link w:val="Heading5"/>
    <w:uiPriority w:val="33"/>
    <w:rsid w:val="002603E6"/>
    <w:rPr>
      <w:rFonts w:eastAsiaTheme="majorEastAsia" w:cstheme="majorBidi"/>
      <w:i/>
    </w:rPr>
  </w:style>
  <w:style w:type="character" w:customStyle="1" w:styleId="Heading6Char">
    <w:name w:val="Heading 6 Char"/>
    <w:basedOn w:val="DefaultParagraphFont"/>
    <w:link w:val="Heading6"/>
    <w:uiPriority w:val="33"/>
    <w:rsid w:val="002603E6"/>
    <w:rPr>
      <w:rFonts w:eastAsiaTheme="majorEastAsia" w:cstheme="majorBidi"/>
      <w:u w:val="single"/>
    </w:rPr>
  </w:style>
  <w:style w:type="character" w:customStyle="1" w:styleId="Heading7Char">
    <w:name w:val="Heading 7 Char"/>
    <w:basedOn w:val="DefaultParagraphFont"/>
    <w:link w:val="Heading7"/>
    <w:uiPriority w:val="33"/>
    <w:rsid w:val="002603E6"/>
    <w:rPr>
      <w:rFonts w:eastAsiaTheme="majorEastAsia" w:cstheme="majorBidi"/>
      <w:i/>
      <w:iCs/>
    </w:rPr>
  </w:style>
  <w:style w:type="character" w:customStyle="1" w:styleId="Heading8Char">
    <w:name w:val="Heading 8 Char"/>
    <w:basedOn w:val="DefaultParagraphFont"/>
    <w:link w:val="Heading8"/>
    <w:uiPriority w:val="33"/>
    <w:rsid w:val="002603E6"/>
    <w:rPr>
      <w:rFonts w:eastAsiaTheme="majorEastAsia" w:cstheme="majorBidi"/>
      <w:szCs w:val="21"/>
      <w:u w:val="single"/>
    </w:rPr>
  </w:style>
  <w:style w:type="character" w:customStyle="1" w:styleId="Heading9Char">
    <w:name w:val="Heading 9 Char"/>
    <w:basedOn w:val="DefaultParagraphFont"/>
    <w:link w:val="Heading9"/>
    <w:uiPriority w:val="33"/>
    <w:rsid w:val="002603E6"/>
    <w:rPr>
      <w:rFonts w:eastAsiaTheme="majorEastAsia" w:cstheme="majorBidi"/>
      <w:i/>
      <w:iCs/>
      <w:szCs w:val="21"/>
    </w:rPr>
  </w:style>
  <w:style w:type="paragraph" w:customStyle="1" w:styleId="HL1HeadingLevel1">
    <w:name w:val="[HL1] Heading Level 1"/>
    <w:basedOn w:val="Heading1"/>
    <w:next w:val="P1-N1Paragraph1-Number1"/>
    <w:link w:val="HL1HeadingLevel1Char"/>
    <w:uiPriority w:val="4"/>
    <w:qFormat/>
    <w:rsid w:val="00B9740F"/>
    <w:pPr>
      <w:numPr>
        <w:numId w:val="2"/>
      </w:numPr>
    </w:pPr>
  </w:style>
  <w:style w:type="paragraph" w:customStyle="1" w:styleId="HL2HeadingLevel2">
    <w:name w:val="[HL2] Heading Level 2"/>
    <w:basedOn w:val="Heading2"/>
    <w:next w:val="P1-N1Paragraph1-Number1"/>
    <w:link w:val="HL2HeadingLevel2Char"/>
    <w:uiPriority w:val="4"/>
    <w:qFormat/>
    <w:rsid w:val="00B9740F"/>
    <w:pPr>
      <w:numPr>
        <w:ilvl w:val="1"/>
        <w:numId w:val="2"/>
      </w:numPr>
    </w:pPr>
  </w:style>
  <w:style w:type="character" w:customStyle="1" w:styleId="HL1HeadingLevel1Char">
    <w:name w:val="[HL1] Heading Level 1 Char"/>
    <w:basedOn w:val="BTBodyTextChar"/>
    <w:link w:val="HL1HeadingLevel1"/>
    <w:uiPriority w:val="4"/>
    <w:rsid w:val="002603E6"/>
    <w:rPr>
      <w:rFonts w:eastAsiaTheme="majorEastAsia" w:cstheme="majorBidi"/>
      <w:b/>
      <w:caps/>
      <w:sz w:val="28"/>
      <w:szCs w:val="32"/>
    </w:rPr>
  </w:style>
  <w:style w:type="paragraph" w:customStyle="1" w:styleId="HL3HeadingLevel3">
    <w:name w:val="[HL3] Heading Level 3"/>
    <w:basedOn w:val="Heading3"/>
    <w:next w:val="P1-N1Paragraph1-Number1"/>
    <w:link w:val="HL3HeadingLevel3Char"/>
    <w:uiPriority w:val="4"/>
    <w:qFormat/>
    <w:rsid w:val="00B9740F"/>
    <w:pPr>
      <w:numPr>
        <w:ilvl w:val="2"/>
        <w:numId w:val="2"/>
      </w:numPr>
    </w:pPr>
  </w:style>
  <w:style w:type="character" w:customStyle="1" w:styleId="HL2HeadingLevel2Char">
    <w:name w:val="[HL2] Heading Level 2 Char"/>
    <w:basedOn w:val="BTBodyTextChar"/>
    <w:link w:val="HL2HeadingLevel2"/>
    <w:uiPriority w:val="4"/>
    <w:rsid w:val="002603E6"/>
    <w:rPr>
      <w:rFonts w:eastAsiaTheme="majorEastAsia" w:cstheme="majorBidi"/>
      <w:b/>
      <w:smallCaps/>
      <w:sz w:val="28"/>
      <w:szCs w:val="26"/>
    </w:rPr>
  </w:style>
  <w:style w:type="paragraph" w:customStyle="1" w:styleId="HL4HeadingLevel4">
    <w:name w:val="[HL4] Heading Level 4"/>
    <w:basedOn w:val="Heading4"/>
    <w:next w:val="P1-N1Paragraph1-Number1"/>
    <w:link w:val="HL4HeadingLevel4Char"/>
    <w:uiPriority w:val="4"/>
    <w:qFormat/>
    <w:rsid w:val="00B9740F"/>
    <w:pPr>
      <w:numPr>
        <w:ilvl w:val="3"/>
        <w:numId w:val="2"/>
      </w:numPr>
    </w:pPr>
  </w:style>
  <w:style w:type="character" w:customStyle="1" w:styleId="HL3HeadingLevel3Char">
    <w:name w:val="[HL3] Heading Level 3 Char"/>
    <w:basedOn w:val="BTBodyTextChar"/>
    <w:link w:val="HL3HeadingLevel3"/>
    <w:uiPriority w:val="4"/>
    <w:rsid w:val="002603E6"/>
    <w:rPr>
      <w:rFonts w:eastAsiaTheme="majorEastAsia" w:cstheme="majorBidi"/>
      <w:b/>
    </w:rPr>
  </w:style>
  <w:style w:type="paragraph" w:customStyle="1" w:styleId="HL5HeadingLevel5">
    <w:name w:val="[HL5] Heading Level 5"/>
    <w:basedOn w:val="Heading5"/>
    <w:next w:val="P1-N1Paragraph1-Number1"/>
    <w:link w:val="HL5HeadingLevel5Char"/>
    <w:uiPriority w:val="4"/>
    <w:qFormat/>
    <w:rsid w:val="00B9740F"/>
    <w:pPr>
      <w:numPr>
        <w:ilvl w:val="4"/>
        <w:numId w:val="2"/>
      </w:numPr>
    </w:pPr>
  </w:style>
  <w:style w:type="character" w:customStyle="1" w:styleId="HL4HeadingLevel4Char">
    <w:name w:val="[HL4] Heading Level 4 Char"/>
    <w:basedOn w:val="BTBodyTextChar"/>
    <w:link w:val="HL4HeadingLevel4"/>
    <w:uiPriority w:val="4"/>
    <w:rsid w:val="002603E6"/>
    <w:rPr>
      <w:rFonts w:eastAsiaTheme="majorEastAsia" w:cstheme="majorBidi"/>
      <w:iCs/>
      <w:u w:val="single"/>
    </w:rPr>
  </w:style>
  <w:style w:type="paragraph" w:customStyle="1" w:styleId="HL6HeadingLevel6">
    <w:name w:val="[HL6] Heading Level 6"/>
    <w:basedOn w:val="Heading6"/>
    <w:next w:val="P1-N1Paragraph1-Number1"/>
    <w:link w:val="HL6HeadingLevel6Char"/>
    <w:uiPriority w:val="4"/>
    <w:semiHidden/>
    <w:rsid w:val="00B9740F"/>
    <w:pPr>
      <w:numPr>
        <w:ilvl w:val="5"/>
        <w:numId w:val="2"/>
      </w:numPr>
    </w:pPr>
  </w:style>
  <w:style w:type="character" w:customStyle="1" w:styleId="HL5HeadingLevel5Char">
    <w:name w:val="[HL5] Heading Level 5 Char"/>
    <w:basedOn w:val="BTBodyTextChar"/>
    <w:link w:val="HL5HeadingLevel5"/>
    <w:uiPriority w:val="4"/>
    <w:rsid w:val="002603E6"/>
    <w:rPr>
      <w:rFonts w:eastAsiaTheme="majorEastAsia" w:cstheme="majorBidi"/>
      <w:i/>
    </w:rPr>
  </w:style>
  <w:style w:type="paragraph" w:customStyle="1" w:styleId="HL7HeadingLevel7">
    <w:name w:val="[HL7] Heading Level 7"/>
    <w:basedOn w:val="Heading7"/>
    <w:next w:val="P1-N1Paragraph1-Number1"/>
    <w:link w:val="HL7HeadingLevel7Char"/>
    <w:uiPriority w:val="4"/>
    <w:semiHidden/>
    <w:rsid w:val="00B9740F"/>
    <w:pPr>
      <w:numPr>
        <w:ilvl w:val="6"/>
        <w:numId w:val="2"/>
      </w:numPr>
    </w:pPr>
  </w:style>
  <w:style w:type="character" w:customStyle="1" w:styleId="HL6HeadingLevel6Char">
    <w:name w:val="[HL6] Heading Level 6 Char"/>
    <w:basedOn w:val="BTBodyTextChar"/>
    <w:link w:val="HL6HeadingLevel6"/>
    <w:uiPriority w:val="4"/>
    <w:semiHidden/>
    <w:rsid w:val="00C74121"/>
    <w:rPr>
      <w:rFonts w:eastAsiaTheme="majorEastAsia" w:cstheme="majorBidi"/>
      <w:u w:val="single"/>
    </w:rPr>
  </w:style>
  <w:style w:type="paragraph" w:customStyle="1" w:styleId="HL8HeadingLevel8">
    <w:name w:val="[HL8] Heading Level 8"/>
    <w:basedOn w:val="Heading8"/>
    <w:next w:val="P1-N1Paragraph1-Number1"/>
    <w:link w:val="HL8HeadingLevel8Char"/>
    <w:uiPriority w:val="4"/>
    <w:semiHidden/>
    <w:rsid w:val="00B9740F"/>
    <w:pPr>
      <w:numPr>
        <w:ilvl w:val="7"/>
        <w:numId w:val="2"/>
      </w:numPr>
    </w:pPr>
  </w:style>
  <w:style w:type="character" w:customStyle="1" w:styleId="HL7HeadingLevel7Char">
    <w:name w:val="[HL7] Heading Level 7 Char"/>
    <w:basedOn w:val="BTBodyTextChar"/>
    <w:link w:val="HL7HeadingLevel7"/>
    <w:uiPriority w:val="4"/>
    <w:semiHidden/>
    <w:rsid w:val="00C74121"/>
    <w:rPr>
      <w:rFonts w:eastAsiaTheme="majorEastAsia" w:cstheme="majorBidi"/>
      <w:i/>
      <w:iCs/>
    </w:rPr>
  </w:style>
  <w:style w:type="paragraph" w:customStyle="1" w:styleId="HL9HeadingLevel9">
    <w:name w:val="[HL9] Heading Level 9"/>
    <w:basedOn w:val="Heading9"/>
    <w:next w:val="P1-N1Paragraph1-Number1"/>
    <w:link w:val="HL9HeadingLevel9Char"/>
    <w:uiPriority w:val="4"/>
    <w:semiHidden/>
    <w:rsid w:val="00B9740F"/>
    <w:pPr>
      <w:numPr>
        <w:ilvl w:val="8"/>
        <w:numId w:val="2"/>
      </w:numPr>
    </w:pPr>
  </w:style>
  <w:style w:type="character" w:customStyle="1" w:styleId="HL8HeadingLevel8Char">
    <w:name w:val="[HL8] Heading Level 8 Char"/>
    <w:basedOn w:val="BTBodyTextChar"/>
    <w:link w:val="HL8HeadingLevel8"/>
    <w:uiPriority w:val="4"/>
    <w:semiHidden/>
    <w:rsid w:val="00C74121"/>
    <w:rPr>
      <w:rFonts w:eastAsiaTheme="majorEastAsia" w:cstheme="majorBidi"/>
      <w:szCs w:val="21"/>
      <w:u w:val="single"/>
    </w:rPr>
  </w:style>
  <w:style w:type="paragraph" w:customStyle="1" w:styleId="SHSectionHeading">
    <w:name w:val="[SH] Section Heading"/>
    <w:basedOn w:val="Heading1"/>
    <w:next w:val="BTBodyText"/>
    <w:link w:val="SHSectionHeadingChar"/>
    <w:uiPriority w:val="12"/>
    <w:qFormat/>
    <w:rsid w:val="002F433F"/>
    <w:pPr>
      <w:spacing w:before="240" w:after="0"/>
      <w:jc w:val="center"/>
    </w:pPr>
    <w:rPr>
      <w:sz w:val="24"/>
    </w:rPr>
  </w:style>
  <w:style w:type="character" w:customStyle="1" w:styleId="HL9HeadingLevel9Char">
    <w:name w:val="[HL9] Heading Level 9 Char"/>
    <w:basedOn w:val="BTBodyTextChar"/>
    <w:link w:val="HL9HeadingLevel9"/>
    <w:uiPriority w:val="4"/>
    <w:semiHidden/>
    <w:rsid w:val="00C74121"/>
    <w:rPr>
      <w:rFonts w:eastAsiaTheme="majorEastAsia" w:cstheme="majorBidi"/>
      <w:i/>
      <w:iCs/>
      <w:szCs w:val="21"/>
    </w:rPr>
  </w:style>
  <w:style w:type="paragraph" w:styleId="TOCHeading">
    <w:name w:val="TOC Heading"/>
    <w:basedOn w:val="Normal"/>
    <w:next w:val="Normal"/>
    <w:uiPriority w:val="39"/>
    <w:unhideWhenUsed/>
    <w:rsid w:val="00AC4A0D"/>
    <w:pPr>
      <w:spacing w:after="0" w:line="240" w:lineRule="auto"/>
      <w:jc w:val="center"/>
    </w:pPr>
    <w:rPr>
      <w:b/>
      <w:caps/>
      <w:lang w:val="en-US"/>
    </w:rPr>
  </w:style>
  <w:style w:type="character" w:customStyle="1" w:styleId="SHSectionHeadingChar">
    <w:name w:val="[SH] Section Heading Char"/>
    <w:basedOn w:val="Heading1Char"/>
    <w:link w:val="SHSectionHeading"/>
    <w:uiPriority w:val="12"/>
    <w:rsid w:val="002F433F"/>
    <w:rPr>
      <w:rFonts w:eastAsiaTheme="majorEastAsia" w:cstheme="majorBidi"/>
      <w:b/>
      <w:caps/>
      <w:sz w:val="28"/>
      <w:szCs w:val="32"/>
    </w:rPr>
  </w:style>
  <w:style w:type="paragraph" w:styleId="TOC1">
    <w:name w:val="toc 1"/>
    <w:basedOn w:val="Normal"/>
    <w:next w:val="Normal"/>
    <w:autoRedefine/>
    <w:uiPriority w:val="39"/>
    <w:unhideWhenUsed/>
    <w:rsid w:val="0062041F"/>
    <w:pPr>
      <w:tabs>
        <w:tab w:val="left" w:pos="851"/>
        <w:tab w:val="right" w:leader="dot" w:pos="9060"/>
      </w:tabs>
      <w:spacing w:before="180" w:after="100" w:line="240" w:lineRule="auto"/>
      <w:ind w:left="851" w:hanging="851"/>
    </w:pPr>
    <w:rPr>
      <w:b/>
      <w:caps/>
    </w:rPr>
  </w:style>
  <w:style w:type="paragraph" w:styleId="TOC2">
    <w:name w:val="toc 2"/>
    <w:basedOn w:val="Normal"/>
    <w:next w:val="Normal"/>
    <w:autoRedefine/>
    <w:uiPriority w:val="39"/>
    <w:unhideWhenUsed/>
    <w:rsid w:val="00380795"/>
    <w:pPr>
      <w:tabs>
        <w:tab w:val="left" w:pos="1276"/>
        <w:tab w:val="right" w:leader="dot" w:pos="9060"/>
      </w:tabs>
      <w:spacing w:before="120" w:after="100" w:line="240" w:lineRule="auto"/>
      <w:ind w:left="1276" w:hanging="851"/>
    </w:pPr>
    <w:rPr>
      <w:b/>
      <w:smallCaps/>
    </w:rPr>
  </w:style>
  <w:style w:type="paragraph" w:styleId="TOC3">
    <w:name w:val="toc 3"/>
    <w:basedOn w:val="Normal"/>
    <w:next w:val="Normal"/>
    <w:autoRedefine/>
    <w:uiPriority w:val="39"/>
    <w:unhideWhenUsed/>
    <w:rsid w:val="00380795"/>
    <w:pPr>
      <w:tabs>
        <w:tab w:val="left" w:pos="1701"/>
        <w:tab w:val="right" w:leader="dot" w:pos="9060"/>
      </w:tabs>
      <w:spacing w:before="120" w:after="100" w:line="240" w:lineRule="auto"/>
      <w:ind w:left="1702" w:hanging="851"/>
    </w:pPr>
    <w:rPr>
      <w:b/>
    </w:rPr>
  </w:style>
  <w:style w:type="character" w:styleId="Hyperlink">
    <w:name w:val="Hyperlink"/>
    <w:basedOn w:val="DefaultParagraphFont"/>
    <w:uiPriority w:val="99"/>
    <w:unhideWhenUsed/>
    <w:qFormat/>
    <w:rsid w:val="00D47F18"/>
    <w:rPr>
      <w:color w:val="0563C1" w:themeColor="hyperlink"/>
      <w:u w:val="single"/>
    </w:rPr>
  </w:style>
  <w:style w:type="paragraph" w:styleId="TOC4">
    <w:name w:val="toc 4"/>
    <w:basedOn w:val="Normal"/>
    <w:next w:val="Normal"/>
    <w:autoRedefine/>
    <w:uiPriority w:val="39"/>
    <w:unhideWhenUsed/>
    <w:rsid w:val="00380795"/>
    <w:pPr>
      <w:tabs>
        <w:tab w:val="left" w:pos="2127"/>
        <w:tab w:val="right" w:leader="dot" w:pos="9060"/>
      </w:tabs>
      <w:spacing w:before="120" w:after="100" w:line="240" w:lineRule="auto"/>
      <w:ind w:left="2127" w:hanging="851"/>
    </w:pPr>
    <w:rPr>
      <w:u w:val="single"/>
    </w:rPr>
  </w:style>
  <w:style w:type="paragraph" w:styleId="TOC5">
    <w:name w:val="toc 5"/>
    <w:basedOn w:val="Normal"/>
    <w:next w:val="Normal"/>
    <w:autoRedefine/>
    <w:uiPriority w:val="39"/>
    <w:unhideWhenUsed/>
    <w:rsid w:val="00380795"/>
    <w:pPr>
      <w:tabs>
        <w:tab w:val="left" w:pos="2552"/>
        <w:tab w:val="right" w:leader="dot" w:pos="9060"/>
      </w:tabs>
      <w:spacing w:before="120" w:after="100" w:line="240" w:lineRule="auto"/>
      <w:ind w:left="2552" w:hanging="851"/>
    </w:pPr>
    <w:rPr>
      <w:i/>
    </w:rPr>
  </w:style>
  <w:style w:type="paragraph" w:styleId="TOC6">
    <w:name w:val="toc 6"/>
    <w:basedOn w:val="Normal"/>
    <w:next w:val="Normal"/>
    <w:autoRedefine/>
    <w:uiPriority w:val="39"/>
    <w:unhideWhenUsed/>
    <w:rsid w:val="00380795"/>
    <w:pPr>
      <w:tabs>
        <w:tab w:val="left" w:pos="2977"/>
        <w:tab w:val="right" w:leader="dot" w:pos="9060"/>
      </w:tabs>
      <w:spacing w:before="120" w:after="100" w:line="240" w:lineRule="auto"/>
      <w:ind w:left="2977" w:hanging="851"/>
    </w:pPr>
  </w:style>
  <w:style w:type="paragraph" w:styleId="TOC7">
    <w:name w:val="toc 7"/>
    <w:basedOn w:val="Normal"/>
    <w:next w:val="Normal"/>
    <w:autoRedefine/>
    <w:uiPriority w:val="39"/>
    <w:unhideWhenUsed/>
    <w:rsid w:val="00380795"/>
    <w:pPr>
      <w:spacing w:before="120" w:after="100" w:line="240" w:lineRule="auto"/>
      <w:ind w:left="3403" w:hanging="851"/>
    </w:pPr>
  </w:style>
  <w:style w:type="paragraph" w:styleId="TOC8">
    <w:name w:val="toc 8"/>
    <w:basedOn w:val="Normal"/>
    <w:next w:val="Normal"/>
    <w:autoRedefine/>
    <w:uiPriority w:val="39"/>
    <w:unhideWhenUsed/>
    <w:rsid w:val="00380795"/>
    <w:pPr>
      <w:tabs>
        <w:tab w:val="left" w:pos="1134"/>
        <w:tab w:val="right" w:leader="dot" w:pos="9060"/>
      </w:tabs>
      <w:spacing w:before="120" w:after="100" w:line="240" w:lineRule="auto"/>
      <w:ind w:left="1134" w:hanging="1134"/>
    </w:pPr>
  </w:style>
  <w:style w:type="paragraph" w:styleId="TOC9">
    <w:name w:val="toc 9"/>
    <w:basedOn w:val="Normal"/>
    <w:next w:val="Normal"/>
    <w:autoRedefine/>
    <w:uiPriority w:val="39"/>
    <w:unhideWhenUsed/>
    <w:rsid w:val="00380795"/>
    <w:pPr>
      <w:tabs>
        <w:tab w:val="left" w:pos="1134"/>
        <w:tab w:val="right" w:leader="dot" w:pos="9060"/>
      </w:tabs>
      <w:spacing w:before="120" w:after="100" w:line="240" w:lineRule="auto"/>
      <w:ind w:left="1134" w:hanging="1134"/>
    </w:pPr>
  </w:style>
  <w:style w:type="paragraph" w:customStyle="1" w:styleId="FCFigureCaption">
    <w:name w:val="[FC] Figure Caption"/>
    <w:basedOn w:val="BTBodyText"/>
    <w:next w:val="BTBodyText"/>
    <w:link w:val="FCFigureCaptionChar"/>
    <w:uiPriority w:val="10"/>
    <w:qFormat/>
    <w:rsid w:val="00EE47D1"/>
    <w:pPr>
      <w:keepNext/>
      <w:numPr>
        <w:numId w:val="4"/>
      </w:numPr>
      <w:spacing w:before="240" w:after="0"/>
      <w:jc w:val="center"/>
      <w:outlineLvl w:val="7"/>
    </w:pPr>
    <w:rPr>
      <w:b/>
    </w:rPr>
  </w:style>
  <w:style w:type="character" w:customStyle="1" w:styleId="FCFigureCaptionChar">
    <w:name w:val="[FC] Figure Caption Char"/>
    <w:basedOn w:val="BTBodyTextChar"/>
    <w:link w:val="FCFigureCaption"/>
    <w:uiPriority w:val="10"/>
    <w:rsid w:val="00EE47D1"/>
    <w:rPr>
      <w:b/>
    </w:rPr>
  </w:style>
  <w:style w:type="paragraph" w:customStyle="1" w:styleId="TCTableCaption">
    <w:name w:val="[TC] Table Caption"/>
    <w:basedOn w:val="FCFigureCaption"/>
    <w:next w:val="BTBodyText"/>
    <w:link w:val="TCTableCaptionChar"/>
    <w:uiPriority w:val="10"/>
    <w:qFormat/>
    <w:rsid w:val="00ED1747"/>
    <w:pPr>
      <w:numPr>
        <w:numId w:val="5"/>
      </w:numPr>
      <w:outlineLvl w:val="8"/>
    </w:pPr>
  </w:style>
  <w:style w:type="table" w:styleId="TableGrid">
    <w:name w:val="Table Grid"/>
    <w:basedOn w:val="TableNormal"/>
    <w:uiPriority w:val="39"/>
    <w:rsid w:val="006F1C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CTableCaptionChar">
    <w:name w:val="[TC] Table Caption Char"/>
    <w:basedOn w:val="BTBodyTextChar"/>
    <w:link w:val="TCTableCaption"/>
    <w:uiPriority w:val="10"/>
    <w:rsid w:val="00093175"/>
    <w:rPr>
      <w:b/>
    </w:rPr>
  </w:style>
  <w:style w:type="paragraph" w:customStyle="1" w:styleId="TTTableText">
    <w:name w:val="[TT] Table Text"/>
    <w:basedOn w:val="BTBodyText"/>
    <w:link w:val="TTTableTextChar"/>
    <w:uiPriority w:val="19"/>
    <w:qFormat/>
    <w:rsid w:val="008E0031"/>
    <w:pPr>
      <w:spacing w:before="40" w:after="40" w:line="240" w:lineRule="auto"/>
      <w:jc w:val="left"/>
    </w:pPr>
  </w:style>
  <w:style w:type="paragraph" w:customStyle="1" w:styleId="THTableHeading">
    <w:name w:val="[TH] Table Heading"/>
    <w:basedOn w:val="TTTableText"/>
    <w:link w:val="THTableHeadingChar"/>
    <w:uiPriority w:val="19"/>
    <w:qFormat/>
    <w:rsid w:val="008E0031"/>
    <w:rPr>
      <w:b/>
    </w:rPr>
  </w:style>
  <w:style w:type="character" w:customStyle="1" w:styleId="TTTableTextChar">
    <w:name w:val="[TT] Table Text Char"/>
    <w:basedOn w:val="BTBodyTextChar"/>
    <w:link w:val="TTTableText"/>
    <w:uiPriority w:val="19"/>
    <w:rsid w:val="00093175"/>
  </w:style>
  <w:style w:type="paragraph" w:customStyle="1" w:styleId="AHL1AnnexHeadingLevel1">
    <w:name w:val="[AHL1] Annex Heading Level 1"/>
    <w:basedOn w:val="Heading1"/>
    <w:next w:val="P1-N1Paragraph1-Number1"/>
    <w:link w:val="AHL1AnnexHeadingLevel1Char"/>
    <w:uiPriority w:val="15"/>
    <w:qFormat/>
    <w:rsid w:val="006C1D90"/>
    <w:pPr>
      <w:numPr>
        <w:numId w:val="6"/>
      </w:numPr>
    </w:pPr>
    <w:rPr>
      <w:caps w:val="0"/>
      <w:sz w:val="24"/>
    </w:rPr>
  </w:style>
  <w:style w:type="character" w:customStyle="1" w:styleId="THTableHeadingChar">
    <w:name w:val="[TH] Table Heading Char"/>
    <w:basedOn w:val="TTTableTextChar"/>
    <w:link w:val="THTableHeading"/>
    <w:uiPriority w:val="19"/>
    <w:rsid w:val="00093175"/>
    <w:rPr>
      <w:b/>
    </w:rPr>
  </w:style>
  <w:style w:type="paragraph" w:customStyle="1" w:styleId="AHL2AnnexHeadingLevel2">
    <w:name w:val="[AHL2] Annex Heading Level 2"/>
    <w:basedOn w:val="Heading2"/>
    <w:next w:val="P1-N1Paragraph1-Number1"/>
    <w:link w:val="AHL2AnnexHeadingLevel2Char"/>
    <w:uiPriority w:val="15"/>
    <w:qFormat/>
    <w:rsid w:val="006C1D90"/>
    <w:pPr>
      <w:numPr>
        <w:ilvl w:val="1"/>
        <w:numId w:val="6"/>
      </w:numPr>
    </w:pPr>
    <w:rPr>
      <w:sz w:val="24"/>
    </w:rPr>
  </w:style>
  <w:style w:type="character" w:customStyle="1" w:styleId="AHL1AnnexHeadingLevel1Char">
    <w:name w:val="[AHL1] Annex Heading Level 1 Char"/>
    <w:basedOn w:val="BTBodyTextChar"/>
    <w:link w:val="AHL1AnnexHeadingLevel1"/>
    <w:uiPriority w:val="15"/>
    <w:rsid w:val="00D456CA"/>
    <w:rPr>
      <w:rFonts w:eastAsiaTheme="majorEastAsia" w:cstheme="majorBidi"/>
      <w:b/>
      <w:szCs w:val="32"/>
    </w:rPr>
  </w:style>
  <w:style w:type="paragraph" w:customStyle="1" w:styleId="AHL3AnnexHeadingLevel3">
    <w:name w:val="[AHL3] Annex Heading Level 3"/>
    <w:basedOn w:val="Heading3"/>
    <w:next w:val="P1-N1Paragraph1-Number1"/>
    <w:link w:val="AHL3AnnexHeadingLevel3Char"/>
    <w:uiPriority w:val="15"/>
    <w:qFormat/>
    <w:rsid w:val="0093054A"/>
    <w:pPr>
      <w:numPr>
        <w:ilvl w:val="2"/>
        <w:numId w:val="6"/>
      </w:numPr>
    </w:pPr>
  </w:style>
  <w:style w:type="character" w:customStyle="1" w:styleId="AHL2AnnexHeadingLevel2Char">
    <w:name w:val="[AHL2] Annex Heading Level 2 Char"/>
    <w:basedOn w:val="BTBodyTextChar"/>
    <w:link w:val="AHL2AnnexHeadingLevel2"/>
    <w:uiPriority w:val="15"/>
    <w:rsid w:val="00D456CA"/>
    <w:rPr>
      <w:rFonts w:eastAsiaTheme="majorEastAsia" w:cstheme="majorBidi"/>
      <w:b/>
      <w:smallCaps/>
      <w:szCs w:val="26"/>
    </w:rPr>
  </w:style>
  <w:style w:type="paragraph" w:customStyle="1" w:styleId="AHL4AnnexHeadingLevel4">
    <w:name w:val="[AHL4] Annex Heading Level 4"/>
    <w:basedOn w:val="Heading4"/>
    <w:next w:val="P1-N1Paragraph1-Number1"/>
    <w:link w:val="AHL4AnnexHeadingLevel4Char"/>
    <w:uiPriority w:val="15"/>
    <w:semiHidden/>
    <w:rsid w:val="0093054A"/>
    <w:pPr>
      <w:numPr>
        <w:ilvl w:val="3"/>
        <w:numId w:val="6"/>
      </w:numPr>
    </w:pPr>
  </w:style>
  <w:style w:type="character" w:customStyle="1" w:styleId="AHL3AnnexHeadingLevel3Char">
    <w:name w:val="[AHL3] Annex Heading Level 3 Char"/>
    <w:basedOn w:val="BTBodyTextChar"/>
    <w:link w:val="AHL3AnnexHeadingLevel3"/>
    <w:uiPriority w:val="15"/>
    <w:rsid w:val="00D456CA"/>
    <w:rPr>
      <w:rFonts w:eastAsiaTheme="majorEastAsia" w:cstheme="majorBidi"/>
      <w:b/>
    </w:rPr>
  </w:style>
  <w:style w:type="paragraph" w:customStyle="1" w:styleId="AHL5AnnexHeadingLevel5">
    <w:name w:val="[AHL5] Annex Heading Level 5"/>
    <w:basedOn w:val="Heading5"/>
    <w:next w:val="P1-N1Paragraph1-Number1"/>
    <w:link w:val="AHL5AnnexHeadingLevel5Char"/>
    <w:uiPriority w:val="15"/>
    <w:semiHidden/>
    <w:rsid w:val="006C1D90"/>
    <w:pPr>
      <w:numPr>
        <w:ilvl w:val="4"/>
        <w:numId w:val="6"/>
      </w:numPr>
    </w:pPr>
    <w:rPr>
      <w:b/>
      <w:i w:val="0"/>
    </w:rPr>
  </w:style>
  <w:style w:type="character" w:customStyle="1" w:styleId="AHL4AnnexHeadingLevel4Char">
    <w:name w:val="[AHL4] Annex Heading Level 4 Char"/>
    <w:basedOn w:val="BTBodyTextChar"/>
    <w:link w:val="AHL4AnnexHeadingLevel4"/>
    <w:uiPriority w:val="15"/>
    <w:semiHidden/>
    <w:rsid w:val="00D456CA"/>
    <w:rPr>
      <w:rFonts w:eastAsiaTheme="majorEastAsia" w:cstheme="majorBidi"/>
      <w:iCs/>
      <w:u w:val="single"/>
    </w:rPr>
  </w:style>
  <w:style w:type="paragraph" w:customStyle="1" w:styleId="AHL6AnnexHeadingLevel6">
    <w:name w:val="[AHL6] Annex Heading Level 6"/>
    <w:basedOn w:val="Heading6"/>
    <w:next w:val="P1-N1Paragraph1-Number1"/>
    <w:link w:val="AHL6AnnexHeadingLevel6Char"/>
    <w:uiPriority w:val="15"/>
    <w:semiHidden/>
    <w:rsid w:val="0093054A"/>
    <w:pPr>
      <w:numPr>
        <w:ilvl w:val="5"/>
        <w:numId w:val="6"/>
      </w:numPr>
    </w:pPr>
  </w:style>
  <w:style w:type="character" w:customStyle="1" w:styleId="AHL5AnnexHeadingLevel5Char">
    <w:name w:val="[AHL5] Annex Heading Level 5 Char"/>
    <w:basedOn w:val="BTBodyTextChar"/>
    <w:link w:val="AHL5AnnexHeadingLevel5"/>
    <w:uiPriority w:val="15"/>
    <w:semiHidden/>
    <w:rsid w:val="00D456CA"/>
    <w:rPr>
      <w:rFonts w:eastAsiaTheme="majorEastAsia" w:cstheme="majorBidi"/>
      <w:b/>
    </w:rPr>
  </w:style>
  <w:style w:type="paragraph" w:customStyle="1" w:styleId="AHL7AnnexHeadingLevel7">
    <w:name w:val="[AHL7] Annex Heading Level 7"/>
    <w:basedOn w:val="Heading7"/>
    <w:next w:val="P1-N1Paragraph1-Number1"/>
    <w:link w:val="AHL7AnnexHeadingLevel7Char"/>
    <w:uiPriority w:val="15"/>
    <w:semiHidden/>
    <w:rsid w:val="0093054A"/>
    <w:pPr>
      <w:numPr>
        <w:ilvl w:val="6"/>
        <w:numId w:val="6"/>
      </w:numPr>
    </w:pPr>
  </w:style>
  <w:style w:type="character" w:customStyle="1" w:styleId="AHL6AnnexHeadingLevel6Char">
    <w:name w:val="[AHL6] Annex Heading Level 6 Char"/>
    <w:basedOn w:val="BTBodyTextChar"/>
    <w:link w:val="AHL6AnnexHeadingLevel6"/>
    <w:uiPriority w:val="15"/>
    <w:semiHidden/>
    <w:rsid w:val="00D456CA"/>
    <w:rPr>
      <w:rFonts w:eastAsiaTheme="majorEastAsia" w:cstheme="majorBidi"/>
      <w:u w:val="single"/>
    </w:rPr>
  </w:style>
  <w:style w:type="paragraph" w:customStyle="1" w:styleId="AHL8AnnexHeadingLevel8">
    <w:name w:val="[AHL8] Annex Heading Level 8"/>
    <w:basedOn w:val="Heading8"/>
    <w:next w:val="P1-N1Paragraph1-Number1"/>
    <w:link w:val="AHL8AnnexHeadingLevel8Char"/>
    <w:uiPriority w:val="15"/>
    <w:semiHidden/>
    <w:rsid w:val="0093054A"/>
    <w:pPr>
      <w:numPr>
        <w:ilvl w:val="7"/>
        <w:numId w:val="6"/>
      </w:numPr>
    </w:pPr>
  </w:style>
  <w:style w:type="character" w:customStyle="1" w:styleId="AHL7AnnexHeadingLevel7Char">
    <w:name w:val="[AHL7] Annex Heading Level 7 Char"/>
    <w:basedOn w:val="BTBodyTextChar"/>
    <w:link w:val="AHL7AnnexHeadingLevel7"/>
    <w:uiPriority w:val="15"/>
    <w:semiHidden/>
    <w:rsid w:val="00D456CA"/>
    <w:rPr>
      <w:rFonts w:eastAsiaTheme="majorEastAsia" w:cstheme="majorBidi"/>
      <w:i/>
      <w:iCs/>
    </w:rPr>
  </w:style>
  <w:style w:type="paragraph" w:customStyle="1" w:styleId="AHL9AnnexHeadingLevel9">
    <w:name w:val="[AHL9] Annex Heading Level 9"/>
    <w:basedOn w:val="Heading9"/>
    <w:next w:val="P1-N1Paragraph1-Number1"/>
    <w:link w:val="AHL9AnnexHeadingLevel9Char"/>
    <w:uiPriority w:val="15"/>
    <w:semiHidden/>
    <w:rsid w:val="0093054A"/>
    <w:pPr>
      <w:numPr>
        <w:ilvl w:val="8"/>
        <w:numId w:val="6"/>
      </w:numPr>
    </w:pPr>
  </w:style>
  <w:style w:type="character" w:customStyle="1" w:styleId="AHL8AnnexHeadingLevel8Char">
    <w:name w:val="[AHL8] Annex Heading Level 8 Char"/>
    <w:basedOn w:val="BTBodyTextChar"/>
    <w:link w:val="AHL8AnnexHeadingLevel8"/>
    <w:uiPriority w:val="15"/>
    <w:semiHidden/>
    <w:rsid w:val="00D456CA"/>
    <w:rPr>
      <w:rFonts w:eastAsiaTheme="majorEastAsia" w:cstheme="majorBidi"/>
      <w:szCs w:val="21"/>
      <w:u w:val="single"/>
    </w:rPr>
  </w:style>
  <w:style w:type="paragraph" w:styleId="Header">
    <w:name w:val="header"/>
    <w:basedOn w:val="Normal"/>
    <w:link w:val="HeaderChar"/>
    <w:uiPriority w:val="99"/>
    <w:unhideWhenUsed/>
    <w:rsid w:val="00006269"/>
    <w:pPr>
      <w:tabs>
        <w:tab w:val="center" w:pos="4536"/>
        <w:tab w:val="right" w:pos="9072"/>
      </w:tabs>
      <w:spacing w:after="0" w:line="240" w:lineRule="auto"/>
    </w:pPr>
    <w:rPr>
      <w:sz w:val="22"/>
    </w:rPr>
  </w:style>
  <w:style w:type="character" w:customStyle="1" w:styleId="AHL9AnnexHeadingLevel9Char">
    <w:name w:val="[AHL9] Annex Heading Level 9 Char"/>
    <w:basedOn w:val="BTBodyTextChar"/>
    <w:link w:val="AHL9AnnexHeadingLevel9"/>
    <w:uiPriority w:val="15"/>
    <w:semiHidden/>
    <w:rsid w:val="00D456CA"/>
    <w:rPr>
      <w:rFonts w:eastAsiaTheme="majorEastAsia" w:cstheme="majorBidi"/>
      <w:i/>
      <w:iCs/>
      <w:szCs w:val="21"/>
    </w:rPr>
  </w:style>
  <w:style w:type="character" w:customStyle="1" w:styleId="HeaderChar">
    <w:name w:val="Header Char"/>
    <w:basedOn w:val="DefaultParagraphFont"/>
    <w:link w:val="Header"/>
    <w:uiPriority w:val="99"/>
    <w:rsid w:val="00006269"/>
    <w:rPr>
      <w:sz w:val="22"/>
    </w:rPr>
  </w:style>
  <w:style w:type="paragraph" w:styleId="Footer">
    <w:name w:val="footer"/>
    <w:basedOn w:val="Normal"/>
    <w:link w:val="FooterChar"/>
    <w:uiPriority w:val="99"/>
    <w:unhideWhenUsed/>
    <w:rsid w:val="00006269"/>
    <w:pPr>
      <w:tabs>
        <w:tab w:val="center" w:pos="4536"/>
        <w:tab w:val="right" w:pos="9072"/>
      </w:tabs>
      <w:spacing w:after="0" w:line="240" w:lineRule="auto"/>
    </w:pPr>
    <w:rPr>
      <w:sz w:val="22"/>
    </w:rPr>
  </w:style>
  <w:style w:type="character" w:customStyle="1" w:styleId="FooterChar">
    <w:name w:val="Footer Char"/>
    <w:basedOn w:val="DefaultParagraphFont"/>
    <w:link w:val="Footer"/>
    <w:uiPriority w:val="99"/>
    <w:rsid w:val="00006269"/>
    <w:rPr>
      <w:sz w:val="22"/>
    </w:rPr>
  </w:style>
  <w:style w:type="paragraph" w:styleId="FootnoteText">
    <w:name w:val="footnote text"/>
    <w:basedOn w:val="Normal"/>
    <w:link w:val="FootnoteTextChar"/>
    <w:uiPriority w:val="99"/>
    <w:rsid w:val="00EE47D1"/>
    <w:pPr>
      <w:spacing w:after="0" w:line="240" w:lineRule="auto"/>
    </w:pPr>
    <w:rPr>
      <w:sz w:val="18"/>
      <w:szCs w:val="20"/>
    </w:rPr>
  </w:style>
  <w:style w:type="character" w:customStyle="1" w:styleId="FootnoteTextChar">
    <w:name w:val="Footnote Text Char"/>
    <w:basedOn w:val="DefaultParagraphFont"/>
    <w:link w:val="FootnoteText"/>
    <w:uiPriority w:val="99"/>
    <w:rsid w:val="00EE47D1"/>
    <w:rPr>
      <w:sz w:val="18"/>
      <w:szCs w:val="20"/>
    </w:rPr>
  </w:style>
  <w:style w:type="character" w:styleId="FootnoteReference">
    <w:name w:val="footnote reference"/>
    <w:basedOn w:val="DefaultParagraphFont"/>
    <w:uiPriority w:val="99"/>
    <w:rsid w:val="00BD0E60"/>
    <w:rPr>
      <w:rFonts w:ascii="Calibri" w:hAnsi="Calibri"/>
      <w:vertAlign w:val="superscript"/>
    </w:rPr>
  </w:style>
  <w:style w:type="character" w:styleId="UnresolvedMention">
    <w:name w:val="Unresolved Mention"/>
    <w:basedOn w:val="DefaultParagraphFont"/>
    <w:uiPriority w:val="99"/>
    <w:semiHidden/>
    <w:unhideWhenUsed/>
    <w:rsid w:val="00030A32"/>
    <w:rPr>
      <w:color w:val="605E5C"/>
      <w:shd w:val="clear" w:color="auto" w:fill="E1DFDD"/>
    </w:rPr>
  </w:style>
  <w:style w:type="paragraph" w:customStyle="1" w:styleId="WTODTWTODisputeTitle">
    <w:name w:val="[WTODT] WTO Dispute Title"/>
    <w:basedOn w:val="BTBodyText"/>
    <w:link w:val="WTODTWTODisputeTitleChar"/>
    <w:uiPriority w:val="27"/>
    <w:rsid w:val="00DA5381"/>
    <w:pPr>
      <w:spacing w:line="240" w:lineRule="auto"/>
      <w:jc w:val="center"/>
    </w:pPr>
    <w:rPr>
      <w:b/>
      <w:bCs/>
      <w:smallCaps/>
      <w:sz w:val="40"/>
      <w:szCs w:val="40"/>
    </w:rPr>
  </w:style>
  <w:style w:type="paragraph" w:customStyle="1" w:styleId="DSNDSNumber">
    <w:name w:val="[DSN] DS Number"/>
    <w:basedOn w:val="BTBodyText"/>
    <w:link w:val="DSNDSNumberChar"/>
    <w:uiPriority w:val="27"/>
    <w:rsid w:val="00DA5381"/>
    <w:pPr>
      <w:spacing w:line="240" w:lineRule="auto"/>
      <w:jc w:val="center"/>
    </w:pPr>
  </w:style>
  <w:style w:type="character" w:customStyle="1" w:styleId="WTODTWTODisputeTitleChar">
    <w:name w:val="[WTODT] WTO Dispute Title Char"/>
    <w:basedOn w:val="BTBodyTextChar"/>
    <w:link w:val="WTODTWTODisputeTitle"/>
    <w:uiPriority w:val="27"/>
    <w:rsid w:val="0026128E"/>
    <w:rPr>
      <w:b/>
      <w:bCs/>
      <w:smallCaps/>
      <w:sz w:val="40"/>
      <w:szCs w:val="40"/>
    </w:rPr>
  </w:style>
  <w:style w:type="paragraph" w:customStyle="1" w:styleId="DTDocumentTitle">
    <w:name w:val="[DT] Document Title"/>
    <w:basedOn w:val="BTBodyText"/>
    <w:link w:val="DTDocumentTitleChar"/>
    <w:uiPriority w:val="27"/>
    <w:rsid w:val="00DA5381"/>
    <w:pPr>
      <w:spacing w:line="240" w:lineRule="auto"/>
      <w:jc w:val="center"/>
    </w:pPr>
    <w:rPr>
      <w:b/>
      <w:bCs/>
      <w:smallCaps/>
      <w:sz w:val="36"/>
      <w:szCs w:val="36"/>
    </w:rPr>
  </w:style>
  <w:style w:type="character" w:customStyle="1" w:styleId="DSNDSNumberChar">
    <w:name w:val="[DSN] DS Number Char"/>
    <w:basedOn w:val="BTBodyTextChar"/>
    <w:link w:val="DSNDSNumber"/>
    <w:uiPriority w:val="27"/>
    <w:rsid w:val="0026128E"/>
  </w:style>
  <w:style w:type="paragraph" w:customStyle="1" w:styleId="DDDocumentDate">
    <w:name w:val="[DD] Document Date"/>
    <w:basedOn w:val="BTBodyText"/>
    <w:link w:val="DDDocumentDateChar"/>
    <w:uiPriority w:val="27"/>
    <w:rsid w:val="00DA5381"/>
    <w:pPr>
      <w:spacing w:line="240" w:lineRule="auto"/>
      <w:jc w:val="center"/>
    </w:pPr>
    <w:rPr>
      <w:sz w:val="32"/>
      <w:szCs w:val="32"/>
    </w:rPr>
  </w:style>
  <w:style w:type="character" w:customStyle="1" w:styleId="DTDocumentTitleChar">
    <w:name w:val="[DT] Document Title Char"/>
    <w:basedOn w:val="BTBodyTextChar"/>
    <w:link w:val="DTDocumentTitle"/>
    <w:uiPriority w:val="27"/>
    <w:rsid w:val="0026128E"/>
    <w:rPr>
      <w:b/>
      <w:bCs/>
      <w:smallCaps/>
      <w:sz w:val="36"/>
      <w:szCs w:val="36"/>
    </w:rPr>
  </w:style>
  <w:style w:type="character" w:customStyle="1" w:styleId="DDDocumentDateChar">
    <w:name w:val="[DD] Document Date Char"/>
    <w:basedOn w:val="BTBodyTextChar"/>
    <w:link w:val="DDDocumentDate"/>
    <w:uiPriority w:val="27"/>
    <w:rsid w:val="0026128E"/>
    <w:rPr>
      <w:sz w:val="32"/>
      <w:szCs w:val="32"/>
    </w:rPr>
  </w:style>
  <w:style w:type="character" w:styleId="PlaceholderText">
    <w:name w:val="Placeholder Text"/>
    <w:basedOn w:val="DefaultParagraphFont"/>
    <w:uiPriority w:val="99"/>
    <w:semiHidden/>
    <w:rsid w:val="00D52A17"/>
    <w:rPr>
      <w:color w:val="808080"/>
    </w:rPr>
  </w:style>
  <w:style w:type="paragraph" w:customStyle="1" w:styleId="Style1">
    <w:name w:val="Style1"/>
    <w:basedOn w:val="TOC1"/>
    <w:rsid w:val="00F306A0"/>
  </w:style>
  <w:style w:type="paragraph" w:customStyle="1" w:styleId="Default">
    <w:name w:val="Default"/>
    <w:rsid w:val="000960CE"/>
    <w:pPr>
      <w:autoSpaceDE w:val="0"/>
      <w:autoSpaceDN w:val="0"/>
      <w:adjustRightInd w:val="0"/>
      <w:spacing w:after="0" w:line="240" w:lineRule="auto"/>
      <w:jc w:val="left"/>
    </w:pPr>
    <w:rPr>
      <w:rFonts w:ascii="Verdana" w:hAnsi="Verdana" w:cs="Verdana"/>
      <w:color w:val="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F00AC2E10A2B34A86A613A4498C609D" ma:contentTypeVersion="3" ma:contentTypeDescription="Create a new document." ma:contentTypeScope="" ma:versionID="93795d7ebee9913df2db193712303f32">
  <xsd:schema xmlns:xsd="http://www.w3.org/2001/XMLSchema" xmlns:xs="http://www.w3.org/2001/XMLSchema" xmlns:p="http://schemas.microsoft.com/office/2006/metadata/properties" xmlns:ns2="d0a44250-acd7-47b7-bc6f-6107bccf164c" targetNamespace="http://schemas.microsoft.com/office/2006/metadata/properties" ma:root="true" ma:fieldsID="4ed414144b03bc0ea3ef09ddc924adb9" ns2:_="">
    <xsd:import namespace="d0a44250-acd7-47b7-bc6f-6107bccf164c"/>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a44250-acd7-47b7-bc6f-6107bccf16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8BEFE45-067A-491B-B25D-B0558985376B}">
  <ds:schemaRefs>
    <ds:schemaRef ds:uri="http://schemas.microsoft.com/sharepoint/v3/contenttype/forms"/>
  </ds:schemaRefs>
</ds:datastoreItem>
</file>

<file path=customXml/itemProps2.xml><?xml version="1.0" encoding="utf-8"?>
<ds:datastoreItem xmlns:ds="http://schemas.openxmlformats.org/officeDocument/2006/customXml" ds:itemID="{8A9664A8-AA71-41A9-82AB-C570398F7B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a44250-acd7-47b7-bc6f-6107bccf16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4F69CD-395A-4F8D-809E-294B81ECB76C}">
  <ds:schemaRefs>
    <ds:schemaRef ds:uri="http://schemas.openxmlformats.org/officeDocument/2006/bibliography"/>
  </ds:schemaRefs>
</ds:datastoreItem>
</file>

<file path=customXml/itemProps4.xml><?xml version="1.0" encoding="utf-8"?>
<ds:datastoreItem xmlns:ds="http://schemas.openxmlformats.org/officeDocument/2006/customXml" ds:itemID="{75FD585B-2DBA-4934-9E52-0135B2D6718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2597</Words>
  <Characters>14286</Characters>
  <Application>Microsoft Office Word</Application>
  <DocSecurity>0</DocSecurity>
  <Lines>291</Lines>
  <Paragraphs>102</Paragraphs>
  <ScaleCrop>false</ScaleCrop>
  <Company/>
  <LinksUpToDate>false</LinksUpToDate>
  <CharactersWithSpaces>16868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[SEC=OFFICIAL]</cp:keywords>
  <dc:description/>
  <cp:lastModifiedBy/>
  <cp:revision>1</cp:revision>
  <dcterms:created xsi:type="dcterms:W3CDTF">2025-07-31T05:11:00Z</dcterms:created>
  <dcterms:modified xsi:type="dcterms:W3CDTF">2025-12-15T20:15:00Z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Namespace">
    <vt:lpwstr>gov.au</vt:lpwstr>
  </property>
  <property fmtid="{D5CDD505-2E9C-101B-9397-08002B2CF9AE}" pid="3" name="PM_Version">
    <vt:lpwstr>2018.4</vt:lpwstr>
  </property>
  <property fmtid="{D5CDD505-2E9C-101B-9397-08002B2CF9AE}" pid="4" name="PM_SecurityClassification">
    <vt:lpwstr>OFFICIAL</vt:lpwstr>
  </property>
  <property fmtid="{D5CDD505-2E9C-101B-9397-08002B2CF9AE}" pid="5" name="PMHMAC">
    <vt:lpwstr>v=2022.1;a=SHA256;h=D318EC7D413166DD0D2A36577E9B66FC14119F18E7ED4DFBBB14A71C25A5E5EF</vt:lpwstr>
  </property>
  <property fmtid="{D5CDD505-2E9C-101B-9397-08002B2CF9AE}" pid="6" name="PM_Qualifier">
    <vt:lpwstr/>
  </property>
  <property fmtid="{D5CDD505-2E9C-101B-9397-08002B2CF9AE}" pid="7" name="PM_Note">
    <vt:lpwstr/>
  </property>
  <property fmtid="{D5CDD505-2E9C-101B-9397-08002B2CF9AE}" pid="8" name="PM_ProtectiveMarkingValue_Header">
    <vt:lpwstr>OFFICIAL</vt:lpwstr>
  </property>
  <property fmtid="{D5CDD505-2E9C-101B-9397-08002B2CF9AE}" pid="9" name="PM_OriginationTimeStamp">
    <vt:lpwstr>2025-07-30T07:23:37Z</vt:lpwstr>
  </property>
  <property fmtid="{D5CDD505-2E9C-101B-9397-08002B2CF9AE}" pid="10" name="PM_Markers">
    <vt:lpwstr/>
  </property>
  <property fmtid="{D5CDD505-2E9C-101B-9397-08002B2CF9AE}" pid="11" name="PM_InsertionValue">
    <vt:lpwstr>OFFICIAL</vt:lpwstr>
  </property>
  <property fmtid="{D5CDD505-2E9C-101B-9397-08002B2CF9AE}" pid="12" name="PM_Originator_Hash_SHA1">
    <vt:lpwstr>31FD3EAE4A251ABCF009A8ACCBAC4038715E6F10</vt:lpwstr>
  </property>
  <property fmtid="{D5CDD505-2E9C-101B-9397-08002B2CF9AE}" pid="13" name="PM_DisplayValueSecClassificationWithQualifier">
    <vt:lpwstr>OFFICIAL</vt:lpwstr>
  </property>
  <property fmtid="{D5CDD505-2E9C-101B-9397-08002B2CF9AE}" pid="14" name="PM_ProtectiveMarkingValue_Footer">
    <vt:lpwstr>OFFICIAL</vt:lpwstr>
  </property>
  <property fmtid="{D5CDD505-2E9C-101B-9397-08002B2CF9AE}" pid="15" name="PM_Originating_FileId">
    <vt:lpwstr>49015D8F178447F6BF8D78659856B275</vt:lpwstr>
  </property>
  <property fmtid="{D5CDD505-2E9C-101B-9397-08002B2CF9AE}" pid="16" name="PM_ProtectiveMarkingImage_Header">
    <vt:lpwstr>C:\Program Files\Common Files\janusNET Shared\janusSEAL\Images\DocumentSlashBlue.png</vt:lpwstr>
  </property>
  <property fmtid="{D5CDD505-2E9C-101B-9397-08002B2CF9AE}" pid="17" name="PM_ProtectiveMarkingImage_Footer">
    <vt:lpwstr>C:\Program Files\Common Files\janusNET Shared\janusSEAL\Images\DocumentSlashBlue.png</vt:lpwstr>
  </property>
  <property fmtid="{D5CDD505-2E9C-101B-9397-08002B2CF9AE}" pid="18" name="PM_Display">
    <vt:lpwstr>OFFICIAL</vt:lpwstr>
  </property>
  <property fmtid="{D5CDD505-2E9C-101B-9397-08002B2CF9AE}" pid="19" name="PM_OriginatorUserAccountName_SHA256">
    <vt:lpwstr>91EA69836A306F65000D7711B40DDACB57150DAE7AC7FEFA95158BE89FCA2A6B</vt:lpwstr>
  </property>
  <property fmtid="{D5CDD505-2E9C-101B-9397-08002B2CF9AE}" pid="20" name="PM_OriginatorDomainName_SHA256">
    <vt:lpwstr>6F3591835F3B2A8A025B00B5BA6418010DA3A17C9C26EA9C049FFD28039489A2</vt:lpwstr>
  </property>
  <property fmtid="{D5CDD505-2E9C-101B-9397-08002B2CF9AE}" pid="21" name="PMUuid">
    <vt:lpwstr>v=2022.2;d=gov.au;g=46DD6D7C-8107-577B-BC6E-F348953B2E44</vt:lpwstr>
  </property>
  <property fmtid="{D5CDD505-2E9C-101B-9397-08002B2CF9AE}" pid="22" name="PM_Hash_Version">
    <vt:lpwstr>2022.1</vt:lpwstr>
  </property>
  <property fmtid="{D5CDD505-2E9C-101B-9397-08002B2CF9AE}" pid="23" name="PM_Hash_Salt_Prev">
    <vt:lpwstr>69B9AAFD63BB72E3E69833C2EB5F2956</vt:lpwstr>
  </property>
  <property fmtid="{D5CDD505-2E9C-101B-9397-08002B2CF9AE}" pid="24" name="PM_Hash_Salt">
    <vt:lpwstr>E45AE07730560A10311C44B74A742E9E</vt:lpwstr>
  </property>
  <property fmtid="{D5CDD505-2E9C-101B-9397-08002B2CF9AE}" pid="25" name="PM_Hash_SHA1">
    <vt:lpwstr>7BB2899284367913AD8B703E33BE01DE3B2CD18E</vt:lpwstr>
  </property>
  <property fmtid="{D5CDD505-2E9C-101B-9397-08002B2CF9AE}" pid="26" name="PM_SecurityClassification_Prev">
    <vt:lpwstr>OFFICIAL</vt:lpwstr>
  </property>
  <property fmtid="{D5CDD505-2E9C-101B-9397-08002B2CF9AE}" pid="27" name="PM_Qualifier_Prev">
    <vt:lpwstr/>
  </property>
  <property fmtid="{D5CDD505-2E9C-101B-9397-08002B2CF9AE}" pid="28" name="PM_Caveats_Count">
    <vt:lpwstr>0</vt:lpwstr>
  </property>
  <property fmtid="{D5CDD505-2E9C-101B-9397-08002B2CF9AE}" pid="29" name="ContentTypeId">
    <vt:lpwstr>0x010100CF00AC2E10A2B34A86A613A4498C609D</vt:lpwstr>
  </property>
  <property fmtid="{D5CDD505-2E9C-101B-9397-08002B2CF9AE}" pid="30" name="PM_Expires">
    <vt:lpwstr/>
  </property>
  <property fmtid="{D5CDD505-2E9C-101B-9397-08002B2CF9AE}" pid="31" name="PM_DownTo">
    <vt:lpwstr/>
  </property>
</Properties>
</file>