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4CE3" w14:textId="77777777" w:rsidR="00354A06" w:rsidRPr="0007327B" w:rsidRDefault="00354A06" w:rsidP="005714C3">
      <w:pPr>
        <w:pStyle w:val="BTNSSBodyTextNoSpacingSmall"/>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5714C3" w:rsidRPr="0055172B" w14:paraId="2AA35D4F" w14:textId="77777777" w:rsidTr="008A4C51">
        <w:trPr>
          <w:trHeight w:val="4365"/>
        </w:trPr>
        <w:tc>
          <w:tcPr>
            <w:tcW w:w="9060" w:type="dxa"/>
          </w:tcPr>
          <w:p w14:paraId="609F7D99" w14:textId="77777777" w:rsidR="005714C3" w:rsidRPr="0055172B" w:rsidRDefault="005714C3" w:rsidP="005714C3">
            <w:pPr>
              <w:pStyle w:val="BTBodyText"/>
              <w:spacing w:after="240"/>
              <w:jc w:val="center"/>
              <w:rPr>
                <w:b/>
                <w:bCs/>
                <w:sz w:val="32"/>
                <w:szCs w:val="32"/>
              </w:rPr>
            </w:pPr>
            <w:r w:rsidRPr="0055172B">
              <w:rPr>
                <w:b/>
                <w:bCs/>
                <w:sz w:val="32"/>
                <w:szCs w:val="32"/>
              </w:rPr>
              <w:t>Before the World Trade Organization</w:t>
            </w:r>
          </w:p>
          <w:p w14:paraId="61A24E51" w14:textId="77777777" w:rsidR="005714C3" w:rsidRPr="0055172B" w:rsidRDefault="005714C3" w:rsidP="005714C3">
            <w:pPr>
              <w:pStyle w:val="BTBodyText"/>
              <w:spacing w:after="240"/>
              <w:jc w:val="center"/>
              <w:rPr>
                <w:b/>
                <w:bCs/>
                <w:sz w:val="32"/>
                <w:szCs w:val="32"/>
              </w:rPr>
            </w:pPr>
            <w:r w:rsidRPr="0055172B">
              <w:rPr>
                <w:b/>
                <w:bCs/>
                <w:sz w:val="32"/>
                <w:szCs w:val="32"/>
              </w:rPr>
              <w:t>Panel Proceedings</w:t>
            </w:r>
          </w:p>
        </w:tc>
      </w:tr>
      <w:tr w:rsidR="005714C3" w:rsidRPr="0055172B" w14:paraId="11218E9E" w14:textId="77777777" w:rsidTr="00BE0B1C">
        <w:trPr>
          <w:trHeight w:val="737"/>
        </w:trPr>
        <w:tc>
          <w:tcPr>
            <w:tcW w:w="9060" w:type="dxa"/>
          </w:tcPr>
          <w:p w14:paraId="583F580B" w14:textId="616C64C9" w:rsidR="005714C3" w:rsidRPr="0055172B" w:rsidRDefault="00777C2B" w:rsidP="00DA5381">
            <w:pPr>
              <w:pStyle w:val="WTODTWTODisputeTitle"/>
            </w:pPr>
            <w:r w:rsidRPr="0055172B">
              <w:rPr>
                <w:lang w:val="en-US"/>
              </w:rPr>
              <w:t>Türkiye — Measures Concerning Electric Vehicles and Other Types of Vehicles from China</w:t>
            </w:r>
          </w:p>
        </w:tc>
      </w:tr>
      <w:tr w:rsidR="005714C3" w:rsidRPr="0055172B" w14:paraId="08DC60AA" w14:textId="77777777" w:rsidTr="008A4C51">
        <w:trPr>
          <w:trHeight w:val="3175"/>
        </w:trPr>
        <w:tc>
          <w:tcPr>
            <w:tcW w:w="9060" w:type="dxa"/>
          </w:tcPr>
          <w:p w14:paraId="4F68F719" w14:textId="33BF268F" w:rsidR="005714C3" w:rsidRPr="0055172B" w:rsidRDefault="005714C3" w:rsidP="00DA5381">
            <w:pPr>
              <w:pStyle w:val="DSNDSNumber"/>
            </w:pPr>
            <w:r w:rsidRPr="0055172B">
              <w:t>(DS</w:t>
            </w:r>
            <w:r w:rsidR="004627F2" w:rsidRPr="0055172B">
              <w:t>629</w:t>
            </w:r>
            <w:r w:rsidRPr="0055172B">
              <w:t>)</w:t>
            </w:r>
          </w:p>
        </w:tc>
      </w:tr>
      <w:tr w:rsidR="005714C3" w:rsidRPr="0055172B" w14:paraId="689DFE95" w14:textId="77777777" w:rsidTr="00DD4BA0">
        <w:trPr>
          <w:trHeight w:val="3798"/>
        </w:trPr>
        <w:tc>
          <w:tcPr>
            <w:tcW w:w="9060" w:type="dxa"/>
          </w:tcPr>
          <w:p w14:paraId="2D50ECD6" w14:textId="224D0F39" w:rsidR="00855EF8" w:rsidRPr="0055172B" w:rsidRDefault="00855EF8" w:rsidP="00855EF8">
            <w:pPr>
              <w:pStyle w:val="DTDocumentTitle"/>
            </w:pPr>
            <w:r w:rsidRPr="0055172B">
              <w:t>THIRD PARTY ORAL STATEMENT OF AUSTRALIA</w:t>
            </w:r>
          </w:p>
          <w:p w14:paraId="0975006D" w14:textId="567EFE03" w:rsidR="005714C3" w:rsidRPr="00A83F63" w:rsidRDefault="00887707" w:rsidP="00DA5381">
            <w:pPr>
              <w:pStyle w:val="DTDocumentTitle"/>
            </w:pPr>
            <w:r w:rsidRPr="00A83F63">
              <w:t>AS DELIVERED</w:t>
            </w:r>
          </w:p>
        </w:tc>
      </w:tr>
      <w:tr w:rsidR="005714C3" w:rsidRPr="0055172B" w14:paraId="7C47CB18" w14:textId="77777777" w:rsidTr="00BE0B1C">
        <w:trPr>
          <w:trHeight w:val="624"/>
        </w:trPr>
        <w:tc>
          <w:tcPr>
            <w:tcW w:w="9060" w:type="dxa"/>
          </w:tcPr>
          <w:p w14:paraId="103C81AF" w14:textId="2F418FAD" w:rsidR="005714C3" w:rsidRPr="0055172B" w:rsidRDefault="00D35C53" w:rsidP="00DA5381">
            <w:pPr>
              <w:pStyle w:val="DDDocumentDate"/>
            </w:pPr>
            <w:r w:rsidRPr="0055172B">
              <w:t>24 September 202</w:t>
            </w:r>
            <w:r w:rsidR="000A3E2D" w:rsidRPr="0055172B">
              <w:t>5</w:t>
            </w:r>
          </w:p>
        </w:tc>
      </w:tr>
    </w:tbl>
    <w:p w14:paraId="69476495" w14:textId="77777777" w:rsidR="005714C3" w:rsidRPr="0055172B" w:rsidRDefault="005714C3" w:rsidP="00BE0B1C">
      <w:pPr>
        <w:pStyle w:val="BTNSSBodyTextNoSpacingSmall"/>
      </w:pPr>
    </w:p>
    <w:p w14:paraId="72EA948C" w14:textId="77777777" w:rsidR="00006269" w:rsidRPr="0055172B" w:rsidRDefault="00006269" w:rsidP="00BE0B1C">
      <w:pPr>
        <w:pStyle w:val="BTNSSBodyTextNoSpacingSmall"/>
      </w:pPr>
      <w:r w:rsidRPr="0055172B">
        <w:br w:type="page"/>
      </w:r>
    </w:p>
    <w:p w14:paraId="2C51B8B2" w14:textId="77777777" w:rsidR="00F01A73" w:rsidRPr="0055172B" w:rsidRDefault="00F01A73" w:rsidP="00F01A73">
      <w:pPr>
        <w:pStyle w:val="BTNSSBodyTextNoSpacingSmall"/>
        <w:rPr>
          <w:sz w:val="2"/>
          <w:szCs w:val="2"/>
        </w:rPr>
      </w:pPr>
    </w:p>
    <w:sdt>
      <w:sdtPr>
        <w:rPr>
          <w:b w:val="0"/>
          <w:caps w:val="0"/>
          <w:sz w:val="8"/>
          <w:szCs w:val="8"/>
          <w:lang w:val="en-AU"/>
        </w:rPr>
        <w:id w:val="-1730524273"/>
        <w:docPartObj>
          <w:docPartGallery w:val="Table of Contents"/>
          <w:docPartUnique/>
        </w:docPartObj>
      </w:sdtPr>
      <w:sdtEndPr>
        <w:rPr>
          <w:bCs/>
        </w:rPr>
      </w:sdtEndPr>
      <w:sdtContent>
        <w:p w14:paraId="562745A0" w14:textId="77777777" w:rsidR="00D47F18" w:rsidRPr="0055172B" w:rsidRDefault="00D47F18">
          <w:pPr>
            <w:pStyle w:val="TOCHeading"/>
            <w:rPr>
              <w:lang w:val="en-AU"/>
            </w:rPr>
          </w:pPr>
          <w:r w:rsidRPr="0055172B">
            <w:rPr>
              <w:lang w:val="en-AU"/>
            </w:rPr>
            <w:t>Table of Contents</w:t>
          </w:r>
        </w:p>
        <w:p w14:paraId="79B4A189" w14:textId="72F219E4" w:rsidR="00FC54CE" w:rsidRDefault="00F945DB">
          <w:pPr>
            <w:pStyle w:val="TOC1"/>
            <w:rPr>
              <w:rFonts w:asciiTheme="minorHAnsi" w:eastAsiaTheme="minorEastAsia" w:hAnsiTheme="minorHAnsi"/>
              <w:b w:val="0"/>
              <w:caps w:val="0"/>
              <w:noProof/>
              <w:kern w:val="2"/>
              <w:lang w:eastAsia="en-AU"/>
              <w14:ligatures w14:val="standardContextual"/>
            </w:rPr>
          </w:pPr>
          <w:r w:rsidRPr="0055172B">
            <w:fldChar w:fldCharType="begin"/>
          </w:r>
          <w:r w:rsidRPr="0055172B">
            <w:instrText xml:space="preserve"> TOC \o "1-5" \h \z \u </w:instrText>
          </w:r>
          <w:r w:rsidRPr="0055172B">
            <w:fldChar w:fldCharType="separate"/>
          </w:r>
          <w:hyperlink w:anchor="_Toc209446648" w:history="1">
            <w:r w:rsidR="00FC54CE" w:rsidRPr="00CB3E63">
              <w:rPr>
                <w:rStyle w:val="Hyperlink"/>
                <w:noProof/>
              </w:rPr>
              <w:t>Table of Cases</w:t>
            </w:r>
            <w:r w:rsidR="00FC54CE">
              <w:rPr>
                <w:noProof/>
                <w:webHidden/>
              </w:rPr>
              <w:tab/>
            </w:r>
            <w:r w:rsidR="00FC54CE">
              <w:rPr>
                <w:noProof/>
                <w:webHidden/>
              </w:rPr>
              <w:fldChar w:fldCharType="begin"/>
            </w:r>
            <w:r w:rsidR="00FC54CE">
              <w:rPr>
                <w:noProof/>
                <w:webHidden/>
              </w:rPr>
              <w:instrText xml:space="preserve"> PAGEREF _Toc209446648 \h </w:instrText>
            </w:r>
            <w:r w:rsidR="00FC54CE">
              <w:rPr>
                <w:noProof/>
                <w:webHidden/>
              </w:rPr>
            </w:r>
            <w:r w:rsidR="00FC54CE">
              <w:rPr>
                <w:noProof/>
                <w:webHidden/>
              </w:rPr>
              <w:fldChar w:fldCharType="separate"/>
            </w:r>
            <w:r w:rsidR="00FC54CE">
              <w:rPr>
                <w:noProof/>
                <w:webHidden/>
              </w:rPr>
              <w:t>2</w:t>
            </w:r>
            <w:r w:rsidR="00FC54CE">
              <w:rPr>
                <w:noProof/>
                <w:webHidden/>
              </w:rPr>
              <w:fldChar w:fldCharType="end"/>
            </w:r>
          </w:hyperlink>
        </w:p>
        <w:p w14:paraId="21A5EE92" w14:textId="1CC47FC2" w:rsidR="00FC54CE" w:rsidRDefault="00FC54CE">
          <w:pPr>
            <w:pStyle w:val="TOC1"/>
            <w:rPr>
              <w:rFonts w:asciiTheme="minorHAnsi" w:eastAsiaTheme="minorEastAsia" w:hAnsiTheme="minorHAnsi"/>
              <w:b w:val="0"/>
              <w:caps w:val="0"/>
              <w:noProof/>
              <w:kern w:val="2"/>
              <w:lang w:eastAsia="en-AU"/>
              <w14:ligatures w14:val="standardContextual"/>
            </w:rPr>
          </w:pPr>
          <w:hyperlink w:anchor="_Toc209446649" w:history="1">
            <w:r w:rsidRPr="00CB3E63">
              <w:rPr>
                <w:rStyle w:val="Hyperlink"/>
                <w:noProof/>
              </w:rPr>
              <w:t>List of Acronyms, Abbreviations and Short Forms</w:t>
            </w:r>
            <w:r>
              <w:rPr>
                <w:noProof/>
                <w:webHidden/>
              </w:rPr>
              <w:tab/>
            </w:r>
            <w:r>
              <w:rPr>
                <w:noProof/>
                <w:webHidden/>
              </w:rPr>
              <w:fldChar w:fldCharType="begin"/>
            </w:r>
            <w:r>
              <w:rPr>
                <w:noProof/>
                <w:webHidden/>
              </w:rPr>
              <w:instrText xml:space="preserve"> PAGEREF _Toc209446649 \h </w:instrText>
            </w:r>
            <w:r>
              <w:rPr>
                <w:noProof/>
                <w:webHidden/>
              </w:rPr>
            </w:r>
            <w:r>
              <w:rPr>
                <w:noProof/>
                <w:webHidden/>
              </w:rPr>
              <w:fldChar w:fldCharType="separate"/>
            </w:r>
            <w:r>
              <w:rPr>
                <w:noProof/>
                <w:webHidden/>
              </w:rPr>
              <w:t>3</w:t>
            </w:r>
            <w:r>
              <w:rPr>
                <w:noProof/>
                <w:webHidden/>
              </w:rPr>
              <w:fldChar w:fldCharType="end"/>
            </w:r>
          </w:hyperlink>
        </w:p>
        <w:p w14:paraId="75BE1CCB" w14:textId="1A44152A" w:rsidR="00FC54CE" w:rsidRDefault="00FC54CE">
          <w:pPr>
            <w:pStyle w:val="TOC1"/>
            <w:rPr>
              <w:rFonts w:asciiTheme="minorHAnsi" w:eastAsiaTheme="minorEastAsia" w:hAnsiTheme="minorHAnsi"/>
              <w:b w:val="0"/>
              <w:caps w:val="0"/>
              <w:noProof/>
              <w:kern w:val="2"/>
              <w:lang w:eastAsia="en-AU"/>
              <w14:ligatures w14:val="standardContextual"/>
            </w:rPr>
          </w:pPr>
          <w:hyperlink w:anchor="_Toc209446650" w:history="1">
            <w:r w:rsidRPr="00CB3E63">
              <w:rPr>
                <w:rStyle w:val="Hyperlink"/>
                <w:noProof/>
              </w:rPr>
              <w:t>I.</w:t>
            </w:r>
            <w:r>
              <w:rPr>
                <w:rFonts w:asciiTheme="minorHAnsi" w:eastAsiaTheme="minorEastAsia" w:hAnsiTheme="minorHAnsi"/>
                <w:b w:val="0"/>
                <w:caps w:val="0"/>
                <w:noProof/>
                <w:kern w:val="2"/>
                <w:lang w:eastAsia="en-AU"/>
                <w14:ligatures w14:val="standardContextual"/>
              </w:rPr>
              <w:tab/>
            </w:r>
            <w:r w:rsidRPr="00CB3E63">
              <w:rPr>
                <w:rStyle w:val="Hyperlink"/>
                <w:noProof/>
              </w:rPr>
              <w:t>INTRODUCTION</w:t>
            </w:r>
            <w:r>
              <w:rPr>
                <w:noProof/>
                <w:webHidden/>
              </w:rPr>
              <w:tab/>
            </w:r>
            <w:r>
              <w:rPr>
                <w:noProof/>
                <w:webHidden/>
              </w:rPr>
              <w:fldChar w:fldCharType="begin"/>
            </w:r>
            <w:r>
              <w:rPr>
                <w:noProof/>
                <w:webHidden/>
              </w:rPr>
              <w:instrText xml:space="preserve"> PAGEREF _Toc209446650 \h </w:instrText>
            </w:r>
            <w:r>
              <w:rPr>
                <w:noProof/>
                <w:webHidden/>
              </w:rPr>
            </w:r>
            <w:r>
              <w:rPr>
                <w:noProof/>
                <w:webHidden/>
              </w:rPr>
              <w:fldChar w:fldCharType="separate"/>
            </w:r>
            <w:r>
              <w:rPr>
                <w:noProof/>
                <w:webHidden/>
              </w:rPr>
              <w:t>4</w:t>
            </w:r>
            <w:r>
              <w:rPr>
                <w:noProof/>
                <w:webHidden/>
              </w:rPr>
              <w:fldChar w:fldCharType="end"/>
            </w:r>
          </w:hyperlink>
        </w:p>
        <w:p w14:paraId="19639C12" w14:textId="4FCA2BB4" w:rsidR="00FC54CE" w:rsidRDefault="00FC54CE">
          <w:pPr>
            <w:pStyle w:val="TOC1"/>
            <w:rPr>
              <w:rFonts w:asciiTheme="minorHAnsi" w:eastAsiaTheme="minorEastAsia" w:hAnsiTheme="minorHAnsi"/>
              <w:b w:val="0"/>
              <w:caps w:val="0"/>
              <w:noProof/>
              <w:kern w:val="2"/>
              <w:lang w:eastAsia="en-AU"/>
              <w14:ligatures w14:val="standardContextual"/>
            </w:rPr>
          </w:pPr>
          <w:hyperlink w:anchor="_Toc209446651" w:history="1">
            <w:r w:rsidRPr="00CB3E63">
              <w:rPr>
                <w:rStyle w:val="Hyperlink"/>
                <w:noProof/>
              </w:rPr>
              <w:t>II.</w:t>
            </w:r>
            <w:r>
              <w:rPr>
                <w:rFonts w:asciiTheme="minorHAnsi" w:eastAsiaTheme="minorEastAsia" w:hAnsiTheme="minorHAnsi"/>
                <w:b w:val="0"/>
                <w:caps w:val="0"/>
                <w:noProof/>
                <w:kern w:val="2"/>
                <w:lang w:eastAsia="en-AU"/>
                <w14:ligatures w14:val="standardContextual"/>
              </w:rPr>
              <w:tab/>
            </w:r>
            <w:r w:rsidRPr="00CB3E63">
              <w:rPr>
                <w:rStyle w:val="Hyperlink"/>
                <w:noProof/>
              </w:rPr>
              <w:t>articles xx (B) and (g) of the gatt 1994</w:t>
            </w:r>
            <w:r>
              <w:rPr>
                <w:noProof/>
                <w:webHidden/>
              </w:rPr>
              <w:tab/>
            </w:r>
            <w:r>
              <w:rPr>
                <w:noProof/>
                <w:webHidden/>
              </w:rPr>
              <w:fldChar w:fldCharType="begin"/>
            </w:r>
            <w:r>
              <w:rPr>
                <w:noProof/>
                <w:webHidden/>
              </w:rPr>
              <w:instrText xml:space="preserve"> PAGEREF _Toc209446651 \h </w:instrText>
            </w:r>
            <w:r>
              <w:rPr>
                <w:noProof/>
                <w:webHidden/>
              </w:rPr>
            </w:r>
            <w:r>
              <w:rPr>
                <w:noProof/>
                <w:webHidden/>
              </w:rPr>
              <w:fldChar w:fldCharType="separate"/>
            </w:r>
            <w:r>
              <w:rPr>
                <w:noProof/>
                <w:webHidden/>
              </w:rPr>
              <w:t>4</w:t>
            </w:r>
            <w:r>
              <w:rPr>
                <w:noProof/>
                <w:webHidden/>
              </w:rPr>
              <w:fldChar w:fldCharType="end"/>
            </w:r>
          </w:hyperlink>
        </w:p>
        <w:p w14:paraId="1D672FFD" w14:textId="5DCD3971" w:rsidR="00FC54CE" w:rsidRDefault="00FC54CE">
          <w:pPr>
            <w:pStyle w:val="TOC1"/>
            <w:rPr>
              <w:rFonts w:asciiTheme="minorHAnsi" w:eastAsiaTheme="minorEastAsia" w:hAnsiTheme="minorHAnsi"/>
              <w:b w:val="0"/>
              <w:caps w:val="0"/>
              <w:noProof/>
              <w:kern w:val="2"/>
              <w:lang w:eastAsia="en-AU"/>
              <w14:ligatures w14:val="standardContextual"/>
            </w:rPr>
          </w:pPr>
          <w:hyperlink w:anchor="_Toc209446652" w:history="1">
            <w:r w:rsidRPr="00CB3E63">
              <w:rPr>
                <w:rStyle w:val="Hyperlink"/>
                <w:noProof/>
              </w:rPr>
              <w:t>III.</w:t>
            </w:r>
            <w:r>
              <w:rPr>
                <w:rFonts w:asciiTheme="minorHAnsi" w:eastAsiaTheme="minorEastAsia" w:hAnsiTheme="minorHAnsi"/>
                <w:b w:val="0"/>
                <w:caps w:val="0"/>
                <w:noProof/>
                <w:kern w:val="2"/>
                <w:lang w:eastAsia="en-AU"/>
                <w14:ligatures w14:val="standardContextual"/>
              </w:rPr>
              <w:tab/>
            </w:r>
            <w:r w:rsidRPr="00CB3E63">
              <w:rPr>
                <w:rStyle w:val="Hyperlink"/>
                <w:noProof/>
              </w:rPr>
              <w:t>Chapeau of article xx of the gatt 1994 – "same conditions prevail"</w:t>
            </w:r>
            <w:r>
              <w:rPr>
                <w:noProof/>
                <w:webHidden/>
              </w:rPr>
              <w:tab/>
            </w:r>
            <w:r>
              <w:rPr>
                <w:noProof/>
                <w:webHidden/>
              </w:rPr>
              <w:fldChar w:fldCharType="begin"/>
            </w:r>
            <w:r>
              <w:rPr>
                <w:noProof/>
                <w:webHidden/>
              </w:rPr>
              <w:instrText xml:space="preserve"> PAGEREF _Toc209446652 \h </w:instrText>
            </w:r>
            <w:r>
              <w:rPr>
                <w:noProof/>
                <w:webHidden/>
              </w:rPr>
            </w:r>
            <w:r>
              <w:rPr>
                <w:noProof/>
                <w:webHidden/>
              </w:rPr>
              <w:fldChar w:fldCharType="separate"/>
            </w:r>
            <w:r>
              <w:rPr>
                <w:noProof/>
                <w:webHidden/>
              </w:rPr>
              <w:t>6</w:t>
            </w:r>
            <w:r>
              <w:rPr>
                <w:noProof/>
                <w:webHidden/>
              </w:rPr>
              <w:fldChar w:fldCharType="end"/>
            </w:r>
          </w:hyperlink>
        </w:p>
        <w:p w14:paraId="1AA8C166" w14:textId="125A34D2" w:rsidR="00FC54CE" w:rsidRDefault="00FC54CE">
          <w:pPr>
            <w:pStyle w:val="TOC1"/>
            <w:rPr>
              <w:rFonts w:asciiTheme="minorHAnsi" w:eastAsiaTheme="minorEastAsia" w:hAnsiTheme="minorHAnsi"/>
              <w:b w:val="0"/>
              <w:caps w:val="0"/>
              <w:noProof/>
              <w:kern w:val="2"/>
              <w:lang w:eastAsia="en-AU"/>
              <w14:ligatures w14:val="standardContextual"/>
            </w:rPr>
          </w:pPr>
          <w:hyperlink w:anchor="_Toc209446653" w:history="1">
            <w:r w:rsidRPr="00CB3E63">
              <w:rPr>
                <w:rStyle w:val="Hyperlink"/>
                <w:noProof/>
              </w:rPr>
              <w:t>IV.</w:t>
            </w:r>
            <w:r>
              <w:rPr>
                <w:rFonts w:asciiTheme="minorHAnsi" w:eastAsiaTheme="minorEastAsia" w:hAnsiTheme="minorHAnsi"/>
                <w:b w:val="0"/>
                <w:caps w:val="0"/>
                <w:noProof/>
                <w:kern w:val="2"/>
                <w:lang w:eastAsia="en-AU"/>
                <w14:ligatures w14:val="standardContextual"/>
              </w:rPr>
              <w:tab/>
            </w:r>
            <w:r w:rsidRPr="00CB3E63">
              <w:rPr>
                <w:rStyle w:val="Hyperlink"/>
                <w:noProof/>
              </w:rPr>
              <w:t>ARTICLE XXIV</w:t>
            </w:r>
            <w:r>
              <w:rPr>
                <w:noProof/>
                <w:webHidden/>
              </w:rPr>
              <w:tab/>
            </w:r>
            <w:r>
              <w:rPr>
                <w:noProof/>
                <w:webHidden/>
              </w:rPr>
              <w:fldChar w:fldCharType="begin"/>
            </w:r>
            <w:r>
              <w:rPr>
                <w:noProof/>
                <w:webHidden/>
              </w:rPr>
              <w:instrText xml:space="preserve"> PAGEREF _Toc209446653 \h </w:instrText>
            </w:r>
            <w:r>
              <w:rPr>
                <w:noProof/>
                <w:webHidden/>
              </w:rPr>
            </w:r>
            <w:r>
              <w:rPr>
                <w:noProof/>
                <w:webHidden/>
              </w:rPr>
              <w:fldChar w:fldCharType="separate"/>
            </w:r>
            <w:r>
              <w:rPr>
                <w:noProof/>
                <w:webHidden/>
              </w:rPr>
              <w:t>7</w:t>
            </w:r>
            <w:r>
              <w:rPr>
                <w:noProof/>
                <w:webHidden/>
              </w:rPr>
              <w:fldChar w:fldCharType="end"/>
            </w:r>
          </w:hyperlink>
        </w:p>
        <w:p w14:paraId="57101A47" w14:textId="568F3B36" w:rsidR="00FC54CE" w:rsidRDefault="00FC54CE">
          <w:pPr>
            <w:pStyle w:val="TOC1"/>
            <w:rPr>
              <w:rFonts w:asciiTheme="minorHAnsi" w:eastAsiaTheme="minorEastAsia" w:hAnsiTheme="minorHAnsi"/>
              <w:b w:val="0"/>
              <w:caps w:val="0"/>
              <w:noProof/>
              <w:kern w:val="2"/>
              <w:lang w:eastAsia="en-AU"/>
              <w14:ligatures w14:val="standardContextual"/>
            </w:rPr>
          </w:pPr>
          <w:hyperlink w:anchor="_Toc209446654" w:history="1">
            <w:r w:rsidRPr="00CB3E63">
              <w:rPr>
                <w:rStyle w:val="Hyperlink"/>
                <w:noProof/>
              </w:rPr>
              <w:t>V.</w:t>
            </w:r>
            <w:r>
              <w:rPr>
                <w:rFonts w:asciiTheme="minorHAnsi" w:eastAsiaTheme="minorEastAsia" w:hAnsiTheme="minorHAnsi"/>
                <w:b w:val="0"/>
                <w:caps w:val="0"/>
                <w:noProof/>
                <w:kern w:val="2"/>
                <w:lang w:eastAsia="en-AU"/>
                <w14:ligatures w14:val="standardContextual"/>
              </w:rPr>
              <w:tab/>
            </w:r>
            <w:r w:rsidRPr="00CB3E63">
              <w:rPr>
                <w:rStyle w:val="Hyperlink"/>
                <w:noProof/>
              </w:rPr>
              <w:t>CONCLUSION</w:t>
            </w:r>
            <w:r>
              <w:rPr>
                <w:noProof/>
                <w:webHidden/>
              </w:rPr>
              <w:tab/>
            </w:r>
            <w:r>
              <w:rPr>
                <w:noProof/>
                <w:webHidden/>
              </w:rPr>
              <w:fldChar w:fldCharType="begin"/>
            </w:r>
            <w:r>
              <w:rPr>
                <w:noProof/>
                <w:webHidden/>
              </w:rPr>
              <w:instrText xml:space="preserve"> PAGEREF _Toc209446654 \h </w:instrText>
            </w:r>
            <w:r>
              <w:rPr>
                <w:noProof/>
                <w:webHidden/>
              </w:rPr>
            </w:r>
            <w:r>
              <w:rPr>
                <w:noProof/>
                <w:webHidden/>
              </w:rPr>
              <w:fldChar w:fldCharType="separate"/>
            </w:r>
            <w:r>
              <w:rPr>
                <w:noProof/>
                <w:webHidden/>
              </w:rPr>
              <w:t>8</w:t>
            </w:r>
            <w:r>
              <w:rPr>
                <w:noProof/>
                <w:webHidden/>
              </w:rPr>
              <w:fldChar w:fldCharType="end"/>
            </w:r>
          </w:hyperlink>
        </w:p>
        <w:p w14:paraId="393556E1" w14:textId="1FCD06CA" w:rsidR="00D47F18" w:rsidRPr="0055172B" w:rsidRDefault="00F945DB" w:rsidP="00F01A73">
          <w:pPr>
            <w:pStyle w:val="BTNSSBodyTextNoSpacingSmall"/>
          </w:pPr>
          <w:r w:rsidRPr="0055172B">
            <w:rPr>
              <w:rFonts w:eastAsiaTheme="majorEastAsia" w:cstheme="majorBidi"/>
              <w:sz w:val="24"/>
              <w:szCs w:val="32"/>
            </w:rPr>
            <w:fldChar w:fldCharType="end"/>
          </w:r>
        </w:p>
      </w:sdtContent>
    </w:sdt>
    <w:p w14:paraId="4E52BB32" w14:textId="77777777" w:rsidR="004D7079" w:rsidRPr="0055172B" w:rsidRDefault="004D7079" w:rsidP="004D7079">
      <w:pPr>
        <w:pStyle w:val="BTNSSBodyTextNoSpacingSmall"/>
      </w:pPr>
    </w:p>
    <w:p w14:paraId="6E67BA77" w14:textId="77777777" w:rsidR="00F945DB" w:rsidRPr="0055172B" w:rsidRDefault="00F945DB" w:rsidP="00C73188">
      <w:pPr>
        <w:pStyle w:val="SHSectionHeading"/>
      </w:pPr>
      <w:bookmarkStart w:id="0" w:name="_Toc209446648"/>
      <w:r w:rsidRPr="0055172B">
        <w:t>Table of Cases</w:t>
      </w:r>
      <w:bookmarkEnd w:id="0"/>
    </w:p>
    <w:tbl>
      <w:tblPr>
        <w:tblStyle w:val="TableGrid"/>
        <w:tblW w:w="5000" w:type="pct"/>
        <w:tblLook w:val="04A0" w:firstRow="1" w:lastRow="0" w:firstColumn="1" w:lastColumn="0" w:noHBand="0" w:noVBand="1"/>
      </w:tblPr>
      <w:tblGrid>
        <w:gridCol w:w="2265"/>
        <w:gridCol w:w="6795"/>
      </w:tblGrid>
      <w:tr w:rsidR="008A1191" w:rsidRPr="0055172B" w14:paraId="1F93BB26" w14:textId="77777777" w:rsidTr="008A4C51">
        <w:trPr>
          <w:cantSplit/>
          <w:trHeight w:val="397"/>
          <w:tblHeader/>
        </w:trPr>
        <w:tc>
          <w:tcPr>
            <w:tcW w:w="2265" w:type="dxa"/>
            <w:shd w:val="clear" w:color="auto" w:fill="D9D9D9" w:themeFill="background1" w:themeFillShade="D9"/>
          </w:tcPr>
          <w:p w14:paraId="1C6963D7" w14:textId="77777777" w:rsidR="008A1191" w:rsidRPr="0055172B" w:rsidRDefault="008A1191" w:rsidP="008A4C51">
            <w:pPr>
              <w:pStyle w:val="THTableHeading"/>
              <w:jc w:val="center"/>
            </w:pPr>
            <w:r w:rsidRPr="0055172B">
              <w:t>Short Title</w:t>
            </w:r>
          </w:p>
        </w:tc>
        <w:tc>
          <w:tcPr>
            <w:tcW w:w="6795" w:type="dxa"/>
            <w:shd w:val="clear" w:color="auto" w:fill="D9D9D9" w:themeFill="background1" w:themeFillShade="D9"/>
          </w:tcPr>
          <w:p w14:paraId="1227E548" w14:textId="77777777" w:rsidR="008A1191" w:rsidRPr="0055172B" w:rsidRDefault="008A1191" w:rsidP="008A4C51">
            <w:pPr>
              <w:pStyle w:val="THTableHeading"/>
              <w:jc w:val="center"/>
            </w:pPr>
            <w:r w:rsidRPr="0055172B">
              <w:t>Full Case Title and Citation</w:t>
            </w:r>
          </w:p>
        </w:tc>
      </w:tr>
      <w:tr w:rsidR="0083436B" w:rsidRPr="0055172B" w14:paraId="19CBC2D1" w14:textId="77777777" w:rsidTr="008A4C51">
        <w:trPr>
          <w:cantSplit/>
          <w:trHeight w:val="397"/>
        </w:trPr>
        <w:tc>
          <w:tcPr>
            <w:tcW w:w="2265" w:type="dxa"/>
          </w:tcPr>
          <w:p w14:paraId="052A1AA7" w14:textId="20803B22" w:rsidR="0083436B" w:rsidRPr="0055172B" w:rsidRDefault="0083436B" w:rsidP="008A4C51">
            <w:pPr>
              <w:pStyle w:val="TTTableText"/>
              <w:rPr>
                <w:i/>
                <w:iCs/>
              </w:rPr>
            </w:pPr>
            <w:r w:rsidRPr="0055172B">
              <w:rPr>
                <w:i/>
                <w:iCs/>
              </w:rPr>
              <w:t xml:space="preserve">Brazil – </w:t>
            </w:r>
            <w:proofErr w:type="spellStart"/>
            <w:r w:rsidRPr="0055172B">
              <w:rPr>
                <w:i/>
                <w:iCs/>
              </w:rPr>
              <w:t>Retreaded</w:t>
            </w:r>
            <w:proofErr w:type="spellEnd"/>
            <w:r w:rsidRPr="0055172B">
              <w:rPr>
                <w:i/>
                <w:iCs/>
              </w:rPr>
              <w:t xml:space="preserve"> Tyres</w:t>
            </w:r>
          </w:p>
        </w:tc>
        <w:tc>
          <w:tcPr>
            <w:tcW w:w="6795" w:type="dxa"/>
          </w:tcPr>
          <w:p w14:paraId="3B4D2686" w14:textId="038EF6E3" w:rsidR="0083436B" w:rsidRPr="0055172B" w:rsidRDefault="00814763" w:rsidP="008A4C51">
            <w:pPr>
              <w:pStyle w:val="TTTableText"/>
              <w:rPr>
                <w:i/>
                <w:iCs/>
              </w:rPr>
            </w:pPr>
            <w:r w:rsidRPr="0055172B">
              <w:rPr>
                <w:i/>
                <w:iCs/>
              </w:rPr>
              <w:t xml:space="preserve">Appellate Body Report, Brazil – Measures Affecting Imports of </w:t>
            </w:r>
            <w:proofErr w:type="spellStart"/>
            <w:r w:rsidRPr="0055172B">
              <w:rPr>
                <w:i/>
                <w:iCs/>
              </w:rPr>
              <w:t>Retreaded</w:t>
            </w:r>
            <w:proofErr w:type="spellEnd"/>
            <w:r w:rsidRPr="0055172B">
              <w:rPr>
                <w:i/>
                <w:iCs/>
              </w:rPr>
              <w:t xml:space="preserve"> Tyres, WT/DS332/AB/R, adopted 17 December 2007, DSR </w:t>
            </w:r>
            <w:proofErr w:type="gramStart"/>
            <w:r w:rsidRPr="0055172B">
              <w:rPr>
                <w:i/>
                <w:iCs/>
              </w:rPr>
              <w:t>2007:IV</w:t>
            </w:r>
            <w:proofErr w:type="gramEnd"/>
            <w:r w:rsidRPr="0055172B">
              <w:rPr>
                <w:i/>
                <w:iCs/>
              </w:rPr>
              <w:t>, p. 1527</w:t>
            </w:r>
          </w:p>
        </w:tc>
      </w:tr>
      <w:tr w:rsidR="00075F34" w:rsidRPr="0055172B" w14:paraId="4858CEBE" w14:textId="77777777" w:rsidTr="008A4C51">
        <w:trPr>
          <w:cantSplit/>
          <w:trHeight w:val="397"/>
        </w:trPr>
        <w:tc>
          <w:tcPr>
            <w:tcW w:w="2265" w:type="dxa"/>
          </w:tcPr>
          <w:p w14:paraId="158DE0D0" w14:textId="59386FE8" w:rsidR="00075F34" w:rsidRPr="0055172B" w:rsidRDefault="00075F34" w:rsidP="008A4C51">
            <w:pPr>
              <w:pStyle w:val="TTTableText"/>
              <w:rPr>
                <w:i/>
                <w:iCs/>
              </w:rPr>
            </w:pPr>
            <w:r w:rsidRPr="0055172B">
              <w:rPr>
                <w:i/>
                <w:iCs/>
              </w:rPr>
              <w:t xml:space="preserve">China – Publications and Audiovisual Products </w:t>
            </w:r>
          </w:p>
        </w:tc>
        <w:tc>
          <w:tcPr>
            <w:tcW w:w="6795" w:type="dxa"/>
          </w:tcPr>
          <w:p w14:paraId="7EF64242" w14:textId="68B1E00C" w:rsidR="00075F34" w:rsidRPr="0055172B" w:rsidRDefault="00934529" w:rsidP="008A4C51">
            <w:pPr>
              <w:pStyle w:val="TTTableText"/>
              <w:rPr>
                <w:i/>
                <w:iCs/>
              </w:rPr>
            </w:pPr>
            <w:r w:rsidRPr="0055172B">
              <w:rPr>
                <w:i/>
                <w:iCs/>
              </w:rPr>
              <w:t xml:space="preserve">Appellate Body Report, China – Measures Affecting Trading Rights and Distribution Services for Certain Publications and Audiovisual Entertainment Products, WT/DS363/AB/R, adopted 19 January 2010, DSR </w:t>
            </w:r>
            <w:proofErr w:type="gramStart"/>
            <w:r w:rsidRPr="0055172B">
              <w:rPr>
                <w:i/>
                <w:iCs/>
              </w:rPr>
              <w:t>2010:I</w:t>
            </w:r>
            <w:proofErr w:type="gramEnd"/>
            <w:r w:rsidRPr="0055172B">
              <w:rPr>
                <w:i/>
                <w:iCs/>
              </w:rPr>
              <w:t>, p. 3</w:t>
            </w:r>
          </w:p>
        </w:tc>
      </w:tr>
      <w:tr w:rsidR="004F2CE5" w:rsidRPr="0055172B" w14:paraId="75FF8F54" w14:textId="77777777" w:rsidTr="008A4C51">
        <w:trPr>
          <w:cantSplit/>
          <w:trHeight w:val="397"/>
        </w:trPr>
        <w:tc>
          <w:tcPr>
            <w:tcW w:w="2265" w:type="dxa"/>
          </w:tcPr>
          <w:p w14:paraId="4424C237" w14:textId="1FB02B6B" w:rsidR="004F2CE5" w:rsidRPr="0055172B" w:rsidRDefault="004F2CE5" w:rsidP="008A4C51">
            <w:pPr>
              <w:pStyle w:val="TTTableText"/>
              <w:rPr>
                <w:i/>
                <w:iCs/>
              </w:rPr>
            </w:pPr>
            <w:r w:rsidRPr="0055172B">
              <w:rPr>
                <w:i/>
                <w:iCs/>
              </w:rPr>
              <w:t xml:space="preserve">China – Raw Materials </w:t>
            </w:r>
          </w:p>
        </w:tc>
        <w:tc>
          <w:tcPr>
            <w:tcW w:w="6795" w:type="dxa"/>
          </w:tcPr>
          <w:p w14:paraId="513B963D" w14:textId="24007400" w:rsidR="004F2CE5" w:rsidRPr="0055172B" w:rsidRDefault="00CD1EDC" w:rsidP="008A4C51">
            <w:pPr>
              <w:pStyle w:val="TTTableText"/>
              <w:rPr>
                <w:i/>
                <w:iCs/>
              </w:rPr>
            </w:pPr>
            <w:r w:rsidRPr="0055172B">
              <w:rPr>
                <w:i/>
                <w:iCs/>
              </w:rPr>
              <w:t xml:space="preserve">Appellate Body Reports, China – Measures Related to the Exportation of Various Raw Materials, WT/DS394/AB/R / WT/DS395/AB/R / WT/DS398/AB/R, adopted 22 February 2012, DSR </w:t>
            </w:r>
            <w:proofErr w:type="gramStart"/>
            <w:r w:rsidRPr="0055172B">
              <w:rPr>
                <w:i/>
                <w:iCs/>
              </w:rPr>
              <w:t>2012:VII</w:t>
            </w:r>
            <w:proofErr w:type="gramEnd"/>
            <w:r w:rsidRPr="0055172B">
              <w:rPr>
                <w:i/>
                <w:iCs/>
              </w:rPr>
              <w:t>, p. 3295</w:t>
            </w:r>
          </w:p>
        </w:tc>
      </w:tr>
      <w:tr w:rsidR="00272EA7" w:rsidRPr="0055172B" w14:paraId="2CBA8364" w14:textId="77777777" w:rsidTr="008A4C51">
        <w:trPr>
          <w:cantSplit/>
          <w:trHeight w:val="397"/>
        </w:trPr>
        <w:tc>
          <w:tcPr>
            <w:tcW w:w="2265" w:type="dxa"/>
          </w:tcPr>
          <w:p w14:paraId="78CD9517" w14:textId="1049797C" w:rsidR="00272EA7" w:rsidRPr="0055172B" w:rsidRDefault="00272EA7" w:rsidP="008A4C51">
            <w:pPr>
              <w:pStyle w:val="TTTableText"/>
              <w:rPr>
                <w:i/>
                <w:iCs/>
              </w:rPr>
            </w:pPr>
            <w:r w:rsidRPr="0055172B">
              <w:rPr>
                <w:i/>
                <w:iCs/>
              </w:rPr>
              <w:t>EC – Seal Products</w:t>
            </w:r>
          </w:p>
        </w:tc>
        <w:tc>
          <w:tcPr>
            <w:tcW w:w="6795" w:type="dxa"/>
          </w:tcPr>
          <w:p w14:paraId="01DD956F" w14:textId="68098C0E" w:rsidR="00272EA7" w:rsidRPr="0055172B" w:rsidRDefault="003D0BA6" w:rsidP="008A4C51">
            <w:pPr>
              <w:pStyle w:val="TTTableText"/>
              <w:rPr>
                <w:i/>
                <w:iCs/>
              </w:rPr>
            </w:pPr>
            <w:r w:rsidRPr="0055172B">
              <w:rPr>
                <w:i/>
                <w:iCs/>
              </w:rPr>
              <w:t xml:space="preserve">Appellate Body Reports, European Communities – Measures Prohibiting the Importation and Marketing of Seal Products, WT/DS400/AB/R / WT/DS401/AB/R, adopted 18 June 2014, DSR </w:t>
            </w:r>
            <w:proofErr w:type="gramStart"/>
            <w:r w:rsidRPr="0055172B">
              <w:rPr>
                <w:i/>
                <w:iCs/>
              </w:rPr>
              <w:t>2014:I</w:t>
            </w:r>
            <w:proofErr w:type="gramEnd"/>
            <w:r w:rsidRPr="0055172B">
              <w:rPr>
                <w:i/>
                <w:iCs/>
              </w:rPr>
              <w:t>, p. 7</w:t>
            </w:r>
          </w:p>
        </w:tc>
      </w:tr>
      <w:tr w:rsidR="00815AAC" w:rsidRPr="0055172B" w14:paraId="0AE0DAC2" w14:textId="77777777" w:rsidTr="008A4C51">
        <w:trPr>
          <w:cantSplit/>
          <w:trHeight w:val="397"/>
        </w:trPr>
        <w:tc>
          <w:tcPr>
            <w:tcW w:w="2265" w:type="dxa"/>
          </w:tcPr>
          <w:p w14:paraId="22E7B362" w14:textId="0C8A23D8" w:rsidR="00815AAC" w:rsidRPr="0055172B" w:rsidRDefault="00815AAC" w:rsidP="00815AAC">
            <w:pPr>
              <w:pStyle w:val="TTTableText"/>
              <w:rPr>
                <w:i/>
                <w:iCs/>
              </w:rPr>
            </w:pPr>
            <w:r w:rsidRPr="0055172B">
              <w:rPr>
                <w:i/>
                <w:iCs/>
              </w:rPr>
              <w:t xml:space="preserve">Korea – Various Measures on Beef </w:t>
            </w:r>
          </w:p>
        </w:tc>
        <w:tc>
          <w:tcPr>
            <w:tcW w:w="6795" w:type="dxa"/>
          </w:tcPr>
          <w:p w14:paraId="2DD97817" w14:textId="2A8DCB1E" w:rsidR="00815AAC" w:rsidRPr="0055172B" w:rsidRDefault="00815AAC" w:rsidP="00815AAC">
            <w:pPr>
              <w:pStyle w:val="TTTableText"/>
              <w:rPr>
                <w:i/>
                <w:iCs/>
              </w:rPr>
            </w:pPr>
            <w:r w:rsidRPr="0055172B">
              <w:rPr>
                <w:i/>
                <w:iCs/>
              </w:rPr>
              <w:t xml:space="preserve">Appellate Body Report, Korea – Measures Affecting Imports of Fresh, Chilled and Frozen Beef, WT/DS161/AB/R, WT/DS169/AB/R, adopted 10 January 2001, DSR </w:t>
            </w:r>
            <w:proofErr w:type="gramStart"/>
            <w:r w:rsidRPr="0055172B">
              <w:rPr>
                <w:i/>
                <w:iCs/>
              </w:rPr>
              <w:t>2001:I</w:t>
            </w:r>
            <w:proofErr w:type="gramEnd"/>
            <w:r w:rsidRPr="0055172B">
              <w:rPr>
                <w:i/>
                <w:iCs/>
              </w:rPr>
              <w:t>, p. 5</w:t>
            </w:r>
          </w:p>
        </w:tc>
      </w:tr>
      <w:tr w:rsidR="008A1191" w:rsidRPr="0055172B" w14:paraId="02CC86A2" w14:textId="77777777" w:rsidTr="008A4C51">
        <w:trPr>
          <w:cantSplit/>
          <w:trHeight w:val="397"/>
        </w:trPr>
        <w:tc>
          <w:tcPr>
            <w:tcW w:w="2265" w:type="dxa"/>
          </w:tcPr>
          <w:p w14:paraId="017F58EE" w14:textId="3C8CFF66" w:rsidR="008A1191" w:rsidRPr="0055172B" w:rsidRDefault="00A41A14" w:rsidP="008A4C51">
            <w:pPr>
              <w:pStyle w:val="TTTableText"/>
              <w:rPr>
                <w:i/>
                <w:iCs/>
              </w:rPr>
            </w:pPr>
            <w:r w:rsidRPr="0055172B">
              <w:rPr>
                <w:i/>
                <w:iCs/>
              </w:rPr>
              <w:t xml:space="preserve">Indonesia – Import Licensing Regimes </w:t>
            </w:r>
          </w:p>
        </w:tc>
        <w:tc>
          <w:tcPr>
            <w:tcW w:w="6795" w:type="dxa"/>
          </w:tcPr>
          <w:p w14:paraId="0D8357D0" w14:textId="270B00D6" w:rsidR="008A1191" w:rsidRPr="0055172B" w:rsidRDefault="00A41A14" w:rsidP="008A4C51">
            <w:pPr>
              <w:pStyle w:val="TTTableText"/>
            </w:pPr>
            <w:r w:rsidRPr="0055172B">
              <w:rPr>
                <w:i/>
                <w:iCs/>
              </w:rPr>
              <w:t xml:space="preserve">Appellate Body Report, Indonesia – Importation of Horticultural Products, Animals and Animal Products, WT/DS477/AB/R, WT/DS478/AB/R, and Add.1, adopted 22 November 2017, DSR </w:t>
            </w:r>
            <w:proofErr w:type="gramStart"/>
            <w:r w:rsidRPr="0055172B">
              <w:rPr>
                <w:i/>
                <w:iCs/>
              </w:rPr>
              <w:t>2017:VII</w:t>
            </w:r>
            <w:proofErr w:type="gramEnd"/>
            <w:r w:rsidRPr="0055172B">
              <w:rPr>
                <w:i/>
                <w:iCs/>
              </w:rPr>
              <w:t>, p. 3037</w:t>
            </w:r>
          </w:p>
        </w:tc>
      </w:tr>
      <w:tr w:rsidR="004B1C89" w:rsidRPr="0055172B" w14:paraId="588D10B2" w14:textId="77777777" w:rsidTr="008A4C51">
        <w:trPr>
          <w:cantSplit/>
          <w:trHeight w:val="397"/>
        </w:trPr>
        <w:tc>
          <w:tcPr>
            <w:tcW w:w="2265" w:type="dxa"/>
          </w:tcPr>
          <w:p w14:paraId="142AE06B" w14:textId="06B2C948" w:rsidR="004B1C89" w:rsidRPr="0055172B" w:rsidRDefault="004B1C89" w:rsidP="008A4C51">
            <w:pPr>
              <w:pStyle w:val="TTTableText"/>
              <w:rPr>
                <w:i/>
                <w:iCs/>
              </w:rPr>
            </w:pPr>
            <w:r w:rsidRPr="0055172B">
              <w:rPr>
                <w:i/>
                <w:iCs/>
              </w:rPr>
              <w:t xml:space="preserve">Turkey – Textiles </w:t>
            </w:r>
          </w:p>
        </w:tc>
        <w:tc>
          <w:tcPr>
            <w:tcW w:w="6795" w:type="dxa"/>
          </w:tcPr>
          <w:p w14:paraId="4BF030CD" w14:textId="15B88369" w:rsidR="004B1C89" w:rsidRPr="0055172B" w:rsidRDefault="009A4349" w:rsidP="008A4C51">
            <w:pPr>
              <w:pStyle w:val="TTTableText"/>
              <w:rPr>
                <w:i/>
                <w:iCs/>
              </w:rPr>
            </w:pPr>
            <w:r w:rsidRPr="0055172B">
              <w:rPr>
                <w:i/>
                <w:iCs/>
              </w:rPr>
              <w:t>Appellate Body Report, Turkey – Restrictions on Imports of Textile and Clothing Products, WT/DS34/AB/R, adopted 19 November 1999, DSR 1999:VI, p. 2345</w:t>
            </w:r>
          </w:p>
        </w:tc>
      </w:tr>
      <w:tr w:rsidR="00513E58" w:rsidRPr="0055172B" w14:paraId="6AC7CF22" w14:textId="77777777" w:rsidTr="008A4C51">
        <w:trPr>
          <w:cantSplit/>
          <w:trHeight w:val="397"/>
        </w:trPr>
        <w:tc>
          <w:tcPr>
            <w:tcW w:w="2265" w:type="dxa"/>
          </w:tcPr>
          <w:p w14:paraId="08DE90D9" w14:textId="3F78599C" w:rsidR="00513E58" w:rsidRPr="0055172B" w:rsidRDefault="00513E58" w:rsidP="008A4C51">
            <w:pPr>
              <w:pStyle w:val="TTTableText"/>
              <w:rPr>
                <w:i/>
                <w:iCs/>
              </w:rPr>
            </w:pPr>
            <w:r w:rsidRPr="0055172B">
              <w:rPr>
                <w:i/>
                <w:iCs/>
              </w:rPr>
              <w:lastRenderedPageBreak/>
              <w:t xml:space="preserve">US – Gambling </w:t>
            </w:r>
          </w:p>
        </w:tc>
        <w:tc>
          <w:tcPr>
            <w:tcW w:w="6795" w:type="dxa"/>
          </w:tcPr>
          <w:p w14:paraId="5D679B90" w14:textId="5EBB3609" w:rsidR="00513E58" w:rsidRPr="0055172B" w:rsidRDefault="00F27745" w:rsidP="008A4C51">
            <w:pPr>
              <w:pStyle w:val="TTTableText"/>
              <w:rPr>
                <w:i/>
                <w:iCs/>
              </w:rPr>
            </w:pPr>
            <w:r w:rsidRPr="0055172B">
              <w:rPr>
                <w:i/>
                <w:iCs/>
              </w:rPr>
              <w:t xml:space="preserve">Appellate Body Report, United States – Measures Affecting the Cross-Border Supply of Gambling and Betting Services, WT/DS285/AB/R, adopted 20 April 2005, DSR </w:t>
            </w:r>
            <w:proofErr w:type="gramStart"/>
            <w:r w:rsidRPr="0055172B">
              <w:rPr>
                <w:i/>
                <w:iCs/>
              </w:rPr>
              <w:t>2005:XII</w:t>
            </w:r>
            <w:proofErr w:type="gramEnd"/>
            <w:r w:rsidRPr="0055172B">
              <w:rPr>
                <w:i/>
                <w:iCs/>
              </w:rPr>
              <w:t xml:space="preserve">, p. 5663 (and Corr.1, DSR </w:t>
            </w:r>
            <w:proofErr w:type="gramStart"/>
            <w:r w:rsidRPr="0055172B">
              <w:rPr>
                <w:i/>
                <w:iCs/>
              </w:rPr>
              <w:t>2006:XII</w:t>
            </w:r>
            <w:proofErr w:type="gramEnd"/>
            <w:r w:rsidRPr="0055172B">
              <w:rPr>
                <w:i/>
                <w:iCs/>
              </w:rPr>
              <w:t>, p. 5475)</w:t>
            </w:r>
          </w:p>
        </w:tc>
      </w:tr>
      <w:tr w:rsidR="002B652D" w:rsidRPr="0055172B" w14:paraId="4358AE43" w14:textId="77777777" w:rsidTr="008A4C51">
        <w:trPr>
          <w:cantSplit/>
          <w:trHeight w:val="397"/>
        </w:trPr>
        <w:tc>
          <w:tcPr>
            <w:tcW w:w="2265" w:type="dxa"/>
          </w:tcPr>
          <w:p w14:paraId="3548B9AD" w14:textId="63C2CE6F" w:rsidR="002B652D" w:rsidRPr="0055172B" w:rsidRDefault="002B652D" w:rsidP="002B652D">
            <w:pPr>
              <w:pStyle w:val="TTTableText"/>
              <w:rPr>
                <w:i/>
                <w:iCs/>
              </w:rPr>
            </w:pPr>
            <w:r w:rsidRPr="0055172B">
              <w:rPr>
                <w:i/>
                <w:iCs/>
              </w:rPr>
              <w:t xml:space="preserve">US – Gasoline </w:t>
            </w:r>
          </w:p>
        </w:tc>
        <w:tc>
          <w:tcPr>
            <w:tcW w:w="6795" w:type="dxa"/>
          </w:tcPr>
          <w:p w14:paraId="4207E13D" w14:textId="43766233" w:rsidR="002B652D" w:rsidRPr="0055172B" w:rsidRDefault="002B652D" w:rsidP="002B652D">
            <w:pPr>
              <w:pStyle w:val="TTTableText"/>
              <w:rPr>
                <w:i/>
                <w:iCs/>
              </w:rPr>
            </w:pPr>
            <w:r w:rsidRPr="0055172B">
              <w:rPr>
                <w:i/>
                <w:iCs/>
              </w:rPr>
              <w:t xml:space="preserve">Appellate Body Report, United States – Standards for Reformulated and Conventional Gasoline, WT/DS2/AB/R, adopted 20 May 1996, DSR </w:t>
            </w:r>
            <w:proofErr w:type="gramStart"/>
            <w:r w:rsidRPr="0055172B">
              <w:rPr>
                <w:i/>
                <w:iCs/>
              </w:rPr>
              <w:t>1996:I</w:t>
            </w:r>
            <w:proofErr w:type="gramEnd"/>
            <w:r w:rsidRPr="0055172B">
              <w:rPr>
                <w:i/>
                <w:iCs/>
              </w:rPr>
              <w:t>, p. 3</w:t>
            </w:r>
          </w:p>
        </w:tc>
      </w:tr>
      <w:tr w:rsidR="003E3760" w:rsidRPr="0055172B" w14:paraId="40384B20" w14:textId="77777777" w:rsidTr="008A4C51">
        <w:trPr>
          <w:cantSplit/>
          <w:trHeight w:val="397"/>
        </w:trPr>
        <w:tc>
          <w:tcPr>
            <w:tcW w:w="2265" w:type="dxa"/>
          </w:tcPr>
          <w:p w14:paraId="04DDA3AC" w14:textId="755913F4" w:rsidR="003E3760" w:rsidRPr="0055172B" w:rsidRDefault="003E3760" w:rsidP="008A4C51">
            <w:pPr>
              <w:pStyle w:val="TTTableText"/>
              <w:rPr>
                <w:i/>
                <w:iCs/>
              </w:rPr>
            </w:pPr>
            <w:r w:rsidRPr="0055172B">
              <w:rPr>
                <w:i/>
                <w:iCs/>
              </w:rPr>
              <w:t xml:space="preserve">US – Shrimp </w:t>
            </w:r>
          </w:p>
        </w:tc>
        <w:tc>
          <w:tcPr>
            <w:tcW w:w="6795" w:type="dxa"/>
          </w:tcPr>
          <w:p w14:paraId="45DCBC80" w14:textId="05E15489" w:rsidR="003E3760" w:rsidRPr="0055172B" w:rsidRDefault="00C50449" w:rsidP="008A4C51">
            <w:pPr>
              <w:pStyle w:val="TTTableText"/>
              <w:rPr>
                <w:i/>
                <w:iCs/>
              </w:rPr>
            </w:pPr>
            <w:r w:rsidRPr="0055172B">
              <w:rPr>
                <w:i/>
                <w:iCs/>
              </w:rPr>
              <w:t xml:space="preserve">Appellate Body Report, United States – Import Prohibition of Certain Shrimp and Shrimp Products, WT/DS58/AB/R, adopted 6 November 1998, DSR </w:t>
            </w:r>
            <w:proofErr w:type="gramStart"/>
            <w:r w:rsidRPr="0055172B">
              <w:rPr>
                <w:i/>
                <w:iCs/>
              </w:rPr>
              <w:t>1998:VII</w:t>
            </w:r>
            <w:proofErr w:type="gramEnd"/>
            <w:r w:rsidRPr="0055172B">
              <w:rPr>
                <w:i/>
                <w:iCs/>
              </w:rPr>
              <w:t>, p. 2755</w:t>
            </w:r>
          </w:p>
        </w:tc>
      </w:tr>
    </w:tbl>
    <w:p w14:paraId="7B559913" w14:textId="77777777" w:rsidR="004D7079" w:rsidRPr="0055172B" w:rsidRDefault="004D7079" w:rsidP="004D7079">
      <w:pPr>
        <w:pStyle w:val="BTNSSBodyTextNoSpacingSmall"/>
      </w:pPr>
    </w:p>
    <w:p w14:paraId="1DDE7A83" w14:textId="77777777" w:rsidR="008A1191" w:rsidRPr="0055172B" w:rsidRDefault="004524CE" w:rsidP="004524CE">
      <w:pPr>
        <w:pStyle w:val="SHSectionHeading"/>
      </w:pPr>
      <w:bookmarkStart w:id="1" w:name="_Toc209446649"/>
      <w:r w:rsidRPr="0055172B">
        <w:t>List of Acronyms, Abbreviations and Short Forms</w:t>
      </w:r>
      <w:bookmarkEnd w:id="1"/>
    </w:p>
    <w:tbl>
      <w:tblPr>
        <w:tblStyle w:val="TableGrid"/>
        <w:tblW w:w="5000" w:type="pct"/>
        <w:tblLook w:val="04A0" w:firstRow="1" w:lastRow="0" w:firstColumn="1" w:lastColumn="0" w:noHBand="0" w:noVBand="1"/>
      </w:tblPr>
      <w:tblGrid>
        <w:gridCol w:w="1696"/>
        <w:gridCol w:w="7364"/>
      </w:tblGrid>
      <w:tr w:rsidR="008A1191" w:rsidRPr="0055172B" w14:paraId="0D358511" w14:textId="77777777" w:rsidTr="008A1191">
        <w:trPr>
          <w:cantSplit/>
          <w:trHeight w:val="397"/>
          <w:tblHeader/>
        </w:trPr>
        <w:tc>
          <w:tcPr>
            <w:tcW w:w="1696" w:type="dxa"/>
            <w:shd w:val="clear" w:color="auto" w:fill="D9D9D9" w:themeFill="background1" w:themeFillShade="D9"/>
          </w:tcPr>
          <w:p w14:paraId="7B0EA51D" w14:textId="77777777" w:rsidR="008A1191" w:rsidRPr="0055172B" w:rsidRDefault="008A1191" w:rsidP="008A4C51">
            <w:pPr>
              <w:pStyle w:val="THTableHeading"/>
              <w:jc w:val="center"/>
            </w:pPr>
            <w:r w:rsidRPr="0055172B">
              <w:t>Abbreviation</w:t>
            </w:r>
          </w:p>
        </w:tc>
        <w:tc>
          <w:tcPr>
            <w:tcW w:w="7364" w:type="dxa"/>
            <w:shd w:val="clear" w:color="auto" w:fill="D9D9D9" w:themeFill="background1" w:themeFillShade="D9"/>
          </w:tcPr>
          <w:p w14:paraId="7BE14C35" w14:textId="77777777" w:rsidR="008A1191" w:rsidRPr="0055172B" w:rsidRDefault="008A1191" w:rsidP="008A4C51">
            <w:pPr>
              <w:pStyle w:val="THTableHeading"/>
              <w:jc w:val="center"/>
            </w:pPr>
            <w:r w:rsidRPr="0055172B">
              <w:t>Full Form or Description</w:t>
            </w:r>
          </w:p>
        </w:tc>
      </w:tr>
      <w:tr w:rsidR="00F77216" w:rsidRPr="0055172B" w14:paraId="5E8FBFDB" w14:textId="77777777" w:rsidTr="008A1191">
        <w:trPr>
          <w:cantSplit/>
          <w:trHeight w:val="397"/>
        </w:trPr>
        <w:tc>
          <w:tcPr>
            <w:tcW w:w="1696" w:type="dxa"/>
          </w:tcPr>
          <w:p w14:paraId="11A2A301" w14:textId="34FF4A84" w:rsidR="00F77216" w:rsidRPr="0055172B" w:rsidRDefault="007F6C43" w:rsidP="008A4C51">
            <w:pPr>
              <w:pStyle w:val="TTTableText"/>
            </w:pPr>
            <w:r w:rsidRPr="0055172B">
              <w:t>EU</w:t>
            </w:r>
          </w:p>
        </w:tc>
        <w:tc>
          <w:tcPr>
            <w:tcW w:w="7364" w:type="dxa"/>
          </w:tcPr>
          <w:p w14:paraId="27540D52" w14:textId="7A15D7ED" w:rsidR="00F77216" w:rsidRPr="0055172B" w:rsidRDefault="007F6C43" w:rsidP="008A4C51">
            <w:pPr>
              <w:pStyle w:val="TTTableText"/>
            </w:pPr>
            <w:r w:rsidRPr="0055172B">
              <w:t>European Union</w:t>
            </w:r>
          </w:p>
        </w:tc>
      </w:tr>
      <w:tr w:rsidR="00752129" w:rsidRPr="0055172B" w14:paraId="3E09F51F" w14:textId="77777777" w:rsidTr="008A1191">
        <w:trPr>
          <w:cantSplit/>
          <w:trHeight w:val="397"/>
        </w:trPr>
        <w:tc>
          <w:tcPr>
            <w:tcW w:w="1696" w:type="dxa"/>
          </w:tcPr>
          <w:p w14:paraId="1A050E0E" w14:textId="63C47971" w:rsidR="00752129" w:rsidRPr="0055172B" w:rsidRDefault="00752129" w:rsidP="008A4C51">
            <w:pPr>
              <w:pStyle w:val="TTTableText"/>
            </w:pPr>
            <w:r w:rsidRPr="0055172B">
              <w:t>EV</w:t>
            </w:r>
          </w:p>
        </w:tc>
        <w:tc>
          <w:tcPr>
            <w:tcW w:w="7364" w:type="dxa"/>
          </w:tcPr>
          <w:p w14:paraId="4EF8E8DB" w14:textId="77A6C4C9" w:rsidR="00752129" w:rsidRPr="0055172B" w:rsidRDefault="00752129" w:rsidP="008A4C51">
            <w:pPr>
              <w:pStyle w:val="TTTableText"/>
            </w:pPr>
            <w:r w:rsidRPr="0055172B">
              <w:t>Electric Vehicle</w:t>
            </w:r>
          </w:p>
        </w:tc>
      </w:tr>
      <w:tr w:rsidR="00F77216" w:rsidRPr="0055172B" w14:paraId="059504E3" w14:textId="77777777" w:rsidTr="008A1191">
        <w:trPr>
          <w:cantSplit/>
          <w:trHeight w:val="397"/>
        </w:trPr>
        <w:tc>
          <w:tcPr>
            <w:tcW w:w="1696" w:type="dxa"/>
          </w:tcPr>
          <w:p w14:paraId="4BC00FD2" w14:textId="16A3F9AB" w:rsidR="00F77216" w:rsidRPr="0055172B" w:rsidRDefault="00F77216" w:rsidP="008A4C51">
            <w:pPr>
              <w:pStyle w:val="TTTableText"/>
            </w:pPr>
            <w:r w:rsidRPr="0055172B">
              <w:t>FTA</w:t>
            </w:r>
          </w:p>
        </w:tc>
        <w:tc>
          <w:tcPr>
            <w:tcW w:w="7364" w:type="dxa"/>
          </w:tcPr>
          <w:p w14:paraId="222BCE45" w14:textId="1DCB31DA" w:rsidR="00F77216" w:rsidRPr="0055172B" w:rsidRDefault="00F77216" w:rsidP="008A4C51">
            <w:pPr>
              <w:pStyle w:val="TTTableText"/>
            </w:pPr>
            <w:r w:rsidRPr="0055172B">
              <w:t xml:space="preserve">Free Trade Area </w:t>
            </w:r>
          </w:p>
        </w:tc>
      </w:tr>
      <w:tr w:rsidR="00D85A93" w:rsidRPr="0055172B" w14:paraId="3F15A1FB" w14:textId="77777777" w:rsidTr="008A1191">
        <w:trPr>
          <w:cantSplit/>
          <w:trHeight w:val="397"/>
        </w:trPr>
        <w:tc>
          <w:tcPr>
            <w:tcW w:w="1696" w:type="dxa"/>
          </w:tcPr>
          <w:p w14:paraId="61CAE341" w14:textId="546B2567" w:rsidR="00D85A93" w:rsidRPr="0055172B" w:rsidRDefault="00D85A93" w:rsidP="008A4C51">
            <w:pPr>
              <w:pStyle w:val="TTTableText"/>
            </w:pPr>
            <w:r w:rsidRPr="0055172B">
              <w:t>GATT</w:t>
            </w:r>
          </w:p>
        </w:tc>
        <w:tc>
          <w:tcPr>
            <w:tcW w:w="7364" w:type="dxa"/>
          </w:tcPr>
          <w:p w14:paraId="3F7D2588" w14:textId="1100B684" w:rsidR="00D85A93" w:rsidRPr="0055172B" w:rsidRDefault="00D85A93" w:rsidP="008A4C51">
            <w:pPr>
              <w:pStyle w:val="TTTableText"/>
            </w:pPr>
            <w:r w:rsidRPr="0055172B">
              <w:t>General Agreement on</w:t>
            </w:r>
            <w:r w:rsidR="00A8476C" w:rsidRPr="0055172B">
              <w:t xml:space="preserve"> Tariffs and</w:t>
            </w:r>
            <w:r w:rsidRPr="0055172B">
              <w:t xml:space="preserve"> T</w:t>
            </w:r>
            <w:r w:rsidR="00A8476C" w:rsidRPr="0055172B">
              <w:t xml:space="preserve">rade </w:t>
            </w:r>
          </w:p>
        </w:tc>
      </w:tr>
      <w:tr w:rsidR="008A1191" w:rsidRPr="0055172B" w14:paraId="7F0EBA10" w14:textId="77777777" w:rsidTr="008A1191">
        <w:trPr>
          <w:cantSplit/>
          <w:trHeight w:val="397"/>
        </w:trPr>
        <w:tc>
          <w:tcPr>
            <w:tcW w:w="1696" w:type="dxa"/>
          </w:tcPr>
          <w:p w14:paraId="593EA1BC" w14:textId="61F557AF" w:rsidR="008A1191" w:rsidRPr="0055172B" w:rsidRDefault="00DD63CB" w:rsidP="008A4C51">
            <w:pPr>
              <w:pStyle w:val="TTTableText"/>
            </w:pPr>
            <w:r w:rsidRPr="0055172B">
              <w:t>IPLS</w:t>
            </w:r>
          </w:p>
        </w:tc>
        <w:tc>
          <w:tcPr>
            <w:tcW w:w="7364" w:type="dxa"/>
          </w:tcPr>
          <w:p w14:paraId="52CF8ADA" w14:textId="79C3D2F0" w:rsidR="008A1191" w:rsidRPr="0055172B" w:rsidRDefault="00DD63CB" w:rsidP="008A4C51">
            <w:pPr>
              <w:pStyle w:val="TTTableText"/>
            </w:pPr>
            <w:r w:rsidRPr="0055172B">
              <w:t>Import Permit Licensing Scheme</w:t>
            </w:r>
          </w:p>
        </w:tc>
      </w:tr>
      <w:tr w:rsidR="00FD73B7" w:rsidRPr="0055172B" w14:paraId="4BEE14C1" w14:textId="77777777" w:rsidTr="008A1191">
        <w:trPr>
          <w:cantSplit/>
          <w:trHeight w:val="397"/>
        </w:trPr>
        <w:tc>
          <w:tcPr>
            <w:tcW w:w="1696" w:type="dxa"/>
          </w:tcPr>
          <w:p w14:paraId="04BC36F6" w14:textId="1376A6C9" w:rsidR="00FD73B7" w:rsidRPr="0055172B" w:rsidRDefault="002B243E" w:rsidP="008A4C51">
            <w:pPr>
              <w:pStyle w:val="TTTableText"/>
            </w:pPr>
            <w:r w:rsidRPr="0055172B">
              <w:t>UN</w:t>
            </w:r>
          </w:p>
        </w:tc>
        <w:tc>
          <w:tcPr>
            <w:tcW w:w="7364" w:type="dxa"/>
          </w:tcPr>
          <w:p w14:paraId="43952660" w14:textId="14394F9A" w:rsidR="00FD73B7" w:rsidRPr="0055172B" w:rsidRDefault="002B243E" w:rsidP="008A4C51">
            <w:pPr>
              <w:pStyle w:val="TTTableText"/>
            </w:pPr>
            <w:r w:rsidRPr="0055172B">
              <w:t>United Nations</w:t>
            </w:r>
          </w:p>
        </w:tc>
      </w:tr>
      <w:tr w:rsidR="00DD63CB" w:rsidRPr="0055172B" w14:paraId="71EAF2E4" w14:textId="77777777" w:rsidTr="008A1191">
        <w:trPr>
          <w:cantSplit/>
          <w:trHeight w:val="397"/>
        </w:trPr>
        <w:tc>
          <w:tcPr>
            <w:tcW w:w="1696" w:type="dxa"/>
          </w:tcPr>
          <w:p w14:paraId="50CF75E7" w14:textId="65C91104" w:rsidR="00DD63CB" w:rsidRPr="0055172B" w:rsidRDefault="00DD63CB" w:rsidP="008A4C51">
            <w:pPr>
              <w:pStyle w:val="TTTableText"/>
            </w:pPr>
            <w:r w:rsidRPr="0055172B">
              <w:t>WTO</w:t>
            </w:r>
          </w:p>
        </w:tc>
        <w:tc>
          <w:tcPr>
            <w:tcW w:w="7364" w:type="dxa"/>
          </w:tcPr>
          <w:p w14:paraId="41EB10A9" w14:textId="3BE639D0" w:rsidR="00DD63CB" w:rsidRPr="0055172B" w:rsidRDefault="00DD63CB" w:rsidP="008A4C51">
            <w:pPr>
              <w:pStyle w:val="TTTableText"/>
            </w:pPr>
            <w:r w:rsidRPr="0055172B">
              <w:t>World Trade Organization</w:t>
            </w:r>
          </w:p>
        </w:tc>
      </w:tr>
    </w:tbl>
    <w:p w14:paraId="7304F517" w14:textId="77777777" w:rsidR="004D7079" w:rsidRPr="0055172B" w:rsidRDefault="004D7079" w:rsidP="004D7079">
      <w:pPr>
        <w:pStyle w:val="BTNSSBodyTextNoSpacingSmall"/>
      </w:pPr>
    </w:p>
    <w:p w14:paraId="211639D5" w14:textId="77777777" w:rsidR="0023272D" w:rsidRPr="0055172B" w:rsidRDefault="0023272D" w:rsidP="0023272D">
      <w:pPr>
        <w:pStyle w:val="BTNSSBodyTextNoSpacingSmall"/>
      </w:pPr>
    </w:p>
    <w:p w14:paraId="6CB57485" w14:textId="77777777" w:rsidR="00D47F18" w:rsidRPr="0055172B" w:rsidRDefault="00D47F18" w:rsidP="00D52A17">
      <w:pPr>
        <w:pStyle w:val="BTBodyText"/>
      </w:pPr>
      <w:r w:rsidRPr="0055172B">
        <w:br w:type="page"/>
      </w:r>
    </w:p>
    <w:p w14:paraId="084411D9" w14:textId="126020D3" w:rsidR="00D52A17" w:rsidRPr="0055172B" w:rsidRDefault="00EF2C5B" w:rsidP="00D52A17">
      <w:pPr>
        <w:pStyle w:val="HL1HeadingLevel1"/>
      </w:pPr>
      <w:bookmarkStart w:id="2" w:name="_Toc209446650"/>
      <w:r w:rsidRPr="0055172B">
        <w:lastRenderedPageBreak/>
        <w:t>INTRODUCTION</w:t>
      </w:r>
      <w:bookmarkEnd w:id="2"/>
    </w:p>
    <w:p w14:paraId="5D972602" w14:textId="5078B22C" w:rsidR="00EC18BF" w:rsidRPr="0055172B" w:rsidRDefault="00EC18BF" w:rsidP="00D52A17">
      <w:pPr>
        <w:pStyle w:val="P1-N1Paragraph1-Number1"/>
      </w:pPr>
      <w:r w:rsidRPr="0055172B">
        <w:rPr>
          <w:rFonts w:cs="Calibri"/>
          <w14:ligatures w14:val="standardContextual"/>
        </w:rPr>
        <w:t xml:space="preserve">Chair, distinguished members of the Panel – good </w:t>
      </w:r>
      <w:r w:rsidR="001C35F5" w:rsidRPr="0055172B">
        <w:rPr>
          <w:rFonts w:cs="Calibri"/>
          <w14:ligatures w14:val="standardContextual"/>
        </w:rPr>
        <w:t>afternoon</w:t>
      </w:r>
      <w:r w:rsidRPr="0055172B">
        <w:rPr>
          <w:rFonts w:cs="Calibri"/>
          <w14:ligatures w14:val="standardContextual"/>
        </w:rPr>
        <w:t>. Thank you for the opportunity for Australia to participate as a third party in this dispute, and to make an oral statement at this session.</w:t>
      </w:r>
    </w:p>
    <w:p w14:paraId="6E5C6FF8" w14:textId="5CDB36D7" w:rsidR="00D763B6" w:rsidRPr="0055172B" w:rsidRDefault="00D763B6" w:rsidP="00D763B6">
      <w:pPr>
        <w:pStyle w:val="P1-N1Paragraph1-Number1"/>
      </w:pPr>
      <w:r w:rsidRPr="0055172B">
        <w:t xml:space="preserve">Australia considers this case raises important questions in relation to the application and interpretation of Article XX </w:t>
      </w:r>
      <w:r w:rsidR="009A57BB" w:rsidRPr="0055172B">
        <w:t xml:space="preserve">and Article XXIV </w:t>
      </w:r>
      <w:r w:rsidRPr="0055172B">
        <w:t>of the GATT 1994.</w:t>
      </w:r>
    </w:p>
    <w:p w14:paraId="38F41E0A" w14:textId="778A58BF" w:rsidR="00827E76" w:rsidRPr="0055172B" w:rsidRDefault="00D763B6" w:rsidP="00827E76">
      <w:pPr>
        <w:pStyle w:val="P1-N1Paragraph1-Number1"/>
      </w:pPr>
      <w:r w:rsidRPr="0055172B">
        <w:t xml:space="preserve">Before proceeding to set out Australia’s views on the legal issues in this dispute, </w:t>
      </w:r>
      <w:r w:rsidR="00827E76" w:rsidRPr="0055172B">
        <w:t>Australia would like to reiterate its ongoing support for Ukraine and to again condemn in the strongest terms Russia's illegal and immoral invasion of Ukraine. Russia's aggression is a gross violation of international law, including the UN Charter, and is inconsistent with the global rules and norms that underpin multilateral organisations such as the WTO.</w:t>
      </w:r>
    </w:p>
    <w:p w14:paraId="4A1C87C3" w14:textId="6F2C7BE4" w:rsidR="005A68EC" w:rsidRPr="0055172B" w:rsidRDefault="00447559" w:rsidP="005A68EC">
      <w:pPr>
        <w:pStyle w:val="HL1HeadingLevel1"/>
      </w:pPr>
      <w:bookmarkStart w:id="3" w:name="_Toc204865825"/>
      <w:bookmarkStart w:id="4" w:name="_Toc209446651"/>
      <w:bookmarkStart w:id="5" w:name="_Toc204865826"/>
      <w:r w:rsidRPr="0055172B">
        <w:rPr>
          <w:caps w:val="0"/>
        </w:rPr>
        <w:t>ARTICLES XX (B) AND (G) OF THE GATT 1994</w:t>
      </w:r>
      <w:bookmarkEnd w:id="3"/>
      <w:bookmarkEnd w:id="4"/>
    </w:p>
    <w:p w14:paraId="2B89B42C" w14:textId="1F74FD3F" w:rsidR="00F65978" w:rsidRPr="0055172B" w:rsidRDefault="0088516C" w:rsidP="00F65978">
      <w:pPr>
        <w:pStyle w:val="P1-N1Paragraph1-Number1"/>
      </w:pPr>
      <w:r>
        <w:t>T</w:t>
      </w:r>
      <w:r w:rsidR="003651EE" w:rsidRPr="0055172B">
        <w:t xml:space="preserve">he </w:t>
      </w:r>
      <w:r w:rsidR="004602DE" w:rsidRPr="0055172B">
        <w:t>normal sequence of analysis</w:t>
      </w:r>
      <w:r w:rsidR="003651EE" w:rsidRPr="0055172B">
        <w:t xml:space="preserve"> under Article XX involves</w:t>
      </w:r>
      <w:r w:rsidR="00A203F3" w:rsidRPr="0055172B">
        <w:t xml:space="preserve"> two steps:</w:t>
      </w:r>
      <w:r w:rsidR="003651EE" w:rsidRPr="0055172B">
        <w:t xml:space="preserve"> first, an assessment of whether the measure at issue is provisionally justified under </w:t>
      </w:r>
      <w:r w:rsidR="003E02BA" w:rsidRPr="0055172B">
        <w:t xml:space="preserve">the relevant paragraph of </w:t>
      </w:r>
      <w:r w:rsidR="003651EE" w:rsidRPr="0055172B">
        <w:t>Articl</w:t>
      </w:r>
      <w:r w:rsidR="00BC673F" w:rsidRPr="0055172B">
        <w:t>e XX</w:t>
      </w:r>
      <w:r w:rsidR="00A45D3B" w:rsidRPr="0055172B">
        <w:t>;</w:t>
      </w:r>
      <w:r w:rsidR="00BC673F" w:rsidRPr="0055172B">
        <w:t xml:space="preserve"> </w:t>
      </w:r>
      <w:proofErr w:type="gramStart"/>
      <w:r w:rsidR="00BC673F" w:rsidRPr="0055172B">
        <w:t>and</w:t>
      </w:r>
      <w:r w:rsidR="00A45D3B" w:rsidRPr="0055172B">
        <w:t>,</w:t>
      </w:r>
      <w:proofErr w:type="gramEnd"/>
      <w:r w:rsidR="000826A2" w:rsidRPr="0055172B">
        <w:t xml:space="preserve"> </w:t>
      </w:r>
      <w:r w:rsidR="00BC673F" w:rsidRPr="0055172B">
        <w:t xml:space="preserve">second, an assessment of whether that measure meets the requirements of the </w:t>
      </w:r>
      <w:r w:rsidR="00BC673F" w:rsidRPr="0055172B">
        <w:rPr>
          <w:i/>
          <w:iCs/>
        </w:rPr>
        <w:t>chapeau.</w:t>
      </w:r>
      <w:r w:rsidR="00BC673F" w:rsidRPr="0055172B">
        <w:rPr>
          <w:rStyle w:val="FootnoteReference"/>
        </w:rPr>
        <w:footnoteReference w:id="1"/>
      </w:r>
    </w:p>
    <w:p w14:paraId="7AEFC598" w14:textId="09D0F8A5" w:rsidR="009B4EB0" w:rsidRPr="0055172B" w:rsidRDefault="00100978" w:rsidP="00AE4E4A">
      <w:pPr>
        <w:pStyle w:val="P1-N1Paragraph1-Number1"/>
      </w:pPr>
      <w:r w:rsidRPr="0055172B">
        <w:t xml:space="preserve">For the first step in the analysis </w:t>
      </w:r>
      <w:r w:rsidR="003F1157" w:rsidRPr="0055172B">
        <w:t>under</w:t>
      </w:r>
      <w:r w:rsidRPr="0055172B">
        <w:t xml:space="preserve"> </w:t>
      </w:r>
      <w:r w:rsidR="009B18DA" w:rsidRPr="009B18DA">
        <w:t>paragraph (b)</w:t>
      </w:r>
      <w:r w:rsidR="009B18DA">
        <w:t xml:space="preserve"> of </w:t>
      </w:r>
      <w:r w:rsidRPr="0055172B">
        <w:t>Article XX</w:t>
      </w:r>
      <w:r w:rsidR="001C35F5" w:rsidRPr="0055172B">
        <w:t>, Aus</w:t>
      </w:r>
      <w:r w:rsidR="00522495" w:rsidRPr="0055172B">
        <w:t xml:space="preserve">tralia </w:t>
      </w:r>
      <w:r w:rsidR="0088516C">
        <w:t>considers</w:t>
      </w:r>
      <w:r w:rsidR="00522495" w:rsidRPr="0055172B">
        <w:t xml:space="preserve"> that </w:t>
      </w:r>
      <w:r w:rsidR="003F5399" w:rsidRPr="0055172B">
        <w:t>the</w:t>
      </w:r>
      <w:r w:rsidR="008A7E6D" w:rsidRPr="0055172B">
        <w:t xml:space="preserve"> use of the</w:t>
      </w:r>
      <w:r w:rsidR="004B4C32" w:rsidRPr="0055172B">
        <w:t xml:space="preserve"> </w:t>
      </w:r>
      <w:r w:rsidR="00522495" w:rsidRPr="0055172B">
        <w:t xml:space="preserve">word “necessary” </w:t>
      </w:r>
      <w:r w:rsidR="00F2507C" w:rsidRPr="0055172B">
        <w:t xml:space="preserve">in that paragraph </w:t>
      </w:r>
      <w:r w:rsidR="008A7E6D" w:rsidRPr="0055172B">
        <w:t xml:space="preserve">does not mean that the measure </w:t>
      </w:r>
      <w:r w:rsidR="007A313B" w:rsidRPr="0055172B">
        <w:t>must</w:t>
      </w:r>
      <w:r w:rsidR="008A7E6D" w:rsidRPr="0055172B">
        <w:t xml:space="preserve"> be</w:t>
      </w:r>
      <w:r w:rsidR="00522495" w:rsidRPr="0055172B">
        <w:t xml:space="preserve"> “indispensable”</w:t>
      </w:r>
      <w:r w:rsidR="009B4EB0" w:rsidRPr="0055172B">
        <w:t xml:space="preserve"> to the achievement of the objective at issue</w:t>
      </w:r>
      <w:r w:rsidR="00522495" w:rsidRPr="0055172B">
        <w:t>.</w:t>
      </w:r>
      <w:r w:rsidR="00522495" w:rsidRPr="0055172B">
        <w:rPr>
          <w:rStyle w:val="FootnoteReference"/>
        </w:rPr>
        <w:footnoteReference w:id="2"/>
      </w:r>
    </w:p>
    <w:p w14:paraId="308C1A3C" w14:textId="3F520E03" w:rsidR="00917F2E" w:rsidRPr="0055172B" w:rsidRDefault="00EC352C" w:rsidP="00AE4E4A">
      <w:pPr>
        <w:pStyle w:val="P1-N1Paragraph1-Number1"/>
      </w:pPr>
      <w:r w:rsidRPr="0055172B">
        <w:t>However, t</w:t>
      </w:r>
      <w:r w:rsidR="009B4EB0" w:rsidRPr="0055172B">
        <w:t xml:space="preserve">he </w:t>
      </w:r>
      <w:r w:rsidR="001F3998" w:rsidRPr="0055172B">
        <w:t xml:space="preserve">Panel </w:t>
      </w:r>
      <w:r w:rsidR="003F5399" w:rsidRPr="0055172B">
        <w:rPr>
          <w:u w:val="single"/>
        </w:rPr>
        <w:t>will</w:t>
      </w:r>
      <w:r w:rsidR="003F5399" w:rsidRPr="0055172B">
        <w:t xml:space="preserve"> need to</w:t>
      </w:r>
      <w:r w:rsidR="000A0218" w:rsidRPr="0055172B">
        <w:t xml:space="preserve"> </w:t>
      </w:r>
      <w:r w:rsidR="00BE691C" w:rsidRPr="0055172B">
        <w:t>assess</w:t>
      </w:r>
      <w:r w:rsidR="000A0218" w:rsidRPr="0055172B">
        <w:t xml:space="preserve"> all the relevant factors, particularly the extent </w:t>
      </w:r>
      <w:r w:rsidR="00A31F8D" w:rsidRPr="0055172B">
        <w:t xml:space="preserve">to which the measure </w:t>
      </w:r>
      <w:r w:rsidR="003F1157" w:rsidRPr="0055172B">
        <w:t xml:space="preserve">in question </w:t>
      </w:r>
      <w:r w:rsidR="00A31F8D" w:rsidRPr="0055172B">
        <w:t>contributes to</w:t>
      </w:r>
      <w:r w:rsidR="00F66142" w:rsidRPr="0055172B">
        <w:t xml:space="preserve"> </w:t>
      </w:r>
      <w:r w:rsidR="000A0218" w:rsidRPr="0055172B">
        <w:t>the achievement of</w:t>
      </w:r>
      <w:r w:rsidR="00F66142" w:rsidRPr="0055172B">
        <w:t xml:space="preserve"> its</w:t>
      </w:r>
      <w:r w:rsidR="000A0218" w:rsidRPr="0055172B">
        <w:t xml:space="preserve"> objective and </w:t>
      </w:r>
      <w:r w:rsidR="00393BA6" w:rsidRPr="0055172B">
        <w:t>the</w:t>
      </w:r>
      <w:r w:rsidR="000A0218" w:rsidRPr="0055172B">
        <w:t xml:space="preserve"> trade restrictiveness</w:t>
      </w:r>
      <w:r w:rsidR="00393BA6" w:rsidRPr="0055172B">
        <w:t xml:space="preserve"> of the measure</w:t>
      </w:r>
      <w:r w:rsidR="000A0218" w:rsidRPr="0055172B">
        <w:t xml:space="preserve">, </w:t>
      </w:r>
      <w:proofErr w:type="gramStart"/>
      <w:r w:rsidR="000A0218" w:rsidRPr="0055172B">
        <w:t>in</w:t>
      </w:r>
      <w:r w:rsidR="00393BA6" w:rsidRPr="0055172B">
        <w:t xml:space="preserve"> </w:t>
      </w:r>
      <w:r w:rsidR="000A0218" w:rsidRPr="0055172B">
        <w:t>light of</w:t>
      </w:r>
      <w:proofErr w:type="gramEnd"/>
      <w:r w:rsidR="000A0218" w:rsidRPr="0055172B">
        <w:t xml:space="preserve"> the importance of the interests or values at stake.</w:t>
      </w:r>
      <w:r w:rsidR="000A0218" w:rsidRPr="0055172B">
        <w:rPr>
          <w:rStyle w:val="FootnoteReference"/>
        </w:rPr>
        <w:footnoteReference w:id="3"/>
      </w:r>
      <w:r w:rsidR="000A0218" w:rsidRPr="0055172B">
        <w:t> </w:t>
      </w:r>
    </w:p>
    <w:p w14:paraId="48137780" w14:textId="77777777" w:rsidR="003F1157" w:rsidRPr="0055172B" w:rsidRDefault="003F1157">
      <w:r w:rsidRPr="0055172B">
        <w:br w:type="page"/>
      </w:r>
    </w:p>
    <w:p w14:paraId="5569A63D" w14:textId="30DF8C03" w:rsidR="002F342D" w:rsidRPr="0055172B" w:rsidRDefault="002F342D" w:rsidP="002F342D">
      <w:pPr>
        <w:pStyle w:val="P1-N1Paragraph1-Number1"/>
      </w:pPr>
      <w:r w:rsidRPr="0055172B">
        <w:lastRenderedPageBreak/>
        <w:t xml:space="preserve">In undertaking this assessment, the Panel should bear in mind that measures adopted </w:t>
      </w:r>
      <w:r w:rsidR="00F7732F" w:rsidRPr="0055172B">
        <w:t>to</w:t>
      </w:r>
      <w:r w:rsidRPr="0055172B">
        <w:t xml:space="preserve"> </w:t>
      </w:r>
      <w:r w:rsidR="00695D31">
        <w:t>deal with</w:t>
      </w:r>
      <w:r w:rsidR="00695D31" w:rsidRPr="0055172B">
        <w:t xml:space="preserve"> </w:t>
      </w:r>
      <w:r w:rsidRPr="0055172B">
        <w:t xml:space="preserve">global warming and climate change </w:t>
      </w:r>
      <w:r w:rsidR="008459E3" w:rsidRPr="0055172B">
        <w:t>may have</w:t>
      </w:r>
      <w:r w:rsidRPr="0055172B">
        <w:t xml:space="preserve"> effects which can only be evaluated with the benefit of time.</w:t>
      </w:r>
      <w:r w:rsidRPr="0055172B">
        <w:rPr>
          <w:rStyle w:val="FootnoteReference"/>
        </w:rPr>
        <w:footnoteReference w:id="4"/>
      </w:r>
    </w:p>
    <w:p w14:paraId="3DB87BC1" w14:textId="0B0B202A" w:rsidR="000A0218" w:rsidRPr="0055172B" w:rsidRDefault="00E71AD4" w:rsidP="003771E8">
      <w:pPr>
        <w:pStyle w:val="P1-N1Paragraph1-Number1"/>
      </w:pPr>
      <w:r w:rsidRPr="0055172B">
        <w:t xml:space="preserve">The Panel may also need to </w:t>
      </w:r>
      <w:r w:rsidR="002631EA" w:rsidRPr="0055172B">
        <w:t xml:space="preserve">consider whether there are alternatives to the measure at issue which would </w:t>
      </w:r>
      <w:r w:rsidR="007A25FE" w:rsidRPr="0055172B">
        <w:t>make an equivalent contribution to the objective</w:t>
      </w:r>
      <w:r w:rsidR="00685073" w:rsidRPr="0055172B">
        <w:t xml:space="preserve"> </w:t>
      </w:r>
      <w:r w:rsidR="00917F2E" w:rsidRPr="0055172B">
        <w:t>but</w:t>
      </w:r>
      <w:r w:rsidR="00685073" w:rsidRPr="0055172B">
        <w:t xml:space="preserve"> be less trad</w:t>
      </w:r>
      <w:r w:rsidR="00917F2E" w:rsidRPr="0055172B">
        <w:t>e</w:t>
      </w:r>
      <w:r w:rsidR="00685073" w:rsidRPr="0055172B">
        <w:t xml:space="preserve"> restrictive</w:t>
      </w:r>
      <w:r w:rsidR="00B7771E">
        <w:t>.</w:t>
      </w:r>
      <w:r w:rsidR="003F6B22" w:rsidRPr="0055172B">
        <w:rPr>
          <w:rStyle w:val="FootnoteReference"/>
        </w:rPr>
        <w:footnoteReference w:id="5"/>
      </w:r>
      <w:r w:rsidR="008E2662" w:rsidRPr="0055172B">
        <w:t xml:space="preserve"> I</w:t>
      </w:r>
      <w:r w:rsidR="00414D11" w:rsidRPr="0055172B">
        <w:t>n such a case, it would</w:t>
      </w:r>
      <w:r w:rsidR="008E2662" w:rsidRPr="0055172B">
        <w:t xml:space="preserve"> rest upon </w:t>
      </w:r>
      <w:r w:rsidR="00414D11" w:rsidRPr="0055172B">
        <w:t>China</w:t>
      </w:r>
      <w:r w:rsidR="008E2662" w:rsidRPr="0055172B">
        <w:t xml:space="preserve"> to identify possible alternatives to the measure at issue that </w:t>
      </w:r>
      <w:r w:rsidR="00414D11" w:rsidRPr="0055172B">
        <w:rPr>
          <w:noProof/>
        </w:rPr>
        <w:t>Türkiye</w:t>
      </w:r>
      <w:r w:rsidR="008E2662" w:rsidRPr="0055172B">
        <w:t xml:space="preserve"> could have taken.</w:t>
      </w:r>
      <w:r w:rsidR="008E2662" w:rsidRPr="0055172B">
        <w:rPr>
          <w:rStyle w:val="FootnoteReference"/>
        </w:rPr>
        <w:footnoteReference w:id="6"/>
      </w:r>
    </w:p>
    <w:p w14:paraId="65404933" w14:textId="44DDB344" w:rsidR="00B25B4C" w:rsidRPr="0055172B" w:rsidRDefault="00E171E7" w:rsidP="00DB66BD">
      <w:pPr>
        <w:pStyle w:val="P1-N1Paragraph1-Number1"/>
      </w:pPr>
      <w:r w:rsidRPr="0055172B">
        <w:t xml:space="preserve">For the first step in the analysis </w:t>
      </w:r>
      <w:r w:rsidR="00414D11" w:rsidRPr="0055172B">
        <w:t xml:space="preserve">under </w:t>
      </w:r>
      <w:r w:rsidR="00B7771E">
        <w:t xml:space="preserve">paragraph (g) of </w:t>
      </w:r>
      <w:r w:rsidR="00B25B4C" w:rsidRPr="0055172B">
        <w:t>Article XX</w:t>
      </w:r>
      <w:r w:rsidR="00DD203F" w:rsidRPr="0055172B">
        <w:t xml:space="preserve">, </w:t>
      </w:r>
      <w:r w:rsidR="00414D11" w:rsidRPr="0055172B">
        <w:t xml:space="preserve">Australia </w:t>
      </w:r>
      <w:r w:rsidR="0088516C">
        <w:t>considers</w:t>
      </w:r>
      <w:r w:rsidR="0088516C" w:rsidRPr="0055172B">
        <w:t xml:space="preserve"> </w:t>
      </w:r>
      <w:r w:rsidR="00414D11" w:rsidRPr="0055172B">
        <w:t xml:space="preserve">that this </w:t>
      </w:r>
      <w:r w:rsidR="00D77E61" w:rsidRPr="0055172B">
        <w:t>paragraph</w:t>
      </w:r>
      <w:r w:rsidR="00B25B4C" w:rsidRPr="0055172B">
        <w:t xml:space="preserve"> permits the adoption or enforcement of trade measures that have "a close and genuine relationship of ends and means"</w:t>
      </w:r>
      <w:r w:rsidR="00B25B4C" w:rsidRPr="0055172B">
        <w:rPr>
          <w:rStyle w:val="FootnoteReference"/>
        </w:rPr>
        <w:footnoteReference w:id="7"/>
      </w:r>
      <w:r w:rsidR="00B25B4C" w:rsidRPr="0055172B">
        <w:t xml:space="preserve"> to the conservation of exhaustible natural resources</w:t>
      </w:r>
      <w:r w:rsidR="00100978" w:rsidRPr="0055172B">
        <w:t xml:space="preserve">. </w:t>
      </w:r>
    </w:p>
    <w:p w14:paraId="245FB17A" w14:textId="27A85087" w:rsidR="00A53DE7" w:rsidRPr="0055172B" w:rsidRDefault="009A55B8" w:rsidP="001C35F5">
      <w:pPr>
        <w:pStyle w:val="P1-N1Paragraph1-Number1"/>
      </w:pPr>
      <w:r w:rsidRPr="0055172B">
        <w:t>T</w:t>
      </w:r>
      <w:r w:rsidR="00730A10" w:rsidRPr="0055172B">
        <w:t xml:space="preserve">here must be a “sufficient nexus” between the </w:t>
      </w:r>
      <w:r w:rsidR="00580EA9" w:rsidRPr="0055172B">
        <w:t>challenged measure and a legitimate</w:t>
      </w:r>
      <w:r w:rsidR="00C36F58" w:rsidRPr="0055172B">
        <w:t xml:space="preserve"> policy goal </w:t>
      </w:r>
      <w:r w:rsidR="00890CE2" w:rsidRPr="0055172B">
        <w:t>under</w:t>
      </w:r>
      <w:r w:rsidR="007A76A5">
        <w:t xml:space="preserve"> paragraph (g) of</w:t>
      </w:r>
      <w:r w:rsidR="00890CE2" w:rsidRPr="0055172B">
        <w:t xml:space="preserve"> Article XX.</w:t>
      </w:r>
      <w:r w:rsidR="00890CE2" w:rsidRPr="0055172B">
        <w:rPr>
          <w:rStyle w:val="FootnoteReference"/>
        </w:rPr>
        <w:footnoteReference w:id="8"/>
      </w:r>
      <w:r w:rsidR="00890CE2" w:rsidRPr="0055172B">
        <w:t xml:space="preserve"> </w:t>
      </w:r>
      <w:r w:rsidR="00F321A5" w:rsidRPr="0055172B">
        <w:t>This excludes from the scope of paragraph (g) measures which are "merely incidentally or inadvertently aimed at a conservation objective".</w:t>
      </w:r>
      <w:r w:rsidR="003A5F4C" w:rsidRPr="0055172B">
        <w:rPr>
          <w:rStyle w:val="FootnoteReference"/>
        </w:rPr>
        <w:footnoteReference w:id="9"/>
      </w:r>
      <w:r w:rsidR="00F321A5" w:rsidRPr="0055172B">
        <w:t> </w:t>
      </w:r>
    </w:p>
    <w:p w14:paraId="281376F2" w14:textId="7F260CD4" w:rsidR="003C6C58" w:rsidRPr="0055172B" w:rsidRDefault="0089758D" w:rsidP="001C35F5">
      <w:pPr>
        <w:pStyle w:val="P1-N1Paragraph1-Number1"/>
      </w:pPr>
      <w:r w:rsidRPr="0055172B">
        <w:t xml:space="preserve">For the first step in the analysis under both paragraphs (b) and (g), </w:t>
      </w:r>
      <w:r w:rsidR="003C69C8" w:rsidRPr="0055172B">
        <w:t xml:space="preserve">Australia notes that internal combustion vehicles </w:t>
      </w:r>
      <w:r w:rsidR="00F43994" w:rsidRPr="0055172B">
        <w:t>release</w:t>
      </w:r>
      <w:r w:rsidR="003C69C8" w:rsidRPr="0055172B">
        <w:t xml:space="preserve"> greenhouse gas</w:t>
      </w:r>
      <w:r w:rsidR="00F43994" w:rsidRPr="0055172B">
        <w:t>es when driven</w:t>
      </w:r>
      <w:r w:rsidR="000349C9" w:rsidRPr="0055172B">
        <w:t>, that hybrid</w:t>
      </w:r>
      <w:r w:rsidR="00D97824" w:rsidRPr="0055172B">
        <w:t xml:space="preserve"> vehicle</w:t>
      </w:r>
      <w:r w:rsidR="000349C9" w:rsidRPr="0055172B">
        <w:t xml:space="preserve">s generally release fewer greenhouse gas emissions when driven, and that electric vehicles release no greenhouse gas emissions when driven. </w:t>
      </w:r>
    </w:p>
    <w:p w14:paraId="65804F2F" w14:textId="6075C89B" w:rsidR="0089758D" w:rsidRPr="0055172B" w:rsidRDefault="000349C9" w:rsidP="001C35F5">
      <w:pPr>
        <w:pStyle w:val="P1-N1Paragraph1-Number1"/>
      </w:pPr>
      <w:r w:rsidRPr="0055172B">
        <w:t xml:space="preserve">The Panel will need to consider </w:t>
      </w:r>
      <w:r w:rsidR="00734DAB" w:rsidRPr="0055172B">
        <w:t>whether it has been established that</w:t>
      </w:r>
      <w:r w:rsidRPr="0055172B">
        <w:t xml:space="preserve"> additional duties on </w:t>
      </w:r>
      <w:r w:rsidR="000C5870" w:rsidRPr="0055172B">
        <w:t xml:space="preserve">all three types of such vehicles from </w:t>
      </w:r>
      <w:r w:rsidRPr="0055172B">
        <w:t>Chin</w:t>
      </w:r>
      <w:r w:rsidR="000C5870" w:rsidRPr="0055172B">
        <w:t>a</w:t>
      </w:r>
      <w:r w:rsidR="00067DAC" w:rsidRPr="0055172B">
        <w:t xml:space="preserve"> </w:t>
      </w:r>
      <w:r w:rsidR="00BD3882" w:rsidRPr="0055172B">
        <w:t>contribute sufficiently</w:t>
      </w:r>
      <w:r w:rsidR="00067DAC" w:rsidRPr="0055172B">
        <w:t xml:space="preserve"> to the asserted environmental objectives</w:t>
      </w:r>
      <w:r w:rsidR="00734DAB" w:rsidRPr="0055172B">
        <w:t xml:space="preserve"> given</w:t>
      </w:r>
      <w:r w:rsidR="001667F7" w:rsidRPr="0055172B">
        <w:t>: (1)</w:t>
      </w:r>
      <w:r w:rsidR="00C06533" w:rsidRPr="0055172B">
        <w:t xml:space="preserve"> </w:t>
      </w:r>
      <w:r w:rsidR="001667F7" w:rsidRPr="0055172B">
        <w:t xml:space="preserve">that </w:t>
      </w:r>
      <w:r w:rsidR="003C6C58" w:rsidRPr="0055172B">
        <w:t>each type of vehicle contributes differently to the level of greenhouse gases</w:t>
      </w:r>
      <w:r w:rsidR="00286413" w:rsidRPr="0055172B">
        <w:t xml:space="preserve"> in the atmosphere</w:t>
      </w:r>
      <w:r w:rsidR="00234267" w:rsidRPr="0055172B">
        <w:t xml:space="preserve"> when driven</w:t>
      </w:r>
      <w:r w:rsidR="001667F7" w:rsidRPr="0055172B">
        <w:t>;</w:t>
      </w:r>
      <w:r w:rsidR="00C06533" w:rsidRPr="0055172B">
        <w:t xml:space="preserve"> and </w:t>
      </w:r>
      <w:r w:rsidR="001667F7" w:rsidRPr="0055172B">
        <w:t xml:space="preserve">(2) </w:t>
      </w:r>
      <w:r w:rsidR="00C06533" w:rsidRPr="0055172B">
        <w:t>that one type of vehicle contributes no greenhouse gases at all when driven.</w:t>
      </w:r>
    </w:p>
    <w:p w14:paraId="073DBA1E" w14:textId="795DCFAA" w:rsidR="00CE0945" w:rsidRPr="0055172B" w:rsidRDefault="00447559" w:rsidP="00CE0945">
      <w:pPr>
        <w:pStyle w:val="HL1HeadingLevel1"/>
      </w:pPr>
      <w:bookmarkStart w:id="6" w:name="_Toc209446652"/>
      <w:r w:rsidRPr="0055172B">
        <w:rPr>
          <w:caps w:val="0"/>
        </w:rPr>
        <w:lastRenderedPageBreak/>
        <w:t>CHAPEAU OF ARTICLE XX OF THE GATT 1994 – "SAME CONDITIONS PREVAIL"</w:t>
      </w:r>
      <w:bookmarkEnd w:id="5"/>
      <w:bookmarkEnd w:id="6"/>
    </w:p>
    <w:p w14:paraId="14DCF9E4" w14:textId="4EDBA2D1" w:rsidR="00C45B19" w:rsidRPr="0055172B" w:rsidRDefault="00C45B19" w:rsidP="00C45B19">
      <w:pPr>
        <w:pStyle w:val="P1-N1Paragraph1-Number1"/>
      </w:pPr>
      <w:r w:rsidRPr="0055172B">
        <w:t xml:space="preserve">If the </w:t>
      </w:r>
      <w:r w:rsidR="00D97824" w:rsidRPr="0055172B">
        <w:t xml:space="preserve">Panel </w:t>
      </w:r>
      <w:r w:rsidRPr="0055172B">
        <w:t xml:space="preserve">finds that the </w:t>
      </w:r>
      <w:r w:rsidR="00405D81" w:rsidRPr="0055172B">
        <w:t>additional</w:t>
      </w:r>
      <w:r w:rsidRPr="0055172B">
        <w:t xml:space="preserve"> duties on certain Chinese vehicles satisfy the text of paragraphs (a) and/or (g) of Article XX</w:t>
      </w:r>
      <w:r w:rsidR="00D2420B" w:rsidRPr="0055172B">
        <w:t xml:space="preserve"> of the GATT 1994</w:t>
      </w:r>
      <w:r w:rsidRPr="0055172B">
        <w:t xml:space="preserve">, it will then need to consider </w:t>
      </w:r>
      <w:r w:rsidR="00620CE6" w:rsidRPr="0055172B">
        <w:t xml:space="preserve">the second step in the analysis; that is, </w:t>
      </w:r>
      <w:r w:rsidRPr="0055172B">
        <w:t>whether the chapeau to Article XX is satisfied.</w:t>
      </w:r>
    </w:p>
    <w:p w14:paraId="3E5BD281" w14:textId="482A6119" w:rsidR="00C45B19" w:rsidRPr="0055172B" w:rsidRDefault="00C45B19" w:rsidP="00C45B19">
      <w:pPr>
        <w:pStyle w:val="P1-N1Paragraph1-Number1"/>
      </w:pPr>
      <w:r w:rsidRPr="0055172B">
        <w:t>One of the requirements of the chapeau is that the higher duties on Chinese vehicles must not be “applied in a manner which would constitute a means of arbitrary or unjustifiable discrimination between countries where the same conditions prevail”</w:t>
      </w:r>
      <w:r w:rsidR="0083033E" w:rsidRPr="0055172B">
        <w:t>.</w:t>
      </w:r>
      <w:r w:rsidR="0083033E" w:rsidRPr="0055172B">
        <w:rPr>
          <w:rStyle w:val="FootnoteReference"/>
        </w:rPr>
        <w:footnoteReference w:id="10"/>
      </w:r>
    </w:p>
    <w:p w14:paraId="2C834F68" w14:textId="2875210A" w:rsidR="00C45B19" w:rsidRPr="0055172B" w:rsidRDefault="00C45B19" w:rsidP="00C45B19">
      <w:pPr>
        <w:pStyle w:val="P1-N1Paragraph1-Number1"/>
      </w:pPr>
      <w:r w:rsidRPr="0055172B">
        <w:t>The chapeau to Article XX does not expressly limit the type of prevailing “conditions” which may be considered in making this assessment.</w:t>
      </w:r>
    </w:p>
    <w:p w14:paraId="006AD5F1" w14:textId="51CA75BF" w:rsidR="00C45B19" w:rsidRPr="0055172B" w:rsidRDefault="00C45B19" w:rsidP="00C45B19">
      <w:pPr>
        <w:pStyle w:val="P1-N1Paragraph1-Number1"/>
      </w:pPr>
      <w:r w:rsidRPr="0055172B">
        <w:t>However, context for determining the relevant “conditions” would include: (1) the type or cause of the underlying violation; and (2) the paragraph or paragraphs of Article XX under which the measure in question is provisionally justified.</w:t>
      </w:r>
      <w:r w:rsidR="005A7FB8" w:rsidRPr="0055172B">
        <w:rPr>
          <w:rStyle w:val="FootnoteReference"/>
        </w:rPr>
        <w:footnoteReference w:id="11"/>
      </w:r>
      <w:r w:rsidRPr="0055172B">
        <w:t xml:space="preserve"> </w:t>
      </w:r>
    </w:p>
    <w:p w14:paraId="571A9D6D" w14:textId="4E430601" w:rsidR="00C45B19" w:rsidRPr="0055172B" w:rsidRDefault="00C45B19" w:rsidP="00C45B19">
      <w:pPr>
        <w:pStyle w:val="P1-N1Paragraph1-Number1"/>
      </w:pPr>
      <w:r w:rsidRPr="0055172B">
        <w:t>Türkiye argues that China’s high share of global EV and EV battery production and its industry policy toward the EV industry are relevant conditions.</w:t>
      </w:r>
    </w:p>
    <w:p w14:paraId="75F488AB" w14:textId="43C2130E" w:rsidR="00C45B19" w:rsidRPr="0055172B" w:rsidRDefault="00C45B19" w:rsidP="00C45B19">
      <w:pPr>
        <w:pStyle w:val="P1-N1Paragraph1-Number1"/>
      </w:pPr>
      <w:r w:rsidRPr="0055172B">
        <w:t xml:space="preserve">In deciding whether these are prevailing conditions for the purposes of the chapeau to Article XX, the Panel should consider the extent and nature of the relationship between: (1) China’s high share of global EV and EV battery production and its industry policy toward the EV industry; and (2) the use of </w:t>
      </w:r>
      <w:r w:rsidR="008047D3" w:rsidRPr="0055172B">
        <w:t>the additional duties</w:t>
      </w:r>
      <w:r w:rsidRPr="0055172B">
        <w:t xml:space="preserve"> against Chinese vehicles to protect human, animal or plant life and health and/or to conserve exhaustible natural resources. </w:t>
      </w:r>
    </w:p>
    <w:p w14:paraId="4D31D8F9" w14:textId="45722C00" w:rsidR="00C45B19" w:rsidRPr="0055172B" w:rsidRDefault="00C45B19" w:rsidP="00C45B19">
      <w:pPr>
        <w:pStyle w:val="P1-N1Paragraph1-Number1"/>
      </w:pPr>
      <w:r w:rsidRPr="0055172B">
        <w:t>The closer that relationship, the more likely it is that China’s high share of global EV and EV battery production and its industry policy toward the EV industry are relevant prevailing “conditions”.</w:t>
      </w:r>
    </w:p>
    <w:p w14:paraId="00B79D4F" w14:textId="19CE1BDC" w:rsidR="00C45B19" w:rsidRPr="0055172B" w:rsidRDefault="00C45B19" w:rsidP="00144BE3">
      <w:pPr>
        <w:pStyle w:val="P1-N1Paragraph1-Number1"/>
        <w:keepLines/>
      </w:pPr>
      <w:r w:rsidRPr="0055172B">
        <w:lastRenderedPageBreak/>
        <w:t>In assessing that relationship, the panel will need to consider Türkiye’s argument that excessive dependence on Chinese EVs could create supply chain vulnerabilities and that “Türkiye needs to develop its own EV industry if it wants to achieve a real and sustainable green transition in its territory”. The Panel will also need to consider China’s argument that Türkiye’s measures will delay Türkiye’s “transition to a cleaner economy that could positively contribute to mitigating global climate change”.</w:t>
      </w:r>
      <w:r w:rsidR="00BC56DF" w:rsidRPr="0055172B">
        <w:rPr>
          <w:rStyle w:val="FootnoteReference"/>
        </w:rPr>
        <w:footnoteReference w:id="12"/>
      </w:r>
    </w:p>
    <w:p w14:paraId="4783A673" w14:textId="74BB7BC4" w:rsidR="00C45B19" w:rsidRPr="0055172B" w:rsidRDefault="00C45B19" w:rsidP="00C45B19">
      <w:pPr>
        <w:pStyle w:val="P1-N1Paragraph1-Number1"/>
      </w:pPr>
      <w:r w:rsidRPr="0055172B">
        <w:t>If the Panel finds in favour of Türkiye on this point, the Panel should then consider whether the differential treatment of China is not “arbitrary or unjustifiable” given any established differences in global market shares and industry policies between China and other WTO Members</w:t>
      </w:r>
      <w:r w:rsidR="00D362EE" w:rsidRPr="0055172B">
        <w:t>.</w:t>
      </w:r>
    </w:p>
    <w:p w14:paraId="42F63013" w14:textId="3A61E0BA" w:rsidR="00B57911" w:rsidRPr="0055172B" w:rsidRDefault="006C5CB9" w:rsidP="00C45B19">
      <w:pPr>
        <w:pStyle w:val="P1-N1Paragraph1-Number1"/>
      </w:pPr>
      <w:r w:rsidRPr="0055172B">
        <w:t>In considering the additional duties on Chinese internal combustion vehicles, t</w:t>
      </w:r>
      <w:r w:rsidR="00B57911" w:rsidRPr="0055172B">
        <w:t xml:space="preserve">he Panel will also </w:t>
      </w:r>
      <w:r w:rsidR="00852BE8" w:rsidRPr="0055172B">
        <w:t>need</w:t>
      </w:r>
      <w:r w:rsidR="00B57911" w:rsidRPr="0055172B">
        <w:t xml:space="preserve"> to consider </w:t>
      </w:r>
      <w:r w:rsidR="003D6AEA" w:rsidRPr="0055172B">
        <w:t xml:space="preserve">the relevance </w:t>
      </w:r>
      <w:r w:rsidR="00757186" w:rsidRPr="0055172B">
        <w:t xml:space="preserve">– if any – </w:t>
      </w:r>
      <w:r w:rsidR="00425AA1" w:rsidRPr="0055172B">
        <w:t xml:space="preserve">of </w:t>
      </w:r>
      <w:r w:rsidR="003D6AEA" w:rsidRPr="0055172B">
        <w:t xml:space="preserve">China’s high share of global EV and EV battery production and its industry policy toward the EV industry </w:t>
      </w:r>
      <w:r w:rsidRPr="0055172B">
        <w:t xml:space="preserve">to those </w:t>
      </w:r>
      <w:proofErr w:type="gramStart"/>
      <w:r w:rsidRPr="0055172B">
        <w:t>particular additional</w:t>
      </w:r>
      <w:proofErr w:type="gramEnd"/>
      <w:r w:rsidRPr="0055172B">
        <w:t xml:space="preserve"> duties</w:t>
      </w:r>
      <w:r w:rsidR="003D6AEA" w:rsidRPr="0055172B">
        <w:t>.</w:t>
      </w:r>
    </w:p>
    <w:p w14:paraId="5E678F8A" w14:textId="557EC193" w:rsidR="004724C9" w:rsidRPr="0055172B" w:rsidRDefault="004724C9" w:rsidP="002013B1">
      <w:pPr>
        <w:pStyle w:val="HL1HeadingLevel1"/>
      </w:pPr>
      <w:bookmarkStart w:id="7" w:name="_Toc209017313"/>
      <w:bookmarkStart w:id="8" w:name="_Toc209446653"/>
      <w:bookmarkEnd w:id="7"/>
      <w:r w:rsidRPr="0055172B">
        <w:t>ARTICLE XXIV</w:t>
      </w:r>
      <w:bookmarkEnd w:id="8"/>
    </w:p>
    <w:p w14:paraId="4571E53D" w14:textId="3AAAAD9F" w:rsidR="004724C9" w:rsidRPr="0055172B" w:rsidRDefault="00822E4F" w:rsidP="00822E4F">
      <w:pPr>
        <w:pStyle w:val="P1-N1Paragraph1-Number1"/>
      </w:pPr>
      <w:r w:rsidRPr="0055172B">
        <w:t xml:space="preserve">Türkiye argues that the exemption of the EU and </w:t>
      </w:r>
      <w:r w:rsidR="00592D94" w:rsidRPr="0055172B">
        <w:t xml:space="preserve">its </w:t>
      </w:r>
      <w:r w:rsidRPr="0055172B">
        <w:t xml:space="preserve">FTA partners from its </w:t>
      </w:r>
      <w:r w:rsidR="00DD63CB" w:rsidRPr="0055172B">
        <w:t>import permit licensing scheme (</w:t>
      </w:r>
      <w:r w:rsidRPr="0055172B">
        <w:t>IPLS</w:t>
      </w:r>
      <w:r w:rsidR="00DD63CB" w:rsidRPr="0055172B">
        <w:t>)</w:t>
      </w:r>
      <w:r w:rsidRPr="0055172B">
        <w:t xml:space="preserve"> is justified under Article XXIV.</w:t>
      </w:r>
      <w:r w:rsidRPr="0055172B">
        <w:rPr>
          <w:rStyle w:val="FootnoteReference"/>
        </w:rPr>
        <w:footnoteReference w:id="13"/>
      </w:r>
      <w:r w:rsidRPr="0055172B">
        <w:t xml:space="preserve"> </w:t>
      </w:r>
    </w:p>
    <w:p w14:paraId="36473048" w14:textId="432E793E" w:rsidR="006C5CB9" w:rsidRPr="0055172B" w:rsidRDefault="00FC2E31" w:rsidP="00F91BA4">
      <w:pPr>
        <w:pStyle w:val="P1-N1Paragraph1-Number1"/>
      </w:pPr>
      <w:r>
        <w:t xml:space="preserve">Paragraph 5 of </w:t>
      </w:r>
      <w:r w:rsidR="00403C21">
        <w:t>Article XXIV</w:t>
      </w:r>
      <w:r w:rsidR="00AC23CF">
        <w:t xml:space="preserve"> provides that </w:t>
      </w:r>
      <w:r w:rsidR="00986143">
        <w:t xml:space="preserve">the provisions of the GATT “shall not prevent … the formation of a customs union or </w:t>
      </w:r>
      <w:r w:rsidR="002F02FD">
        <w:t xml:space="preserve">… a free trade area”. </w:t>
      </w:r>
      <w:r w:rsidR="007E60A0">
        <w:t xml:space="preserve">The question may therefore arise </w:t>
      </w:r>
      <w:r w:rsidR="00C7756B">
        <w:t>as to</w:t>
      </w:r>
      <w:r w:rsidR="007E60A0">
        <w:t xml:space="preserve"> whether</w:t>
      </w:r>
      <w:r w:rsidR="00914942" w:rsidRPr="0055172B">
        <w:t xml:space="preserve"> the formation of the </w:t>
      </w:r>
      <w:r w:rsidR="00403C21" w:rsidRPr="0055172B">
        <w:t>Türkiye</w:t>
      </w:r>
      <w:r w:rsidR="00403C21">
        <w:t xml:space="preserve">-EU </w:t>
      </w:r>
      <w:r w:rsidR="00914942" w:rsidRPr="0055172B">
        <w:t xml:space="preserve">customs union </w:t>
      </w:r>
      <w:r w:rsidR="00CF13AF">
        <w:t xml:space="preserve">and </w:t>
      </w:r>
      <w:r w:rsidR="00CF13AF" w:rsidRPr="0055172B">
        <w:t>Türkiye</w:t>
      </w:r>
      <w:r w:rsidR="00CF13AF">
        <w:t>’s</w:t>
      </w:r>
      <w:r w:rsidR="00CF13AF" w:rsidRPr="0055172B" w:rsidDel="00CF13AF">
        <w:t xml:space="preserve"> </w:t>
      </w:r>
      <w:r w:rsidR="00914942" w:rsidRPr="0055172B">
        <w:t>FTA</w:t>
      </w:r>
      <w:r w:rsidR="00CF13AF">
        <w:t xml:space="preserve">s </w:t>
      </w:r>
      <w:r w:rsidR="00914942" w:rsidRPr="0055172B">
        <w:t xml:space="preserve">would have been prevented if </w:t>
      </w:r>
      <w:r w:rsidR="00ED6D7E" w:rsidRPr="0055172B">
        <w:t>Türkiye</w:t>
      </w:r>
      <w:r w:rsidR="00914942" w:rsidRPr="0055172B">
        <w:t xml:space="preserve"> were not allowed to </w:t>
      </w:r>
      <w:r w:rsidR="00ED6D7E" w:rsidRPr="0055172B">
        <w:t xml:space="preserve">introduce the </w:t>
      </w:r>
      <w:r w:rsidR="00B359CE">
        <w:t>IPLS</w:t>
      </w:r>
      <w:r w:rsidR="006C5CB9" w:rsidRPr="0055172B">
        <w:t>.</w:t>
      </w:r>
      <w:r w:rsidR="005D2042">
        <w:t xml:space="preserve"> Australia makes two observations in this regard.</w:t>
      </w:r>
    </w:p>
    <w:p w14:paraId="24CB2596" w14:textId="5F140B62" w:rsidR="006C5CB9" w:rsidRPr="0055172B" w:rsidRDefault="006C5CB9" w:rsidP="00F91BA4">
      <w:pPr>
        <w:pStyle w:val="P1-N1Paragraph1-Number1"/>
      </w:pPr>
      <w:r w:rsidRPr="0055172B">
        <w:t>Firstly,</w:t>
      </w:r>
      <w:r w:rsidR="00C130EB" w:rsidRPr="0055172B">
        <w:t xml:space="preserve"> </w:t>
      </w:r>
      <w:r w:rsidR="00AA0DB3" w:rsidRPr="0055172B">
        <w:t xml:space="preserve">the Panel may need to consider the fact that </w:t>
      </w:r>
      <w:r w:rsidR="00924653" w:rsidRPr="0055172B">
        <w:t xml:space="preserve">paragraph 8 of Article XXIV </w:t>
      </w:r>
      <w:r w:rsidR="0078189E" w:rsidRPr="0055172B">
        <w:t xml:space="preserve">provides that measures </w:t>
      </w:r>
      <w:r w:rsidR="006D0A6D" w:rsidRPr="0055172B">
        <w:t xml:space="preserve">permitted under Article XX do not need to be eliminated </w:t>
      </w:r>
      <w:proofErr w:type="gramStart"/>
      <w:r w:rsidR="006D0A6D" w:rsidRPr="0055172B">
        <w:t>in order to</w:t>
      </w:r>
      <w:proofErr w:type="gramEnd"/>
      <w:r w:rsidR="000F4EA1" w:rsidRPr="0055172B">
        <w:t xml:space="preserve"> properly form a customs union or free-trade area</w:t>
      </w:r>
      <w:r w:rsidRPr="0055172B">
        <w:t>.</w:t>
      </w:r>
      <w:r w:rsidR="002343F4" w:rsidRPr="0055172B">
        <w:t xml:space="preserve"> Australia notes</w:t>
      </w:r>
      <w:r w:rsidR="002B3526" w:rsidRPr="0055172B">
        <w:t xml:space="preserve"> that </w:t>
      </w:r>
      <w:r w:rsidR="00A53CAD" w:rsidRPr="0055172B">
        <w:t xml:space="preserve">Türkiye has made an argument in the alternative that the </w:t>
      </w:r>
      <w:r w:rsidR="00383B0B">
        <w:t>IPLS</w:t>
      </w:r>
      <w:r w:rsidR="00383B0B" w:rsidRPr="0055172B">
        <w:t xml:space="preserve"> </w:t>
      </w:r>
      <w:r w:rsidR="00A53CAD" w:rsidRPr="0055172B">
        <w:t xml:space="preserve">complies with </w:t>
      </w:r>
      <w:r w:rsidR="00DD534A">
        <w:t xml:space="preserve">paragraph (d) of </w:t>
      </w:r>
      <w:r w:rsidR="00A53CAD" w:rsidRPr="0055172B">
        <w:t>Article XX.</w:t>
      </w:r>
      <w:r w:rsidR="003B5F02" w:rsidRPr="0055172B">
        <w:rPr>
          <w:rStyle w:val="FootnoteReference"/>
        </w:rPr>
        <w:footnoteReference w:id="14"/>
      </w:r>
    </w:p>
    <w:p w14:paraId="3138C2CD" w14:textId="0B71958E" w:rsidR="00A81C41" w:rsidRPr="0055172B" w:rsidRDefault="006C5CB9" w:rsidP="00462AEC">
      <w:pPr>
        <w:pStyle w:val="P1-N1Paragraph1-Number1"/>
        <w:keepLines/>
      </w:pPr>
      <w:r w:rsidRPr="0055172B">
        <w:lastRenderedPageBreak/>
        <w:t>Secondly</w:t>
      </w:r>
      <w:r w:rsidR="00394B3B" w:rsidRPr="0055172B">
        <w:t xml:space="preserve"> the FTAs and customs union which </w:t>
      </w:r>
      <w:r w:rsidR="00D63F5A" w:rsidRPr="0055172B">
        <w:t xml:space="preserve">Türkiye relies upon may themselves </w:t>
      </w:r>
      <w:r w:rsidR="00414D11" w:rsidRPr="0055172B">
        <w:t xml:space="preserve">contain exceptions which </w:t>
      </w:r>
      <w:r w:rsidR="00D63F5A" w:rsidRPr="0055172B">
        <w:t>permit</w:t>
      </w:r>
      <w:r w:rsidR="005E6739" w:rsidRPr="0055172B">
        <w:t xml:space="preserve"> </w:t>
      </w:r>
      <w:r w:rsidR="008464A2" w:rsidRPr="0055172B">
        <w:t>certain measures which</w:t>
      </w:r>
      <w:r w:rsidR="00E75500" w:rsidRPr="0055172B">
        <w:t xml:space="preserve"> are necessary to secure compliance with Türkiye’s</w:t>
      </w:r>
      <w:r w:rsidR="006700CC" w:rsidRPr="0055172B">
        <w:t xml:space="preserve"> laws or regulations (for example, Article 11.1 of Türkiye’s FTA with the UK</w:t>
      </w:r>
      <w:r w:rsidR="00D74B71" w:rsidRPr="0055172B">
        <w:t xml:space="preserve"> </w:t>
      </w:r>
      <w:r w:rsidR="00593D21" w:rsidRPr="0055172B">
        <w:t xml:space="preserve">provides </w:t>
      </w:r>
      <w:r w:rsidR="00914942" w:rsidRPr="0055172B">
        <w:t>that</w:t>
      </w:r>
      <w:r w:rsidR="00D74B71" w:rsidRPr="0055172B">
        <w:t xml:space="preserve"> GATT Article XX </w:t>
      </w:r>
      <w:r w:rsidR="00914942" w:rsidRPr="0055172B">
        <w:t xml:space="preserve">and its interpretive notes are incorporated into and made part of the FTA </w:t>
      </w:r>
      <w:r w:rsidR="00D74B71" w:rsidRPr="0055172B">
        <w:rPr>
          <w:i/>
          <w:iCs/>
        </w:rPr>
        <w:t>mutatis mutandis</w:t>
      </w:r>
      <w:r w:rsidR="007E6A66" w:rsidRPr="0055172B">
        <w:t>).</w:t>
      </w:r>
      <w:r w:rsidR="000826A2" w:rsidRPr="0055172B">
        <w:rPr>
          <w:rStyle w:val="FootnoteReference"/>
        </w:rPr>
        <w:footnoteReference w:id="15"/>
      </w:r>
    </w:p>
    <w:p w14:paraId="046C5B02" w14:textId="45DC61E3" w:rsidR="00652E63" w:rsidRPr="0055172B" w:rsidRDefault="002013B1" w:rsidP="0050307C">
      <w:pPr>
        <w:pStyle w:val="HL1HeadingLevel1"/>
      </w:pPr>
      <w:bookmarkStart w:id="9" w:name="_Toc209446654"/>
      <w:r w:rsidRPr="0055172B">
        <w:t>CONCLUSION</w:t>
      </w:r>
      <w:bookmarkEnd w:id="9"/>
    </w:p>
    <w:p w14:paraId="15A5CE27" w14:textId="1F830E47" w:rsidR="00D52A17" w:rsidRPr="0055172B" w:rsidRDefault="002E5C28" w:rsidP="00EA0143">
      <w:pPr>
        <w:pStyle w:val="P1-N1Paragraph1-Number1"/>
      </w:pPr>
      <w:r w:rsidRPr="0055172B">
        <w:t>Australia thanks the Panel for its time and hopes that its comments will be useful for the Panel's consideration of this matter.</w:t>
      </w:r>
    </w:p>
    <w:sectPr w:rsidR="00D52A17" w:rsidRPr="0055172B" w:rsidSect="000826A2">
      <w:headerReference w:type="default" r:id="rId11"/>
      <w:footerReference w:type="default" r:id="rId12"/>
      <w:headerReference w:type="first" r:id="rId13"/>
      <w:pgSz w:w="11906" w:h="16838" w:code="9"/>
      <w:pgMar w:top="1843"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C1BC" w14:textId="77777777" w:rsidR="00E75BEB" w:rsidRDefault="00E75BEB" w:rsidP="00006269">
      <w:pPr>
        <w:spacing w:after="0" w:line="240" w:lineRule="auto"/>
      </w:pPr>
      <w:r>
        <w:separator/>
      </w:r>
    </w:p>
  </w:endnote>
  <w:endnote w:type="continuationSeparator" w:id="0">
    <w:p w14:paraId="6B01D0A4" w14:textId="77777777" w:rsidR="00E75BEB" w:rsidRDefault="00E75BEB" w:rsidP="0000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8E23" w14:textId="77777777" w:rsidR="00380795" w:rsidRDefault="00380795">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FF7A" w14:textId="77777777" w:rsidR="00E75BEB" w:rsidRDefault="00E75BEB" w:rsidP="00006269">
      <w:pPr>
        <w:spacing w:after="0" w:line="240" w:lineRule="auto"/>
      </w:pPr>
      <w:r>
        <w:separator/>
      </w:r>
    </w:p>
  </w:footnote>
  <w:footnote w:type="continuationSeparator" w:id="0">
    <w:p w14:paraId="16C62C3E" w14:textId="77777777" w:rsidR="00E75BEB" w:rsidRDefault="00E75BEB" w:rsidP="00006269">
      <w:pPr>
        <w:spacing w:after="0" w:line="240" w:lineRule="auto"/>
      </w:pPr>
      <w:r>
        <w:continuationSeparator/>
      </w:r>
    </w:p>
  </w:footnote>
  <w:footnote w:id="1">
    <w:p w14:paraId="4290C7DB" w14:textId="73DFC592" w:rsidR="00BC673F" w:rsidRDefault="00BC673F">
      <w:pPr>
        <w:pStyle w:val="FootnoteText"/>
      </w:pPr>
      <w:r>
        <w:rPr>
          <w:rStyle w:val="FootnoteReference"/>
        </w:rPr>
        <w:footnoteRef/>
      </w:r>
      <w:r>
        <w:t xml:space="preserve"> Appellate Body report, </w:t>
      </w:r>
      <w:r w:rsidRPr="00CD20F4">
        <w:rPr>
          <w:i/>
          <w:iCs/>
        </w:rPr>
        <w:t xml:space="preserve">Indonesia </w:t>
      </w:r>
      <w:r w:rsidR="009112C5" w:rsidRPr="00CD20F4">
        <w:rPr>
          <w:i/>
          <w:iCs/>
        </w:rPr>
        <w:t>–</w:t>
      </w:r>
      <w:r w:rsidRPr="00CD20F4">
        <w:rPr>
          <w:i/>
          <w:iCs/>
        </w:rPr>
        <w:t xml:space="preserve"> </w:t>
      </w:r>
      <w:r w:rsidR="002B7ADA" w:rsidRPr="00CD20F4">
        <w:rPr>
          <w:i/>
          <w:iCs/>
        </w:rPr>
        <w:t>Import Licensing Regimes (New Zealand)</w:t>
      </w:r>
      <w:r w:rsidR="009112C5" w:rsidRPr="00CD20F4">
        <w:rPr>
          <w:i/>
          <w:iCs/>
        </w:rPr>
        <w:t>,</w:t>
      </w:r>
      <w:r w:rsidR="009112C5">
        <w:t xml:space="preserve"> para 5.</w:t>
      </w:r>
      <w:r w:rsidR="00DF3585">
        <w:t>101.</w:t>
      </w:r>
    </w:p>
  </w:footnote>
  <w:footnote w:id="2">
    <w:p w14:paraId="74B34332" w14:textId="7D6F3D7B" w:rsidR="00522495" w:rsidRDefault="00522495" w:rsidP="00522495">
      <w:pPr>
        <w:pStyle w:val="FootnoteText"/>
      </w:pPr>
      <w:r>
        <w:rPr>
          <w:rStyle w:val="FootnoteReference"/>
        </w:rPr>
        <w:footnoteRef/>
      </w:r>
      <w:r>
        <w:t xml:space="preserve"> </w:t>
      </w:r>
      <w:r w:rsidRPr="00402F5F">
        <w:t xml:space="preserve">Appellate Body </w:t>
      </w:r>
      <w:r w:rsidR="0055172B">
        <w:t>r</w:t>
      </w:r>
      <w:r w:rsidRPr="00402F5F">
        <w:t>eport,</w:t>
      </w:r>
      <w:r>
        <w:t xml:space="preserve"> </w:t>
      </w:r>
      <w:r w:rsidRPr="000826A2">
        <w:rPr>
          <w:i/>
          <w:iCs/>
        </w:rPr>
        <w:t xml:space="preserve">Brazil – </w:t>
      </w:r>
      <w:proofErr w:type="spellStart"/>
      <w:r w:rsidRPr="000826A2">
        <w:rPr>
          <w:i/>
          <w:iCs/>
        </w:rPr>
        <w:t>Retreaded</w:t>
      </w:r>
      <w:proofErr w:type="spellEnd"/>
      <w:r w:rsidRPr="000826A2">
        <w:rPr>
          <w:i/>
          <w:iCs/>
        </w:rPr>
        <w:t xml:space="preserve"> Tyres</w:t>
      </w:r>
      <w:r>
        <w:t>, para 1</w:t>
      </w:r>
      <w:r w:rsidR="001220A7">
        <w:t>50</w:t>
      </w:r>
      <w:r>
        <w:t xml:space="preserve"> citing Appellate Body </w:t>
      </w:r>
      <w:r w:rsidRPr="0055172B">
        <w:t xml:space="preserve">report, </w:t>
      </w:r>
      <w:r w:rsidRPr="0055172B">
        <w:rPr>
          <w:i/>
          <w:iCs/>
        </w:rPr>
        <w:t>Korea – Various Measures on Beef,</w:t>
      </w:r>
      <w:r w:rsidRPr="0055172B">
        <w:t xml:space="preserve"> para. 16</w:t>
      </w:r>
      <w:r w:rsidR="00B37EF2" w:rsidRPr="0055172B">
        <w:t>1.</w:t>
      </w:r>
    </w:p>
  </w:footnote>
  <w:footnote w:id="3">
    <w:p w14:paraId="7BD069B7" w14:textId="30E8A0A7" w:rsidR="000A0218" w:rsidRDefault="000A0218">
      <w:pPr>
        <w:pStyle w:val="FootnoteText"/>
      </w:pPr>
      <w:r>
        <w:rPr>
          <w:rStyle w:val="FootnoteReference"/>
        </w:rPr>
        <w:footnoteRef/>
      </w:r>
      <w:r>
        <w:t xml:space="preserve"> </w:t>
      </w:r>
      <w:r w:rsidR="00197C7E">
        <w:t xml:space="preserve">Appellate Body report, </w:t>
      </w:r>
      <w:r w:rsidR="00197C7E" w:rsidRPr="00097768">
        <w:rPr>
          <w:i/>
          <w:iCs/>
        </w:rPr>
        <w:t>Brazil – Retreaded Tyre</w:t>
      </w:r>
      <w:r w:rsidR="00443939" w:rsidRPr="00097768">
        <w:rPr>
          <w:i/>
          <w:iCs/>
        </w:rPr>
        <w:t>s</w:t>
      </w:r>
      <w:r w:rsidR="00197C7E">
        <w:t>, para 15</w:t>
      </w:r>
      <w:r w:rsidR="005F35CB">
        <w:t>6</w:t>
      </w:r>
      <w:r w:rsidR="00197C7E">
        <w:t xml:space="preserve">. </w:t>
      </w:r>
    </w:p>
  </w:footnote>
  <w:footnote w:id="4">
    <w:p w14:paraId="5B32D697" w14:textId="5D4FD52A" w:rsidR="002F342D" w:rsidRDefault="002F342D" w:rsidP="002F342D">
      <w:pPr>
        <w:pStyle w:val="FootnoteText"/>
      </w:pPr>
      <w:r w:rsidRPr="0055172B">
        <w:rPr>
          <w:rStyle w:val="FootnoteReference"/>
        </w:rPr>
        <w:footnoteRef/>
      </w:r>
      <w:r w:rsidRPr="0055172B">
        <w:t xml:space="preserve"> Appellate Body Report</w:t>
      </w:r>
      <w:r w:rsidR="007C068E" w:rsidRPr="0055172B">
        <w:t>s</w:t>
      </w:r>
      <w:r w:rsidRPr="0055172B">
        <w:t xml:space="preserve">, </w:t>
      </w:r>
      <w:r w:rsidRPr="0055172B">
        <w:rPr>
          <w:i/>
          <w:iCs/>
        </w:rPr>
        <w:t>Brazil – Retreaded Tyres</w:t>
      </w:r>
      <w:r w:rsidRPr="0055172B">
        <w:t xml:space="preserve">, para 151 noting that, in </w:t>
      </w:r>
      <w:r w:rsidRPr="0055172B">
        <w:rPr>
          <w:i/>
          <w:iCs/>
        </w:rPr>
        <w:t>US – Gasoline</w:t>
      </w:r>
      <w:r w:rsidRPr="0055172B">
        <w:t>, the Appellate Body stated, in the context of Article XX(g) of the GATT 1994, that, "in the field of conservation of exhaustible natural resources</w:t>
      </w:r>
      <w:r w:rsidRPr="005A68EC">
        <w:t>, a substantial</w:t>
      </w:r>
      <w:r>
        <w:t xml:space="preserve"> </w:t>
      </w:r>
      <w:r w:rsidRPr="005A68EC">
        <w:t>period of time, perhaps years, may have to elapse before the effects attributable to implementation of a given</w:t>
      </w:r>
      <w:r>
        <w:t xml:space="preserve"> </w:t>
      </w:r>
      <w:r w:rsidRPr="005A68EC">
        <w:t>measure may be observable"</w:t>
      </w:r>
      <w:r w:rsidR="00B027FB">
        <w:t>;</w:t>
      </w:r>
      <w:r w:rsidRPr="005A68EC">
        <w:t xml:space="preserve"> </w:t>
      </w:r>
      <w:r w:rsidRPr="000826A2">
        <w:rPr>
          <w:i/>
          <w:iCs/>
        </w:rPr>
        <w:t>US – Gasoline</w:t>
      </w:r>
      <w:r w:rsidRPr="005A68EC">
        <w:t>, p. 21, DSR 1996:I, 3, at 20</w:t>
      </w:r>
      <w:r>
        <w:t xml:space="preserve">. </w:t>
      </w:r>
    </w:p>
  </w:footnote>
  <w:footnote w:id="5">
    <w:p w14:paraId="1C7B7228" w14:textId="0E91C29C" w:rsidR="003F6B22" w:rsidRPr="003F6B22" w:rsidRDefault="003F6B22">
      <w:pPr>
        <w:pStyle w:val="FootnoteText"/>
      </w:pPr>
      <w:r>
        <w:rPr>
          <w:rStyle w:val="FootnoteReference"/>
        </w:rPr>
        <w:footnoteRef/>
      </w:r>
      <w:r>
        <w:t xml:space="preserve"> </w:t>
      </w:r>
      <w:r w:rsidR="00ED75E6">
        <w:t xml:space="preserve">Appellate Body report, </w:t>
      </w:r>
      <w:r w:rsidR="00ED75E6" w:rsidRPr="00CD20F4">
        <w:rPr>
          <w:i/>
          <w:iCs/>
        </w:rPr>
        <w:t>Brazil – Retreaded Tyre</w:t>
      </w:r>
      <w:r w:rsidR="00ED75E6">
        <w:rPr>
          <w:i/>
          <w:iCs/>
        </w:rPr>
        <w:t>s</w:t>
      </w:r>
      <w:r w:rsidR="00ED75E6" w:rsidRPr="00CD20F4">
        <w:rPr>
          <w:i/>
          <w:iCs/>
        </w:rPr>
        <w:t>,</w:t>
      </w:r>
      <w:r w:rsidR="00ED75E6">
        <w:t xml:space="preserve"> para 156.</w:t>
      </w:r>
    </w:p>
  </w:footnote>
  <w:footnote w:id="6">
    <w:p w14:paraId="083B59C6" w14:textId="3D907E0E" w:rsidR="008E2662" w:rsidRPr="008E2662" w:rsidRDefault="008E2662">
      <w:pPr>
        <w:pStyle w:val="FootnoteText"/>
      </w:pPr>
      <w:r>
        <w:rPr>
          <w:rStyle w:val="FootnoteReference"/>
        </w:rPr>
        <w:footnoteRef/>
      </w:r>
      <w:r>
        <w:t xml:space="preserve"> </w:t>
      </w:r>
      <w:r w:rsidR="00E01E9E" w:rsidRPr="00E01E9E">
        <w:t xml:space="preserve">Appellate Body Report, </w:t>
      </w:r>
      <w:r w:rsidR="00E01E9E" w:rsidRPr="001E21AD">
        <w:rPr>
          <w:i/>
          <w:iCs/>
        </w:rPr>
        <w:t>US – Gambling</w:t>
      </w:r>
      <w:r w:rsidR="00E01E9E" w:rsidRPr="00E01E9E">
        <w:t>, para. 311.</w:t>
      </w:r>
    </w:p>
  </w:footnote>
  <w:footnote w:id="7">
    <w:p w14:paraId="3654FFAA" w14:textId="3CC33717" w:rsidR="00B25B4C" w:rsidRDefault="00B25B4C">
      <w:pPr>
        <w:pStyle w:val="FootnoteText"/>
      </w:pPr>
      <w:r>
        <w:rPr>
          <w:rStyle w:val="FootnoteReference"/>
        </w:rPr>
        <w:footnoteRef/>
      </w:r>
      <w:r>
        <w:t xml:space="preserve"> </w:t>
      </w:r>
      <w:r w:rsidR="00142471" w:rsidRPr="00142471">
        <w:t xml:space="preserve">Appellate Body Reports, </w:t>
      </w:r>
      <w:r w:rsidR="00142471" w:rsidRPr="00142471">
        <w:rPr>
          <w:i/>
          <w:iCs/>
        </w:rPr>
        <w:t>US – Shrimp</w:t>
      </w:r>
      <w:r w:rsidR="00142471" w:rsidRPr="00142471">
        <w:t xml:space="preserve">, para 136; </w:t>
      </w:r>
      <w:r w:rsidR="00142471" w:rsidRPr="00142471">
        <w:rPr>
          <w:i/>
          <w:iCs/>
        </w:rPr>
        <w:t>China – Raw Materials,</w:t>
      </w:r>
      <w:r w:rsidR="00142471" w:rsidRPr="00142471">
        <w:t xml:space="preserve"> para. 355</w:t>
      </w:r>
      <w:r w:rsidR="000826A2">
        <w:t>.</w:t>
      </w:r>
    </w:p>
  </w:footnote>
  <w:footnote w:id="8">
    <w:p w14:paraId="349EC034" w14:textId="24AE6E41" w:rsidR="00890CE2" w:rsidRPr="00890CE2" w:rsidRDefault="00890CE2">
      <w:pPr>
        <w:pStyle w:val="FootnoteText"/>
      </w:pPr>
      <w:r>
        <w:rPr>
          <w:rStyle w:val="FootnoteReference"/>
        </w:rPr>
        <w:footnoteRef/>
      </w:r>
      <w:r>
        <w:t xml:space="preserve"> Appellate Body report, </w:t>
      </w:r>
      <w:r>
        <w:rPr>
          <w:i/>
          <w:iCs/>
        </w:rPr>
        <w:t xml:space="preserve">US – Shrimp, </w:t>
      </w:r>
      <w:r w:rsidR="00A03191">
        <w:t xml:space="preserve">para </w:t>
      </w:r>
      <w:r w:rsidR="009A55B8">
        <w:t>133</w:t>
      </w:r>
      <w:r w:rsidR="00D17D09">
        <w:t>.</w:t>
      </w:r>
    </w:p>
  </w:footnote>
  <w:footnote w:id="9">
    <w:p w14:paraId="46C0BCB8" w14:textId="3BCCD990" w:rsidR="003A5F4C" w:rsidRPr="000826A2" w:rsidRDefault="003A5F4C" w:rsidP="003A5F4C">
      <w:pPr>
        <w:pStyle w:val="FootnoteText"/>
        <w:rPr>
          <w:i/>
          <w:iCs/>
        </w:rPr>
      </w:pPr>
      <w:r w:rsidRPr="00716A40">
        <w:rPr>
          <w:rStyle w:val="FootnoteReference"/>
        </w:rPr>
        <w:footnoteRef/>
      </w:r>
      <w:r w:rsidRPr="00716A40">
        <w:t xml:space="preserve"> </w:t>
      </w:r>
      <w:r w:rsidR="00BC3FC4" w:rsidRPr="00716A40">
        <w:t xml:space="preserve">Appellate, Body report, </w:t>
      </w:r>
      <w:r w:rsidR="00BC3FC4" w:rsidRPr="00716A40">
        <w:rPr>
          <w:i/>
          <w:iCs/>
        </w:rPr>
        <w:t>China - Raw Materials</w:t>
      </w:r>
      <w:r w:rsidR="00BC3FC4" w:rsidRPr="00716A40">
        <w:t>, para 360</w:t>
      </w:r>
    </w:p>
  </w:footnote>
  <w:footnote w:id="10">
    <w:p w14:paraId="1CDBDED7" w14:textId="5C2370FC" w:rsidR="0083033E" w:rsidRPr="0083033E" w:rsidRDefault="0083033E">
      <w:pPr>
        <w:pStyle w:val="FootnoteText"/>
        <w:rPr>
          <w:lang w:val="en-US"/>
        </w:rPr>
      </w:pPr>
      <w:r>
        <w:rPr>
          <w:rStyle w:val="FootnoteReference"/>
        </w:rPr>
        <w:footnoteRef/>
      </w:r>
      <w:r>
        <w:t xml:space="preserve"> </w:t>
      </w:r>
      <w:r w:rsidR="000826A2">
        <w:t xml:space="preserve">See the </w:t>
      </w:r>
      <w:r w:rsidR="000826A2" w:rsidRPr="000826A2">
        <w:rPr>
          <w:i/>
          <w:iCs/>
          <w:lang w:val="en-US"/>
        </w:rPr>
        <w:t>chapeau</w:t>
      </w:r>
      <w:r w:rsidR="000826A2">
        <w:rPr>
          <w:lang w:val="en-US"/>
        </w:rPr>
        <w:t xml:space="preserve"> of Article XX</w:t>
      </w:r>
      <w:r w:rsidR="00D85A93">
        <w:rPr>
          <w:lang w:val="en-US"/>
        </w:rPr>
        <w:t xml:space="preserve"> of the GATT 1994</w:t>
      </w:r>
      <w:r w:rsidR="000826A2">
        <w:rPr>
          <w:lang w:val="en-US"/>
        </w:rPr>
        <w:t xml:space="preserve">. </w:t>
      </w:r>
    </w:p>
  </w:footnote>
  <w:footnote w:id="11">
    <w:p w14:paraId="7978A629" w14:textId="282535AA" w:rsidR="005A7FB8" w:rsidRPr="00E83E35" w:rsidRDefault="005A7FB8">
      <w:pPr>
        <w:pStyle w:val="FootnoteText"/>
      </w:pPr>
      <w:r>
        <w:rPr>
          <w:rStyle w:val="FootnoteReference"/>
        </w:rPr>
        <w:footnoteRef/>
      </w:r>
      <w:r>
        <w:t xml:space="preserve"> </w:t>
      </w:r>
      <w:r w:rsidR="00E83E35">
        <w:t>Appellate Body report</w:t>
      </w:r>
      <w:r w:rsidR="003C5115">
        <w:t>s</w:t>
      </w:r>
      <w:r w:rsidR="00E83E35">
        <w:t xml:space="preserve">, </w:t>
      </w:r>
      <w:r w:rsidR="00E83E35">
        <w:rPr>
          <w:i/>
          <w:iCs/>
        </w:rPr>
        <w:t xml:space="preserve">EC – Seal Products, </w:t>
      </w:r>
      <w:r w:rsidR="004D48CD" w:rsidRPr="0055172B">
        <w:t>paras 5.299-5.301</w:t>
      </w:r>
    </w:p>
  </w:footnote>
  <w:footnote w:id="12">
    <w:p w14:paraId="5A933A8D" w14:textId="2E477EEA" w:rsidR="00BC56DF" w:rsidRPr="00BC56DF" w:rsidRDefault="00BC56DF">
      <w:pPr>
        <w:pStyle w:val="FootnoteText"/>
        <w:rPr>
          <w:i/>
          <w:iCs/>
        </w:rPr>
      </w:pPr>
      <w:r>
        <w:rPr>
          <w:rStyle w:val="FootnoteReference"/>
        </w:rPr>
        <w:footnoteRef/>
      </w:r>
      <w:r>
        <w:t xml:space="preserve"> </w:t>
      </w:r>
      <w:r w:rsidR="000826A2">
        <w:t xml:space="preserve">China </w:t>
      </w:r>
      <w:r w:rsidR="00B027FB">
        <w:t>f</w:t>
      </w:r>
      <w:r w:rsidR="000826A2">
        <w:t xml:space="preserve">irst </w:t>
      </w:r>
      <w:r w:rsidR="00B027FB">
        <w:t>w</w:t>
      </w:r>
      <w:r w:rsidR="000826A2">
        <w:t xml:space="preserve">ritten </w:t>
      </w:r>
      <w:r w:rsidR="00B027FB">
        <w:t>s</w:t>
      </w:r>
      <w:r w:rsidR="000826A2">
        <w:t>ubmission, para 8.</w:t>
      </w:r>
    </w:p>
  </w:footnote>
  <w:footnote w:id="13">
    <w:p w14:paraId="11F72724" w14:textId="36887919" w:rsidR="00822E4F" w:rsidRDefault="00822E4F">
      <w:pPr>
        <w:pStyle w:val="FootnoteText"/>
      </w:pPr>
      <w:r>
        <w:rPr>
          <w:rStyle w:val="FootnoteReference"/>
        </w:rPr>
        <w:footnoteRef/>
      </w:r>
      <w:r>
        <w:t xml:space="preserve"> </w:t>
      </w:r>
      <w:r w:rsidR="009A57BB" w:rsidRPr="009A57BB">
        <w:t xml:space="preserve">Türkiye's first written submission, para 3.30  </w:t>
      </w:r>
    </w:p>
  </w:footnote>
  <w:footnote w:id="14">
    <w:p w14:paraId="2C1DC2CB" w14:textId="29159B22" w:rsidR="003B5F02" w:rsidRDefault="003B5F02">
      <w:pPr>
        <w:pStyle w:val="FootnoteText"/>
      </w:pPr>
      <w:r>
        <w:rPr>
          <w:rStyle w:val="FootnoteReference"/>
        </w:rPr>
        <w:footnoteRef/>
      </w:r>
      <w:r>
        <w:t xml:space="preserve"> </w:t>
      </w:r>
      <w:r w:rsidR="007B40F0" w:rsidRPr="009A57BB">
        <w:t>Türkiye's first written submission, para. 3.</w:t>
      </w:r>
      <w:r w:rsidR="007B40F0">
        <w:t>197.</w:t>
      </w:r>
      <w:r w:rsidR="007B40F0" w:rsidRPr="009A57BB">
        <w:t xml:space="preserve">  </w:t>
      </w:r>
    </w:p>
  </w:footnote>
  <w:footnote w:id="15">
    <w:p w14:paraId="22D3393A" w14:textId="3E98B353" w:rsidR="000826A2" w:rsidRPr="000826A2" w:rsidRDefault="000826A2">
      <w:pPr>
        <w:pStyle w:val="FootnoteText"/>
        <w:rPr>
          <w:lang w:val="en-US"/>
        </w:rPr>
      </w:pPr>
      <w:r>
        <w:rPr>
          <w:rStyle w:val="FootnoteReference"/>
        </w:rPr>
        <w:footnoteRef/>
      </w:r>
      <w:r>
        <w:t xml:space="preserve"> </w:t>
      </w:r>
      <w:r>
        <w:rPr>
          <w:lang w:val="en-US"/>
        </w:rPr>
        <w:t>See Exhibit TUR-62.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ADC3" w14:textId="6A738A47" w:rsidR="00E66DEB" w:rsidRPr="00E66DEB" w:rsidRDefault="00E66DEB" w:rsidP="00E66DEB">
    <w:pPr>
      <w:pStyle w:val="Header"/>
      <w:rPr>
        <w:i/>
        <w:iCs/>
      </w:rPr>
    </w:pPr>
    <w:r w:rsidRPr="00E66DEB">
      <w:rPr>
        <w:i/>
        <w:iCs/>
      </w:rPr>
      <w:t>Türkiye – EVs (China)</w:t>
    </w:r>
    <w:r w:rsidRPr="00E66DEB">
      <w:rPr>
        <w:i/>
        <w:iCs/>
      </w:rPr>
      <w:tab/>
    </w:r>
    <w:r w:rsidRPr="00E66DEB">
      <w:rPr>
        <w:i/>
        <w:iCs/>
      </w:rPr>
      <w:tab/>
      <w:t xml:space="preserve">Third party </w:t>
    </w:r>
    <w:r w:rsidR="0088774C">
      <w:rPr>
        <w:i/>
        <w:iCs/>
      </w:rPr>
      <w:t>oral statement</w:t>
    </w:r>
    <w:r w:rsidRPr="00E66DEB">
      <w:rPr>
        <w:i/>
        <w:iCs/>
      </w:rPr>
      <w:t xml:space="preserve"> of Australia</w:t>
    </w:r>
  </w:p>
  <w:p w14:paraId="01A6DA99" w14:textId="36EF3AB8" w:rsidR="00E66DEB" w:rsidRPr="00E66DEB" w:rsidRDefault="00E66DEB" w:rsidP="00E66DEB">
    <w:pPr>
      <w:pStyle w:val="Header"/>
      <w:rPr>
        <w:i/>
        <w:iCs/>
      </w:rPr>
    </w:pPr>
    <w:r w:rsidRPr="00E66DEB">
      <w:rPr>
        <w:i/>
        <w:iCs/>
      </w:rPr>
      <w:t>(DS629)</w:t>
    </w:r>
    <w:r w:rsidRPr="00E66DEB">
      <w:rPr>
        <w:i/>
        <w:iCs/>
      </w:rPr>
      <w:tab/>
    </w:r>
    <w:r w:rsidRPr="00E66DEB">
      <w:rPr>
        <w:i/>
        <w:iCs/>
      </w:rPr>
      <w:tab/>
    </w:r>
    <w:r>
      <w:rPr>
        <w:i/>
        <w:iCs/>
      </w:rPr>
      <w:t>24 September</w:t>
    </w:r>
    <w:r w:rsidRPr="00E66DEB">
      <w:rPr>
        <w:i/>
        <w:iCs/>
      </w:rPr>
      <w:t xml:space="preserve"> 2025</w:t>
    </w:r>
  </w:p>
  <w:p w14:paraId="33E81E2E" w14:textId="791CE15E" w:rsidR="00380795" w:rsidRDefault="00380795" w:rsidP="00E66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9A86" w14:textId="01C77B49" w:rsidR="0088774C" w:rsidRPr="00BF078E" w:rsidRDefault="0088774C" w:rsidP="0088774C">
    <w:pPr>
      <w:jc w:val="right"/>
      <w:rPr>
        <w:b/>
        <w:bCs/>
        <w:sz w:val="28"/>
        <w:szCs w:val="28"/>
        <w:u w:val="single"/>
      </w:rPr>
    </w:pPr>
  </w:p>
  <w:p w14:paraId="6D714D79" w14:textId="77777777" w:rsidR="0088774C" w:rsidRDefault="0088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59A"/>
    <w:multiLevelType w:val="hybridMultilevel"/>
    <w:tmpl w:val="C0784592"/>
    <w:lvl w:ilvl="0" w:tplc="AE1A8D56">
      <w:start w:val="1"/>
      <w:numFmt w:val="decimal"/>
      <w:pStyle w:val="FCFigureCaption"/>
      <w:lvlText w:val="Figure %1"/>
      <w:lvlJc w:val="left"/>
      <w:pPr>
        <w:tabs>
          <w:tab w:val="num" w:pos="1134"/>
        </w:tabs>
        <w:ind w:left="1134" w:hanging="113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4596"/>
    <w:multiLevelType w:val="multilevel"/>
    <w:tmpl w:val="3EF6F766"/>
    <w:lvl w:ilvl="0">
      <w:start w:val="1"/>
      <w:numFmt w:val="upperRoman"/>
      <w:pStyle w:val="HL1HeadingLevel1"/>
      <w:lvlText w:val="%1."/>
      <w:lvlJc w:val="left"/>
      <w:pPr>
        <w:tabs>
          <w:tab w:val="num" w:pos="851"/>
        </w:tabs>
        <w:ind w:left="851" w:hanging="851"/>
      </w:pPr>
      <w:rPr>
        <w:rFonts w:hint="default"/>
      </w:rPr>
    </w:lvl>
    <w:lvl w:ilvl="1">
      <w:start w:val="1"/>
      <w:numFmt w:val="upperLetter"/>
      <w:pStyle w:val="HL2HeadingLevel2"/>
      <w:lvlText w:val="%2."/>
      <w:lvlJc w:val="left"/>
      <w:pPr>
        <w:tabs>
          <w:tab w:val="num" w:pos="1702"/>
        </w:tabs>
        <w:ind w:left="1702" w:hanging="851"/>
      </w:pPr>
      <w:rPr>
        <w:rFonts w:hint="default"/>
      </w:rPr>
    </w:lvl>
    <w:lvl w:ilvl="2">
      <w:start w:val="1"/>
      <w:numFmt w:val="decimal"/>
      <w:pStyle w:val="HL3HeadingLevel3"/>
      <w:lvlText w:val="%3."/>
      <w:lvlJc w:val="left"/>
      <w:pPr>
        <w:tabs>
          <w:tab w:val="num" w:pos="2553"/>
        </w:tabs>
        <w:ind w:left="2553" w:hanging="851"/>
      </w:pPr>
      <w:rPr>
        <w:rFonts w:hint="default"/>
      </w:rPr>
    </w:lvl>
    <w:lvl w:ilvl="3">
      <w:start w:val="1"/>
      <w:numFmt w:val="lowerLetter"/>
      <w:pStyle w:val="HL4HeadingLevel4"/>
      <w:lvlText w:val="(%4)"/>
      <w:lvlJc w:val="left"/>
      <w:pPr>
        <w:tabs>
          <w:tab w:val="num" w:pos="3404"/>
        </w:tabs>
        <w:ind w:left="3404" w:hanging="851"/>
      </w:pPr>
      <w:rPr>
        <w:rFonts w:hint="default"/>
        <w:u w:val="single"/>
      </w:rPr>
    </w:lvl>
    <w:lvl w:ilvl="4">
      <w:start w:val="1"/>
      <w:numFmt w:val="lowerRoman"/>
      <w:pStyle w:val="HL5HeadingLevel5"/>
      <w:lvlText w:val="%5."/>
      <w:lvlJc w:val="left"/>
      <w:pPr>
        <w:tabs>
          <w:tab w:val="num" w:pos="4255"/>
        </w:tabs>
        <w:ind w:left="4255" w:hanging="851"/>
      </w:pPr>
      <w:rPr>
        <w:rFonts w:hint="default"/>
      </w:rPr>
    </w:lvl>
    <w:lvl w:ilvl="5">
      <w:start w:val="1"/>
      <w:numFmt w:val="upperLetter"/>
      <w:pStyle w:val="HL6HeadingLevel6"/>
      <w:lvlText w:val="(%6)"/>
      <w:lvlJc w:val="left"/>
      <w:pPr>
        <w:tabs>
          <w:tab w:val="num" w:pos="5103"/>
        </w:tabs>
        <w:ind w:left="5103" w:hanging="848"/>
      </w:pPr>
      <w:rPr>
        <w:rFonts w:hint="default"/>
      </w:rPr>
    </w:lvl>
    <w:lvl w:ilvl="6">
      <w:start w:val="1"/>
      <w:numFmt w:val="decimal"/>
      <w:pStyle w:val="HL7HeadingLevel7"/>
      <w:lvlText w:val="(%7)"/>
      <w:lvlJc w:val="left"/>
      <w:pPr>
        <w:tabs>
          <w:tab w:val="num" w:pos="5954"/>
        </w:tabs>
        <w:ind w:left="5954" w:hanging="851"/>
      </w:pPr>
      <w:rPr>
        <w:rFonts w:hint="default"/>
      </w:rPr>
    </w:lvl>
    <w:lvl w:ilvl="7">
      <w:start w:val="1"/>
      <w:numFmt w:val="lowerLetter"/>
      <w:pStyle w:val="HL8HeadingLevel8"/>
      <w:lvlText w:val="%8."/>
      <w:lvlJc w:val="left"/>
      <w:pPr>
        <w:tabs>
          <w:tab w:val="num" w:pos="6804"/>
        </w:tabs>
        <w:ind w:left="6804" w:hanging="850"/>
      </w:pPr>
      <w:rPr>
        <w:rFonts w:hint="default"/>
      </w:rPr>
    </w:lvl>
    <w:lvl w:ilvl="8">
      <w:start w:val="1"/>
      <w:numFmt w:val="lowerRoman"/>
      <w:pStyle w:val="HL9HeadingLevel9"/>
      <w:lvlText w:val="%9)"/>
      <w:lvlJc w:val="left"/>
      <w:pPr>
        <w:tabs>
          <w:tab w:val="num" w:pos="7655"/>
        </w:tabs>
        <w:ind w:left="7655" w:hanging="851"/>
      </w:pPr>
      <w:rPr>
        <w:rFonts w:hint="default"/>
      </w:rPr>
    </w:lvl>
  </w:abstractNum>
  <w:abstractNum w:abstractNumId="2" w15:restartNumberingAfterBreak="0">
    <w:nsid w:val="28243105"/>
    <w:multiLevelType w:val="hybridMultilevel"/>
    <w:tmpl w:val="8E56E39C"/>
    <w:lvl w:ilvl="0" w:tplc="ECDA052A">
      <w:start w:val="1"/>
      <w:numFmt w:val="decimal"/>
      <w:pStyle w:val="P1-N1Paragraph1-Number1"/>
      <w:lvlText w:val="%1."/>
      <w:lvlJc w:val="left"/>
      <w:pPr>
        <w:tabs>
          <w:tab w:val="num" w:pos="851"/>
        </w:tabs>
        <w:ind w:left="0" w:firstLine="0"/>
      </w:pPr>
      <w:rPr>
        <w:rFonts w:hint="default"/>
      </w:rPr>
    </w:lvl>
    <w:lvl w:ilvl="1" w:tplc="35D2146C">
      <w:start w:val="1"/>
      <w:numFmt w:val="bullet"/>
      <w:pStyle w:val="P2-B1Paragraph2-Bullet1"/>
      <w:lvlText w:val=""/>
      <w:lvlJc w:val="left"/>
      <w:pPr>
        <w:tabs>
          <w:tab w:val="num" w:pos="1701"/>
        </w:tabs>
        <w:ind w:left="1701" w:hanging="850"/>
      </w:pPr>
      <w:rPr>
        <w:rFonts w:ascii="Symbol" w:hAnsi="Symbol" w:hint="default"/>
      </w:r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3" w15:restartNumberingAfterBreak="0">
    <w:nsid w:val="595D1099"/>
    <w:multiLevelType w:val="multilevel"/>
    <w:tmpl w:val="79A4006C"/>
    <w:lvl w:ilvl="0">
      <w:start w:val="1"/>
      <w:numFmt w:val="upperLetter"/>
      <w:pStyle w:val="AHL1AnnexHeadingLevel1"/>
      <w:lvlText w:val="ANNEX %1"/>
      <w:lvlJc w:val="left"/>
      <w:pPr>
        <w:tabs>
          <w:tab w:val="num" w:pos="1418"/>
        </w:tabs>
        <w:ind w:left="1418" w:hanging="1418"/>
      </w:pPr>
      <w:rPr>
        <w:rFonts w:hint="default"/>
      </w:rPr>
    </w:lvl>
    <w:lvl w:ilvl="1">
      <w:start w:val="1"/>
      <w:numFmt w:val="decimal"/>
      <w:pStyle w:val="AHL2AnnexHeadingLevel2"/>
      <w:lvlText w:val="%1.%2"/>
      <w:lvlJc w:val="left"/>
      <w:pPr>
        <w:tabs>
          <w:tab w:val="num" w:pos="851"/>
        </w:tabs>
        <w:ind w:left="851" w:hanging="851"/>
      </w:pPr>
      <w:rPr>
        <w:rFonts w:hint="default"/>
      </w:rPr>
    </w:lvl>
    <w:lvl w:ilvl="2">
      <w:start w:val="1"/>
      <w:numFmt w:val="decimal"/>
      <w:pStyle w:val="AHL3AnnexHeadingLevel3"/>
      <w:lvlText w:val="%1.%2.%3"/>
      <w:lvlJc w:val="left"/>
      <w:pPr>
        <w:tabs>
          <w:tab w:val="num" w:pos="1701"/>
        </w:tabs>
        <w:ind w:left="1701" w:hanging="850"/>
      </w:pPr>
      <w:rPr>
        <w:rFonts w:hint="default"/>
      </w:rPr>
    </w:lvl>
    <w:lvl w:ilvl="3">
      <w:start w:val="1"/>
      <w:numFmt w:val="decimal"/>
      <w:pStyle w:val="AHL4AnnexHeadingLevel4"/>
      <w:lvlText w:val="%1.%2.%3.%4"/>
      <w:lvlJc w:val="left"/>
      <w:pPr>
        <w:tabs>
          <w:tab w:val="num" w:pos="2835"/>
        </w:tabs>
        <w:ind w:left="2835" w:hanging="1134"/>
      </w:pPr>
      <w:rPr>
        <w:rFonts w:hint="default"/>
        <w:u w:val="single"/>
      </w:rPr>
    </w:lvl>
    <w:lvl w:ilvl="4">
      <w:start w:val="1"/>
      <w:numFmt w:val="none"/>
      <w:pStyle w:val="AHL5AnnexHeadingLevel5"/>
      <w:lvlText w:val=""/>
      <w:lvlJc w:val="left"/>
      <w:pPr>
        <w:ind w:left="2552" w:firstLine="0"/>
      </w:pPr>
      <w:rPr>
        <w:rFonts w:hint="default"/>
      </w:rPr>
    </w:lvl>
    <w:lvl w:ilvl="5">
      <w:start w:val="1"/>
      <w:numFmt w:val="none"/>
      <w:pStyle w:val="AHL6AnnexHeadingLevel6"/>
      <w:lvlText w:val=""/>
      <w:lvlJc w:val="left"/>
      <w:pPr>
        <w:ind w:left="3402" w:firstLine="0"/>
      </w:pPr>
      <w:rPr>
        <w:rFonts w:hint="default"/>
      </w:rPr>
    </w:lvl>
    <w:lvl w:ilvl="6">
      <w:start w:val="1"/>
      <w:numFmt w:val="none"/>
      <w:pStyle w:val="AHL7AnnexHeadingLevel7"/>
      <w:lvlText w:val=""/>
      <w:lvlJc w:val="left"/>
      <w:pPr>
        <w:ind w:left="4253" w:firstLine="0"/>
      </w:pPr>
      <w:rPr>
        <w:rFonts w:hint="default"/>
      </w:rPr>
    </w:lvl>
    <w:lvl w:ilvl="7">
      <w:start w:val="1"/>
      <w:numFmt w:val="none"/>
      <w:pStyle w:val="AHL8AnnexHeadingLevel8"/>
      <w:lvlText w:val=""/>
      <w:lvlJc w:val="left"/>
      <w:pPr>
        <w:ind w:left="5103" w:firstLine="0"/>
      </w:pPr>
      <w:rPr>
        <w:rFonts w:hint="default"/>
      </w:rPr>
    </w:lvl>
    <w:lvl w:ilvl="8">
      <w:start w:val="1"/>
      <w:numFmt w:val="none"/>
      <w:pStyle w:val="AHL9AnnexHeadingLevel9"/>
      <w:lvlText w:val=""/>
      <w:lvlJc w:val="left"/>
      <w:pPr>
        <w:ind w:left="5954" w:firstLine="0"/>
      </w:pPr>
      <w:rPr>
        <w:rFonts w:hint="default"/>
      </w:rPr>
    </w:lvl>
  </w:abstractNum>
  <w:abstractNum w:abstractNumId="4" w15:restartNumberingAfterBreak="0">
    <w:nsid w:val="67CE0D86"/>
    <w:multiLevelType w:val="hybridMultilevel"/>
    <w:tmpl w:val="48F8E010"/>
    <w:lvl w:ilvl="0" w:tplc="15ACE29E">
      <w:start w:val="1"/>
      <w:numFmt w:val="decimal"/>
      <w:pStyle w:val="TCTableCaption"/>
      <w:lvlText w:val="Table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3908728">
    <w:abstractNumId w:val="2"/>
  </w:num>
  <w:num w:numId="2" w16cid:durableId="940181143">
    <w:abstractNumId w:val="1"/>
  </w:num>
  <w:num w:numId="3" w16cid:durableId="1682320453">
    <w:abstractNumId w:val="2"/>
    <w:lvlOverride w:ilvl="0">
      <w:startOverride w:val="1"/>
    </w:lvlOverride>
  </w:num>
  <w:num w:numId="4" w16cid:durableId="1215241356">
    <w:abstractNumId w:val="0"/>
  </w:num>
  <w:num w:numId="5" w16cid:durableId="51124704">
    <w:abstractNumId w:val="4"/>
  </w:num>
  <w:num w:numId="6" w16cid:durableId="301809414">
    <w:abstractNumId w:val="3"/>
  </w:num>
  <w:num w:numId="7" w16cid:durableId="303776780">
    <w:abstractNumId w:val="3"/>
  </w:num>
  <w:num w:numId="8" w16cid:durableId="1922443876">
    <w:abstractNumId w:val="1"/>
  </w:num>
  <w:num w:numId="9" w16cid:durableId="364259355">
    <w:abstractNumId w:val="1"/>
  </w:num>
  <w:num w:numId="10" w16cid:durableId="625425272">
    <w:abstractNumId w:val="1"/>
  </w:num>
  <w:num w:numId="11" w16cid:durableId="2082096068">
    <w:abstractNumId w:val="2"/>
  </w:num>
  <w:num w:numId="12" w16cid:durableId="668096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F5"/>
    <w:rsid w:val="00003032"/>
    <w:rsid w:val="00004009"/>
    <w:rsid w:val="00006269"/>
    <w:rsid w:val="00006FFA"/>
    <w:rsid w:val="00012CD7"/>
    <w:rsid w:val="00013F6E"/>
    <w:rsid w:val="000142F5"/>
    <w:rsid w:val="00021AA8"/>
    <w:rsid w:val="00023C47"/>
    <w:rsid w:val="00024C2C"/>
    <w:rsid w:val="00025483"/>
    <w:rsid w:val="00026438"/>
    <w:rsid w:val="00030A32"/>
    <w:rsid w:val="00031577"/>
    <w:rsid w:val="0003272F"/>
    <w:rsid w:val="000349C9"/>
    <w:rsid w:val="000403FB"/>
    <w:rsid w:val="00040482"/>
    <w:rsid w:val="00041679"/>
    <w:rsid w:val="0004174E"/>
    <w:rsid w:val="00042BF9"/>
    <w:rsid w:val="000453F8"/>
    <w:rsid w:val="00046BAF"/>
    <w:rsid w:val="00046C46"/>
    <w:rsid w:val="000500D3"/>
    <w:rsid w:val="000526AF"/>
    <w:rsid w:val="00056138"/>
    <w:rsid w:val="00066099"/>
    <w:rsid w:val="000662B0"/>
    <w:rsid w:val="00067DAC"/>
    <w:rsid w:val="000716BD"/>
    <w:rsid w:val="00071D11"/>
    <w:rsid w:val="00072960"/>
    <w:rsid w:val="0007327B"/>
    <w:rsid w:val="000757ED"/>
    <w:rsid w:val="00075F34"/>
    <w:rsid w:val="00081602"/>
    <w:rsid w:val="00082549"/>
    <w:rsid w:val="000826A2"/>
    <w:rsid w:val="00090996"/>
    <w:rsid w:val="0009161C"/>
    <w:rsid w:val="00093175"/>
    <w:rsid w:val="00094DFA"/>
    <w:rsid w:val="000950D2"/>
    <w:rsid w:val="00097768"/>
    <w:rsid w:val="000A0218"/>
    <w:rsid w:val="000A3E2D"/>
    <w:rsid w:val="000C14F5"/>
    <w:rsid w:val="000C5870"/>
    <w:rsid w:val="000C69EE"/>
    <w:rsid w:val="000C6BCC"/>
    <w:rsid w:val="000D5E32"/>
    <w:rsid w:val="000E4C65"/>
    <w:rsid w:val="000E5FC0"/>
    <w:rsid w:val="000F179B"/>
    <w:rsid w:val="000F28BA"/>
    <w:rsid w:val="000F3532"/>
    <w:rsid w:val="000F4EA1"/>
    <w:rsid w:val="00100978"/>
    <w:rsid w:val="0010222A"/>
    <w:rsid w:val="001143E4"/>
    <w:rsid w:val="00114A90"/>
    <w:rsid w:val="0011547E"/>
    <w:rsid w:val="0012151F"/>
    <w:rsid w:val="001220A7"/>
    <w:rsid w:val="00133F21"/>
    <w:rsid w:val="00137EBC"/>
    <w:rsid w:val="00142471"/>
    <w:rsid w:val="00143879"/>
    <w:rsid w:val="00144BE3"/>
    <w:rsid w:val="00145C60"/>
    <w:rsid w:val="00147CF0"/>
    <w:rsid w:val="001570CB"/>
    <w:rsid w:val="00160343"/>
    <w:rsid w:val="00163DCF"/>
    <w:rsid w:val="00165108"/>
    <w:rsid w:val="0016583A"/>
    <w:rsid w:val="001667F7"/>
    <w:rsid w:val="0017192E"/>
    <w:rsid w:val="0017648C"/>
    <w:rsid w:val="00181232"/>
    <w:rsid w:val="00182727"/>
    <w:rsid w:val="0018463E"/>
    <w:rsid w:val="00192CE2"/>
    <w:rsid w:val="00195E70"/>
    <w:rsid w:val="00197C7E"/>
    <w:rsid w:val="001A0F02"/>
    <w:rsid w:val="001A41B7"/>
    <w:rsid w:val="001A554B"/>
    <w:rsid w:val="001A698C"/>
    <w:rsid w:val="001B4CCF"/>
    <w:rsid w:val="001C35F5"/>
    <w:rsid w:val="001D70D9"/>
    <w:rsid w:val="001E00AA"/>
    <w:rsid w:val="001E21AD"/>
    <w:rsid w:val="001E428E"/>
    <w:rsid w:val="001E6DF9"/>
    <w:rsid w:val="001F3998"/>
    <w:rsid w:val="001F46B7"/>
    <w:rsid w:val="001F5441"/>
    <w:rsid w:val="002013B1"/>
    <w:rsid w:val="00204552"/>
    <w:rsid w:val="00206C66"/>
    <w:rsid w:val="002070FA"/>
    <w:rsid w:val="002074D5"/>
    <w:rsid w:val="00212CBA"/>
    <w:rsid w:val="002225DB"/>
    <w:rsid w:val="00230197"/>
    <w:rsid w:val="0023272D"/>
    <w:rsid w:val="0023368A"/>
    <w:rsid w:val="00234267"/>
    <w:rsid w:val="002343F4"/>
    <w:rsid w:val="002368FE"/>
    <w:rsid w:val="002434A9"/>
    <w:rsid w:val="00245FA1"/>
    <w:rsid w:val="00253FF7"/>
    <w:rsid w:val="002603E6"/>
    <w:rsid w:val="0026128E"/>
    <w:rsid w:val="002631EA"/>
    <w:rsid w:val="00263E48"/>
    <w:rsid w:val="00264EA4"/>
    <w:rsid w:val="0026736C"/>
    <w:rsid w:val="002715D0"/>
    <w:rsid w:val="00272EA7"/>
    <w:rsid w:val="002774D9"/>
    <w:rsid w:val="0028097C"/>
    <w:rsid w:val="00280AA4"/>
    <w:rsid w:val="00283DB2"/>
    <w:rsid w:val="00286413"/>
    <w:rsid w:val="00290777"/>
    <w:rsid w:val="002B243E"/>
    <w:rsid w:val="002B2ABD"/>
    <w:rsid w:val="002B3526"/>
    <w:rsid w:val="002B652D"/>
    <w:rsid w:val="002B7ADA"/>
    <w:rsid w:val="002C7DD9"/>
    <w:rsid w:val="002E0856"/>
    <w:rsid w:val="002E2670"/>
    <w:rsid w:val="002E4C1A"/>
    <w:rsid w:val="002E5C28"/>
    <w:rsid w:val="002E6DF2"/>
    <w:rsid w:val="002F02FD"/>
    <w:rsid w:val="002F1025"/>
    <w:rsid w:val="002F342D"/>
    <w:rsid w:val="002F433F"/>
    <w:rsid w:val="003005A3"/>
    <w:rsid w:val="00307895"/>
    <w:rsid w:val="003078DE"/>
    <w:rsid w:val="0031054B"/>
    <w:rsid w:val="003223FB"/>
    <w:rsid w:val="00323D58"/>
    <w:rsid w:val="00330582"/>
    <w:rsid w:val="00336A26"/>
    <w:rsid w:val="0034019F"/>
    <w:rsid w:val="0034182B"/>
    <w:rsid w:val="00343C7D"/>
    <w:rsid w:val="00344E08"/>
    <w:rsid w:val="00345731"/>
    <w:rsid w:val="003514BB"/>
    <w:rsid w:val="003516CD"/>
    <w:rsid w:val="00352C66"/>
    <w:rsid w:val="00354A06"/>
    <w:rsid w:val="00355394"/>
    <w:rsid w:val="00357AFD"/>
    <w:rsid w:val="00357DD4"/>
    <w:rsid w:val="003651EE"/>
    <w:rsid w:val="00365926"/>
    <w:rsid w:val="003771E8"/>
    <w:rsid w:val="00380306"/>
    <w:rsid w:val="00380454"/>
    <w:rsid w:val="00380795"/>
    <w:rsid w:val="00380863"/>
    <w:rsid w:val="00383B0B"/>
    <w:rsid w:val="003858A2"/>
    <w:rsid w:val="00385DA5"/>
    <w:rsid w:val="00392562"/>
    <w:rsid w:val="00393BA6"/>
    <w:rsid w:val="00394B3B"/>
    <w:rsid w:val="00395478"/>
    <w:rsid w:val="0039648E"/>
    <w:rsid w:val="00396B82"/>
    <w:rsid w:val="003971B7"/>
    <w:rsid w:val="003A10EE"/>
    <w:rsid w:val="003A3FC8"/>
    <w:rsid w:val="003A56A4"/>
    <w:rsid w:val="003A5EE8"/>
    <w:rsid w:val="003A5F4C"/>
    <w:rsid w:val="003B09C5"/>
    <w:rsid w:val="003B19E2"/>
    <w:rsid w:val="003B47BF"/>
    <w:rsid w:val="003B5F02"/>
    <w:rsid w:val="003C05CA"/>
    <w:rsid w:val="003C2D14"/>
    <w:rsid w:val="003C35ED"/>
    <w:rsid w:val="003C5115"/>
    <w:rsid w:val="003C69C8"/>
    <w:rsid w:val="003C6C58"/>
    <w:rsid w:val="003C75A5"/>
    <w:rsid w:val="003D0BA6"/>
    <w:rsid w:val="003D1618"/>
    <w:rsid w:val="003D6AEA"/>
    <w:rsid w:val="003D7F73"/>
    <w:rsid w:val="003E02BA"/>
    <w:rsid w:val="003E2CDA"/>
    <w:rsid w:val="003E3760"/>
    <w:rsid w:val="003F1157"/>
    <w:rsid w:val="003F19CF"/>
    <w:rsid w:val="003F2C72"/>
    <w:rsid w:val="003F5399"/>
    <w:rsid w:val="003F6B22"/>
    <w:rsid w:val="0040108F"/>
    <w:rsid w:val="00402F5F"/>
    <w:rsid w:val="004036D9"/>
    <w:rsid w:val="00403754"/>
    <w:rsid w:val="00403C21"/>
    <w:rsid w:val="00404477"/>
    <w:rsid w:val="00405D81"/>
    <w:rsid w:val="00410734"/>
    <w:rsid w:val="00414D11"/>
    <w:rsid w:val="00420443"/>
    <w:rsid w:val="00425AA1"/>
    <w:rsid w:val="00427FED"/>
    <w:rsid w:val="004310B3"/>
    <w:rsid w:val="00432CAB"/>
    <w:rsid w:val="004342E7"/>
    <w:rsid w:val="00435B0C"/>
    <w:rsid w:val="00443939"/>
    <w:rsid w:val="004440D8"/>
    <w:rsid w:val="004443C1"/>
    <w:rsid w:val="00447559"/>
    <w:rsid w:val="004524CE"/>
    <w:rsid w:val="00453C6C"/>
    <w:rsid w:val="00454A8F"/>
    <w:rsid w:val="004602DE"/>
    <w:rsid w:val="00461045"/>
    <w:rsid w:val="004627F2"/>
    <w:rsid w:val="00462AEC"/>
    <w:rsid w:val="00464B3E"/>
    <w:rsid w:val="004675DE"/>
    <w:rsid w:val="004724C9"/>
    <w:rsid w:val="00476FB7"/>
    <w:rsid w:val="004770CE"/>
    <w:rsid w:val="00477519"/>
    <w:rsid w:val="004934F9"/>
    <w:rsid w:val="0049786D"/>
    <w:rsid w:val="004A52C8"/>
    <w:rsid w:val="004B086A"/>
    <w:rsid w:val="004B1C89"/>
    <w:rsid w:val="004B3CBE"/>
    <w:rsid w:val="004B4C32"/>
    <w:rsid w:val="004C0D8E"/>
    <w:rsid w:val="004C335E"/>
    <w:rsid w:val="004D48CD"/>
    <w:rsid w:val="004D4B75"/>
    <w:rsid w:val="004D6BFA"/>
    <w:rsid w:val="004D7079"/>
    <w:rsid w:val="004D7C3F"/>
    <w:rsid w:val="004E0B26"/>
    <w:rsid w:val="004E0E51"/>
    <w:rsid w:val="004E3C17"/>
    <w:rsid w:val="004E5F18"/>
    <w:rsid w:val="004F1191"/>
    <w:rsid w:val="004F2CE5"/>
    <w:rsid w:val="004F4877"/>
    <w:rsid w:val="0050080F"/>
    <w:rsid w:val="0050307C"/>
    <w:rsid w:val="00505CB1"/>
    <w:rsid w:val="00513A57"/>
    <w:rsid w:val="00513E58"/>
    <w:rsid w:val="00515BEE"/>
    <w:rsid w:val="005164E6"/>
    <w:rsid w:val="00521C6A"/>
    <w:rsid w:val="00522495"/>
    <w:rsid w:val="00525CB3"/>
    <w:rsid w:val="0053289D"/>
    <w:rsid w:val="00545225"/>
    <w:rsid w:val="0054720A"/>
    <w:rsid w:val="00547F08"/>
    <w:rsid w:val="0055172B"/>
    <w:rsid w:val="00551B0C"/>
    <w:rsid w:val="00556AB2"/>
    <w:rsid w:val="00556CB3"/>
    <w:rsid w:val="005714C3"/>
    <w:rsid w:val="00573204"/>
    <w:rsid w:val="00576729"/>
    <w:rsid w:val="00577793"/>
    <w:rsid w:val="005777F0"/>
    <w:rsid w:val="00580EA9"/>
    <w:rsid w:val="0058590A"/>
    <w:rsid w:val="00587605"/>
    <w:rsid w:val="00592D94"/>
    <w:rsid w:val="00593D21"/>
    <w:rsid w:val="0059427E"/>
    <w:rsid w:val="005A68EC"/>
    <w:rsid w:val="005A7FB8"/>
    <w:rsid w:val="005B5B10"/>
    <w:rsid w:val="005B5D9C"/>
    <w:rsid w:val="005B6710"/>
    <w:rsid w:val="005C0E21"/>
    <w:rsid w:val="005D0800"/>
    <w:rsid w:val="005D2042"/>
    <w:rsid w:val="005D2748"/>
    <w:rsid w:val="005D2F6A"/>
    <w:rsid w:val="005E065F"/>
    <w:rsid w:val="005E4300"/>
    <w:rsid w:val="005E5260"/>
    <w:rsid w:val="005E66D1"/>
    <w:rsid w:val="005E6739"/>
    <w:rsid w:val="005E6A4E"/>
    <w:rsid w:val="005E7CD7"/>
    <w:rsid w:val="005F0DD5"/>
    <w:rsid w:val="005F35CB"/>
    <w:rsid w:val="005F4454"/>
    <w:rsid w:val="00601CBC"/>
    <w:rsid w:val="006026E9"/>
    <w:rsid w:val="006058C2"/>
    <w:rsid w:val="00606D48"/>
    <w:rsid w:val="0061314D"/>
    <w:rsid w:val="006134EB"/>
    <w:rsid w:val="0062041F"/>
    <w:rsid w:val="00620CE6"/>
    <w:rsid w:val="006220E2"/>
    <w:rsid w:val="00631C3B"/>
    <w:rsid w:val="0063256C"/>
    <w:rsid w:val="006364B1"/>
    <w:rsid w:val="0064343E"/>
    <w:rsid w:val="0064345F"/>
    <w:rsid w:val="00652E63"/>
    <w:rsid w:val="00653A88"/>
    <w:rsid w:val="006550D0"/>
    <w:rsid w:val="006667C2"/>
    <w:rsid w:val="006700CC"/>
    <w:rsid w:val="00670656"/>
    <w:rsid w:val="006727B0"/>
    <w:rsid w:val="00675218"/>
    <w:rsid w:val="006778A5"/>
    <w:rsid w:val="00677E1E"/>
    <w:rsid w:val="00677E51"/>
    <w:rsid w:val="00685073"/>
    <w:rsid w:val="00686B9E"/>
    <w:rsid w:val="00695717"/>
    <w:rsid w:val="00695D05"/>
    <w:rsid w:val="00695D31"/>
    <w:rsid w:val="006964BC"/>
    <w:rsid w:val="00697187"/>
    <w:rsid w:val="006A4FB9"/>
    <w:rsid w:val="006B1AEB"/>
    <w:rsid w:val="006B1C9A"/>
    <w:rsid w:val="006B5985"/>
    <w:rsid w:val="006B6C3C"/>
    <w:rsid w:val="006C1D90"/>
    <w:rsid w:val="006C5CB9"/>
    <w:rsid w:val="006D0A6D"/>
    <w:rsid w:val="006D6929"/>
    <w:rsid w:val="006E2582"/>
    <w:rsid w:val="006E2F9F"/>
    <w:rsid w:val="006E314A"/>
    <w:rsid w:val="006F063B"/>
    <w:rsid w:val="006F189E"/>
    <w:rsid w:val="006F1CC8"/>
    <w:rsid w:val="006F6693"/>
    <w:rsid w:val="00701992"/>
    <w:rsid w:val="00701EB8"/>
    <w:rsid w:val="00706CC5"/>
    <w:rsid w:val="00706E5D"/>
    <w:rsid w:val="007070E3"/>
    <w:rsid w:val="00716A40"/>
    <w:rsid w:val="00720B5C"/>
    <w:rsid w:val="00726A03"/>
    <w:rsid w:val="00730A10"/>
    <w:rsid w:val="00734DAB"/>
    <w:rsid w:val="00743C4F"/>
    <w:rsid w:val="00750879"/>
    <w:rsid w:val="007512CA"/>
    <w:rsid w:val="00752129"/>
    <w:rsid w:val="00752167"/>
    <w:rsid w:val="007528DC"/>
    <w:rsid w:val="00757186"/>
    <w:rsid w:val="007574F0"/>
    <w:rsid w:val="007630FC"/>
    <w:rsid w:val="0076488C"/>
    <w:rsid w:val="00765B55"/>
    <w:rsid w:val="00772964"/>
    <w:rsid w:val="00777950"/>
    <w:rsid w:val="00777C2B"/>
    <w:rsid w:val="0078189E"/>
    <w:rsid w:val="00784C80"/>
    <w:rsid w:val="00785050"/>
    <w:rsid w:val="00791E95"/>
    <w:rsid w:val="00791F34"/>
    <w:rsid w:val="00795605"/>
    <w:rsid w:val="0079567F"/>
    <w:rsid w:val="007A12A4"/>
    <w:rsid w:val="007A25FE"/>
    <w:rsid w:val="007A2793"/>
    <w:rsid w:val="007A3075"/>
    <w:rsid w:val="007A313B"/>
    <w:rsid w:val="007A3EF1"/>
    <w:rsid w:val="007A4B67"/>
    <w:rsid w:val="007A50A2"/>
    <w:rsid w:val="007A50A6"/>
    <w:rsid w:val="007A76A5"/>
    <w:rsid w:val="007B40F0"/>
    <w:rsid w:val="007B4AFE"/>
    <w:rsid w:val="007B6A52"/>
    <w:rsid w:val="007B6D01"/>
    <w:rsid w:val="007C068E"/>
    <w:rsid w:val="007C257F"/>
    <w:rsid w:val="007C348A"/>
    <w:rsid w:val="007C5A23"/>
    <w:rsid w:val="007D027E"/>
    <w:rsid w:val="007D1A40"/>
    <w:rsid w:val="007D4BAC"/>
    <w:rsid w:val="007D4E5B"/>
    <w:rsid w:val="007D5AEA"/>
    <w:rsid w:val="007D62AB"/>
    <w:rsid w:val="007D77DD"/>
    <w:rsid w:val="007E32E3"/>
    <w:rsid w:val="007E60A0"/>
    <w:rsid w:val="007E6A66"/>
    <w:rsid w:val="007E7DB4"/>
    <w:rsid w:val="007F0619"/>
    <w:rsid w:val="007F6C43"/>
    <w:rsid w:val="007F7409"/>
    <w:rsid w:val="00800159"/>
    <w:rsid w:val="00802E21"/>
    <w:rsid w:val="008047D3"/>
    <w:rsid w:val="00806782"/>
    <w:rsid w:val="00814763"/>
    <w:rsid w:val="00815AAC"/>
    <w:rsid w:val="00816D33"/>
    <w:rsid w:val="008171AE"/>
    <w:rsid w:val="00822E4F"/>
    <w:rsid w:val="00827E76"/>
    <w:rsid w:val="0083033E"/>
    <w:rsid w:val="0083436B"/>
    <w:rsid w:val="008345CD"/>
    <w:rsid w:val="00841AB2"/>
    <w:rsid w:val="008459E3"/>
    <w:rsid w:val="008464A2"/>
    <w:rsid w:val="00852BE8"/>
    <w:rsid w:val="008550C5"/>
    <w:rsid w:val="008555CE"/>
    <w:rsid w:val="00855EF8"/>
    <w:rsid w:val="008578D5"/>
    <w:rsid w:val="0086500F"/>
    <w:rsid w:val="00865545"/>
    <w:rsid w:val="00876A03"/>
    <w:rsid w:val="0088439F"/>
    <w:rsid w:val="0088516C"/>
    <w:rsid w:val="00887707"/>
    <w:rsid w:val="0088774C"/>
    <w:rsid w:val="00887792"/>
    <w:rsid w:val="00890CE2"/>
    <w:rsid w:val="008923CA"/>
    <w:rsid w:val="008929A5"/>
    <w:rsid w:val="0089758D"/>
    <w:rsid w:val="008A1191"/>
    <w:rsid w:val="008A3F4A"/>
    <w:rsid w:val="008A4C51"/>
    <w:rsid w:val="008A7E6D"/>
    <w:rsid w:val="008B0C9D"/>
    <w:rsid w:val="008C1917"/>
    <w:rsid w:val="008C302F"/>
    <w:rsid w:val="008D6484"/>
    <w:rsid w:val="008E0031"/>
    <w:rsid w:val="008E0CB0"/>
    <w:rsid w:val="008E192A"/>
    <w:rsid w:val="008E2662"/>
    <w:rsid w:val="008E2AF9"/>
    <w:rsid w:val="008E3E6C"/>
    <w:rsid w:val="008F3167"/>
    <w:rsid w:val="008F5ACF"/>
    <w:rsid w:val="008F5B14"/>
    <w:rsid w:val="008F7779"/>
    <w:rsid w:val="00905748"/>
    <w:rsid w:val="009112C5"/>
    <w:rsid w:val="00914942"/>
    <w:rsid w:val="00917F2E"/>
    <w:rsid w:val="00923163"/>
    <w:rsid w:val="00924653"/>
    <w:rsid w:val="0093054A"/>
    <w:rsid w:val="00934529"/>
    <w:rsid w:val="00937812"/>
    <w:rsid w:val="009410A9"/>
    <w:rsid w:val="0094398A"/>
    <w:rsid w:val="009441C2"/>
    <w:rsid w:val="009442A5"/>
    <w:rsid w:val="009447E1"/>
    <w:rsid w:val="009508E7"/>
    <w:rsid w:val="00955D1F"/>
    <w:rsid w:val="00961C2A"/>
    <w:rsid w:val="00962C06"/>
    <w:rsid w:val="00964132"/>
    <w:rsid w:val="00982909"/>
    <w:rsid w:val="00983FA8"/>
    <w:rsid w:val="00985E50"/>
    <w:rsid w:val="00986143"/>
    <w:rsid w:val="00991E72"/>
    <w:rsid w:val="009950B3"/>
    <w:rsid w:val="00995D2D"/>
    <w:rsid w:val="009A3C2B"/>
    <w:rsid w:val="009A4349"/>
    <w:rsid w:val="009A55B8"/>
    <w:rsid w:val="009A57BB"/>
    <w:rsid w:val="009B18DA"/>
    <w:rsid w:val="009B4EB0"/>
    <w:rsid w:val="009B6AB8"/>
    <w:rsid w:val="009D0FCB"/>
    <w:rsid w:val="009E004D"/>
    <w:rsid w:val="009E7DB3"/>
    <w:rsid w:val="009F736B"/>
    <w:rsid w:val="00A02716"/>
    <w:rsid w:val="00A03191"/>
    <w:rsid w:val="00A10E2B"/>
    <w:rsid w:val="00A137E6"/>
    <w:rsid w:val="00A14FDD"/>
    <w:rsid w:val="00A203F3"/>
    <w:rsid w:val="00A24CA2"/>
    <w:rsid w:val="00A261D8"/>
    <w:rsid w:val="00A27666"/>
    <w:rsid w:val="00A31E82"/>
    <w:rsid w:val="00A31F8D"/>
    <w:rsid w:val="00A351B1"/>
    <w:rsid w:val="00A35F65"/>
    <w:rsid w:val="00A41A14"/>
    <w:rsid w:val="00A45D3B"/>
    <w:rsid w:val="00A501C2"/>
    <w:rsid w:val="00A5375A"/>
    <w:rsid w:val="00A53CAD"/>
    <w:rsid w:val="00A53DE7"/>
    <w:rsid w:val="00A546AB"/>
    <w:rsid w:val="00A54F00"/>
    <w:rsid w:val="00A62B63"/>
    <w:rsid w:val="00A65367"/>
    <w:rsid w:val="00A662C5"/>
    <w:rsid w:val="00A67EA6"/>
    <w:rsid w:val="00A75C68"/>
    <w:rsid w:val="00A818F9"/>
    <w:rsid w:val="00A81C41"/>
    <w:rsid w:val="00A83F63"/>
    <w:rsid w:val="00A8476C"/>
    <w:rsid w:val="00A85E57"/>
    <w:rsid w:val="00A861A7"/>
    <w:rsid w:val="00A900B6"/>
    <w:rsid w:val="00A96B85"/>
    <w:rsid w:val="00A975E0"/>
    <w:rsid w:val="00A977A6"/>
    <w:rsid w:val="00AA0A64"/>
    <w:rsid w:val="00AA0DB3"/>
    <w:rsid w:val="00AA66F6"/>
    <w:rsid w:val="00AC23CF"/>
    <w:rsid w:val="00AC4A0D"/>
    <w:rsid w:val="00AC5626"/>
    <w:rsid w:val="00AC5EDD"/>
    <w:rsid w:val="00AD0459"/>
    <w:rsid w:val="00AD2656"/>
    <w:rsid w:val="00AD31C4"/>
    <w:rsid w:val="00AD52FF"/>
    <w:rsid w:val="00AE036D"/>
    <w:rsid w:val="00AE0422"/>
    <w:rsid w:val="00AE2B96"/>
    <w:rsid w:val="00AE45AF"/>
    <w:rsid w:val="00AE4E4A"/>
    <w:rsid w:val="00AF4DE4"/>
    <w:rsid w:val="00AF564D"/>
    <w:rsid w:val="00B0046B"/>
    <w:rsid w:val="00B027FB"/>
    <w:rsid w:val="00B03F76"/>
    <w:rsid w:val="00B10942"/>
    <w:rsid w:val="00B137FC"/>
    <w:rsid w:val="00B13D86"/>
    <w:rsid w:val="00B14EE7"/>
    <w:rsid w:val="00B15D11"/>
    <w:rsid w:val="00B1771C"/>
    <w:rsid w:val="00B20115"/>
    <w:rsid w:val="00B21DA0"/>
    <w:rsid w:val="00B248ED"/>
    <w:rsid w:val="00B25B4C"/>
    <w:rsid w:val="00B3391A"/>
    <w:rsid w:val="00B359CE"/>
    <w:rsid w:val="00B36BF4"/>
    <w:rsid w:val="00B36F52"/>
    <w:rsid w:val="00B37EF2"/>
    <w:rsid w:val="00B426E1"/>
    <w:rsid w:val="00B455DD"/>
    <w:rsid w:val="00B55FDF"/>
    <w:rsid w:val="00B57911"/>
    <w:rsid w:val="00B57CC8"/>
    <w:rsid w:val="00B61586"/>
    <w:rsid w:val="00B61ED2"/>
    <w:rsid w:val="00B65ED7"/>
    <w:rsid w:val="00B70EDC"/>
    <w:rsid w:val="00B717AA"/>
    <w:rsid w:val="00B7771E"/>
    <w:rsid w:val="00B80E42"/>
    <w:rsid w:val="00B86B7B"/>
    <w:rsid w:val="00B90D33"/>
    <w:rsid w:val="00B92959"/>
    <w:rsid w:val="00B9528A"/>
    <w:rsid w:val="00B96619"/>
    <w:rsid w:val="00B97278"/>
    <w:rsid w:val="00B9740F"/>
    <w:rsid w:val="00B97C0C"/>
    <w:rsid w:val="00BA6621"/>
    <w:rsid w:val="00BA6BD3"/>
    <w:rsid w:val="00BA7965"/>
    <w:rsid w:val="00BC3FC4"/>
    <w:rsid w:val="00BC56DF"/>
    <w:rsid w:val="00BC673F"/>
    <w:rsid w:val="00BD0E60"/>
    <w:rsid w:val="00BD27DC"/>
    <w:rsid w:val="00BD3882"/>
    <w:rsid w:val="00BE0B1C"/>
    <w:rsid w:val="00BE691C"/>
    <w:rsid w:val="00BE6C36"/>
    <w:rsid w:val="00BF2E2B"/>
    <w:rsid w:val="00BF471D"/>
    <w:rsid w:val="00BF4AE2"/>
    <w:rsid w:val="00C06533"/>
    <w:rsid w:val="00C105A7"/>
    <w:rsid w:val="00C10D29"/>
    <w:rsid w:val="00C130EB"/>
    <w:rsid w:val="00C22056"/>
    <w:rsid w:val="00C248C7"/>
    <w:rsid w:val="00C24A27"/>
    <w:rsid w:val="00C24F6B"/>
    <w:rsid w:val="00C3226D"/>
    <w:rsid w:val="00C36F58"/>
    <w:rsid w:val="00C446F9"/>
    <w:rsid w:val="00C45722"/>
    <w:rsid w:val="00C45B19"/>
    <w:rsid w:val="00C45EAB"/>
    <w:rsid w:val="00C50449"/>
    <w:rsid w:val="00C61343"/>
    <w:rsid w:val="00C71279"/>
    <w:rsid w:val="00C715A9"/>
    <w:rsid w:val="00C717B5"/>
    <w:rsid w:val="00C73188"/>
    <w:rsid w:val="00C7372D"/>
    <w:rsid w:val="00C737AF"/>
    <w:rsid w:val="00C740D8"/>
    <w:rsid w:val="00C74121"/>
    <w:rsid w:val="00C7756B"/>
    <w:rsid w:val="00C82E6B"/>
    <w:rsid w:val="00C83C42"/>
    <w:rsid w:val="00C83D06"/>
    <w:rsid w:val="00C84084"/>
    <w:rsid w:val="00C87886"/>
    <w:rsid w:val="00C90D90"/>
    <w:rsid w:val="00C93194"/>
    <w:rsid w:val="00C966DA"/>
    <w:rsid w:val="00C971A5"/>
    <w:rsid w:val="00CA00CA"/>
    <w:rsid w:val="00CB069D"/>
    <w:rsid w:val="00CC32F5"/>
    <w:rsid w:val="00CC441A"/>
    <w:rsid w:val="00CC4A2F"/>
    <w:rsid w:val="00CD165C"/>
    <w:rsid w:val="00CD1A40"/>
    <w:rsid w:val="00CD1EDC"/>
    <w:rsid w:val="00CD20F4"/>
    <w:rsid w:val="00CD2994"/>
    <w:rsid w:val="00CD5454"/>
    <w:rsid w:val="00CE0945"/>
    <w:rsid w:val="00CE5DF5"/>
    <w:rsid w:val="00CF0B28"/>
    <w:rsid w:val="00CF13AF"/>
    <w:rsid w:val="00D0129E"/>
    <w:rsid w:val="00D07547"/>
    <w:rsid w:val="00D11189"/>
    <w:rsid w:val="00D17D09"/>
    <w:rsid w:val="00D233B0"/>
    <w:rsid w:val="00D2420B"/>
    <w:rsid w:val="00D277E4"/>
    <w:rsid w:val="00D32DCD"/>
    <w:rsid w:val="00D35C53"/>
    <w:rsid w:val="00D362EE"/>
    <w:rsid w:val="00D36654"/>
    <w:rsid w:val="00D373BD"/>
    <w:rsid w:val="00D456B5"/>
    <w:rsid w:val="00D456CA"/>
    <w:rsid w:val="00D47E42"/>
    <w:rsid w:val="00D47F18"/>
    <w:rsid w:val="00D50BC2"/>
    <w:rsid w:val="00D52037"/>
    <w:rsid w:val="00D52A17"/>
    <w:rsid w:val="00D55C93"/>
    <w:rsid w:val="00D55CBA"/>
    <w:rsid w:val="00D55F9E"/>
    <w:rsid w:val="00D57F67"/>
    <w:rsid w:val="00D63F5A"/>
    <w:rsid w:val="00D65562"/>
    <w:rsid w:val="00D67E23"/>
    <w:rsid w:val="00D71A5F"/>
    <w:rsid w:val="00D7304A"/>
    <w:rsid w:val="00D74433"/>
    <w:rsid w:val="00D74B71"/>
    <w:rsid w:val="00D763B6"/>
    <w:rsid w:val="00D76B6D"/>
    <w:rsid w:val="00D77E61"/>
    <w:rsid w:val="00D81E5C"/>
    <w:rsid w:val="00D83788"/>
    <w:rsid w:val="00D83F97"/>
    <w:rsid w:val="00D840C1"/>
    <w:rsid w:val="00D85248"/>
    <w:rsid w:val="00D85A93"/>
    <w:rsid w:val="00D85EAB"/>
    <w:rsid w:val="00D875D9"/>
    <w:rsid w:val="00D94585"/>
    <w:rsid w:val="00D94896"/>
    <w:rsid w:val="00D953A6"/>
    <w:rsid w:val="00D97824"/>
    <w:rsid w:val="00DA5381"/>
    <w:rsid w:val="00DB0228"/>
    <w:rsid w:val="00DB1D7E"/>
    <w:rsid w:val="00DB478D"/>
    <w:rsid w:val="00DB66BD"/>
    <w:rsid w:val="00DB68EC"/>
    <w:rsid w:val="00DB7728"/>
    <w:rsid w:val="00DC15AF"/>
    <w:rsid w:val="00DC3893"/>
    <w:rsid w:val="00DC734D"/>
    <w:rsid w:val="00DD203F"/>
    <w:rsid w:val="00DD4BA0"/>
    <w:rsid w:val="00DD534A"/>
    <w:rsid w:val="00DD63CB"/>
    <w:rsid w:val="00DD7D4E"/>
    <w:rsid w:val="00DE41E9"/>
    <w:rsid w:val="00DE59E9"/>
    <w:rsid w:val="00DF3585"/>
    <w:rsid w:val="00DF544C"/>
    <w:rsid w:val="00DF578C"/>
    <w:rsid w:val="00DF61D9"/>
    <w:rsid w:val="00E0122F"/>
    <w:rsid w:val="00E01E9E"/>
    <w:rsid w:val="00E07E37"/>
    <w:rsid w:val="00E10087"/>
    <w:rsid w:val="00E1134B"/>
    <w:rsid w:val="00E171E7"/>
    <w:rsid w:val="00E21513"/>
    <w:rsid w:val="00E223A7"/>
    <w:rsid w:val="00E224AA"/>
    <w:rsid w:val="00E25E73"/>
    <w:rsid w:val="00E37F28"/>
    <w:rsid w:val="00E4257D"/>
    <w:rsid w:val="00E61DA3"/>
    <w:rsid w:val="00E66DEB"/>
    <w:rsid w:val="00E671A1"/>
    <w:rsid w:val="00E6744B"/>
    <w:rsid w:val="00E717FB"/>
    <w:rsid w:val="00E719CC"/>
    <w:rsid w:val="00E71AD4"/>
    <w:rsid w:val="00E75500"/>
    <w:rsid w:val="00E75BEB"/>
    <w:rsid w:val="00E80910"/>
    <w:rsid w:val="00E818BC"/>
    <w:rsid w:val="00E83E35"/>
    <w:rsid w:val="00E83E85"/>
    <w:rsid w:val="00E8692B"/>
    <w:rsid w:val="00E90685"/>
    <w:rsid w:val="00EA0DEA"/>
    <w:rsid w:val="00EA38B8"/>
    <w:rsid w:val="00EB101E"/>
    <w:rsid w:val="00EB3A6C"/>
    <w:rsid w:val="00EC18BF"/>
    <w:rsid w:val="00EC352C"/>
    <w:rsid w:val="00EC6680"/>
    <w:rsid w:val="00ED1747"/>
    <w:rsid w:val="00ED1A9A"/>
    <w:rsid w:val="00ED3D2C"/>
    <w:rsid w:val="00ED6D7E"/>
    <w:rsid w:val="00ED75E6"/>
    <w:rsid w:val="00EE47D1"/>
    <w:rsid w:val="00EE6362"/>
    <w:rsid w:val="00EE6C76"/>
    <w:rsid w:val="00EF043D"/>
    <w:rsid w:val="00EF2C5B"/>
    <w:rsid w:val="00EF352D"/>
    <w:rsid w:val="00EF4C2B"/>
    <w:rsid w:val="00EF4D82"/>
    <w:rsid w:val="00EF5C34"/>
    <w:rsid w:val="00EF6978"/>
    <w:rsid w:val="00F01A73"/>
    <w:rsid w:val="00F021B4"/>
    <w:rsid w:val="00F033D2"/>
    <w:rsid w:val="00F04BC5"/>
    <w:rsid w:val="00F04C06"/>
    <w:rsid w:val="00F07591"/>
    <w:rsid w:val="00F1048E"/>
    <w:rsid w:val="00F10E86"/>
    <w:rsid w:val="00F13E9C"/>
    <w:rsid w:val="00F17867"/>
    <w:rsid w:val="00F20263"/>
    <w:rsid w:val="00F21F06"/>
    <w:rsid w:val="00F24279"/>
    <w:rsid w:val="00F2507C"/>
    <w:rsid w:val="00F27745"/>
    <w:rsid w:val="00F321A5"/>
    <w:rsid w:val="00F4221D"/>
    <w:rsid w:val="00F43994"/>
    <w:rsid w:val="00F51917"/>
    <w:rsid w:val="00F524E2"/>
    <w:rsid w:val="00F5570D"/>
    <w:rsid w:val="00F57561"/>
    <w:rsid w:val="00F57DC7"/>
    <w:rsid w:val="00F65978"/>
    <w:rsid w:val="00F65F0F"/>
    <w:rsid w:val="00F66142"/>
    <w:rsid w:val="00F72B80"/>
    <w:rsid w:val="00F75F90"/>
    <w:rsid w:val="00F77216"/>
    <w:rsid w:val="00F7732F"/>
    <w:rsid w:val="00F82F2C"/>
    <w:rsid w:val="00F83B6B"/>
    <w:rsid w:val="00F84F40"/>
    <w:rsid w:val="00F91BA4"/>
    <w:rsid w:val="00F92F3D"/>
    <w:rsid w:val="00F930BD"/>
    <w:rsid w:val="00F93F5B"/>
    <w:rsid w:val="00F945DB"/>
    <w:rsid w:val="00FA3211"/>
    <w:rsid w:val="00FB0212"/>
    <w:rsid w:val="00FB3EF3"/>
    <w:rsid w:val="00FB40A0"/>
    <w:rsid w:val="00FB59EA"/>
    <w:rsid w:val="00FC103A"/>
    <w:rsid w:val="00FC2E31"/>
    <w:rsid w:val="00FC54CE"/>
    <w:rsid w:val="00FC5A35"/>
    <w:rsid w:val="00FC6A95"/>
    <w:rsid w:val="00FD25CE"/>
    <w:rsid w:val="00FD73B7"/>
    <w:rsid w:val="00FF1BC3"/>
    <w:rsid w:val="00FF2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E2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A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7D1"/>
  </w:style>
  <w:style w:type="paragraph" w:styleId="Heading1">
    <w:name w:val="heading 1"/>
    <w:basedOn w:val="Normal"/>
    <w:next w:val="BTBodyText"/>
    <w:link w:val="Heading1Char"/>
    <w:uiPriority w:val="33"/>
    <w:rsid w:val="00887792"/>
    <w:pPr>
      <w:keepNext/>
      <w:keepLines/>
      <w:outlineLvl w:val="0"/>
    </w:pPr>
    <w:rPr>
      <w:rFonts w:eastAsiaTheme="majorEastAsia" w:cstheme="majorBidi"/>
      <w:b/>
      <w:caps/>
      <w:sz w:val="28"/>
      <w:szCs w:val="32"/>
    </w:rPr>
  </w:style>
  <w:style w:type="paragraph" w:styleId="Heading2">
    <w:name w:val="heading 2"/>
    <w:basedOn w:val="Normal"/>
    <w:next w:val="BTBodyText"/>
    <w:link w:val="Heading2Char"/>
    <w:uiPriority w:val="33"/>
    <w:unhideWhenUsed/>
    <w:rsid w:val="00887792"/>
    <w:pPr>
      <w:keepNext/>
      <w:keepLines/>
      <w:outlineLvl w:val="1"/>
    </w:pPr>
    <w:rPr>
      <w:rFonts w:eastAsiaTheme="majorEastAsia" w:cstheme="majorBidi"/>
      <w:b/>
      <w:smallCaps/>
      <w:sz w:val="28"/>
      <w:szCs w:val="26"/>
    </w:rPr>
  </w:style>
  <w:style w:type="paragraph" w:styleId="Heading3">
    <w:name w:val="heading 3"/>
    <w:basedOn w:val="Normal"/>
    <w:next w:val="BTBodyText"/>
    <w:link w:val="Heading3Char"/>
    <w:uiPriority w:val="33"/>
    <w:unhideWhenUsed/>
    <w:rsid w:val="00887792"/>
    <w:pPr>
      <w:keepNext/>
      <w:keepLines/>
      <w:outlineLvl w:val="2"/>
    </w:pPr>
    <w:rPr>
      <w:rFonts w:eastAsiaTheme="majorEastAsia" w:cstheme="majorBidi"/>
      <w:b/>
    </w:rPr>
  </w:style>
  <w:style w:type="paragraph" w:styleId="Heading4">
    <w:name w:val="heading 4"/>
    <w:basedOn w:val="Normal"/>
    <w:next w:val="BTBodyText"/>
    <w:link w:val="Heading4Char"/>
    <w:uiPriority w:val="33"/>
    <w:unhideWhenUsed/>
    <w:rsid w:val="00887792"/>
    <w:pPr>
      <w:keepNext/>
      <w:keepLines/>
      <w:outlineLvl w:val="3"/>
    </w:pPr>
    <w:rPr>
      <w:rFonts w:eastAsiaTheme="majorEastAsia" w:cstheme="majorBidi"/>
      <w:iCs/>
      <w:u w:val="single"/>
    </w:rPr>
  </w:style>
  <w:style w:type="paragraph" w:styleId="Heading5">
    <w:name w:val="heading 5"/>
    <w:basedOn w:val="Normal"/>
    <w:next w:val="BTBodyText"/>
    <w:link w:val="Heading5Char"/>
    <w:uiPriority w:val="33"/>
    <w:unhideWhenUsed/>
    <w:rsid w:val="00887792"/>
    <w:pPr>
      <w:keepNext/>
      <w:keepLines/>
      <w:outlineLvl w:val="4"/>
    </w:pPr>
    <w:rPr>
      <w:rFonts w:eastAsiaTheme="majorEastAsia" w:cstheme="majorBidi"/>
      <w:i/>
    </w:rPr>
  </w:style>
  <w:style w:type="paragraph" w:styleId="Heading6">
    <w:name w:val="heading 6"/>
    <w:basedOn w:val="Normal"/>
    <w:next w:val="BTBodyText"/>
    <w:link w:val="Heading6Char"/>
    <w:uiPriority w:val="33"/>
    <w:unhideWhenUsed/>
    <w:rsid w:val="00887792"/>
    <w:pPr>
      <w:keepNext/>
      <w:keepLines/>
      <w:outlineLvl w:val="5"/>
    </w:pPr>
    <w:rPr>
      <w:rFonts w:eastAsiaTheme="majorEastAsia" w:cstheme="majorBidi"/>
      <w:u w:val="single"/>
    </w:rPr>
  </w:style>
  <w:style w:type="paragraph" w:styleId="Heading7">
    <w:name w:val="heading 7"/>
    <w:basedOn w:val="Normal"/>
    <w:next w:val="BTBodyText"/>
    <w:link w:val="Heading7Char"/>
    <w:uiPriority w:val="33"/>
    <w:unhideWhenUsed/>
    <w:rsid w:val="00887792"/>
    <w:pPr>
      <w:keepNext/>
      <w:keepLines/>
      <w:outlineLvl w:val="6"/>
    </w:pPr>
    <w:rPr>
      <w:rFonts w:eastAsiaTheme="majorEastAsia" w:cstheme="majorBidi"/>
      <w:i/>
      <w:iCs/>
    </w:rPr>
  </w:style>
  <w:style w:type="paragraph" w:styleId="Heading8">
    <w:name w:val="heading 8"/>
    <w:basedOn w:val="Normal"/>
    <w:next w:val="BTBodyText"/>
    <w:link w:val="Heading8Char"/>
    <w:uiPriority w:val="33"/>
    <w:unhideWhenUsed/>
    <w:rsid w:val="00887792"/>
    <w:pPr>
      <w:keepNext/>
      <w:keepLines/>
      <w:outlineLvl w:val="7"/>
    </w:pPr>
    <w:rPr>
      <w:rFonts w:eastAsiaTheme="majorEastAsia" w:cstheme="majorBidi"/>
      <w:szCs w:val="21"/>
      <w:u w:val="single"/>
    </w:rPr>
  </w:style>
  <w:style w:type="paragraph" w:styleId="Heading9">
    <w:name w:val="heading 9"/>
    <w:basedOn w:val="Normal"/>
    <w:next w:val="BTBodyText"/>
    <w:link w:val="Heading9Char"/>
    <w:uiPriority w:val="33"/>
    <w:unhideWhenUsed/>
    <w:rsid w:val="00887792"/>
    <w:pPr>
      <w:keepNext/>
      <w:keepLines/>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6"/>
    <w:rPr>
      <w:rFonts w:ascii="Segoe UI" w:hAnsi="Segoe UI" w:cs="Segoe UI"/>
      <w:sz w:val="18"/>
      <w:szCs w:val="18"/>
    </w:rPr>
  </w:style>
  <w:style w:type="paragraph" w:customStyle="1" w:styleId="BTBodyText">
    <w:name w:val="[BT] Body Text"/>
    <w:basedOn w:val="Normal"/>
    <w:link w:val="BTBodyTextChar"/>
    <w:uiPriority w:val="2"/>
    <w:qFormat/>
    <w:rsid w:val="00354A06"/>
  </w:style>
  <w:style w:type="paragraph" w:customStyle="1" w:styleId="BTIBodyTextIndented">
    <w:name w:val="[BTI] Body Text Indented"/>
    <w:basedOn w:val="BTBodyText"/>
    <w:link w:val="BTIBodyTextIndentedChar"/>
    <w:uiPriority w:val="2"/>
    <w:qFormat/>
    <w:rsid w:val="00354A06"/>
    <w:pPr>
      <w:ind w:left="851"/>
    </w:pPr>
  </w:style>
  <w:style w:type="character" w:customStyle="1" w:styleId="BTBodyTextChar">
    <w:name w:val="[BT] Body Text Char"/>
    <w:basedOn w:val="DefaultParagraphFont"/>
    <w:link w:val="BTBodyText"/>
    <w:uiPriority w:val="2"/>
    <w:rsid w:val="00AD0459"/>
  </w:style>
  <w:style w:type="paragraph" w:customStyle="1" w:styleId="BTIIBodyTextTwiceIndented">
    <w:name w:val="[BTII] Body Text Twice Indented"/>
    <w:basedOn w:val="BTBodyText"/>
    <w:link w:val="BTIIBodyTextTwiceIndentedChar"/>
    <w:uiPriority w:val="2"/>
    <w:qFormat/>
    <w:rsid w:val="00354A06"/>
    <w:pPr>
      <w:ind w:left="1702"/>
    </w:pPr>
  </w:style>
  <w:style w:type="character" w:customStyle="1" w:styleId="BTIBodyTextIndentedChar">
    <w:name w:val="[BTI] Body Text Indented Char"/>
    <w:basedOn w:val="BTBodyTextChar"/>
    <w:link w:val="BTIBodyTextIndented"/>
    <w:uiPriority w:val="2"/>
    <w:rsid w:val="00AD0459"/>
  </w:style>
  <w:style w:type="paragraph" w:styleId="ListParagraph">
    <w:name w:val="List Paragraph"/>
    <w:basedOn w:val="Normal"/>
    <w:uiPriority w:val="34"/>
    <w:rsid w:val="003A10EE"/>
    <w:pPr>
      <w:ind w:left="851"/>
    </w:pPr>
  </w:style>
  <w:style w:type="character" w:customStyle="1" w:styleId="BTIIBodyTextTwiceIndentedChar">
    <w:name w:val="[BTII] Body Text Twice Indented Char"/>
    <w:basedOn w:val="BTBodyTextChar"/>
    <w:link w:val="BTIIBodyTextTwiceIndented"/>
    <w:uiPriority w:val="2"/>
    <w:rsid w:val="00AD0459"/>
  </w:style>
  <w:style w:type="paragraph" w:styleId="NoSpacing">
    <w:name w:val="No Spacing"/>
    <w:link w:val="NoSpacingChar"/>
    <w:uiPriority w:val="1"/>
    <w:rsid w:val="001F46B7"/>
    <w:pPr>
      <w:spacing w:after="0" w:line="240" w:lineRule="auto"/>
    </w:pPr>
  </w:style>
  <w:style w:type="paragraph" w:customStyle="1" w:styleId="BTNSBodyTextNoSpacing">
    <w:name w:val="[BTNS] Body Text No Spacing"/>
    <w:basedOn w:val="NoSpacing"/>
    <w:link w:val="BTNSBodyTextNoSpacingChar"/>
    <w:uiPriority w:val="2"/>
    <w:qFormat/>
    <w:rsid w:val="001F46B7"/>
  </w:style>
  <w:style w:type="paragraph" w:customStyle="1" w:styleId="BTNSSBodyTextNoSpacingSmall">
    <w:name w:val="[BTNSS] Body Text No Spacing Small"/>
    <w:basedOn w:val="BTNSBodyTextNoSpacing"/>
    <w:link w:val="BTNSSBodyTextNoSpacingSmallChar"/>
    <w:uiPriority w:val="2"/>
    <w:rsid w:val="001F46B7"/>
    <w:rPr>
      <w:sz w:val="8"/>
      <w:szCs w:val="8"/>
    </w:rPr>
  </w:style>
  <w:style w:type="character" w:customStyle="1" w:styleId="NoSpacingChar">
    <w:name w:val="No Spacing Char"/>
    <w:basedOn w:val="DefaultParagraphFont"/>
    <w:link w:val="NoSpacing"/>
    <w:uiPriority w:val="1"/>
    <w:rsid w:val="001F46B7"/>
  </w:style>
  <w:style w:type="character" w:customStyle="1" w:styleId="BTNSBodyTextNoSpacingChar">
    <w:name w:val="[BTNS] Body Text No Spacing Char"/>
    <w:basedOn w:val="NoSpacingChar"/>
    <w:link w:val="BTNSBodyTextNoSpacing"/>
    <w:uiPriority w:val="2"/>
    <w:rsid w:val="00B10942"/>
  </w:style>
  <w:style w:type="character" w:customStyle="1" w:styleId="BTNSSBodyTextNoSpacingSmallChar">
    <w:name w:val="[BTNSS] Body Text No Spacing Small Char"/>
    <w:basedOn w:val="BTNSBodyTextNoSpacingChar"/>
    <w:link w:val="BTNSSBodyTextNoSpacingSmall"/>
    <w:uiPriority w:val="2"/>
    <w:rsid w:val="00B10942"/>
    <w:rPr>
      <w:sz w:val="8"/>
      <w:szCs w:val="8"/>
    </w:rPr>
  </w:style>
  <w:style w:type="paragraph" w:customStyle="1" w:styleId="P1-N1Paragraph1-Number1">
    <w:name w:val="[P1-N1] Paragraph 1 - Number 1"/>
    <w:basedOn w:val="BTBodyText"/>
    <w:link w:val="P1-N1Paragraph1-Number1Char"/>
    <w:uiPriority w:val="6"/>
    <w:qFormat/>
    <w:rsid w:val="006F189E"/>
    <w:pPr>
      <w:numPr>
        <w:numId w:val="1"/>
      </w:numPr>
    </w:pPr>
  </w:style>
  <w:style w:type="paragraph" w:customStyle="1" w:styleId="P2-B1Paragraph2-Bullet1">
    <w:name w:val="[P2-B1] Paragraph 2 - Bullet 1"/>
    <w:basedOn w:val="BTBodyText"/>
    <w:link w:val="P2-B1Paragraph2-Bullet1Char"/>
    <w:uiPriority w:val="6"/>
    <w:qFormat/>
    <w:rsid w:val="00C45722"/>
    <w:pPr>
      <w:numPr>
        <w:ilvl w:val="1"/>
        <w:numId w:val="1"/>
      </w:numPr>
      <w:spacing w:after="120"/>
      <w:ind w:left="1702" w:hanging="851"/>
    </w:pPr>
  </w:style>
  <w:style w:type="character" w:customStyle="1" w:styleId="P1-N1Paragraph1-Number1Char">
    <w:name w:val="[P1-N1] Paragraph 1 - Number 1 Char"/>
    <w:basedOn w:val="BTBodyTextChar"/>
    <w:link w:val="P1-N1Paragraph1-Number1"/>
    <w:uiPriority w:val="6"/>
    <w:rsid w:val="002603E6"/>
  </w:style>
  <w:style w:type="paragraph" w:customStyle="1" w:styleId="P3-B2Paragraph3-Bullet2">
    <w:name w:val="[P3-B2] Paragraph 3 - Bullet 2"/>
    <w:basedOn w:val="BTBodyText"/>
    <w:link w:val="P3-B2Paragraph3-Bullet2Char"/>
    <w:uiPriority w:val="6"/>
    <w:qFormat/>
    <w:rsid w:val="00C45722"/>
    <w:pPr>
      <w:numPr>
        <w:ilvl w:val="2"/>
        <w:numId w:val="1"/>
      </w:numPr>
      <w:spacing w:after="120"/>
    </w:pPr>
  </w:style>
  <w:style w:type="character" w:customStyle="1" w:styleId="P2-B1Paragraph2-Bullet1Char">
    <w:name w:val="[P2-B1] Paragraph 2 - Bullet 1 Char"/>
    <w:basedOn w:val="BTBodyTextChar"/>
    <w:link w:val="P2-B1Paragraph2-Bullet1"/>
    <w:uiPriority w:val="6"/>
    <w:rsid w:val="00C45722"/>
  </w:style>
  <w:style w:type="paragraph" w:customStyle="1" w:styleId="P4-B3Paragraph4-Bullet3">
    <w:name w:val="[P4-B3] Paragraph 4 - Bullet 3"/>
    <w:basedOn w:val="BTBodyText"/>
    <w:link w:val="P4-B3Paragraph4-Bullet3Char"/>
    <w:uiPriority w:val="6"/>
    <w:rsid w:val="00C45722"/>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C45722"/>
  </w:style>
  <w:style w:type="paragraph" w:customStyle="1" w:styleId="P5-B4Paragraph5-Bullet4">
    <w:name w:val="[P5-B4] Paragraph 5 - Bullet 4"/>
    <w:basedOn w:val="BTBodyText"/>
    <w:link w:val="P5-B4Paragraph5-Bullet4Char"/>
    <w:uiPriority w:val="6"/>
    <w:rsid w:val="00C45722"/>
    <w:pPr>
      <w:numPr>
        <w:ilvl w:val="4"/>
        <w:numId w:val="1"/>
      </w:numPr>
      <w:spacing w:after="120"/>
    </w:pPr>
  </w:style>
  <w:style w:type="character" w:customStyle="1" w:styleId="P4-B3Paragraph4-Bullet3Char">
    <w:name w:val="[P4-B3] Paragraph 4 - Bullet 3 Char"/>
    <w:basedOn w:val="BTBodyTextChar"/>
    <w:link w:val="P4-B3Paragraph4-Bullet3"/>
    <w:uiPriority w:val="6"/>
    <w:rsid w:val="00C45722"/>
  </w:style>
  <w:style w:type="paragraph" w:customStyle="1" w:styleId="P6-B5Paragraph6-Bullet5">
    <w:name w:val="[P6-B5] Paragraph 6 - Bullet 5"/>
    <w:basedOn w:val="BTBodyText"/>
    <w:link w:val="P6-B5Paragraph6-Bullet5Char"/>
    <w:uiPriority w:val="6"/>
    <w:rsid w:val="00C45722"/>
    <w:pPr>
      <w:numPr>
        <w:ilvl w:val="5"/>
        <w:numId w:val="1"/>
      </w:numPr>
      <w:spacing w:after="120"/>
      <w:ind w:left="5104" w:hanging="851"/>
    </w:pPr>
  </w:style>
  <w:style w:type="character" w:customStyle="1" w:styleId="P5-B4Paragraph5-Bullet4Char">
    <w:name w:val="[P5-B4] Paragraph 5 - Bullet 4 Char"/>
    <w:basedOn w:val="BTBodyTextChar"/>
    <w:link w:val="P5-B4Paragraph5-Bullet4"/>
    <w:uiPriority w:val="6"/>
    <w:rsid w:val="00C45722"/>
  </w:style>
  <w:style w:type="paragraph" w:customStyle="1" w:styleId="P7-B6Paragraph7-Bullet6">
    <w:name w:val="[P7-B6] Paragraph 7 - Bullet 6"/>
    <w:basedOn w:val="BTBodyText"/>
    <w:link w:val="P7-B6Paragraph7-Bullet6Char"/>
    <w:uiPriority w:val="6"/>
    <w:rsid w:val="00C45722"/>
    <w:pPr>
      <w:numPr>
        <w:ilvl w:val="6"/>
        <w:numId w:val="1"/>
      </w:numPr>
      <w:spacing w:after="120"/>
    </w:pPr>
  </w:style>
  <w:style w:type="character" w:customStyle="1" w:styleId="P6-B5Paragraph6-Bullet5Char">
    <w:name w:val="[P6-B5] Paragraph 6 - Bullet 5 Char"/>
    <w:basedOn w:val="BTBodyTextChar"/>
    <w:link w:val="P6-B5Paragraph6-Bullet5"/>
    <w:uiPriority w:val="6"/>
    <w:rsid w:val="00C45722"/>
  </w:style>
  <w:style w:type="paragraph" w:customStyle="1" w:styleId="P8-B7Paragraph8-Bullet7">
    <w:name w:val="[P8-B7] Paragraph 8 - Bullet 7"/>
    <w:basedOn w:val="BTBodyText"/>
    <w:link w:val="P8-B7Paragraph8-Bullet7Char"/>
    <w:uiPriority w:val="6"/>
    <w:rsid w:val="00C45722"/>
    <w:pPr>
      <w:numPr>
        <w:ilvl w:val="7"/>
        <w:numId w:val="1"/>
      </w:numPr>
      <w:spacing w:after="120"/>
      <w:ind w:left="6805" w:hanging="851"/>
    </w:pPr>
  </w:style>
  <w:style w:type="character" w:customStyle="1" w:styleId="P7-B6Paragraph7-Bullet6Char">
    <w:name w:val="[P7-B6] Paragraph 7 - Bullet 6 Char"/>
    <w:basedOn w:val="BTBodyTextChar"/>
    <w:link w:val="P7-B6Paragraph7-Bullet6"/>
    <w:uiPriority w:val="6"/>
    <w:semiHidden/>
    <w:rsid w:val="00C45722"/>
  </w:style>
  <w:style w:type="paragraph" w:customStyle="1" w:styleId="P9-B8Paragraph9-Bullet8">
    <w:name w:val="[P9-B8] Paragraph 9 - Bullet 8"/>
    <w:basedOn w:val="BTBodyText"/>
    <w:link w:val="P9-B8Paragraph9-Bullet8Char"/>
    <w:uiPriority w:val="6"/>
    <w:rsid w:val="00C45722"/>
    <w:pPr>
      <w:numPr>
        <w:ilvl w:val="8"/>
        <w:numId w:val="1"/>
      </w:numPr>
      <w:spacing w:after="120"/>
    </w:pPr>
  </w:style>
  <w:style w:type="character" w:customStyle="1" w:styleId="P8-B7Paragraph8-Bullet7Char">
    <w:name w:val="[P8-B7] Paragraph 8 - Bullet 7 Char"/>
    <w:basedOn w:val="BTBodyTextChar"/>
    <w:link w:val="P8-B7Paragraph8-Bullet7"/>
    <w:uiPriority w:val="6"/>
    <w:semiHidden/>
    <w:rsid w:val="00C45722"/>
  </w:style>
  <w:style w:type="paragraph" w:customStyle="1" w:styleId="QQuotation">
    <w:name w:val="[Q] Quotation"/>
    <w:basedOn w:val="BTIBodyTextIndented"/>
    <w:next w:val="P1-N1Paragraph1-Number1"/>
    <w:link w:val="QQuotationChar"/>
    <w:uiPriority w:val="8"/>
    <w:qFormat/>
    <w:rsid w:val="00EF4D82"/>
    <w:pPr>
      <w:spacing w:after="240" w:line="276" w:lineRule="auto"/>
    </w:pPr>
    <w:rPr>
      <w:sz w:val="22"/>
    </w:rPr>
  </w:style>
  <w:style w:type="character" w:customStyle="1" w:styleId="P9-B8Paragraph9-Bullet8Char">
    <w:name w:val="[P9-B8] Paragraph 9 - Bullet 8 Char"/>
    <w:basedOn w:val="BTBodyTextChar"/>
    <w:link w:val="P9-B8Paragraph9-Bullet8"/>
    <w:uiPriority w:val="6"/>
    <w:semiHidden/>
    <w:rsid w:val="00C45722"/>
  </w:style>
  <w:style w:type="character" w:customStyle="1" w:styleId="Heading1Char">
    <w:name w:val="Heading 1 Char"/>
    <w:basedOn w:val="DefaultParagraphFont"/>
    <w:link w:val="Heading1"/>
    <w:uiPriority w:val="33"/>
    <w:rsid w:val="002603E6"/>
    <w:rPr>
      <w:rFonts w:eastAsiaTheme="majorEastAsia" w:cstheme="majorBidi"/>
      <w:b/>
      <w:caps/>
      <w:sz w:val="28"/>
      <w:szCs w:val="32"/>
    </w:rPr>
  </w:style>
  <w:style w:type="character" w:customStyle="1" w:styleId="QQuotationChar">
    <w:name w:val="[Q] Quotation Char"/>
    <w:basedOn w:val="BTIBodyTextIndentedChar"/>
    <w:link w:val="QQuotation"/>
    <w:uiPriority w:val="8"/>
    <w:rsid w:val="00EF4D82"/>
    <w:rPr>
      <w:sz w:val="22"/>
    </w:rPr>
  </w:style>
  <w:style w:type="character" w:customStyle="1" w:styleId="Heading2Char">
    <w:name w:val="Heading 2 Char"/>
    <w:basedOn w:val="DefaultParagraphFont"/>
    <w:link w:val="Heading2"/>
    <w:uiPriority w:val="33"/>
    <w:rsid w:val="002603E6"/>
    <w:rPr>
      <w:rFonts w:eastAsiaTheme="majorEastAsia" w:cstheme="majorBidi"/>
      <w:b/>
      <w:smallCaps/>
      <w:sz w:val="28"/>
      <w:szCs w:val="26"/>
    </w:rPr>
  </w:style>
  <w:style w:type="character" w:customStyle="1" w:styleId="Heading3Char">
    <w:name w:val="Heading 3 Char"/>
    <w:basedOn w:val="DefaultParagraphFont"/>
    <w:link w:val="Heading3"/>
    <w:uiPriority w:val="33"/>
    <w:rsid w:val="002603E6"/>
    <w:rPr>
      <w:rFonts w:eastAsiaTheme="majorEastAsia" w:cstheme="majorBidi"/>
      <w:b/>
    </w:rPr>
  </w:style>
  <w:style w:type="character" w:customStyle="1" w:styleId="Heading4Char">
    <w:name w:val="Heading 4 Char"/>
    <w:basedOn w:val="DefaultParagraphFont"/>
    <w:link w:val="Heading4"/>
    <w:uiPriority w:val="33"/>
    <w:rsid w:val="002603E6"/>
    <w:rPr>
      <w:rFonts w:eastAsiaTheme="majorEastAsia" w:cstheme="majorBidi"/>
      <w:iCs/>
      <w:u w:val="single"/>
    </w:rPr>
  </w:style>
  <w:style w:type="character" w:customStyle="1" w:styleId="Heading5Char">
    <w:name w:val="Heading 5 Char"/>
    <w:basedOn w:val="DefaultParagraphFont"/>
    <w:link w:val="Heading5"/>
    <w:uiPriority w:val="33"/>
    <w:rsid w:val="002603E6"/>
    <w:rPr>
      <w:rFonts w:eastAsiaTheme="majorEastAsia" w:cstheme="majorBidi"/>
      <w:i/>
    </w:rPr>
  </w:style>
  <w:style w:type="character" w:customStyle="1" w:styleId="Heading6Char">
    <w:name w:val="Heading 6 Char"/>
    <w:basedOn w:val="DefaultParagraphFont"/>
    <w:link w:val="Heading6"/>
    <w:uiPriority w:val="33"/>
    <w:rsid w:val="002603E6"/>
    <w:rPr>
      <w:rFonts w:eastAsiaTheme="majorEastAsia" w:cstheme="majorBidi"/>
      <w:u w:val="single"/>
    </w:rPr>
  </w:style>
  <w:style w:type="character" w:customStyle="1" w:styleId="Heading7Char">
    <w:name w:val="Heading 7 Char"/>
    <w:basedOn w:val="DefaultParagraphFont"/>
    <w:link w:val="Heading7"/>
    <w:uiPriority w:val="33"/>
    <w:rsid w:val="002603E6"/>
    <w:rPr>
      <w:rFonts w:eastAsiaTheme="majorEastAsia" w:cstheme="majorBidi"/>
      <w:i/>
      <w:iCs/>
    </w:rPr>
  </w:style>
  <w:style w:type="character" w:customStyle="1" w:styleId="Heading8Char">
    <w:name w:val="Heading 8 Char"/>
    <w:basedOn w:val="DefaultParagraphFont"/>
    <w:link w:val="Heading8"/>
    <w:uiPriority w:val="33"/>
    <w:rsid w:val="002603E6"/>
    <w:rPr>
      <w:rFonts w:eastAsiaTheme="majorEastAsia" w:cstheme="majorBidi"/>
      <w:szCs w:val="21"/>
      <w:u w:val="single"/>
    </w:rPr>
  </w:style>
  <w:style w:type="character" w:customStyle="1" w:styleId="Heading9Char">
    <w:name w:val="Heading 9 Char"/>
    <w:basedOn w:val="DefaultParagraphFont"/>
    <w:link w:val="Heading9"/>
    <w:uiPriority w:val="33"/>
    <w:rsid w:val="002603E6"/>
    <w:rPr>
      <w:rFonts w:eastAsiaTheme="majorEastAsia" w:cstheme="majorBidi"/>
      <w:i/>
      <w:iCs/>
      <w:szCs w:val="21"/>
    </w:rPr>
  </w:style>
  <w:style w:type="paragraph" w:customStyle="1" w:styleId="HL1HeadingLevel1">
    <w:name w:val="[HL1] Heading Level 1"/>
    <w:basedOn w:val="Heading1"/>
    <w:next w:val="P1-N1Paragraph1-Number1"/>
    <w:link w:val="HL1HeadingLevel1Char"/>
    <w:uiPriority w:val="4"/>
    <w:qFormat/>
    <w:rsid w:val="00B9740F"/>
    <w:pPr>
      <w:numPr>
        <w:numId w:val="2"/>
      </w:numPr>
    </w:pPr>
  </w:style>
  <w:style w:type="paragraph" w:customStyle="1" w:styleId="HL2HeadingLevel2">
    <w:name w:val="[HL2] Heading Level 2"/>
    <w:basedOn w:val="Heading2"/>
    <w:next w:val="P1-N1Paragraph1-Number1"/>
    <w:link w:val="HL2HeadingLevel2Char"/>
    <w:uiPriority w:val="4"/>
    <w:qFormat/>
    <w:rsid w:val="00B9740F"/>
    <w:pPr>
      <w:numPr>
        <w:ilvl w:val="1"/>
        <w:numId w:val="2"/>
      </w:numPr>
    </w:pPr>
  </w:style>
  <w:style w:type="character" w:customStyle="1" w:styleId="HL1HeadingLevel1Char">
    <w:name w:val="[HL1] Heading Level 1 Char"/>
    <w:basedOn w:val="BTBodyTextChar"/>
    <w:link w:val="HL1HeadingLevel1"/>
    <w:uiPriority w:val="4"/>
    <w:rsid w:val="002603E6"/>
    <w:rPr>
      <w:rFonts w:eastAsiaTheme="majorEastAsia" w:cstheme="majorBidi"/>
      <w:b/>
      <w:caps/>
      <w:sz w:val="28"/>
      <w:szCs w:val="32"/>
    </w:rPr>
  </w:style>
  <w:style w:type="paragraph" w:customStyle="1" w:styleId="HL3HeadingLevel3">
    <w:name w:val="[HL3] Heading Level 3"/>
    <w:basedOn w:val="Heading3"/>
    <w:next w:val="P1-N1Paragraph1-Number1"/>
    <w:link w:val="HL3HeadingLevel3Char"/>
    <w:uiPriority w:val="4"/>
    <w:qFormat/>
    <w:rsid w:val="00B9740F"/>
    <w:pPr>
      <w:numPr>
        <w:ilvl w:val="2"/>
        <w:numId w:val="2"/>
      </w:numPr>
    </w:pPr>
  </w:style>
  <w:style w:type="character" w:customStyle="1" w:styleId="HL2HeadingLevel2Char">
    <w:name w:val="[HL2] Heading Level 2 Char"/>
    <w:basedOn w:val="BTBodyTextChar"/>
    <w:link w:val="HL2HeadingLevel2"/>
    <w:uiPriority w:val="4"/>
    <w:rsid w:val="002603E6"/>
    <w:rPr>
      <w:rFonts w:eastAsiaTheme="majorEastAsia" w:cstheme="majorBidi"/>
      <w:b/>
      <w:smallCaps/>
      <w:sz w:val="28"/>
      <w:szCs w:val="26"/>
    </w:rPr>
  </w:style>
  <w:style w:type="paragraph" w:customStyle="1" w:styleId="HL4HeadingLevel4">
    <w:name w:val="[HL4] Heading Level 4"/>
    <w:basedOn w:val="Heading4"/>
    <w:next w:val="P1-N1Paragraph1-Number1"/>
    <w:link w:val="HL4HeadingLevel4Char"/>
    <w:uiPriority w:val="4"/>
    <w:qFormat/>
    <w:rsid w:val="00B9740F"/>
    <w:pPr>
      <w:numPr>
        <w:ilvl w:val="3"/>
        <w:numId w:val="2"/>
      </w:numPr>
    </w:pPr>
  </w:style>
  <w:style w:type="character" w:customStyle="1" w:styleId="HL3HeadingLevel3Char">
    <w:name w:val="[HL3] Heading Level 3 Char"/>
    <w:basedOn w:val="BTBodyTextChar"/>
    <w:link w:val="HL3HeadingLevel3"/>
    <w:uiPriority w:val="4"/>
    <w:rsid w:val="002603E6"/>
    <w:rPr>
      <w:rFonts w:eastAsiaTheme="majorEastAsia" w:cstheme="majorBidi"/>
      <w:b/>
    </w:rPr>
  </w:style>
  <w:style w:type="paragraph" w:customStyle="1" w:styleId="HL5HeadingLevel5">
    <w:name w:val="[HL5] Heading Level 5"/>
    <w:basedOn w:val="Heading5"/>
    <w:next w:val="P1-N1Paragraph1-Number1"/>
    <w:link w:val="HL5HeadingLevel5Char"/>
    <w:uiPriority w:val="4"/>
    <w:qFormat/>
    <w:rsid w:val="00B9740F"/>
    <w:pPr>
      <w:numPr>
        <w:ilvl w:val="4"/>
        <w:numId w:val="2"/>
      </w:numPr>
    </w:pPr>
  </w:style>
  <w:style w:type="character" w:customStyle="1" w:styleId="HL4HeadingLevel4Char">
    <w:name w:val="[HL4] Heading Level 4 Char"/>
    <w:basedOn w:val="BTBodyTextChar"/>
    <w:link w:val="HL4HeadingLevel4"/>
    <w:uiPriority w:val="4"/>
    <w:rsid w:val="002603E6"/>
    <w:rPr>
      <w:rFonts w:eastAsiaTheme="majorEastAsia" w:cstheme="majorBidi"/>
      <w:iCs/>
      <w:u w:val="single"/>
    </w:rPr>
  </w:style>
  <w:style w:type="paragraph" w:customStyle="1" w:styleId="HL6HeadingLevel6">
    <w:name w:val="[HL6] Heading Level 6"/>
    <w:basedOn w:val="Heading6"/>
    <w:next w:val="P1-N1Paragraph1-Number1"/>
    <w:link w:val="HL6HeadingLevel6Char"/>
    <w:uiPriority w:val="4"/>
    <w:semiHidden/>
    <w:rsid w:val="00B9740F"/>
    <w:pPr>
      <w:numPr>
        <w:ilvl w:val="5"/>
        <w:numId w:val="2"/>
      </w:numPr>
    </w:pPr>
  </w:style>
  <w:style w:type="character" w:customStyle="1" w:styleId="HL5HeadingLevel5Char">
    <w:name w:val="[HL5] Heading Level 5 Char"/>
    <w:basedOn w:val="BTBodyTextChar"/>
    <w:link w:val="HL5HeadingLevel5"/>
    <w:uiPriority w:val="4"/>
    <w:rsid w:val="002603E6"/>
    <w:rPr>
      <w:rFonts w:eastAsiaTheme="majorEastAsia" w:cstheme="majorBidi"/>
      <w:i/>
    </w:rPr>
  </w:style>
  <w:style w:type="paragraph" w:customStyle="1" w:styleId="HL7HeadingLevel7">
    <w:name w:val="[HL7] Heading Level 7"/>
    <w:basedOn w:val="Heading7"/>
    <w:next w:val="P1-N1Paragraph1-Number1"/>
    <w:link w:val="HL7HeadingLevel7Char"/>
    <w:uiPriority w:val="4"/>
    <w:semiHidden/>
    <w:rsid w:val="00B9740F"/>
    <w:pPr>
      <w:numPr>
        <w:ilvl w:val="6"/>
        <w:numId w:val="2"/>
      </w:numPr>
    </w:pPr>
  </w:style>
  <w:style w:type="character" w:customStyle="1" w:styleId="HL6HeadingLevel6Char">
    <w:name w:val="[HL6] Heading Level 6 Char"/>
    <w:basedOn w:val="BTBodyTextChar"/>
    <w:link w:val="HL6HeadingLevel6"/>
    <w:uiPriority w:val="4"/>
    <w:semiHidden/>
    <w:rsid w:val="00C74121"/>
    <w:rPr>
      <w:rFonts w:eastAsiaTheme="majorEastAsia" w:cstheme="majorBidi"/>
      <w:u w:val="single"/>
    </w:rPr>
  </w:style>
  <w:style w:type="paragraph" w:customStyle="1" w:styleId="HL8HeadingLevel8">
    <w:name w:val="[HL8] Heading Level 8"/>
    <w:basedOn w:val="Heading8"/>
    <w:next w:val="P1-N1Paragraph1-Number1"/>
    <w:link w:val="HL8HeadingLevel8Char"/>
    <w:uiPriority w:val="4"/>
    <w:semiHidden/>
    <w:rsid w:val="00B9740F"/>
    <w:pPr>
      <w:numPr>
        <w:ilvl w:val="7"/>
        <w:numId w:val="2"/>
      </w:numPr>
    </w:pPr>
  </w:style>
  <w:style w:type="character" w:customStyle="1" w:styleId="HL7HeadingLevel7Char">
    <w:name w:val="[HL7] Heading Level 7 Char"/>
    <w:basedOn w:val="BTBodyTextChar"/>
    <w:link w:val="HL7HeadingLevel7"/>
    <w:uiPriority w:val="4"/>
    <w:semiHidden/>
    <w:rsid w:val="00C74121"/>
    <w:rPr>
      <w:rFonts w:eastAsiaTheme="majorEastAsia" w:cstheme="majorBidi"/>
      <w:i/>
      <w:iCs/>
    </w:rPr>
  </w:style>
  <w:style w:type="paragraph" w:customStyle="1" w:styleId="HL9HeadingLevel9">
    <w:name w:val="[HL9] Heading Level 9"/>
    <w:basedOn w:val="Heading9"/>
    <w:next w:val="P1-N1Paragraph1-Number1"/>
    <w:link w:val="HL9HeadingLevel9Char"/>
    <w:uiPriority w:val="4"/>
    <w:semiHidden/>
    <w:rsid w:val="00B9740F"/>
    <w:pPr>
      <w:numPr>
        <w:ilvl w:val="8"/>
        <w:numId w:val="2"/>
      </w:numPr>
    </w:pPr>
  </w:style>
  <w:style w:type="character" w:customStyle="1" w:styleId="HL8HeadingLevel8Char">
    <w:name w:val="[HL8] Heading Level 8 Char"/>
    <w:basedOn w:val="BTBodyTextChar"/>
    <w:link w:val="HL8HeadingLevel8"/>
    <w:uiPriority w:val="4"/>
    <w:semiHidden/>
    <w:rsid w:val="00C74121"/>
    <w:rPr>
      <w:rFonts w:eastAsiaTheme="majorEastAsia" w:cstheme="majorBidi"/>
      <w:szCs w:val="21"/>
      <w:u w:val="single"/>
    </w:rPr>
  </w:style>
  <w:style w:type="paragraph" w:customStyle="1" w:styleId="SHSectionHeading">
    <w:name w:val="[SH] Section Heading"/>
    <w:basedOn w:val="Heading1"/>
    <w:next w:val="BTBodyText"/>
    <w:link w:val="SHSectionHeadingChar"/>
    <w:uiPriority w:val="12"/>
    <w:qFormat/>
    <w:rsid w:val="002F433F"/>
    <w:pPr>
      <w:spacing w:before="240" w:after="0"/>
      <w:jc w:val="center"/>
    </w:pPr>
    <w:rPr>
      <w:sz w:val="24"/>
    </w:rPr>
  </w:style>
  <w:style w:type="character" w:customStyle="1" w:styleId="HL9HeadingLevel9Char">
    <w:name w:val="[HL9] Heading Level 9 Char"/>
    <w:basedOn w:val="BTBodyTextChar"/>
    <w:link w:val="HL9HeadingLevel9"/>
    <w:uiPriority w:val="4"/>
    <w:semiHidden/>
    <w:rsid w:val="00C74121"/>
    <w:rPr>
      <w:rFonts w:eastAsiaTheme="majorEastAsia" w:cstheme="majorBidi"/>
      <w:i/>
      <w:iCs/>
      <w:szCs w:val="21"/>
    </w:rPr>
  </w:style>
  <w:style w:type="paragraph" w:styleId="TOCHeading">
    <w:name w:val="TOC Heading"/>
    <w:basedOn w:val="Normal"/>
    <w:next w:val="Normal"/>
    <w:uiPriority w:val="39"/>
    <w:unhideWhenUsed/>
    <w:rsid w:val="00AC4A0D"/>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2F433F"/>
    <w:rPr>
      <w:rFonts w:eastAsiaTheme="majorEastAsia" w:cstheme="majorBidi"/>
      <w:b/>
      <w:caps/>
      <w:sz w:val="28"/>
      <w:szCs w:val="32"/>
    </w:rPr>
  </w:style>
  <w:style w:type="paragraph" w:styleId="TOC1">
    <w:name w:val="toc 1"/>
    <w:basedOn w:val="Normal"/>
    <w:next w:val="Normal"/>
    <w:autoRedefine/>
    <w:uiPriority w:val="39"/>
    <w:unhideWhenUsed/>
    <w:rsid w:val="0062041F"/>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380795"/>
    <w:pPr>
      <w:tabs>
        <w:tab w:val="left" w:pos="1276"/>
        <w:tab w:val="right" w:leader="dot" w:pos="9060"/>
      </w:tabs>
      <w:spacing w:before="120" w:after="100" w:line="240" w:lineRule="auto"/>
      <w:ind w:left="1276" w:hanging="851"/>
    </w:pPr>
    <w:rPr>
      <w:b/>
      <w:smallCaps/>
    </w:rPr>
  </w:style>
  <w:style w:type="paragraph" w:styleId="TOC3">
    <w:name w:val="toc 3"/>
    <w:basedOn w:val="Normal"/>
    <w:next w:val="Normal"/>
    <w:autoRedefine/>
    <w:uiPriority w:val="39"/>
    <w:unhideWhenUsed/>
    <w:rsid w:val="00380795"/>
    <w:pPr>
      <w:tabs>
        <w:tab w:val="left" w:pos="1701"/>
        <w:tab w:val="right" w:leader="dot" w:pos="9060"/>
      </w:tabs>
      <w:spacing w:before="120" w:after="100" w:line="240" w:lineRule="auto"/>
      <w:ind w:left="1702" w:hanging="851"/>
    </w:pPr>
    <w:rPr>
      <w:b/>
    </w:rPr>
  </w:style>
  <w:style w:type="character" w:styleId="Hyperlink">
    <w:name w:val="Hyperlink"/>
    <w:basedOn w:val="DefaultParagraphFont"/>
    <w:uiPriority w:val="99"/>
    <w:unhideWhenUsed/>
    <w:rsid w:val="00D47F18"/>
    <w:rPr>
      <w:color w:val="0563C1" w:themeColor="hyperlink"/>
      <w:u w:val="single"/>
    </w:rPr>
  </w:style>
  <w:style w:type="paragraph" w:styleId="TOC4">
    <w:name w:val="toc 4"/>
    <w:basedOn w:val="Normal"/>
    <w:next w:val="Normal"/>
    <w:autoRedefine/>
    <w:uiPriority w:val="39"/>
    <w:unhideWhenUsed/>
    <w:rsid w:val="00380795"/>
    <w:pPr>
      <w:tabs>
        <w:tab w:val="left" w:pos="2127"/>
        <w:tab w:val="right" w:leader="dot" w:pos="9060"/>
      </w:tabs>
      <w:spacing w:before="120" w:after="100" w:line="240" w:lineRule="auto"/>
      <w:ind w:left="2127" w:hanging="851"/>
    </w:pPr>
    <w:rPr>
      <w:u w:val="single"/>
    </w:rPr>
  </w:style>
  <w:style w:type="paragraph" w:styleId="TOC5">
    <w:name w:val="toc 5"/>
    <w:basedOn w:val="Normal"/>
    <w:next w:val="Normal"/>
    <w:autoRedefine/>
    <w:uiPriority w:val="39"/>
    <w:unhideWhenUsed/>
    <w:rsid w:val="00380795"/>
    <w:pPr>
      <w:tabs>
        <w:tab w:val="left" w:pos="2552"/>
        <w:tab w:val="right" w:leader="dot" w:pos="9060"/>
      </w:tabs>
      <w:spacing w:before="120" w:after="100" w:line="240" w:lineRule="auto"/>
      <w:ind w:left="2552" w:hanging="851"/>
    </w:pPr>
    <w:rPr>
      <w:i/>
    </w:rPr>
  </w:style>
  <w:style w:type="paragraph" w:styleId="TOC6">
    <w:name w:val="toc 6"/>
    <w:basedOn w:val="Normal"/>
    <w:next w:val="Normal"/>
    <w:autoRedefine/>
    <w:uiPriority w:val="39"/>
    <w:unhideWhenUsed/>
    <w:rsid w:val="00380795"/>
    <w:pPr>
      <w:tabs>
        <w:tab w:val="left" w:pos="2977"/>
        <w:tab w:val="right" w:leader="dot" w:pos="9060"/>
      </w:tabs>
      <w:spacing w:before="120" w:after="100" w:line="240" w:lineRule="auto"/>
      <w:ind w:left="2977" w:hanging="851"/>
    </w:pPr>
  </w:style>
  <w:style w:type="paragraph" w:styleId="TOC7">
    <w:name w:val="toc 7"/>
    <w:basedOn w:val="Normal"/>
    <w:next w:val="Normal"/>
    <w:autoRedefine/>
    <w:uiPriority w:val="39"/>
    <w:unhideWhenUsed/>
    <w:rsid w:val="00380795"/>
    <w:pPr>
      <w:spacing w:before="120" w:after="100" w:line="240" w:lineRule="auto"/>
      <w:ind w:left="3403" w:hanging="851"/>
    </w:pPr>
  </w:style>
  <w:style w:type="paragraph" w:styleId="TOC8">
    <w:name w:val="toc 8"/>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styleId="TOC9">
    <w:name w:val="toc 9"/>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customStyle="1" w:styleId="FCFigureCaption">
    <w:name w:val="[FC] Figure Caption"/>
    <w:basedOn w:val="BTBodyText"/>
    <w:next w:val="BTBodyText"/>
    <w:link w:val="FCFigureCaptionChar"/>
    <w:uiPriority w:val="10"/>
    <w:qFormat/>
    <w:rsid w:val="00EE47D1"/>
    <w:pPr>
      <w:keepNext/>
      <w:numPr>
        <w:numId w:val="4"/>
      </w:numPr>
      <w:spacing w:before="240" w:after="0"/>
      <w:jc w:val="center"/>
      <w:outlineLvl w:val="7"/>
    </w:pPr>
    <w:rPr>
      <w:b/>
    </w:rPr>
  </w:style>
  <w:style w:type="character" w:customStyle="1" w:styleId="FCFigureCaptionChar">
    <w:name w:val="[FC] Figure Caption Char"/>
    <w:basedOn w:val="BTBodyTextChar"/>
    <w:link w:val="FCFigureCaption"/>
    <w:uiPriority w:val="10"/>
    <w:rsid w:val="00EE47D1"/>
    <w:rPr>
      <w:b/>
    </w:rPr>
  </w:style>
  <w:style w:type="paragraph" w:customStyle="1" w:styleId="TCTableCaption">
    <w:name w:val="[TC] Table Caption"/>
    <w:basedOn w:val="FCFigureCaption"/>
    <w:next w:val="BTBodyText"/>
    <w:link w:val="TCTableCaptionChar"/>
    <w:uiPriority w:val="10"/>
    <w:qFormat/>
    <w:rsid w:val="00ED1747"/>
    <w:pPr>
      <w:numPr>
        <w:numId w:val="5"/>
      </w:numPr>
      <w:outlineLvl w:val="8"/>
    </w:pPr>
  </w:style>
  <w:style w:type="table" w:styleId="TableGrid">
    <w:name w:val="Table Grid"/>
    <w:basedOn w:val="TableNormal"/>
    <w:uiPriority w:val="39"/>
    <w:rsid w:val="006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TableCaptionChar">
    <w:name w:val="[TC] Table Caption Char"/>
    <w:basedOn w:val="BTBodyTextChar"/>
    <w:link w:val="TCTableCaption"/>
    <w:uiPriority w:val="10"/>
    <w:rsid w:val="00093175"/>
    <w:rPr>
      <w:b/>
    </w:rPr>
  </w:style>
  <w:style w:type="paragraph" w:customStyle="1" w:styleId="TTTableText">
    <w:name w:val="[TT] Table Text"/>
    <w:basedOn w:val="BTBodyText"/>
    <w:link w:val="TTTableTextChar"/>
    <w:uiPriority w:val="19"/>
    <w:qFormat/>
    <w:rsid w:val="008E0031"/>
    <w:pPr>
      <w:spacing w:before="40" w:after="40" w:line="240" w:lineRule="auto"/>
      <w:jc w:val="left"/>
    </w:pPr>
  </w:style>
  <w:style w:type="paragraph" w:customStyle="1" w:styleId="THTableHeading">
    <w:name w:val="[TH] Table Heading"/>
    <w:basedOn w:val="TTTableText"/>
    <w:link w:val="THTableHeadingChar"/>
    <w:uiPriority w:val="19"/>
    <w:qFormat/>
    <w:rsid w:val="008E0031"/>
    <w:rPr>
      <w:b/>
    </w:rPr>
  </w:style>
  <w:style w:type="character" w:customStyle="1" w:styleId="TTTableTextChar">
    <w:name w:val="[TT] Table Text Char"/>
    <w:basedOn w:val="BTBodyTextChar"/>
    <w:link w:val="TTTableText"/>
    <w:uiPriority w:val="19"/>
    <w:rsid w:val="00093175"/>
  </w:style>
  <w:style w:type="paragraph" w:customStyle="1" w:styleId="AHL1AnnexHeadingLevel1">
    <w:name w:val="[AHL1] Annex Heading Level 1"/>
    <w:basedOn w:val="Heading1"/>
    <w:next w:val="P1-N1Paragraph1-Number1"/>
    <w:link w:val="AHL1AnnexHeadingLevel1Char"/>
    <w:uiPriority w:val="15"/>
    <w:qFormat/>
    <w:rsid w:val="006C1D90"/>
    <w:pPr>
      <w:numPr>
        <w:numId w:val="6"/>
      </w:numPr>
    </w:pPr>
    <w:rPr>
      <w:caps w:val="0"/>
      <w:sz w:val="24"/>
    </w:rPr>
  </w:style>
  <w:style w:type="character" w:customStyle="1" w:styleId="THTableHeadingChar">
    <w:name w:val="[TH] Table Heading Char"/>
    <w:basedOn w:val="TTTableTextChar"/>
    <w:link w:val="THTableHeading"/>
    <w:uiPriority w:val="19"/>
    <w:rsid w:val="00093175"/>
    <w:rPr>
      <w:b/>
    </w:rPr>
  </w:style>
  <w:style w:type="paragraph" w:customStyle="1" w:styleId="AHL2AnnexHeadingLevel2">
    <w:name w:val="[AHL2] Annex Heading Level 2"/>
    <w:basedOn w:val="Heading2"/>
    <w:next w:val="P1-N1Paragraph1-Number1"/>
    <w:link w:val="AHL2AnnexHeadingLevel2Char"/>
    <w:uiPriority w:val="15"/>
    <w:qFormat/>
    <w:rsid w:val="006C1D90"/>
    <w:pPr>
      <w:numPr>
        <w:ilvl w:val="1"/>
        <w:numId w:val="6"/>
      </w:numPr>
    </w:pPr>
    <w:rPr>
      <w:sz w:val="24"/>
    </w:rPr>
  </w:style>
  <w:style w:type="character" w:customStyle="1" w:styleId="AHL1AnnexHeadingLevel1Char">
    <w:name w:val="[AHL1] Annex Heading Level 1 Char"/>
    <w:basedOn w:val="BTBodyTextChar"/>
    <w:link w:val="AHL1AnnexHeadingLevel1"/>
    <w:uiPriority w:val="15"/>
    <w:rsid w:val="00D456CA"/>
    <w:rPr>
      <w:rFonts w:eastAsiaTheme="majorEastAsia" w:cstheme="majorBidi"/>
      <w:b/>
      <w:szCs w:val="32"/>
    </w:rPr>
  </w:style>
  <w:style w:type="paragraph" w:customStyle="1" w:styleId="AHL3AnnexHeadingLevel3">
    <w:name w:val="[AHL3] Annex Heading Level 3"/>
    <w:basedOn w:val="Heading3"/>
    <w:next w:val="P1-N1Paragraph1-Number1"/>
    <w:link w:val="AHL3AnnexHeadingLevel3Char"/>
    <w:uiPriority w:val="15"/>
    <w:qFormat/>
    <w:rsid w:val="0093054A"/>
    <w:pPr>
      <w:numPr>
        <w:ilvl w:val="2"/>
        <w:numId w:val="6"/>
      </w:numPr>
    </w:pPr>
  </w:style>
  <w:style w:type="character" w:customStyle="1" w:styleId="AHL2AnnexHeadingLevel2Char">
    <w:name w:val="[AHL2] Annex Heading Level 2 Char"/>
    <w:basedOn w:val="BTBodyTextChar"/>
    <w:link w:val="AHL2AnnexHeadingLevel2"/>
    <w:uiPriority w:val="15"/>
    <w:rsid w:val="00D456CA"/>
    <w:rPr>
      <w:rFonts w:eastAsiaTheme="majorEastAsia" w:cstheme="majorBidi"/>
      <w:b/>
      <w:smallCaps/>
      <w:szCs w:val="26"/>
    </w:rPr>
  </w:style>
  <w:style w:type="paragraph" w:customStyle="1" w:styleId="AHL4AnnexHeadingLevel4">
    <w:name w:val="[AHL4] Annex Heading Level 4"/>
    <w:basedOn w:val="Heading4"/>
    <w:next w:val="P1-N1Paragraph1-Number1"/>
    <w:link w:val="AHL4AnnexHeadingLevel4Char"/>
    <w:uiPriority w:val="15"/>
    <w:semiHidden/>
    <w:rsid w:val="0093054A"/>
    <w:pPr>
      <w:numPr>
        <w:ilvl w:val="3"/>
        <w:numId w:val="6"/>
      </w:numPr>
    </w:pPr>
  </w:style>
  <w:style w:type="character" w:customStyle="1" w:styleId="AHL3AnnexHeadingLevel3Char">
    <w:name w:val="[AHL3] Annex Heading Level 3 Char"/>
    <w:basedOn w:val="BTBodyTextChar"/>
    <w:link w:val="AHL3AnnexHeadingLevel3"/>
    <w:uiPriority w:val="15"/>
    <w:rsid w:val="00D456CA"/>
    <w:rPr>
      <w:rFonts w:eastAsiaTheme="majorEastAsia" w:cstheme="majorBidi"/>
      <w:b/>
    </w:rPr>
  </w:style>
  <w:style w:type="paragraph" w:customStyle="1" w:styleId="AHL5AnnexHeadingLevel5">
    <w:name w:val="[AHL5] Annex Heading Level 5"/>
    <w:basedOn w:val="Heading5"/>
    <w:next w:val="P1-N1Paragraph1-Number1"/>
    <w:link w:val="AHL5AnnexHeadingLevel5Char"/>
    <w:uiPriority w:val="15"/>
    <w:semiHidden/>
    <w:rsid w:val="006C1D90"/>
    <w:pPr>
      <w:numPr>
        <w:ilvl w:val="4"/>
        <w:numId w:val="6"/>
      </w:numPr>
    </w:pPr>
    <w:rPr>
      <w:b/>
      <w:i w:val="0"/>
    </w:rPr>
  </w:style>
  <w:style w:type="character" w:customStyle="1" w:styleId="AHL4AnnexHeadingLevel4Char">
    <w:name w:val="[AHL4] Annex Heading Level 4 Char"/>
    <w:basedOn w:val="BTBodyTextChar"/>
    <w:link w:val="AHL4AnnexHeadingLevel4"/>
    <w:uiPriority w:val="15"/>
    <w:semiHidden/>
    <w:rsid w:val="00D456CA"/>
    <w:rPr>
      <w:rFonts w:eastAsiaTheme="majorEastAsia" w:cstheme="majorBidi"/>
      <w:iCs/>
      <w:u w:val="single"/>
    </w:rPr>
  </w:style>
  <w:style w:type="paragraph" w:customStyle="1" w:styleId="AHL6AnnexHeadingLevel6">
    <w:name w:val="[AHL6] Annex Heading Level 6"/>
    <w:basedOn w:val="Heading6"/>
    <w:next w:val="P1-N1Paragraph1-Number1"/>
    <w:link w:val="AHL6AnnexHeadingLevel6Char"/>
    <w:uiPriority w:val="15"/>
    <w:semiHidden/>
    <w:rsid w:val="0093054A"/>
    <w:pPr>
      <w:numPr>
        <w:ilvl w:val="5"/>
        <w:numId w:val="6"/>
      </w:numPr>
    </w:pPr>
  </w:style>
  <w:style w:type="character" w:customStyle="1" w:styleId="AHL5AnnexHeadingLevel5Char">
    <w:name w:val="[AHL5] Annex Heading Level 5 Char"/>
    <w:basedOn w:val="BTBodyTextChar"/>
    <w:link w:val="AHL5AnnexHeadingLevel5"/>
    <w:uiPriority w:val="15"/>
    <w:semiHidden/>
    <w:rsid w:val="00D456CA"/>
    <w:rPr>
      <w:rFonts w:eastAsiaTheme="majorEastAsia" w:cstheme="majorBidi"/>
      <w:b/>
    </w:rPr>
  </w:style>
  <w:style w:type="paragraph" w:customStyle="1" w:styleId="AHL7AnnexHeadingLevel7">
    <w:name w:val="[AHL7] Annex Heading Level 7"/>
    <w:basedOn w:val="Heading7"/>
    <w:next w:val="P1-N1Paragraph1-Number1"/>
    <w:link w:val="AHL7AnnexHeadingLevel7Char"/>
    <w:uiPriority w:val="15"/>
    <w:semiHidden/>
    <w:rsid w:val="0093054A"/>
    <w:pPr>
      <w:numPr>
        <w:ilvl w:val="6"/>
        <w:numId w:val="6"/>
      </w:numPr>
    </w:pPr>
  </w:style>
  <w:style w:type="character" w:customStyle="1" w:styleId="AHL6AnnexHeadingLevel6Char">
    <w:name w:val="[AHL6] Annex Heading Level 6 Char"/>
    <w:basedOn w:val="BTBodyTextChar"/>
    <w:link w:val="AHL6AnnexHeadingLevel6"/>
    <w:uiPriority w:val="15"/>
    <w:semiHidden/>
    <w:rsid w:val="00D456CA"/>
    <w:rPr>
      <w:rFonts w:eastAsiaTheme="majorEastAsia" w:cstheme="majorBidi"/>
      <w:u w:val="single"/>
    </w:rPr>
  </w:style>
  <w:style w:type="paragraph" w:customStyle="1" w:styleId="AHL8AnnexHeadingLevel8">
    <w:name w:val="[AHL8] Annex Heading Level 8"/>
    <w:basedOn w:val="Heading8"/>
    <w:next w:val="P1-N1Paragraph1-Number1"/>
    <w:link w:val="AHL8AnnexHeadingLevel8Char"/>
    <w:uiPriority w:val="15"/>
    <w:semiHidden/>
    <w:rsid w:val="0093054A"/>
    <w:pPr>
      <w:numPr>
        <w:ilvl w:val="7"/>
        <w:numId w:val="6"/>
      </w:numPr>
    </w:pPr>
  </w:style>
  <w:style w:type="character" w:customStyle="1" w:styleId="AHL7AnnexHeadingLevel7Char">
    <w:name w:val="[AHL7] Annex Heading Level 7 Char"/>
    <w:basedOn w:val="BTBodyTextChar"/>
    <w:link w:val="AHL7AnnexHeadingLevel7"/>
    <w:uiPriority w:val="15"/>
    <w:semiHidden/>
    <w:rsid w:val="00D456CA"/>
    <w:rPr>
      <w:rFonts w:eastAsiaTheme="majorEastAsia" w:cstheme="majorBidi"/>
      <w:i/>
      <w:iCs/>
    </w:rPr>
  </w:style>
  <w:style w:type="paragraph" w:customStyle="1" w:styleId="AHL9AnnexHeadingLevel9">
    <w:name w:val="[AHL9] Annex Heading Level 9"/>
    <w:basedOn w:val="Heading9"/>
    <w:next w:val="P1-N1Paragraph1-Number1"/>
    <w:link w:val="AHL9AnnexHeadingLevel9Char"/>
    <w:uiPriority w:val="15"/>
    <w:semiHidden/>
    <w:rsid w:val="0093054A"/>
    <w:pPr>
      <w:numPr>
        <w:ilvl w:val="8"/>
        <w:numId w:val="6"/>
      </w:numPr>
    </w:pPr>
  </w:style>
  <w:style w:type="character" w:customStyle="1" w:styleId="AHL8AnnexHeadingLevel8Char">
    <w:name w:val="[AHL8] Annex Heading Level 8 Char"/>
    <w:basedOn w:val="BTBodyTextChar"/>
    <w:link w:val="AHL8AnnexHeadingLevel8"/>
    <w:uiPriority w:val="15"/>
    <w:semiHidden/>
    <w:rsid w:val="00D456CA"/>
    <w:rPr>
      <w:rFonts w:eastAsiaTheme="majorEastAsia" w:cstheme="majorBidi"/>
      <w:szCs w:val="21"/>
      <w:u w:val="single"/>
    </w:rPr>
  </w:style>
  <w:style w:type="paragraph" w:styleId="Header">
    <w:name w:val="header"/>
    <w:basedOn w:val="Normal"/>
    <w:link w:val="HeaderChar"/>
    <w:uiPriority w:val="99"/>
    <w:unhideWhenUsed/>
    <w:rsid w:val="00006269"/>
    <w:pPr>
      <w:tabs>
        <w:tab w:val="center" w:pos="4536"/>
        <w:tab w:val="right" w:pos="9072"/>
      </w:tabs>
      <w:spacing w:after="0" w:line="240" w:lineRule="auto"/>
    </w:pPr>
    <w:rPr>
      <w:sz w:val="22"/>
    </w:rPr>
  </w:style>
  <w:style w:type="character" w:customStyle="1" w:styleId="AHL9AnnexHeadingLevel9Char">
    <w:name w:val="[AHL9] Annex Heading Level 9 Char"/>
    <w:basedOn w:val="BTBodyTextChar"/>
    <w:link w:val="AHL9AnnexHeadingLevel9"/>
    <w:uiPriority w:val="15"/>
    <w:semiHidden/>
    <w:rsid w:val="00D456CA"/>
    <w:rPr>
      <w:rFonts w:eastAsiaTheme="majorEastAsia" w:cstheme="majorBidi"/>
      <w:i/>
      <w:iCs/>
      <w:szCs w:val="21"/>
    </w:rPr>
  </w:style>
  <w:style w:type="character" w:customStyle="1" w:styleId="HeaderChar">
    <w:name w:val="Header Char"/>
    <w:basedOn w:val="DefaultParagraphFont"/>
    <w:link w:val="Header"/>
    <w:uiPriority w:val="99"/>
    <w:rsid w:val="00006269"/>
    <w:rPr>
      <w:sz w:val="22"/>
    </w:rPr>
  </w:style>
  <w:style w:type="paragraph" w:styleId="Footer">
    <w:name w:val="footer"/>
    <w:basedOn w:val="Normal"/>
    <w:link w:val="FooterChar"/>
    <w:uiPriority w:val="99"/>
    <w:unhideWhenUsed/>
    <w:rsid w:val="00006269"/>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006269"/>
    <w:rPr>
      <w:sz w:val="22"/>
    </w:rPr>
  </w:style>
  <w:style w:type="paragraph" w:styleId="FootnoteText">
    <w:name w:val="footnote text"/>
    <w:basedOn w:val="Normal"/>
    <w:link w:val="FootnoteTextChar"/>
    <w:uiPriority w:val="99"/>
    <w:rsid w:val="00EE47D1"/>
    <w:pPr>
      <w:spacing w:after="0" w:line="240" w:lineRule="auto"/>
    </w:pPr>
    <w:rPr>
      <w:sz w:val="18"/>
      <w:szCs w:val="20"/>
    </w:rPr>
  </w:style>
  <w:style w:type="character" w:customStyle="1" w:styleId="FootnoteTextChar">
    <w:name w:val="Footnote Text Char"/>
    <w:basedOn w:val="DefaultParagraphFont"/>
    <w:link w:val="FootnoteText"/>
    <w:uiPriority w:val="99"/>
    <w:rsid w:val="00EE47D1"/>
    <w:rPr>
      <w:sz w:val="18"/>
      <w:szCs w:val="20"/>
    </w:rPr>
  </w:style>
  <w:style w:type="character" w:styleId="FootnoteReference">
    <w:name w:val="footnote reference"/>
    <w:basedOn w:val="DefaultParagraphFont"/>
    <w:uiPriority w:val="99"/>
    <w:rsid w:val="00BD0E60"/>
    <w:rPr>
      <w:rFonts w:ascii="Calibri" w:hAnsi="Calibri"/>
      <w:vertAlign w:val="superscript"/>
    </w:rPr>
  </w:style>
  <w:style w:type="character" w:styleId="UnresolvedMention">
    <w:name w:val="Unresolved Mention"/>
    <w:basedOn w:val="DefaultParagraphFont"/>
    <w:uiPriority w:val="99"/>
    <w:semiHidden/>
    <w:unhideWhenUsed/>
    <w:rsid w:val="00030A32"/>
    <w:rPr>
      <w:color w:val="605E5C"/>
      <w:shd w:val="clear" w:color="auto" w:fill="E1DFDD"/>
    </w:rPr>
  </w:style>
  <w:style w:type="paragraph" w:customStyle="1" w:styleId="WTODTWTODisputeTitle">
    <w:name w:val="[WTODT] WTO Dispute Title"/>
    <w:basedOn w:val="BTBodyText"/>
    <w:link w:val="WTODTWTODisputeTitleChar"/>
    <w:uiPriority w:val="27"/>
    <w:rsid w:val="00DA5381"/>
    <w:pPr>
      <w:spacing w:line="240" w:lineRule="auto"/>
      <w:jc w:val="center"/>
    </w:pPr>
    <w:rPr>
      <w:b/>
      <w:bCs/>
      <w:smallCaps/>
      <w:sz w:val="40"/>
      <w:szCs w:val="40"/>
    </w:rPr>
  </w:style>
  <w:style w:type="paragraph" w:customStyle="1" w:styleId="DSNDSNumber">
    <w:name w:val="[DSN] DS Number"/>
    <w:basedOn w:val="BTBodyText"/>
    <w:link w:val="DSNDSNumberChar"/>
    <w:uiPriority w:val="27"/>
    <w:rsid w:val="00DA5381"/>
    <w:pPr>
      <w:spacing w:line="240" w:lineRule="auto"/>
      <w:jc w:val="center"/>
    </w:pPr>
  </w:style>
  <w:style w:type="character" w:customStyle="1" w:styleId="WTODTWTODisputeTitleChar">
    <w:name w:val="[WTODT] WTO Dispute Title Char"/>
    <w:basedOn w:val="BTBodyTextChar"/>
    <w:link w:val="WTODTWTODisputeTitle"/>
    <w:uiPriority w:val="27"/>
    <w:rsid w:val="0026128E"/>
    <w:rPr>
      <w:b/>
      <w:bCs/>
      <w:smallCaps/>
      <w:sz w:val="40"/>
      <w:szCs w:val="40"/>
    </w:rPr>
  </w:style>
  <w:style w:type="paragraph" w:customStyle="1" w:styleId="DTDocumentTitle">
    <w:name w:val="[DT] Document Title"/>
    <w:basedOn w:val="BTBodyText"/>
    <w:link w:val="DTDocumentTitleChar"/>
    <w:uiPriority w:val="27"/>
    <w:rsid w:val="00DA5381"/>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26128E"/>
  </w:style>
  <w:style w:type="paragraph" w:customStyle="1" w:styleId="DDDocumentDate">
    <w:name w:val="[DD] Document Date"/>
    <w:basedOn w:val="BTBodyText"/>
    <w:link w:val="DDDocumentDateChar"/>
    <w:uiPriority w:val="27"/>
    <w:rsid w:val="00DA5381"/>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26128E"/>
    <w:rPr>
      <w:b/>
      <w:bCs/>
      <w:smallCaps/>
      <w:sz w:val="36"/>
      <w:szCs w:val="36"/>
    </w:rPr>
  </w:style>
  <w:style w:type="character" w:customStyle="1" w:styleId="DDDocumentDateChar">
    <w:name w:val="[DD] Document Date Char"/>
    <w:basedOn w:val="BTBodyTextChar"/>
    <w:link w:val="DDDocumentDate"/>
    <w:uiPriority w:val="27"/>
    <w:rsid w:val="0026128E"/>
    <w:rPr>
      <w:sz w:val="32"/>
      <w:szCs w:val="32"/>
    </w:rPr>
  </w:style>
  <w:style w:type="character" w:styleId="PlaceholderText">
    <w:name w:val="Placeholder Text"/>
    <w:basedOn w:val="DefaultParagraphFont"/>
    <w:uiPriority w:val="99"/>
    <w:semiHidden/>
    <w:rsid w:val="00D52A17"/>
    <w:rPr>
      <w:color w:val="808080"/>
    </w:rPr>
  </w:style>
  <w:style w:type="paragraph" w:styleId="Revision">
    <w:name w:val="Revision"/>
    <w:hidden/>
    <w:uiPriority w:val="99"/>
    <w:semiHidden/>
    <w:rsid w:val="00A31F8D"/>
    <w:pPr>
      <w:spacing w:after="0" w:line="240" w:lineRule="auto"/>
      <w:jc w:val="left"/>
    </w:pPr>
  </w:style>
  <w:style w:type="character" w:styleId="CommentReference">
    <w:name w:val="annotation reference"/>
    <w:basedOn w:val="DefaultParagraphFont"/>
    <w:uiPriority w:val="99"/>
    <w:semiHidden/>
    <w:unhideWhenUsed/>
    <w:rsid w:val="00F04C06"/>
    <w:rPr>
      <w:sz w:val="16"/>
      <w:szCs w:val="16"/>
    </w:rPr>
  </w:style>
  <w:style w:type="paragraph" w:styleId="CommentText">
    <w:name w:val="annotation text"/>
    <w:basedOn w:val="Normal"/>
    <w:link w:val="CommentTextChar"/>
    <w:uiPriority w:val="99"/>
    <w:unhideWhenUsed/>
    <w:rsid w:val="00F04C06"/>
    <w:pPr>
      <w:spacing w:line="240" w:lineRule="auto"/>
    </w:pPr>
    <w:rPr>
      <w:sz w:val="20"/>
      <w:szCs w:val="20"/>
    </w:rPr>
  </w:style>
  <w:style w:type="character" w:customStyle="1" w:styleId="CommentTextChar">
    <w:name w:val="Comment Text Char"/>
    <w:basedOn w:val="DefaultParagraphFont"/>
    <w:link w:val="CommentText"/>
    <w:uiPriority w:val="99"/>
    <w:rsid w:val="00F04C06"/>
    <w:rPr>
      <w:sz w:val="20"/>
      <w:szCs w:val="20"/>
    </w:rPr>
  </w:style>
  <w:style w:type="paragraph" w:styleId="CommentSubject">
    <w:name w:val="annotation subject"/>
    <w:basedOn w:val="CommentText"/>
    <w:next w:val="CommentText"/>
    <w:link w:val="CommentSubjectChar"/>
    <w:uiPriority w:val="99"/>
    <w:semiHidden/>
    <w:unhideWhenUsed/>
    <w:rsid w:val="00F04C06"/>
    <w:rPr>
      <w:b/>
      <w:bCs/>
    </w:rPr>
  </w:style>
  <w:style w:type="character" w:customStyle="1" w:styleId="CommentSubjectChar">
    <w:name w:val="Comment Subject Char"/>
    <w:basedOn w:val="CommentTextChar"/>
    <w:link w:val="CommentSubject"/>
    <w:uiPriority w:val="99"/>
    <w:semiHidden/>
    <w:rsid w:val="00F04C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0211">
      <w:bodyDiv w:val="1"/>
      <w:marLeft w:val="0"/>
      <w:marRight w:val="0"/>
      <w:marTop w:val="0"/>
      <w:marBottom w:val="0"/>
      <w:divBdr>
        <w:top w:val="none" w:sz="0" w:space="0" w:color="auto"/>
        <w:left w:val="none" w:sz="0" w:space="0" w:color="auto"/>
        <w:bottom w:val="none" w:sz="0" w:space="0" w:color="auto"/>
        <w:right w:val="none" w:sz="0" w:space="0" w:color="auto"/>
      </w:divBdr>
    </w:div>
    <w:div w:id="650986118">
      <w:bodyDiv w:val="1"/>
      <w:marLeft w:val="0"/>
      <w:marRight w:val="0"/>
      <w:marTop w:val="0"/>
      <w:marBottom w:val="0"/>
      <w:divBdr>
        <w:top w:val="none" w:sz="0" w:space="0" w:color="auto"/>
        <w:left w:val="none" w:sz="0" w:space="0" w:color="auto"/>
        <w:bottom w:val="none" w:sz="0" w:space="0" w:color="auto"/>
        <w:right w:val="none" w:sz="0" w:space="0" w:color="auto"/>
      </w:divBdr>
      <w:divsChild>
        <w:div w:id="1176770177">
          <w:marLeft w:val="0"/>
          <w:marRight w:val="0"/>
          <w:marTop w:val="0"/>
          <w:marBottom w:val="0"/>
          <w:divBdr>
            <w:top w:val="none" w:sz="0" w:space="0" w:color="auto"/>
            <w:left w:val="none" w:sz="0" w:space="0" w:color="auto"/>
            <w:bottom w:val="none" w:sz="0" w:space="0" w:color="auto"/>
            <w:right w:val="none" w:sz="0" w:space="0" w:color="auto"/>
          </w:divBdr>
        </w:div>
        <w:div w:id="1365787774">
          <w:marLeft w:val="0"/>
          <w:marRight w:val="0"/>
          <w:marTop w:val="0"/>
          <w:marBottom w:val="0"/>
          <w:divBdr>
            <w:top w:val="none" w:sz="0" w:space="0" w:color="auto"/>
            <w:left w:val="none" w:sz="0" w:space="0" w:color="auto"/>
            <w:bottom w:val="none" w:sz="0" w:space="0" w:color="auto"/>
            <w:right w:val="none" w:sz="0" w:space="0" w:color="auto"/>
          </w:divBdr>
        </w:div>
        <w:div w:id="698355145">
          <w:marLeft w:val="0"/>
          <w:marRight w:val="0"/>
          <w:marTop w:val="0"/>
          <w:marBottom w:val="0"/>
          <w:divBdr>
            <w:top w:val="none" w:sz="0" w:space="0" w:color="auto"/>
            <w:left w:val="none" w:sz="0" w:space="0" w:color="auto"/>
            <w:bottom w:val="none" w:sz="0" w:space="0" w:color="auto"/>
            <w:right w:val="none" w:sz="0" w:space="0" w:color="auto"/>
          </w:divBdr>
        </w:div>
        <w:div w:id="1361008943">
          <w:marLeft w:val="0"/>
          <w:marRight w:val="0"/>
          <w:marTop w:val="0"/>
          <w:marBottom w:val="0"/>
          <w:divBdr>
            <w:top w:val="none" w:sz="0" w:space="0" w:color="auto"/>
            <w:left w:val="none" w:sz="0" w:space="0" w:color="auto"/>
            <w:bottom w:val="none" w:sz="0" w:space="0" w:color="auto"/>
            <w:right w:val="none" w:sz="0" w:space="0" w:color="auto"/>
          </w:divBdr>
        </w:div>
        <w:div w:id="168759583">
          <w:marLeft w:val="0"/>
          <w:marRight w:val="0"/>
          <w:marTop w:val="0"/>
          <w:marBottom w:val="0"/>
          <w:divBdr>
            <w:top w:val="none" w:sz="0" w:space="0" w:color="auto"/>
            <w:left w:val="none" w:sz="0" w:space="0" w:color="auto"/>
            <w:bottom w:val="none" w:sz="0" w:space="0" w:color="auto"/>
            <w:right w:val="none" w:sz="0" w:space="0" w:color="auto"/>
          </w:divBdr>
        </w:div>
        <w:div w:id="1885436047">
          <w:marLeft w:val="0"/>
          <w:marRight w:val="0"/>
          <w:marTop w:val="0"/>
          <w:marBottom w:val="0"/>
          <w:divBdr>
            <w:top w:val="none" w:sz="0" w:space="0" w:color="auto"/>
            <w:left w:val="none" w:sz="0" w:space="0" w:color="auto"/>
            <w:bottom w:val="none" w:sz="0" w:space="0" w:color="auto"/>
            <w:right w:val="none" w:sz="0" w:space="0" w:color="auto"/>
          </w:divBdr>
        </w:div>
        <w:div w:id="1003900223">
          <w:marLeft w:val="0"/>
          <w:marRight w:val="0"/>
          <w:marTop w:val="0"/>
          <w:marBottom w:val="0"/>
          <w:divBdr>
            <w:top w:val="none" w:sz="0" w:space="0" w:color="auto"/>
            <w:left w:val="none" w:sz="0" w:space="0" w:color="auto"/>
            <w:bottom w:val="none" w:sz="0" w:space="0" w:color="auto"/>
            <w:right w:val="none" w:sz="0" w:space="0" w:color="auto"/>
          </w:divBdr>
        </w:div>
        <w:div w:id="115292872">
          <w:marLeft w:val="0"/>
          <w:marRight w:val="0"/>
          <w:marTop w:val="0"/>
          <w:marBottom w:val="0"/>
          <w:divBdr>
            <w:top w:val="none" w:sz="0" w:space="0" w:color="auto"/>
            <w:left w:val="none" w:sz="0" w:space="0" w:color="auto"/>
            <w:bottom w:val="none" w:sz="0" w:space="0" w:color="auto"/>
            <w:right w:val="none" w:sz="0" w:space="0" w:color="auto"/>
          </w:divBdr>
        </w:div>
        <w:div w:id="837156942">
          <w:marLeft w:val="0"/>
          <w:marRight w:val="0"/>
          <w:marTop w:val="0"/>
          <w:marBottom w:val="0"/>
          <w:divBdr>
            <w:top w:val="none" w:sz="0" w:space="0" w:color="auto"/>
            <w:left w:val="none" w:sz="0" w:space="0" w:color="auto"/>
            <w:bottom w:val="none" w:sz="0" w:space="0" w:color="auto"/>
            <w:right w:val="none" w:sz="0" w:space="0" w:color="auto"/>
          </w:divBdr>
        </w:div>
        <w:div w:id="901402617">
          <w:marLeft w:val="0"/>
          <w:marRight w:val="0"/>
          <w:marTop w:val="0"/>
          <w:marBottom w:val="0"/>
          <w:divBdr>
            <w:top w:val="none" w:sz="0" w:space="0" w:color="auto"/>
            <w:left w:val="none" w:sz="0" w:space="0" w:color="auto"/>
            <w:bottom w:val="none" w:sz="0" w:space="0" w:color="auto"/>
            <w:right w:val="none" w:sz="0" w:space="0" w:color="auto"/>
          </w:divBdr>
        </w:div>
      </w:divsChild>
    </w:div>
    <w:div w:id="730539391">
      <w:bodyDiv w:val="1"/>
      <w:marLeft w:val="0"/>
      <w:marRight w:val="0"/>
      <w:marTop w:val="0"/>
      <w:marBottom w:val="0"/>
      <w:divBdr>
        <w:top w:val="none" w:sz="0" w:space="0" w:color="auto"/>
        <w:left w:val="none" w:sz="0" w:space="0" w:color="auto"/>
        <w:bottom w:val="none" w:sz="0" w:space="0" w:color="auto"/>
        <w:right w:val="none" w:sz="0" w:space="0" w:color="auto"/>
      </w:divBdr>
    </w:div>
    <w:div w:id="759134402">
      <w:bodyDiv w:val="1"/>
      <w:marLeft w:val="0"/>
      <w:marRight w:val="0"/>
      <w:marTop w:val="0"/>
      <w:marBottom w:val="0"/>
      <w:divBdr>
        <w:top w:val="none" w:sz="0" w:space="0" w:color="auto"/>
        <w:left w:val="none" w:sz="0" w:space="0" w:color="auto"/>
        <w:bottom w:val="none" w:sz="0" w:space="0" w:color="auto"/>
        <w:right w:val="none" w:sz="0" w:space="0" w:color="auto"/>
      </w:divBdr>
      <w:divsChild>
        <w:div w:id="1599018169">
          <w:marLeft w:val="0"/>
          <w:marRight w:val="0"/>
          <w:marTop w:val="0"/>
          <w:marBottom w:val="0"/>
          <w:divBdr>
            <w:top w:val="none" w:sz="0" w:space="0" w:color="auto"/>
            <w:left w:val="none" w:sz="0" w:space="0" w:color="auto"/>
            <w:bottom w:val="none" w:sz="0" w:space="0" w:color="auto"/>
            <w:right w:val="none" w:sz="0" w:space="0" w:color="auto"/>
          </w:divBdr>
        </w:div>
        <w:div w:id="39209382">
          <w:marLeft w:val="0"/>
          <w:marRight w:val="0"/>
          <w:marTop w:val="0"/>
          <w:marBottom w:val="0"/>
          <w:divBdr>
            <w:top w:val="none" w:sz="0" w:space="0" w:color="auto"/>
            <w:left w:val="none" w:sz="0" w:space="0" w:color="auto"/>
            <w:bottom w:val="none" w:sz="0" w:space="0" w:color="auto"/>
            <w:right w:val="none" w:sz="0" w:space="0" w:color="auto"/>
          </w:divBdr>
        </w:div>
        <w:div w:id="242641341">
          <w:marLeft w:val="0"/>
          <w:marRight w:val="0"/>
          <w:marTop w:val="0"/>
          <w:marBottom w:val="0"/>
          <w:divBdr>
            <w:top w:val="none" w:sz="0" w:space="0" w:color="auto"/>
            <w:left w:val="none" w:sz="0" w:space="0" w:color="auto"/>
            <w:bottom w:val="none" w:sz="0" w:space="0" w:color="auto"/>
            <w:right w:val="none" w:sz="0" w:space="0" w:color="auto"/>
          </w:divBdr>
        </w:div>
      </w:divsChild>
    </w:div>
    <w:div w:id="805661741">
      <w:bodyDiv w:val="1"/>
      <w:marLeft w:val="0"/>
      <w:marRight w:val="0"/>
      <w:marTop w:val="0"/>
      <w:marBottom w:val="0"/>
      <w:divBdr>
        <w:top w:val="none" w:sz="0" w:space="0" w:color="auto"/>
        <w:left w:val="none" w:sz="0" w:space="0" w:color="auto"/>
        <w:bottom w:val="none" w:sz="0" w:space="0" w:color="auto"/>
        <w:right w:val="none" w:sz="0" w:space="0" w:color="auto"/>
      </w:divBdr>
      <w:divsChild>
        <w:div w:id="364601987">
          <w:marLeft w:val="0"/>
          <w:marRight w:val="0"/>
          <w:marTop w:val="0"/>
          <w:marBottom w:val="0"/>
          <w:divBdr>
            <w:top w:val="none" w:sz="0" w:space="0" w:color="auto"/>
            <w:left w:val="none" w:sz="0" w:space="0" w:color="auto"/>
            <w:bottom w:val="none" w:sz="0" w:space="0" w:color="auto"/>
            <w:right w:val="none" w:sz="0" w:space="0" w:color="auto"/>
          </w:divBdr>
        </w:div>
        <w:div w:id="1846431345">
          <w:marLeft w:val="0"/>
          <w:marRight w:val="0"/>
          <w:marTop w:val="0"/>
          <w:marBottom w:val="0"/>
          <w:divBdr>
            <w:top w:val="none" w:sz="0" w:space="0" w:color="auto"/>
            <w:left w:val="none" w:sz="0" w:space="0" w:color="auto"/>
            <w:bottom w:val="none" w:sz="0" w:space="0" w:color="auto"/>
            <w:right w:val="none" w:sz="0" w:space="0" w:color="auto"/>
          </w:divBdr>
        </w:div>
        <w:div w:id="1444034621">
          <w:marLeft w:val="0"/>
          <w:marRight w:val="0"/>
          <w:marTop w:val="0"/>
          <w:marBottom w:val="0"/>
          <w:divBdr>
            <w:top w:val="none" w:sz="0" w:space="0" w:color="auto"/>
            <w:left w:val="none" w:sz="0" w:space="0" w:color="auto"/>
            <w:bottom w:val="none" w:sz="0" w:space="0" w:color="auto"/>
            <w:right w:val="none" w:sz="0" w:space="0" w:color="auto"/>
          </w:divBdr>
        </w:div>
        <w:div w:id="363746861">
          <w:marLeft w:val="0"/>
          <w:marRight w:val="0"/>
          <w:marTop w:val="0"/>
          <w:marBottom w:val="0"/>
          <w:divBdr>
            <w:top w:val="none" w:sz="0" w:space="0" w:color="auto"/>
            <w:left w:val="none" w:sz="0" w:space="0" w:color="auto"/>
            <w:bottom w:val="none" w:sz="0" w:space="0" w:color="auto"/>
            <w:right w:val="none" w:sz="0" w:space="0" w:color="auto"/>
          </w:divBdr>
        </w:div>
      </w:divsChild>
    </w:div>
    <w:div w:id="941691928">
      <w:bodyDiv w:val="1"/>
      <w:marLeft w:val="0"/>
      <w:marRight w:val="0"/>
      <w:marTop w:val="0"/>
      <w:marBottom w:val="0"/>
      <w:divBdr>
        <w:top w:val="none" w:sz="0" w:space="0" w:color="auto"/>
        <w:left w:val="none" w:sz="0" w:space="0" w:color="auto"/>
        <w:bottom w:val="none" w:sz="0" w:space="0" w:color="auto"/>
        <w:right w:val="none" w:sz="0" w:space="0" w:color="auto"/>
      </w:divBdr>
      <w:divsChild>
        <w:div w:id="202905560">
          <w:marLeft w:val="0"/>
          <w:marRight w:val="0"/>
          <w:marTop w:val="0"/>
          <w:marBottom w:val="0"/>
          <w:divBdr>
            <w:top w:val="none" w:sz="0" w:space="0" w:color="auto"/>
            <w:left w:val="none" w:sz="0" w:space="0" w:color="auto"/>
            <w:bottom w:val="none" w:sz="0" w:space="0" w:color="auto"/>
            <w:right w:val="none" w:sz="0" w:space="0" w:color="auto"/>
          </w:divBdr>
        </w:div>
        <w:div w:id="1256090005">
          <w:marLeft w:val="0"/>
          <w:marRight w:val="0"/>
          <w:marTop w:val="0"/>
          <w:marBottom w:val="0"/>
          <w:divBdr>
            <w:top w:val="none" w:sz="0" w:space="0" w:color="auto"/>
            <w:left w:val="none" w:sz="0" w:space="0" w:color="auto"/>
            <w:bottom w:val="none" w:sz="0" w:space="0" w:color="auto"/>
            <w:right w:val="none" w:sz="0" w:space="0" w:color="auto"/>
          </w:divBdr>
        </w:div>
        <w:div w:id="662199500">
          <w:marLeft w:val="0"/>
          <w:marRight w:val="0"/>
          <w:marTop w:val="0"/>
          <w:marBottom w:val="0"/>
          <w:divBdr>
            <w:top w:val="none" w:sz="0" w:space="0" w:color="auto"/>
            <w:left w:val="none" w:sz="0" w:space="0" w:color="auto"/>
            <w:bottom w:val="none" w:sz="0" w:space="0" w:color="auto"/>
            <w:right w:val="none" w:sz="0" w:space="0" w:color="auto"/>
          </w:divBdr>
        </w:div>
        <w:div w:id="374738529">
          <w:marLeft w:val="0"/>
          <w:marRight w:val="0"/>
          <w:marTop w:val="0"/>
          <w:marBottom w:val="0"/>
          <w:divBdr>
            <w:top w:val="none" w:sz="0" w:space="0" w:color="auto"/>
            <w:left w:val="none" w:sz="0" w:space="0" w:color="auto"/>
            <w:bottom w:val="none" w:sz="0" w:space="0" w:color="auto"/>
            <w:right w:val="none" w:sz="0" w:space="0" w:color="auto"/>
          </w:divBdr>
        </w:div>
      </w:divsChild>
    </w:div>
    <w:div w:id="1005745697">
      <w:bodyDiv w:val="1"/>
      <w:marLeft w:val="0"/>
      <w:marRight w:val="0"/>
      <w:marTop w:val="0"/>
      <w:marBottom w:val="0"/>
      <w:divBdr>
        <w:top w:val="none" w:sz="0" w:space="0" w:color="auto"/>
        <w:left w:val="none" w:sz="0" w:space="0" w:color="auto"/>
        <w:bottom w:val="none" w:sz="0" w:space="0" w:color="auto"/>
        <w:right w:val="none" w:sz="0" w:space="0" w:color="auto"/>
      </w:divBdr>
      <w:divsChild>
        <w:div w:id="1828283996">
          <w:marLeft w:val="0"/>
          <w:marRight w:val="0"/>
          <w:marTop w:val="0"/>
          <w:marBottom w:val="0"/>
          <w:divBdr>
            <w:top w:val="none" w:sz="0" w:space="0" w:color="auto"/>
            <w:left w:val="none" w:sz="0" w:space="0" w:color="auto"/>
            <w:bottom w:val="none" w:sz="0" w:space="0" w:color="auto"/>
            <w:right w:val="none" w:sz="0" w:space="0" w:color="auto"/>
          </w:divBdr>
        </w:div>
        <w:div w:id="156195597">
          <w:marLeft w:val="0"/>
          <w:marRight w:val="0"/>
          <w:marTop w:val="0"/>
          <w:marBottom w:val="0"/>
          <w:divBdr>
            <w:top w:val="none" w:sz="0" w:space="0" w:color="auto"/>
            <w:left w:val="none" w:sz="0" w:space="0" w:color="auto"/>
            <w:bottom w:val="none" w:sz="0" w:space="0" w:color="auto"/>
            <w:right w:val="none" w:sz="0" w:space="0" w:color="auto"/>
          </w:divBdr>
        </w:div>
        <w:div w:id="682897573">
          <w:marLeft w:val="0"/>
          <w:marRight w:val="0"/>
          <w:marTop w:val="0"/>
          <w:marBottom w:val="0"/>
          <w:divBdr>
            <w:top w:val="none" w:sz="0" w:space="0" w:color="auto"/>
            <w:left w:val="none" w:sz="0" w:space="0" w:color="auto"/>
            <w:bottom w:val="none" w:sz="0" w:space="0" w:color="auto"/>
            <w:right w:val="none" w:sz="0" w:space="0" w:color="auto"/>
          </w:divBdr>
        </w:div>
      </w:divsChild>
    </w:div>
    <w:div w:id="1256592184">
      <w:bodyDiv w:val="1"/>
      <w:marLeft w:val="0"/>
      <w:marRight w:val="0"/>
      <w:marTop w:val="0"/>
      <w:marBottom w:val="0"/>
      <w:divBdr>
        <w:top w:val="none" w:sz="0" w:space="0" w:color="auto"/>
        <w:left w:val="none" w:sz="0" w:space="0" w:color="auto"/>
        <w:bottom w:val="none" w:sz="0" w:space="0" w:color="auto"/>
        <w:right w:val="none" w:sz="0" w:space="0" w:color="auto"/>
      </w:divBdr>
      <w:divsChild>
        <w:div w:id="806898161">
          <w:marLeft w:val="0"/>
          <w:marRight w:val="0"/>
          <w:marTop w:val="0"/>
          <w:marBottom w:val="0"/>
          <w:divBdr>
            <w:top w:val="none" w:sz="0" w:space="0" w:color="auto"/>
            <w:left w:val="none" w:sz="0" w:space="0" w:color="auto"/>
            <w:bottom w:val="none" w:sz="0" w:space="0" w:color="auto"/>
            <w:right w:val="none" w:sz="0" w:space="0" w:color="auto"/>
          </w:divBdr>
        </w:div>
        <w:div w:id="1113743444">
          <w:marLeft w:val="0"/>
          <w:marRight w:val="0"/>
          <w:marTop w:val="0"/>
          <w:marBottom w:val="0"/>
          <w:divBdr>
            <w:top w:val="none" w:sz="0" w:space="0" w:color="auto"/>
            <w:left w:val="none" w:sz="0" w:space="0" w:color="auto"/>
            <w:bottom w:val="none" w:sz="0" w:space="0" w:color="auto"/>
            <w:right w:val="none" w:sz="0" w:space="0" w:color="auto"/>
          </w:divBdr>
        </w:div>
        <w:div w:id="374811429">
          <w:marLeft w:val="0"/>
          <w:marRight w:val="0"/>
          <w:marTop w:val="0"/>
          <w:marBottom w:val="0"/>
          <w:divBdr>
            <w:top w:val="none" w:sz="0" w:space="0" w:color="auto"/>
            <w:left w:val="none" w:sz="0" w:space="0" w:color="auto"/>
            <w:bottom w:val="none" w:sz="0" w:space="0" w:color="auto"/>
            <w:right w:val="none" w:sz="0" w:space="0" w:color="auto"/>
          </w:divBdr>
        </w:div>
        <w:div w:id="1287928476">
          <w:marLeft w:val="0"/>
          <w:marRight w:val="0"/>
          <w:marTop w:val="0"/>
          <w:marBottom w:val="0"/>
          <w:divBdr>
            <w:top w:val="none" w:sz="0" w:space="0" w:color="auto"/>
            <w:left w:val="none" w:sz="0" w:space="0" w:color="auto"/>
            <w:bottom w:val="none" w:sz="0" w:space="0" w:color="auto"/>
            <w:right w:val="none" w:sz="0" w:space="0" w:color="auto"/>
          </w:divBdr>
        </w:div>
        <w:div w:id="261690907">
          <w:marLeft w:val="0"/>
          <w:marRight w:val="0"/>
          <w:marTop w:val="0"/>
          <w:marBottom w:val="0"/>
          <w:divBdr>
            <w:top w:val="none" w:sz="0" w:space="0" w:color="auto"/>
            <w:left w:val="none" w:sz="0" w:space="0" w:color="auto"/>
            <w:bottom w:val="none" w:sz="0" w:space="0" w:color="auto"/>
            <w:right w:val="none" w:sz="0" w:space="0" w:color="auto"/>
          </w:divBdr>
        </w:div>
        <w:div w:id="341056850">
          <w:marLeft w:val="0"/>
          <w:marRight w:val="0"/>
          <w:marTop w:val="0"/>
          <w:marBottom w:val="0"/>
          <w:divBdr>
            <w:top w:val="none" w:sz="0" w:space="0" w:color="auto"/>
            <w:left w:val="none" w:sz="0" w:space="0" w:color="auto"/>
            <w:bottom w:val="none" w:sz="0" w:space="0" w:color="auto"/>
            <w:right w:val="none" w:sz="0" w:space="0" w:color="auto"/>
          </w:divBdr>
        </w:div>
        <w:div w:id="1592739036">
          <w:marLeft w:val="0"/>
          <w:marRight w:val="0"/>
          <w:marTop w:val="0"/>
          <w:marBottom w:val="0"/>
          <w:divBdr>
            <w:top w:val="none" w:sz="0" w:space="0" w:color="auto"/>
            <w:left w:val="none" w:sz="0" w:space="0" w:color="auto"/>
            <w:bottom w:val="none" w:sz="0" w:space="0" w:color="auto"/>
            <w:right w:val="none" w:sz="0" w:space="0" w:color="auto"/>
          </w:divBdr>
        </w:div>
        <w:div w:id="1089086328">
          <w:marLeft w:val="0"/>
          <w:marRight w:val="0"/>
          <w:marTop w:val="0"/>
          <w:marBottom w:val="0"/>
          <w:divBdr>
            <w:top w:val="none" w:sz="0" w:space="0" w:color="auto"/>
            <w:left w:val="none" w:sz="0" w:space="0" w:color="auto"/>
            <w:bottom w:val="none" w:sz="0" w:space="0" w:color="auto"/>
            <w:right w:val="none" w:sz="0" w:space="0" w:color="auto"/>
          </w:divBdr>
        </w:div>
        <w:div w:id="1311404015">
          <w:marLeft w:val="0"/>
          <w:marRight w:val="0"/>
          <w:marTop w:val="0"/>
          <w:marBottom w:val="0"/>
          <w:divBdr>
            <w:top w:val="none" w:sz="0" w:space="0" w:color="auto"/>
            <w:left w:val="none" w:sz="0" w:space="0" w:color="auto"/>
            <w:bottom w:val="none" w:sz="0" w:space="0" w:color="auto"/>
            <w:right w:val="none" w:sz="0" w:space="0" w:color="auto"/>
          </w:divBdr>
        </w:div>
        <w:div w:id="1285114537">
          <w:marLeft w:val="0"/>
          <w:marRight w:val="0"/>
          <w:marTop w:val="0"/>
          <w:marBottom w:val="0"/>
          <w:divBdr>
            <w:top w:val="none" w:sz="0" w:space="0" w:color="auto"/>
            <w:left w:val="none" w:sz="0" w:space="0" w:color="auto"/>
            <w:bottom w:val="none" w:sz="0" w:space="0" w:color="auto"/>
            <w:right w:val="none" w:sz="0" w:space="0" w:color="auto"/>
          </w:divBdr>
        </w:div>
      </w:divsChild>
    </w:div>
    <w:div w:id="1773935462">
      <w:bodyDiv w:val="1"/>
      <w:marLeft w:val="0"/>
      <w:marRight w:val="0"/>
      <w:marTop w:val="0"/>
      <w:marBottom w:val="0"/>
      <w:divBdr>
        <w:top w:val="none" w:sz="0" w:space="0" w:color="auto"/>
        <w:left w:val="none" w:sz="0" w:space="0" w:color="auto"/>
        <w:bottom w:val="none" w:sz="0" w:space="0" w:color="auto"/>
        <w:right w:val="none" w:sz="0" w:space="0" w:color="auto"/>
      </w:divBdr>
    </w:div>
    <w:div w:id="18394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0AC2E10A2B34A86A613A4498C609D" ma:contentTypeVersion="3" ma:contentTypeDescription="Create a new document." ma:contentTypeScope="" ma:versionID="93795d7ebee9913df2db193712303f32">
  <xsd:schema xmlns:xsd="http://www.w3.org/2001/XMLSchema" xmlns:xs="http://www.w3.org/2001/XMLSchema" xmlns:p="http://schemas.microsoft.com/office/2006/metadata/properties" xmlns:ns2="d0a44250-acd7-47b7-bc6f-6107bccf164c" targetNamespace="http://schemas.microsoft.com/office/2006/metadata/properties" ma:root="true" ma:fieldsID="4ed414144b03bc0ea3ef09ddc924adb9" ns2:_="">
    <xsd:import namespace="d0a44250-acd7-47b7-bc6f-6107bccf16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44250-acd7-47b7-bc6f-6107bccf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B3AB6-3E7C-4152-A768-6ACE67B0EBC3}">
  <ds:schemaRefs>
    <ds:schemaRef ds:uri="http://schemas.microsoft.com/sharepoint/v3/contenttype/forms"/>
  </ds:schemaRefs>
</ds:datastoreItem>
</file>

<file path=customXml/itemProps2.xml><?xml version="1.0" encoding="utf-8"?>
<ds:datastoreItem xmlns:ds="http://schemas.openxmlformats.org/officeDocument/2006/customXml" ds:itemID="{553CB7AA-EBF1-44DB-9036-2FACE8457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44250-acd7-47b7-bc6f-6107bccf1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285C3-5A96-47F8-A9AF-21E0D515D567}">
  <ds:schemaRefs>
    <ds:schemaRef ds:uri="http://schemas.openxmlformats.org/officeDocument/2006/bibliography"/>
  </ds:schemaRefs>
</ds:datastoreItem>
</file>

<file path=customXml/itemProps4.xml><?xml version="1.0" encoding="utf-8"?>
<ds:datastoreItem xmlns:ds="http://schemas.openxmlformats.org/officeDocument/2006/customXml" ds:itemID="{1ADD9754-7AD2-4404-9DA5-EECA2F3CD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1667</Words>
  <Characters>8946</Characters>
  <Application>Microsoft Office Word</Application>
  <DocSecurity>0</DocSecurity>
  <Lines>200</Lines>
  <Paragraphs>87</Paragraphs>
  <ScaleCrop>false</ScaleCrop>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[SEC=OFFICIAL:Sensitive]</cp:keywords>
  <dc:description/>
  <cp:lastModifiedBy/>
  <cp:revision>1</cp:revision>
  <dcterms:created xsi:type="dcterms:W3CDTF">2025-09-24T13:35:00Z</dcterms:created>
  <dcterms:modified xsi:type="dcterms:W3CDTF">2025-12-15T20:14:00Z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OFFICIAL:Sensitive</vt:lpwstr>
  </property>
  <property fmtid="{D5CDD505-2E9C-101B-9397-08002B2CF9AE}" pid="5" name="PMHMAC">
    <vt:lpwstr>v=2022.1;a=SHA256;h=F53C6F328C9FDF1551EBB562B670E27E9C2198FB793FD95AE77FB9D78C14A572</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 Sensitive_x000d_
Legal privilege</vt:lpwstr>
  </property>
  <property fmtid="{D5CDD505-2E9C-101B-9397-08002B2CF9AE}" pid="9" name="PM_OriginationTimeStamp">
    <vt:lpwstr>2025-08-21T04:27:21Z</vt:lpwstr>
  </property>
  <property fmtid="{D5CDD505-2E9C-101B-9397-08002B2CF9AE}" pid="10" name="PM_Markers">
    <vt:lpwstr>Legal-Privilege</vt:lpwstr>
  </property>
  <property fmtid="{D5CDD505-2E9C-101B-9397-08002B2CF9AE}" pid="11" name="PM_InsertionValue">
    <vt:lpwstr>OFFICIAL: Sensitive</vt:lpwstr>
  </property>
  <property fmtid="{D5CDD505-2E9C-101B-9397-08002B2CF9AE}" pid="12" name="PM_Originator_Hash_SHA1">
    <vt:lpwstr>31FD3EAE4A251ABCF009A8ACCBAC4038715E6F10</vt:lpwstr>
  </property>
  <property fmtid="{D5CDD505-2E9C-101B-9397-08002B2CF9AE}" pid="13" name="PM_DisplayValueSecClassificationWithQualifier">
    <vt:lpwstr>OFFICIAL: Sensitive Legal privilege</vt:lpwstr>
  </property>
  <property fmtid="{D5CDD505-2E9C-101B-9397-08002B2CF9AE}" pid="14" name="PM_ProtectiveMarkingValue_Footer">
    <vt:lpwstr>Legal privilege_x000d_
OFFICIAL: Sensitive</vt:lpwstr>
  </property>
  <property fmtid="{D5CDD505-2E9C-101B-9397-08002B2CF9AE}" pid="15" name="PM_Originating_FileId">
    <vt:lpwstr>32B5418E711A44FF920387766114D84E</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 Sensitive Legal privilege</vt:lpwstr>
  </property>
  <property fmtid="{D5CDD505-2E9C-101B-9397-08002B2CF9AE}" pid="19" name="PM_OriginatorUserAccountName_SHA256">
    <vt:lpwstr>91EA69836A306F65000D7711B40DDACB57150DAE7AC7FEFA95158BE89FCA2A6B</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v=2022.2;d=gov.au;g=9838020E-D8A2-5FB0-ACAD-24AFC21961EB</vt:lpwstr>
  </property>
  <property fmtid="{D5CDD505-2E9C-101B-9397-08002B2CF9AE}" pid="22" name="PM_Hash_Version">
    <vt:lpwstr>2022.1</vt:lpwstr>
  </property>
  <property fmtid="{D5CDD505-2E9C-101B-9397-08002B2CF9AE}" pid="23" name="PM_Hash_Salt_Prev">
    <vt:lpwstr>D32DDAC06542B08873FFE40BC7422DD5</vt:lpwstr>
  </property>
  <property fmtid="{D5CDD505-2E9C-101B-9397-08002B2CF9AE}" pid="24" name="PM_Hash_Salt">
    <vt:lpwstr>D8BC755B4CE4233817A3DDF44304BAF2</vt:lpwstr>
  </property>
  <property fmtid="{D5CDD505-2E9C-101B-9397-08002B2CF9AE}" pid="25" name="PM_Hash_SHA1">
    <vt:lpwstr>61DCEEF6D80A14FCA099EF5BF5B0975207D38FEC</vt:lpwstr>
  </property>
  <property fmtid="{D5CDD505-2E9C-101B-9397-08002B2CF9AE}" pid="26" name="PM_SecurityClassification_Prev">
    <vt:lpwstr>OFFICIAL:Sensitive</vt:lpwstr>
  </property>
  <property fmtid="{D5CDD505-2E9C-101B-9397-08002B2CF9AE}" pid="27" name="PM_Qualifier_Prev">
    <vt:lpwstr/>
  </property>
  <property fmtid="{D5CDD505-2E9C-101B-9397-08002B2CF9AE}" pid="28" name="PM_Caveats_Count">
    <vt:lpwstr>0</vt:lpwstr>
  </property>
  <property fmtid="{D5CDD505-2E9C-101B-9397-08002B2CF9AE}" pid="29" name="ContentTypeId">
    <vt:lpwstr>0x010100CF00AC2E10A2B34A86A613A4498C609D</vt:lpwstr>
  </property>
  <property fmtid="{D5CDD505-2E9C-101B-9397-08002B2CF9AE}" pid="30" name="PM_Expires">
    <vt:lpwstr/>
  </property>
  <property fmtid="{D5CDD505-2E9C-101B-9397-08002B2CF9AE}" pid="31" name="PM_DownTo">
    <vt:lpwstr/>
  </property>
</Properties>
</file>