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5377" w14:textId="77777777" w:rsidR="00354A06" w:rsidRPr="0007327B" w:rsidRDefault="00354A06" w:rsidP="005714C3">
      <w:pPr>
        <w:pStyle w:val="BTNSSBodyTextNoSpacingSmall"/>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714C3" w:rsidRPr="0007327B" w14:paraId="40CDE519" w14:textId="77777777" w:rsidTr="008A4C51">
        <w:trPr>
          <w:trHeight w:val="4365"/>
        </w:trPr>
        <w:tc>
          <w:tcPr>
            <w:tcW w:w="9060" w:type="dxa"/>
          </w:tcPr>
          <w:p w14:paraId="3A5BF16B" w14:textId="77777777" w:rsidR="005714C3" w:rsidRPr="0007327B" w:rsidRDefault="005714C3" w:rsidP="005714C3">
            <w:pPr>
              <w:pStyle w:val="BTBodyText"/>
              <w:spacing w:after="240"/>
              <w:jc w:val="center"/>
              <w:rPr>
                <w:b/>
                <w:bCs/>
                <w:sz w:val="32"/>
                <w:szCs w:val="32"/>
              </w:rPr>
            </w:pPr>
            <w:r w:rsidRPr="0007327B">
              <w:rPr>
                <w:b/>
                <w:bCs/>
                <w:sz w:val="32"/>
                <w:szCs w:val="32"/>
              </w:rPr>
              <w:t>Before the World Trade Organization</w:t>
            </w:r>
          </w:p>
          <w:p w14:paraId="74497301" w14:textId="77777777" w:rsidR="005714C3" w:rsidRPr="0007327B" w:rsidRDefault="005714C3" w:rsidP="005714C3">
            <w:pPr>
              <w:pStyle w:val="BTBodyText"/>
              <w:spacing w:after="240"/>
              <w:jc w:val="center"/>
              <w:rPr>
                <w:b/>
                <w:bCs/>
                <w:sz w:val="32"/>
                <w:szCs w:val="32"/>
              </w:rPr>
            </w:pPr>
            <w:r w:rsidRPr="0007327B">
              <w:rPr>
                <w:b/>
                <w:bCs/>
                <w:sz w:val="32"/>
                <w:szCs w:val="32"/>
              </w:rPr>
              <w:t>Panel Proceedings</w:t>
            </w:r>
          </w:p>
        </w:tc>
      </w:tr>
      <w:tr w:rsidR="005714C3" w:rsidRPr="0007327B" w14:paraId="270822D2" w14:textId="77777777" w:rsidTr="00BE0B1C">
        <w:trPr>
          <w:trHeight w:val="737"/>
        </w:trPr>
        <w:tc>
          <w:tcPr>
            <w:tcW w:w="9060" w:type="dxa"/>
          </w:tcPr>
          <w:p w14:paraId="35DAD41D" w14:textId="700CCEE9" w:rsidR="005714C3" w:rsidRPr="0007327B" w:rsidRDefault="00EB1B7A" w:rsidP="00DA5381">
            <w:pPr>
              <w:pStyle w:val="WTODTWTODisputeTitle"/>
            </w:pPr>
            <w:r>
              <w:t>Türkiye</w:t>
            </w:r>
            <w:r w:rsidR="00E83004">
              <w:t xml:space="preserve"> – Measures Concerning </w:t>
            </w:r>
            <w:r w:rsidR="006125E5">
              <w:t>EVs</w:t>
            </w:r>
            <w:r w:rsidR="00E83004">
              <w:t xml:space="preserve"> and Other Types of Vehicles from China</w:t>
            </w:r>
          </w:p>
        </w:tc>
      </w:tr>
      <w:tr w:rsidR="005714C3" w:rsidRPr="0007327B" w14:paraId="0F4228CA" w14:textId="77777777" w:rsidTr="008A4C51">
        <w:trPr>
          <w:trHeight w:val="3175"/>
        </w:trPr>
        <w:tc>
          <w:tcPr>
            <w:tcW w:w="9060" w:type="dxa"/>
          </w:tcPr>
          <w:p w14:paraId="7E2C944C" w14:textId="7EC06714" w:rsidR="005714C3" w:rsidRPr="0007327B" w:rsidRDefault="005714C3" w:rsidP="00DA5381">
            <w:pPr>
              <w:pStyle w:val="DSNDSNumber"/>
            </w:pPr>
            <w:r w:rsidRPr="0007327B">
              <w:t>(DS</w:t>
            </w:r>
            <w:r w:rsidR="007913CD">
              <w:t>629)</w:t>
            </w:r>
          </w:p>
        </w:tc>
      </w:tr>
      <w:tr w:rsidR="005714C3" w:rsidRPr="0007327B" w14:paraId="05EDBFC5" w14:textId="77777777" w:rsidTr="00DD4BA0">
        <w:trPr>
          <w:trHeight w:val="3798"/>
        </w:trPr>
        <w:tc>
          <w:tcPr>
            <w:tcW w:w="9060" w:type="dxa"/>
          </w:tcPr>
          <w:p w14:paraId="7823868D" w14:textId="1FFCF88E" w:rsidR="005714C3" w:rsidRPr="0007327B" w:rsidRDefault="00EB1B7A" w:rsidP="00DA5381">
            <w:pPr>
              <w:pStyle w:val="DTDocumentTitle"/>
            </w:pPr>
            <w:r w:rsidRPr="00EB1B7A">
              <w:t xml:space="preserve">Australia's </w:t>
            </w:r>
            <w:r>
              <w:t xml:space="preserve">Executive Summary </w:t>
            </w:r>
          </w:p>
        </w:tc>
      </w:tr>
      <w:tr w:rsidR="005714C3" w:rsidRPr="0007327B" w14:paraId="6B8C2F0C" w14:textId="77777777" w:rsidTr="00BE0B1C">
        <w:trPr>
          <w:trHeight w:val="624"/>
        </w:trPr>
        <w:tc>
          <w:tcPr>
            <w:tcW w:w="9060" w:type="dxa"/>
          </w:tcPr>
          <w:p w14:paraId="0CE29574" w14:textId="4514BB67" w:rsidR="005714C3" w:rsidRPr="0007327B" w:rsidRDefault="00EB1B7A" w:rsidP="00DA5381">
            <w:pPr>
              <w:pStyle w:val="DDDocumentDate"/>
            </w:pPr>
            <w:r>
              <w:t>23 October 2025</w:t>
            </w:r>
          </w:p>
        </w:tc>
      </w:tr>
    </w:tbl>
    <w:p w14:paraId="7BF5CA21" w14:textId="77777777" w:rsidR="005714C3" w:rsidRPr="0007327B" w:rsidRDefault="005714C3" w:rsidP="00BE0B1C">
      <w:pPr>
        <w:pStyle w:val="BTNSSBodyTextNoSpacingSmall"/>
      </w:pPr>
    </w:p>
    <w:p w14:paraId="1F584E0C" w14:textId="77777777" w:rsidR="00006269" w:rsidRPr="0007327B" w:rsidRDefault="00006269" w:rsidP="00BE0B1C">
      <w:pPr>
        <w:pStyle w:val="BTNSSBodyTextNoSpacingSmall"/>
      </w:pPr>
      <w:r w:rsidRPr="0007327B">
        <w:br w:type="page"/>
      </w:r>
    </w:p>
    <w:p w14:paraId="19B6F828" w14:textId="77777777" w:rsidR="00F01A73" w:rsidRPr="0007327B" w:rsidRDefault="00F01A73" w:rsidP="00F01A73">
      <w:pPr>
        <w:pStyle w:val="BTNSSBodyTextNoSpacingSmall"/>
        <w:rPr>
          <w:sz w:val="2"/>
          <w:szCs w:val="2"/>
        </w:rPr>
      </w:pPr>
    </w:p>
    <w:p w14:paraId="5E4022D6" w14:textId="3FEAA974" w:rsidR="00A9312D" w:rsidRPr="00A9312D" w:rsidRDefault="00F945DB" w:rsidP="00A9312D">
      <w:pPr>
        <w:pStyle w:val="SHSectionHeading"/>
      </w:pPr>
      <w:bookmarkStart w:id="0" w:name="_Toc211356578"/>
      <w:r w:rsidRPr="0007327B">
        <w:t>Table of Cases</w:t>
      </w:r>
      <w:bookmarkEnd w:id="0"/>
    </w:p>
    <w:tbl>
      <w:tblPr>
        <w:tblStyle w:val="TableGrid"/>
        <w:tblW w:w="5000" w:type="pct"/>
        <w:tblLook w:val="04A0" w:firstRow="1" w:lastRow="0" w:firstColumn="1" w:lastColumn="0" w:noHBand="0" w:noVBand="1"/>
      </w:tblPr>
      <w:tblGrid>
        <w:gridCol w:w="2265"/>
        <w:gridCol w:w="6795"/>
      </w:tblGrid>
      <w:tr w:rsidR="008A1191" w:rsidRPr="000F0787" w14:paraId="3DDEF31B" w14:textId="77777777" w:rsidTr="008A4C51">
        <w:trPr>
          <w:cantSplit/>
          <w:trHeight w:val="397"/>
          <w:tblHeader/>
        </w:trPr>
        <w:tc>
          <w:tcPr>
            <w:tcW w:w="2265" w:type="dxa"/>
            <w:shd w:val="clear" w:color="auto" w:fill="D9D9D9" w:themeFill="background1" w:themeFillShade="D9"/>
          </w:tcPr>
          <w:p w14:paraId="2D89FEEB" w14:textId="77777777" w:rsidR="008A1191" w:rsidRPr="000F0787" w:rsidRDefault="008A1191" w:rsidP="008A4C51">
            <w:pPr>
              <w:pStyle w:val="THTableHeading"/>
              <w:jc w:val="center"/>
            </w:pPr>
            <w:r w:rsidRPr="000F0787">
              <w:t>Short Title</w:t>
            </w:r>
          </w:p>
        </w:tc>
        <w:tc>
          <w:tcPr>
            <w:tcW w:w="6795" w:type="dxa"/>
            <w:shd w:val="clear" w:color="auto" w:fill="D9D9D9" w:themeFill="background1" w:themeFillShade="D9"/>
          </w:tcPr>
          <w:p w14:paraId="22053C17" w14:textId="77777777" w:rsidR="008A1191" w:rsidRPr="000F0787" w:rsidRDefault="008A1191" w:rsidP="008A4C51">
            <w:pPr>
              <w:pStyle w:val="THTableHeading"/>
              <w:jc w:val="center"/>
            </w:pPr>
            <w:r w:rsidRPr="000F0787">
              <w:t>Full Case Title and Citation</w:t>
            </w:r>
          </w:p>
        </w:tc>
      </w:tr>
      <w:tr w:rsidR="00956FB3" w:rsidRPr="000F0787" w14:paraId="63F7AB1A" w14:textId="77777777" w:rsidTr="008A4C51">
        <w:trPr>
          <w:cantSplit/>
          <w:trHeight w:val="397"/>
        </w:trPr>
        <w:tc>
          <w:tcPr>
            <w:tcW w:w="2265" w:type="dxa"/>
          </w:tcPr>
          <w:p w14:paraId="413C8461" w14:textId="77777777" w:rsidR="00956FB3" w:rsidRPr="000F0787" w:rsidDel="00961821" w:rsidRDefault="00956FB3" w:rsidP="008A4C51">
            <w:pPr>
              <w:pStyle w:val="TTTableText"/>
            </w:pPr>
            <w:r w:rsidRPr="000F0787">
              <w:rPr>
                <w:i/>
                <w:lang w:val="en-GB"/>
              </w:rPr>
              <w:t xml:space="preserve">Brazil – </w:t>
            </w:r>
            <w:proofErr w:type="spellStart"/>
            <w:r w:rsidRPr="000F0787">
              <w:rPr>
                <w:i/>
                <w:lang w:val="en-GB"/>
              </w:rPr>
              <w:t>Retreaded</w:t>
            </w:r>
            <w:proofErr w:type="spellEnd"/>
            <w:r w:rsidRPr="000F0787">
              <w:rPr>
                <w:i/>
                <w:lang w:val="en-GB"/>
              </w:rPr>
              <w:t xml:space="preserve"> Tyres</w:t>
            </w:r>
          </w:p>
        </w:tc>
        <w:tc>
          <w:tcPr>
            <w:tcW w:w="6795" w:type="dxa"/>
          </w:tcPr>
          <w:p w14:paraId="49AF4505" w14:textId="77777777" w:rsidR="00956FB3" w:rsidRPr="000F0787" w:rsidRDefault="00956FB3" w:rsidP="008A4C51">
            <w:pPr>
              <w:pStyle w:val="TTTableText"/>
            </w:pPr>
            <w:r w:rsidRPr="000F0787">
              <w:rPr>
                <w:lang w:val="en-GB"/>
              </w:rPr>
              <w:t xml:space="preserve">Appellate Body Report, </w:t>
            </w:r>
            <w:r w:rsidRPr="000F0787">
              <w:rPr>
                <w:i/>
                <w:lang w:val="en-GB"/>
              </w:rPr>
              <w:t xml:space="preserve">Brazil – Measures Affecting Imports of </w:t>
            </w:r>
            <w:proofErr w:type="spellStart"/>
            <w:r w:rsidRPr="000F0787">
              <w:rPr>
                <w:i/>
                <w:lang w:val="en-GB"/>
              </w:rPr>
              <w:t>Retreaded</w:t>
            </w:r>
            <w:proofErr w:type="spellEnd"/>
            <w:r w:rsidRPr="000F0787">
              <w:rPr>
                <w:i/>
                <w:lang w:val="en-GB"/>
              </w:rPr>
              <w:t xml:space="preserve"> Tyres</w:t>
            </w:r>
            <w:r w:rsidRPr="000F0787">
              <w:rPr>
                <w:lang w:val="en-GB"/>
              </w:rPr>
              <w:t xml:space="preserve">, </w:t>
            </w:r>
            <w:hyperlink r:id="rId11" w:history="1">
              <w:r w:rsidRPr="000F0787">
                <w:rPr>
                  <w:rStyle w:val="Hyperlink"/>
                  <w:lang w:val="en-GB"/>
                </w:rPr>
                <w:t>WT/DS332/AB/R</w:t>
              </w:r>
            </w:hyperlink>
            <w:r w:rsidRPr="000F0787">
              <w:rPr>
                <w:lang w:val="en-GB"/>
              </w:rPr>
              <w:t>, adopted 17 December 2007, DSR 2007:IV, p. 1527</w:t>
            </w:r>
          </w:p>
        </w:tc>
      </w:tr>
      <w:tr w:rsidR="00956FB3" w:rsidRPr="000F0787" w14:paraId="6398B219" w14:textId="77777777" w:rsidTr="008A4C51">
        <w:trPr>
          <w:cantSplit/>
          <w:trHeight w:val="397"/>
        </w:trPr>
        <w:tc>
          <w:tcPr>
            <w:tcW w:w="2265" w:type="dxa"/>
          </w:tcPr>
          <w:p w14:paraId="2F6BFFEE" w14:textId="77777777" w:rsidR="00956FB3" w:rsidRPr="000F0787" w:rsidDel="00961821" w:rsidRDefault="00956FB3" w:rsidP="008A4C51">
            <w:pPr>
              <w:pStyle w:val="TTTableText"/>
            </w:pPr>
            <w:r w:rsidRPr="000F0787">
              <w:rPr>
                <w:i/>
                <w:lang w:val="en-GB"/>
              </w:rPr>
              <w:t>China – Publications and Audiovisual Products</w:t>
            </w:r>
          </w:p>
        </w:tc>
        <w:tc>
          <w:tcPr>
            <w:tcW w:w="6795" w:type="dxa"/>
          </w:tcPr>
          <w:p w14:paraId="5D460E1F" w14:textId="77777777" w:rsidR="00956FB3" w:rsidRPr="000F0787" w:rsidRDefault="00956FB3" w:rsidP="008A4C51">
            <w:pPr>
              <w:pStyle w:val="TTTableText"/>
            </w:pPr>
            <w:r w:rsidRPr="000F0787">
              <w:rPr>
                <w:lang w:val="en-GB"/>
              </w:rPr>
              <w:t xml:space="preserve">Appellate Body Report, </w:t>
            </w:r>
            <w:r w:rsidRPr="000F0787">
              <w:rPr>
                <w:i/>
                <w:lang w:val="en-GB"/>
              </w:rPr>
              <w:t>China –</w:t>
            </w:r>
            <w:r w:rsidRPr="000F0787">
              <w:rPr>
                <w:lang w:val="en-GB"/>
              </w:rPr>
              <w:t xml:space="preserve"> </w:t>
            </w:r>
            <w:r w:rsidRPr="000F0787">
              <w:rPr>
                <w:i/>
                <w:lang w:val="en-GB"/>
              </w:rPr>
              <w:t>Measures Affecting Trading Rights and Distribution Services for Certain Publications and Audiovisual Entertainment Products</w:t>
            </w:r>
            <w:r w:rsidRPr="000F0787">
              <w:rPr>
                <w:lang w:val="en-GB"/>
              </w:rPr>
              <w:t xml:space="preserve">, </w:t>
            </w:r>
            <w:hyperlink r:id="rId12" w:history="1">
              <w:r w:rsidRPr="000F0787">
                <w:rPr>
                  <w:rStyle w:val="Hyperlink"/>
                  <w:lang w:val="en-GB"/>
                </w:rPr>
                <w:t>WT/DS363/AB/R</w:t>
              </w:r>
            </w:hyperlink>
            <w:r w:rsidRPr="000F0787">
              <w:rPr>
                <w:lang w:val="en-GB"/>
              </w:rPr>
              <w:t>, adopted 19 January 2010, DSR 2010:I, p. 3</w:t>
            </w:r>
          </w:p>
        </w:tc>
      </w:tr>
      <w:tr w:rsidR="00956FB3" w:rsidRPr="000F0787" w14:paraId="156FB395" w14:textId="77777777" w:rsidTr="008A4C51">
        <w:trPr>
          <w:cantSplit/>
          <w:trHeight w:val="397"/>
        </w:trPr>
        <w:tc>
          <w:tcPr>
            <w:tcW w:w="2265" w:type="dxa"/>
          </w:tcPr>
          <w:p w14:paraId="73F54611" w14:textId="77777777" w:rsidR="00956FB3" w:rsidRPr="000F0787" w:rsidDel="00961821" w:rsidRDefault="00956FB3" w:rsidP="00B976A0">
            <w:pPr>
              <w:pStyle w:val="TTTableText"/>
            </w:pPr>
            <w:r w:rsidRPr="000F0787">
              <w:rPr>
                <w:i/>
                <w:lang w:val="en-GB"/>
              </w:rPr>
              <w:t>China – Raw Materials</w:t>
            </w:r>
          </w:p>
        </w:tc>
        <w:tc>
          <w:tcPr>
            <w:tcW w:w="6795" w:type="dxa"/>
          </w:tcPr>
          <w:p w14:paraId="238DE3FA" w14:textId="77777777" w:rsidR="00956FB3" w:rsidRPr="000F0787" w:rsidRDefault="00956FB3" w:rsidP="00B976A0">
            <w:pPr>
              <w:pStyle w:val="TTTableText"/>
            </w:pPr>
            <w:r w:rsidRPr="000F0787">
              <w:rPr>
                <w:lang w:val="en-GB"/>
              </w:rPr>
              <w:t xml:space="preserve">Appellate Body Reports, </w:t>
            </w:r>
            <w:r w:rsidRPr="000F0787">
              <w:rPr>
                <w:i/>
                <w:lang w:val="en-GB"/>
              </w:rPr>
              <w:t>China – Measures Related to the Exportation of Various Raw Materials</w:t>
            </w:r>
            <w:r w:rsidRPr="000F0787">
              <w:rPr>
                <w:lang w:val="en-GB"/>
              </w:rPr>
              <w:t xml:space="preserve">, </w:t>
            </w:r>
            <w:hyperlink r:id="rId13" w:history="1">
              <w:r w:rsidRPr="000F0787">
                <w:rPr>
                  <w:rStyle w:val="Hyperlink"/>
                  <w:lang w:val="en-GB"/>
                </w:rPr>
                <w:t>WT/DS394/AB/R</w:t>
              </w:r>
            </w:hyperlink>
            <w:r w:rsidRPr="000F0787">
              <w:rPr>
                <w:lang w:val="en-GB"/>
              </w:rPr>
              <w:t xml:space="preserve"> / </w:t>
            </w:r>
            <w:hyperlink r:id="rId14" w:history="1">
              <w:r w:rsidRPr="000F0787">
                <w:rPr>
                  <w:rStyle w:val="Hyperlink"/>
                  <w:lang w:val="en-GB"/>
                </w:rPr>
                <w:t>WT/DS395/AB/R</w:t>
              </w:r>
            </w:hyperlink>
            <w:r w:rsidRPr="000F0787">
              <w:rPr>
                <w:lang w:val="en-GB"/>
              </w:rPr>
              <w:t xml:space="preserve"> / </w:t>
            </w:r>
            <w:hyperlink r:id="rId15" w:history="1">
              <w:r w:rsidRPr="000F0787">
                <w:rPr>
                  <w:rStyle w:val="Hyperlink"/>
                  <w:lang w:val="en-GB"/>
                </w:rPr>
                <w:t>WT/DS398/AB/R</w:t>
              </w:r>
            </w:hyperlink>
            <w:r w:rsidRPr="000F0787">
              <w:rPr>
                <w:lang w:val="en-GB"/>
              </w:rPr>
              <w:t>, adopted 22 February 2012, DSR 2012:VII, p. 3295</w:t>
            </w:r>
          </w:p>
        </w:tc>
      </w:tr>
      <w:tr w:rsidR="00956FB3" w:rsidRPr="000F0787" w14:paraId="1DBF33A3" w14:textId="77777777" w:rsidTr="008A4C51">
        <w:trPr>
          <w:cantSplit/>
          <w:trHeight w:val="397"/>
        </w:trPr>
        <w:tc>
          <w:tcPr>
            <w:tcW w:w="2265" w:type="dxa"/>
          </w:tcPr>
          <w:p w14:paraId="794912B9" w14:textId="77777777" w:rsidR="00956FB3" w:rsidRPr="000F0787" w:rsidDel="00961821" w:rsidRDefault="00956FB3" w:rsidP="00097131">
            <w:pPr>
              <w:pStyle w:val="TTTableText"/>
            </w:pPr>
            <w:r w:rsidRPr="000F0787">
              <w:rPr>
                <w:i/>
                <w:lang w:val="en-GB"/>
              </w:rPr>
              <w:t>EC – Seal Products</w:t>
            </w:r>
          </w:p>
        </w:tc>
        <w:tc>
          <w:tcPr>
            <w:tcW w:w="6795" w:type="dxa"/>
          </w:tcPr>
          <w:p w14:paraId="03603ADF" w14:textId="77777777" w:rsidR="00956FB3" w:rsidRPr="000F0787" w:rsidRDefault="00956FB3" w:rsidP="008A4C51">
            <w:pPr>
              <w:pStyle w:val="TTTableText"/>
            </w:pPr>
            <w:r w:rsidRPr="000F0787">
              <w:rPr>
                <w:lang w:val="en-US"/>
              </w:rPr>
              <w:t xml:space="preserve">Appellate Body Reports, </w:t>
            </w:r>
            <w:r w:rsidRPr="000F0787">
              <w:rPr>
                <w:i/>
                <w:lang w:val="en-US"/>
              </w:rPr>
              <w:t>European Communities – Measures Prohibiting the Importation and Marketing of Seal Products</w:t>
            </w:r>
            <w:r w:rsidRPr="000F0787">
              <w:rPr>
                <w:lang w:val="en-US"/>
              </w:rPr>
              <w:t xml:space="preserve">, </w:t>
            </w:r>
            <w:hyperlink r:id="rId16" w:history="1">
              <w:r w:rsidRPr="000F0787">
                <w:rPr>
                  <w:rStyle w:val="Hyperlink"/>
                  <w:lang w:val="en-US"/>
                </w:rPr>
                <w:t>WT/DS400/AB/R</w:t>
              </w:r>
            </w:hyperlink>
            <w:r w:rsidRPr="000F0787">
              <w:rPr>
                <w:lang w:val="en-US"/>
              </w:rPr>
              <w:t xml:space="preserve"> / </w:t>
            </w:r>
            <w:hyperlink r:id="rId17" w:history="1">
              <w:r w:rsidRPr="000F0787">
                <w:rPr>
                  <w:rStyle w:val="Hyperlink"/>
                  <w:lang w:val="en-US"/>
                </w:rPr>
                <w:t>WT/DS401/AB/R</w:t>
              </w:r>
            </w:hyperlink>
            <w:r w:rsidRPr="000F0787">
              <w:rPr>
                <w:lang w:val="en-US"/>
              </w:rPr>
              <w:t>, adopted 18 June 2014, DSR 2014:I, p. 7</w:t>
            </w:r>
          </w:p>
        </w:tc>
      </w:tr>
      <w:tr w:rsidR="00956FB3" w:rsidRPr="000F0787" w14:paraId="2656FE8F" w14:textId="77777777" w:rsidTr="008A4C51">
        <w:trPr>
          <w:cantSplit/>
          <w:trHeight w:val="397"/>
        </w:trPr>
        <w:tc>
          <w:tcPr>
            <w:tcW w:w="2265" w:type="dxa"/>
          </w:tcPr>
          <w:p w14:paraId="4B2CB7A6" w14:textId="77777777" w:rsidR="00956FB3" w:rsidRPr="00C82197" w:rsidDel="00961821" w:rsidRDefault="00956FB3" w:rsidP="008A4C51">
            <w:pPr>
              <w:pStyle w:val="TTTableText"/>
            </w:pPr>
            <w:r w:rsidRPr="00C82197">
              <w:rPr>
                <w:i/>
                <w:lang w:val="en-GB"/>
              </w:rPr>
              <w:t>EC – Tariff Preferences</w:t>
            </w:r>
          </w:p>
        </w:tc>
        <w:tc>
          <w:tcPr>
            <w:tcW w:w="6795" w:type="dxa"/>
          </w:tcPr>
          <w:p w14:paraId="0D8E476E" w14:textId="77777777" w:rsidR="00956FB3" w:rsidRPr="00C82197" w:rsidRDefault="00956FB3" w:rsidP="008A4C51">
            <w:pPr>
              <w:pStyle w:val="TTTableText"/>
            </w:pPr>
            <w:r w:rsidRPr="00C82197">
              <w:rPr>
                <w:lang w:val="en-GB"/>
              </w:rPr>
              <w:t xml:space="preserve">Appellate Body Report, </w:t>
            </w:r>
            <w:r w:rsidRPr="00C82197">
              <w:rPr>
                <w:i/>
                <w:lang w:val="en-GB"/>
              </w:rPr>
              <w:t>European Communities – Conditions for the Granting of Tariff Preferences to Developing Countries</w:t>
            </w:r>
            <w:r w:rsidRPr="00C82197">
              <w:rPr>
                <w:lang w:val="en-GB"/>
              </w:rPr>
              <w:t xml:space="preserve">, </w:t>
            </w:r>
            <w:hyperlink r:id="rId18" w:history="1">
              <w:r w:rsidRPr="00C82197">
                <w:rPr>
                  <w:rStyle w:val="Hyperlink"/>
                  <w:lang w:val="en-GB"/>
                </w:rPr>
                <w:t>WT/DS246/AB/R</w:t>
              </w:r>
            </w:hyperlink>
            <w:r w:rsidRPr="00C82197">
              <w:rPr>
                <w:lang w:val="en-GB"/>
              </w:rPr>
              <w:t>, adopted 20 April 2004, DSR 2004:III, p. 925</w:t>
            </w:r>
          </w:p>
        </w:tc>
      </w:tr>
      <w:tr w:rsidR="00956FB3" w:rsidRPr="000F0787" w14:paraId="46520B83" w14:textId="77777777" w:rsidTr="008A4C51">
        <w:trPr>
          <w:cantSplit/>
          <w:trHeight w:val="397"/>
        </w:trPr>
        <w:tc>
          <w:tcPr>
            <w:tcW w:w="2265" w:type="dxa"/>
          </w:tcPr>
          <w:p w14:paraId="1EB96F5E" w14:textId="77777777" w:rsidR="00956FB3" w:rsidRPr="000F0787" w:rsidDel="00961821" w:rsidRDefault="00956FB3" w:rsidP="008A4C51">
            <w:pPr>
              <w:pStyle w:val="TTTableText"/>
            </w:pPr>
            <w:r w:rsidRPr="000F0787">
              <w:rPr>
                <w:i/>
                <w:lang w:val="es-ES"/>
              </w:rPr>
              <w:t xml:space="preserve">EU – Palm </w:t>
            </w:r>
            <w:proofErr w:type="spellStart"/>
            <w:r w:rsidRPr="000F0787">
              <w:rPr>
                <w:i/>
                <w:lang w:val="es-ES"/>
              </w:rPr>
              <w:t>Oil</w:t>
            </w:r>
            <w:proofErr w:type="spellEnd"/>
            <w:r w:rsidRPr="000F0787">
              <w:rPr>
                <w:i/>
                <w:lang w:val="es-ES"/>
              </w:rPr>
              <w:t xml:space="preserve"> (Indonesia)</w:t>
            </w:r>
          </w:p>
        </w:tc>
        <w:tc>
          <w:tcPr>
            <w:tcW w:w="6795" w:type="dxa"/>
          </w:tcPr>
          <w:p w14:paraId="4AF223BE" w14:textId="77777777" w:rsidR="00956FB3" w:rsidRPr="000F0787" w:rsidRDefault="00956FB3" w:rsidP="008A4C51">
            <w:pPr>
              <w:pStyle w:val="TTTableText"/>
            </w:pPr>
            <w:bookmarkStart w:id="1" w:name="_Hlk191469098"/>
            <w:r w:rsidRPr="000F0787">
              <w:rPr>
                <w:lang w:val="en-GB"/>
              </w:rPr>
              <w:t xml:space="preserve">Panel Report, </w:t>
            </w:r>
            <w:r w:rsidRPr="000F0787">
              <w:rPr>
                <w:i/>
                <w:lang w:val="en-GB"/>
              </w:rPr>
              <w:t>European Union – Certain Measures Concerning Palm Oil and Oil Palm Crop-based Biofuels</w:t>
            </w:r>
            <w:r w:rsidRPr="000F0787">
              <w:rPr>
                <w:iCs/>
                <w:lang w:val="en-GB"/>
              </w:rPr>
              <w:t xml:space="preserve">, </w:t>
            </w:r>
            <w:hyperlink r:id="rId19" w:history="1">
              <w:r w:rsidRPr="000F0787">
                <w:rPr>
                  <w:rStyle w:val="Hyperlink"/>
                  <w:lang w:val="en-GB"/>
                </w:rPr>
                <w:t>WT/DS593/R</w:t>
              </w:r>
            </w:hyperlink>
            <w:r w:rsidRPr="000F0787">
              <w:rPr>
                <w:lang w:val="en-GB"/>
              </w:rPr>
              <w:t xml:space="preserve"> and Add.1, adopted 24 February 2025</w:t>
            </w:r>
            <w:bookmarkEnd w:id="1"/>
          </w:p>
        </w:tc>
      </w:tr>
      <w:tr w:rsidR="00956FB3" w:rsidRPr="000F0787" w14:paraId="1331F961" w14:textId="77777777" w:rsidTr="008A4C51">
        <w:trPr>
          <w:cantSplit/>
          <w:trHeight w:val="397"/>
        </w:trPr>
        <w:tc>
          <w:tcPr>
            <w:tcW w:w="2265" w:type="dxa"/>
          </w:tcPr>
          <w:p w14:paraId="5490721C" w14:textId="77777777" w:rsidR="00956FB3" w:rsidRPr="000F0787" w:rsidDel="00961821" w:rsidRDefault="00956FB3" w:rsidP="008A4C51">
            <w:pPr>
              <w:pStyle w:val="TTTableText"/>
            </w:pPr>
            <w:r w:rsidRPr="000F0787">
              <w:rPr>
                <w:i/>
                <w:lang w:val="en-GB"/>
              </w:rPr>
              <w:t>EU and Certain Member States – Palm Oil (Malaysia)</w:t>
            </w:r>
          </w:p>
        </w:tc>
        <w:tc>
          <w:tcPr>
            <w:tcW w:w="6795" w:type="dxa"/>
          </w:tcPr>
          <w:p w14:paraId="44768DFD" w14:textId="77777777" w:rsidR="00956FB3" w:rsidRPr="000F0787" w:rsidRDefault="00956FB3" w:rsidP="008A4C51">
            <w:pPr>
              <w:pStyle w:val="TTTableText"/>
            </w:pPr>
            <w:bookmarkStart w:id="2" w:name="_Hlk160545313"/>
            <w:bookmarkStart w:id="3" w:name="_Hlk165285745"/>
            <w:r w:rsidRPr="000F0787">
              <w:rPr>
                <w:lang w:val="en-GB"/>
              </w:rPr>
              <w:t xml:space="preserve">Panel Report, </w:t>
            </w:r>
            <w:r w:rsidRPr="000F0787">
              <w:rPr>
                <w:i/>
                <w:iCs/>
                <w:lang w:val="en-GB"/>
              </w:rPr>
              <w:t>European Union and Certain Member States – Certain Measures Concerning Palm Oil and Oil Palm Crop-Based Biofuels</w:t>
            </w:r>
            <w:r w:rsidRPr="000F0787">
              <w:rPr>
                <w:lang w:val="en-GB"/>
              </w:rPr>
              <w:t xml:space="preserve">, </w:t>
            </w:r>
            <w:hyperlink r:id="rId20" w:history="1">
              <w:r w:rsidRPr="000F0787">
                <w:rPr>
                  <w:rStyle w:val="Hyperlink"/>
                  <w:lang w:val="en-GB"/>
                </w:rPr>
                <w:t>WT/DS600/R</w:t>
              </w:r>
            </w:hyperlink>
            <w:r w:rsidRPr="000F0787">
              <w:rPr>
                <w:lang w:val="en-GB"/>
              </w:rPr>
              <w:t xml:space="preserve"> and Add.1, </w:t>
            </w:r>
            <w:bookmarkEnd w:id="2"/>
            <w:r w:rsidRPr="000F0787">
              <w:rPr>
                <w:lang w:val="en-GB"/>
              </w:rPr>
              <w:t>adopted 26 April 2024</w:t>
            </w:r>
            <w:bookmarkEnd w:id="3"/>
          </w:p>
        </w:tc>
      </w:tr>
      <w:tr w:rsidR="00956FB3" w:rsidRPr="000F0787" w14:paraId="0173123B" w14:textId="77777777" w:rsidTr="008A4C51">
        <w:trPr>
          <w:cantSplit/>
          <w:trHeight w:val="397"/>
        </w:trPr>
        <w:tc>
          <w:tcPr>
            <w:tcW w:w="2265" w:type="dxa"/>
          </w:tcPr>
          <w:p w14:paraId="7F38C93D" w14:textId="77777777" w:rsidR="00956FB3" w:rsidRPr="000F0787" w:rsidDel="00961821" w:rsidRDefault="00956FB3" w:rsidP="008A4C51">
            <w:pPr>
              <w:pStyle w:val="TTTableText"/>
            </w:pPr>
            <w:r w:rsidRPr="000F0787">
              <w:rPr>
                <w:i/>
                <w:lang w:val="en-GB"/>
              </w:rPr>
              <w:t>EU and Certain Member States – Palm Oil (Malaysia)</w:t>
            </w:r>
          </w:p>
        </w:tc>
        <w:tc>
          <w:tcPr>
            <w:tcW w:w="6795" w:type="dxa"/>
          </w:tcPr>
          <w:p w14:paraId="408D228B" w14:textId="77777777" w:rsidR="00956FB3" w:rsidRPr="000F0787" w:rsidRDefault="00956FB3" w:rsidP="006329BD">
            <w:pPr>
              <w:pStyle w:val="TTTableText"/>
            </w:pPr>
            <w:r w:rsidRPr="000F0787">
              <w:rPr>
                <w:lang w:val="en-GB"/>
              </w:rPr>
              <w:t xml:space="preserve">Panel Report, </w:t>
            </w:r>
            <w:r w:rsidRPr="000F0787">
              <w:rPr>
                <w:i/>
                <w:iCs/>
                <w:lang w:val="en-GB"/>
              </w:rPr>
              <w:t>European Union and Certain Member States – Certain Measures Concerning Palm Oil and Oil Palm Crop-Based Biofuels</w:t>
            </w:r>
            <w:r w:rsidRPr="000F0787">
              <w:rPr>
                <w:lang w:val="en-GB"/>
              </w:rPr>
              <w:t xml:space="preserve">, </w:t>
            </w:r>
            <w:hyperlink r:id="rId21" w:history="1">
              <w:r w:rsidRPr="000F0787">
                <w:rPr>
                  <w:rStyle w:val="Hyperlink"/>
                  <w:lang w:val="en-GB"/>
                </w:rPr>
                <w:t>WT/DS600/R</w:t>
              </w:r>
            </w:hyperlink>
            <w:r w:rsidRPr="000F0787">
              <w:rPr>
                <w:lang w:val="en-GB"/>
              </w:rPr>
              <w:t xml:space="preserve"> and Add.1, adopted 26 April 2024</w:t>
            </w:r>
          </w:p>
        </w:tc>
      </w:tr>
      <w:tr w:rsidR="00956FB3" w:rsidRPr="000F0787" w14:paraId="562AFB82" w14:textId="77777777" w:rsidTr="008A4C51">
        <w:trPr>
          <w:cantSplit/>
          <w:trHeight w:val="397"/>
        </w:trPr>
        <w:tc>
          <w:tcPr>
            <w:tcW w:w="2265" w:type="dxa"/>
          </w:tcPr>
          <w:p w14:paraId="368F0BD8" w14:textId="77777777" w:rsidR="00956FB3" w:rsidRPr="001C738F" w:rsidDel="00961821" w:rsidRDefault="00956FB3" w:rsidP="008A4C51">
            <w:pPr>
              <w:pStyle w:val="TTTableText"/>
            </w:pPr>
            <w:r w:rsidRPr="001C738F">
              <w:rPr>
                <w:i/>
                <w:lang w:val="en-GB"/>
              </w:rPr>
              <w:t>India – Tariffs on ICT Goods</w:t>
            </w:r>
          </w:p>
        </w:tc>
        <w:tc>
          <w:tcPr>
            <w:tcW w:w="6795" w:type="dxa"/>
          </w:tcPr>
          <w:p w14:paraId="28C62FF8" w14:textId="77777777" w:rsidR="00956FB3" w:rsidRPr="001C738F" w:rsidRDefault="00956FB3" w:rsidP="008A4C51">
            <w:pPr>
              <w:pStyle w:val="TTTableText"/>
            </w:pPr>
            <w:r w:rsidRPr="001C738F">
              <w:rPr>
                <w:lang w:val="en-GB"/>
              </w:rPr>
              <w:t>Panel Reports,</w:t>
            </w:r>
            <w:r w:rsidRPr="001C738F">
              <w:rPr>
                <w:i/>
                <w:lang w:val="en-GB"/>
              </w:rPr>
              <w:t xml:space="preserve"> India – </w:t>
            </w:r>
            <w:r w:rsidRPr="001C738F">
              <w:rPr>
                <w:i/>
                <w:iCs/>
                <w:lang w:val="en-GB"/>
              </w:rPr>
              <w:t>Tariff Treatment on Certain Goods in the Information and Communications Technology Sector</w:t>
            </w:r>
            <w:r w:rsidRPr="001C738F">
              <w:rPr>
                <w:lang w:val="en-GB"/>
              </w:rPr>
              <w:t xml:space="preserve">, </w:t>
            </w:r>
            <w:hyperlink r:id="rId22" w:history="1">
              <w:r w:rsidRPr="001C738F">
                <w:rPr>
                  <w:rStyle w:val="Hyperlink"/>
                  <w:lang w:val="en-GB"/>
                </w:rPr>
                <w:t>WT/DS582/R</w:t>
              </w:r>
            </w:hyperlink>
            <w:r w:rsidRPr="001C738F">
              <w:rPr>
                <w:lang w:val="en-GB"/>
              </w:rPr>
              <w:t xml:space="preserve"> and Add.1 </w:t>
            </w:r>
            <w:r w:rsidRPr="001C738F">
              <w:rPr>
                <w:i/>
                <w:iCs/>
                <w:lang w:val="en-GB"/>
              </w:rPr>
              <w:t xml:space="preserve">(EU) </w:t>
            </w:r>
            <w:r w:rsidRPr="001C738F">
              <w:rPr>
                <w:lang w:val="en-GB"/>
              </w:rPr>
              <w:t xml:space="preserve">/ </w:t>
            </w:r>
            <w:hyperlink r:id="rId23" w:history="1">
              <w:r w:rsidRPr="001C738F">
                <w:rPr>
                  <w:rStyle w:val="Hyperlink"/>
                  <w:lang w:val="en-GB"/>
                </w:rPr>
                <w:t>WT/DS584/R</w:t>
              </w:r>
            </w:hyperlink>
            <w:r w:rsidRPr="001C738F">
              <w:rPr>
                <w:lang w:val="en-GB"/>
              </w:rPr>
              <w:t xml:space="preserve"> and Add.1 </w:t>
            </w:r>
            <w:r w:rsidRPr="001C738F">
              <w:rPr>
                <w:i/>
                <w:iCs/>
                <w:lang w:val="en-GB"/>
              </w:rPr>
              <w:t xml:space="preserve">(Japan) </w:t>
            </w:r>
            <w:r w:rsidRPr="001C738F">
              <w:rPr>
                <w:lang w:val="en-GB"/>
              </w:rPr>
              <w:t xml:space="preserve">/ </w:t>
            </w:r>
            <w:hyperlink r:id="rId24" w:history="1">
              <w:r w:rsidRPr="001C738F">
                <w:rPr>
                  <w:rStyle w:val="Hyperlink"/>
                  <w:lang w:val="en-GB"/>
                </w:rPr>
                <w:t>WT/DS588/R</w:t>
              </w:r>
            </w:hyperlink>
            <w:r w:rsidRPr="001C738F">
              <w:rPr>
                <w:lang w:val="en-GB"/>
              </w:rPr>
              <w:t xml:space="preserve"> and Add.1 </w:t>
            </w:r>
            <w:r w:rsidRPr="001C738F">
              <w:rPr>
                <w:i/>
                <w:iCs/>
                <w:lang w:val="en-GB"/>
              </w:rPr>
              <w:t>(Chinese Taipei)</w:t>
            </w:r>
            <w:r w:rsidRPr="001C738F">
              <w:rPr>
                <w:lang w:val="en-GB"/>
              </w:rPr>
              <w:t>, circulated to WTO Members 17 April 2023</w:t>
            </w:r>
          </w:p>
        </w:tc>
      </w:tr>
      <w:tr w:rsidR="00956FB3" w:rsidRPr="000F0787" w14:paraId="6E630736" w14:textId="77777777" w:rsidTr="008A4C51">
        <w:trPr>
          <w:cantSplit/>
          <w:trHeight w:val="397"/>
        </w:trPr>
        <w:tc>
          <w:tcPr>
            <w:tcW w:w="2265" w:type="dxa"/>
          </w:tcPr>
          <w:p w14:paraId="7CBCCFEC" w14:textId="77777777" w:rsidR="00956FB3" w:rsidRPr="000F0787" w:rsidDel="00961821" w:rsidRDefault="00956FB3" w:rsidP="008A4C51">
            <w:pPr>
              <w:pStyle w:val="TTTableText"/>
            </w:pPr>
            <w:r w:rsidRPr="000F0787">
              <w:rPr>
                <w:i/>
                <w:iCs/>
                <w:lang w:val="en-GB"/>
              </w:rPr>
              <w:t>Indonesia – Import Licensing Regimes</w:t>
            </w:r>
          </w:p>
        </w:tc>
        <w:tc>
          <w:tcPr>
            <w:tcW w:w="6795" w:type="dxa"/>
          </w:tcPr>
          <w:p w14:paraId="7281889E" w14:textId="77777777" w:rsidR="00956FB3" w:rsidRPr="000F0787" w:rsidRDefault="00956FB3" w:rsidP="008A4C51">
            <w:pPr>
              <w:pStyle w:val="TTTableText"/>
            </w:pPr>
            <w:r w:rsidRPr="000F0787">
              <w:rPr>
                <w:iCs/>
                <w:lang w:val="en-GB"/>
              </w:rPr>
              <w:t xml:space="preserve">Appellate Body Report, </w:t>
            </w:r>
            <w:r w:rsidRPr="000F0787">
              <w:rPr>
                <w:i/>
                <w:iCs/>
                <w:lang w:val="en-GB"/>
              </w:rPr>
              <w:t>Indonesia – Importation of Horticultural Products, Animals and Animal Products</w:t>
            </w:r>
            <w:r w:rsidRPr="000F0787">
              <w:rPr>
                <w:iCs/>
                <w:lang w:val="en-GB"/>
              </w:rPr>
              <w:t xml:space="preserve">, </w:t>
            </w:r>
            <w:hyperlink r:id="rId25" w:history="1">
              <w:r w:rsidRPr="000F0787">
                <w:rPr>
                  <w:rStyle w:val="Hyperlink"/>
                  <w:iCs/>
                  <w:lang w:val="en-GB"/>
                </w:rPr>
                <w:t>WT/DS477/AB/R</w:t>
              </w:r>
            </w:hyperlink>
            <w:r w:rsidRPr="000F0787">
              <w:rPr>
                <w:iCs/>
                <w:lang w:val="en-GB"/>
              </w:rPr>
              <w:t xml:space="preserve">, </w:t>
            </w:r>
            <w:hyperlink r:id="rId26" w:history="1">
              <w:r w:rsidRPr="000F0787">
                <w:rPr>
                  <w:rStyle w:val="Hyperlink"/>
                  <w:iCs/>
                  <w:lang w:val="en-GB"/>
                </w:rPr>
                <w:t>WT/DS478/AB/R</w:t>
              </w:r>
            </w:hyperlink>
            <w:r w:rsidRPr="000F0787">
              <w:rPr>
                <w:iCs/>
                <w:lang w:val="en-GB"/>
              </w:rPr>
              <w:t>, and Add.1, adopted 22 November 2017, DSR 2017:VII, p. 3037</w:t>
            </w:r>
          </w:p>
        </w:tc>
      </w:tr>
      <w:tr w:rsidR="00956FB3" w:rsidRPr="000F0787" w14:paraId="61F81A70" w14:textId="77777777" w:rsidTr="008A4C51">
        <w:trPr>
          <w:cantSplit/>
          <w:trHeight w:val="397"/>
        </w:trPr>
        <w:tc>
          <w:tcPr>
            <w:tcW w:w="2265" w:type="dxa"/>
          </w:tcPr>
          <w:p w14:paraId="68189F85" w14:textId="77777777" w:rsidR="00956FB3" w:rsidRPr="000F0787" w:rsidDel="00961821" w:rsidRDefault="00956FB3" w:rsidP="008A4C51">
            <w:pPr>
              <w:pStyle w:val="TTTableText"/>
            </w:pPr>
            <w:r w:rsidRPr="000F0787">
              <w:rPr>
                <w:i/>
                <w:lang w:val="en-GB"/>
              </w:rPr>
              <w:t>Korea – Various Measures on Beef</w:t>
            </w:r>
          </w:p>
        </w:tc>
        <w:tc>
          <w:tcPr>
            <w:tcW w:w="6795" w:type="dxa"/>
          </w:tcPr>
          <w:p w14:paraId="13ACA9BB" w14:textId="77777777" w:rsidR="00956FB3" w:rsidRPr="000F0787" w:rsidRDefault="00956FB3" w:rsidP="008A4C51">
            <w:pPr>
              <w:pStyle w:val="TTTableText"/>
            </w:pPr>
            <w:r w:rsidRPr="000F0787">
              <w:rPr>
                <w:lang w:val="en-GB"/>
              </w:rPr>
              <w:t xml:space="preserve">Appellate Body Report, </w:t>
            </w:r>
            <w:r w:rsidRPr="000F0787">
              <w:rPr>
                <w:i/>
                <w:lang w:val="en-GB"/>
              </w:rPr>
              <w:t>Korea – Measures Affecting Imports of Fresh, Chilled and Frozen Beef</w:t>
            </w:r>
            <w:r w:rsidRPr="000F0787">
              <w:rPr>
                <w:lang w:val="en-GB"/>
              </w:rPr>
              <w:t xml:space="preserve">, </w:t>
            </w:r>
            <w:hyperlink r:id="rId27" w:history="1">
              <w:r w:rsidRPr="000F0787">
                <w:rPr>
                  <w:rStyle w:val="Hyperlink"/>
                  <w:lang w:val="en-GB"/>
                </w:rPr>
                <w:t>WT/DS161/AB/R</w:t>
              </w:r>
            </w:hyperlink>
            <w:r w:rsidRPr="000F0787">
              <w:rPr>
                <w:lang w:val="en-GB"/>
              </w:rPr>
              <w:t xml:space="preserve">, </w:t>
            </w:r>
            <w:hyperlink r:id="rId28" w:history="1">
              <w:r w:rsidRPr="000F0787">
                <w:rPr>
                  <w:rStyle w:val="Hyperlink"/>
                  <w:lang w:val="en-GB"/>
                </w:rPr>
                <w:t>WT/DS169/AB/R</w:t>
              </w:r>
            </w:hyperlink>
            <w:r w:rsidRPr="000F0787">
              <w:rPr>
                <w:lang w:val="en-GB"/>
              </w:rPr>
              <w:t>, adopted 10 January 2001, DSR 2001:I, p. 5</w:t>
            </w:r>
          </w:p>
        </w:tc>
      </w:tr>
      <w:tr w:rsidR="00956FB3" w:rsidRPr="000F0787" w14:paraId="658640E7" w14:textId="77777777" w:rsidTr="008A4C51">
        <w:trPr>
          <w:cantSplit/>
          <w:trHeight w:val="397"/>
        </w:trPr>
        <w:tc>
          <w:tcPr>
            <w:tcW w:w="2265" w:type="dxa"/>
          </w:tcPr>
          <w:p w14:paraId="061B1AAD" w14:textId="77777777" w:rsidR="00956FB3" w:rsidRPr="000F0787" w:rsidDel="00961821" w:rsidRDefault="00956FB3" w:rsidP="008A4C51">
            <w:pPr>
              <w:pStyle w:val="TTTableText"/>
            </w:pPr>
            <w:r w:rsidRPr="000F0787">
              <w:rPr>
                <w:i/>
                <w:lang w:val="en-GB"/>
              </w:rPr>
              <w:lastRenderedPageBreak/>
              <w:t>US – Shrimp</w:t>
            </w:r>
          </w:p>
        </w:tc>
        <w:tc>
          <w:tcPr>
            <w:tcW w:w="6795" w:type="dxa"/>
          </w:tcPr>
          <w:p w14:paraId="58DB061C" w14:textId="77777777" w:rsidR="00956FB3" w:rsidRPr="000F0787" w:rsidRDefault="00956FB3" w:rsidP="008A4C51">
            <w:pPr>
              <w:pStyle w:val="TTTableText"/>
            </w:pPr>
            <w:r w:rsidRPr="000F0787">
              <w:rPr>
                <w:lang w:val="en-GB"/>
              </w:rPr>
              <w:t xml:space="preserve">Appellate Body Report, </w:t>
            </w:r>
            <w:r w:rsidRPr="000F0787">
              <w:rPr>
                <w:i/>
                <w:lang w:val="en-GB"/>
              </w:rPr>
              <w:t>United States – Import Prohibition of Certain Shrimp and Shrimp Products</w:t>
            </w:r>
            <w:r w:rsidRPr="000F0787">
              <w:rPr>
                <w:lang w:val="en-GB"/>
              </w:rPr>
              <w:t xml:space="preserve">, </w:t>
            </w:r>
            <w:hyperlink r:id="rId29" w:history="1">
              <w:r w:rsidRPr="000F0787">
                <w:rPr>
                  <w:rStyle w:val="Hyperlink"/>
                  <w:lang w:val="en-GB"/>
                </w:rPr>
                <w:t>WT/DS58/AB/R</w:t>
              </w:r>
            </w:hyperlink>
            <w:r w:rsidRPr="000F0787">
              <w:rPr>
                <w:lang w:val="en-GB"/>
              </w:rPr>
              <w:t>, adopted 6 November 1998, DSR 1998:VII, p. 2755</w:t>
            </w:r>
          </w:p>
        </w:tc>
      </w:tr>
    </w:tbl>
    <w:p w14:paraId="6472BDF0" w14:textId="77777777" w:rsidR="004D7079" w:rsidRDefault="004D7079" w:rsidP="004D7079">
      <w:pPr>
        <w:pStyle w:val="BTNSSBodyTextNoSpacingSmall"/>
      </w:pPr>
    </w:p>
    <w:p w14:paraId="4B375CE0" w14:textId="77777777" w:rsidR="007677E5" w:rsidRDefault="007677E5" w:rsidP="004D7079">
      <w:pPr>
        <w:pStyle w:val="BTNSSBodyTextNoSpacingSmall"/>
      </w:pPr>
    </w:p>
    <w:p w14:paraId="791C5ACE" w14:textId="77777777" w:rsidR="007677E5" w:rsidRPr="0007327B" w:rsidRDefault="007677E5" w:rsidP="004D7079">
      <w:pPr>
        <w:pStyle w:val="BTNSSBodyTextNoSpacingSmall"/>
      </w:pPr>
    </w:p>
    <w:p w14:paraId="20ED947A" w14:textId="77777777" w:rsidR="008A1191" w:rsidRPr="0007327B" w:rsidRDefault="004524CE" w:rsidP="004524CE">
      <w:pPr>
        <w:pStyle w:val="SHSectionHeading"/>
      </w:pPr>
      <w:bookmarkStart w:id="4" w:name="_Toc211356579"/>
      <w:r w:rsidRPr="0007327B">
        <w:t>List of Acronyms, Abbreviations and Short Forms</w:t>
      </w:r>
      <w:bookmarkEnd w:id="4"/>
    </w:p>
    <w:p w14:paraId="7930CAD5" w14:textId="77777777" w:rsidR="004D7079" w:rsidRPr="0007327B" w:rsidRDefault="004D7079" w:rsidP="004D7079">
      <w:pPr>
        <w:pStyle w:val="BTNSSBodyTextNoSpacingSmall"/>
      </w:pPr>
    </w:p>
    <w:p w14:paraId="5EE91BFC" w14:textId="77777777" w:rsidR="00F57DC7" w:rsidRPr="0007327B" w:rsidRDefault="00F57DC7" w:rsidP="00477519">
      <w:pPr>
        <w:pStyle w:val="BTNSSBodyTextNoSpacingSmall"/>
      </w:pPr>
    </w:p>
    <w:tbl>
      <w:tblPr>
        <w:tblStyle w:val="TableGrid"/>
        <w:tblW w:w="5000" w:type="pct"/>
        <w:tblLook w:val="04A0" w:firstRow="1" w:lastRow="0" w:firstColumn="1" w:lastColumn="0" w:noHBand="0" w:noVBand="1"/>
      </w:tblPr>
      <w:tblGrid>
        <w:gridCol w:w="1696"/>
        <w:gridCol w:w="7364"/>
      </w:tblGrid>
      <w:tr w:rsidR="00A85527" w:rsidRPr="000F0787" w14:paraId="694BBEAA" w14:textId="77777777" w:rsidTr="00A85527">
        <w:trPr>
          <w:cantSplit/>
          <w:trHeight w:val="397"/>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5FC5F" w14:textId="77777777" w:rsidR="00A85527" w:rsidRPr="000F0787" w:rsidRDefault="00A85527" w:rsidP="00A85527">
            <w:pPr>
              <w:pStyle w:val="BTBodyText"/>
              <w:spacing w:after="160" w:line="360" w:lineRule="auto"/>
              <w:rPr>
                <w:b/>
              </w:rPr>
            </w:pPr>
            <w:r w:rsidRPr="000F0787">
              <w:rPr>
                <w:b/>
              </w:rPr>
              <w:t>Abbreviation</w:t>
            </w:r>
          </w:p>
        </w:tc>
        <w:tc>
          <w:tcPr>
            <w:tcW w:w="7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FA7F9" w14:textId="77777777" w:rsidR="00A85527" w:rsidRPr="000F0787" w:rsidRDefault="00A85527" w:rsidP="00A85527">
            <w:pPr>
              <w:pStyle w:val="BTBodyText"/>
              <w:spacing w:after="160" w:line="360" w:lineRule="auto"/>
              <w:rPr>
                <w:b/>
              </w:rPr>
            </w:pPr>
            <w:r w:rsidRPr="000F0787">
              <w:rPr>
                <w:b/>
              </w:rPr>
              <w:t>Full Form or Description</w:t>
            </w:r>
          </w:p>
        </w:tc>
      </w:tr>
      <w:tr w:rsidR="003740E0" w:rsidRPr="000F0787" w14:paraId="06A8D68A" w14:textId="77777777" w:rsidTr="003740E0">
        <w:trPr>
          <w:trHeight w:val="397"/>
        </w:trPr>
        <w:tc>
          <w:tcPr>
            <w:tcW w:w="1696" w:type="dxa"/>
            <w:hideMark/>
          </w:tcPr>
          <w:p w14:paraId="28A17445" w14:textId="77777777" w:rsidR="003740E0" w:rsidRPr="000F0787" w:rsidRDefault="003740E0">
            <w:pPr>
              <w:pStyle w:val="TTTableText"/>
              <w:jc w:val="both"/>
            </w:pPr>
            <w:r w:rsidRPr="000F0787">
              <w:t>EU</w:t>
            </w:r>
          </w:p>
        </w:tc>
        <w:tc>
          <w:tcPr>
            <w:tcW w:w="7364" w:type="dxa"/>
            <w:hideMark/>
          </w:tcPr>
          <w:p w14:paraId="54F64458" w14:textId="77777777" w:rsidR="003740E0" w:rsidRPr="000F0787" w:rsidRDefault="003740E0">
            <w:pPr>
              <w:pStyle w:val="TTTableText"/>
              <w:jc w:val="both"/>
            </w:pPr>
            <w:r w:rsidRPr="000F0787">
              <w:t>European Union</w:t>
            </w:r>
          </w:p>
        </w:tc>
      </w:tr>
      <w:tr w:rsidR="003740E0" w:rsidRPr="000F0787" w14:paraId="31BF0B8F" w14:textId="77777777" w:rsidTr="003740E0">
        <w:trPr>
          <w:trHeight w:val="397"/>
        </w:trPr>
        <w:tc>
          <w:tcPr>
            <w:tcW w:w="1696" w:type="dxa"/>
            <w:hideMark/>
          </w:tcPr>
          <w:p w14:paraId="163B1532" w14:textId="77777777" w:rsidR="003740E0" w:rsidRPr="000F0787" w:rsidRDefault="003740E0">
            <w:pPr>
              <w:pStyle w:val="TTTableText"/>
              <w:jc w:val="both"/>
            </w:pPr>
            <w:r w:rsidRPr="000F0787">
              <w:t>EV</w:t>
            </w:r>
          </w:p>
        </w:tc>
        <w:tc>
          <w:tcPr>
            <w:tcW w:w="7364" w:type="dxa"/>
            <w:hideMark/>
          </w:tcPr>
          <w:p w14:paraId="73A8E751" w14:textId="77777777" w:rsidR="003740E0" w:rsidRPr="000F0787" w:rsidRDefault="003740E0">
            <w:pPr>
              <w:pStyle w:val="TTTableText"/>
              <w:jc w:val="both"/>
            </w:pPr>
            <w:r w:rsidRPr="000F0787">
              <w:t>Electric Vehicle</w:t>
            </w:r>
          </w:p>
        </w:tc>
      </w:tr>
      <w:tr w:rsidR="003740E0" w:rsidRPr="000F0787" w14:paraId="037D1C75" w14:textId="77777777" w:rsidTr="003740E0">
        <w:trPr>
          <w:trHeight w:val="397"/>
        </w:trPr>
        <w:tc>
          <w:tcPr>
            <w:tcW w:w="1696" w:type="dxa"/>
            <w:hideMark/>
          </w:tcPr>
          <w:p w14:paraId="4FA8296A" w14:textId="77777777" w:rsidR="003740E0" w:rsidRPr="000F0787" w:rsidRDefault="003740E0">
            <w:pPr>
              <w:pStyle w:val="TTTableText"/>
              <w:jc w:val="both"/>
            </w:pPr>
            <w:r w:rsidRPr="000F0787">
              <w:t>FTA</w:t>
            </w:r>
          </w:p>
        </w:tc>
        <w:tc>
          <w:tcPr>
            <w:tcW w:w="7364" w:type="dxa"/>
            <w:hideMark/>
          </w:tcPr>
          <w:p w14:paraId="0149B3A3" w14:textId="77777777" w:rsidR="003740E0" w:rsidRPr="000F0787" w:rsidRDefault="003740E0">
            <w:pPr>
              <w:pStyle w:val="TTTableText"/>
              <w:jc w:val="both"/>
            </w:pPr>
            <w:r w:rsidRPr="000F0787">
              <w:t xml:space="preserve">Free Trade Area </w:t>
            </w:r>
          </w:p>
        </w:tc>
      </w:tr>
      <w:tr w:rsidR="003740E0" w:rsidRPr="000F0787" w14:paraId="03B9CA34" w14:textId="77777777" w:rsidTr="003740E0">
        <w:trPr>
          <w:trHeight w:val="397"/>
        </w:trPr>
        <w:tc>
          <w:tcPr>
            <w:tcW w:w="1696" w:type="dxa"/>
            <w:hideMark/>
          </w:tcPr>
          <w:p w14:paraId="7133995A" w14:textId="77777777" w:rsidR="003740E0" w:rsidRPr="000F0787" w:rsidRDefault="003740E0">
            <w:pPr>
              <w:pStyle w:val="TTTableText"/>
              <w:jc w:val="both"/>
            </w:pPr>
            <w:r w:rsidRPr="000F0787">
              <w:t>GATT</w:t>
            </w:r>
          </w:p>
        </w:tc>
        <w:tc>
          <w:tcPr>
            <w:tcW w:w="7364" w:type="dxa"/>
            <w:hideMark/>
          </w:tcPr>
          <w:p w14:paraId="638F18DD" w14:textId="45A8AE70" w:rsidR="003740E0" w:rsidRPr="000F0787" w:rsidRDefault="003740E0">
            <w:pPr>
              <w:pStyle w:val="TTTableText"/>
              <w:jc w:val="both"/>
            </w:pPr>
            <w:r w:rsidRPr="000F0787">
              <w:t xml:space="preserve">General Agreement on Tariffs and Trade </w:t>
            </w:r>
            <w:r w:rsidR="008E0217" w:rsidRPr="000F0787">
              <w:t>1994</w:t>
            </w:r>
          </w:p>
        </w:tc>
      </w:tr>
      <w:tr w:rsidR="005775BD" w:rsidRPr="000F0787" w14:paraId="059AEA62" w14:textId="77777777" w:rsidTr="003740E0">
        <w:trPr>
          <w:trHeight w:val="397"/>
        </w:trPr>
        <w:tc>
          <w:tcPr>
            <w:tcW w:w="1696" w:type="dxa"/>
          </w:tcPr>
          <w:p w14:paraId="74654718" w14:textId="7C023949" w:rsidR="005775BD" w:rsidRPr="000F0787" w:rsidRDefault="005775BD">
            <w:pPr>
              <w:pStyle w:val="TTTableText"/>
              <w:jc w:val="both"/>
            </w:pPr>
            <w:r w:rsidRPr="000F0787">
              <w:t>GHG</w:t>
            </w:r>
          </w:p>
        </w:tc>
        <w:tc>
          <w:tcPr>
            <w:tcW w:w="7364" w:type="dxa"/>
          </w:tcPr>
          <w:p w14:paraId="6C654F2A" w14:textId="10E6E5EE" w:rsidR="005775BD" w:rsidRPr="000F0787" w:rsidRDefault="005775BD">
            <w:pPr>
              <w:pStyle w:val="TTTableText"/>
              <w:jc w:val="both"/>
            </w:pPr>
            <w:r w:rsidRPr="000F0787">
              <w:t>Greenhouse gas</w:t>
            </w:r>
          </w:p>
        </w:tc>
      </w:tr>
      <w:tr w:rsidR="003740E0" w:rsidRPr="000F0787" w14:paraId="38E47146" w14:textId="77777777" w:rsidTr="003740E0">
        <w:trPr>
          <w:trHeight w:val="397"/>
        </w:trPr>
        <w:tc>
          <w:tcPr>
            <w:tcW w:w="1696" w:type="dxa"/>
            <w:hideMark/>
          </w:tcPr>
          <w:p w14:paraId="776EBD3B" w14:textId="77777777" w:rsidR="003740E0" w:rsidRPr="000F0787" w:rsidRDefault="003740E0">
            <w:pPr>
              <w:pStyle w:val="TTTableText"/>
              <w:jc w:val="both"/>
            </w:pPr>
            <w:r w:rsidRPr="000F0787">
              <w:t>IPLS</w:t>
            </w:r>
          </w:p>
        </w:tc>
        <w:tc>
          <w:tcPr>
            <w:tcW w:w="7364" w:type="dxa"/>
            <w:hideMark/>
          </w:tcPr>
          <w:p w14:paraId="6E5E7612" w14:textId="77777777" w:rsidR="003740E0" w:rsidRPr="000F0787" w:rsidRDefault="003740E0">
            <w:pPr>
              <w:pStyle w:val="TTTableText"/>
              <w:jc w:val="both"/>
            </w:pPr>
            <w:r w:rsidRPr="000F0787">
              <w:t>Import Permit Licensing Scheme</w:t>
            </w:r>
          </w:p>
        </w:tc>
      </w:tr>
      <w:tr w:rsidR="003740E0" w:rsidRPr="000F0787" w14:paraId="3D65540A" w14:textId="77777777" w:rsidTr="00A85527">
        <w:trPr>
          <w:cantSplit/>
          <w:trHeight w:val="397"/>
        </w:trPr>
        <w:tc>
          <w:tcPr>
            <w:tcW w:w="1696" w:type="dxa"/>
            <w:tcBorders>
              <w:top w:val="single" w:sz="4" w:space="0" w:color="auto"/>
              <w:left w:val="single" w:sz="4" w:space="0" w:color="auto"/>
              <w:bottom w:val="single" w:sz="4" w:space="0" w:color="auto"/>
              <w:right w:val="single" w:sz="4" w:space="0" w:color="auto"/>
            </w:tcBorders>
            <w:hideMark/>
          </w:tcPr>
          <w:p w14:paraId="2EDA5117" w14:textId="77777777" w:rsidR="003740E0" w:rsidRPr="000F0787" w:rsidRDefault="003740E0" w:rsidP="00D96AB4">
            <w:pPr>
              <w:pStyle w:val="TTTableText"/>
              <w:jc w:val="both"/>
            </w:pPr>
            <w:r w:rsidRPr="000F0787">
              <w:t xml:space="preserve">Member </w:t>
            </w:r>
          </w:p>
        </w:tc>
        <w:tc>
          <w:tcPr>
            <w:tcW w:w="7364" w:type="dxa"/>
            <w:tcBorders>
              <w:top w:val="single" w:sz="4" w:space="0" w:color="auto"/>
              <w:left w:val="single" w:sz="4" w:space="0" w:color="auto"/>
              <w:bottom w:val="single" w:sz="4" w:space="0" w:color="auto"/>
              <w:right w:val="single" w:sz="4" w:space="0" w:color="auto"/>
            </w:tcBorders>
            <w:hideMark/>
          </w:tcPr>
          <w:p w14:paraId="08659DD9" w14:textId="77777777" w:rsidR="003740E0" w:rsidRPr="000F0787" w:rsidRDefault="003740E0" w:rsidP="00D96AB4">
            <w:pPr>
              <w:pStyle w:val="TTTableText"/>
              <w:jc w:val="both"/>
            </w:pPr>
            <w:r w:rsidRPr="000F0787">
              <w:t>Member of the World Trade Organization</w:t>
            </w:r>
          </w:p>
        </w:tc>
      </w:tr>
      <w:tr w:rsidR="001413ED" w:rsidRPr="000F0787" w14:paraId="5455691A" w14:textId="77777777" w:rsidTr="003740E0">
        <w:trPr>
          <w:trHeight w:val="397"/>
        </w:trPr>
        <w:tc>
          <w:tcPr>
            <w:tcW w:w="1696" w:type="dxa"/>
          </w:tcPr>
          <w:p w14:paraId="68A59E8D" w14:textId="15A4924D" w:rsidR="001413ED" w:rsidRPr="000F0787" w:rsidRDefault="001413ED">
            <w:pPr>
              <w:pStyle w:val="TTTableText"/>
              <w:jc w:val="both"/>
            </w:pPr>
            <w:r w:rsidRPr="000F0787">
              <w:t>UK</w:t>
            </w:r>
          </w:p>
        </w:tc>
        <w:tc>
          <w:tcPr>
            <w:tcW w:w="7364" w:type="dxa"/>
          </w:tcPr>
          <w:p w14:paraId="34C067A8" w14:textId="50B26D56" w:rsidR="001413ED" w:rsidRPr="000F0787" w:rsidRDefault="001413ED">
            <w:pPr>
              <w:pStyle w:val="TTTableText"/>
              <w:jc w:val="both"/>
            </w:pPr>
            <w:r w:rsidRPr="000F0787">
              <w:t>United Kingdom</w:t>
            </w:r>
          </w:p>
        </w:tc>
      </w:tr>
      <w:tr w:rsidR="003740E0" w:rsidRPr="000F0787" w14:paraId="07618FC8" w14:textId="77777777" w:rsidTr="00A85527">
        <w:trPr>
          <w:cantSplit/>
          <w:trHeight w:val="397"/>
        </w:trPr>
        <w:tc>
          <w:tcPr>
            <w:tcW w:w="1696" w:type="dxa"/>
            <w:tcBorders>
              <w:top w:val="single" w:sz="4" w:space="0" w:color="auto"/>
              <w:left w:val="single" w:sz="4" w:space="0" w:color="auto"/>
              <w:bottom w:val="single" w:sz="4" w:space="0" w:color="auto"/>
              <w:right w:val="single" w:sz="4" w:space="0" w:color="auto"/>
            </w:tcBorders>
            <w:hideMark/>
          </w:tcPr>
          <w:p w14:paraId="2FBA9B51" w14:textId="77777777" w:rsidR="003740E0" w:rsidRPr="000F0787" w:rsidRDefault="003740E0" w:rsidP="00D96AB4">
            <w:pPr>
              <w:pStyle w:val="TTTableText"/>
              <w:jc w:val="both"/>
            </w:pPr>
            <w:r w:rsidRPr="000F0787">
              <w:t>WTO</w:t>
            </w:r>
          </w:p>
        </w:tc>
        <w:tc>
          <w:tcPr>
            <w:tcW w:w="7364" w:type="dxa"/>
            <w:tcBorders>
              <w:top w:val="single" w:sz="4" w:space="0" w:color="auto"/>
              <w:left w:val="single" w:sz="4" w:space="0" w:color="auto"/>
              <w:bottom w:val="single" w:sz="4" w:space="0" w:color="auto"/>
              <w:right w:val="single" w:sz="4" w:space="0" w:color="auto"/>
            </w:tcBorders>
            <w:hideMark/>
          </w:tcPr>
          <w:p w14:paraId="24E52FA5" w14:textId="77777777" w:rsidR="003740E0" w:rsidRPr="000F0787" w:rsidRDefault="003740E0" w:rsidP="00D96AB4">
            <w:pPr>
              <w:pStyle w:val="TTTableText"/>
              <w:jc w:val="both"/>
            </w:pPr>
            <w:r w:rsidRPr="000F0787">
              <w:t>World Trade Organization</w:t>
            </w:r>
          </w:p>
        </w:tc>
      </w:tr>
    </w:tbl>
    <w:p w14:paraId="2FE38018" w14:textId="77777777" w:rsidR="00477519" w:rsidRDefault="00477519" w:rsidP="007A3EF1">
      <w:pPr>
        <w:pStyle w:val="BTBodyText"/>
      </w:pPr>
    </w:p>
    <w:p w14:paraId="29736A77" w14:textId="77777777" w:rsidR="00D96AB4" w:rsidRDefault="00D96AB4" w:rsidP="007A3EF1">
      <w:pPr>
        <w:pStyle w:val="BTBodyText"/>
      </w:pPr>
    </w:p>
    <w:p w14:paraId="43017071" w14:textId="77777777" w:rsidR="001C738F" w:rsidRDefault="001C738F" w:rsidP="007A3EF1">
      <w:pPr>
        <w:pStyle w:val="BTBodyText"/>
      </w:pPr>
    </w:p>
    <w:p w14:paraId="70B215F8" w14:textId="77777777" w:rsidR="001C738F" w:rsidRDefault="001C738F" w:rsidP="007A3EF1">
      <w:pPr>
        <w:pStyle w:val="BTBodyText"/>
      </w:pPr>
    </w:p>
    <w:p w14:paraId="04AF6AD4" w14:textId="77777777" w:rsidR="001C738F" w:rsidRDefault="001C738F" w:rsidP="007A3EF1">
      <w:pPr>
        <w:pStyle w:val="BTBodyText"/>
      </w:pPr>
    </w:p>
    <w:p w14:paraId="2F84DE50" w14:textId="77777777" w:rsidR="001C738F" w:rsidRDefault="001C738F" w:rsidP="007A3EF1">
      <w:pPr>
        <w:pStyle w:val="BTBodyText"/>
      </w:pPr>
    </w:p>
    <w:p w14:paraId="598C47CA" w14:textId="77777777" w:rsidR="001C738F" w:rsidRDefault="001C738F" w:rsidP="007A3EF1">
      <w:pPr>
        <w:pStyle w:val="BTBodyText"/>
      </w:pPr>
    </w:p>
    <w:p w14:paraId="790FB526" w14:textId="77777777" w:rsidR="001C738F" w:rsidRDefault="001C738F" w:rsidP="007A3EF1">
      <w:pPr>
        <w:pStyle w:val="BTBodyText"/>
      </w:pPr>
    </w:p>
    <w:p w14:paraId="2B2711D6" w14:textId="77777777" w:rsidR="001C738F" w:rsidRDefault="001C738F" w:rsidP="007A3EF1">
      <w:pPr>
        <w:pStyle w:val="BTBodyText"/>
      </w:pPr>
    </w:p>
    <w:p w14:paraId="18CB8A8B" w14:textId="3F43A212" w:rsidR="00C922DC" w:rsidRDefault="00D231F8" w:rsidP="001E3588">
      <w:pPr>
        <w:pStyle w:val="HL1HeadingLevel1"/>
      </w:pPr>
      <w:bookmarkStart w:id="5" w:name="_Toc211356581"/>
      <w:r>
        <w:lastRenderedPageBreak/>
        <w:t>EXECUTIVE SUMMARY OF AUSTRALIA’S WRITTEN SUBMISSION</w:t>
      </w:r>
      <w:bookmarkEnd w:id="5"/>
    </w:p>
    <w:p w14:paraId="0F108E61" w14:textId="67C67F98" w:rsidR="00CF46D8" w:rsidRDefault="002F5D7C" w:rsidP="001E3588">
      <w:pPr>
        <w:pStyle w:val="HL2HeadingLevel2"/>
      </w:pPr>
      <w:r>
        <w:t xml:space="preserve">Article II of the GATT and </w:t>
      </w:r>
      <w:r w:rsidR="000C69E9">
        <w:t>L</w:t>
      </w:r>
      <w:r>
        <w:t>egitimate Expectations</w:t>
      </w:r>
    </w:p>
    <w:p w14:paraId="4150E2D5" w14:textId="53840C45" w:rsidR="00CF46D8" w:rsidRPr="00CF46D8" w:rsidRDefault="00CF46D8" w:rsidP="001672B4">
      <w:pPr>
        <w:pStyle w:val="P1-N1Paragraph1-Number1"/>
      </w:pPr>
      <w:r>
        <w:t>A tariff concession in a Member’s WTO Schedule applies to all products falling under the terms of the concession, as interpreted based on its ordinary meaning when read in context, and in light of the object and purpose of the agreement.</w:t>
      </w:r>
      <w:r>
        <w:rPr>
          <w:rStyle w:val="FootnoteReference"/>
        </w:rPr>
        <w:footnoteReference w:id="1"/>
      </w:r>
      <w:r>
        <w:t xml:space="preserve"> </w:t>
      </w:r>
      <w:r w:rsidR="00553DE6">
        <w:t>T</w:t>
      </w:r>
      <w:r>
        <w:t>his include</w:t>
      </w:r>
      <w:r w:rsidR="00553DE6">
        <w:t>s</w:t>
      </w:r>
      <w:r>
        <w:t xml:space="preserve"> </w:t>
      </w:r>
      <w:r w:rsidR="00F27326" w:rsidRPr="0007327B">
        <w:t>"</w:t>
      </w:r>
      <w:r>
        <w:t>new products that come into existence as a result of technological innovation, and which did not exist at the time that the concession in the Schedule was agreed upon</w:t>
      </w:r>
      <w:r w:rsidR="00F27326" w:rsidRPr="0007327B">
        <w:t>"</w:t>
      </w:r>
      <w:r>
        <w:t>.</w:t>
      </w:r>
      <w:r>
        <w:rPr>
          <w:rStyle w:val="FootnoteReference"/>
        </w:rPr>
        <w:footnoteReference w:id="2"/>
      </w:r>
      <w:r>
        <w:t xml:space="preserve"> </w:t>
      </w:r>
      <w:r w:rsidR="001672B4">
        <w:t>T</w:t>
      </w:r>
      <w:r>
        <w:t xml:space="preserve">o interpret commitments based on the ordinary meaning at the time </w:t>
      </w:r>
      <w:r w:rsidR="008745AD">
        <w:t xml:space="preserve">a </w:t>
      </w:r>
      <w:r w:rsidR="00A80D74">
        <w:t xml:space="preserve">Member </w:t>
      </w:r>
      <w:r>
        <w:t xml:space="preserve">was bound </w:t>
      </w:r>
      <w:r w:rsidR="00E434A5">
        <w:t>would substantially undermine the security and predictability of Members’ tariff commitments</w:t>
      </w:r>
      <w:r w:rsidR="0044145A">
        <w:t>, producing unfavourable results</w:t>
      </w:r>
      <w:r w:rsidR="00E434A5">
        <w:t>.</w:t>
      </w:r>
      <w:r>
        <w:rPr>
          <w:rStyle w:val="FootnoteReference"/>
        </w:rPr>
        <w:footnoteReference w:id="3"/>
      </w:r>
    </w:p>
    <w:p w14:paraId="1AAC0D83" w14:textId="65E6F496" w:rsidR="002F5D7C" w:rsidRDefault="002F5D7C" w:rsidP="002F5D7C">
      <w:pPr>
        <w:pStyle w:val="HL2HeadingLevel2"/>
      </w:pPr>
      <w:r w:rsidRPr="003C526E">
        <w:t>Article</w:t>
      </w:r>
      <w:r w:rsidR="0054424C">
        <w:t>s</w:t>
      </w:r>
      <w:r w:rsidRPr="003C526E">
        <w:t xml:space="preserve"> XX (B) </w:t>
      </w:r>
      <w:r>
        <w:t>a</w:t>
      </w:r>
      <w:r w:rsidRPr="003C526E">
        <w:t xml:space="preserve">nd (G) </w:t>
      </w:r>
      <w:r>
        <w:t>o</w:t>
      </w:r>
      <w:r w:rsidRPr="003C526E">
        <w:t xml:space="preserve">f </w:t>
      </w:r>
      <w:r w:rsidR="0054424C">
        <w:t>t</w:t>
      </w:r>
      <w:r w:rsidRPr="003C526E">
        <w:t xml:space="preserve">he </w:t>
      </w:r>
      <w:r w:rsidR="00E650CB">
        <w:t>GATT</w:t>
      </w:r>
      <w:r w:rsidRPr="003C526E">
        <w:t xml:space="preserve"> </w:t>
      </w:r>
    </w:p>
    <w:p w14:paraId="09A53C5C" w14:textId="07E3F4B8" w:rsidR="002D3A9F" w:rsidRPr="00CF46D8" w:rsidRDefault="001D1C99" w:rsidP="003D65B5">
      <w:pPr>
        <w:pStyle w:val="P1-N1Paragraph1-Number1"/>
      </w:pPr>
      <w:r>
        <w:t xml:space="preserve">In Australia’s view, </w:t>
      </w:r>
      <w:r w:rsidR="002F646A">
        <w:t>m</w:t>
      </w:r>
      <w:r w:rsidR="002D3A9F">
        <w:t xml:space="preserve">easures adopted in order to attenuate global warming and climate change </w:t>
      </w:r>
      <w:r>
        <w:t xml:space="preserve">may </w:t>
      </w:r>
      <w:r w:rsidR="002D3A9F">
        <w:t xml:space="preserve">fall within the scope of Article XX(b) of the </w:t>
      </w:r>
      <w:r w:rsidR="00E650CB">
        <w:t>GATT</w:t>
      </w:r>
      <w:r w:rsidR="002D3A9F">
        <w:t>.</w:t>
      </w:r>
      <w:r w:rsidR="002D3A9F">
        <w:rPr>
          <w:rStyle w:val="FootnoteReference"/>
        </w:rPr>
        <w:footnoteReference w:id="4"/>
      </w:r>
      <w:r w:rsidR="002D3A9F">
        <w:t xml:space="preserve"> </w:t>
      </w:r>
      <w:r w:rsidR="00EB028D">
        <w:t>T</w:t>
      </w:r>
      <w:r w:rsidR="002D3A9F">
        <w:t xml:space="preserve">he term </w:t>
      </w:r>
      <w:r w:rsidR="00F27326" w:rsidRPr="0007327B">
        <w:t>"</w:t>
      </w:r>
      <w:r w:rsidR="002D3A9F">
        <w:t>exhaustible natural resources</w:t>
      </w:r>
      <w:r w:rsidR="00F27326" w:rsidRPr="0007327B">
        <w:t>"</w:t>
      </w:r>
      <w:r w:rsidR="002D3A9F">
        <w:t xml:space="preserve"> </w:t>
      </w:r>
      <w:r w:rsidR="000C69E9">
        <w:t xml:space="preserve">in Article XX(g) </w:t>
      </w:r>
      <w:r w:rsidR="002D3A9F">
        <w:t xml:space="preserve">must be read </w:t>
      </w:r>
      <w:r w:rsidR="00F27326" w:rsidRPr="0007327B">
        <w:t>"</w:t>
      </w:r>
      <w:r w:rsidR="002D3A9F">
        <w:t>in the light of contemporary concerns of nations about the protection and conservation of the environment</w:t>
      </w:r>
      <w:r w:rsidR="00F27326" w:rsidRPr="0007327B">
        <w:t>"</w:t>
      </w:r>
      <w:r w:rsidR="002D3A9F">
        <w:t>.</w:t>
      </w:r>
      <w:r w:rsidR="002D3A9F">
        <w:rPr>
          <w:rStyle w:val="FootnoteReference"/>
        </w:rPr>
        <w:footnoteReference w:id="5"/>
      </w:r>
      <w:r w:rsidR="002D3A9F">
        <w:t xml:space="preserve"> </w:t>
      </w:r>
      <w:r w:rsidR="00EE0513">
        <w:t>Panels have</w:t>
      </w:r>
      <w:r w:rsidR="007F3192">
        <w:t xml:space="preserve"> </w:t>
      </w:r>
      <w:r w:rsidR="00EE0513">
        <w:t>noted that</w:t>
      </w:r>
      <w:r w:rsidR="002D3A9F">
        <w:t xml:space="preserve"> measures taken to avoid or reduce </w:t>
      </w:r>
      <w:r w:rsidR="003629DB">
        <w:t>GHG</w:t>
      </w:r>
      <w:r w:rsidR="002D3A9F">
        <w:t xml:space="preserve"> emissions and climate change fall within the scope of the objective of "the conservation of exhaustible natural resources</w:t>
      </w:r>
      <w:r w:rsidR="00F27326" w:rsidRPr="0007327B">
        <w:t>"</w:t>
      </w:r>
      <w:r w:rsidR="002D3A9F">
        <w:t>.</w:t>
      </w:r>
      <w:r w:rsidR="002D3A9F">
        <w:rPr>
          <w:rStyle w:val="FootnoteReference"/>
        </w:rPr>
        <w:footnoteReference w:id="6"/>
      </w:r>
    </w:p>
    <w:p w14:paraId="592BBEB1" w14:textId="66237DEB" w:rsidR="00822EDB" w:rsidRDefault="00822EDB" w:rsidP="002F5D7C">
      <w:pPr>
        <w:pStyle w:val="HL2HeadingLevel2"/>
      </w:pPr>
      <w:r>
        <w:t>"Same conditions Prevail"</w:t>
      </w:r>
    </w:p>
    <w:p w14:paraId="0A29F2E8" w14:textId="62C21462" w:rsidR="00822EDB" w:rsidRPr="00822EDB" w:rsidRDefault="00D27873" w:rsidP="008745AD">
      <w:pPr>
        <w:pStyle w:val="P1-N1Paragraph1-Number1"/>
      </w:pPr>
      <w:r>
        <w:t>W</w:t>
      </w:r>
      <w:r w:rsidR="00D438B0" w:rsidRPr="00D438B0">
        <w:t>hether the same conditions prevail in different countries is an objective question.</w:t>
      </w:r>
      <w:r w:rsidR="00D438B0" w:rsidRPr="00D438B0">
        <w:rPr>
          <w:vertAlign w:val="superscript"/>
        </w:rPr>
        <w:footnoteReference w:id="7"/>
      </w:r>
      <w:r w:rsidR="001C5DF7">
        <w:t xml:space="preserve"> </w:t>
      </w:r>
      <w:r w:rsidR="00D438B0" w:rsidRPr="00D438B0">
        <w:t xml:space="preserve">The term "conditions" in the </w:t>
      </w:r>
      <w:r w:rsidR="003C2F32" w:rsidRPr="003C2F32">
        <w:rPr>
          <w:i/>
          <w:iCs/>
        </w:rPr>
        <w:t>chapeau</w:t>
      </w:r>
      <w:r w:rsidR="00D438B0" w:rsidRPr="00D438B0">
        <w:t xml:space="preserve"> to Article XX can encompass a wide variety of circumstances.</w:t>
      </w:r>
      <w:r w:rsidR="00D438B0" w:rsidRPr="00D438B0">
        <w:rPr>
          <w:vertAlign w:val="superscript"/>
        </w:rPr>
        <w:footnoteReference w:id="8"/>
      </w:r>
      <w:r w:rsidR="000825B1">
        <w:t xml:space="preserve"> </w:t>
      </w:r>
      <w:r w:rsidR="004B6E12">
        <w:t>I</w:t>
      </w:r>
      <w:r w:rsidR="00D438B0" w:rsidRPr="00D438B0">
        <w:t>n determining which "conditions" prevailing in different countries are relevant, the subparagraphs of Article XX, and the subparagraph under which a measure has been provisionally justified, provide pertinent context</w:t>
      </w:r>
      <w:r w:rsidR="001D4409">
        <w:t>.</w:t>
      </w:r>
      <w:r w:rsidR="001D4409">
        <w:rPr>
          <w:rStyle w:val="FootnoteReference"/>
        </w:rPr>
        <w:footnoteReference w:id="9"/>
      </w:r>
      <w:r w:rsidR="008745AD">
        <w:t xml:space="preserve"> </w:t>
      </w:r>
      <w:r w:rsidR="001D4409">
        <w:t>T</w:t>
      </w:r>
      <w:r w:rsidR="00D438B0" w:rsidRPr="00D438B0">
        <w:t xml:space="preserve">he type or cause of the violation found to exist may </w:t>
      </w:r>
      <w:r w:rsidR="001D4409">
        <w:t>also</w:t>
      </w:r>
      <w:r w:rsidR="00D438B0" w:rsidRPr="00D438B0">
        <w:t xml:space="preserve"> inform the determination of which countries should be compared with </w:t>
      </w:r>
      <w:r w:rsidR="00D438B0" w:rsidRPr="00D438B0">
        <w:lastRenderedPageBreak/>
        <w:t>respect to the conditions that prevail in them.</w:t>
      </w:r>
      <w:r w:rsidR="00D438B0" w:rsidRPr="00D438B0">
        <w:rPr>
          <w:vertAlign w:val="superscript"/>
        </w:rPr>
        <w:footnoteReference w:id="10"/>
      </w:r>
      <w:r w:rsidR="000825B1">
        <w:t xml:space="preserve"> </w:t>
      </w:r>
      <w:r w:rsidR="00FF0990">
        <w:t>T</w:t>
      </w:r>
      <w:r w:rsidR="00D438B0" w:rsidRPr="00D438B0">
        <w:t xml:space="preserve">he measure being examined is higher tariffs on Chinese </w:t>
      </w:r>
      <w:r w:rsidR="00D07475">
        <w:t>EVs</w:t>
      </w:r>
      <w:r w:rsidR="00D438B0" w:rsidRPr="00D438B0">
        <w:t xml:space="preserve">, the alleged violation includes a claim China is not provided with </w:t>
      </w:r>
      <w:r w:rsidR="00D07475">
        <w:t>MFN</w:t>
      </w:r>
      <w:r w:rsidR="00D438B0" w:rsidRPr="00D438B0">
        <w:t xml:space="preserve"> status vis-à-vis tariffs on </w:t>
      </w:r>
      <w:r w:rsidR="00D07475">
        <w:t>EVs</w:t>
      </w:r>
      <w:r w:rsidR="00D438B0" w:rsidRPr="00D438B0">
        <w:t xml:space="preserve">, the exceptions </w:t>
      </w:r>
      <w:r w:rsidR="00D071EF">
        <w:t>invoked</w:t>
      </w:r>
      <w:r w:rsidR="00D438B0" w:rsidRPr="00D438B0">
        <w:t xml:space="preserve"> both relate to climate change mitigation, and a shift from internal combustion vehicles to </w:t>
      </w:r>
      <w:r w:rsidR="00D07475">
        <w:t>EVs</w:t>
      </w:r>
      <w:r w:rsidR="00D438B0" w:rsidRPr="00D438B0">
        <w:t xml:space="preserve"> could assist in climate change mitigation. </w:t>
      </w:r>
    </w:p>
    <w:p w14:paraId="668204D5" w14:textId="580877D5" w:rsidR="002F5D7C" w:rsidRDefault="002F5D7C" w:rsidP="00E874E5">
      <w:pPr>
        <w:pStyle w:val="HL2HeadingLevel2"/>
      </w:pPr>
      <w:r w:rsidRPr="00FC3237">
        <w:t>Article X</w:t>
      </w:r>
      <w:r>
        <w:t>XIV</w:t>
      </w:r>
      <w:r w:rsidRPr="00FC3237">
        <w:t xml:space="preserve"> </w:t>
      </w:r>
    </w:p>
    <w:p w14:paraId="7159BF62" w14:textId="79475EEB" w:rsidR="002F5D7C" w:rsidRPr="00A0787B" w:rsidRDefault="00FF0990" w:rsidP="004045D4">
      <w:pPr>
        <w:pStyle w:val="P1-N1Paragraph1-Number1"/>
      </w:pPr>
      <w:r>
        <w:t xml:space="preserve">The </w:t>
      </w:r>
      <w:r w:rsidR="007A32AA">
        <w:t>unique circumstances in</w:t>
      </w:r>
      <w:r>
        <w:t xml:space="preserve"> </w:t>
      </w:r>
      <w:r>
        <w:rPr>
          <w:i/>
          <w:iCs/>
        </w:rPr>
        <w:t>EC – Tariff Preferences</w:t>
      </w:r>
      <w:r>
        <w:rPr>
          <w:rStyle w:val="FootnoteReference"/>
        </w:rPr>
        <w:footnoteReference w:id="11"/>
      </w:r>
      <w:r>
        <w:t xml:space="preserve"> </w:t>
      </w:r>
      <w:r w:rsidR="00564FE0">
        <w:t xml:space="preserve">dictated a </w:t>
      </w:r>
      <w:r w:rsidR="00F27326" w:rsidRPr="0007327B">
        <w:t>"</w:t>
      </w:r>
      <w:r w:rsidR="00564FE0">
        <w:t>special approach</w:t>
      </w:r>
      <w:r w:rsidR="00F27326" w:rsidRPr="0007327B">
        <w:t>"</w:t>
      </w:r>
      <w:r w:rsidR="00564FE0">
        <w:rPr>
          <w:rStyle w:val="FootnoteReference"/>
        </w:rPr>
        <w:footnoteReference w:id="12"/>
      </w:r>
      <w:r w:rsidR="00564FE0">
        <w:t xml:space="preserve"> to the Enabling Clause</w:t>
      </w:r>
      <w:r w:rsidR="001C4CC7">
        <w:t xml:space="preserve"> </w:t>
      </w:r>
      <w:r w:rsidR="00D24283">
        <w:t xml:space="preserve">and </w:t>
      </w:r>
      <w:r w:rsidR="00564FE0">
        <w:t>cannot be assumed to automatically translate to Article XXIV.</w:t>
      </w:r>
    </w:p>
    <w:p w14:paraId="159F1543" w14:textId="07343433" w:rsidR="00A0787B" w:rsidRDefault="000C6226" w:rsidP="00A0787B">
      <w:pPr>
        <w:pStyle w:val="HL1HeadingLevel1"/>
      </w:pPr>
      <w:r>
        <w:rPr>
          <w:caps w:val="0"/>
        </w:rPr>
        <w:t xml:space="preserve">EXECUTIVE SUMMARY OF AUSTRALIA'S ORAL STATEMENT </w:t>
      </w:r>
    </w:p>
    <w:p w14:paraId="53D876BB" w14:textId="26EABEF2" w:rsidR="0068758D" w:rsidRDefault="00885B6C" w:rsidP="00341BCD">
      <w:pPr>
        <w:pStyle w:val="HL2HeadingLevel2"/>
      </w:pPr>
      <w:bookmarkStart w:id="6" w:name="_Toc204865825"/>
      <w:bookmarkStart w:id="7" w:name="_Toc209446651"/>
      <w:r>
        <w:t>A</w:t>
      </w:r>
      <w:r w:rsidR="0068758D" w:rsidRPr="00885B6C">
        <w:t xml:space="preserve">rticles </w:t>
      </w:r>
      <w:r w:rsidR="00B33BB6">
        <w:t xml:space="preserve">XX </w:t>
      </w:r>
      <w:r w:rsidR="0068758D" w:rsidRPr="00885B6C">
        <w:t>(</w:t>
      </w:r>
      <w:r w:rsidR="00B33BB6">
        <w:t>b</w:t>
      </w:r>
      <w:r w:rsidR="0068758D" w:rsidRPr="00885B6C">
        <w:t xml:space="preserve">) and (g) of the </w:t>
      </w:r>
      <w:bookmarkEnd w:id="6"/>
      <w:bookmarkEnd w:id="7"/>
      <w:r w:rsidR="00E650CB">
        <w:t>GATT</w:t>
      </w:r>
    </w:p>
    <w:p w14:paraId="76F22736" w14:textId="4F2FF196" w:rsidR="0068758D" w:rsidRPr="0068758D" w:rsidRDefault="001D1DAC" w:rsidP="009F26EB">
      <w:pPr>
        <w:pStyle w:val="P1-N1Paragraph1-Number1"/>
      </w:pPr>
      <w:r>
        <w:t>T</w:t>
      </w:r>
      <w:r w:rsidR="00341BCD">
        <w:t xml:space="preserve">he use of the word </w:t>
      </w:r>
      <w:r w:rsidR="00F27326" w:rsidRPr="0007327B">
        <w:t>"</w:t>
      </w:r>
      <w:r w:rsidR="00341BCD">
        <w:t>necessary</w:t>
      </w:r>
      <w:r w:rsidR="00F27326" w:rsidRPr="0007327B">
        <w:t>"</w:t>
      </w:r>
      <w:r w:rsidR="00341BCD">
        <w:t xml:space="preserve"> </w:t>
      </w:r>
      <w:r w:rsidR="00A234D5">
        <w:t xml:space="preserve">in Article XX(b) </w:t>
      </w:r>
      <w:r w:rsidR="00341BCD">
        <w:t xml:space="preserve">does not mean that the measure must be </w:t>
      </w:r>
      <w:r w:rsidR="00F27326" w:rsidRPr="0007327B">
        <w:t>"</w:t>
      </w:r>
      <w:r w:rsidR="00341BCD">
        <w:t>indispensable</w:t>
      </w:r>
      <w:r w:rsidR="00F27326" w:rsidRPr="0007327B">
        <w:t>"</w:t>
      </w:r>
      <w:r w:rsidR="00341BCD">
        <w:t xml:space="preserve"> to the achievement of the objective at issue.</w:t>
      </w:r>
      <w:r w:rsidR="00341BCD">
        <w:rPr>
          <w:rStyle w:val="FootnoteReference"/>
        </w:rPr>
        <w:footnoteReference w:id="13"/>
      </w:r>
      <w:r w:rsidR="00274E2F">
        <w:t xml:space="preserve"> </w:t>
      </w:r>
      <w:r w:rsidR="00D23B94">
        <w:t>T</w:t>
      </w:r>
      <w:r w:rsidR="00341BCD">
        <w:t xml:space="preserve">he Panel </w:t>
      </w:r>
      <w:r w:rsidR="00341BCD" w:rsidRPr="001B3D99">
        <w:t>will</w:t>
      </w:r>
      <w:r w:rsidR="00341BCD">
        <w:t xml:space="preserve"> need to assess all the relevant factors.</w:t>
      </w:r>
      <w:r w:rsidR="00341BCD">
        <w:rPr>
          <w:rStyle w:val="FootnoteReference"/>
        </w:rPr>
        <w:footnoteReference w:id="14"/>
      </w:r>
      <w:r w:rsidR="00341BCD">
        <w:t> </w:t>
      </w:r>
      <w:r w:rsidR="001511C4" w:rsidRPr="0055172B">
        <w:t xml:space="preserve">There must be a </w:t>
      </w:r>
      <w:r w:rsidR="00F27326" w:rsidRPr="0007327B">
        <w:t>"</w:t>
      </w:r>
      <w:r w:rsidR="001511C4" w:rsidRPr="0055172B">
        <w:t>sufficient nexus</w:t>
      </w:r>
      <w:r w:rsidR="00F27326" w:rsidRPr="0007327B">
        <w:t>"</w:t>
      </w:r>
      <w:r w:rsidR="001511C4" w:rsidRPr="0055172B">
        <w:t xml:space="preserve"> between the challenged measure and a legitimate policy goal under Article XX(g).</w:t>
      </w:r>
      <w:r w:rsidR="001511C4" w:rsidRPr="0055172B">
        <w:rPr>
          <w:rStyle w:val="FootnoteReference"/>
        </w:rPr>
        <w:footnoteReference w:id="15"/>
      </w:r>
      <w:r w:rsidR="001511C4" w:rsidRPr="0055172B">
        <w:t xml:space="preserve"> This excludes from </w:t>
      </w:r>
      <w:r w:rsidR="00065853">
        <w:t>Article XX</w:t>
      </w:r>
      <w:r w:rsidR="001511C4" w:rsidRPr="0055172B">
        <w:t>(g) measures which are "merely inadvertently aimed at a conservation objective".</w:t>
      </w:r>
      <w:r w:rsidR="001511C4" w:rsidRPr="0055172B">
        <w:rPr>
          <w:rStyle w:val="FootnoteReference"/>
        </w:rPr>
        <w:footnoteReference w:id="16"/>
      </w:r>
      <w:r w:rsidR="001511C4" w:rsidRPr="0055172B">
        <w:t> </w:t>
      </w:r>
      <w:r w:rsidR="00CE2500">
        <w:t>When driven, i</w:t>
      </w:r>
      <w:r w:rsidR="00341BCD">
        <w:t xml:space="preserve">nternal combustion vehicles release </w:t>
      </w:r>
      <w:r w:rsidR="00E650CB">
        <w:t>GHGs</w:t>
      </w:r>
      <w:r w:rsidR="00341BCD">
        <w:t xml:space="preserve">, hybrid vehicles generally release fewer </w:t>
      </w:r>
      <w:r w:rsidR="00CE2500">
        <w:t>GHGs</w:t>
      </w:r>
      <w:r w:rsidR="00341BCD">
        <w:t xml:space="preserve">, and </w:t>
      </w:r>
      <w:r w:rsidR="006125E5">
        <w:t>EVs</w:t>
      </w:r>
      <w:r w:rsidR="00341BCD">
        <w:t xml:space="preserve"> release no </w:t>
      </w:r>
      <w:r w:rsidR="00CE2500">
        <w:t>GHGs</w:t>
      </w:r>
      <w:r w:rsidR="00341BCD">
        <w:t xml:space="preserve">. The Panel will need to consider whether it has been established </w:t>
      </w:r>
      <w:r w:rsidR="0092700D">
        <w:t xml:space="preserve">that </w:t>
      </w:r>
      <w:r w:rsidR="00341BCD">
        <w:t>additional duties on all three types of vehicles contribute sufficiently to the asserted environmental objectives</w:t>
      </w:r>
      <w:r w:rsidR="0092700D">
        <w:t xml:space="preserve"> given that</w:t>
      </w:r>
      <w:r w:rsidR="00341BCD">
        <w:t xml:space="preserve">: (1) each type contributes differently to the level of </w:t>
      </w:r>
      <w:r w:rsidR="00E650CB">
        <w:t>GHGs</w:t>
      </w:r>
      <w:r w:rsidR="00341BCD">
        <w:t xml:space="preserve"> in the atmosphere</w:t>
      </w:r>
      <w:r w:rsidR="0092700D">
        <w:t xml:space="preserve"> when driven</w:t>
      </w:r>
      <w:r w:rsidR="00341BCD">
        <w:t xml:space="preserve">; and (2) one type of vehicle contributes no </w:t>
      </w:r>
      <w:r w:rsidR="00E650CB">
        <w:t>GHGs</w:t>
      </w:r>
      <w:r w:rsidR="0092700D">
        <w:t xml:space="preserve"> when driven</w:t>
      </w:r>
      <w:r w:rsidR="00341BCD">
        <w:t>.</w:t>
      </w:r>
    </w:p>
    <w:p w14:paraId="39274CEC" w14:textId="6BAD1B81" w:rsidR="00585B2E" w:rsidRDefault="00585B2E" w:rsidP="00C17FF6">
      <w:pPr>
        <w:pStyle w:val="HL2HeadingLevel2"/>
      </w:pPr>
      <w:bookmarkStart w:id="8" w:name="_Toc209446652"/>
      <w:r>
        <w:t>"</w:t>
      </w:r>
      <w:r w:rsidR="000C69E9">
        <w:t>S</w:t>
      </w:r>
      <w:r>
        <w:t xml:space="preserve">ame </w:t>
      </w:r>
      <w:r w:rsidR="000C69E9">
        <w:t>C</w:t>
      </w:r>
      <w:r>
        <w:t xml:space="preserve">onditions </w:t>
      </w:r>
      <w:r w:rsidR="000C69E9">
        <w:t>P</w:t>
      </w:r>
      <w:r>
        <w:t>revail"</w:t>
      </w:r>
      <w:bookmarkEnd w:id="8"/>
    </w:p>
    <w:p w14:paraId="68C88D58" w14:textId="7D53F0EA" w:rsidR="00A31BA5" w:rsidRDefault="00C17FF6" w:rsidP="00466417">
      <w:pPr>
        <w:pStyle w:val="P1-N1Paragraph1-Number1"/>
      </w:pPr>
      <w:r>
        <w:t xml:space="preserve">The </w:t>
      </w:r>
      <w:r w:rsidR="003C2F32" w:rsidRPr="003C2F32">
        <w:rPr>
          <w:i/>
          <w:iCs/>
        </w:rPr>
        <w:t>chapeau</w:t>
      </w:r>
      <w:r>
        <w:t xml:space="preserve"> to Article XX does not expressly limit the type of prevailing </w:t>
      </w:r>
      <w:r w:rsidR="00F27326" w:rsidRPr="0007327B">
        <w:t>"</w:t>
      </w:r>
      <w:r>
        <w:t>conditions</w:t>
      </w:r>
      <w:r w:rsidR="00F27326" w:rsidRPr="0007327B">
        <w:t>"</w:t>
      </w:r>
      <w:r>
        <w:t xml:space="preserve"> which may be considered.</w:t>
      </w:r>
      <w:r w:rsidR="00932E67">
        <w:t xml:space="preserve"> </w:t>
      </w:r>
      <w:r>
        <w:t xml:space="preserve">However, context for determining the relevant </w:t>
      </w:r>
      <w:r w:rsidR="00F27326" w:rsidRPr="0007327B">
        <w:t>"</w:t>
      </w:r>
      <w:r>
        <w:t>conditions</w:t>
      </w:r>
      <w:r w:rsidR="00F27326" w:rsidRPr="0007327B">
        <w:t>"</w:t>
      </w:r>
      <w:r>
        <w:t xml:space="preserve"> would include: (1) the type or cause of the underlying violation; and (2) the subparagraph</w:t>
      </w:r>
      <w:r w:rsidR="0028454D">
        <w:t>(s)</w:t>
      </w:r>
      <w:r>
        <w:t xml:space="preserve"> of Article </w:t>
      </w:r>
      <w:r>
        <w:lastRenderedPageBreak/>
        <w:t>XX under which the measure in question is provisionally justified.</w:t>
      </w:r>
      <w:r>
        <w:rPr>
          <w:rStyle w:val="FootnoteReference"/>
        </w:rPr>
        <w:footnoteReference w:id="17"/>
      </w:r>
      <w:r>
        <w:t xml:space="preserve"> </w:t>
      </w:r>
      <w:r w:rsidR="00466417">
        <w:t xml:space="preserve">As to </w:t>
      </w:r>
      <w:r w:rsidR="00756AF9">
        <w:t>whe</w:t>
      </w:r>
      <w:r>
        <w:t xml:space="preserve">ther </w:t>
      </w:r>
      <w:r w:rsidR="00466417">
        <w:t xml:space="preserve">China’s high </w:t>
      </w:r>
      <w:r w:rsidR="00932E67">
        <w:t xml:space="preserve">share of global EV and EV battery production and industry policy toward the EV industry are relevant </w:t>
      </w:r>
      <w:r>
        <w:t xml:space="preserve">prevailing </w:t>
      </w:r>
      <w:r w:rsidR="00A87E55">
        <w:t>"</w:t>
      </w:r>
      <w:r>
        <w:t>conditions</w:t>
      </w:r>
      <w:r w:rsidR="0092570E">
        <w:t>"</w:t>
      </w:r>
      <w:r>
        <w:t xml:space="preserve">, </w:t>
      </w:r>
      <w:r w:rsidR="00466417">
        <w:t>the Panel should consider</w:t>
      </w:r>
      <w:r>
        <w:t xml:space="preserve"> the nature of the relationship between: (1) </w:t>
      </w:r>
      <w:r w:rsidR="00466417">
        <w:t xml:space="preserve">China’s </w:t>
      </w:r>
      <w:r>
        <w:t xml:space="preserve">high share of global EV and EV battery production and its industry policy toward the EV industry; </w:t>
      </w:r>
      <w:r w:rsidR="00A31BA5">
        <w:t xml:space="preserve">and </w:t>
      </w:r>
      <w:r>
        <w:t xml:space="preserve">(2) additional duties </w:t>
      </w:r>
      <w:r w:rsidR="00466417">
        <w:t xml:space="preserve">on </w:t>
      </w:r>
      <w:r>
        <w:t xml:space="preserve">Chinese vehicles to protect human, animal or plant life and health and/or to conserve exhaustible natural resources. The closer </w:t>
      </w:r>
      <w:r w:rsidR="00466417">
        <w:t xml:space="preserve">the </w:t>
      </w:r>
      <w:r>
        <w:t>relationship, the more likely</w:t>
      </w:r>
      <w:r w:rsidR="00466417">
        <w:t xml:space="preserve"> these factors</w:t>
      </w:r>
      <w:r>
        <w:t xml:space="preserve"> are relevant prevailing </w:t>
      </w:r>
      <w:r w:rsidR="00F27326" w:rsidRPr="0007327B">
        <w:t>"</w:t>
      </w:r>
      <w:r>
        <w:t>conditions</w:t>
      </w:r>
      <w:r w:rsidR="00F27326" w:rsidRPr="0007327B">
        <w:t>"</w:t>
      </w:r>
      <w:r>
        <w:t>.</w:t>
      </w:r>
      <w:r w:rsidR="006B207D">
        <w:t xml:space="preserve"> </w:t>
      </w:r>
    </w:p>
    <w:p w14:paraId="4C6EA445" w14:textId="0E4C3897" w:rsidR="00C17FF6" w:rsidRPr="00585B2E" w:rsidRDefault="00C17FF6" w:rsidP="009E264E">
      <w:pPr>
        <w:pStyle w:val="P1-N1Paragraph1-Number1"/>
      </w:pPr>
      <w:r>
        <w:t xml:space="preserve">In assessing </w:t>
      </w:r>
      <w:r w:rsidR="00CD4D77">
        <w:t xml:space="preserve">the </w:t>
      </w:r>
      <w:r>
        <w:t>relationship, the panel will need</w:t>
      </w:r>
      <w:r w:rsidR="00A87E55">
        <w:t xml:space="preserve"> to consider</w:t>
      </w:r>
      <w:r>
        <w:t xml:space="preserve"> </w:t>
      </w:r>
      <w:r w:rsidR="00A87E55">
        <w:t>whether</w:t>
      </w:r>
      <w:r>
        <w:t xml:space="preserve"> excessive dependence on Chinese EVs could create supply chain vulnerabilities and </w:t>
      </w:r>
      <w:r w:rsidR="009E264E">
        <w:t>if Türkiye</w:t>
      </w:r>
      <w:r w:rsidR="00691E0E">
        <w:t xml:space="preserve"> </w:t>
      </w:r>
      <w:r w:rsidR="00F27326" w:rsidRPr="0007327B">
        <w:t>"</w:t>
      </w:r>
      <w:r w:rsidR="00F27326" w:rsidDel="00F27326">
        <w:t xml:space="preserve"> </w:t>
      </w:r>
      <w:r>
        <w:t>needs to develop its own EV industry</w:t>
      </w:r>
      <w:r w:rsidR="007508AF">
        <w:t xml:space="preserve"> .</w:t>
      </w:r>
      <w:r w:rsidR="00880B76">
        <w:t>..</w:t>
      </w:r>
      <w:r w:rsidR="007508AF">
        <w:t xml:space="preserve"> </w:t>
      </w:r>
      <w:r w:rsidR="00880B76">
        <w:t>[for]</w:t>
      </w:r>
      <w:r w:rsidR="007508AF">
        <w:t xml:space="preserve"> .</w:t>
      </w:r>
      <w:r w:rsidR="00880B76">
        <w:t>..</w:t>
      </w:r>
      <w:r>
        <w:t>a sustainable green transition in its territory</w:t>
      </w:r>
      <w:r w:rsidR="00F27326" w:rsidRPr="0007327B">
        <w:t>"</w:t>
      </w:r>
      <w:r>
        <w:t xml:space="preserve">. The Panel will also need to consider </w:t>
      </w:r>
      <w:r w:rsidR="00A87E55">
        <w:t>whether</w:t>
      </w:r>
      <w:r>
        <w:t xml:space="preserve"> </w:t>
      </w:r>
      <w:r w:rsidR="00880B76">
        <w:t xml:space="preserve">the </w:t>
      </w:r>
      <w:r>
        <w:t xml:space="preserve">measures </w:t>
      </w:r>
      <w:r w:rsidR="004446E9">
        <w:t xml:space="preserve">would </w:t>
      </w:r>
      <w:r>
        <w:t xml:space="preserve">delay Türkiye’s </w:t>
      </w:r>
      <w:r w:rsidR="00F27326" w:rsidRPr="0007327B">
        <w:t>"</w:t>
      </w:r>
      <w:r>
        <w:t>transition to a cleaner economy</w:t>
      </w:r>
      <w:r w:rsidR="007508AF">
        <w:t xml:space="preserve"> </w:t>
      </w:r>
      <w:r w:rsidR="00CD4D77">
        <w:t>…</w:t>
      </w:r>
      <w:r w:rsidR="007508AF">
        <w:t xml:space="preserve"> </w:t>
      </w:r>
      <w:r>
        <w:t>mitigating global climate change</w:t>
      </w:r>
      <w:r w:rsidR="00F27326" w:rsidRPr="0007327B">
        <w:t>"</w:t>
      </w:r>
      <w:r>
        <w:t>.</w:t>
      </w:r>
      <w:r>
        <w:rPr>
          <w:rStyle w:val="FootnoteReference"/>
        </w:rPr>
        <w:footnoteReference w:id="18"/>
      </w:r>
      <w:r w:rsidR="00065853">
        <w:t xml:space="preserve"> </w:t>
      </w:r>
      <w:r w:rsidR="009E264E">
        <w:t>T</w:t>
      </w:r>
      <w:r>
        <w:t xml:space="preserve">he Panel should consider whether differential treatment of China is not </w:t>
      </w:r>
      <w:r w:rsidR="00F27326" w:rsidRPr="0007327B">
        <w:t>"</w:t>
      </w:r>
      <w:r>
        <w:t>arbitrary or unjustifiable</w:t>
      </w:r>
      <w:r w:rsidR="00F27326" w:rsidRPr="0007327B">
        <w:t>"</w:t>
      </w:r>
      <w:r>
        <w:t xml:space="preserve"> given any established differences in global market shares and industry policies between China and other WTO Members.</w:t>
      </w:r>
      <w:r w:rsidR="00083B10">
        <w:t xml:space="preserve"> </w:t>
      </w:r>
      <w:r>
        <w:t xml:space="preserve">In considering the additional duties on Chinese internal combustion vehicles, the Panel will also need to consider the relevance – if any – of China’s high share of global EV and EV battery production </w:t>
      </w:r>
      <w:r w:rsidRPr="001B3D99">
        <w:t>and its industry policy toward the EV industry to those additional duties.</w:t>
      </w:r>
    </w:p>
    <w:p w14:paraId="7FCEFA36" w14:textId="073094FC" w:rsidR="00C12D3A" w:rsidRDefault="00FC3237" w:rsidP="0027063D">
      <w:pPr>
        <w:pStyle w:val="HL2HeadingLevel2"/>
      </w:pPr>
      <w:r w:rsidRPr="00FC3237">
        <w:t>Article X</w:t>
      </w:r>
      <w:r>
        <w:t>XIV</w:t>
      </w:r>
      <w:r w:rsidRPr="00FC3237">
        <w:t xml:space="preserve"> </w:t>
      </w:r>
      <w:r w:rsidR="00B15015">
        <w:t>of the GATT</w:t>
      </w:r>
    </w:p>
    <w:p w14:paraId="550628E7" w14:textId="2D68FB97" w:rsidR="00D52A17" w:rsidRPr="000C69E9" w:rsidRDefault="006E270D" w:rsidP="00ED77AF">
      <w:pPr>
        <w:pStyle w:val="P1-N1Paragraph1-Number1"/>
      </w:pPr>
      <w:r>
        <w:t xml:space="preserve">GATT </w:t>
      </w:r>
      <w:r w:rsidR="0027063D">
        <w:t xml:space="preserve">Article </w:t>
      </w:r>
      <w:proofErr w:type="gramStart"/>
      <w:r w:rsidR="0027063D">
        <w:t>XXIV</w:t>
      </w:r>
      <w:r w:rsidR="00C375B6">
        <w:t>(</w:t>
      </w:r>
      <w:proofErr w:type="gramEnd"/>
      <w:r w:rsidR="00C375B6">
        <w:t>5)</w:t>
      </w:r>
      <w:r w:rsidR="0027063D">
        <w:t xml:space="preserve"> </w:t>
      </w:r>
      <w:r w:rsidR="00EB7D7A">
        <w:t xml:space="preserve">states </w:t>
      </w:r>
      <w:r w:rsidR="0027063D">
        <w:t xml:space="preserve">the provisions of the GATT </w:t>
      </w:r>
      <w:r w:rsidR="00F27326" w:rsidRPr="0007327B">
        <w:t>"</w:t>
      </w:r>
      <w:r w:rsidR="0027063D">
        <w:t xml:space="preserve">shall not prevent … the formation of a </w:t>
      </w:r>
      <w:r w:rsidR="00C0498A">
        <w:t xml:space="preserve">customs union </w:t>
      </w:r>
      <w:r w:rsidR="0027063D">
        <w:t>or … a free trade area</w:t>
      </w:r>
      <w:r w:rsidR="00F27326" w:rsidRPr="0007327B">
        <w:t>"</w:t>
      </w:r>
      <w:r w:rsidR="0027063D">
        <w:t>.</w:t>
      </w:r>
      <w:r w:rsidR="00EB7D7A">
        <w:t xml:space="preserve"> </w:t>
      </w:r>
      <w:r w:rsidR="00ED77AF">
        <w:t>As</w:t>
      </w:r>
      <w:r w:rsidR="0027063D">
        <w:t xml:space="preserve"> to whether the formation of the Türkiye-EU </w:t>
      </w:r>
      <w:r w:rsidR="00C0498A">
        <w:t xml:space="preserve">customs union </w:t>
      </w:r>
      <w:r w:rsidR="0027063D">
        <w:t>and Türkiye’s FTAs would have been prevented if Türkiye were not allowed to introduce the IPLS</w:t>
      </w:r>
      <w:r w:rsidR="00ED77AF">
        <w:t>, t</w:t>
      </w:r>
      <w:r w:rsidR="0027063D">
        <w:t xml:space="preserve">he Panel may need to consider that Article </w:t>
      </w:r>
      <w:proofErr w:type="gramStart"/>
      <w:r w:rsidR="0027063D">
        <w:t>XXIV</w:t>
      </w:r>
      <w:r w:rsidR="00CD4D77">
        <w:t>(</w:t>
      </w:r>
      <w:proofErr w:type="gramEnd"/>
      <w:r w:rsidR="00CD4D77">
        <w:t>8)</w:t>
      </w:r>
      <w:r w:rsidR="0027063D">
        <w:t xml:space="preserve"> provides that measures permitted under Article XX do not need to be eliminated to properly form a </w:t>
      </w:r>
      <w:r w:rsidR="00C0498A">
        <w:t xml:space="preserve">customs union </w:t>
      </w:r>
      <w:r w:rsidR="0027063D">
        <w:t xml:space="preserve">or </w:t>
      </w:r>
      <w:r w:rsidR="00880B76">
        <w:t>FTA</w:t>
      </w:r>
      <w:r w:rsidR="0027063D">
        <w:t xml:space="preserve">. Türkiye has </w:t>
      </w:r>
      <w:r w:rsidR="00CD4D77">
        <w:t xml:space="preserve">argued </w:t>
      </w:r>
      <w:r w:rsidR="0027063D">
        <w:t>in the alternative that the IPLS complies with Article XX(d).</w:t>
      </w:r>
      <w:r w:rsidR="0027063D">
        <w:rPr>
          <w:rStyle w:val="FootnoteReference"/>
        </w:rPr>
        <w:footnoteReference w:id="19"/>
      </w:r>
      <w:r w:rsidR="00325BAD">
        <w:t xml:space="preserve"> </w:t>
      </w:r>
      <w:r w:rsidR="0092700D">
        <w:t>T</w:t>
      </w:r>
      <w:r w:rsidR="0027063D">
        <w:t xml:space="preserve">he FTAs and </w:t>
      </w:r>
      <w:r w:rsidR="00C0498A">
        <w:t xml:space="preserve">customs union </w:t>
      </w:r>
      <w:r w:rsidR="0027063D">
        <w:t xml:space="preserve">which Türkiye relies upon may contain exceptions </w:t>
      </w:r>
      <w:r w:rsidR="009E264E">
        <w:t>permitting</w:t>
      </w:r>
      <w:r w:rsidR="0027063D">
        <w:t xml:space="preserve"> certain measures necessary to secure compliance with Türkiye’s laws or regulations (</w:t>
      </w:r>
      <w:r w:rsidR="00EB7D7A">
        <w:t>e</w:t>
      </w:r>
      <w:r w:rsidR="007508AF">
        <w:t>.</w:t>
      </w:r>
      <w:r w:rsidR="00EB7D7A">
        <w:t>g.</w:t>
      </w:r>
      <w:r w:rsidR="00C375B6">
        <w:t xml:space="preserve"> </w:t>
      </w:r>
      <w:r w:rsidR="0027063D">
        <w:t>Article 11.1 of Türkiye’s FTA with the UK</w:t>
      </w:r>
      <w:r w:rsidR="00325BAD">
        <w:t>)</w:t>
      </w:r>
      <w:r w:rsidR="0027063D">
        <w:t>.</w:t>
      </w:r>
      <w:r w:rsidR="0027063D">
        <w:rPr>
          <w:rStyle w:val="FootnoteReference"/>
        </w:rPr>
        <w:footnoteReference w:id="20"/>
      </w:r>
    </w:p>
    <w:sectPr w:rsidR="00D52A17" w:rsidRPr="000C69E9" w:rsidSect="008F5B14">
      <w:headerReference w:type="default" r:id="rId30"/>
      <w:footerReference w:type="default" r:id="rId3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96B1" w14:textId="77777777" w:rsidR="009A1296" w:rsidRDefault="009A1296" w:rsidP="00006269">
      <w:pPr>
        <w:spacing w:after="0" w:line="240" w:lineRule="auto"/>
      </w:pPr>
      <w:r>
        <w:separator/>
      </w:r>
    </w:p>
  </w:endnote>
  <w:endnote w:type="continuationSeparator" w:id="0">
    <w:p w14:paraId="6931DAFA" w14:textId="77777777" w:rsidR="009A1296" w:rsidRDefault="009A1296"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EB2B"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EECD" w14:textId="77777777" w:rsidR="009A1296" w:rsidRDefault="009A1296" w:rsidP="00006269">
      <w:pPr>
        <w:spacing w:after="0" w:line="240" w:lineRule="auto"/>
      </w:pPr>
      <w:r>
        <w:separator/>
      </w:r>
    </w:p>
  </w:footnote>
  <w:footnote w:type="continuationSeparator" w:id="0">
    <w:p w14:paraId="6E31AA43" w14:textId="77777777" w:rsidR="009A1296" w:rsidRDefault="009A1296" w:rsidP="00006269">
      <w:pPr>
        <w:spacing w:after="0" w:line="240" w:lineRule="auto"/>
      </w:pPr>
      <w:r>
        <w:continuationSeparator/>
      </w:r>
    </w:p>
  </w:footnote>
  <w:footnote w:id="1">
    <w:p w14:paraId="02FD57B0" w14:textId="77777777" w:rsidR="00CF46D8" w:rsidRDefault="00CF46D8" w:rsidP="00CF46D8">
      <w:pPr>
        <w:pStyle w:val="FootnoteText"/>
        <w:rPr>
          <w:i/>
          <w:iCs/>
        </w:rPr>
      </w:pPr>
      <w:r>
        <w:rPr>
          <w:rStyle w:val="FootnoteReference"/>
        </w:rPr>
        <w:footnoteRef/>
      </w:r>
      <w:r>
        <w:t xml:space="preserve"> Panel Report, </w:t>
      </w:r>
      <w:r>
        <w:rPr>
          <w:i/>
          <w:iCs/>
        </w:rPr>
        <w:t xml:space="preserve">India – Tariff Treatment, </w:t>
      </w:r>
      <w:r>
        <w:t>para. 7.63.</w:t>
      </w:r>
    </w:p>
  </w:footnote>
  <w:footnote w:id="2">
    <w:p w14:paraId="4C19A1D3" w14:textId="77777777" w:rsidR="00CF46D8" w:rsidRDefault="00CF46D8" w:rsidP="00CF46D8">
      <w:pPr>
        <w:pStyle w:val="FootnoteText"/>
        <w:rPr>
          <w:i/>
          <w:iCs/>
        </w:rPr>
      </w:pPr>
      <w:r>
        <w:rPr>
          <w:rStyle w:val="FootnoteReference"/>
        </w:rPr>
        <w:footnoteRef/>
      </w:r>
      <w:r>
        <w:t xml:space="preserve"> Panel Report, </w:t>
      </w:r>
      <w:r>
        <w:rPr>
          <w:i/>
          <w:iCs/>
        </w:rPr>
        <w:t>India – Tariff Treatment,</w:t>
      </w:r>
      <w:r>
        <w:t xml:space="preserve"> para. 7.63</w:t>
      </w:r>
      <w:r>
        <w:rPr>
          <w:i/>
          <w:iCs/>
        </w:rPr>
        <w:t xml:space="preserve">. </w:t>
      </w:r>
    </w:p>
  </w:footnote>
  <w:footnote w:id="3">
    <w:p w14:paraId="0E61FFE9" w14:textId="02000FA8" w:rsidR="00CF46D8" w:rsidRDefault="00CF46D8" w:rsidP="00CF46D8">
      <w:pPr>
        <w:pStyle w:val="FootnoteText"/>
      </w:pPr>
      <w:r>
        <w:rPr>
          <w:rStyle w:val="FootnoteReference"/>
        </w:rPr>
        <w:footnoteRef/>
      </w:r>
      <w:r>
        <w:t xml:space="preserve"> Appellate Body Report, </w:t>
      </w:r>
      <w:r>
        <w:rPr>
          <w:i/>
          <w:iCs/>
        </w:rPr>
        <w:t>China – Publications and Audiovisual Product</w:t>
      </w:r>
      <w:r w:rsidR="00405BCC">
        <w:rPr>
          <w:i/>
          <w:iCs/>
        </w:rPr>
        <w:t>s</w:t>
      </w:r>
      <w:r>
        <w:rPr>
          <w:i/>
          <w:iCs/>
        </w:rPr>
        <w:t>,</w:t>
      </w:r>
      <w:r>
        <w:t xml:space="preserve"> paras. 396-397. </w:t>
      </w:r>
    </w:p>
  </w:footnote>
  <w:footnote w:id="4">
    <w:p w14:paraId="53F55F8F" w14:textId="188426C9" w:rsidR="002D3A9F" w:rsidRDefault="002D3A9F" w:rsidP="002D3A9F">
      <w:pPr>
        <w:pStyle w:val="FootnoteText"/>
      </w:pPr>
      <w:r>
        <w:rPr>
          <w:rStyle w:val="FootnoteReference"/>
        </w:rPr>
        <w:footnoteRef/>
      </w:r>
      <w:r>
        <w:t xml:space="preserve"> Panel Reports, </w:t>
      </w:r>
      <w:r>
        <w:rPr>
          <w:i/>
        </w:rPr>
        <w:t>EU and Certain Member States – Palm Oil (Malaysia)</w:t>
      </w:r>
      <w:r>
        <w:t>,</w:t>
      </w:r>
      <w:r>
        <w:rPr>
          <w:i/>
        </w:rPr>
        <w:t xml:space="preserve"> </w:t>
      </w:r>
      <w:r>
        <w:t xml:space="preserve">paras 7.281,7.1085 and </w:t>
      </w:r>
      <w:r>
        <w:rPr>
          <w:i/>
        </w:rPr>
        <w:t>EU – Palm Oil (Indonesia)</w:t>
      </w:r>
      <w:r>
        <w:t>, paras 7.290, 7.1093</w:t>
      </w:r>
      <w:r w:rsidR="0061650C">
        <w:t xml:space="preserve"> referring to </w:t>
      </w:r>
      <w:r>
        <w:t xml:space="preserve">Appellate Body Report, </w:t>
      </w:r>
      <w:r>
        <w:rPr>
          <w:i/>
          <w:iCs/>
        </w:rPr>
        <w:t xml:space="preserve">Brazil – </w:t>
      </w:r>
      <w:proofErr w:type="spellStart"/>
      <w:r>
        <w:rPr>
          <w:i/>
          <w:iCs/>
        </w:rPr>
        <w:t>Retreaded</w:t>
      </w:r>
      <w:proofErr w:type="spellEnd"/>
      <w:r>
        <w:rPr>
          <w:i/>
          <w:iCs/>
        </w:rPr>
        <w:t xml:space="preserve"> Tyres</w:t>
      </w:r>
      <w:r>
        <w:t>, para. 151.</w:t>
      </w:r>
    </w:p>
  </w:footnote>
  <w:footnote w:id="5">
    <w:p w14:paraId="483B5024" w14:textId="77777777" w:rsidR="002D3A9F" w:rsidRDefault="002D3A9F" w:rsidP="002D3A9F">
      <w:pPr>
        <w:pStyle w:val="FootnoteText"/>
      </w:pPr>
      <w:r>
        <w:rPr>
          <w:rStyle w:val="FootnoteReference"/>
        </w:rPr>
        <w:footnoteRef/>
      </w:r>
      <w:r>
        <w:t xml:space="preserve"> Appellate Body Report, </w:t>
      </w:r>
      <w:r>
        <w:rPr>
          <w:i/>
          <w:iCs/>
        </w:rPr>
        <w:t>US – Shrimp</w:t>
      </w:r>
      <w:r>
        <w:t>, para. 129.</w:t>
      </w:r>
    </w:p>
  </w:footnote>
  <w:footnote w:id="6">
    <w:p w14:paraId="5D20609F" w14:textId="20DD290D" w:rsidR="002D3A9F" w:rsidRDefault="002D3A9F" w:rsidP="002D3A9F">
      <w:pPr>
        <w:pStyle w:val="FootnoteText"/>
        <w:rPr>
          <w:lang w:val="en-US"/>
        </w:rPr>
      </w:pPr>
      <w:r>
        <w:rPr>
          <w:rStyle w:val="FootnoteReference"/>
        </w:rPr>
        <w:footnoteRef/>
      </w:r>
      <w:r>
        <w:rPr>
          <w:lang w:val="en-US"/>
        </w:rPr>
        <w:t xml:space="preserve"> Panel Reports, </w:t>
      </w:r>
      <w:r>
        <w:rPr>
          <w:i/>
          <w:lang w:val="en-US"/>
        </w:rPr>
        <w:t>EU – Palm Oil (Indonesia)</w:t>
      </w:r>
      <w:r>
        <w:rPr>
          <w:lang w:val="en-US"/>
        </w:rPr>
        <w:t xml:space="preserve">, para 7.286 and </w:t>
      </w:r>
      <w:r w:rsidR="009C1CA2" w:rsidRPr="009C1CA2">
        <w:rPr>
          <w:i/>
          <w:lang w:val="en-GB"/>
        </w:rPr>
        <w:t>EU and Certain Member States – Palm Oil (Malaysia)</w:t>
      </w:r>
      <w:r>
        <w:rPr>
          <w:lang w:val="en-US"/>
        </w:rPr>
        <w:t xml:space="preserve">, para. 7.277.  </w:t>
      </w:r>
    </w:p>
  </w:footnote>
  <w:footnote w:id="7">
    <w:p w14:paraId="17A3A981" w14:textId="77777777" w:rsidR="00D438B0" w:rsidRDefault="00D438B0" w:rsidP="00D438B0">
      <w:pPr>
        <w:pStyle w:val="FootnoteText"/>
        <w:rPr>
          <w:i/>
          <w:iCs/>
        </w:rPr>
      </w:pPr>
      <w:r>
        <w:rPr>
          <w:rStyle w:val="FootnoteReference"/>
        </w:rPr>
        <w:footnoteRef/>
      </w:r>
      <w:r>
        <w:t xml:space="preserve"> Appellate Body Report, </w:t>
      </w:r>
      <w:r>
        <w:rPr>
          <w:i/>
          <w:iCs/>
        </w:rPr>
        <w:t xml:space="preserve">Brazil </w:t>
      </w:r>
      <w:proofErr w:type="spellStart"/>
      <w:r>
        <w:rPr>
          <w:i/>
          <w:iCs/>
        </w:rPr>
        <w:t>Retreaded</w:t>
      </w:r>
      <w:proofErr w:type="spellEnd"/>
      <w:r>
        <w:rPr>
          <w:i/>
          <w:iCs/>
        </w:rPr>
        <w:t xml:space="preserve"> Tyres, </w:t>
      </w:r>
      <w:r>
        <w:t>para. 31.</w:t>
      </w:r>
    </w:p>
  </w:footnote>
  <w:footnote w:id="8">
    <w:p w14:paraId="326DA60D" w14:textId="6D55AAF3" w:rsidR="00D438B0" w:rsidRDefault="00D438B0" w:rsidP="00D438B0">
      <w:pPr>
        <w:pStyle w:val="FootnoteText"/>
      </w:pPr>
      <w:r>
        <w:rPr>
          <w:rStyle w:val="FootnoteReference"/>
        </w:rPr>
        <w:footnoteRef/>
      </w:r>
      <w:r>
        <w:t xml:space="preserve"> Appellate Body Report</w:t>
      </w:r>
      <w:r w:rsidR="003C0435">
        <w:t>s</w:t>
      </w:r>
      <w:r>
        <w:t xml:space="preserve">, </w:t>
      </w:r>
      <w:r>
        <w:rPr>
          <w:i/>
          <w:iCs/>
        </w:rPr>
        <w:t>EC – Seal Products</w:t>
      </w:r>
      <w:r>
        <w:t>, para. 5.299.</w:t>
      </w:r>
    </w:p>
  </w:footnote>
  <w:footnote w:id="9">
    <w:p w14:paraId="30445709" w14:textId="6B5957F6" w:rsidR="001D4409" w:rsidRDefault="001D4409">
      <w:pPr>
        <w:pStyle w:val="FootnoteText"/>
      </w:pPr>
      <w:r>
        <w:rPr>
          <w:rStyle w:val="FootnoteReference"/>
        </w:rPr>
        <w:footnoteRef/>
      </w:r>
      <w:r>
        <w:t xml:space="preserve"> Appellate Body Reports, </w:t>
      </w:r>
      <w:r>
        <w:rPr>
          <w:i/>
          <w:iCs/>
        </w:rPr>
        <w:t>EC-Seal Products,</w:t>
      </w:r>
      <w:r>
        <w:t xml:space="preserve"> para. 5.300 and </w:t>
      </w:r>
      <w:r>
        <w:rPr>
          <w:i/>
        </w:rPr>
        <w:t>Indonesia – Import Licensing Regimes</w:t>
      </w:r>
      <w:r>
        <w:t>, para. 5.99.</w:t>
      </w:r>
    </w:p>
  </w:footnote>
  <w:footnote w:id="10">
    <w:p w14:paraId="33882128" w14:textId="77777777" w:rsidR="00D438B0" w:rsidRDefault="00D438B0" w:rsidP="00D438B0">
      <w:pPr>
        <w:pStyle w:val="FootnoteText"/>
      </w:pPr>
      <w:r>
        <w:rPr>
          <w:rStyle w:val="FootnoteReference"/>
        </w:rPr>
        <w:footnoteRef/>
      </w:r>
      <w:r>
        <w:t xml:space="preserve"> Appellate Body Reports, </w:t>
      </w:r>
      <w:r>
        <w:rPr>
          <w:i/>
          <w:iCs/>
        </w:rPr>
        <w:t>EC-Seal Products,</w:t>
      </w:r>
      <w:r>
        <w:t xml:space="preserve"> para. 5.300 and </w:t>
      </w:r>
      <w:r>
        <w:rPr>
          <w:i/>
        </w:rPr>
        <w:t>Indonesia – Import Licensing Regimes</w:t>
      </w:r>
      <w:r>
        <w:t>, para. 5.99.</w:t>
      </w:r>
    </w:p>
  </w:footnote>
  <w:footnote w:id="11">
    <w:p w14:paraId="6615DF37" w14:textId="03FE7313" w:rsidR="00FF0990" w:rsidRDefault="00FF0990" w:rsidP="00FF0990">
      <w:pPr>
        <w:pStyle w:val="FootnoteText"/>
      </w:pPr>
      <w:r>
        <w:rPr>
          <w:rStyle w:val="FootnoteReference"/>
        </w:rPr>
        <w:footnoteRef/>
      </w:r>
      <w:r>
        <w:t xml:space="preserve"> See Türkiye’s first written submission, para. 3.12, citing </w:t>
      </w:r>
      <w:r w:rsidR="00C82197" w:rsidRPr="00C82197">
        <w:rPr>
          <w:lang w:val="en-GB"/>
        </w:rPr>
        <w:t xml:space="preserve">Appellate Body Report, </w:t>
      </w:r>
      <w:r>
        <w:rPr>
          <w:i/>
        </w:rPr>
        <w:t>EC – Tariff Preferences</w:t>
      </w:r>
      <w:r>
        <w:t>, paras. 110, 113.</w:t>
      </w:r>
    </w:p>
  </w:footnote>
  <w:footnote w:id="12">
    <w:p w14:paraId="14745793" w14:textId="77777777" w:rsidR="00564FE0" w:rsidRDefault="00564FE0" w:rsidP="00564FE0">
      <w:pPr>
        <w:pStyle w:val="FootnoteText"/>
      </w:pPr>
      <w:r>
        <w:rPr>
          <w:rStyle w:val="FootnoteReference"/>
        </w:rPr>
        <w:footnoteRef/>
      </w:r>
      <w:r>
        <w:t xml:space="preserve"> Appellate Body Report</w:t>
      </w:r>
      <w:r>
        <w:rPr>
          <w:i/>
          <w:iCs/>
        </w:rPr>
        <w:t>, EC – Tariff Preferences</w:t>
      </w:r>
      <w:r>
        <w:t>, paras. 106-107.</w:t>
      </w:r>
    </w:p>
  </w:footnote>
  <w:footnote w:id="13">
    <w:p w14:paraId="22CAC61B" w14:textId="77777777" w:rsidR="00341BCD" w:rsidRDefault="00341BCD" w:rsidP="00341BCD">
      <w:pPr>
        <w:pStyle w:val="FootnoteText"/>
      </w:pPr>
      <w:r>
        <w:rPr>
          <w:rStyle w:val="FootnoteReference"/>
        </w:rPr>
        <w:footnoteRef/>
      </w:r>
      <w:r>
        <w:t xml:space="preserve"> Appellate Body report, </w:t>
      </w:r>
      <w:r>
        <w:rPr>
          <w:i/>
          <w:iCs/>
        </w:rPr>
        <w:t xml:space="preserve">Brazil – </w:t>
      </w:r>
      <w:proofErr w:type="spellStart"/>
      <w:r>
        <w:rPr>
          <w:i/>
          <w:iCs/>
        </w:rPr>
        <w:t>Retreaded</w:t>
      </w:r>
      <w:proofErr w:type="spellEnd"/>
      <w:r>
        <w:rPr>
          <w:i/>
          <w:iCs/>
        </w:rPr>
        <w:t xml:space="preserve"> Tyres</w:t>
      </w:r>
      <w:r>
        <w:t xml:space="preserve">, para 150 citing Appellate Body report, </w:t>
      </w:r>
      <w:r>
        <w:rPr>
          <w:i/>
          <w:iCs/>
        </w:rPr>
        <w:t>Korea – Various Measures on Beef,</w:t>
      </w:r>
      <w:r>
        <w:t xml:space="preserve"> para. 161.</w:t>
      </w:r>
    </w:p>
  </w:footnote>
  <w:footnote w:id="14">
    <w:p w14:paraId="581EADBC" w14:textId="77777777" w:rsidR="00341BCD" w:rsidRDefault="00341BCD" w:rsidP="00341BCD">
      <w:pPr>
        <w:pStyle w:val="FootnoteText"/>
      </w:pPr>
      <w:r>
        <w:rPr>
          <w:rStyle w:val="FootnoteReference"/>
        </w:rPr>
        <w:footnoteRef/>
      </w:r>
      <w:r>
        <w:t xml:space="preserve"> Appellate Body report, </w:t>
      </w:r>
      <w:r>
        <w:rPr>
          <w:i/>
          <w:iCs/>
        </w:rPr>
        <w:t xml:space="preserve">Brazil – </w:t>
      </w:r>
      <w:proofErr w:type="spellStart"/>
      <w:r>
        <w:rPr>
          <w:i/>
          <w:iCs/>
        </w:rPr>
        <w:t>Retreaded</w:t>
      </w:r>
      <w:proofErr w:type="spellEnd"/>
      <w:r>
        <w:rPr>
          <w:i/>
          <w:iCs/>
        </w:rPr>
        <w:t xml:space="preserve"> Tyres</w:t>
      </w:r>
      <w:r>
        <w:t xml:space="preserve">, para 156. </w:t>
      </w:r>
    </w:p>
  </w:footnote>
  <w:footnote w:id="15">
    <w:p w14:paraId="66593ACE" w14:textId="77777777" w:rsidR="001511C4" w:rsidRPr="00890CE2" w:rsidRDefault="001511C4" w:rsidP="001511C4">
      <w:pPr>
        <w:pStyle w:val="FootnoteText"/>
      </w:pPr>
      <w:r>
        <w:rPr>
          <w:rStyle w:val="FootnoteReference"/>
        </w:rPr>
        <w:footnoteRef/>
      </w:r>
      <w:r>
        <w:t xml:space="preserve"> Appellate Body report, </w:t>
      </w:r>
      <w:r>
        <w:rPr>
          <w:i/>
          <w:iCs/>
        </w:rPr>
        <w:t xml:space="preserve">US – Shrimp, </w:t>
      </w:r>
      <w:r>
        <w:t>para 133.</w:t>
      </w:r>
    </w:p>
  </w:footnote>
  <w:footnote w:id="16">
    <w:p w14:paraId="0831E8F3" w14:textId="5F7CAB57" w:rsidR="001511C4" w:rsidRPr="000826A2" w:rsidRDefault="001511C4" w:rsidP="001511C4">
      <w:pPr>
        <w:pStyle w:val="FootnoteText"/>
        <w:rPr>
          <w:i/>
          <w:iCs/>
        </w:rPr>
      </w:pPr>
      <w:r w:rsidRPr="00716A40">
        <w:rPr>
          <w:rStyle w:val="FootnoteReference"/>
        </w:rPr>
        <w:footnoteRef/>
      </w:r>
      <w:r w:rsidRPr="00716A40">
        <w:t xml:space="preserve"> Appellate Body report</w:t>
      </w:r>
      <w:r w:rsidR="00880223">
        <w:t>s</w:t>
      </w:r>
      <w:r w:rsidRPr="00716A40">
        <w:t xml:space="preserve">, </w:t>
      </w:r>
      <w:r w:rsidRPr="00716A40">
        <w:rPr>
          <w:i/>
          <w:iCs/>
        </w:rPr>
        <w:t>China - Raw Materials</w:t>
      </w:r>
      <w:r w:rsidRPr="00716A40">
        <w:t>, para 360</w:t>
      </w:r>
      <w:r w:rsidR="0050215C">
        <w:t>.</w:t>
      </w:r>
    </w:p>
  </w:footnote>
  <w:footnote w:id="17">
    <w:p w14:paraId="4DF775DA" w14:textId="7F98E4DD" w:rsidR="00C17FF6" w:rsidRDefault="00C17FF6" w:rsidP="00C17FF6">
      <w:pPr>
        <w:pStyle w:val="FootnoteText"/>
      </w:pPr>
      <w:r>
        <w:rPr>
          <w:rStyle w:val="FootnoteReference"/>
        </w:rPr>
        <w:footnoteRef/>
      </w:r>
      <w:r>
        <w:t xml:space="preserve"> Appellate Body reports, </w:t>
      </w:r>
      <w:r>
        <w:rPr>
          <w:i/>
          <w:iCs/>
        </w:rPr>
        <w:t xml:space="preserve">EC – Seal Products, </w:t>
      </w:r>
      <w:r>
        <w:t>paras 5.299-5.301</w:t>
      </w:r>
      <w:r w:rsidR="0050215C">
        <w:t>.</w:t>
      </w:r>
    </w:p>
  </w:footnote>
  <w:footnote w:id="18">
    <w:p w14:paraId="29711C5D" w14:textId="77777777" w:rsidR="00C17FF6" w:rsidRDefault="00C17FF6" w:rsidP="00C17FF6">
      <w:pPr>
        <w:pStyle w:val="FootnoteText"/>
        <w:rPr>
          <w:i/>
          <w:iCs/>
        </w:rPr>
      </w:pPr>
      <w:r>
        <w:rPr>
          <w:rStyle w:val="FootnoteReference"/>
        </w:rPr>
        <w:footnoteRef/>
      </w:r>
      <w:r>
        <w:t xml:space="preserve"> China first written submission, para 8.</w:t>
      </w:r>
    </w:p>
  </w:footnote>
  <w:footnote w:id="19">
    <w:p w14:paraId="39226AF3" w14:textId="77777777" w:rsidR="0027063D" w:rsidRDefault="0027063D" w:rsidP="0027063D">
      <w:pPr>
        <w:pStyle w:val="FootnoteText"/>
      </w:pPr>
      <w:r>
        <w:rPr>
          <w:rStyle w:val="FootnoteReference"/>
        </w:rPr>
        <w:footnoteRef/>
      </w:r>
      <w:r>
        <w:t xml:space="preserve"> Türkiye's first written submission, para. 3.197.  </w:t>
      </w:r>
    </w:p>
  </w:footnote>
  <w:footnote w:id="20">
    <w:p w14:paraId="786DBE19" w14:textId="77777777" w:rsidR="0027063D" w:rsidRDefault="0027063D" w:rsidP="0027063D">
      <w:pPr>
        <w:pStyle w:val="FootnoteText"/>
        <w:rPr>
          <w:lang w:val="en-US"/>
        </w:rPr>
      </w:pPr>
      <w:r>
        <w:rPr>
          <w:rStyle w:val="FootnoteReference"/>
        </w:rPr>
        <w:footnoteRef/>
      </w:r>
      <w:r>
        <w:t xml:space="preserve"> </w:t>
      </w:r>
      <w:r>
        <w:rPr>
          <w:lang w:val="en-US"/>
        </w:rPr>
        <w:t>See Exhibit TUR-62.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647F" w14:textId="1BA8B11B" w:rsidR="00380795" w:rsidRDefault="005F6FF1">
    <w:pPr>
      <w:pStyle w:val="Header"/>
    </w:pPr>
    <w:r w:rsidRPr="005F6FF1">
      <w:rPr>
        <w:i/>
        <w:iCs/>
      </w:rPr>
      <w:t>Türkiye – EVs (China)</w:t>
    </w:r>
    <w:r w:rsidR="00380795">
      <w:ptab w:relativeTo="margin" w:alignment="right" w:leader="none"/>
    </w:r>
    <w:fldSimple w:instr=" STYLEREF  &quot;[DT] Document Title&quot;  \* MERGEFORMAT ">
      <w:r w:rsidR="00CD4315">
        <w:rPr>
          <w:noProof/>
        </w:rPr>
        <w:t>Australia's Executive Summary</w:t>
      </w:r>
    </w:fldSimple>
  </w:p>
  <w:p w14:paraId="17CD445D" w14:textId="69C85D69" w:rsidR="00380795" w:rsidRDefault="00A136FF">
    <w:pPr>
      <w:pStyle w:val="Header"/>
    </w:pPr>
    <w:fldSimple w:instr=" STYLEREF  &quot;[DSN] DS Number&quot;  \* MERGEFORMAT ">
      <w:r w:rsidR="00CD4315">
        <w:rPr>
          <w:noProof/>
        </w:rPr>
        <w:t>(DS629)</w:t>
      </w:r>
    </w:fldSimple>
    <w:r w:rsidR="00380795">
      <w:ptab w:relativeTo="margin" w:alignment="right" w:leader="none"/>
    </w:r>
    <w:fldSimple w:instr=" STYLEREF  &quot;[DD] Document Date&quot;  \* MERGEFORMAT ">
      <w:r w:rsidR="00CD4315">
        <w:rPr>
          <w:noProof/>
        </w:rPr>
        <w:t>23 October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4596"/>
    <w:multiLevelType w:val="multilevel"/>
    <w:tmpl w:val="F10267D4"/>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2" w15:restartNumberingAfterBreak="0">
    <w:nsid w:val="28243105"/>
    <w:multiLevelType w:val="hybridMultilevel"/>
    <w:tmpl w:val="A5901300"/>
    <w:lvl w:ilvl="0" w:tplc="367A4EF0">
      <w:start w:val="1"/>
      <w:numFmt w:val="decimal"/>
      <w:pStyle w:val="P1-N1Paragraph1-Number1"/>
      <w:lvlText w:val="%1."/>
      <w:lvlJc w:val="left"/>
      <w:pPr>
        <w:tabs>
          <w:tab w:val="num" w:pos="851"/>
        </w:tabs>
        <w:ind w:left="0" w:firstLine="0"/>
      </w:pPr>
      <w:rPr>
        <w:rFonts w:hint="default"/>
        <w:lang w:val="en-AU"/>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3"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4"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6687517">
    <w:abstractNumId w:val="2"/>
  </w:num>
  <w:num w:numId="2" w16cid:durableId="226231575">
    <w:abstractNumId w:val="1"/>
  </w:num>
  <w:num w:numId="3" w16cid:durableId="262610072">
    <w:abstractNumId w:val="2"/>
    <w:lvlOverride w:ilvl="0">
      <w:startOverride w:val="1"/>
    </w:lvlOverride>
  </w:num>
  <w:num w:numId="4" w16cid:durableId="177088476">
    <w:abstractNumId w:val="0"/>
  </w:num>
  <w:num w:numId="5" w16cid:durableId="1511414236">
    <w:abstractNumId w:val="4"/>
  </w:num>
  <w:num w:numId="6" w16cid:durableId="241717727">
    <w:abstractNumId w:val="3"/>
  </w:num>
  <w:num w:numId="7" w16cid:durableId="2115662373">
    <w:abstractNumId w:val="3"/>
  </w:num>
  <w:num w:numId="8" w16cid:durableId="1622490184">
    <w:abstractNumId w:val="1"/>
    <w:lvlOverride w:ilvl="0">
      <w:startOverride w:val="1"/>
    </w:lvlOverride>
    <w:lvlOverride w:ilvl="1">
      <w:startOverride w:val="2"/>
    </w:lvlOverride>
  </w:num>
  <w:num w:numId="9" w16cid:durableId="1400399171">
    <w:abstractNumId w:val="1"/>
  </w:num>
  <w:num w:numId="10" w16cid:durableId="711081339">
    <w:abstractNumId w:val="1"/>
  </w:num>
  <w:num w:numId="11" w16cid:durableId="1894268898">
    <w:abstractNumId w:val="1"/>
  </w:num>
  <w:num w:numId="12" w16cid:durableId="209733502">
    <w:abstractNumId w:val="1"/>
  </w:num>
  <w:num w:numId="13" w16cid:durableId="176895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514000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F6"/>
    <w:rsid w:val="00002653"/>
    <w:rsid w:val="00004009"/>
    <w:rsid w:val="00006269"/>
    <w:rsid w:val="000068C2"/>
    <w:rsid w:val="00010765"/>
    <w:rsid w:val="000136BE"/>
    <w:rsid w:val="00013F6E"/>
    <w:rsid w:val="00014675"/>
    <w:rsid w:val="00021E12"/>
    <w:rsid w:val="00023C47"/>
    <w:rsid w:val="00025483"/>
    <w:rsid w:val="00030A32"/>
    <w:rsid w:val="00031577"/>
    <w:rsid w:val="00040482"/>
    <w:rsid w:val="000453F8"/>
    <w:rsid w:val="00046BAF"/>
    <w:rsid w:val="0004747A"/>
    <w:rsid w:val="000529D0"/>
    <w:rsid w:val="00065853"/>
    <w:rsid w:val="000662B0"/>
    <w:rsid w:val="000716BD"/>
    <w:rsid w:val="0007327B"/>
    <w:rsid w:val="00081602"/>
    <w:rsid w:val="00082549"/>
    <w:rsid w:val="000825B1"/>
    <w:rsid w:val="00083B10"/>
    <w:rsid w:val="00085F0E"/>
    <w:rsid w:val="000872FE"/>
    <w:rsid w:val="00091EF4"/>
    <w:rsid w:val="00093175"/>
    <w:rsid w:val="000950D2"/>
    <w:rsid w:val="000954BD"/>
    <w:rsid w:val="0009594E"/>
    <w:rsid w:val="00097131"/>
    <w:rsid w:val="000B204E"/>
    <w:rsid w:val="000B67F9"/>
    <w:rsid w:val="000C14F5"/>
    <w:rsid w:val="000C527B"/>
    <w:rsid w:val="000C6226"/>
    <w:rsid w:val="000C69E9"/>
    <w:rsid w:val="000C69EE"/>
    <w:rsid w:val="000C6B21"/>
    <w:rsid w:val="000D0005"/>
    <w:rsid w:val="000D1680"/>
    <w:rsid w:val="000D3FF3"/>
    <w:rsid w:val="000D6D38"/>
    <w:rsid w:val="000E230B"/>
    <w:rsid w:val="000E4BF6"/>
    <w:rsid w:val="000E4C65"/>
    <w:rsid w:val="000F0787"/>
    <w:rsid w:val="00101F52"/>
    <w:rsid w:val="00102201"/>
    <w:rsid w:val="001076A2"/>
    <w:rsid w:val="0011547E"/>
    <w:rsid w:val="0012151F"/>
    <w:rsid w:val="0013152F"/>
    <w:rsid w:val="001413ED"/>
    <w:rsid w:val="001458A1"/>
    <w:rsid w:val="001511C4"/>
    <w:rsid w:val="00152AD0"/>
    <w:rsid w:val="00152D05"/>
    <w:rsid w:val="00153698"/>
    <w:rsid w:val="001570CB"/>
    <w:rsid w:val="00157340"/>
    <w:rsid w:val="00162D9E"/>
    <w:rsid w:val="00165108"/>
    <w:rsid w:val="00167090"/>
    <w:rsid w:val="001672B4"/>
    <w:rsid w:val="0017192E"/>
    <w:rsid w:val="00177C2A"/>
    <w:rsid w:val="0018043C"/>
    <w:rsid w:val="00182727"/>
    <w:rsid w:val="001903B9"/>
    <w:rsid w:val="001975DD"/>
    <w:rsid w:val="001A41B7"/>
    <w:rsid w:val="001B3D99"/>
    <w:rsid w:val="001B72E3"/>
    <w:rsid w:val="001C4CC7"/>
    <w:rsid w:val="001C5DF7"/>
    <w:rsid w:val="001C669E"/>
    <w:rsid w:val="001C738F"/>
    <w:rsid w:val="001D1C99"/>
    <w:rsid w:val="001D1DAC"/>
    <w:rsid w:val="001D4409"/>
    <w:rsid w:val="001D6466"/>
    <w:rsid w:val="001E20A6"/>
    <w:rsid w:val="001E3588"/>
    <w:rsid w:val="001E3A84"/>
    <w:rsid w:val="001E51A8"/>
    <w:rsid w:val="001F0361"/>
    <w:rsid w:val="001F223E"/>
    <w:rsid w:val="001F3466"/>
    <w:rsid w:val="001F3CB2"/>
    <w:rsid w:val="001F46B7"/>
    <w:rsid w:val="001F75CF"/>
    <w:rsid w:val="002070FA"/>
    <w:rsid w:val="002074D5"/>
    <w:rsid w:val="00212CBA"/>
    <w:rsid w:val="00213035"/>
    <w:rsid w:val="00215F99"/>
    <w:rsid w:val="00217A09"/>
    <w:rsid w:val="0022478E"/>
    <w:rsid w:val="00230197"/>
    <w:rsid w:val="0023272D"/>
    <w:rsid w:val="00245FA1"/>
    <w:rsid w:val="00251C26"/>
    <w:rsid w:val="0025365F"/>
    <w:rsid w:val="00256B71"/>
    <w:rsid w:val="002603E6"/>
    <w:rsid w:val="0026128E"/>
    <w:rsid w:val="00264DF0"/>
    <w:rsid w:val="00264EA4"/>
    <w:rsid w:val="0027063D"/>
    <w:rsid w:val="00270905"/>
    <w:rsid w:val="00274E2F"/>
    <w:rsid w:val="002774D9"/>
    <w:rsid w:val="0028243F"/>
    <w:rsid w:val="00283DB2"/>
    <w:rsid w:val="0028454D"/>
    <w:rsid w:val="002934FE"/>
    <w:rsid w:val="002945E9"/>
    <w:rsid w:val="002A0903"/>
    <w:rsid w:val="002B2E94"/>
    <w:rsid w:val="002B6CCD"/>
    <w:rsid w:val="002C19D9"/>
    <w:rsid w:val="002C2C2F"/>
    <w:rsid w:val="002D350A"/>
    <w:rsid w:val="002D3A9F"/>
    <w:rsid w:val="002D4796"/>
    <w:rsid w:val="002E7C8E"/>
    <w:rsid w:val="002F1025"/>
    <w:rsid w:val="002F108D"/>
    <w:rsid w:val="002F433F"/>
    <w:rsid w:val="002F5D7C"/>
    <w:rsid w:val="002F646A"/>
    <w:rsid w:val="002F6EE1"/>
    <w:rsid w:val="003005A3"/>
    <w:rsid w:val="00306EA6"/>
    <w:rsid w:val="0031054B"/>
    <w:rsid w:val="00310B5C"/>
    <w:rsid w:val="003177F0"/>
    <w:rsid w:val="00323D58"/>
    <w:rsid w:val="00325BAD"/>
    <w:rsid w:val="00330582"/>
    <w:rsid w:val="00340A13"/>
    <w:rsid w:val="0034182B"/>
    <w:rsid w:val="00341BCD"/>
    <w:rsid w:val="00343C7D"/>
    <w:rsid w:val="00352299"/>
    <w:rsid w:val="003532C9"/>
    <w:rsid w:val="00354A06"/>
    <w:rsid w:val="00355394"/>
    <w:rsid w:val="00357DC0"/>
    <w:rsid w:val="00361F87"/>
    <w:rsid w:val="003629DB"/>
    <w:rsid w:val="003638CE"/>
    <w:rsid w:val="00364C3D"/>
    <w:rsid w:val="003740E0"/>
    <w:rsid w:val="00375A4F"/>
    <w:rsid w:val="00375E61"/>
    <w:rsid w:val="00380306"/>
    <w:rsid w:val="00380454"/>
    <w:rsid w:val="00380795"/>
    <w:rsid w:val="00382E98"/>
    <w:rsid w:val="00385930"/>
    <w:rsid w:val="003863C2"/>
    <w:rsid w:val="00393B53"/>
    <w:rsid w:val="00396B82"/>
    <w:rsid w:val="003A10EE"/>
    <w:rsid w:val="003A35CD"/>
    <w:rsid w:val="003A37B1"/>
    <w:rsid w:val="003A3FC8"/>
    <w:rsid w:val="003A56A4"/>
    <w:rsid w:val="003A5EE8"/>
    <w:rsid w:val="003A78D7"/>
    <w:rsid w:val="003B4D6F"/>
    <w:rsid w:val="003C0435"/>
    <w:rsid w:val="003C2F32"/>
    <w:rsid w:val="003C526E"/>
    <w:rsid w:val="003D481B"/>
    <w:rsid w:val="003D65B5"/>
    <w:rsid w:val="003E3392"/>
    <w:rsid w:val="003E4832"/>
    <w:rsid w:val="003F2BA6"/>
    <w:rsid w:val="003F2C72"/>
    <w:rsid w:val="003F59FC"/>
    <w:rsid w:val="00400744"/>
    <w:rsid w:val="0040108F"/>
    <w:rsid w:val="0040221A"/>
    <w:rsid w:val="004045D4"/>
    <w:rsid w:val="00405BCC"/>
    <w:rsid w:val="00412BF5"/>
    <w:rsid w:val="00415FBA"/>
    <w:rsid w:val="004174EB"/>
    <w:rsid w:val="00420443"/>
    <w:rsid w:val="004239CD"/>
    <w:rsid w:val="00425CE4"/>
    <w:rsid w:val="004342E7"/>
    <w:rsid w:val="0044145A"/>
    <w:rsid w:val="00441A32"/>
    <w:rsid w:val="004421E7"/>
    <w:rsid w:val="0044366B"/>
    <w:rsid w:val="004446E9"/>
    <w:rsid w:val="00451CE5"/>
    <w:rsid w:val="004524CE"/>
    <w:rsid w:val="00453C6C"/>
    <w:rsid w:val="00453D39"/>
    <w:rsid w:val="00454A8F"/>
    <w:rsid w:val="004605D4"/>
    <w:rsid w:val="00462B7F"/>
    <w:rsid w:val="00466417"/>
    <w:rsid w:val="00466F24"/>
    <w:rsid w:val="0047129F"/>
    <w:rsid w:val="004742B3"/>
    <w:rsid w:val="00477519"/>
    <w:rsid w:val="00481E73"/>
    <w:rsid w:val="00491834"/>
    <w:rsid w:val="004A1868"/>
    <w:rsid w:val="004A5E9C"/>
    <w:rsid w:val="004B6E12"/>
    <w:rsid w:val="004B708F"/>
    <w:rsid w:val="004C0D8E"/>
    <w:rsid w:val="004C335E"/>
    <w:rsid w:val="004D3769"/>
    <w:rsid w:val="004D51D2"/>
    <w:rsid w:val="004D6BFA"/>
    <w:rsid w:val="004D7079"/>
    <w:rsid w:val="004D7C3F"/>
    <w:rsid w:val="004E6867"/>
    <w:rsid w:val="0050080F"/>
    <w:rsid w:val="0050215C"/>
    <w:rsid w:val="005033CB"/>
    <w:rsid w:val="00505B7F"/>
    <w:rsid w:val="00505CB1"/>
    <w:rsid w:val="005102E9"/>
    <w:rsid w:val="00513A57"/>
    <w:rsid w:val="0052296B"/>
    <w:rsid w:val="00524050"/>
    <w:rsid w:val="0052579B"/>
    <w:rsid w:val="00525CB3"/>
    <w:rsid w:val="0054084A"/>
    <w:rsid w:val="0054424C"/>
    <w:rsid w:val="0054720A"/>
    <w:rsid w:val="00547F08"/>
    <w:rsid w:val="00553DE6"/>
    <w:rsid w:val="00554DD6"/>
    <w:rsid w:val="00564FE0"/>
    <w:rsid w:val="005714C3"/>
    <w:rsid w:val="005732CB"/>
    <w:rsid w:val="005775BD"/>
    <w:rsid w:val="0058590A"/>
    <w:rsid w:val="00585B2E"/>
    <w:rsid w:val="005A5BCF"/>
    <w:rsid w:val="005A7458"/>
    <w:rsid w:val="005B6710"/>
    <w:rsid w:val="005C0E21"/>
    <w:rsid w:val="005C24F4"/>
    <w:rsid w:val="005C479D"/>
    <w:rsid w:val="005D04B6"/>
    <w:rsid w:val="005D0800"/>
    <w:rsid w:val="005E065F"/>
    <w:rsid w:val="005E4300"/>
    <w:rsid w:val="005E66D1"/>
    <w:rsid w:val="005E6A4E"/>
    <w:rsid w:val="005E7CD7"/>
    <w:rsid w:val="005F0DD5"/>
    <w:rsid w:val="005F4454"/>
    <w:rsid w:val="005F6FF1"/>
    <w:rsid w:val="006125E5"/>
    <w:rsid w:val="0061635B"/>
    <w:rsid w:val="0061650C"/>
    <w:rsid w:val="0062041F"/>
    <w:rsid w:val="006220E2"/>
    <w:rsid w:val="00626805"/>
    <w:rsid w:val="00631C3B"/>
    <w:rsid w:val="006329BD"/>
    <w:rsid w:val="00636067"/>
    <w:rsid w:val="006430FD"/>
    <w:rsid w:val="00651292"/>
    <w:rsid w:val="00654A3E"/>
    <w:rsid w:val="006550D0"/>
    <w:rsid w:val="00655A77"/>
    <w:rsid w:val="00661F20"/>
    <w:rsid w:val="00662702"/>
    <w:rsid w:val="0066334B"/>
    <w:rsid w:val="006667C2"/>
    <w:rsid w:val="006669F6"/>
    <w:rsid w:val="00670656"/>
    <w:rsid w:val="00670C07"/>
    <w:rsid w:val="00675218"/>
    <w:rsid w:val="00675A10"/>
    <w:rsid w:val="006778A5"/>
    <w:rsid w:val="00681A1B"/>
    <w:rsid w:val="006867B3"/>
    <w:rsid w:val="0068758D"/>
    <w:rsid w:val="00687FF6"/>
    <w:rsid w:val="00691E0E"/>
    <w:rsid w:val="00695D05"/>
    <w:rsid w:val="006A45D8"/>
    <w:rsid w:val="006A6CDC"/>
    <w:rsid w:val="006B1C9A"/>
    <w:rsid w:val="006B207D"/>
    <w:rsid w:val="006C1D90"/>
    <w:rsid w:val="006C2130"/>
    <w:rsid w:val="006C6FB4"/>
    <w:rsid w:val="006C72C7"/>
    <w:rsid w:val="006D1A13"/>
    <w:rsid w:val="006D1E2F"/>
    <w:rsid w:val="006D2FDE"/>
    <w:rsid w:val="006D5282"/>
    <w:rsid w:val="006D6032"/>
    <w:rsid w:val="006E270D"/>
    <w:rsid w:val="006E2F9F"/>
    <w:rsid w:val="006E314A"/>
    <w:rsid w:val="006F189E"/>
    <w:rsid w:val="006F1CC8"/>
    <w:rsid w:val="00701992"/>
    <w:rsid w:val="00701EB8"/>
    <w:rsid w:val="00706CC5"/>
    <w:rsid w:val="00706E5D"/>
    <w:rsid w:val="007164E0"/>
    <w:rsid w:val="00717A09"/>
    <w:rsid w:val="00740BC4"/>
    <w:rsid w:val="007508AF"/>
    <w:rsid w:val="00752167"/>
    <w:rsid w:val="00756AF9"/>
    <w:rsid w:val="00757E4C"/>
    <w:rsid w:val="007630FC"/>
    <w:rsid w:val="0076488C"/>
    <w:rsid w:val="00764FF6"/>
    <w:rsid w:val="00766B2C"/>
    <w:rsid w:val="007677E5"/>
    <w:rsid w:val="00767AA7"/>
    <w:rsid w:val="007750C7"/>
    <w:rsid w:val="00785050"/>
    <w:rsid w:val="007913CD"/>
    <w:rsid w:val="0079191C"/>
    <w:rsid w:val="00791E95"/>
    <w:rsid w:val="00795605"/>
    <w:rsid w:val="007A12B4"/>
    <w:rsid w:val="007A32AA"/>
    <w:rsid w:val="007A3339"/>
    <w:rsid w:val="007A3EF1"/>
    <w:rsid w:val="007A50A6"/>
    <w:rsid w:val="007B4AFE"/>
    <w:rsid w:val="007C5A23"/>
    <w:rsid w:val="007C7751"/>
    <w:rsid w:val="007D1A40"/>
    <w:rsid w:val="007D465B"/>
    <w:rsid w:val="007D4DD5"/>
    <w:rsid w:val="007D77DD"/>
    <w:rsid w:val="007E6578"/>
    <w:rsid w:val="007E7DB4"/>
    <w:rsid w:val="007F0619"/>
    <w:rsid w:val="007F3192"/>
    <w:rsid w:val="007F7364"/>
    <w:rsid w:val="00800159"/>
    <w:rsid w:val="00803BAA"/>
    <w:rsid w:val="0080780C"/>
    <w:rsid w:val="008106BC"/>
    <w:rsid w:val="008211F9"/>
    <w:rsid w:val="00822EDB"/>
    <w:rsid w:val="0084282B"/>
    <w:rsid w:val="00843859"/>
    <w:rsid w:val="008547FA"/>
    <w:rsid w:val="00870957"/>
    <w:rsid w:val="008745AD"/>
    <w:rsid w:val="00876A03"/>
    <w:rsid w:val="00880223"/>
    <w:rsid w:val="0088091B"/>
    <w:rsid w:val="00880B76"/>
    <w:rsid w:val="00882EFF"/>
    <w:rsid w:val="0088439F"/>
    <w:rsid w:val="00885B6C"/>
    <w:rsid w:val="00887792"/>
    <w:rsid w:val="00890223"/>
    <w:rsid w:val="008929A5"/>
    <w:rsid w:val="008A1191"/>
    <w:rsid w:val="008A3F4A"/>
    <w:rsid w:val="008A4C51"/>
    <w:rsid w:val="008A539C"/>
    <w:rsid w:val="008C1917"/>
    <w:rsid w:val="008C302F"/>
    <w:rsid w:val="008C458E"/>
    <w:rsid w:val="008C6C4B"/>
    <w:rsid w:val="008C78D2"/>
    <w:rsid w:val="008E0031"/>
    <w:rsid w:val="008E0217"/>
    <w:rsid w:val="008E0CB0"/>
    <w:rsid w:val="008E1ED3"/>
    <w:rsid w:val="008E4ED9"/>
    <w:rsid w:val="008F08B4"/>
    <w:rsid w:val="008F190C"/>
    <w:rsid w:val="008F5ACF"/>
    <w:rsid w:val="008F5B14"/>
    <w:rsid w:val="008F7779"/>
    <w:rsid w:val="009152CD"/>
    <w:rsid w:val="00921808"/>
    <w:rsid w:val="0092513D"/>
    <w:rsid w:val="0092570E"/>
    <w:rsid w:val="0092700D"/>
    <w:rsid w:val="0093054A"/>
    <w:rsid w:val="00932E67"/>
    <w:rsid w:val="009342CD"/>
    <w:rsid w:val="0093605F"/>
    <w:rsid w:val="009410A9"/>
    <w:rsid w:val="00942DE7"/>
    <w:rsid w:val="009441C2"/>
    <w:rsid w:val="009442A5"/>
    <w:rsid w:val="00950755"/>
    <w:rsid w:val="009531C5"/>
    <w:rsid w:val="00956071"/>
    <w:rsid w:val="00956FB3"/>
    <w:rsid w:val="00957111"/>
    <w:rsid w:val="00961821"/>
    <w:rsid w:val="00962C06"/>
    <w:rsid w:val="009652E0"/>
    <w:rsid w:val="00977465"/>
    <w:rsid w:val="00980AE8"/>
    <w:rsid w:val="00982909"/>
    <w:rsid w:val="00984DC7"/>
    <w:rsid w:val="00990CB6"/>
    <w:rsid w:val="00991E72"/>
    <w:rsid w:val="009950B3"/>
    <w:rsid w:val="009A1296"/>
    <w:rsid w:val="009B31DA"/>
    <w:rsid w:val="009B53DC"/>
    <w:rsid w:val="009C1CA2"/>
    <w:rsid w:val="009C63D9"/>
    <w:rsid w:val="009D74CE"/>
    <w:rsid w:val="009E004D"/>
    <w:rsid w:val="009E264E"/>
    <w:rsid w:val="009E74EF"/>
    <w:rsid w:val="009F26EB"/>
    <w:rsid w:val="009F615A"/>
    <w:rsid w:val="009F736B"/>
    <w:rsid w:val="00A05217"/>
    <w:rsid w:val="00A0560C"/>
    <w:rsid w:val="00A06A37"/>
    <w:rsid w:val="00A0787B"/>
    <w:rsid w:val="00A11357"/>
    <w:rsid w:val="00A136FF"/>
    <w:rsid w:val="00A137E6"/>
    <w:rsid w:val="00A17FE2"/>
    <w:rsid w:val="00A211B7"/>
    <w:rsid w:val="00A2216D"/>
    <w:rsid w:val="00A234D5"/>
    <w:rsid w:val="00A24CA2"/>
    <w:rsid w:val="00A25246"/>
    <w:rsid w:val="00A261D8"/>
    <w:rsid w:val="00A314CE"/>
    <w:rsid w:val="00A31BA5"/>
    <w:rsid w:val="00A31E82"/>
    <w:rsid w:val="00A3223E"/>
    <w:rsid w:val="00A351B1"/>
    <w:rsid w:val="00A35F65"/>
    <w:rsid w:val="00A364B0"/>
    <w:rsid w:val="00A36D9F"/>
    <w:rsid w:val="00A42F51"/>
    <w:rsid w:val="00A474D5"/>
    <w:rsid w:val="00A52B43"/>
    <w:rsid w:val="00A5375A"/>
    <w:rsid w:val="00A54F00"/>
    <w:rsid w:val="00A62B63"/>
    <w:rsid w:val="00A67C64"/>
    <w:rsid w:val="00A80D74"/>
    <w:rsid w:val="00A8550D"/>
    <w:rsid w:val="00A85527"/>
    <w:rsid w:val="00A87E55"/>
    <w:rsid w:val="00A900B6"/>
    <w:rsid w:val="00A9312D"/>
    <w:rsid w:val="00A977A6"/>
    <w:rsid w:val="00AA0A64"/>
    <w:rsid w:val="00AA20C4"/>
    <w:rsid w:val="00AB2BA0"/>
    <w:rsid w:val="00AC4674"/>
    <w:rsid w:val="00AC4A0D"/>
    <w:rsid w:val="00AD0459"/>
    <w:rsid w:val="00AD31C4"/>
    <w:rsid w:val="00AD52FF"/>
    <w:rsid w:val="00AD54B7"/>
    <w:rsid w:val="00AE1048"/>
    <w:rsid w:val="00AE3F51"/>
    <w:rsid w:val="00AE4921"/>
    <w:rsid w:val="00AF4DE4"/>
    <w:rsid w:val="00B03F76"/>
    <w:rsid w:val="00B10942"/>
    <w:rsid w:val="00B15015"/>
    <w:rsid w:val="00B158F2"/>
    <w:rsid w:val="00B15D11"/>
    <w:rsid w:val="00B20115"/>
    <w:rsid w:val="00B328F9"/>
    <w:rsid w:val="00B33BB6"/>
    <w:rsid w:val="00B36BF4"/>
    <w:rsid w:val="00B36F52"/>
    <w:rsid w:val="00B455DD"/>
    <w:rsid w:val="00B61586"/>
    <w:rsid w:val="00B61ED2"/>
    <w:rsid w:val="00B75E3A"/>
    <w:rsid w:val="00B80E42"/>
    <w:rsid w:val="00B82804"/>
    <w:rsid w:val="00B837DB"/>
    <w:rsid w:val="00B90D33"/>
    <w:rsid w:val="00B95AC1"/>
    <w:rsid w:val="00B95EB6"/>
    <w:rsid w:val="00B96619"/>
    <w:rsid w:val="00B9740F"/>
    <w:rsid w:val="00B976A0"/>
    <w:rsid w:val="00BA30C9"/>
    <w:rsid w:val="00BA48EE"/>
    <w:rsid w:val="00BA7965"/>
    <w:rsid w:val="00BB66F4"/>
    <w:rsid w:val="00BB6B7E"/>
    <w:rsid w:val="00BC3681"/>
    <w:rsid w:val="00BC7579"/>
    <w:rsid w:val="00BC783B"/>
    <w:rsid w:val="00BD0E60"/>
    <w:rsid w:val="00BD5C78"/>
    <w:rsid w:val="00BE0B1C"/>
    <w:rsid w:val="00BF20B9"/>
    <w:rsid w:val="00BF2E2B"/>
    <w:rsid w:val="00BF3936"/>
    <w:rsid w:val="00BF4AE2"/>
    <w:rsid w:val="00BF61B5"/>
    <w:rsid w:val="00C0202B"/>
    <w:rsid w:val="00C0498A"/>
    <w:rsid w:val="00C105A7"/>
    <w:rsid w:val="00C10D29"/>
    <w:rsid w:val="00C12D3A"/>
    <w:rsid w:val="00C16743"/>
    <w:rsid w:val="00C17C2C"/>
    <w:rsid w:val="00C17FF6"/>
    <w:rsid w:val="00C20413"/>
    <w:rsid w:val="00C209F6"/>
    <w:rsid w:val="00C22056"/>
    <w:rsid w:val="00C24A27"/>
    <w:rsid w:val="00C266A9"/>
    <w:rsid w:val="00C307B6"/>
    <w:rsid w:val="00C37100"/>
    <w:rsid w:val="00C375B6"/>
    <w:rsid w:val="00C45722"/>
    <w:rsid w:val="00C45EAB"/>
    <w:rsid w:val="00C51537"/>
    <w:rsid w:val="00C5552A"/>
    <w:rsid w:val="00C715A9"/>
    <w:rsid w:val="00C73188"/>
    <w:rsid w:val="00C7368B"/>
    <w:rsid w:val="00C7372D"/>
    <w:rsid w:val="00C737AF"/>
    <w:rsid w:val="00C740D8"/>
    <w:rsid w:val="00C74121"/>
    <w:rsid w:val="00C75FF0"/>
    <w:rsid w:val="00C8006F"/>
    <w:rsid w:val="00C8182A"/>
    <w:rsid w:val="00C82197"/>
    <w:rsid w:val="00C83D06"/>
    <w:rsid w:val="00C84084"/>
    <w:rsid w:val="00C84F1C"/>
    <w:rsid w:val="00C90D90"/>
    <w:rsid w:val="00C922DC"/>
    <w:rsid w:val="00C93194"/>
    <w:rsid w:val="00C971A5"/>
    <w:rsid w:val="00CA6AE8"/>
    <w:rsid w:val="00CA7B73"/>
    <w:rsid w:val="00CB069D"/>
    <w:rsid w:val="00CB4BB5"/>
    <w:rsid w:val="00CC1866"/>
    <w:rsid w:val="00CC4A2F"/>
    <w:rsid w:val="00CC4B42"/>
    <w:rsid w:val="00CC5E19"/>
    <w:rsid w:val="00CC7482"/>
    <w:rsid w:val="00CD1AA7"/>
    <w:rsid w:val="00CD2DAE"/>
    <w:rsid w:val="00CD4315"/>
    <w:rsid w:val="00CD4D77"/>
    <w:rsid w:val="00CD5454"/>
    <w:rsid w:val="00CE2500"/>
    <w:rsid w:val="00CF46D8"/>
    <w:rsid w:val="00CF4AA4"/>
    <w:rsid w:val="00CF78EE"/>
    <w:rsid w:val="00D071EF"/>
    <w:rsid w:val="00D07475"/>
    <w:rsid w:val="00D11F62"/>
    <w:rsid w:val="00D231F8"/>
    <w:rsid w:val="00D23B94"/>
    <w:rsid w:val="00D24283"/>
    <w:rsid w:val="00D277E4"/>
    <w:rsid w:val="00D27873"/>
    <w:rsid w:val="00D36654"/>
    <w:rsid w:val="00D373BD"/>
    <w:rsid w:val="00D42915"/>
    <w:rsid w:val="00D438B0"/>
    <w:rsid w:val="00D44D24"/>
    <w:rsid w:val="00D456CA"/>
    <w:rsid w:val="00D47F18"/>
    <w:rsid w:val="00D506AD"/>
    <w:rsid w:val="00D51C0B"/>
    <w:rsid w:val="00D52037"/>
    <w:rsid w:val="00D52A17"/>
    <w:rsid w:val="00D55C93"/>
    <w:rsid w:val="00D60717"/>
    <w:rsid w:val="00D747ED"/>
    <w:rsid w:val="00D81E5C"/>
    <w:rsid w:val="00D83F97"/>
    <w:rsid w:val="00D86434"/>
    <w:rsid w:val="00D875D9"/>
    <w:rsid w:val="00D94896"/>
    <w:rsid w:val="00D96AB4"/>
    <w:rsid w:val="00DA0354"/>
    <w:rsid w:val="00DA5381"/>
    <w:rsid w:val="00DB0228"/>
    <w:rsid w:val="00DB30BB"/>
    <w:rsid w:val="00DB68EC"/>
    <w:rsid w:val="00DB7728"/>
    <w:rsid w:val="00DC15AF"/>
    <w:rsid w:val="00DC3455"/>
    <w:rsid w:val="00DD042E"/>
    <w:rsid w:val="00DD066F"/>
    <w:rsid w:val="00DD353B"/>
    <w:rsid w:val="00DD4BA0"/>
    <w:rsid w:val="00DE0409"/>
    <w:rsid w:val="00DE39D5"/>
    <w:rsid w:val="00DF3D3D"/>
    <w:rsid w:val="00DF544C"/>
    <w:rsid w:val="00DF61D9"/>
    <w:rsid w:val="00E03509"/>
    <w:rsid w:val="00E04C31"/>
    <w:rsid w:val="00E21513"/>
    <w:rsid w:val="00E25E73"/>
    <w:rsid w:val="00E2735D"/>
    <w:rsid w:val="00E35C21"/>
    <w:rsid w:val="00E434A5"/>
    <w:rsid w:val="00E650CB"/>
    <w:rsid w:val="00E65B54"/>
    <w:rsid w:val="00E717FB"/>
    <w:rsid w:val="00E83004"/>
    <w:rsid w:val="00E8692B"/>
    <w:rsid w:val="00E874E5"/>
    <w:rsid w:val="00E90685"/>
    <w:rsid w:val="00E90932"/>
    <w:rsid w:val="00E91018"/>
    <w:rsid w:val="00E93559"/>
    <w:rsid w:val="00E95AEC"/>
    <w:rsid w:val="00EA1656"/>
    <w:rsid w:val="00EA6CCA"/>
    <w:rsid w:val="00EB028D"/>
    <w:rsid w:val="00EB1B7A"/>
    <w:rsid w:val="00EB7D7A"/>
    <w:rsid w:val="00EC0215"/>
    <w:rsid w:val="00ED1747"/>
    <w:rsid w:val="00ED3D2C"/>
    <w:rsid w:val="00ED77AF"/>
    <w:rsid w:val="00EE0513"/>
    <w:rsid w:val="00EE47D1"/>
    <w:rsid w:val="00EE6C76"/>
    <w:rsid w:val="00EF043D"/>
    <w:rsid w:val="00EF1538"/>
    <w:rsid w:val="00EF4D82"/>
    <w:rsid w:val="00F01A73"/>
    <w:rsid w:val="00F0437D"/>
    <w:rsid w:val="00F10E86"/>
    <w:rsid w:val="00F145E4"/>
    <w:rsid w:val="00F17867"/>
    <w:rsid w:val="00F17DD2"/>
    <w:rsid w:val="00F20263"/>
    <w:rsid w:val="00F22C31"/>
    <w:rsid w:val="00F24279"/>
    <w:rsid w:val="00F27326"/>
    <w:rsid w:val="00F4221D"/>
    <w:rsid w:val="00F461AB"/>
    <w:rsid w:val="00F57DC7"/>
    <w:rsid w:val="00F6518E"/>
    <w:rsid w:val="00F71513"/>
    <w:rsid w:val="00F74E3A"/>
    <w:rsid w:val="00F767F4"/>
    <w:rsid w:val="00F93F5B"/>
    <w:rsid w:val="00F945DB"/>
    <w:rsid w:val="00FA3211"/>
    <w:rsid w:val="00FA7259"/>
    <w:rsid w:val="00FB4E31"/>
    <w:rsid w:val="00FB59EA"/>
    <w:rsid w:val="00FC103A"/>
    <w:rsid w:val="00FC3237"/>
    <w:rsid w:val="00FC78E8"/>
    <w:rsid w:val="00FD25CE"/>
    <w:rsid w:val="00FD2B03"/>
    <w:rsid w:val="00FE10C4"/>
    <w:rsid w:val="00FE1B66"/>
    <w:rsid w:val="00FE71F6"/>
    <w:rsid w:val="00FF076D"/>
    <w:rsid w:val="00FF0990"/>
    <w:rsid w:val="00FF1BC3"/>
    <w:rsid w:val="00FF2854"/>
    <w:rsid w:val="00FF2BB1"/>
    <w:rsid w:val="00FF49C0"/>
    <w:rsid w:val="00FF4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AF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pPr>
      <w:numPr>
        <w:ilvl w:val="1"/>
        <w:numId w:val="2"/>
      </w:numPr>
    </w:pPr>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aliases w:val="fn,footnote text,Footnotes,Footnote ak,ft,fn cafc,fn Char Char,footnote text Char Char,Footnotes Char Char,Footnote ak Char Char,Footnote Text 2,footnote citation,Footnote Text Char Char,footnote text Char Char Char Ch,Ca,C,f,Car"/>
    <w:basedOn w:val="Normal"/>
    <w:link w:val="FootnoteTextChar"/>
    <w:uiPriority w:val="99"/>
    <w:qFormat/>
    <w:rsid w:val="00EE47D1"/>
    <w:pPr>
      <w:spacing w:after="0" w:line="240" w:lineRule="auto"/>
    </w:pPr>
    <w:rPr>
      <w:sz w:val="18"/>
      <w:szCs w:val="20"/>
    </w:rPr>
  </w:style>
  <w:style w:type="character" w:customStyle="1" w:styleId="FootnoteTextChar">
    <w:name w:val="Footnote Text Char"/>
    <w:aliases w:val="fn Char,footnote text Char,Footnotes Char,Footnote ak Char,ft Char,fn cafc Char,fn Char Char Char,footnote text Char Char Char,Footnotes Char Char Char,Footnote ak Char Char Char,Footnote Text 2 Char,footnote citation Char,Ca Char"/>
    <w:basedOn w:val="DefaultParagraphFont"/>
    <w:link w:val="FootnoteText"/>
    <w:uiPriority w:val="99"/>
    <w:rsid w:val="00EE47D1"/>
    <w:rPr>
      <w:sz w:val="18"/>
      <w:szCs w:val="20"/>
    </w:rPr>
  </w:style>
  <w:style w:type="character" w:styleId="FootnoteReference">
    <w:name w:val="footnote reference"/>
    <w:basedOn w:val="DefaultParagraphFont"/>
    <w:uiPriority w:val="99"/>
    <w:qFormat/>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character" w:styleId="CommentReference">
    <w:name w:val="annotation reference"/>
    <w:basedOn w:val="DefaultParagraphFont"/>
    <w:uiPriority w:val="99"/>
    <w:semiHidden/>
    <w:unhideWhenUsed/>
    <w:rsid w:val="00F6518E"/>
    <w:rPr>
      <w:sz w:val="16"/>
      <w:szCs w:val="16"/>
    </w:rPr>
  </w:style>
  <w:style w:type="paragraph" w:styleId="CommentText">
    <w:name w:val="annotation text"/>
    <w:basedOn w:val="Normal"/>
    <w:link w:val="CommentTextChar"/>
    <w:uiPriority w:val="99"/>
    <w:unhideWhenUsed/>
    <w:rsid w:val="00F6518E"/>
    <w:pPr>
      <w:spacing w:line="240" w:lineRule="auto"/>
    </w:pPr>
    <w:rPr>
      <w:sz w:val="20"/>
      <w:szCs w:val="20"/>
    </w:rPr>
  </w:style>
  <w:style w:type="character" w:customStyle="1" w:styleId="CommentTextChar">
    <w:name w:val="Comment Text Char"/>
    <w:basedOn w:val="DefaultParagraphFont"/>
    <w:link w:val="CommentText"/>
    <w:uiPriority w:val="99"/>
    <w:rsid w:val="00F6518E"/>
    <w:rPr>
      <w:sz w:val="20"/>
      <w:szCs w:val="20"/>
    </w:rPr>
  </w:style>
  <w:style w:type="paragraph" w:styleId="CommentSubject">
    <w:name w:val="annotation subject"/>
    <w:basedOn w:val="CommentText"/>
    <w:next w:val="CommentText"/>
    <w:link w:val="CommentSubjectChar"/>
    <w:uiPriority w:val="99"/>
    <w:semiHidden/>
    <w:unhideWhenUsed/>
    <w:rsid w:val="00F6518E"/>
    <w:rPr>
      <w:b/>
      <w:bCs/>
    </w:rPr>
  </w:style>
  <w:style w:type="character" w:customStyle="1" w:styleId="CommentSubjectChar">
    <w:name w:val="Comment Subject Char"/>
    <w:basedOn w:val="CommentTextChar"/>
    <w:link w:val="CommentSubject"/>
    <w:uiPriority w:val="99"/>
    <w:semiHidden/>
    <w:rsid w:val="00F6518E"/>
    <w:rPr>
      <w:b/>
      <w:bCs/>
      <w:sz w:val="20"/>
      <w:szCs w:val="20"/>
    </w:rPr>
  </w:style>
  <w:style w:type="paragraph" w:customStyle="1" w:styleId="Default">
    <w:name w:val="Default"/>
    <w:rsid w:val="009C63D9"/>
    <w:pPr>
      <w:autoSpaceDE w:val="0"/>
      <w:autoSpaceDN w:val="0"/>
      <w:adjustRightInd w:val="0"/>
      <w:spacing w:after="0" w:line="240" w:lineRule="auto"/>
      <w:jc w:val="left"/>
    </w:pPr>
    <w:rPr>
      <w:rFonts w:cs="Calibri"/>
      <w:color w:val="000000"/>
    </w:rPr>
  </w:style>
  <w:style w:type="paragraph" w:styleId="Revision">
    <w:name w:val="Revision"/>
    <w:hidden/>
    <w:uiPriority w:val="99"/>
    <w:semiHidden/>
    <w:rsid w:val="00CC4B4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1807">
      <w:bodyDiv w:val="1"/>
      <w:marLeft w:val="0"/>
      <w:marRight w:val="0"/>
      <w:marTop w:val="0"/>
      <w:marBottom w:val="0"/>
      <w:divBdr>
        <w:top w:val="none" w:sz="0" w:space="0" w:color="auto"/>
        <w:left w:val="none" w:sz="0" w:space="0" w:color="auto"/>
        <w:bottom w:val="none" w:sz="0" w:space="0" w:color="auto"/>
        <w:right w:val="none" w:sz="0" w:space="0" w:color="auto"/>
      </w:divBdr>
    </w:div>
    <w:div w:id="107700893">
      <w:bodyDiv w:val="1"/>
      <w:marLeft w:val="0"/>
      <w:marRight w:val="0"/>
      <w:marTop w:val="0"/>
      <w:marBottom w:val="0"/>
      <w:divBdr>
        <w:top w:val="none" w:sz="0" w:space="0" w:color="auto"/>
        <w:left w:val="none" w:sz="0" w:space="0" w:color="auto"/>
        <w:bottom w:val="none" w:sz="0" w:space="0" w:color="auto"/>
        <w:right w:val="none" w:sz="0" w:space="0" w:color="auto"/>
      </w:divBdr>
    </w:div>
    <w:div w:id="124936112">
      <w:bodyDiv w:val="1"/>
      <w:marLeft w:val="0"/>
      <w:marRight w:val="0"/>
      <w:marTop w:val="0"/>
      <w:marBottom w:val="0"/>
      <w:divBdr>
        <w:top w:val="none" w:sz="0" w:space="0" w:color="auto"/>
        <w:left w:val="none" w:sz="0" w:space="0" w:color="auto"/>
        <w:bottom w:val="none" w:sz="0" w:space="0" w:color="auto"/>
        <w:right w:val="none" w:sz="0" w:space="0" w:color="auto"/>
      </w:divBdr>
    </w:div>
    <w:div w:id="136532034">
      <w:bodyDiv w:val="1"/>
      <w:marLeft w:val="0"/>
      <w:marRight w:val="0"/>
      <w:marTop w:val="0"/>
      <w:marBottom w:val="0"/>
      <w:divBdr>
        <w:top w:val="none" w:sz="0" w:space="0" w:color="auto"/>
        <w:left w:val="none" w:sz="0" w:space="0" w:color="auto"/>
        <w:bottom w:val="none" w:sz="0" w:space="0" w:color="auto"/>
        <w:right w:val="none" w:sz="0" w:space="0" w:color="auto"/>
      </w:divBdr>
    </w:div>
    <w:div w:id="252669553">
      <w:bodyDiv w:val="1"/>
      <w:marLeft w:val="0"/>
      <w:marRight w:val="0"/>
      <w:marTop w:val="0"/>
      <w:marBottom w:val="0"/>
      <w:divBdr>
        <w:top w:val="none" w:sz="0" w:space="0" w:color="auto"/>
        <w:left w:val="none" w:sz="0" w:space="0" w:color="auto"/>
        <w:bottom w:val="none" w:sz="0" w:space="0" w:color="auto"/>
        <w:right w:val="none" w:sz="0" w:space="0" w:color="auto"/>
      </w:divBdr>
    </w:div>
    <w:div w:id="306856878">
      <w:bodyDiv w:val="1"/>
      <w:marLeft w:val="0"/>
      <w:marRight w:val="0"/>
      <w:marTop w:val="0"/>
      <w:marBottom w:val="0"/>
      <w:divBdr>
        <w:top w:val="none" w:sz="0" w:space="0" w:color="auto"/>
        <w:left w:val="none" w:sz="0" w:space="0" w:color="auto"/>
        <w:bottom w:val="none" w:sz="0" w:space="0" w:color="auto"/>
        <w:right w:val="none" w:sz="0" w:space="0" w:color="auto"/>
      </w:divBdr>
    </w:div>
    <w:div w:id="475487208">
      <w:bodyDiv w:val="1"/>
      <w:marLeft w:val="0"/>
      <w:marRight w:val="0"/>
      <w:marTop w:val="0"/>
      <w:marBottom w:val="0"/>
      <w:divBdr>
        <w:top w:val="none" w:sz="0" w:space="0" w:color="auto"/>
        <w:left w:val="none" w:sz="0" w:space="0" w:color="auto"/>
        <w:bottom w:val="none" w:sz="0" w:space="0" w:color="auto"/>
        <w:right w:val="none" w:sz="0" w:space="0" w:color="auto"/>
      </w:divBdr>
    </w:div>
    <w:div w:id="478349008">
      <w:bodyDiv w:val="1"/>
      <w:marLeft w:val="0"/>
      <w:marRight w:val="0"/>
      <w:marTop w:val="0"/>
      <w:marBottom w:val="0"/>
      <w:divBdr>
        <w:top w:val="none" w:sz="0" w:space="0" w:color="auto"/>
        <w:left w:val="none" w:sz="0" w:space="0" w:color="auto"/>
        <w:bottom w:val="none" w:sz="0" w:space="0" w:color="auto"/>
        <w:right w:val="none" w:sz="0" w:space="0" w:color="auto"/>
      </w:divBdr>
    </w:div>
    <w:div w:id="508494263">
      <w:bodyDiv w:val="1"/>
      <w:marLeft w:val="0"/>
      <w:marRight w:val="0"/>
      <w:marTop w:val="0"/>
      <w:marBottom w:val="0"/>
      <w:divBdr>
        <w:top w:val="none" w:sz="0" w:space="0" w:color="auto"/>
        <w:left w:val="none" w:sz="0" w:space="0" w:color="auto"/>
        <w:bottom w:val="none" w:sz="0" w:space="0" w:color="auto"/>
        <w:right w:val="none" w:sz="0" w:space="0" w:color="auto"/>
      </w:divBdr>
    </w:div>
    <w:div w:id="635337275">
      <w:bodyDiv w:val="1"/>
      <w:marLeft w:val="0"/>
      <w:marRight w:val="0"/>
      <w:marTop w:val="0"/>
      <w:marBottom w:val="0"/>
      <w:divBdr>
        <w:top w:val="none" w:sz="0" w:space="0" w:color="auto"/>
        <w:left w:val="none" w:sz="0" w:space="0" w:color="auto"/>
        <w:bottom w:val="none" w:sz="0" w:space="0" w:color="auto"/>
        <w:right w:val="none" w:sz="0" w:space="0" w:color="auto"/>
      </w:divBdr>
    </w:div>
    <w:div w:id="743533692">
      <w:bodyDiv w:val="1"/>
      <w:marLeft w:val="0"/>
      <w:marRight w:val="0"/>
      <w:marTop w:val="0"/>
      <w:marBottom w:val="0"/>
      <w:divBdr>
        <w:top w:val="none" w:sz="0" w:space="0" w:color="auto"/>
        <w:left w:val="none" w:sz="0" w:space="0" w:color="auto"/>
        <w:bottom w:val="none" w:sz="0" w:space="0" w:color="auto"/>
        <w:right w:val="none" w:sz="0" w:space="0" w:color="auto"/>
      </w:divBdr>
    </w:div>
    <w:div w:id="904754712">
      <w:bodyDiv w:val="1"/>
      <w:marLeft w:val="0"/>
      <w:marRight w:val="0"/>
      <w:marTop w:val="0"/>
      <w:marBottom w:val="0"/>
      <w:divBdr>
        <w:top w:val="none" w:sz="0" w:space="0" w:color="auto"/>
        <w:left w:val="none" w:sz="0" w:space="0" w:color="auto"/>
        <w:bottom w:val="none" w:sz="0" w:space="0" w:color="auto"/>
        <w:right w:val="none" w:sz="0" w:space="0" w:color="auto"/>
      </w:divBdr>
    </w:div>
    <w:div w:id="988553067">
      <w:bodyDiv w:val="1"/>
      <w:marLeft w:val="0"/>
      <w:marRight w:val="0"/>
      <w:marTop w:val="0"/>
      <w:marBottom w:val="0"/>
      <w:divBdr>
        <w:top w:val="none" w:sz="0" w:space="0" w:color="auto"/>
        <w:left w:val="none" w:sz="0" w:space="0" w:color="auto"/>
        <w:bottom w:val="none" w:sz="0" w:space="0" w:color="auto"/>
        <w:right w:val="none" w:sz="0" w:space="0" w:color="auto"/>
      </w:divBdr>
    </w:div>
    <w:div w:id="1028607902">
      <w:bodyDiv w:val="1"/>
      <w:marLeft w:val="0"/>
      <w:marRight w:val="0"/>
      <w:marTop w:val="0"/>
      <w:marBottom w:val="0"/>
      <w:divBdr>
        <w:top w:val="none" w:sz="0" w:space="0" w:color="auto"/>
        <w:left w:val="none" w:sz="0" w:space="0" w:color="auto"/>
        <w:bottom w:val="none" w:sz="0" w:space="0" w:color="auto"/>
        <w:right w:val="none" w:sz="0" w:space="0" w:color="auto"/>
      </w:divBdr>
    </w:div>
    <w:div w:id="1060596027">
      <w:bodyDiv w:val="1"/>
      <w:marLeft w:val="0"/>
      <w:marRight w:val="0"/>
      <w:marTop w:val="0"/>
      <w:marBottom w:val="0"/>
      <w:divBdr>
        <w:top w:val="none" w:sz="0" w:space="0" w:color="auto"/>
        <w:left w:val="none" w:sz="0" w:space="0" w:color="auto"/>
        <w:bottom w:val="none" w:sz="0" w:space="0" w:color="auto"/>
        <w:right w:val="none" w:sz="0" w:space="0" w:color="auto"/>
      </w:divBdr>
    </w:div>
    <w:div w:id="1158620033">
      <w:bodyDiv w:val="1"/>
      <w:marLeft w:val="0"/>
      <w:marRight w:val="0"/>
      <w:marTop w:val="0"/>
      <w:marBottom w:val="0"/>
      <w:divBdr>
        <w:top w:val="none" w:sz="0" w:space="0" w:color="auto"/>
        <w:left w:val="none" w:sz="0" w:space="0" w:color="auto"/>
        <w:bottom w:val="none" w:sz="0" w:space="0" w:color="auto"/>
        <w:right w:val="none" w:sz="0" w:space="0" w:color="auto"/>
      </w:divBdr>
    </w:div>
    <w:div w:id="1164080804">
      <w:bodyDiv w:val="1"/>
      <w:marLeft w:val="0"/>
      <w:marRight w:val="0"/>
      <w:marTop w:val="0"/>
      <w:marBottom w:val="0"/>
      <w:divBdr>
        <w:top w:val="none" w:sz="0" w:space="0" w:color="auto"/>
        <w:left w:val="none" w:sz="0" w:space="0" w:color="auto"/>
        <w:bottom w:val="none" w:sz="0" w:space="0" w:color="auto"/>
        <w:right w:val="none" w:sz="0" w:space="0" w:color="auto"/>
      </w:divBdr>
    </w:div>
    <w:div w:id="1164974501">
      <w:bodyDiv w:val="1"/>
      <w:marLeft w:val="0"/>
      <w:marRight w:val="0"/>
      <w:marTop w:val="0"/>
      <w:marBottom w:val="0"/>
      <w:divBdr>
        <w:top w:val="none" w:sz="0" w:space="0" w:color="auto"/>
        <w:left w:val="none" w:sz="0" w:space="0" w:color="auto"/>
        <w:bottom w:val="none" w:sz="0" w:space="0" w:color="auto"/>
        <w:right w:val="none" w:sz="0" w:space="0" w:color="auto"/>
      </w:divBdr>
    </w:div>
    <w:div w:id="1283852338">
      <w:bodyDiv w:val="1"/>
      <w:marLeft w:val="0"/>
      <w:marRight w:val="0"/>
      <w:marTop w:val="0"/>
      <w:marBottom w:val="0"/>
      <w:divBdr>
        <w:top w:val="none" w:sz="0" w:space="0" w:color="auto"/>
        <w:left w:val="none" w:sz="0" w:space="0" w:color="auto"/>
        <w:bottom w:val="none" w:sz="0" w:space="0" w:color="auto"/>
        <w:right w:val="none" w:sz="0" w:space="0" w:color="auto"/>
      </w:divBdr>
    </w:div>
    <w:div w:id="1303580206">
      <w:bodyDiv w:val="1"/>
      <w:marLeft w:val="0"/>
      <w:marRight w:val="0"/>
      <w:marTop w:val="0"/>
      <w:marBottom w:val="0"/>
      <w:divBdr>
        <w:top w:val="none" w:sz="0" w:space="0" w:color="auto"/>
        <w:left w:val="none" w:sz="0" w:space="0" w:color="auto"/>
        <w:bottom w:val="none" w:sz="0" w:space="0" w:color="auto"/>
        <w:right w:val="none" w:sz="0" w:space="0" w:color="auto"/>
      </w:divBdr>
    </w:div>
    <w:div w:id="1391146486">
      <w:bodyDiv w:val="1"/>
      <w:marLeft w:val="0"/>
      <w:marRight w:val="0"/>
      <w:marTop w:val="0"/>
      <w:marBottom w:val="0"/>
      <w:divBdr>
        <w:top w:val="none" w:sz="0" w:space="0" w:color="auto"/>
        <w:left w:val="none" w:sz="0" w:space="0" w:color="auto"/>
        <w:bottom w:val="none" w:sz="0" w:space="0" w:color="auto"/>
        <w:right w:val="none" w:sz="0" w:space="0" w:color="auto"/>
      </w:divBdr>
    </w:div>
    <w:div w:id="1456799815">
      <w:bodyDiv w:val="1"/>
      <w:marLeft w:val="0"/>
      <w:marRight w:val="0"/>
      <w:marTop w:val="0"/>
      <w:marBottom w:val="0"/>
      <w:divBdr>
        <w:top w:val="none" w:sz="0" w:space="0" w:color="auto"/>
        <w:left w:val="none" w:sz="0" w:space="0" w:color="auto"/>
        <w:bottom w:val="none" w:sz="0" w:space="0" w:color="auto"/>
        <w:right w:val="none" w:sz="0" w:space="0" w:color="auto"/>
      </w:divBdr>
    </w:div>
    <w:div w:id="1483544662">
      <w:bodyDiv w:val="1"/>
      <w:marLeft w:val="0"/>
      <w:marRight w:val="0"/>
      <w:marTop w:val="0"/>
      <w:marBottom w:val="0"/>
      <w:divBdr>
        <w:top w:val="none" w:sz="0" w:space="0" w:color="auto"/>
        <w:left w:val="none" w:sz="0" w:space="0" w:color="auto"/>
        <w:bottom w:val="none" w:sz="0" w:space="0" w:color="auto"/>
        <w:right w:val="none" w:sz="0" w:space="0" w:color="auto"/>
      </w:divBdr>
    </w:div>
    <w:div w:id="1542477953">
      <w:bodyDiv w:val="1"/>
      <w:marLeft w:val="0"/>
      <w:marRight w:val="0"/>
      <w:marTop w:val="0"/>
      <w:marBottom w:val="0"/>
      <w:divBdr>
        <w:top w:val="none" w:sz="0" w:space="0" w:color="auto"/>
        <w:left w:val="none" w:sz="0" w:space="0" w:color="auto"/>
        <w:bottom w:val="none" w:sz="0" w:space="0" w:color="auto"/>
        <w:right w:val="none" w:sz="0" w:space="0" w:color="auto"/>
      </w:divBdr>
    </w:div>
    <w:div w:id="1575436984">
      <w:bodyDiv w:val="1"/>
      <w:marLeft w:val="0"/>
      <w:marRight w:val="0"/>
      <w:marTop w:val="0"/>
      <w:marBottom w:val="0"/>
      <w:divBdr>
        <w:top w:val="none" w:sz="0" w:space="0" w:color="auto"/>
        <w:left w:val="none" w:sz="0" w:space="0" w:color="auto"/>
        <w:bottom w:val="none" w:sz="0" w:space="0" w:color="auto"/>
        <w:right w:val="none" w:sz="0" w:space="0" w:color="auto"/>
      </w:divBdr>
    </w:div>
    <w:div w:id="1630166612">
      <w:bodyDiv w:val="1"/>
      <w:marLeft w:val="0"/>
      <w:marRight w:val="0"/>
      <w:marTop w:val="0"/>
      <w:marBottom w:val="0"/>
      <w:divBdr>
        <w:top w:val="none" w:sz="0" w:space="0" w:color="auto"/>
        <w:left w:val="none" w:sz="0" w:space="0" w:color="auto"/>
        <w:bottom w:val="none" w:sz="0" w:space="0" w:color="auto"/>
        <w:right w:val="none" w:sz="0" w:space="0" w:color="auto"/>
      </w:divBdr>
    </w:div>
    <w:div w:id="1660382636">
      <w:bodyDiv w:val="1"/>
      <w:marLeft w:val="0"/>
      <w:marRight w:val="0"/>
      <w:marTop w:val="0"/>
      <w:marBottom w:val="0"/>
      <w:divBdr>
        <w:top w:val="none" w:sz="0" w:space="0" w:color="auto"/>
        <w:left w:val="none" w:sz="0" w:space="0" w:color="auto"/>
        <w:bottom w:val="none" w:sz="0" w:space="0" w:color="auto"/>
        <w:right w:val="none" w:sz="0" w:space="0" w:color="auto"/>
      </w:divBdr>
    </w:div>
    <w:div w:id="1864901540">
      <w:bodyDiv w:val="1"/>
      <w:marLeft w:val="0"/>
      <w:marRight w:val="0"/>
      <w:marTop w:val="0"/>
      <w:marBottom w:val="0"/>
      <w:divBdr>
        <w:top w:val="none" w:sz="0" w:space="0" w:color="auto"/>
        <w:left w:val="none" w:sz="0" w:space="0" w:color="auto"/>
        <w:bottom w:val="none" w:sz="0" w:space="0" w:color="auto"/>
        <w:right w:val="none" w:sz="0" w:space="0" w:color="auto"/>
      </w:divBdr>
    </w:div>
    <w:div w:id="20738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wto.org/dol2fe/Pages/FE_Search/FE_S_S006.aspx?DataSource=Cat&amp;query=@Symbol=WT/DS394/AB/R%20&amp;Language=English&amp;Context=ScriptedSearches&amp;languageUIChanged=true" TargetMode="External"/><Relationship Id="rId18" Type="http://schemas.openxmlformats.org/officeDocument/2006/relationships/hyperlink" Target="https://docs.wto.org/dol2fe/Pages/FE_Search/FE_S_S006.aspx?DataSource=Cat&amp;query=@Symbol=WT/DS246/AB/R&amp;Language=English&amp;Context=ScriptedSearches&amp;languageUIChanged=true" TargetMode="External"/><Relationship Id="rId26" Type="http://schemas.openxmlformats.org/officeDocument/2006/relationships/hyperlink" Target="https://docs.wto.org/dol2fe/Pages/FE_Search/FE_S_S006.aspx?DataSource=Cat&amp;query=@Symbol=WT/DS478/AB/R*&amp;Language=English&amp;Context=ScriptedSearches&amp;languageUIChanged=true" TargetMode="External"/><Relationship Id="rId3" Type="http://schemas.openxmlformats.org/officeDocument/2006/relationships/customXml" Target="../customXml/item3.xml"/><Relationship Id="rId21" Type="http://schemas.openxmlformats.org/officeDocument/2006/relationships/hyperlink" Target="https://docs.wto.org/dol2fe/Pages/FE_Search/FE_S_S006.aspx?DataSource=Cat&amp;query=@Symbol=WT/DS600/R*&amp;Language=English&amp;Context=ScriptedSearches&amp;languageUIChanged=true" TargetMode="External"/><Relationship Id="rId7" Type="http://schemas.openxmlformats.org/officeDocument/2006/relationships/settings" Target="settings.xml"/><Relationship Id="rId12" Type="http://schemas.openxmlformats.org/officeDocument/2006/relationships/hyperlink" Target="https://docs.wto.org/dol2fe/Pages/FE_Search/FE_S_S006.aspx?DataSource=Cat&amp;query=@Symbol=WT/DS363/AB/R&amp;Language=English&amp;Context=ScriptedSearches&amp;languageUIChanged=true" TargetMode="External"/><Relationship Id="rId17" Type="http://schemas.openxmlformats.org/officeDocument/2006/relationships/hyperlink" Target="https://docs.wto.org/dol2fe/Pages/FE_Search/FE_S_S006.aspx?DataSource=Cat&amp;query=@Symbol=WT/DS401/AB/R&amp;Language=English&amp;Context=ScriptedSearches&amp;languageUIChanged=true" TargetMode="External"/><Relationship Id="rId25" Type="http://schemas.openxmlformats.org/officeDocument/2006/relationships/hyperlink" Target="https://docs.wto.org/dol2fe/Pages/FE_Search/FE_S_S006.aspx?DataSource=Cat&amp;query=@Symbol=WT/DS477/AB/R*&amp;Language=English&amp;Context=ScriptedSearches&amp;languageUIChanged=tru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wto.org/dol2fe/Pages/FE_Search/FE_S_S006.aspx?DataSource=Cat&amp;query=@Symbol=WT/DS400/AB/R%20&amp;Language=English&amp;Context=ScriptedSearches&amp;languageUIChanged=true" TargetMode="External"/><Relationship Id="rId20" Type="http://schemas.openxmlformats.org/officeDocument/2006/relationships/hyperlink" Target="https://docs.wto.org/dol2fe/Pages/FE_Search/FE_S_S006.aspx?DataSource=Cat&amp;query=@Symbol=WT/DS600/R*&amp;Language=English&amp;Context=ScriptedSearches&amp;languageUIChanged=true" TargetMode="External"/><Relationship Id="rId29" Type="http://schemas.openxmlformats.org/officeDocument/2006/relationships/hyperlink" Target="https://docs.wto.org/dol2fe/Pages/FE_Search/FE_S_S006.aspx?DataSource=Cat&amp;query=@Symbol=WT/DS58/AB/R&amp;Language=English&amp;Context=ScriptedSearches&amp;languageUIChanged=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wto.org/dol2fe/Pages/FE_Search/FE_S_S006.aspx?DataSource=Cat&amp;query=@Symbol=WT/DS332/AB/R&amp;Language=English&amp;Context=ScriptedSearches&amp;languageUIChanged=true" TargetMode="External"/><Relationship Id="rId24" Type="http://schemas.openxmlformats.org/officeDocument/2006/relationships/hyperlink" Target="https://docs.wto.org/dol2fe/Pages/FE_Search/FE_S_S006.aspx?DataSource=Cat&amp;query=@Symbol=WT/DS588/R*&amp;Language=English&amp;Context=ScriptedSearches&amp;languageUIChanged=tru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wto.org/dol2fe/Pages/FE_Search/FE_S_S006.aspx?DataSource=Cat&amp;query=@Symbol=WT/DS398/AB/R&amp;Language=English&amp;Context=ScriptedSearches&amp;languageUIChanged=true" TargetMode="External"/><Relationship Id="rId23" Type="http://schemas.openxmlformats.org/officeDocument/2006/relationships/hyperlink" Target="https://docs.wto.org/dol2fe/Pages/FE_Search/FE_S_S006.aspx?DataSource=Cat&amp;query=@Symbol=WT/DS584/R*&amp;Language=English&amp;Context=ScriptedSearches&amp;languageUIChanged=true" TargetMode="External"/><Relationship Id="rId28" Type="http://schemas.openxmlformats.org/officeDocument/2006/relationships/hyperlink" Target="https://docs.wto.org/dol2fe/Pages/FE_Search/FE_S_S006.aspx?DataSource=Cat&amp;query=@Symbol=WT/DS169/AB/R&amp;Language=English&amp;Context=ScriptedSearches&amp;languageUIChanged=true" TargetMode="External"/><Relationship Id="rId10" Type="http://schemas.openxmlformats.org/officeDocument/2006/relationships/endnotes" Target="endnotes.xml"/><Relationship Id="rId19" Type="http://schemas.openxmlformats.org/officeDocument/2006/relationships/hyperlink" Target="https://docs.wto.org/dol2fe/Pages/FE_Search/FE_S_S006.aspx?DataSource=Cat&amp;query=@Symbol=WT/DS593/R*&amp;Language=English&amp;Context=ScriptedSearches&amp;languageUIChanged=tru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to.org/dol2fe/Pages/FE_Search/FE_S_S006.aspx?DataSource=Cat&amp;query=@Symbol=WT/DS395/AB/R%20&amp;Language=English&amp;Context=ScriptedSearches&amp;languageUIChanged=true" TargetMode="External"/><Relationship Id="rId22" Type="http://schemas.openxmlformats.org/officeDocument/2006/relationships/hyperlink" Target="https://docs.wto.org/dol2fe/Pages/FE_Search/FE_S_S006.aspx?DataSource=Cat&amp;query=@Symbol=WT/DS582/R*&amp;Language=English&amp;Context=ScriptedSearches&amp;languageUIChanged=true" TargetMode="External"/><Relationship Id="rId27" Type="http://schemas.openxmlformats.org/officeDocument/2006/relationships/hyperlink" Target="https://docs.wto.org/dol2fe/Pages/FE_Search/FE_S_S006.aspx?DataSource=Cat&amp;query=@Symbol=WT/DS161/AB/R&amp;Language=English&amp;Context=ScriptedSearches&amp;languageUIChanged=true"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DDC69-B1A1-4B2E-8905-F32660E647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F69CD-395A-4F8D-809E-294B81ECB76C}">
  <ds:schemaRefs>
    <ds:schemaRef ds:uri="http://schemas.openxmlformats.org/officeDocument/2006/bibliography"/>
  </ds:schemaRefs>
</ds:datastoreItem>
</file>

<file path=customXml/itemProps3.xml><?xml version="1.0" encoding="utf-8"?>
<ds:datastoreItem xmlns:ds="http://schemas.openxmlformats.org/officeDocument/2006/customXml" ds:itemID="{5A99A359-A0D6-403D-8F5B-BEBC5A5939DA}">
  <ds:schemaRefs>
    <ds:schemaRef ds:uri="http://schemas.microsoft.com/sharepoint/v3/contenttype/forms"/>
  </ds:schemaRefs>
</ds:datastoreItem>
</file>

<file path=customXml/itemProps4.xml><?xml version="1.0" encoding="utf-8"?>
<ds:datastoreItem xmlns:ds="http://schemas.openxmlformats.org/officeDocument/2006/customXml" ds:itemID="{7DAFBCFD-95D3-4A6E-B0D8-091853AD3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7798</Characters>
  <Application>Microsoft Office Word</Application>
  <DocSecurity>0</DocSecurity>
  <Lines>189</Lines>
  <Paragraphs>71</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2025-10-23T15:18:00Z</dcterms:created>
  <dcterms:modified xsi:type="dcterms:W3CDTF">2025-12-15T20:13:00Z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2025-10-13T02:51:58Z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31FD3EAE4A251ABCF009A8ACCBAC4038715E6F10</vt:lpwstr>
  </property>
  <property fmtid="{D5CDD505-2E9C-101B-9397-08002B2CF9AE}" pid="8" name="PM_ProtectiveMarkingValue_Footer">
    <vt:lpwstr>OFFICIAL</vt:lpwstr>
  </property>
  <property fmtid="{D5CDD505-2E9C-101B-9397-08002B2CF9AE}" pid="9" name="PM_Originating_FileId">
    <vt:lpwstr>12614F042E894F09807B0723EF3D9315</vt:lpwstr>
  </property>
  <property fmtid="{D5CDD505-2E9C-101B-9397-08002B2CF9AE}" pid="10" name="PM_Display">
    <vt:lpwstr>OFFICIAL</vt:lpwstr>
  </property>
  <property fmtid="{D5CDD505-2E9C-101B-9397-08002B2CF9AE}" pid="11" name="PM_OriginatorUserAccountName_SHA256">
    <vt:lpwstr>91EA69836A306F65000D7711B40DDACB57150DAE7AC7FEFA95158BE89FCA2A6B</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A960CE9E9C655EB5A199A0906F408433</vt:lpwstr>
  </property>
  <property fmtid="{D5CDD505-2E9C-101B-9397-08002B2CF9AE}" pid="16" name="PM_Hash_Salt">
    <vt:lpwstr>1FD95DC8D233EE2EFEF9B342D52B7C94</vt:lpwstr>
  </property>
  <property fmtid="{D5CDD505-2E9C-101B-9397-08002B2CF9AE}" pid="17" name="PM_Hash_SHA1">
    <vt:lpwstr>B7A46DB4745770F1765731B46F49159F150BE039</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Qualifier">
    <vt:lpwstr/>
  </property>
  <property fmtid="{D5CDD505-2E9C-101B-9397-08002B2CF9AE}" pid="21" name="PMHMAC">
    <vt:lpwstr>v=2022.1;a=SHA256;h=596470B6621C4A6DD80BF8C49D5A79095F8CBE8E8677A82AD0224BEC0794BA7E</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ContentTypeId">
    <vt:lpwstr>0x010100CF00AC2E10A2B34A86A613A4498C609D</vt:lpwstr>
  </property>
</Properties>
</file>