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5D519" w14:textId="77777777" w:rsidR="00354A06" w:rsidRPr="0007327B" w:rsidRDefault="00354A06" w:rsidP="005714C3">
      <w:pPr>
        <w:pStyle w:val="BTNSSBodyTextNoSpacingSmall"/>
        <w:rPr>
          <w:sz w:val="2"/>
          <w:szCs w:val="2"/>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0"/>
      </w:tblGrid>
      <w:tr w:rsidR="005714C3" w:rsidRPr="0007327B" w14:paraId="760A23D7" w14:textId="77777777" w:rsidTr="008A4C51">
        <w:trPr>
          <w:trHeight w:val="4365"/>
        </w:trPr>
        <w:tc>
          <w:tcPr>
            <w:tcW w:w="9060" w:type="dxa"/>
          </w:tcPr>
          <w:p w14:paraId="26CCDE0D" w14:textId="77777777" w:rsidR="005714C3" w:rsidRPr="0007327B" w:rsidRDefault="005714C3" w:rsidP="005714C3">
            <w:pPr>
              <w:pStyle w:val="BTBodyText"/>
              <w:spacing w:after="240"/>
              <w:jc w:val="center"/>
              <w:rPr>
                <w:b/>
                <w:bCs/>
                <w:sz w:val="32"/>
                <w:szCs w:val="32"/>
              </w:rPr>
            </w:pPr>
            <w:r w:rsidRPr="0007327B">
              <w:rPr>
                <w:b/>
                <w:bCs/>
                <w:sz w:val="32"/>
                <w:szCs w:val="32"/>
              </w:rPr>
              <w:t>Before the World Trade Organization</w:t>
            </w:r>
          </w:p>
          <w:p w14:paraId="1C6F5485" w14:textId="77777777" w:rsidR="005714C3" w:rsidRPr="0007327B" w:rsidRDefault="005714C3" w:rsidP="005714C3">
            <w:pPr>
              <w:pStyle w:val="BTBodyText"/>
              <w:spacing w:after="240"/>
              <w:jc w:val="center"/>
              <w:rPr>
                <w:b/>
                <w:bCs/>
                <w:sz w:val="32"/>
                <w:szCs w:val="32"/>
              </w:rPr>
            </w:pPr>
            <w:r w:rsidRPr="0007327B">
              <w:rPr>
                <w:b/>
                <w:bCs/>
                <w:sz w:val="32"/>
                <w:szCs w:val="32"/>
              </w:rPr>
              <w:t>Panel Proceedings</w:t>
            </w:r>
          </w:p>
        </w:tc>
      </w:tr>
      <w:tr w:rsidR="005714C3" w:rsidRPr="0007327B" w14:paraId="7801571A" w14:textId="77777777" w:rsidTr="00BE0B1C">
        <w:trPr>
          <w:trHeight w:val="737"/>
        </w:trPr>
        <w:tc>
          <w:tcPr>
            <w:tcW w:w="9060" w:type="dxa"/>
          </w:tcPr>
          <w:p w14:paraId="7E0DF1C7" w14:textId="706D8BD6" w:rsidR="005714C3" w:rsidRPr="0007327B" w:rsidRDefault="004A1215" w:rsidP="00DA5381">
            <w:pPr>
              <w:pStyle w:val="WTODTWTODisputeTitle"/>
            </w:pPr>
            <w:r>
              <w:t>European Union – Anti-Dumping Duties on Fatty Acid from Indonesia</w:t>
            </w:r>
          </w:p>
        </w:tc>
      </w:tr>
      <w:tr w:rsidR="005714C3" w:rsidRPr="0007327B" w14:paraId="0E5ED6C9" w14:textId="77777777" w:rsidTr="008A4C51">
        <w:trPr>
          <w:trHeight w:val="3175"/>
        </w:trPr>
        <w:tc>
          <w:tcPr>
            <w:tcW w:w="9060" w:type="dxa"/>
          </w:tcPr>
          <w:p w14:paraId="66776B5E" w14:textId="2B0AE705" w:rsidR="005714C3" w:rsidRPr="0007327B" w:rsidRDefault="005714C3" w:rsidP="00DA5381">
            <w:pPr>
              <w:pStyle w:val="DSNDSNumber"/>
            </w:pPr>
            <w:r w:rsidRPr="0007327B">
              <w:t>(DS</w:t>
            </w:r>
            <w:r w:rsidR="004A1215">
              <w:t>622</w:t>
            </w:r>
            <w:r w:rsidRPr="0007327B">
              <w:t>)</w:t>
            </w:r>
          </w:p>
        </w:tc>
      </w:tr>
      <w:tr w:rsidR="005714C3" w:rsidRPr="0007327B" w14:paraId="4973DF26" w14:textId="77777777" w:rsidTr="00DD4BA0">
        <w:trPr>
          <w:trHeight w:val="3798"/>
        </w:trPr>
        <w:tc>
          <w:tcPr>
            <w:tcW w:w="9060" w:type="dxa"/>
          </w:tcPr>
          <w:p w14:paraId="67628421" w14:textId="7BA4FCA7" w:rsidR="005714C3" w:rsidRPr="0007327B" w:rsidRDefault="004A1215" w:rsidP="00DA5381">
            <w:pPr>
              <w:pStyle w:val="DTDocumentTitle"/>
            </w:pPr>
            <w:r>
              <w:t>Third party written submission of Australia</w:t>
            </w:r>
          </w:p>
        </w:tc>
      </w:tr>
      <w:tr w:rsidR="005714C3" w:rsidRPr="0007327B" w14:paraId="487A94A0" w14:textId="77777777" w:rsidTr="00BE0B1C">
        <w:trPr>
          <w:trHeight w:val="624"/>
        </w:trPr>
        <w:tc>
          <w:tcPr>
            <w:tcW w:w="9060" w:type="dxa"/>
          </w:tcPr>
          <w:p w14:paraId="7D4483A0" w14:textId="4B22C0AC" w:rsidR="005714C3" w:rsidRPr="0007327B" w:rsidRDefault="004A1215" w:rsidP="00DA5381">
            <w:pPr>
              <w:pStyle w:val="DDDocumentDate"/>
            </w:pPr>
            <w:r>
              <w:t>12 August 2025</w:t>
            </w:r>
          </w:p>
        </w:tc>
      </w:tr>
    </w:tbl>
    <w:p w14:paraId="21A48F93" w14:textId="77777777" w:rsidR="005714C3" w:rsidRPr="0007327B" w:rsidRDefault="005714C3" w:rsidP="00BE0B1C">
      <w:pPr>
        <w:pStyle w:val="BTNSSBodyTextNoSpacingSmall"/>
      </w:pPr>
    </w:p>
    <w:p w14:paraId="4124BEE3" w14:textId="77777777" w:rsidR="00006269" w:rsidRPr="0007327B" w:rsidRDefault="00006269" w:rsidP="00BE0B1C">
      <w:pPr>
        <w:pStyle w:val="BTNSSBodyTextNoSpacingSmall"/>
      </w:pPr>
      <w:r w:rsidRPr="0007327B">
        <w:br w:type="page"/>
      </w:r>
    </w:p>
    <w:p w14:paraId="39BBE50E" w14:textId="77777777" w:rsidR="00F01A73" w:rsidRPr="0007327B" w:rsidRDefault="00F01A73" w:rsidP="00F01A73">
      <w:pPr>
        <w:pStyle w:val="BTNSSBodyTextNoSpacingSmall"/>
        <w:rPr>
          <w:sz w:val="2"/>
          <w:szCs w:val="2"/>
        </w:rPr>
      </w:pPr>
    </w:p>
    <w:sdt>
      <w:sdtPr>
        <w:rPr>
          <w:b w:val="0"/>
          <w:caps w:val="0"/>
          <w:sz w:val="8"/>
          <w:szCs w:val="8"/>
          <w:lang w:val="en-AU"/>
        </w:rPr>
        <w:id w:val="-1730524273"/>
        <w:docPartObj>
          <w:docPartGallery w:val="Table of Contents"/>
          <w:docPartUnique/>
        </w:docPartObj>
      </w:sdtPr>
      <w:sdtEndPr>
        <w:rPr>
          <w:bCs/>
        </w:rPr>
      </w:sdtEndPr>
      <w:sdtContent>
        <w:p w14:paraId="784F14B6" w14:textId="77777777" w:rsidR="00D47F18" w:rsidRPr="0007327B" w:rsidRDefault="00D47F18">
          <w:pPr>
            <w:pStyle w:val="TOCHeading"/>
            <w:rPr>
              <w:lang w:val="en-AU"/>
            </w:rPr>
          </w:pPr>
          <w:r w:rsidRPr="0007327B">
            <w:rPr>
              <w:lang w:val="en-AU"/>
            </w:rPr>
            <w:t>Table of Contents</w:t>
          </w:r>
        </w:p>
        <w:p w14:paraId="3A4032EE" w14:textId="07708991" w:rsidR="00F03947" w:rsidRDefault="00F945DB">
          <w:pPr>
            <w:pStyle w:val="TOC1"/>
            <w:rPr>
              <w:rFonts w:asciiTheme="minorHAnsi" w:eastAsiaTheme="minorEastAsia" w:hAnsiTheme="minorHAnsi"/>
              <w:b w:val="0"/>
              <w:caps w:val="0"/>
              <w:noProof/>
              <w:kern w:val="2"/>
              <w:lang w:val="en-US"/>
              <w14:ligatures w14:val="standardContextual"/>
            </w:rPr>
          </w:pPr>
          <w:r w:rsidRPr="0007327B">
            <w:fldChar w:fldCharType="begin"/>
          </w:r>
          <w:r w:rsidRPr="0007327B">
            <w:instrText xml:space="preserve"> TOC \o "1-5" \h \z \u </w:instrText>
          </w:r>
          <w:r w:rsidRPr="0007327B">
            <w:fldChar w:fldCharType="separate"/>
          </w:r>
          <w:hyperlink w:anchor="_Toc205466145" w:history="1">
            <w:r w:rsidR="00F03947" w:rsidRPr="0004233F">
              <w:rPr>
                <w:rStyle w:val="Hyperlink"/>
                <w:noProof/>
              </w:rPr>
              <w:t>Table of Cases</w:t>
            </w:r>
            <w:r w:rsidR="00F03947">
              <w:rPr>
                <w:noProof/>
                <w:webHidden/>
              </w:rPr>
              <w:tab/>
            </w:r>
            <w:r w:rsidR="00F03947">
              <w:rPr>
                <w:noProof/>
                <w:webHidden/>
              </w:rPr>
              <w:fldChar w:fldCharType="begin"/>
            </w:r>
            <w:r w:rsidR="00F03947">
              <w:rPr>
                <w:noProof/>
                <w:webHidden/>
              </w:rPr>
              <w:instrText xml:space="preserve"> PAGEREF _Toc205466145 \h </w:instrText>
            </w:r>
            <w:r w:rsidR="00F03947">
              <w:rPr>
                <w:noProof/>
                <w:webHidden/>
              </w:rPr>
            </w:r>
            <w:r w:rsidR="00F03947">
              <w:rPr>
                <w:noProof/>
                <w:webHidden/>
              </w:rPr>
              <w:fldChar w:fldCharType="separate"/>
            </w:r>
            <w:r w:rsidR="00F03947">
              <w:rPr>
                <w:noProof/>
                <w:webHidden/>
              </w:rPr>
              <w:t>2</w:t>
            </w:r>
            <w:r w:rsidR="00F03947">
              <w:rPr>
                <w:noProof/>
                <w:webHidden/>
              </w:rPr>
              <w:fldChar w:fldCharType="end"/>
            </w:r>
          </w:hyperlink>
        </w:p>
        <w:p w14:paraId="4BEEB545" w14:textId="3877392D" w:rsidR="00F03947" w:rsidRDefault="00F03947">
          <w:pPr>
            <w:pStyle w:val="TOC1"/>
            <w:rPr>
              <w:rFonts w:asciiTheme="minorHAnsi" w:eastAsiaTheme="minorEastAsia" w:hAnsiTheme="minorHAnsi"/>
              <w:b w:val="0"/>
              <w:caps w:val="0"/>
              <w:noProof/>
              <w:kern w:val="2"/>
              <w:lang w:val="en-US"/>
              <w14:ligatures w14:val="standardContextual"/>
            </w:rPr>
          </w:pPr>
          <w:hyperlink w:anchor="_Toc205466146" w:history="1">
            <w:r w:rsidRPr="0004233F">
              <w:rPr>
                <w:rStyle w:val="Hyperlink"/>
                <w:noProof/>
              </w:rPr>
              <w:t>List of Acronyms, Abbreviations and Short Forms</w:t>
            </w:r>
            <w:r>
              <w:rPr>
                <w:noProof/>
                <w:webHidden/>
              </w:rPr>
              <w:tab/>
            </w:r>
            <w:r>
              <w:rPr>
                <w:noProof/>
                <w:webHidden/>
              </w:rPr>
              <w:fldChar w:fldCharType="begin"/>
            </w:r>
            <w:r>
              <w:rPr>
                <w:noProof/>
                <w:webHidden/>
              </w:rPr>
              <w:instrText xml:space="preserve"> PAGEREF _Toc205466146 \h </w:instrText>
            </w:r>
            <w:r>
              <w:rPr>
                <w:noProof/>
                <w:webHidden/>
              </w:rPr>
            </w:r>
            <w:r>
              <w:rPr>
                <w:noProof/>
                <w:webHidden/>
              </w:rPr>
              <w:fldChar w:fldCharType="separate"/>
            </w:r>
            <w:r>
              <w:rPr>
                <w:noProof/>
                <w:webHidden/>
              </w:rPr>
              <w:t>3</w:t>
            </w:r>
            <w:r>
              <w:rPr>
                <w:noProof/>
                <w:webHidden/>
              </w:rPr>
              <w:fldChar w:fldCharType="end"/>
            </w:r>
          </w:hyperlink>
        </w:p>
        <w:p w14:paraId="1FACE59F" w14:textId="37990878" w:rsidR="00F03947" w:rsidRDefault="00F03947">
          <w:pPr>
            <w:pStyle w:val="TOC1"/>
            <w:rPr>
              <w:rFonts w:asciiTheme="minorHAnsi" w:eastAsiaTheme="minorEastAsia" w:hAnsiTheme="minorHAnsi"/>
              <w:b w:val="0"/>
              <w:caps w:val="0"/>
              <w:noProof/>
              <w:kern w:val="2"/>
              <w:lang w:val="en-US"/>
              <w14:ligatures w14:val="standardContextual"/>
            </w:rPr>
          </w:pPr>
          <w:hyperlink w:anchor="_Toc205466147" w:history="1">
            <w:r w:rsidRPr="0004233F">
              <w:rPr>
                <w:rStyle w:val="Hyperlink"/>
                <w:noProof/>
              </w:rPr>
              <w:t>I.</w:t>
            </w:r>
            <w:r>
              <w:rPr>
                <w:rFonts w:asciiTheme="minorHAnsi" w:eastAsiaTheme="minorEastAsia" w:hAnsiTheme="minorHAnsi"/>
                <w:b w:val="0"/>
                <w:caps w:val="0"/>
                <w:noProof/>
                <w:kern w:val="2"/>
                <w:lang w:val="en-US"/>
                <w14:ligatures w14:val="standardContextual"/>
              </w:rPr>
              <w:tab/>
            </w:r>
            <w:r w:rsidRPr="0004233F">
              <w:rPr>
                <w:rStyle w:val="Hyperlink"/>
                <w:noProof/>
              </w:rPr>
              <w:t>Introduction</w:t>
            </w:r>
            <w:r>
              <w:rPr>
                <w:noProof/>
                <w:webHidden/>
              </w:rPr>
              <w:tab/>
            </w:r>
            <w:r>
              <w:rPr>
                <w:noProof/>
                <w:webHidden/>
              </w:rPr>
              <w:fldChar w:fldCharType="begin"/>
            </w:r>
            <w:r>
              <w:rPr>
                <w:noProof/>
                <w:webHidden/>
              </w:rPr>
              <w:instrText xml:space="preserve"> PAGEREF _Toc205466147 \h </w:instrText>
            </w:r>
            <w:r>
              <w:rPr>
                <w:noProof/>
                <w:webHidden/>
              </w:rPr>
            </w:r>
            <w:r>
              <w:rPr>
                <w:noProof/>
                <w:webHidden/>
              </w:rPr>
              <w:fldChar w:fldCharType="separate"/>
            </w:r>
            <w:r>
              <w:rPr>
                <w:noProof/>
                <w:webHidden/>
              </w:rPr>
              <w:t>4</w:t>
            </w:r>
            <w:r>
              <w:rPr>
                <w:noProof/>
                <w:webHidden/>
              </w:rPr>
              <w:fldChar w:fldCharType="end"/>
            </w:r>
          </w:hyperlink>
        </w:p>
        <w:p w14:paraId="46F1B82A" w14:textId="2209C7FE" w:rsidR="00F03947" w:rsidRDefault="00F03947">
          <w:pPr>
            <w:pStyle w:val="TOC1"/>
            <w:rPr>
              <w:rFonts w:asciiTheme="minorHAnsi" w:eastAsiaTheme="minorEastAsia" w:hAnsiTheme="minorHAnsi"/>
              <w:b w:val="0"/>
              <w:caps w:val="0"/>
              <w:noProof/>
              <w:kern w:val="2"/>
              <w:lang w:val="en-US"/>
              <w14:ligatures w14:val="standardContextual"/>
            </w:rPr>
          </w:pPr>
          <w:hyperlink w:anchor="_Toc205466148" w:history="1">
            <w:r w:rsidRPr="0004233F">
              <w:rPr>
                <w:rStyle w:val="Hyperlink"/>
                <w:noProof/>
              </w:rPr>
              <w:t>II.</w:t>
            </w:r>
            <w:r>
              <w:rPr>
                <w:rFonts w:asciiTheme="minorHAnsi" w:eastAsiaTheme="minorEastAsia" w:hAnsiTheme="minorHAnsi"/>
                <w:b w:val="0"/>
                <w:caps w:val="0"/>
                <w:noProof/>
                <w:kern w:val="2"/>
                <w:lang w:val="en-US"/>
                <w14:ligatures w14:val="standardContextual"/>
              </w:rPr>
              <w:tab/>
            </w:r>
            <w:r w:rsidRPr="0004233F">
              <w:rPr>
                <w:rStyle w:val="Hyperlink"/>
                <w:noProof/>
              </w:rPr>
              <w:t>"AS SUCH" CHALLENGES OF UNWRITTEN MEASURES</w:t>
            </w:r>
            <w:r>
              <w:rPr>
                <w:noProof/>
                <w:webHidden/>
              </w:rPr>
              <w:tab/>
            </w:r>
            <w:r>
              <w:rPr>
                <w:noProof/>
                <w:webHidden/>
              </w:rPr>
              <w:fldChar w:fldCharType="begin"/>
            </w:r>
            <w:r>
              <w:rPr>
                <w:noProof/>
                <w:webHidden/>
              </w:rPr>
              <w:instrText xml:space="preserve"> PAGEREF _Toc205466148 \h </w:instrText>
            </w:r>
            <w:r>
              <w:rPr>
                <w:noProof/>
                <w:webHidden/>
              </w:rPr>
            </w:r>
            <w:r>
              <w:rPr>
                <w:noProof/>
                <w:webHidden/>
              </w:rPr>
              <w:fldChar w:fldCharType="separate"/>
            </w:r>
            <w:r>
              <w:rPr>
                <w:noProof/>
                <w:webHidden/>
              </w:rPr>
              <w:t>4</w:t>
            </w:r>
            <w:r>
              <w:rPr>
                <w:noProof/>
                <w:webHidden/>
              </w:rPr>
              <w:fldChar w:fldCharType="end"/>
            </w:r>
          </w:hyperlink>
        </w:p>
        <w:p w14:paraId="4232EDF6" w14:textId="70D40588" w:rsidR="00F03947" w:rsidRDefault="00F03947">
          <w:pPr>
            <w:pStyle w:val="TOC1"/>
            <w:rPr>
              <w:rFonts w:asciiTheme="minorHAnsi" w:eastAsiaTheme="minorEastAsia" w:hAnsiTheme="minorHAnsi"/>
              <w:b w:val="0"/>
              <w:caps w:val="0"/>
              <w:noProof/>
              <w:kern w:val="2"/>
              <w:lang w:val="en-US"/>
              <w14:ligatures w14:val="standardContextual"/>
            </w:rPr>
          </w:pPr>
          <w:hyperlink w:anchor="_Toc205466149" w:history="1">
            <w:r w:rsidRPr="0004233F">
              <w:rPr>
                <w:rStyle w:val="Hyperlink"/>
                <w:noProof/>
              </w:rPr>
              <w:t>III.</w:t>
            </w:r>
            <w:r>
              <w:rPr>
                <w:rFonts w:asciiTheme="minorHAnsi" w:eastAsiaTheme="minorEastAsia" w:hAnsiTheme="minorHAnsi"/>
                <w:b w:val="0"/>
                <w:caps w:val="0"/>
                <w:noProof/>
                <w:kern w:val="2"/>
                <w:lang w:val="en-US"/>
                <w14:ligatures w14:val="standardContextual"/>
              </w:rPr>
              <w:tab/>
            </w:r>
            <w:r w:rsidRPr="0004233F">
              <w:rPr>
                <w:rStyle w:val="Hyperlink"/>
                <w:noProof/>
              </w:rPr>
              <w:t>STANDING</w:t>
            </w:r>
            <w:r>
              <w:rPr>
                <w:noProof/>
                <w:webHidden/>
              </w:rPr>
              <w:tab/>
            </w:r>
            <w:r>
              <w:rPr>
                <w:noProof/>
                <w:webHidden/>
              </w:rPr>
              <w:fldChar w:fldCharType="begin"/>
            </w:r>
            <w:r>
              <w:rPr>
                <w:noProof/>
                <w:webHidden/>
              </w:rPr>
              <w:instrText xml:space="preserve"> PAGEREF _Toc205466149 \h </w:instrText>
            </w:r>
            <w:r>
              <w:rPr>
                <w:noProof/>
                <w:webHidden/>
              </w:rPr>
            </w:r>
            <w:r>
              <w:rPr>
                <w:noProof/>
                <w:webHidden/>
              </w:rPr>
              <w:fldChar w:fldCharType="separate"/>
            </w:r>
            <w:r>
              <w:rPr>
                <w:noProof/>
                <w:webHidden/>
              </w:rPr>
              <w:t>6</w:t>
            </w:r>
            <w:r>
              <w:rPr>
                <w:noProof/>
                <w:webHidden/>
              </w:rPr>
              <w:fldChar w:fldCharType="end"/>
            </w:r>
          </w:hyperlink>
        </w:p>
        <w:p w14:paraId="36DFD3E1" w14:textId="409781AA" w:rsidR="00F03947" w:rsidRDefault="00F03947">
          <w:pPr>
            <w:pStyle w:val="TOC1"/>
            <w:rPr>
              <w:rFonts w:asciiTheme="minorHAnsi" w:eastAsiaTheme="minorEastAsia" w:hAnsiTheme="minorHAnsi"/>
              <w:b w:val="0"/>
              <w:caps w:val="0"/>
              <w:noProof/>
              <w:kern w:val="2"/>
              <w:lang w:val="en-US"/>
              <w14:ligatures w14:val="standardContextual"/>
            </w:rPr>
          </w:pPr>
          <w:hyperlink w:anchor="_Toc205466150" w:history="1">
            <w:r w:rsidRPr="0004233F">
              <w:rPr>
                <w:rStyle w:val="Hyperlink"/>
                <w:noProof/>
              </w:rPr>
              <w:t>IV.</w:t>
            </w:r>
            <w:r>
              <w:rPr>
                <w:rFonts w:asciiTheme="minorHAnsi" w:eastAsiaTheme="minorEastAsia" w:hAnsiTheme="minorHAnsi"/>
                <w:b w:val="0"/>
                <w:caps w:val="0"/>
                <w:noProof/>
                <w:kern w:val="2"/>
                <w:lang w:val="en-US"/>
                <w14:ligatures w14:val="standardContextual"/>
              </w:rPr>
              <w:tab/>
            </w:r>
            <w:r w:rsidRPr="0004233F">
              <w:rPr>
                <w:rStyle w:val="Hyperlink"/>
                <w:noProof/>
              </w:rPr>
              <w:t>conclusion</w:t>
            </w:r>
            <w:r>
              <w:rPr>
                <w:noProof/>
                <w:webHidden/>
              </w:rPr>
              <w:tab/>
            </w:r>
            <w:r>
              <w:rPr>
                <w:noProof/>
                <w:webHidden/>
              </w:rPr>
              <w:fldChar w:fldCharType="begin"/>
            </w:r>
            <w:r>
              <w:rPr>
                <w:noProof/>
                <w:webHidden/>
              </w:rPr>
              <w:instrText xml:space="preserve"> PAGEREF _Toc205466150 \h </w:instrText>
            </w:r>
            <w:r>
              <w:rPr>
                <w:noProof/>
                <w:webHidden/>
              </w:rPr>
            </w:r>
            <w:r>
              <w:rPr>
                <w:noProof/>
                <w:webHidden/>
              </w:rPr>
              <w:fldChar w:fldCharType="separate"/>
            </w:r>
            <w:r>
              <w:rPr>
                <w:noProof/>
                <w:webHidden/>
              </w:rPr>
              <w:t>7</w:t>
            </w:r>
            <w:r>
              <w:rPr>
                <w:noProof/>
                <w:webHidden/>
              </w:rPr>
              <w:fldChar w:fldCharType="end"/>
            </w:r>
          </w:hyperlink>
        </w:p>
        <w:p w14:paraId="37EFDBAC" w14:textId="43D02C97" w:rsidR="00D47F18" w:rsidRPr="0007327B" w:rsidRDefault="00F945DB" w:rsidP="00F01A73">
          <w:pPr>
            <w:pStyle w:val="BTNSSBodyTextNoSpacingSmall"/>
          </w:pPr>
          <w:r w:rsidRPr="0007327B">
            <w:rPr>
              <w:rFonts w:eastAsiaTheme="majorEastAsia" w:cstheme="majorBidi"/>
              <w:sz w:val="24"/>
              <w:szCs w:val="32"/>
            </w:rPr>
            <w:fldChar w:fldCharType="end"/>
          </w:r>
        </w:p>
      </w:sdtContent>
    </w:sdt>
    <w:p w14:paraId="07CB1FD1" w14:textId="77777777" w:rsidR="004D7079" w:rsidRPr="0007327B" w:rsidRDefault="004D7079" w:rsidP="004D7079">
      <w:pPr>
        <w:pStyle w:val="BTNSSBodyTextNoSpacingSmall"/>
      </w:pPr>
    </w:p>
    <w:p w14:paraId="7DF19F35" w14:textId="77777777" w:rsidR="00F945DB" w:rsidRPr="0007327B" w:rsidRDefault="00F945DB" w:rsidP="00C73188">
      <w:pPr>
        <w:pStyle w:val="SHSectionHeading"/>
      </w:pPr>
      <w:bookmarkStart w:id="0" w:name="_Toc205466145"/>
      <w:r w:rsidRPr="0007327B">
        <w:t>Table of Cases</w:t>
      </w:r>
      <w:bookmarkEnd w:id="0"/>
    </w:p>
    <w:tbl>
      <w:tblPr>
        <w:tblStyle w:val="TableGrid"/>
        <w:tblW w:w="5000" w:type="pct"/>
        <w:tblLook w:val="04A0" w:firstRow="1" w:lastRow="0" w:firstColumn="1" w:lastColumn="0" w:noHBand="0" w:noVBand="1"/>
      </w:tblPr>
      <w:tblGrid>
        <w:gridCol w:w="2265"/>
        <w:gridCol w:w="6795"/>
      </w:tblGrid>
      <w:tr w:rsidR="008A1191" w:rsidRPr="0007327B" w14:paraId="12847F38" w14:textId="77777777" w:rsidTr="008A4C51">
        <w:trPr>
          <w:cantSplit/>
          <w:trHeight w:val="397"/>
          <w:tblHeader/>
        </w:trPr>
        <w:tc>
          <w:tcPr>
            <w:tcW w:w="2265" w:type="dxa"/>
            <w:shd w:val="clear" w:color="auto" w:fill="D9D9D9" w:themeFill="background1" w:themeFillShade="D9"/>
          </w:tcPr>
          <w:p w14:paraId="3975B761" w14:textId="77777777" w:rsidR="008A1191" w:rsidRPr="0007327B" w:rsidRDefault="008A1191" w:rsidP="008A4C51">
            <w:pPr>
              <w:pStyle w:val="THTableHeading"/>
              <w:jc w:val="center"/>
            </w:pPr>
            <w:r w:rsidRPr="0007327B">
              <w:t>Short Title</w:t>
            </w:r>
          </w:p>
        </w:tc>
        <w:tc>
          <w:tcPr>
            <w:tcW w:w="6795" w:type="dxa"/>
            <w:shd w:val="clear" w:color="auto" w:fill="D9D9D9" w:themeFill="background1" w:themeFillShade="D9"/>
          </w:tcPr>
          <w:p w14:paraId="7408D947" w14:textId="77777777" w:rsidR="008A1191" w:rsidRPr="0007327B" w:rsidRDefault="008A1191" w:rsidP="008A4C51">
            <w:pPr>
              <w:pStyle w:val="THTableHeading"/>
              <w:jc w:val="center"/>
            </w:pPr>
            <w:r w:rsidRPr="0007327B">
              <w:t>Full Case Title and Citation</w:t>
            </w:r>
          </w:p>
        </w:tc>
      </w:tr>
      <w:tr w:rsidR="00B070F1" w:rsidRPr="0007327B" w14:paraId="4C1E0DC6" w14:textId="77777777" w:rsidTr="008A4C51">
        <w:trPr>
          <w:cantSplit/>
          <w:trHeight w:val="397"/>
        </w:trPr>
        <w:tc>
          <w:tcPr>
            <w:tcW w:w="2265" w:type="dxa"/>
          </w:tcPr>
          <w:p w14:paraId="2197BB45" w14:textId="77777777" w:rsidR="00B070F1" w:rsidRDefault="00B070F1" w:rsidP="00A8222F">
            <w:pPr>
              <w:pStyle w:val="TTTableText"/>
              <w:rPr>
                <w:i/>
                <w:iCs/>
              </w:rPr>
            </w:pPr>
            <w:r w:rsidRPr="00A8222F">
              <w:rPr>
                <w:i/>
                <w:iCs/>
              </w:rPr>
              <w:t xml:space="preserve">Argentina – Import Measures </w:t>
            </w:r>
          </w:p>
        </w:tc>
        <w:tc>
          <w:tcPr>
            <w:tcW w:w="6795" w:type="dxa"/>
          </w:tcPr>
          <w:p w14:paraId="54F813D7" w14:textId="77777777" w:rsidR="00B070F1" w:rsidRPr="00DD2CBE" w:rsidRDefault="00B070F1" w:rsidP="00A8222F">
            <w:pPr>
              <w:pStyle w:val="TTTableText"/>
              <w:rPr>
                <w:i/>
                <w:iCs/>
                <w:color w:val="000000"/>
              </w:rPr>
            </w:pPr>
            <w:r w:rsidRPr="00A8222F">
              <w:rPr>
                <w:i/>
                <w:iCs/>
                <w:color w:val="000000"/>
              </w:rPr>
              <w:t>Appellate Body Reports, Argentina – Measures Affecting the Importation of Goods, WT/DS438/AB/R / WT/DS444/AB/R / WT/DS445/AB/R, adopted 26 January 2015, DSR 2015:II, p. 579</w:t>
            </w:r>
          </w:p>
        </w:tc>
      </w:tr>
      <w:tr w:rsidR="00B070F1" w:rsidRPr="0007327B" w14:paraId="599540B2" w14:textId="77777777" w:rsidTr="008A4C51">
        <w:trPr>
          <w:cantSplit/>
          <w:trHeight w:val="397"/>
        </w:trPr>
        <w:tc>
          <w:tcPr>
            <w:tcW w:w="2265" w:type="dxa"/>
          </w:tcPr>
          <w:p w14:paraId="380349A2" w14:textId="77777777" w:rsidR="00B070F1" w:rsidRDefault="00B070F1" w:rsidP="00A8222F">
            <w:pPr>
              <w:pStyle w:val="TTTableText"/>
              <w:rPr>
                <w:i/>
                <w:iCs/>
              </w:rPr>
            </w:pPr>
            <w:r>
              <w:rPr>
                <w:i/>
                <w:iCs/>
              </w:rPr>
              <w:t>Argentina – Import Measures</w:t>
            </w:r>
          </w:p>
        </w:tc>
        <w:tc>
          <w:tcPr>
            <w:tcW w:w="6795" w:type="dxa"/>
          </w:tcPr>
          <w:p w14:paraId="712CAA7C" w14:textId="77777777" w:rsidR="00B070F1" w:rsidRPr="00DD2CBE" w:rsidRDefault="00B070F1" w:rsidP="00A8222F">
            <w:pPr>
              <w:pStyle w:val="TTTableText"/>
              <w:rPr>
                <w:i/>
                <w:iCs/>
                <w:color w:val="000000"/>
              </w:rPr>
            </w:pPr>
            <w:r w:rsidRPr="00A8222F">
              <w:rPr>
                <w:i/>
                <w:iCs/>
                <w:color w:val="000000"/>
              </w:rPr>
              <w:t>Panel Reports, Argentina – Measures Affecting the Importation of Goods, WT/DS438/R and Add.1 / WT/DS444/R and Add.1 / WT/DS445/R and Add.1, adopted 26 January 2015, as modified (WT/DS438/R) and upheld (WT/DS444/R / WT/DS445/R) by Appellate Body Reports WT/DS438/AB/R / WT/DS444/AB/R / WT/DS445/AB/R, DSR 2015:II, p. 783</w:t>
            </w:r>
          </w:p>
        </w:tc>
      </w:tr>
      <w:tr w:rsidR="00B070F1" w:rsidRPr="0007327B" w14:paraId="27D4769A" w14:textId="77777777" w:rsidTr="008A4C51">
        <w:trPr>
          <w:cantSplit/>
          <w:trHeight w:val="397"/>
        </w:trPr>
        <w:tc>
          <w:tcPr>
            <w:tcW w:w="2265" w:type="dxa"/>
          </w:tcPr>
          <w:p w14:paraId="4DDFCB00" w14:textId="77777777" w:rsidR="00B070F1" w:rsidRDefault="00B070F1" w:rsidP="00FC653F">
            <w:pPr>
              <w:pStyle w:val="TTTableText"/>
              <w:rPr>
                <w:i/>
                <w:iCs/>
              </w:rPr>
            </w:pPr>
            <w:r>
              <w:rPr>
                <w:i/>
                <w:iCs/>
              </w:rPr>
              <w:t>China – IPRs Enforcement (EU)</w:t>
            </w:r>
          </w:p>
        </w:tc>
        <w:tc>
          <w:tcPr>
            <w:tcW w:w="6795" w:type="dxa"/>
          </w:tcPr>
          <w:p w14:paraId="1D7B8CC7" w14:textId="77777777" w:rsidR="00B070F1" w:rsidRPr="00754DED" w:rsidRDefault="00B070F1" w:rsidP="00FC653F">
            <w:pPr>
              <w:pStyle w:val="TTTableText"/>
              <w:rPr>
                <w:i/>
                <w:iCs/>
                <w:color w:val="000000"/>
              </w:rPr>
            </w:pPr>
            <w:r w:rsidRPr="00DD2CBE">
              <w:rPr>
                <w:i/>
                <w:iCs/>
                <w:color w:val="000000"/>
              </w:rPr>
              <w:t>Award of the Arbitrators, China – Enforcement of Intellectual Property Rights – Arbitration under Article 25 of the DSU, WT/DS611/ARB25 and Add.1, 21 July 2025</w:t>
            </w:r>
          </w:p>
        </w:tc>
      </w:tr>
      <w:tr w:rsidR="00B070F1" w:rsidRPr="0007327B" w14:paraId="6FF324D0" w14:textId="77777777" w:rsidTr="008A4C51">
        <w:trPr>
          <w:cantSplit/>
          <w:trHeight w:val="397"/>
        </w:trPr>
        <w:tc>
          <w:tcPr>
            <w:tcW w:w="2265" w:type="dxa"/>
          </w:tcPr>
          <w:p w14:paraId="1CD6B04A" w14:textId="77777777" w:rsidR="00B070F1" w:rsidRDefault="00B070F1" w:rsidP="00A8222F">
            <w:pPr>
              <w:pStyle w:val="TTTableText"/>
              <w:rPr>
                <w:i/>
                <w:iCs/>
              </w:rPr>
            </w:pPr>
            <w:r>
              <w:rPr>
                <w:i/>
                <w:iCs/>
              </w:rPr>
              <w:t>EC – Approval and Marketing of Biotech Products</w:t>
            </w:r>
          </w:p>
        </w:tc>
        <w:tc>
          <w:tcPr>
            <w:tcW w:w="6795" w:type="dxa"/>
          </w:tcPr>
          <w:p w14:paraId="7335BF27" w14:textId="77777777" w:rsidR="00B070F1" w:rsidRPr="00DD2CBE" w:rsidRDefault="00B070F1" w:rsidP="00A8222F">
            <w:pPr>
              <w:pStyle w:val="TTTableText"/>
              <w:rPr>
                <w:i/>
                <w:iCs/>
                <w:color w:val="000000"/>
              </w:rPr>
            </w:pPr>
            <w:r w:rsidRPr="00A8222F">
              <w:rPr>
                <w:i/>
                <w:iCs/>
                <w:color w:val="000000"/>
              </w:rPr>
              <w:t>Panel Reports, European Communities – Measures Affecting the Approval and Marketing of Biotech Products, WT/DS291/R, Add.1 to Add.9 and Corr.1 / WT/DS292/R, Add.1 to Add.9 and Corr.1 / WT/DS293/R, Add.1 to Add.9 and Corr.1, adopted 21 November 2006, DSR 2006:III, p. 847</w:t>
            </w:r>
          </w:p>
        </w:tc>
      </w:tr>
      <w:tr w:rsidR="00B070F1" w:rsidRPr="0007327B" w14:paraId="6B720313" w14:textId="77777777" w:rsidTr="008A4C51">
        <w:trPr>
          <w:cantSplit/>
          <w:trHeight w:val="397"/>
        </w:trPr>
        <w:tc>
          <w:tcPr>
            <w:tcW w:w="2265" w:type="dxa"/>
          </w:tcPr>
          <w:p w14:paraId="5DD84442" w14:textId="77777777" w:rsidR="00B070F1" w:rsidRPr="0007327B" w:rsidRDefault="00B070F1" w:rsidP="008A4C51">
            <w:pPr>
              <w:pStyle w:val="TTTableText"/>
            </w:pPr>
            <w:r>
              <w:rPr>
                <w:i/>
                <w:iCs/>
              </w:rPr>
              <w:t>EC – Bananas III</w:t>
            </w:r>
          </w:p>
        </w:tc>
        <w:tc>
          <w:tcPr>
            <w:tcW w:w="6795" w:type="dxa"/>
          </w:tcPr>
          <w:p w14:paraId="4CBF8C31" w14:textId="77777777" w:rsidR="00B070F1" w:rsidRPr="0007327B" w:rsidRDefault="00B070F1" w:rsidP="008A4C51">
            <w:pPr>
              <w:pStyle w:val="TTTableText"/>
            </w:pPr>
            <w:r w:rsidRPr="003F1DC3">
              <w:rPr>
                <w:i/>
                <w:iCs/>
                <w:color w:val="000000"/>
              </w:rPr>
              <w:t>Appellate Body Report, European Communities – Regime for the Importation, Sale and Distribution of Bananas, WT/DS27/AB/R, adopted 25 September 1997, DSR 1997:II, p. 591</w:t>
            </w:r>
          </w:p>
        </w:tc>
      </w:tr>
      <w:tr w:rsidR="00B070F1" w:rsidRPr="0007327B" w14:paraId="27365316" w14:textId="77777777" w:rsidTr="008A4C51">
        <w:trPr>
          <w:cantSplit/>
          <w:trHeight w:val="397"/>
        </w:trPr>
        <w:tc>
          <w:tcPr>
            <w:tcW w:w="2265" w:type="dxa"/>
          </w:tcPr>
          <w:p w14:paraId="0FECD07D" w14:textId="77777777" w:rsidR="00B070F1" w:rsidRDefault="00B070F1" w:rsidP="008A4C51">
            <w:pPr>
              <w:pStyle w:val="TTTableText"/>
              <w:rPr>
                <w:i/>
                <w:iCs/>
              </w:rPr>
            </w:pPr>
            <w:r>
              <w:rPr>
                <w:i/>
                <w:iCs/>
              </w:rPr>
              <w:t>EC – Fasteners (China)</w:t>
            </w:r>
          </w:p>
        </w:tc>
        <w:tc>
          <w:tcPr>
            <w:tcW w:w="6795" w:type="dxa"/>
          </w:tcPr>
          <w:p w14:paraId="0B070422" w14:textId="77777777" w:rsidR="00B070F1" w:rsidRPr="003F1DC3" w:rsidRDefault="00B070F1" w:rsidP="008A4C51">
            <w:pPr>
              <w:pStyle w:val="TTTableText"/>
              <w:rPr>
                <w:i/>
                <w:iCs/>
                <w:color w:val="000000"/>
              </w:rPr>
            </w:pPr>
            <w:r w:rsidRPr="00D03897">
              <w:rPr>
                <w:i/>
                <w:iCs/>
                <w:color w:val="000000"/>
              </w:rPr>
              <w:t>Panel Report, European Communities – Definitive Anti-Dumping Measures on Certain Iron or Steel Fasteners from China, WT/DS397/R and Corr.1, adopted 28 July 2011, as modified by Appellate Body Report WT/DS397/AB/R, DSR 2011:VIII, p. 4289</w:t>
            </w:r>
          </w:p>
        </w:tc>
      </w:tr>
      <w:tr w:rsidR="00B070F1" w:rsidRPr="0007327B" w14:paraId="57729EDA" w14:textId="77777777" w:rsidTr="008A4C51">
        <w:trPr>
          <w:cantSplit/>
          <w:trHeight w:val="397"/>
        </w:trPr>
        <w:tc>
          <w:tcPr>
            <w:tcW w:w="2265" w:type="dxa"/>
          </w:tcPr>
          <w:p w14:paraId="6A1E3873" w14:textId="77777777" w:rsidR="00B070F1" w:rsidRPr="00FD1A16" w:rsidRDefault="00B070F1" w:rsidP="008A4C51">
            <w:pPr>
              <w:pStyle w:val="TTTableText"/>
              <w:rPr>
                <w:i/>
                <w:iCs/>
              </w:rPr>
            </w:pPr>
            <w:r w:rsidRPr="00FD1A16">
              <w:rPr>
                <w:i/>
                <w:iCs/>
              </w:rPr>
              <w:t>EU – Cost Adjustment Methodologies II (Russia)</w:t>
            </w:r>
          </w:p>
        </w:tc>
        <w:tc>
          <w:tcPr>
            <w:tcW w:w="6795" w:type="dxa"/>
          </w:tcPr>
          <w:p w14:paraId="24687C3B" w14:textId="77777777" w:rsidR="00B070F1" w:rsidRPr="00FD1A16" w:rsidRDefault="00B070F1" w:rsidP="008A4C51">
            <w:pPr>
              <w:pStyle w:val="TTTableText"/>
              <w:rPr>
                <w:i/>
                <w:iCs/>
                <w:color w:val="000000"/>
              </w:rPr>
            </w:pPr>
            <w:r w:rsidRPr="00FD1A16">
              <w:rPr>
                <w:i/>
                <w:iCs/>
                <w:color w:val="000000"/>
              </w:rPr>
              <w:t>Panel Report, European Union – Cost Adjustment Methodologies and Certain Anti-Dumping Measures on Imports from Russia (Second Complaint), WT/DS494/R and Add.1, circulated to WTO Members 24 July 2020, appealed 28 August 2020</w:t>
            </w:r>
          </w:p>
        </w:tc>
      </w:tr>
      <w:tr w:rsidR="00B070F1" w:rsidRPr="0007327B" w14:paraId="3CF46BA5" w14:textId="77777777" w:rsidTr="008A4C51">
        <w:trPr>
          <w:cantSplit/>
          <w:trHeight w:val="397"/>
        </w:trPr>
        <w:tc>
          <w:tcPr>
            <w:tcW w:w="2265" w:type="dxa"/>
          </w:tcPr>
          <w:p w14:paraId="6344EC9B" w14:textId="77777777" w:rsidR="00B070F1" w:rsidRDefault="00B070F1" w:rsidP="008A4C51">
            <w:pPr>
              <w:pStyle w:val="TTTableText"/>
              <w:rPr>
                <w:i/>
                <w:iCs/>
              </w:rPr>
            </w:pPr>
            <w:r>
              <w:rPr>
                <w:i/>
                <w:iCs/>
              </w:rPr>
              <w:lastRenderedPageBreak/>
              <w:t>Mexico – Steel Pipes and Tubes</w:t>
            </w:r>
          </w:p>
        </w:tc>
        <w:tc>
          <w:tcPr>
            <w:tcW w:w="6795" w:type="dxa"/>
          </w:tcPr>
          <w:p w14:paraId="6635E739" w14:textId="77777777" w:rsidR="00B070F1" w:rsidRPr="003F1DC3" w:rsidRDefault="00B070F1" w:rsidP="008A4C51">
            <w:pPr>
              <w:pStyle w:val="TTTableText"/>
              <w:rPr>
                <w:i/>
                <w:iCs/>
                <w:color w:val="000000"/>
              </w:rPr>
            </w:pPr>
            <w:r w:rsidRPr="0008074C">
              <w:rPr>
                <w:i/>
                <w:iCs/>
                <w:color w:val="000000"/>
              </w:rPr>
              <w:t>Panel Report, Mexico – Anti-Dumping Duties on Steel Pipes and Tubes from Guatemala, WT/DS331/R, adopted 24 July 2007, DSR 2007:IV, p. 1207</w:t>
            </w:r>
          </w:p>
        </w:tc>
      </w:tr>
      <w:tr w:rsidR="00B070F1" w:rsidRPr="0007327B" w14:paraId="5A45A55F" w14:textId="77777777" w:rsidTr="008A4C51">
        <w:trPr>
          <w:cantSplit/>
          <w:trHeight w:val="397"/>
        </w:trPr>
        <w:tc>
          <w:tcPr>
            <w:tcW w:w="2265" w:type="dxa"/>
          </w:tcPr>
          <w:p w14:paraId="07D26F0A" w14:textId="77777777" w:rsidR="00B070F1" w:rsidRDefault="00B070F1" w:rsidP="008A4C51">
            <w:pPr>
              <w:pStyle w:val="TTTableText"/>
              <w:rPr>
                <w:i/>
                <w:iCs/>
              </w:rPr>
            </w:pPr>
            <w:r>
              <w:rPr>
                <w:i/>
                <w:iCs/>
              </w:rPr>
              <w:t>Russia – Railway Equipment</w:t>
            </w:r>
          </w:p>
        </w:tc>
        <w:tc>
          <w:tcPr>
            <w:tcW w:w="6795" w:type="dxa"/>
          </w:tcPr>
          <w:p w14:paraId="2EFA7ACC" w14:textId="77777777" w:rsidR="00B070F1" w:rsidRPr="003F1DC3" w:rsidRDefault="00B070F1" w:rsidP="008A4C51">
            <w:pPr>
              <w:pStyle w:val="TTTableText"/>
              <w:rPr>
                <w:i/>
                <w:iCs/>
                <w:color w:val="000000"/>
              </w:rPr>
            </w:pPr>
            <w:r w:rsidRPr="008124FB">
              <w:rPr>
                <w:i/>
                <w:iCs/>
                <w:color w:val="000000"/>
              </w:rPr>
              <w:t>Panel Report, Russia – Measures Affecting the Importation of Railway Equipment and Parts Thereof, WT/DS499/R and Add.1, adopted 5 March 2020, as modified by Appellate Body Report WT/DS499/AB/R DSR 2020:II, p. 685</w:t>
            </w:r>
          </w:p>
        </w:tc>
      </w:tr>
      <w:tr w:rsidR="00B070F1" w:rsidRPr="0007327B" w14:paraId="4F7206D7" w14:textId="77777777" w:rsidTr="008A4C51">
        <w:trPr>
          <w:cantSplit/>
          <w:trHeight w:val="397"/>
        </w:trPr>
        <w:tc>
          <w:tcPr>
            <w:tcW w:w="2265" w:type="dxa"/>
          </w:tcPr>
          <w:p w14:paraId="3CE60F5E" w14:textId="77777777" w:rsidR="00B070F1" w:rsidRDefault="00B070F1" w:rsidP="008A4C51">
            <w:pPr>
              <w:pStyle w:val="TTTableText"/>
              <w:rPr>
                <w:i/>
                <w:iCs/>
              </w:rPr>
            </w:pPr>
            <w:r>
              <w:rPr>
                <w:i/>
                <w:iCs/>
              </w:rPr>
              <w:t>US – Anti-Dumping Methodologies (China)</w:t>
            </w:r>
          </w:p>
        </w:tc>
        <w:tc>
          <w:tcPr>
            <w:tcW w:w="6795" w:type="dxa"/>
          </w:tcPr>
          <w:p w14:paraId="60E86B87" w14:textId="77777777" w:rsidR="00B070F1" w:rsidRPr="003F1DC3" w:rsidRDefault="00B070F1" w:rsidP="008A4C51">
            <w:pPr>
              <w:pStyle w:val="TTTableText"/>
              <w:rPr>
                <w:i/>
                <w:iCs/>
                <w:color w:val="000000"/>
              </w:rPr>
            </w:pPr>
            <w:r w:rsidRPr="00B41245">
              <w:rPr>
                <w:i/>
                <w:iCs/>
                <w:color w:val="000000"/>
              </w:rPr>
              <w:t>Appellate Body Report, United States – Certain Methodologies and Their Application to Anti-Dumping Proceedings Involving China, WT/DS471/AB/R and Add.1, adopted 22 May 2017, DSR 2017:III, p. 1423</w:t>
            </w:r>
          </w:p>
        </w:tc>
      </w:tr>
      <w:tr w:rsidR="00B070F1" w:rsidRPr="0007327B" w14:paraId="47A0D250" w14:textId="77777777" w:rsidTr="008A4C51">
        <w:trPr>
          <w:cantSplit/>
          <w:trHeight w:val="397"/>
        </w:trPr>
        <w:tc>
          <w:tcPr>
            <w:tcW w:w="2265" w:type="dxa"/>
          </w:tcPr>
          <w:p w14:paraId="647D360D" w14:textId="77777777" w:rsidR="00B070F1" w:rsidRPr="00A8222F" w:rsidRDefault="00B070F1" w:rsidP="00B070F1">
            <w:pPr>
              <w:pStyle w:val="TTTableText"/>
              <w:rPr>
                <w:i/>
                <w:iCs/>
              </w:rPr>
            </w:pPr>
            <w:r>
              <w:rPr>
                <w:i/>
                <w:iCs/>
              </w:rPr>
              <w:t xml:space="preserve">US – Anti-Dumping Methodologies (China) </w:t>
            </w:r>
          </w:p>
        </w:tc>
        <w:tc>
          <w:tcPr>
            <w:tcW w:w="6795" w:type="dxa"/>
          </w:tcPr>
          <w:p w14:paraId="328F89A8" w14:textId="77777777" w:rsidR="00B070F1" w:rsidRPr="00A8222F" w:rsidRDefault="00B070F1" w:rsidP="00B070F1">
            <w:pPr>
              <w:pStyle w:val="TTTableText"/>
              <w:rPr>
                <w:i/>
                <w:iCs/>
                <w:color w:val="000000"/>
              </w:rPr>
            </w:pPr>
            <w:r w:rsidRPr="00B070F1">
              <w:rPr>
                <w:i/>
                <w:iCs/>
                <w:color w:val="000000"/>
              </w:rPr>
              <w:t>Panel Report, United States – Certain Methodologies and Their Application to Anti-Dumping Proceedings Involving China, WT/DS471/R and Add.1, adopted 22 May 2017, as modified by Appellate Body Report WT/DS471/AB/R, DSR 2017:IV, p. 1589</w:t>
            </w:r>
          </w:p>
        </w:tc>
      </w:tr>
      <w:tr w:rsidR="00B070F1" w:rsidRPr="0007327B" w14:paraId="74076077" w14:textId="77777777" w:rsidTr="008A4C51">
        <w:trPr>
          <w:cantSplit/>
          <w:trHeight w:val="397"/>
        </w:trPr>
        <w:tc>
          <w:tcPr>
            <w:tcW w:w="2265" w:type="dxa"/>
          </w:tcPr>
          <w:p w14:paraId="7FB1308F" w14:textId="77777777" w:rsidR="00B070F1" w:rsidRPr="00A8222F" w:rsidRDefault="00B070F1" w:rsidP="008A4C51">
            <w:pPr>
              <w:pStyle w:val="TTTableText"/>
              <w:rPr>
                <w:i/>
                <w:iCs/>
              </w:rPr>
            </w:pPr>
            <w:r w:rsidRPr="00A8222F">
              <w:rPr>
                <w:i/>
                <w:iCs/>
              </w:rPr>
              <w:t>US – Offset Act (Byrd Amendment)</w:t>
            </w:r>
          </w:p>
        </w:tc>
        <w:tc>
          <w:tcPr>
            <w:tcW w:w="6795" w:type="dxa"/>
          </w:tcPr>
          <w:p w14:paraId="4BA0D48F" w14:textId="77777777" w:rsidR="00B070F1" w:rsidRPr="00A8222F" w:rsidRDefault="00B070F1" w:rsidP="008A4C51">
            <w:pPr>
              <w:pStyle w:val="TTTableText"/>
              <w:rPr>
                <w:i/>
                <w:iCs/>
                <w:color w:val="000000"/>
              </w:rPr>
            </w:pPr>
            <w:r w:rsidRPr="00A8222F">
              <w:rPr>
                <w:i/>
                <w:iCs/>
                <w:color w:val="000000"/>
              </w:rPr>
              <w:t>Panel Report, United States – Continued Dumping and Subsidy Offset Act of 2000, WT/DS217/R, WT/DS234/R, adopted 27 January 2003, as modified by Appellate Body Report WT/DS217/AB/R, WT/DS234/AB/R, DSR 2003:II, p. 489</w:t>
            </w:r>
          </w:p>
        </w:tc>
      </w:tr>
      <w:tr w:rsidR="00B070F1" w:rsidRPr="0007327B" w14:paraId="4B51BE40" w14:textId="77777777" w:rsidTr="008A4C51">
        <w:trPr>
          <w:cantSplit/>
          <w:trHeight w:val="397"/>
        </w:trPr>
        <w:tc>
          <w:tcPr>
            <w:tcW w:w="2265" w:type="dxa"/>
          </w:tcPr>
          <w:p w14:paraId="5A0CB25C" w14:textId="77777777" w:rsidR="00B070F1" w:rsidRPr="00A8222F" w:rsidRDefault="00B070F1" w:rsidP="008A4C51">
            <w:pPr>
              <w:pStyle w:val="TTTableText"/>
              <w:rPr>
                <w:i/>
                <w:iCs/>
              </w:rPr>
            </w:pPr>
            <w:r w:rsidRPr="00A8222F">
              <w:rPr>
                <w:i/>
                <w:iCs/>
              </w:rPr>
              <w:t>US – Shrimp II (Viet Nam)</w:t>
            </w:r>
          </w:p>
        </w:tc>
        <w:tc>
          <w:tcPr>
            <w:tcW w:w="6795" w:type="dxa"/>
          </w:tcPr>
          <w:p w14:paraId="34235A73" w14:textId="77777777" w:rsidR="00B070F1" w:rsidRPr="00A8222F" w:rsidRDefault="00B070F1" w:rsidP="008A4C51">
            <w:pPr>
              <w:pStyle w:val="TTTableText"/>
              <w:rPr>
                <w:i/>
                <w:iCs/>
                <w:color w:val="000000"/>
              </w:rPr>
            </w:pPr>
            <w:r w:rsidRPr="00A8222F">
              <w:rPr>
                <w:i/>
                <w:iCs/>
                <w:color w:val="000000"/>
              </w:rPr>
              <w:t>Panel Report, United States – Anti-Dumping Measures on Certain Shrimp from Viet Nam, WT/DS429/R and Add.1, adopted 22 April 2015, upheld by Appellate Body Report WT/DS429/AB/R, DSR 2015:III, p. 1341</w:t>
            </w:r>
          </w:p>
        </w:tc>
      </w:tr>
      <w:tr w:rsidR="00B070F1" w:rsidRPr="0007327B" w14:paraId="05B06858" w14:textId="77777777" w:rsidTr="008A4C51">
        <w:trPr>
          <w:cantSplit/>
          <w:trHeight w:val="397"/>
        </w:trPr>
        <w:tc>
          <w:tcPr>
            <w:tcW w:w="2265" w:type="dxa"/>
          </w:tcPr>
          <w:p w14:paraId="19FC7A3D" w14:textId="77777777" w:rsidR="00B070F1" w:rsidRPr="00A8222F" w:rsidRDefault="00B070F1" w:rsidP="008A4C51">
            <w:pPr>
              <w:pStyle w:val="TTTableText"/>
              <w:rPr>
                <w:i/>
                <w:iCs/>
              </w:rPr>
            </w:pPr>
            <w:r w:rsidRPr="00A8222F">
              <w:rPr>
                <w:i/>
                <w:iCs/>
              </w:rPr>
              <w:t>US – Zeroing (EC)</w:t>
            </w:r>
          </w:p>
        </w:tc>
        <w:tc>
          <w:tcPr>
            <w:tcW w:w="6795" w:type="dxa"/>
          </w:tcPr>
          <w:p w14:paraId="05EA3999" w14:textId="77777777" w:rsidR="00B070F1" w:rsidRPr="00A8222F" w:rsidRDefault="00B070F1" w:rsidP="008A4C51">
            <w:pPr>
              <w:pStyle w:val="TTTableText"/>
              <w:rPr>
                <w:i/>
                <w:iCs/>
                <w:color w:val="000000"/>
              </w:rPr>
            </w:pPr>
            <w:r w:rsidRPr="00A8222F">
              <w:rPr>
                <w:i/>
                <w:iCs/>
                <w:color w:val="000000"/>
              </w:rPr>
              <w:t>Appellate Body Report, United States – Laws, Regulations and Methodology for Calculating Dumping Margins ("Zeroing"), WT/DS294/AB/R, adopted 9 May 2006, and Corr.1, DSR 2006:II, p. 417</w:t>
            </w:r>
          </w:p>
        </w:tc>
      </w:tr>
    </w:tbl>
    <w:p w14:paraId="3F48318D" w14:textId="77777777" w:rsidR="004D7079" w:rsidRPr="0007327B" w:rsidRDefault="004D7079" w:rsidP="004D7079">
      <w:pPr>
        <w:pStyle w:val="BTNSSBodyTextNoSpacingSmall"/>
      </w:pPr>
    </w:p>
    <w:p w14:paraId="4FA1C583" w14:textId="77777777" w:rsidR="008A1191" w:rsidRPr="0007327B" w:rsidRDefault="004524CE" w:rsidP="004524CE">
      <w:pPr>
        <w:pStyle w:val="SHSectionHeading"/>
      </w:pPr>
      <w:bookmarkStart w:id="1" w:name="_Toc205466146"/>
      <w:r w:rsidRPr="0007327B">
        <w:t>List of Acronyms, Abbreviations and Short Forms</w:t>
      </w:r>
      <w:bookmarkEnd w:id="1"/>
    </w:p>
    <w:tbl>
      <w:tblPr>
        <w:tblStyle w:val="TableGrid"/>
        <w:tblW w:w="5000" w:type="pct"/>
        <w:tblLook w:val="04A0" w:firstRow="1" w:lastRow="0" w:firstColumn="1" w:lastColumn="0" w:noHBand="0" w:noVBand="1"/>
      </w:tblPr>
      <w:tblGrid>
        <w:gridCol w:w="1696"/>
        <w:gridCol w:w="7364"/>
      </w:tblGrid>
      <w:tr w:rsidR="008A1191" w:rsidRPr="0007327B" w14:paraId="7DAFFD04" w14:textId="77777777" w:rsidTr="008A1191">
        <w:trPr>
          <w:cantSplit/>
          <w:trHeight w:val="397"/>
          <w:tblHeader/>
        </w:trPr>
        <w:tc>
          <w:tcPr>
            <w:tcW w:w="1696" w:type="dxa"/>
            <w:shd w:val="clear" w:color="auto" w:fill="D9D9D9" w:themeFill="background1" w:themeFillShade="D9"/>
          </w:tcPr>
          <w:p w14:paraId="0C2323E3" w14:textId="77777777" w:rsidR="008A1191" w:rsidRPr="0007327B" w:rsidRDefault="008A1191" w:rsidP="008A4C51">
            <w:pPr>
              <w:pStyle w:val="THTableHeading"/>
              <w:jc w:val="center"/>
            </w:pPr>
            <w:r w:rsidRPr="0007327B">
              <w:t>Abbreviation</w:t>
            </w:r>
          </w:p>
        </w:tc>
        <w:tc>
          <w:tcPr>
            <w:tcW w:w="7364" w:type="dxa"/>
            <w:shd w:val="clear" w:color="auto" w:fill="D9D9D9" w:themeFill="background1" w:themeFillShade="D9"/>
          </w:tcPr>
          <w:p w14:paraId="3B246128" w14:textId="77777777" w:rsidR="008A1191" w:rsidRPr="0007327B" w:rsidRDefault="008A1191" w:rsidP="008A4C51">
            <w:pPr>
              <w:pStyle w:val="THTableHeading"/>
              <w:jc w:val="center"/>
            </w:pPr>
            <w:r w:rsidRPr="0007327B">
              <w:t>Full Form or Description</w:t>
            </w:r>
          </w:p>
        </w:tc>
      </w:tr>
      <w:tr w:rsidR="008A1191" w:rsidRPr="0007327B" w14:paraId="3CBDEC6D" w14:textId="77777777" w:rsidTr="008A1191">
        <w:trPr>
          <w:cantSplit/>
          <w:trHeight w:val="397"/>
        </w:trPr>
        <w:tc>
          <w:tcPr>
            <w:tcW w:w="1696" w:type="dxa"/>
          </w:tcPr>
          <w:p w14:paraId="638A7936" w14:textId="33D0E5BB" w:rsidR="008A1191" w:rsidRPr="0007327B" w:rsidRDefault="00AB450E" w:rsidP="008A4C51">
            <w:pPr>
              <w:pStyle w:val="TTTableText"/>
            </w:pPr>
            <w:r>
              <w:t xml:space="preserve">Anti-Dumping Agreement </w:t>
            </w:r>
          </w:p>
        </w:tc>
        <w:tc>
          <w:tcPr>
            <w:tcW w:w="7364" w:type="dxa"/>
          </w:tcPr>
          <w:p w14:paraId="52590913" w14:textId="6434D46E" w:rsidR="008A1191" w:rsidRPr="0007327B" w:rsidRDefault="00780DA5" w:rsidP="008A4C51">
            <w:pPr>
              <w:pStyle w:val="TTTableText"/>
            </w:pPr>
            <w:r>
              <w:t>Agreement on Implementation of Article VI of GATT 1994</w:t>
            </w:r>
          </w:p>
        </w:tc>
      </w:tr>
      <w:tr w:rsidR="00165A7E" w:rsidRPr="0007327B" w14:paraId="793AFDE3" w14:textId="77777777" w:rsidTr="008A1191">
        <w:trPr>
          <w:cantSplit/>
          <w:trHeight w:val="397"/>
        </w:trPr>
        <w:tc>
          <w:tcPr>
            <w:tcW w:w="1696" w:type="dxa"/>
          </w:tcPr>
          <w:p w14:paraId="54ADA10F" w14:textId="26E061CB" w:rsidR="00165A7E" w:rsidRPr="0007327B" w:rsidRDefault="00165A7E" w:rsidP="00165A7E">
            <w:pPr>
              <w:pStyle w:val="TTTableText"/>
            </w:pPr>
            <w:r>
              <w:t>Member</w:t>
            </w:r>
          </w:p>
        </w:tc>
        <w:tc>
          <w:tcPr>
            <w:tcW w:w="7364" w:type="dxa"/>
          </w:tcPr>
          <w:p w14:paraId="24089B4F" w14:textId="316CB95D" w:rsidR="00165A7E" w:rsidRPr="0007327B" w:rsidRDefault="00165A7E" w:rsidP="00165A7E">
            <w:pPr>
              <w:pStyle w:val="TTTableText"/>
            </w:pPr>
            <w:r>
              <w:t xml:space="preserve">Member of the World Trade Organization </w:t>
            </w:r>
          </w:p>
        </w:tc>
      </w:tr>
      <w:tr w:rsidR="00C5720D" w:rsidRPr="0007327B" w14:paraId="6A5B20B3" w14:textId="77777777" w:rsidTr="008A1191">
        <w:trPr>
          <w:cantSplit/>
          <w:trHeight w:val="397"/>
        </w:trPr>
        <w:tc>
          <w:tcPr>
            <w:tcW w:w="1696" w:type="dxa"/>
          </w:tcPr>
          <w:p w14:paraId="78FA8675" w14:textId="7B0DF06B" w:rsidR="00C5720D" w:rsidRPr="0007327B" w:rsidRDefault="00C5720D" w:rsidP="00C5720D">
            <w:pPr>
              <w:pStyle w:val="TTTableText"/>
            </w:pPr>
            <w:r>
              <w:t>WTO</w:t>
            </w:r>
          </w:p>
        </w:tc>
        <w:tc>
          <w:tcPr>
            <w:tcW w:w="7364" w:type="dxa"/>
          </w:tcPr>
          <w:p w14:paraId="3E053F53" w14:textId="1E34C8F1" w:rsidR="00C5720D" w:rsidRPr="0007327B" w:rsidRDefault="00C5720D" w:rsidP="00C5720D">
            <w:pPr>
              <w:pStyle w:val="TTTableText"/>
            </w:pPr>
            <w:r>
              <w:t xml:space="preserve">World Trade Organization </w:t>
            </w:r>
          </w:p>
        </w:tc>
      </w:tr>
    </w:tbl>
    <w:p w14:paraId="5D23F939" w14:textId="77777777" w:rsidR="004D7079" w:rsidRPr="0007327B" w:rsidRDefault="004D7079" w:rsidP="004D7079">
      <w:pPr>
        <w:pStyle w:val="BTNSSBodyTextNoSpacingSmall"/>
      </w:pPr>
    </w:p>
    <w:p w14:paraId="7E7BC47C" w14:textId="77777777" w:rsidR="00477519" w:rsidRPr="0007327B" w:rsidRDefault="00477519" w:rsidP="007A3EF1">
      <w:pPr>
        <w:pStyle w:val="BTBodyText"/>
      </w:pPr>
    </w:p>
    <w:p w14:paraId="0FD6C04D" w14:textId="77777777" w:rsidR="0023272D" w:rsidRPr="0007327B" w:rsidRDefault="0023272D" w:rsidP="0023272D">
      <w:pPr>
        <w:pStyle w:val="BTNSSBodyTextNoSpacingSmall"/>
      </w:pPr>
    </w:p>
    <w:p w14:paraId="3C9C03E5" w14:textId="77777777" w:rsidR="00D47F18" w:rsidRPr="0007327B" w:rsidRDefault="00D47F18" w:rsidP="00D52A17">
      <w:pPr>
        <w:pStyle w:val="BTBodyText"/>
      </w:pPr>
      <w:r w:rsidRPr="0007327B">
        <w:br w:type="page"/>
      </w:r>
    </w:p>
    <w:p w14:paraId="484E2B54" w14:textId="4A303AC7" w:rsidR="00D52A17" w:rsidRPr="0007327B" w:rsidRDefault="00994BF4" w:rsidP="00BA52F9">
      <w:pPr>
        <w:pStyle w:val="HL1HeadingLevel1"/>
        <w:numPr>
          <w:ilvl w:val="0"/>
          <w:numId w:val="9"/>
        </w:numPr>
      </w:pPr>
      <w:bookmarkStart w:id="2" w:name="_Toc205466147"/>
      <w:r>
        <w:rPr>
          <w:caps w:val="0"/>
        </w:rPr>
        <w:lastRenderedPageBreak/>
        <w:t>INTRODUCTION</w:t>
      </w:r>
      <w:bookmarkEnd w:id="2"/>
    </w:p>
    <w:p w14:paraId="79E105C3" w14:textId="273C1914" w:rsidR="00D52A17" w:rsidRDefault="00A87576" w:rsidP="00D52A17">
      <w:pPr>
        <w:pStyle w:val="P1-N1Paragraph1-Number1"/>
      </w:pPr>
      <w:r>
        <w:t xml:space="preserve">Australia welcomes the opportunity to present its views to the Panel. Australia considers </w:t>
      </w:r>
      <w:r w:rsidR="008200C9">
        <w:t xml:space="preserve">the </w:t>
      </w:r>
      <w:r w:rsidR="001D786F">
        <w:t xml:space="preserve">dispute raises some important questions in relation to </w:t>
      </w:r>
      <w:r w:rsidR="002D451D">
        <w:t>1) </w:t>
      </w:r>
      <w:r w:rsidR="00C52919">
        <w:t xml:space="preserve">“as such” challenges of </w:t>
      </w:r>
      <w:r w:rsidR="001D786F">
        <w:t xml:space="preserve">unwritten measures, and </w:t>
      </w:r>
      <w:r w:rsidR="005C322A">
        <w:t xml:space="preserve">2) </w:t>
      </w:r>
      <w:r w:rsidR="001D786F">
        <w:t xml:space="preserve">the </w:t>
      </w:r>
      <w:r w:rsidR="002D451D">
        <w:t xml:space="preserve">standing provisions in </w:t>
      </w:r>
      <w:r w:rsidR="001D786F">
        <w:t xml:space="preserve">the </w:t>
      </w:r>
      <w:r w:rsidR="001D786F" w:rsidRPr="00825FBD">
        <w:t>Anti-Dumping Agreement</w:t>
      </w:r>
      <w:r w:rsidR="001D786F">
        <w:t>.</w:t>
      </w:r>
    </w:p>
    <w:p w14:paraId="6CFBEBE4" w14:textId="68CF7412" w:rsidR="002D451D" w:rsidRDefault="00882CC5" w:rsidP="00882CC5">
      <w:pPr>
        <w:pStyle w:val="P1-N1Paragraph1-Number1"/>
      </w:pPr>
      <w:r>
        <w:t>Australia reserves the right to raise other issues at the third party hearing before the Panel.</w:t>
      </w:r>
    </w:p>
    <w:p w14:paraId="0D568EAF" w14:textId="1F75A8FE" w:rsidR="001042FC" w:rsidRDefault="00B87F97" w:rsidP="00BA52F9">
      <w:pPr>
        <w:pStyle w:val="HL1HeadingLevel1"/>
        <w:numPr>
          <w:ilvl w:val="0"/>
          <w:numId w:val="9"/>
        </w:numPr>
      </w:pPr>
      <w:bookmarkStart w:id="3" w:name="_Toc205466148"/>
      <w:r>
        <w:t>"</w:t>
      </w:r>
      <w:r w:rsidR="00C20DCF">
        <w:t>AS SUCH</w:t>
      </w:r>
      <w:r w:rsidR="00F03947">
        <w:t>"</w:t>
      </w:r>
      <w:r w:rsidR="00C20DCF">
        <w:t xml:space="preserve"> CHALLENGES OF UNWRITTEN MEASURES</w:t>
      </w:r>
      <w:bookmarkEnd w:id="3"/>
    </w:p>
    <w:p w14:paraId="4216E23F" w14:textId="544EBF0E" w:rsidR="00A06D61" w:rsidRDefault="001042FC" w:rsidP="00EC6E76">
      <w:pPr>
        <w:pStyle w:val="P1-N1Paragraph1-Number1"/>
      </w:pPr>
      <w:r>
        <w:t>Australia agrees with the E</w:t>
      </w:r>
      <w:r w:rsidR="00871E53">
        <w:t xml:space="preserve">uropean </w:t>
      </w:r>
      <w:r>
        <w:t>U</w:t>
      </w:r>
      <w:r w:rsidR="00871E53">
        <w:t>nion</w:t>
      </w:r>
      <w:r>
        <w:t xml:space="preserve"> that </w:t>
      </w:r>
      <w:r w:rsidR="00BC60D1">
        <w:t>"</w:t>
      </w:r>
      <w:r>
        <w:t>as such</w:t>
      </w:r>
      <w:r w:rsidR="00BC60D1">
        <w:t>"</w:t>
      </w:r>
      <w:r>
        <w:t xml:space="preserve"> challenges against an unwritten measure are serious.</w:t>
      </w:r>
      <w:r>
        <w:rPr>
          <w:rStyle w:val="FootnoteReference"/>
        </w:rPr>
        <w:footnoteReference w:id="1"/>
      </w:r>
      <w:r>
        <w:t xml:space="preserve"> </w:t>
      </w:r>
    </w:p>
    <w:p w14:paraId="2F52BB12" w14:textId="73EA396A" w:rsidR="00E37339" w:rsidRDefault="009136CC" w:rsidP="004C048D">
      <w:pPr>
        <w:pStyle w:val="P1-N1Paragraph1-Number1"/>
      </w:pPr>
      <w:r w:rsidRPr="00FE63B8">
        <w:t xml:space="preserve">Australia notes that, in </w:t>
      </w:r>
      <w:r w:rsidRPr="00FE63B8">
        <w:rPr>
          <w:i/>
          <w:iCs/>
        </w:rPr>
        <w:t xml:space="preserve">US - Oil Country Tubular Goods Sunset Reviews, </w:t>
      </w:r>
      <w:r>
        <w:t>the Appellate Body stated</w:t>
      </w:r>
      <w:r w:rsidRPr="00FE63B8">
        <w:t xml:space="preserve"> that: </w:t>
      </w:r>
      <w:r w:rsidR="00BC60D1">
        <w:t>"</w:t>
      </w:r>
      <w:r w:rsidRPr="00FE63B8">
        <w:t xml:space="preserve">By definition, an </w:t>
      </w:r>
      <w:r w:rsidR="00BC60D1">
        <w:t>"</w:t>
      </w:r>
      <w:r w:rsidRPr="00FE63B8">
        <w:t>as such</w:t>
      </w:r>
      <w:r w:rsidR="00BC60D1">
        <w:t>"</w:t>
      </w:r>
      <w:r w:rsidRPr="00FE63B8">
        <w:t xml:space="preserve"> claim challenges laws, regulations, or other instruments of a Member </w:t>
      </w:r>
      <w:r w:rsidRPr="00CF7874">
        <w:t>that have general and prospective application</w:t>
      </w:r>
      <w:r w:rsidR="00BC60D1">
        <w:t>"</w:t>
      </w:r>
      <w:r w:rsidRPr="00CF7874">
        <w:t>.</w:t>
      </w:r>
      <w:r w:rsidR="00A75180">
        <w:rPr>
          <w:rStyle w:val="FootnoteReference"/>
        </w:rPr>
        <w:footnoteReference w:id="2"/>
      </w:r>
    </w:p>
    <w:p w14:paraId="05875C8F" w14:textId="3517C16F" w:rsidR="004C048D" w:rsidRDefault="004C048D" w:rsidP="004C048D">
      <w:pPr>
        <w:pStyle w:val="P1-N1Paragraph1-Number1"/>
      </w:pPr>
      <w:r>
        <w:t>For a complainant to satisfy a Panel of the existence of an unwritten measure which can be subject to an "as such" challenge, "</w:t>
      </w:r>
      <w:r w:rsidRPr="00EF5F54">
        <w:t>a</w:t>
      </w:r>
      <w:r>
        <w:t xml:space="preserve"> </w:t>
      </w:r>
      <w:r w:rsidRPr="00EF5F54">
        <w:t>complaining party must clearly establish, through</w:t>
      </w:r>
      <w:r>
        <w:t xml:space="preserve"> </w:t>
      </w:r>
      <w:r w:rsidRPr="00EF5F54">
        <w:t xml:space="preserve">arguments and supporting evidence, at least that the alleged </w:t>
      </w:r>
      <w:r w:rsidR="00BC60D1">
        <w:t>"</w:t>
      </w:r>
      <w:r w:rsidRPr="00EF5F54">
        <w:t>rule or norm</w:t>
      </w:r>
      <w:r w:rsidR="00BC60D1">
        <w:t>"</w:t>
      </w:r>
      <w:r w:rsidRPr="00EF5F54">
        <w:t xml:space="preserve"> is attributable to the</w:t>
      </w:r>
      <w:r>
        <w:t xml:space="preserve"> </w:t>
      </w:r>
      <w:r w:rsidRPr="00EF5F54">
        <w:t>responding Member; its precise content; and indeed, that it does have general and prospective</w:t>
      </w:r>
      <w:r>
        <w:t xml:space="preserve"> </w:t>
      </w:r>
      <w:r w:rsidRPr="00EF5F54">
        <w:t>application.</w:t>
      </w:r>
      <w:r w:rsidR="00BC60D1">
        <w:t>"</w:t>
      </w:r>
      <w:r>
        <w:rPr>
          <w:rStyle w:val="FootnoteReference"/>
        </w:rPr>
        <w:footnoteReference w:id="3"/>
      </w:r>
      <w:r>
        <w:t xml:space="preserve"> This is a </w:t>
      </w:r>
      <w:r w:rsidR="00BC60D1">
        <w:t>"</w:t>
      </w:r>
      <w:r>
        <w:t>high threshold</w:t>
      </w:r>
      <w:r w:rsidR="00BC60D1">
        <w:t>"</w:t>
      </w:r>
      <w:r>
        <w:rPr>
          <w:rStyle w:val="FootnoteReference"/>
        </w:rPr>
        <w:footnoteReference w:id="4"/>
      </w:r>
      <w:r>
        <w:t xml:space="preserve"> in that each element must be sufficiently demonstrated by the evidence. A panel cannot lightly assume the existence of a rule or norm.</w:t>
      </w:r>
    </w:p>
    <w:p w14:paraId="5B2605DF" w14:textId="05F42F45" w:rsidR="00A06D61" w:rsidRDefault="001042FC" w:rsidP="00EC6E76">
      <w:pPr>
        <w:pStyle w:val="P1-N1Paragraph1-Number1"/>
      </w:pPr>
      <w:r w:rsidRPr="001535C1">
        <w:t xml:space="preserve">Unwritten measures by their nature entail complex evidentiary considerations. Where a measure is not expressed in a written document, </w:t>
      </w:r>
      <w:r w:rsidR="00DB2747">
        <w:t>"</w:t>
      </w:r>
      <w:r w:rsidRPr="001535C1">
        <w:t>a panel must carefully examine the concrete instrumentalities that evidence the existence of the purported measure</w:t>
      </w:r>
      <w:r w:rsidR="00DB2747">
        <w:t>"</w:t>
      </w:r>
      <w:r w:rsidRPr="001535C1">
        <w:t>.</w:t>
      </w:r>
      <w:r>
        <w:rPr>
          <w:rStyle w:val="FootnoteReference"/>
        </w:rPr>
        <w:footnoteReference w:id="5"/>
      </w:r>
      <w:r>
        <w:t xml:space="preserve"> </w:t>
      </w:r>
    </w:p>
    <w:p w14:paraId="11F8B230" w14:textId="77777777" w:rsidR="0044550A" w:rsidRDefault="0044550A" w:rsidP="0044550A">
      <w:pPr>
        <w:pStyle w:val="P1-N1Paragraph1-Number1"/>
        <w:numPr>
          <w:ilvl w:val="0"/>
          <w:numId w:val="0"/>
        </w:numPr>
      </w:pPr>
    </w:p>
    <w:p w14:paraId="27E73BCB" w14:textId="77777777" w:rsidR="0044550A" w:rsidRDefault="0044550A" w:rsidP="0044550A">
      <w:pPr>
        <w:pStyle w:val="P1-N1Paragraph1-Number1"/>
        <w:numPr>
          <w:ilvl w:val="0"/>
          <w:numId w:val="0"/>
        </w:numPr>
      </w:pPr>
    </w:p>
    <w:p w14:paraId="3974E9E0" w14:textId="326155D1" w:rsidR="00EC6E76" w:rsidRDefault="001042FC" w:rsidP="00EC6E76">
      <w:pPr>
        <w:pStyle w:val="P1-N1Paragraph1-Number1"/>
      </w:pPr>
      <w:r w:rsidRPr="00E607AC">
        <w:lastRenderedPageBreak/>
        <w:t>Previous WTO panel reports have found that an unwritten measure can be determined from secondary sources of evidence including policy documents, administrative guidelines and statements of government officials.</w:t>
      </w:r>
      <w:r w:rsidR="00B46ACA">
        <w:rPr>
          <w:rStyle w:val="FootnoteReference"/>
        </w:rPr>
        <w:footnoteReference w:id="6"/>
      </w:r>
      <w:r>
        <w:t xml:space="preserve"> Australia considers that it is open to the Panel to consider </w:t>
      </w:r>
      <w:r w:rsidRPr="00215626">
        <w:t xml:space="preserve">the collective weight of </w:t>
      </w:r>
      <w:r>
        <w:t xml:space="preserve">a complainant’s </w:t>
      </w:r>
      <w:r w:rsidRPr="00215626">
        <w:t>evidence in establishing the existence and content of the unwritten measure.</w:t>
      </w:r>
      <w:r>
        <w:t xml:space="preserve"> </w:t>
      </w:r>
    </w:p>
    <w:p w14:paraId="1213FA25" w14:textId="10CA8C51" w:rsidR="00F94D68" w:rsidRDefault="006D5989" w:rsidP="00BB49FA">
      <w:pPr>
        <w:pStyle w:val="P1-N1Paragraph1-Number1"/>
      </w:pPr>
      <w:r>
        <w:t xml:space="preserve">Turning to whether the alleged unwritten </w:t>
      </w:r>
      <w:r w:rsidR="001042FC" w:rsidRPr="00F1636B">
        <w:t xml:space="preserve">measure </w:t>
      </w:r>
      <w:r>
        <w:t xml:space="preserve">has </w:t>
      </w:r>
      <w:r w:rsidR="00DB2747">
        <w:t>"</w:t>
      </w:r>
      <w:r w:rsidRPr="00F1636B">
        <w:t>general and prospective application</w:t>
      </w:r>
      <w:r w:rsidR="00DB2747">
        <w:t>"</w:t>
      </w:r>
      <w:r>
        <w:t xml:space="preserve">, </w:t>
      </w:r>
      <w:r w:rsidR="00387CED">
        <w:t xml:space="preserve">this </w:t>
      </w:r>
      <w:r w:rsidR="001042FC" w:rsidRPr="00F1636B">
        <w:t xml:space="preserve">may be found if </w:t>
      </w:r>
      <w:r w:rsidR="00387CED">
        <w:t>the measure</w:t>
      </w:r>
      <w:r w:rsidR="001042FC" w:rsidRPr="00F1636B">
        <w:t xml:space="preserve"> reflects a deliberate policy, going beyond the mere repetition of the application of the measure in specific instances.</w:t>
      </w:r>
      <w:r w:rsidR="001042FC">
        <w:rPr>
          <w:rStyle w:val="FootnoteReference"/>
        </w:rPr>
        <w:footnoteReference w:id="7"/>
      </w:r>
      <w:r w:rsidR="001042FC">
        <w:t xml:space="preserve"> </w:t>
      </w:r>
      <w:r w:rsidR="00BB49FA">
        <w:t>In this regard, the</w:t>
      </w:r>
      <w:r w:rsidR="00BB49FA" w:rsidRPr="00C37FD8">
        <w:t xml:space="preserve"> Appellate Body has explained that relevant evidence may include proof of </w:t>
      </w:r>
      <w:r w:rsidR="004825DF">
        <w:t>the measure’s</w:t>
      </w:r>
      <w:r w:rsidR="00BB49FA" w:rsidRPr="00C37FD8">
        <w:t xml:space="preserve"> </w:t>
      </w:r>
      <w:r w:rsidR="00215FB0">
        <w:t>“</w:t>
      </w:r>
      <w:r w:rsidR="00BB49FA" w:rsidRPr="00C37FD8">
        <w:t>systematic application</w:t>
      </w:r>
      <w:r w:rsidR="00215FB0">
        <w:t>”.</w:t>
      </w:r>
      <w:r w:rsidR="00BB49FA">
        <w:rPr>
          <w:rStyle w:val="FootnoteReference"/>
        </w:rPr>
        <w:footnoteReference w:id="8"/>
      </w:r>
      <w:r w:rsidR="00BB49FA">
        <w:t xml:space="preserve"> </w:t>
      </w:r>
      <w:r w:rsidR="00925C7D">
        <w:t xml:space="preserve">Furthermore, as the Appellate Body has identified, </w:t>
      </w:r>
      <w:r w:rsidR="00DB2747">
        <w:t>"</w:t>
      </w:r>
      <w:r w:rsidR="00925C7D" w:rsidRPr="00EA2EE5">
        <w:t>the extent to which a particular rule or norm provides administrative guidance for future conduct and the expectations it creates among economic operators that it will be applied in the future, are also relevant in establishing the prospective nature of that rule or norm</w:t>
      </w:r>
      <w:r w:rsidR="00925C7D">
        <w:t>.</w:t>
      </w:r>
      <w:r w:rsidR="00DB2747">
        <w:t>"</w:t>
      </w:r>
      <w:r w:rsidR="00925C7D">
        <w:rPr>
          <w:rStyle w:val="FootnoteReference"/>
        </w:rPr>
        <w:footnoteReference w:id="9"/>
      </w:r>
      <w:r w:rsidR="00C37FD8">
        <w:t xml:space="preserve"> </w:t>
      </w:r>
    </w:p>
    <w:p w14:paraId="18E26CE3" w14:textId="2B35E1E3" w:rsidR="00F94D68" w:rsidRDefault="00F94D68" w:rsidP="00F94D68">
      <w:pPr>
        <w:pStyle w:val="P1-N1Paragraph1-Number1"/>
      </w:pPr>
      <w:r>
        <w:t>Australia does not take a position on the specific evidence in this dispute. However, Indonesia appears to rely on three categories of evidence to demonstrate that the</w:t>
      </w:r>
      <w:r w:rsidR="00387CED">
        <w:t>re exists an</w:t>
      </w:r>
      <w:r>
        <w:t xml:space="preserve"> unwritten measure of </w:t>
      </w:r>
      <w:r w:rsidR="00DB2747">
        <w:t>"</w:t>
      </w:r>
      <w:r>
        <w:t>general and prospective application</w:t>
      </w:r>
      <w:r w:rsidR="00DB2747">
        <w:t>"</w:t>
      </w:r>
      <w:r>
        <w:t>:</w:t>
      </w:r>
    </w:p>
    <w:p w14:paraId="4177F075" w14:textId="77777777" w:rsidR="00F94D68" w:rsidRDefault="00F94D68" w:rsidP="00F94D68">
      <w:pPr>
        <w:pStyle w:val="P2-B1Paragraph2-Bullet1"/>
      </w:pPr>
      <w:r>
        <w:t>First, previous findings of the Commission, including the underlying investigation into duties on fatty acids;</w:t>
      </w:r>
    </w:p>
    <w:p w14:paraId="31508C3D" w14:textId="77777777" w:rsidR="00F94D68" w:rsidRDefault="00F94D68" w:rsidP="00F94D68">
      <w:pPr>
        <w:pStyle w:val="P2-B1Paragraph2-Bullet1"/>
      </w:pPr>
      <w:r>
        <w:t>Second, the language used by the Commission in the instances identified by Indonesia; and</w:t>
      </w:r>
    </w:p>
    <w:p w14:paraId="36B34B0D" w14:textId="258204EE" w:rsidR="00F94D68" w:rsidRDefault="00F94D68" w:rsidP="00CA0542">
      <w:pPr>
        <w:pStyle w:val="P2-B1Paragraph2-Bullet1"/>
      </w:pPr>
      <w:r>
        <w:t>Finally, disclosures made by the Commission in those instances, specifically the calculation file.</w:t>
      </w:r>
      <w:r w:rsidR="008B068C">
        <w:rPr>
          <w:rStyle w:val="FootnoteReference"/>
        </w:rPr>
        <w:footnoteReference w:id="10"/>
      </w:r>
    </w:p>
    <w:p w14:paraId="5DB5765E" w14:textId="77777777" w:rsidR="0044550A" w:rsidRDefault="0044550A" w:rsidP="0044550A">
      <w:pPr>
        <w:pStyle w:val="P1-N1Paragraph1-Number1"/>
        <w:numPr>
          <w:ilvl w:val="0"/>
          <w:numId w:val="0"/>
        </w:numPr>
      </w:pPr>
    </w:p>
    <w:p w14:paraId="738F7131" w14:textId="3926C0ED" w:rsidR="001042FC" w:rsidRDefault="001042FC" w:rsidP="004D7B60">
      <w:pPr>
        <w:pStyle w:val="P1-N1Paragraph1-Number1"/>
      </w:pPr>
      <w:r>
        <w:lastRenderedPageBreak/>
        <w:t>The Panel could consider whether the instances identified by Indonesia ha</w:t>
      </w:r>
      <w:r w:rsidR="00060237">
        <w:t>ve</w:t>
      </w:r>
      <w:r>
        <w:t xml:space="preserve"> the </w:t>
      </w:r>
      <w:r w:rsidR="00302320">
        <w:t xml:space="preserve">required </w:t>
      </w:r>
      <w:r>
        <w:t>frequency</w:t>
      </w:r>
      <w:r w:rsidR="00162CD4">
        <w:t>,</w:t>
      </w:r>
      <w:r>
        <w:t xml:space="preserve"> consistency and extended repetition</w:t>
      </w:r>
      <w:r w:rsidR="00302320">
        <w:t xml:space="preserve"> to constitute a measure of “general and prospective application”</w:t>
      </w:r>
      <w:r>
        <w:t>.</w:t>
      </w:r>
      <w:r w:rsidR="006F2CF0">
        <w:rPr>
          <w:rStyle w:val="FootnoteReference"/>
        </w:rPr>
        <w:footnoteReference w:id="11"/>
      </w:r>
      <w:r>
        <w:t xml:space="preserve"> </w:t>
      </w:r>
      <w:r w:rsidR="000C3CCB">
        <w:t>While</w:t>
      </w:r>
      <w:r w:rsidR="004E4EDF">
        <w:t xml:space="preserve"> Indonesia references </w:t>
      </w:r>
      <w:r w:rsidR="00DE63C2">
        <w:t>the "systematic application" of the methodology,</w:t>
      </w:r>
      <w:r w:rsidR="00DE63C2">
        <w:rPr>
          <w:rStyle w:val="FootnoteReference"/>
        </w:rPr>
        <w:footnoteReference w:id="12"/>
      </w:r>
      <w:r w:rsidR="00DE63C2">
        <w:t xml:space="preserve"> it </w:t>
      </w:r>
      <w:r w:rsidR="00774C5D">
        <w:t>appears to Australia that</w:t>
      </w:r>
      <w:r>
        <w:t xml:space="preserve"> Indonesia </w:t>
      </w:r>
      <w:r w:rsidR="00A571BC">
        <w:t xml:space="preserve">places </w:t>
      </w:r>
      <w:r w:rsidR="00497790">
        <w:t xml:space="preserve">significant </w:t>
      </w:r>
      <w:r w:rsidR="00A571BC">
        <w:t xml:space="preserve">reliance </w:t>
      </w:r>
      <w:r>
        <w:t>on</w:t>
      </w:r>
      <w:r w:rsidR="00302320">
        <w:t xml:space="preserve"> </w:t>
      </w:r>
      <w:r>
        <w:t xml:space="preserve">repetition to prove the existence of an </w:t>
      </w:r>
      <w:r w:rsidR="00DB2747">
        <w:t>"</w:t>
      </w:r>
      <w:r>
        <w:t>intentional policy</w:t>
      </w:r>
      <w:r w:rsidR="00DB2747">
        <w:t>"</w:t>
      </w:r>
      <w:r w:rsidR="00EC0A8F">
        <w:t>.</w:t>
      </w:r>
      <w:r>
        <w:rPr>
          <w:rStyle w:val="FootnoteReference"/>
        </w:rPr>
        <w:footnoteReference w:id="13"/>
      </w:r>
      <w:r>
        <w:t xml:space="preserve"> </w:t>
      </w:r>
    </w:p>
    <w:p w14:paraId="0774EE8F" w14:textId="54241A57" w:rsidR="00B57291" w:rsidRDefault="00774C5D" w:rsidP="00D43080">
      <w:pPr>
        <w:pStyle w:val="P1-N1Paragraph1-Number1"/>
      </w:pPr>
      <w:r>
        <w:t xml:space="preserve">In the context of permissive legislation and in the absence of any other evidence, Australia considers that a </w:t>
      </w:r>
      <w:r w:rsidR="00302320">
        <w:t xml:space="preserve">limited number </w:t>
      </w:r>
      <w:r>
        <w:t xml:space="preserve">of specific applications may not have sufficient probative value to demonstrate </w:t>
      </w:r>
      <w:r w:rsidR="00A06D61">
        <w:t>either</w:t>
      </w:r>
      <w:r>
        <w:t xml:space="preserve"> the precise content of a measure, </w:t>
      </w:r>
      <w:r w:rsidR="00A06D61">
        <w:t>or that it has</w:t>
      </w:r>
      <w:r>
        <w:t xml:space="preserve"> general and prospective application.</w:t>
      </w:r>
      <w:r w:rsidR="000E5BC3">
        <w:rPr>
          <w:rStyle w:val="FootnoteReference"/>
        </w:rPr>
        <w:footnoteReference w:id="14"/>
      </w:r>
    </w:p>
    <w:p w14:paraId="68E5E74F" w14:textId="433485BD" w:rsidR="008B3ED6" w:rsidRDefault="008B3ED6" w:rsidP="00BA52F9">
      <w:pPr>
        <w:pStyle w:val="HL1HeadingLevel1"/>
        <w:numPr>
          <w:ilvl w:val="0"/>
          <w:numId w:val="9"/>
        </w:numPr>
      </w:pPr>
      <w:bookmarkStart w:id="4" w:name="_Toc205466149"/>
      <w:r>
        <w:t>STANDING</w:t>
      </w:r>
      <w:bookmarkEnd w:id="4"/>
      <w:r>
        <w:t xml:space="preserve"> </w:t>
      </w:r>
    </w:p>
    <w:p w14:paraId="77C6936B" w14:textId="12B676B2" w:rsidR="00B40A00" w:rsidRDefault="00DD0EFD" w:rsidP="00664126">
      <w:pPr>
        <w:pStyle w:val="P1-N1Paragraph1-Number1"/>
      </w:pPr>
      <w:r>
        <w:t>The Appellate Body has said that s</w:t>
      </w:r>
      <w:r w:rsidR="008F2904" w:rsidRPr="00F55159">
        <w:t xml:space="preserve">tanding, or </w:t>
      </w:r>
      <w:r w:rsidR="008F2904" w:rsidRPr="00F55159">
        <w:rPr>
          <w:i/>
          <w:iCs/>
        </w:rPr>
        <w:t>locus standi</w:t>
      </w:r>
      <w:r w:rsidR="008F2904" w:rsidRPr="00F55159">
        <w:t xml:space="preserve">, is generally understood to mean the right to </w:t>
      </w:r>
      <w:r w:rsidR="008F2904" w:rsidRPr="00917445">
        <w:t>bring</w:t>
      </w:r>
      <w:r w:rsidR="008F2904" w:rsidRPr="00F55159">
        <w:t xml:space="preserve"> an action in a dispute</w:t>
      </w:r>
      <w:r w:rsidR="00D511C2">
        <w:t>.</w:t>
      </w:r>
      <w:r w:rsidR="008F2904">
        <w:rPr>
          <w:rStyle w:val="FootnoteReference"/>
        </w:rPr>
        <w:footnoteReference w:id="15"/>
      </w:r>
      <w:r w:rsidR="008F2904" w:rsidRPr="00F55159">
        <w:t xml:space="preserve"> </w:t>
      </w:r>
      <w:r w:rsidR="00A041DE">
        <w:t xml:space="preserve">In the context of the </w:t>
      </w:r>
      <w:r w:rsidR="00B40A00" w:rsidRPr="00825FBD">
        <w:t>Anti-Dumping Agreement</w:t>
      </w:r>
      <w:r w:rsidR="00A041DE" w:rsidRPr="00825FBD">
        <w:t>,</w:t>
      </w:r>
      <w:r w:rsidR="00A041DE">
        <w:rPr>
          <w:i/>
          <w:iCs/>
        </w:rPr>
        <w:t xml:space="preserve"> </w:t>
      </w:r>
      <w:r w:rsidR="00A041DE">
        <w:t>t</w:t>
      </w:r>
      <w:r w:rsidR="00A041DE" w:rsidRPr="004808B5">
        <w:t xml:space="preserve">he standing requirements in Article 5.4 </w:t>
      </w:r>
      <w:r w:rsidR="00B40A00" w:rsidRPr="004808B5">
        <w:t>are an important step to provide interested parties potentially subject to the investigation a meaningful test of whether the application has the required support of the industry</w:t>
      </w:r>
      <w:r w:rsidR="00B40A00">
        <w:t>.</w:t>
      </w:r>
      <w:r w:rsidR="00B40A00">
        <w:rPr>
          <w:rStyle w:val="FootnoteReference"/>
        </w:rPr>
        <w:footnoteReference w:id="16"/>
      </w:r>
      <w:r w:rsidR="00B40A00">
        <w:t xml:space="preserve"> </w:t>
      </w:r>
    </w:p>
    <w:p w14:paraId="4DF82A84" w14:textId="7CF44927" w:rsidR="004949B1" w:rsidRDefault="00445689" w:rsidP="00A44CD0">
      <w:pPr>
        <w:pStyle w:val="P1-N1Paragraph1-Number1"/>
      </w:pPr>
      <w:r>
        <w:t xml:space="preserve">Indonesia argues that the investigation should have been terminated at the time the </w:t>
      </w:r>
      <w:r w:rsidR="00774C5D">
        <w:t xml:space="preserve">complaint </w:t>
      </w:r>
      <w:r>
        <w:t xml:space="preserve">was withdrawn, because the standing requirement under Article 5.4 of the </w:t>
      </w:r>
      <w:r w:rsidRPr="00825FBD">
        <w:t xml:space="preserve">Anti-Dumping Agreement </w:t>
      </w:r>
      <w:r>
        <w:t xml:space="preserve">was </w:t>
      </w:r>
      <w:r w:rsidR="00B34BCC">
        <w:t>l</w:t>
      </w:r>
      <w:r w:rsidR="002777DC">
        <w:t xml:space="preserve">ikely </w:t>
      </w:r>
      <w:r>
        <w:t>no longer met.</w:t>
      </w:r>
      <w:r>
        <w:rPr>
          <w:rStyle w:val="FootnoteReference"/>
        </w:rPr>
        <w:footnoteReference w:id="17"/>
      </w:r>
      <w:r>
        <w:t xml:space="preserve"> </w:t>
      </w:r>
    </w:p>
    <w:p w14:paraId="2F05B35A" w14:textId="2EEE8ECC" w:rsidR="00813DC5" w:rsidRDefault="00CD22F0" w:rsidP="00813DC5">
      <w:pPr>
        <w:pStyle w:val="P1-N1Paragraph1-Number1"/>
      </w:pPr>
      <w:r>
        <w:t xml:space="preserve">Australia does not take a position on the specific evidence in this dispute. </w:t>
      </w:r>
      <w:r w:rsidR="006A2D9E">
        <w:t>However, i</w:t>
      </w:r>
      <w:r w:rsidR="00813DC5">
        <w:t>n Australia’s view, once an investigating authority is satisfied of the adequacy and accuracy</w:t>
      </w:r>
      <w:r w:rsidR="00813DC5">
        <w:rPr>
          <w:rStyle w:val="FootnoteReference"/>
        </w:rPr>
        <w:footnoteReference w:id="18"/>
      </w:r>
      <w:r w:rsidR="00813DC5">
        <w:t xml:space="preserve"> of the information forming the basis for the standing determination, the investigation should proceed without reconsideration of its determination – even if the support justifying the initiation subsequently falls below the requisite numerical benchmark. </w:t>
      </w:r>
    </w:p>
    <w:p w14:paraId="5DC5A0AB" w14:textId="2A3ADAAE" w:rsidR="00F35F13" w:rsidRDefault="00D209BA" w:rsidP="00F35F13">
      <w:pPr>
        <w:pStyle w:val="P1-N1Paragraph1-Number1"/>
      </w:pPr>
      <w:r>
        <w:lastRenderedPageBreak/>
        <w:t>Australia notes that t</w:t>
      </w:r>
      <w:r w:rsidRPr="00A66A9F">
        <w:t xml:space="preserve">he Panel in </w:t>
      </w:r>
      <w:r w:rsidRPr="00A66A9F">
        <w:rPr>
          <w:i/>
          <w:iCs/>
        </w:rPr>
        <w:t>Mexico – Steel Pipes and Tubes</w:t>
      </w:r>
      <w:r w:rsidRPr="00A66A9F">
        <w:t xml:space="preserve"> </w:t>
      </w:r>
      <w:r>
        <w:t>stated</w:t>
      </w:r>
      <w:r w:rsidRPr="00A66A9F">
        <w:t xml:space="preserve"> that </w:t>
      </w:r>
      <w:r w:rsidR="00F03947">
        <w:t>"</w:t>
      </w:r>
      <w:r w:rsidRPr="00A66A9F">
        <w:t xml:space="preserve">Article 5.4 pertains exclusively to initiation, and </w:t>
      </w:r>
      <w:r w:rsidRPr="00773D75">
        <w:t>there is</w:t>
      </w:r>
      <w:r w:rsidRPr="00FD43C2">
        <w:rPr>
          <w:i/>
          <w:iCs/>
        </w:rPr>
        <w:t xml:space="preserve"> </w:t>
      </w:r>
      <w:r w:rsidRPr="001B7AF5">
        <w:t xml:space="preserve">no on-going obligation to monitor domestic industry support once an investigation has been initiated </w:t>
      </w:r>
      <w:r w:rsidRPr="00A66A9F">
        <w:t>under the Anti-Dumping Agreement</w:t>
      </w:r>
      <w:r w:rsidR="00F03947">
        <w:t>"</w:t>
      </w:r>
      <w:r>
        <w:t>.</w:t>
      </w:r>
      <w:r>
        <w:rPr>
          <w:rStyle w:val="FootnoteReference"/>
        </w:rPr>
        <w:footnoteReference w:id="19"/>
      </w:r>
      <w:r>
        <w:t xml:space="preserve"> </w:t>
      </w:r>
      <w:r w:rsidR="00DF04F1">
        <w:t xml:space="preserve">Indeed, in </w:t>
      </w:r>
      <w:r w:rsidR="00F35F13">
        <w:t>Australia</w:t>
      </w:r>
      <w:r w:rsidR="00DF04F1">
        <w:t xml:space="preserve">'s view, </w:t>
      </w:r>
      <w:r w:rsidR="00F35F13">
        <w:t>to impose an obligation on the investigating authority to revisit standing after initiation of the investigation would undermine an investigating authority’s ability to focus on completing a proper investigation without unnecessary delay</w:t>
      </w:r>
      <w:r w:rsidR="00206F0F">
        <w:t>.</w:t>
      </w:r>
    </w:p>
    <w:p w14:paraId="5AA4BA46" w14:textId="1F3ADB61" w:rsidR="00010FD5" w:rsidRDefault="00772610" w:rsidP="008B3ED6">
      <w:pPr>
        <w:pStyle w:val="P1-N1Paragraph1-Number1"/>
      </w:pPr>
      <w:r w:rsidRPr="00772610">
        <w:t>Australia agrees with the European Union that no obligation to revisit the standing assessment exists or could, let alone should, be supported by Article 5.4. of the Anti-Dumping Agreement.</w:t>
      </w:r>
      <w:r w:rsidR="001336B0">
        <w:rPr>
          <w:rStyle w:val="FootnoteReference"/>
        </w:rPr>
        <w:footnoteReference w:id="20"/>
      </w:r>
      <w:r w:rsidRPr="00772610">
        <w:t xml:space="preserve"> </w:t>
      </w:r>
      <w:r w:rsidR="00372A26">
        <w:t xml:space="preserve">It is appropriate for an </w:t>
      </w:r>
      <w:r w:rsidR="00744184">
        <w:t xml:space="preserve">investigating authority </w:t>
      </w:r>
      <w:r w:rsidR="00372A26">
        <w:t xml:space="preserve">to </w:t>
      </w:r>
      <w:r w:rsidR="00241A14">
        <w:t>carry out its investigation in a proper manner</w:t>
      </w:r>
      <w:r w:rsidR="009F3349">
        <w:t xml:space="preserve">, without </w:t>
      </w:r>
      <w:r w:rsidR="00C0088C">
        <w:t>undue</w:t>
      </w:r>
      <w:r w:rsidR="009F3349">
        <w:t xml:space="preserve"> delay</w:t>
      </w:r>
      <w:r w:rsidR="00372A26">
        <w:t xml:space="preserve">, even </w:t>
      </w:r>
      <w:r w:rsidR="00B15F8B">
        <w:t>in circumstances where a</w:t>
      </w:r>
      <w:r w:rsidR="00107A57">
        <w:t xml:space="preserve"> </w:t>
      </w:r>
      <w:r w:rsidR="007F469E">
        <w:t xml:space="preserve">complaint </w:t>
      </w:r>
      <w:r w:rsidR="00107A57">
        <w:t xml:space="preserve">has been withdrawn. </w:t>
      </w:r>
    </w:p>
    <w:p w14:paraId="7E890B4B" w14:textId="2451CAED" w:rsidR="00066E4F" w:rsidRDefault="00994BF4" w:rsidP="00BA52F9">
      <w:pPr>
        <w:pStyle w:val="HL1HeadingLevel1"/>
        <w:numPr>
          <w:ilvl w:val="0"/>
          <w:numId w:val="9"/>
        </w:numPr>
      </w:pPr>
      <w:bookmarkStart w:id="5" w:name="_Toc205283677"/>
      <w:bookmarkStart w:id="6" w:name="_Toc205466150"/>
      <w:r>
        <w:rPr>
          <w:caps w:val="0"/>
        </w:rPr>
        <w:t>CONCLUSION</w:t>
      </w:r>
      <w:bookmarkEnd w:id="5"/>
      <w:bookmarkEnd w:id="6"/>
      <w:r>
        <w:rPr>
          <w:caps w:val="0"/>
        </w:rPr>
        <w:t xml:space="preserve"> </w:t>
      </w:r>
    </w:p>
    <w:p w14:paraId="6A832AFD" w14:textId="22E18E7A" w:rsidR="00066E4F" w:rsidRPr="00CD5BB5" w:rsidRDefault="00066E4F" w:rsidP="00066E4F">
      <w:pPr>
        <w:pStyle w:val="P1-N1Paragraph1-Number1"/>
      </w:pPr>
      <w:r>
        <w:t xml:space="preserve">Australia thanks the Panel for the opportunity to submit its views on the issues raised in this dispute. </w:t>
      </w:r>
    </w:p>
    <w:p w14:paraId="414F5E99" w14:textId="77777777" w:rsidR="00066E4F" w:rsidRDefault="00066E4F" w:rsidP="00BA52F9">
      <w:pPr>
        <w:pStyle w:val="P1-N1Paragraph1-Number1"/>
        <w:numPr>
          <w:ilvl w:val="0"/>
          <w:numId w:val="0"/>
        </w:numPr>
      </w:pPr>
    </w:p>
    <w:sectPr w:rsidR="00066E4F" w:rsidSect="008F5B14">
      <w:headerReference w:type="default" r:id="rId11"/>
      <w:footerReference w:type="default" r:id="rId12"/>
      <w:pgSz w:w="11906" w:h="16838" w:code="9"/>
      <w:pgMar w:top="1418" w:right="1418" w:bottom="1418"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BE73" w14:textId="77777777" w:rsidR="00A15FB1" w:rsidRDefault="00A15FB1" w:rsidP="00006269">
      <w:pPr>
        <w:spacing w:after="0" w:line="240" w:lineRule="auto"/>
      </w:pPr>
      <w:r>
        <w:separator/>
      </w:r>
    </w:p>
  </w:endnote>
  <w:endnote w:type="continuationSeparator" w:id="0">
    <w:p w14:paraId="16D89ED4" w14:textId="77777777" w:rsidR="00A15FB1" w:rsidRDefault="00A15FB1" w:rsidP="000062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61B6C" w14:textId="77777777" w:rsidR="00380795" w:rsidRDefault="00380795">
    <w:pPr>
      <w:pStyle w:val="Footer"/>
    </w:pPr>
    <w:r>
      <w:ptab w:relativeTo="margin" w:alignment="right" w:leader="none"/>
    </w:r>
    <w:r w:rsidRPr="00006269">
      <w:fldChar w:fldCharType="begin"/>
    </w:r>
    <w:r w:rsidRPr="00006269">
      <w:instrText xml:space="preserve"> PAGE   \* MERGEFORMAT </w:instrText>
    </w:r>
    <w:r w:rsidRPr="00006269">
      <w:fldChar w:fldCharType="separate"/>
    </w:r>
    <w:r w:rsidRPr="00006269">
      <w:rPr>
        <w:noProof/>
      </w:rPr>
      <w:t>1</w:t>
    </w:r>
    <w:r w:rsidRPr="0000626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EC46B" w14:textId="77777777" w:rsidR="00A15FB1" w:rsidRDefault="00A15FB1" w:rsidP="00006269">
      <w:pPr>
        <w:spacing w:after="0" w:line="240" w:lineRule="auto"/>
      </w:pPr>
      <w:r>
        <w:separator/>
      </w:r>
    </w:p>
  </w:footnote>
  <w:footnote w:type="continuationSeparator" w:id="0">
    <w:p w14:paraId="6BBF5503" w14:textId="77777777" w:rsidR="00A15FB1" w:rsidRDefault="00A15FB1" w:rsidP="00006269">
      <w:pPr>
        <w:spacing w:after="0" w:line="240" w:lineRule="auto"/>
      </w:pPr>
      <w:r>
        <w:continuationSeparator/>
      </w:r>
    </w:p>
  </w:footnote>
  <w:footnote w:id="1">
    <w:p w14:paraId="1F4DDD03" w14:textId="6DEF9CC6" w:rsidR="001042FC" w:rsidRPr="00A1762C" w:rsidRDefault="001042FC" w:rsidP="001042FC">
      <w:pPr>
        <w:pStyle w:val="FootnoteText"/>
      </w:pPr>
      <w:r w:rsidRPr="00A1762C">
        <w:rPr>
          <w:rStyle w:val="FootnoteReference"/>
        </w:rPr>
        <w:footnoteRef/>
      </w:r>
      <w:r w:rsidRPr="00A1762C">
        <w:t xml:space="preserve"> </w:t>
      </w:r>
      <w:r w:rsidR="00245E64" w:rsidRPr="00A1762C">
        <w:rPr>
          <w:lang w:val="en-US"/>
        </w:rPr>
        <w:t>E</w:t>
      </w:r>
      <w:r w:rsidR="00607472" w:rsidRPr="00A1762C">
        <w:rPr>
          <w:lang w:val="en-US"/>
        </w:rPr>
        <w:t>uropean Union’s</w:t>
      </w:r>
      <w:r w:rsidR="00245E64" w:rsidRPr="00A1762C">
        <w:rPr>
          <w:lang w:val="en-US"/>
        </w:rPr>
        <w:t xml:space="preserve"> </w:t>
      </w:r>
      <w:r w:rsidR="00E14492" w:rsidRPr="00A1762C">
        <w:rPr>
          <w:lang w:val="en-US"/>
        </w:rPr>
        <w:t>f</w:t>
      </w:r>
      <w:r w:rsidR="00245E64" w:rsidRPr="00A1762C">
        <w:rPr>
          <w:lang w:val="en-US"/>
        </w:rPr>
        <w:t xml:space="preserve">irst </w:t>
      </w:r>
      <w:r w:rsidR="00E14492" w:rsidRPr="00A1762C">
        <w:rPr>
          <w:lang w:val="en-US"/>
        </w:rPr>
        <w:t>w</w:t>
      </w:r>
      <w:r w:rsidR="00245E64" w:rsidRPr="00A1762C">
        <w:rPr>
          <w:lang w:val="en-US"/>
        </w:rPr>
        <w:t xml:space="preserve">ritten </w:t>
      </w:r>
      <w:r w:rsidR="00E14492" w:rsidRPr="00A1762C">
        <w:rPr>
          <w:lang w:val="en-US"/>
        </w:rPr>
        <w:t>s</w:t>
      </w:r>
      <w:r w:rsidR="00245E64" w:rsidRPr="00A1762C">
        <w:rPr>
          <w:lang w:val="en-US"/>
        </w:rPr>
        <w:t>ubmission,</w:t>
      </w:r>
      <w:r w:rsidRPr="00A1762C">
        <w:rPr>
          <w:lang w:val="en-US"/>
        </w:rPr>
        <w:t xml:space="preserve"> para. 36</w:t>
      </w:r>
      <w:r w:rsidR="00BD10F1" w:rsidRPr="00A1762C">
        <w:rPr>
          <w:lang w:val="en-US"/>
        </w:rPr>
        <w:t xml:space="preserve">; </w:t>
      </w:r>
      <w:r w:rsidR="00BD10F1" w:rsidRPr="00BD10F1">
        <w:t xml:space="preserve">Appellate Body Report, </w:t>
      </w:r>
      <w:r w:rsidR="00BD10F1" w:rsidRPr="00BD10F1">
        <w:rPr>
          <w:i/>
          <w:iCs/>
        </w:rPr>
        <w:t>US – Oil Country Tubular Goods Sunset Reviews</w:t>
      </w:r>
      <w:r w:rsidR="00BD10F1" w:rsidRPr="00BD10F1">
        <w:t xml:space="preserve">, para. 172. </w:t>
      </w:r>
    </w:p>
  </w:footnote>
  <w:footnote w:id="2">
    <w:p w14:paraId="35590721" w14:textId="78B64421" w:rsidR="00A75180" w:rsidRPr="00A1762C" w:rsidRDefault="00A75180">
      <w:pPr>
        <w:pStyle w:val="FootnoteText"/>
      </w:pPr>
      <w:r w:rsidRPr="00A1762C">
        <w:rPr>
          <w:rStyle w:val="FootnoteReference"/>
        </w:rPr>
        <w:footnoteRef/>
      </w:r>
      <w:r w:rsidRPr="00A1762C">
        <w:t xml:space="preserve"> Appellate Body Report, </w:t>
      </w:r>
      <w:r w:rsidRPr="00A1762C">
        <w:rPr>
          <w:i/>
          <w:iCs/>
        </w:rPr>
        <w:t>U</w:t>
      </w:r>
      <w:r w:rsidR="00697885" w:rsidRPr="00A1762C">
        <w:rPr>
          <w:i/>
          <w:iCs/>
        </w:rPr>
        <w:t xml:space="preserve">S – Oil Country Tubular Sunset Reviews, </w:t>
      </w:r>
      <w:r w:rsidR="00697885" w:rsidRPr="00A1762C">
        <w:t>para. 172.</w:t>
      </w:r>
    </w:p>
  </w:footnote>
  <w:footnote w:id="3">
    <w:p w14:paraId="34E9BDD6" w14:textId="77777777" w:rsidR="004C048D" w:rsidRPr="00A1762C" w:rsidRDefault="004C048D" w:rsidP="004C048D">
      <w:pPr>
        <w:pStyle w:val="FootnoteText"/>
        <w:rPr>
          <w:lang w:val="en-US"/>
        </w:rPr>
      </w:pPr>
      <w:r w:rsidRPr="00A1762C">
        <w:rPr>
          <w:rStyle w:val="FootnoteReference"/>
        </w:rPr>
        <w:footnoteRef/>
      </w:r>
      <w:r w:rsidRPr="00A1762C">
        <w:t xml:space="preserve"> Appellate Body Report, </w:t>
      </w:r>
      <w:r w:rsidRPr="00A1762C">
        <w:rPr>
          <w:i/>
          <w:iCs/>
        </w:rPr>
        <w:t>US – Zeroing (EC),</w:t>
      </w:r>
      <w:r w:rsidRPr="00A1762C">
        <w:t xml:space="preserve"> para. 198.</w:t>
      </w:r>
    </w:p>
  </w:footnote>
  <w:footnote w:id="4">
    <w:p w14:paraId="06248812" w14:textId="77777777" w:rsidR="004C048D" w:rsidRPr="00A1762C" w:rsidRDefault="004C048D" w:rsidP="004C048D">
      <w:pPr>
        <w:pStyle w:val="FootnoteText"/>
        <w:rPr>
          <w:lang w:val="en-US"/>
        </w:rPr>
      </w:pPr>
      <w:r w:rsidRPr="00A1762C">
        <w:rPr>
          <w:rStyle w:val="FootnoteReference"/>
        </w:rPr>
        <w:footnoteRef/>
      </w:r>
      <w:r w:rsidRPr="00A1762C">
        <w:t xml:space="preserve"> Appellate Body Report, </w:t>
      </w:r>
      <w:r w:rsidRPr="00A1762C">
        <w:rPr>
          <w:i/>
          <w:iCs/>
        </w:rPr>
        <w:t>US – Zeroing (EC),</w:t>
      </w:r>
      <w:r w:rsidRPr="00A1762C">
        <w:t xml:space="preserve"> para. 198.</w:t>
      </w:r>
    </w:p>
  </w:footnote>
  <w:footnote w:id="5">
    <w:p w14:paraId="09247DBB" w14:textId="77777777" w:rsidR="001042FC" w:rsidRPr="00A1762C" w:rsidRDefault="001042FC" w:rsidP="001042FC">
      <w:pPr>
        <w:pStyle w:val="FootnoteText"/>
        <w:rPr>
          <w:lang w:val="en-US"/>
        </w:rPr>
      </w:pPr>
      <w:r w:rsidRPr="00A1762C">
        <w:rPr>
          <w:rStyle w:val="FootnoteReference"/>
        </w:rPr>
        <w:footnoteRef/>
      </w:r>
      <w:r w:rsidRPr="00A1762C">
        <w:t xml:space="preserve"> Panel Report, </w:t>
      </w:r>
      <w:r w:rsidRPr="00A1762C">
        <w:rPr>
          <w:i/>
          <w:iCs/>
        </w:rPr>
        <w:t>EU – Cost Adjustment Methodologies II (Russia),</w:t>
      </w:r>
      <w:r w:rsidRPr="00A1762C">
        <w:t xml:space="preserve"> para. 7.26, citing Appellate Body Report, </w:t>
      </w:r>
      <w:r w:rsidRPr="00A1762C">
        <w:rPr>
          <w:i/>
          <w:iCs/>
        </w:rPr>
        <w:t>US – Zeroing (EC),</w:t>
      </w:r>
      <w:r w:rsidRPr="00A1762C">
        <w:t xml:space="preserve"> para. 198.</w:t>
      </w:r>
    </w:p>
  </w:footnote>
  <w:footnote w:id="6">
    <w:p w14:paraId="44DF88A7" w14:textId="57FB03FD" w:rsidR="00B46ACA" w:rsidRPr="00A1762C" w:rsidRDefault="00B46ACA">
      <w:pPr>
        <w:pStyle w:val="FootnoteText"/>
        <w:rPr>
          <w:lang w:val="en-US"/>
        </w:rPr>
      </w:pPr>
      <w:r w:rsidRPr="00A1762C">
        <w:rPr>
          <w:rStyle w:val="FootnoteReference"/>
        </w:rPr>
        <w:footnoteRef/>
      </w:r>
      <w:r w:rsidRPr="00A1762C">
        <w:t xml:space="preserve"> </w:t>
      </w:r>
      <w:r w:rsidRPr="00A1762C">
        <w:rPr>
          <w:lang w:val="en-US"/>
        </w:rPr>
        <w:t xml:space="preserve">Panel Report, </w:t>
      </w:r>
      <w:r w:rsidRPr="00A1762C">
        <w:rPr>
          <w:i/>
          <w:iCs/>
          <w:lang w:val="en-US"/>
        </w:rPr>
        <w:t>Argentina – Import Measures</w:t>
      </w:r>
      <w:r w:rsidRPr="00A1762C">
        <w:rPr>
          <w:lang w:val="en-US"/>
        </w:rPr>
        <w:t xml:space="preserve">, para. 6.43; See also Appellate Body Report, </w:t>
      </w:r>
      <w:r w:rsidRPr="00A1762C">
        <w:rPr>
          <w:i/>
          <w:iCs/>
          <w:lang w:val="en-US"/>
        </w:rPr>
        <w:t>Argentina – Import Measures,</w:t>
      </w:r>
      <w:r w:rsidRPr="00A1762C">
        <w:rPr>
          <w:lang w:val="en-US"/>
        </w:rPr>
        <w:t xml:space="preserve"> paras. 5.51-5.52; Appellate Body Report, </w:t>
      </w:r>
      <w:r w:rsidRPr="00A1762C">
        <w:rPr>
          <w:i/>
          <w:iCs/>
          <w:lang w:val="en-US"/>
        </w:rPr>
        <w:t>US – Zeroing (EC),</w:t>
      </w:r>
      <w:r w:rsidRPr="00A1762C">
        <w:rPr>
          <w:lang w:val="en-US"/>
        </w:rPr>
        <w:t xml:space="preserve"> para. 202; Panel Repo</w:t>
      </w:r>
      <w:r w:rsidR="002A594C" w:rsidRPr="00A1762C">
        <w:rPr>
          <w:lang w:val="en-US"/>
        </w:rPr>
        <w:t>r</w:t>
      </w:r>
      <w:r w:rsidRPr="00A1762C">
        <w:rPr>
          <w:lang w:val="en-US"/>
        </w:rPr>
        <w:t xml:space="preserve">t, </w:t>
      </w:r>
      <w:r w:rsidRPr="00A1762C">
        <w:rPr>
          <w:i/>
          <w:iCs/>
          <w:lang w:val="en-US"/>
        </w:rPr>
        <w:t>US – Anti-Dumping Methodologies (China)</w:t>
      </w:r>
      <w:r w:rsidRPr="00A1762C">
        <w:rPr>
          <w:lang w:val="en-US"/>
        </w:rPr>
        <w:t xml:space="preserve">, </w:t>
      </w:r>
      <w:r w:rsidR="008D5450" w:rsidRPr="00A1762C">
        <w:rPr>
          <w:lang w:val="en-US"/>
        </w:rPr>
        <w:t>p</w:t>
      </w:r>
      <w:r w:rsidRPr="00A1762C">
        <w:rPr>
          <w:lang w:val="en-US"/>
        </w:rPr>
        <w:t xml:space="preserve">ara. 7.309-7.311; Panel Report, </w:t>
      </w:r>
      <w:r w:rsidRPr="00A1762C">
        <w:rPr>
          <w:i/>
          <w:iCs/>
          <w:lang w:val="en-US"/>
        </w:rPr>
        <w:t>EC – Approval and Marketing of Biotech Products,</w:t>
      </w:r>
      <w:r w:rsidRPr="00A1762C">
        <w:rPr>
          <w:lang w:val="en-US"/>
        </w:rPr>
        <w:t xml:space="preserve"> para. 7.515 and 7.532. </w:t>
      </w:r>
    </w:p>
  </w:footnote>
  <w:footnote w:id="7">
    <w:p w14:paraId="57F826E7" w14:textId="77777777" w:rsidR="001042FC" w:rsidRPr="00A1762C" w:rsidRDefault="001042FC" w:rsidP="001042FC">
      <w:pPr>
        <w:pStyle w:val="FootnoteText"/>
        <w:rPr>
          <w:lang w:val="en-US"/>
        </w:rPr>
      </w:pPr>
      <w:r w:rsidRPr="00A1762C">
        <w:rPr>
          <w:rStyle w:val="FootnoteReference"/>
        </w:rPr>
        <w:footnoteRef/>
      </w:r>
      <w:r w:rsidRPr="00A1762C">
        <w:t xml:space="preserve"> Panel Report, </w:t>
      </w:r>
      <w:r w:rsidRPr="00A1762C">
        <w:rPr>
          <w:i/>
          <w:iCs/>
        </w:rPr>
        <w:t>US – Shrimp II (Viet Nam)</w:t>
      </w:r>
      <w:r w:rsidRPr="00A1762C">
        <w:t>, para. 7.34.</w:t>
      </w:r>
    </w:p>
  </w:footnote>
  <w:footnote w:id="8">
    <w:p w14:paraId="46ACBCF3" w14:textId="010EC95B" w:rsidR="00BB49FA" w:rsidRPr="00A1762C" w:rsidRDefault="00BB49FA" w:rsidP="00BB49FA">
      <w:pPr>
        <w:pStyle w:val="FootnoteText"/>
      </w:pPr>
      <w:r w:rsidRPr="00A1762C">
        <w:rPr>
          <w:rStyle w:val="FootnoteReference"/>
        </w:rPr>
        <w:footnoteRef/>
      </w:r>
      <w:r w:rsidRPr="00A1762C">
        <w:t xml:space="preserve"> Appellate Body Report, </w:t>
      </w:r>
      <w:r w:rsidRPr="00A1762C">
        <w:rPr>
          <w:i/>
          <w:iCs/>
        </w:rPr>
        <w:t>US – Anti-Dumping Methodologies (China),</w:t>
      </w:r>
      <w:r w:rsidRPr="00A1762C">
        <w:t xml:space="preserve"> para. 5.132</w:t>
      </w:r>
      <w:r w:rsidR="003A2EF9" w:rsidRPr="00A1762C">
        <w:t xml:space="preserve"> citing</w:t>
      </w:r>
      <w:r w:rsidRPr="00A1762C">
        <w:t xml:space="preserve"> Appellate Body Report, US – Zeroing (EC), para. 198.</w:t>
      </w:r>
    </w:p>
  </w:footnote>
  <w:footnote w:id="9">
    <w:p w14:paraId="1488FA55" w14:textId="4807DAEA" w:rsidR="00925C7D" w:rsidRPr="00A1762C" w:rsidRDefault="00925C7D" w:rsidP="00925C7D">
      <w:pPr>
        <w:pStyle w:val="FootnoteText"/>
        <w:rPr>
          <w:lang w:val="en-US"/>
        </w:rPr>
      </w:pPr>
      <w:r w:rsidRPr="00A1762C">
        <w:rPr>
          <w:rStyle w:val="FootnoteReference"/>
        </w:rPr>
        <w:footnoteRef/>
      </w:r>
      <w:r w:rsidRPr="00A1762C">
        <w:t xml:space="preserve"> Appellate Body Report, </w:t>
      </w:r>
      <w:r w:rsidRPr="00A1762C">
        <w:rPr>
          <w:i/>
          <w:iCs/>
        </w:rPr>
        <w:t>US – Anti-Dumping Methodologies (China),</w:t>
      </w:r>
      <w:r w:rsidRPr="00A1762C">
        <w:t xml:space="preserve"> para. 5.132</w:t>
      </w:r>
      <w:r w:rsidR="00C63475" w:rsidRPr="00A1762C">
        <w:t xml:space="preserve"> citing </w:t>
      </w:r>
      <w:r w:rsidRPr="00A1762C">
        <w:t xml:space="preserve">Appellate Body Report, </w:t>
      </w:r>
      <w:r w:rsidRPr="00A1762C">
        <w:rPr>
          <w:i/>
          <w:iCs/>
        </w:rPr>
        <w:t>US – Oil Country Tubular Goods Sunset Reviews</w:t>
      </w:r>
      <w:r w:rsidRPr="00A1762C">
        <w:t>, para. 187.</w:t>
      </w:r>
    </w:p>
  </w:footnote>
  <w:footnote w:id="10">
    <w:p w14:paraId="0803DB75" w14:textId="46B48067" w:rsidR="008B068C" w:rsidRPr="00A1762C" w:rsidRDefault="008B068C">
      <w:pPr>
        <w:pStyle w:val="FootnoteText"/>
      </w:pPr>
      <w:r w:rsidRPr="00A1762C">
        <w:rPr>
          <w:rStyle w:val="FootnoteReference"/>
        </w:rPr>
        <w:footnoteRef/>
      </w:r>
      <w:r w:rsidRPr="00A1762C">
        <w:t xml:space="preserve"> </w:t>
      </w:r>
      <w:r w:rsidR="00793E70" w:rsidRPr="00A1762C">
        <w:rPr>
          <w:lang w:val="en-US"/>
        </w:rPr>
        <w:t>Indonesia’s first written submission, paras</w:t>
      </w:r>
      <w:r w:rsidR="000A6B7D" w:rsidRPr="00A1762C">
        <w:rPr>
          <w:lang w:val="en-US"/>
        </w:rPr>
        <w:t>.</w:t>
      </w:r>
      <w:r w:rsidR="00B24323" w:rsidRPr="00A1762C">
        <w:rPr>
          <w:lang w:val="en-US"/>
        </w:rPr>
        <w:t xml:space="preserve"> 320-</w:t>
      </w:r>
      <w:r w:rsidR="000A6B7D" w:rsidRPr="00A1762C">
        <w:rPr>
          <w:lang w:val="en-US"/>
        </w:rPr>
        <w:t>323</w:t>
      </w:r>
      <w:r w:rsidR="00B24323" w:rsidRPr="00A1762C">
        <w:rPr>
          <w:lang w:val="en-US"/>
        </w:rPr>
        <w:t>.</w:t>
      </w:r>
    </w:p>
  </w:footnote>
  <w:footnote w:id="11">
    <w:p w14:paraId="45617DE5" w14:textId="1F7D95F8" w:rsidR="006F2CF0" w:rsidRPr="00A1762C" w:rsidRDefault="006F2CF0">
      <w:pPr>
        <w:pStyle w:val="FootnoteText"/>
        <w:rPr>
          <w:lang w:val="en-US"/>
        </w:rPr>
      </w:pPr>
      <w:r w:rsidRPr="00A1762C">
        <w:rPr>
          <w:rStyle w:val="FootnoteReference"/>
        </w:rPr>
        <w:footnoteRef/>
      </w:r>
      <w:r w:rsidRPr="00A1762C">
        <w:t xml:space="preserve"> </w:t>
      </w:r>
      <w:r w:rsidR="00D971DC" w:rsidRPr="00A1762C">
        <w:t xml:space="preserve">See Appellate Body </w:t>
      </w:r>
      <w:r w:rsidR="00C614EF" w:rsidRPr="00A1762C">
        <w:t xml:space="preserve">Report, </w:t>
      </w:r>
      <w:r w:rsidR="00D971DC" w:rsidRPr="00A1762C">
        <w:rPr>
          <w:i/>
          <w:iCs/>
        </w:rPr>
        <w:t>US – Anti-Dumping Methodologies (China),</w:t>
      </w:r>
      <w:r w:rsidR="00D971DC" w:rsidRPr="00A1762C">
        <w:t xml:space="preserve"> para.</w:t>
      </w:r>
      <w:r w:rsidR="00C1603C" w:rsidRPr="00A1762C">
        <w:t xml:space="preserve"> 5.132</w:t>
      </w:r>
      <w:r w:rsidR="00D971DC" w:rsidRPr="00A1762C">
        <w:t>.</w:t>
      </w:r>
    </w:p>
  </w:footnote>
  <w:footnote w:id="12">
    <w:p w14:paraId="487DCFC6" w14:textId="77777777" w:rsidR="00DE63C2" w:rsidRPr="00A1762C" w:rsidRDefault="00DE63C2" w:rsidP="00DE63C2">
      <w:pPr>
        <w:pStyle w:val="FootnoteText"/>
        <w:rPr>
          <w:lang w:val="en-US"/>
        </w:rPr>
      </w:pPr>
      <w:r w:rsidRPr="00A1762C">
        <w:rPr>
          <w:rStyle w:val="FootnoteReference"/>
        </w:rPr>
        <w:footnoteRef/>
      </w:r>
      <w:r w:rsidRPr="00A1762C">
        <w:t xml:space="preserve"> Indonesia’s first written submission, para 3.45; </w:t>
      </w:r>
      <w:r w:rsidRPr="00A1762C">
        <w:rPr>
          <w:lang w:val="en-US"/>
        </w:rPr>
        <w:t xml:space="preserve">See </w:t>
      </w:r>
      <w:r w:rsidRPr="00A1762C">
        <w:t xml:space="preserve">Appellate Body Report, </w:t>
      </w:r>
      <w:r w:rsidRPr="00A1762C">
        <w:rPr>
          <w:i/>
          <w:iCs/>
        </w:rPr>
        <w:t>US – Anti-Dumping Methodologies (China),</w:t>
      </w:r>
      <w:r w:rsidRPr="00A1762C">
        <w:t xml:space="preserve"> para. 5.132.</w:t>
      </w:r>
    </w:p>
  </w:footnote>
  <w:footnote w:id="13">
    <w:p w14:paraId="65F9600E" w14:textId="09919883" w:rsidR="001042FC" w:rsidRPr="00A1762C" w:rsidRDefault="001042FC" w:rsidP="001042FC">
      <w:pPr>
        <w:pStyle w:val="FootnoteText"/>
        <w:rPr>
          <w:lang w:val="en-US"/>
        </w:rPr>
      </w:pPr>
      <w:r w:rsidRPr="00A1762C">
        <w:rPr>
          <w:rStyle w:val="FootnoteReference"/>
        </w:rPr>
        <w:footnoteRef/>
      </w:r>
      <w:r w:rsidRPr="00A1762C">
        <w:t xml:space="preserve"> </w:t>
      </w:r>
      <w:r w:rsidRPr="00A1762C">
        <w:rPr>
          <w:lang w:val="en-US"/>
        </w:rPr>
        <w:t>I</w:t>
      </w:r>
      <w:r w:rsidR="00DB7548" w:rsidRPr="00A1762C">
        <w:rPr>
          <w:lang w:val="en-US"/>
        </w:rPr>
        <w:t>ndonesia’s</w:t>
      </w:r>
      <w:r w:rsidRPr="00A1762C">
        <w:rPr>
          <w:lang w:val="en-US"/>
        </w:rPr>
        <w:t xml:space="preserve"> </w:t>
      </w:r>
      <w:r w:rsidR="00DB7548" w:rsidRPr="00A1762C">
        <w:rPr>
          <w:lang w:val="en-US"/>
        </w:rPr>
        <w:t xml:space="preserve">first written submission, </w:t>
      </w:r>
      <w:r w:rsidRPr="00A1762C">
        <w:rPr>
          <w:lang w:val="en-US"/>
        </w:rPr>
        <w:t xml:space="preserve">para. 345. </w:t>
      </w:r>
    </w:p>
  </w:footnote>
  <w:footnote w:id="14">
    <w:p w14:paraId="51544356" w14:textId="1BD496E7" w:rsidR="000E5BC3" w:rsidRPr="00A1762C" w:rsidRDefault="000E5BC3">
      <w:pPr>
        <w:pStyle w:val="FootnoteText"/>
        <w:rPr>
          <w:lang w:val="en-US"/>
        </w:rPr>
      </w:pPr>
      <w:r w:rsidRPr="00A1762C">
        <w:rPr>
          <w:rStyle w:val="FootnoteReference"/>
        </w:rPr>
        <w:footnoteRef/>
      </w:r>
      <w:r w:rsidRPr="00A1762C">
        <w:t xml:space="preserve"> See Award of the Arbitrators, </w:t>
      </w:r>
      <w:r w:rsidR="00251116" w:rsidRPr="00A1762C">
        <w:rPr>
          <w:i/>
          <w:iCs/>
        </w:rPr>
        <w:t>China – IPRs Enforcement (EU),</w:t>
      </w:r>
      <w:r w:rsidRPr="00A1762C">
        <w:rPr>
          <w:i/>
          <w:iCs/>
        </w:rPr>
        <w:t xml:space="preserve"> </w:t>
      </w:r>
      <w:r w:rsidRPr="00A1762C">
        <w:t>para. 4.41</w:t>
      </w:r>
    </w:p>
  </w:footnote>
  <w:footnote w:id="15">
    <w:p w14:paraId="277AAA8F" w14:textId="3ACD466B" w:rsidR="008F2904" w:rsidRPr="00A1762C" w:rsidRDefault="008F2904" w:rsidP="008F2904">
      <w:pPr>
        <w:pStyle w:val="FootnoteText"/>
      </w:pPr>
      <w:r w:rsidRPr="00A1762C">
        <w:rPr>
          <w:rStyle w:val="FootnoteReference"/>
        </w:rPr>
        <w:footnoteRef/>
      </w:r>
      <w:r w:rsidRPr="00A1762C">
        <w:t xml:space="preserve"> Appellate Body report, </w:t>
      </w:r>
      <w:r w:rsidRPr="00A1762C">
        <w:rPr>
          <w:i/>
          <w:iCs/>
        </w:rPr>
        <w:t xml:space="preserve">EC Bananas III, </w:t>
      </w:r>
      <w:r w:rsidRPr="00A1762C">
        <w:t xml:space="preserve">para. 132, footnote 65; </w:t>
      </w:r>
      <w:r w:rsidR="00EC52C3" w:rsidRPr="00A1762C">
        <w:t xml:space="preserve">See </w:t>
      </w:r>
      <w:r w:rsidRPr="00A1762C">
        <w:t xml:space="preserve">B. Garner, A Dictionary of Modern Legal Usage (Oxford University Press, 1987), p. 347; L.B. Curzon, </w:t>
      </w:r>
      <w:r w:rsidRPr="00A1762C">
        <w:rPr>
          <w:i/>
          <w:iCs/>
        </w:rPr>
        <w:t>A Dictionary of Law</w:t>
      </w:r>
      <w:r w:rsidRPr="00A1762C">
        <w:t>, 4th ed. (Pitman Publishing, 1993), p. 232.</w:t>
      </w:r>
    </w:p>
  </w:footnote>
  <w:footnote w:id="16">
    <w:p w14:paraId="17BB4B22" w14:textId="77777777" w:rsidR="00B40A00" w:rsidRPr="00A1762C" w:rsidRDefault="00B40A00" w:rsidP="00B40A00">
      <w:pPr>
        <w:pStyle w:val="FootnoteText"/>
        <w:rPr>
          <w:lang w:val="en-US"/>
        </w:rPr>
      </w:pPr>
      <w:r w:rsidRPr="00A1762C">
        <w:rPr>
          <w:rStyle w:val="FootnoteReference"/>
        </w:rPr>
        <w:footnoteRef/>
      </w:r>
      <w:r w:rsidRPr="00A1762C">
        <w:t xml:space="preserve"> Panel Report, </w:t>
      </w:r>
      <w:r w:rsidRPr="00A1762C">
        <w:rPr>
          <w:i/>
          <w:iCs/>
        </w:rPr>
        <w:t>US – Offset Act (Byrd Amendment)</w:t>
      </w:r>
      <w:r w:rsidRPr="00A1762C">
        <w:t>, para. 7.63.</w:t>
      </w:r>
    </w:p>
  </w:footnote>
  <w:footnote w:id="17">
    <w:p w14:paraId="70CA91BF" w14:textId="4D277A2F" w:rsidR="00445689" w:rsidRPr="00A1762C" w:rsidRDefault="00445689">
      <w:pPr>
        <w:pStyle w:val="FootnoteText"/>
        <w:rPr>
          <w:lang w:val="en-US"/>
        </w:rPr>
      </w:pPr>
      <w:r w:rsidRPr="00A1762C">
        <w:rPr>
          <w:rStyle w:val="FootnoteReference"/>
        </w:rPr>
        <w:footnoteRef/>
      </w:r>
      <w:r w:rsidRPr="00A1762C">
        <w:t xml:space="preserve"> </w:t>
      </w:r>
      <w:r w:rsidRPr="00A1762C">
        <w:rPr>
          <w:lang w:val="en-US"/>
        </w:rPr>
        <w:t>Indonesia</w:t>
      </w:r>
      <w:r w:rsidR="009F0978" w:rsidRPr="00A1762C">
        <w:rPr>
          <w:lang w:val="en-US"/>
        </w:rPr>
        <w:t>’s first written submission</w:t>
      </w:r>
      <w:r w:rsidRPr="00A1762C">
        <w:rPr>
          <w:lang w:val="en-US"/>
        </w:rPr>
        <w:t>, para</w:t>
      </w:r>
      <w:r w:rsidR="002777DC" w:rsidRPr="00A1762C">
        <w:rPr>
          <w:lang w:val="en-US"/>
        </w:rPr>
        <w:t xml:space="preserve">. 183. </w:t>
      </w:r>
    </w:p>
  </w:footnote>
  <w:footnote w:id="18">
    <w:p w14:paraId="0A873D67" w14:textId="4D7542C3" w:rsidR="00813DC5" w:rsidRPr="00A1762C" w:rsidRDefault="00813DC5" w:rsidP="00813DC5">
      <w:pPr>
        <w:pStyle w:val="FootnoteText"/>
        <w:rPr>
          <w:lang w:val="en-US"/>
        </w:rPr>
      </w:pPr>
      <w:r w:rsidRPr="00A1762C">
        <w:rPr>
          <w:rStyle w:val="FootnoteReference"/>
        </w:rPr>
        <w:footnoteRef/>
      </w:r>
      <w:r w:rsidRPr="00A1762C">
        <w:t xml:space="preserve"> </w:t>
      </w:r>
      <w:r w:rsidRPr="00A1762C">
        <w:rPr>
          <w:lang w:val="en-US"/>
        </w:rPr>
        <w:t xml:space="preserve">See Article 5.3 of the </w:t>
      </w:r>
      <w:r w:rsidR="00C5720D" w:rsidRPr="00A1762C">
        <w:rPr>
          <w:lang w:val="en-US"/>
        </w:rPr>
        <w:t>Anti-Dumping</w:t>
      </w:r>
      <w:r w:rsidRPr="00A1762C">
        <w:rPr>
          <w:lang w:val="en-US"/>
        </w:rPr>
        <w:t xml:space="preserve"> Agreement.</w:t>
      </w:r>
    </w:p>
  </w:footnote>
  <w:footnote w:id="19">
    <w:p w14:paraId="1DB4EBCF" w14:textId="77777777" w:rsidR="00D209BA" w:rsidRPr="00A1762C" w:rsidRDefault="00D209BA" w:rsidP="00D209BA">
      <w:pPr>
        <w:pStyle w:val="FootnoteText"/>
      </w:pPr>
      <w:r w:rsidRPr="00A1762C">
        <w:rPr>
          <w:rStyle w:val="FootnoteReference"/>
        </w:rPr>
        <w:footnoteRef/>
      </w:r>
      <w:r w:rsidRPr="00A1762C">
        <w:t xml:space="preserve"> </w:t>
      </w:r>
      <w:r w:rsidRPr="00A1762C">
        <w:rPr>
          <w:lang w:val="en-US"/>
        </w:rPr>
        <w:t xml:space="preserve">Panel Report, </w:t>
      </w:r>
      <w:r w:rsidRPr="00A1762C">
        <w:rPr>
          <w:i/>
          <w:iCs/>
          <w:lang w:val="en-US"/>
        </w:rPr>
        <w:t>Mexico – Anti Dumping Duties on Steel Pipes and Tubes</w:t>
      </w:r>
      <w:r w:rsidRPr="00A1762C">
        <w:rPr>
          <w:lang w:val="en-US"/>
        </w:rPr>
        <w:t>, para. 7.347.</w:t>
      </w:r>
    </w:p>
  </w:footnote>
  <w:footnote w:id="20">
    <w:p w14:paraId="2FFEE56A" w14:textId="196783A1" w:rsidR="001336B0" w:rsidRDefault="001336B0">
      <w:pPr>
        <w:pStyle w:val="FootnoteText"/>
      </w:pPr>
      <w:r w:rsidRPr="00A1762C">
        <w:rPr>
          <w:rStyle w:val="FootnoteReference"/>
        </w:rPr>
        <w:footnoteRef/>
      </w:r>
      <w:r w:rsidRPr="00A1762C">
        <w:t xml:space="preserve"> E</w:t>
      </w:r>
      <w:r w:rsidR="00805DF6" w:rsidRPr="00A1762C">
        <w:t>uropean Union</w:t>
      </w:r>
      <w:r w:rsidR="00E14388" w:rsidRPr="00A1762C">
        <w:t>’s first written submission, para. 163</w:t>
      </w:r>
      <w:r w:rsidR="00F14A93" w:rsidRPr="00A1762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34576" w14:textId="6F4E5360" w:rsidR="00380795" w:rsidRDefault="004A1215">
    <w:pPr>
      <w:pStyle w:val="Header"/>
    </w:pPr>
    <w:r>
      <w:rPr>
        <w:i/>
        <w:iCs/>
      </w:rPr>
      <w:t>EU – AD on Fatty Acid (Indonesia)</w:t>
    </w:r>
    <w:r>
      <w:rPr>
        <w:i/>
        <w:iCs/>
      </w:rPr>
      <w:tab/>
    </w:r>
    <w:r>
      <w:rPr>
        <w:i/>
        <w:iCs/>
      </w:rPr>
      <w:tab/>
    </w:r>
    <w:fldSimple w:instr=" STYLEREF  &quot;[DT] Document Title&quot;  \* MERGEFORMAT ">
      <w:r w:rsidR="00994BF4">
        <w:rPr>
          <w:noProof/>
        </w:rPr>
        <w:t>Third party written submission of Australia</w:t>
      </w:r>
    </w:fldSimple>
  </w:p>
  <w:p w14:paraId="24CCC517" w14:textId="5CB4EE13" w:rsidR="00380795" w:rsidRDefault="007829DA">
    <w:pPr>
      <w:pStyle w:val="Header"/>
    </w:pPr>
    <w:fldSimple w:instr=" STYLEREF  &quot;[DSN] DS Number&quot;  \* MERGEFORMAT ">
      <w:r w:rsidR="00994BF4">
        <w:rPr>
          <w:noProof/>
        </w:rPr>
        <w:t>(DS622)</w:t>
      </w:r>
    </w:fldSimple>
    <w:r w:rsidR="00380795">
      <w:ptab w:relativeTo="margin" w:alignment="right" w:leader="none"/>
    </w:r>
    <w:fldSimple w:instr=" STYLEREF  &quot;[DD] Document Date&quot;  \* MERGEFORMAT ">
      <w:r w:rsidR="00994BF4">
        <w:rPr>
          <w:noProof/>
        </w:rPr>
        <w:t>12 August 2025</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75076"/>
    <w:multiLevelType w:val="hybridMultilevel"/>
    <w:tmpl w:val="11B252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B10259A"/>
    <w:multiLevelType w:val="hybridMultilevel"/>
    <w:tmpl w:val="C0784592"/>
    <w:lvl w:ilvl="0" w:tplc="AE1A8D56">
      <w:start w:val="1"/>
      <w:numFmt w:val="decimal"/>
      <w:pStyle w:val="FCFigureCaption"/>
      <w:lvlText w:val="Figure %1"/>
      <w:lvlJc w:val="left"/>
      <w:pPr>
        <w:tabs>
          <w:tab w:val="num" w:pos="1134"/>
        </w:tabs>
        <w:ind w:left="1134" w:hanging="1134"/>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A4596"/>
    <w:multiLevelType w:val="multilevel"/>
    <w:tmpl w:val="3EF6F766"/>
    <w:lvl w:ilvl="0">
      <w:start w:val="1"/>
      <w:numFmt w:val="upperRoman"/>
      <w:lvlText w:val="%1."/>
      <w:lvlJc w:val="left"/>
      <w:pPr>
        <w:tabs>
          <w:tab w:val="num" w:pos="851"/>
        </w:tabs>
        <w:ind w:left="851" w:hanging="851"/>
      </w:pPr>
      <w:rPr>
        <w:rFonts w:hint="default"/>
      </w:rPr>
    </w:lvl>
    <w:lvl w:ilvl="1">
      <w:start w:val="1"/>
      <w:numFmt w:val="upperLetter"/>
      <w:lvlText w:val="%2."/>
      <w:lvlJc w:val="left"/>
      <w:pPr>
        <w:tabs>
          <w:tab w:val="num" w:pos="1702"/>
        </w:tabs>
        <w:ind w:left="1702" w:hanging="851"/>
      </w:pPr>
      <w:rPr>
        <w:rFonts w:hint="default"/>
      </w:rPr>
    </w:lvl>
    <w:lvl w:ilvl="2">
      <w:start w:val="1"/>
      <w:numFmt w:val="decimal"/>
      <w:lvlText w:val="%3."/>
      <w:lvlJc w:val="left"/>
      <w:pPr>
        <w:tabs>
          <w:tab w:val="num" w:pos="2553"/>
        </w:tabs>
        <w:ind w:left="2553" w:hanging="851"/>
      </w:pPr>
      <w:rPr>
        <w:rFonts w:hint="default"/>
      </w:rPr>
    </w:lvl>
    <w:lvl w:ilvl="3">
      <w:start w:val="1"/>
      <w:numFmt w:val="lowerLetter"/>
      <w:lvlText w:val="(%4)"/>
      <w:lvlJc w:val="left"/>
      <w:pPr>
        <w:tabs>
          <w:tab w:val="num" w:pos="3404"/>
        </w:tabs>
        <w:ind w:left="3404" w:hanging="851"/>
      </w:pPr>
      <w:rPr>
        <w:rFonts w:hint="default"/>
        <w:u w:val="single"/>
      </w:rPr>
    </w:lvl>
    <w:lvl w:ilvl="4">
      <w:start w:val="1"/>
      <w:numFmt w:val="lowerRoman"/>
      <w:lvlText w:val="%5."/>
      <w:lvlJc w:val="left"/>
      <w:pPr>
        <w:tabs>
          <w:tab w:val="num" w:pos="4255"/>
        </w:tabs>
        <w:ind w:left="4255" w:hanging="851"/>
      </w:pPr>
      <w:rPr>
        <w:rFonts w:hint="default"/>
      </w:rPr>
    </w:lvl>
    <w:lvl w:ilvl="5">
      <w:start w:val="1"/>
      <w:numFmt w:val="upperLetter"/>
      <w:lvlText w:val="(%6)"/>
      <w:lvlJc w:val="left"/>
      <w:pPr>
        <w:tabs>
          <w:tab w:val="num" w:pos="5103"/>
        </w:tabs>
        <w:ind w:left="5103" w:hanging="848"/>
      </w:pPr>
      <w:rPr>
        <w:rFonts w:hint="default"/>
      </w:rPr>
    </w:lvl>
    <w:lvl w:ilvl="6">
      <w:start w:val="1"/>
      <w:numFmt w:val="decimal"/>
      <w:lvlText w:val="(%7)"/>
      <w:lvlJc w:val="left"/>
      <w:pPr>
        <w:tabs>
          <w:tab w:val="num" w:pos="5954"/>
        </w:tabs>
        <w:ind w:left="5954" w:hanging="851"/>
      </w:pPr>
      <w:rPr>
        <w:rFonts w:hint="default"/>
      </w:rPr>
    </w:lvl>
    <w:lvl w:ilvl="7">
      <w:start w:val="1"/>
      <w:numFmt w:val="lowerLetter"/>
      <w:lvlText w:val="%8."/>
      <w:lvlJc w:val="left"/>
      <w:pPr>
        <w:tabs>
          <w:tab w:val="num" w:pos="6804"/>
        </w:tabs>
        <w:ind w:left="6804" w:hanging="850"/>
      </w:pPr>
      <w:rPr>
        <w:rFonts w:hint="default"/>
      </w:rPr>
    </w:lvl>
    <w:lvl w:ilvl="8">
      <w:start w:val="1"/>
      <w:numFmt w:val="lowerRoman"/>
      <w:lvlText w:val="%9)"/>
      <w:lvlJc w:val="left"/>
      <w:pPr>
        <w:tabs>
          <w:tab w:val="num" w:pos="7655"/>
        </w:tabs>
        <w:ind w:left="7655" w:hanging="851"/>
      </w:pPr>
      <w:rPr>
        <w:rFonts w:hint="default"/>
      </w:rPr>
    </w:lvl>
  </w:abstractNum>
  <w:abstractNum w:abstractNumId="3" w15:restartNumberingAfterBreak="0">
    <w:nsid w:val="28243105"/>
    <w:multiLevelType w:val="hybridMultilevel"/>
    <w:tmpl w:val="8E56E39C"/>
    <w:lvl w:ilvl="0" w:tplc="ECDA052A">
      <w:start w:val="1"/>
      <w:numFmt w:val="decimal"/>
      <w:pStyle w:val="P1-N1Paragraph1-Number1"/>
      <w:lvlText w:val="%1."/>
      <w:lvlJc w:val="left"/>
      <w:pPr>
        <w:tabs>
          <w:tab w:val="num" w:pos="851"/>
        </w:tabs>
        <w:ind w:left="0" w:firstLine="0"/>
      </w:pPr>
      <w:rPr>
        <w:rFonts w:hint="default"/>
      </w:rPr>
    </w:lvl>
    <w:lvl w:ilvl="1" w:tplc="35D2146C">
      <w:start w:val="1"/>
      <w:numFmt w:val="bullet"/>
      <w:pStyle w:val="P2-B1Paragraph2-Bullet1"/>
      <w:lvlText w:val=""/>
      <w:lvlJc w:val="left"/>
      <w:pPr>
        <w:tabs>
          <w:tab w:val="num" w:pos="1701"/>
        </w:tabs>
        <w:ind w:left="1701" w:hanging="850"/>
      </w:pPr>
      <w:rPr>
        <w:rFonts w:ascii="Symbol" w:hAnsi="Symbol" w:hint="default"/>
      </w:rPr>
    </w:lvl>
    <w:lvl w:ilvl="2" w:tplc="9F3EA8EE">
      <w:start w:val="1"/>
      <w:numFmt w:val="bullet"/>
      <w:pStyle w:val="P3-B2Paragraph3-Bullet2"/>
      <w:lvlText w:val="–"/>
      <w:lvlJc w:val="left"/>
      <w:pPr>
        <w:tabs>
          <w:tab w:val="num" w:pos="2552"/>
        </w:tabs>
        <w:ind w:left="2552" w:hanging="851"/>
      </w:pPr>
      <w:rPr>
        <w:rFonts w:ascii="Calibri" w:eastAsiaTheme="minorHAnsi" w:hAnsi="Calibri" w:cs="Calibri" w:hint="default"/>
      </w:rPr>
    </w:lvl>
    <w:lvl w:ilvl="3" w:tplc="0C20942A">
      <w:start w:val="1"/>
      <w:numFmt w:val="bullet"/>
      <w:pStyle w:val="P4-B3Paragraph4-Bullet3"/>
      <w:lvlText w:val="o"/>
      <w:lvlJc w:val="left"/>
      <w:pPr>
        <w:tabs>
          <w:tab w:val="num" w:pos="3402"/>
        </w:tabs>
        <w:ind w:left="3402" w:hanging="850"/>
      </w:pPr>
      <w:rPr>
        <w:rFonts w:ascii="Courier New" w:hAnsi="Courier New" w:hint="default"/>
      </w:rPr>
    </w:lvl>
    <w:lvl w:ilvl="4" w:tplc="B388F3E6">
      <w:start w:val="1"/>
      <w:numFmt w:val="bullet"/>
      <w:pStyle w:val="P5-B4Paragraph5-Bullet4"/>
      <w:lvlText w:val=""/>
      <w:lvlJc w:val="left"/>
      <w:pPr>
        <w:tabs>
          <w:tab w:val="num" w:pos="4253"/>
        </w:tabs>
        <w:ind w:left="4253" w:hanging="851"/>
      </w:pPr>
      <w:rPr>
        <w:rFonts w:ascii="Wingdings" w:hAnsi="Wingdings" w:hint="default"/>
      </w:rPr>
    </w:lvl>
    <w:lvl w:ilvl="5" w:tplc="041E423A">
      <w:start w:val="1"/>
      <w:numFmt w:val="bullet"/>
      <w:pStyle w:val="P6-B5Paragraph6-Bullet5"/>
      <w:lvlText w:val=""/>
      <w:lvlJc w:val="left"/>
      <w:pPr>
        <w:tabs>
          <w:tab w:val="num" w:pos="5103"/>
        </w:tabs>
        <w:ind w:left="5103" w:hanging="850"/>
      </w:pPr>
      <w:rPr>
        <w:rFonts w:ascii="Wingdings" w:hAnsi="Wingdings" w:hint="default"/>
      </w:rPr>
    </w:lvl>
    <w:lvl w:ilvl="6" w:tplc="B914B13C">
      <w:start w:val="1"/>
      <w:numFmt w:val="bullet"/>
      <w:pStyle w:val="P7-B6Paragraph7-Bullet6"/>
      <w:lvlText w:val=""/>
      <w:lvlJc w:val="left"/>
      <w:pPr>
        <w:tabs>
          <w:tab w:val="num" w:pos="5954"/>
        </w:tabs>
        <w:ind w:left="5954" w:hanging="851"/>
      </w:pPr>
      <w:rPr>
        <w:rFonts w:ascii="Symbol" w:hAnsi="Symbol" w:hint="default"/>
      </w:rPr>
    </w:lvl>
    <w:lvl w:ilvl="7" w:tplc="B136EC4E">
      <w:start w:val="1"/>
      <w:numFmt w:val="bullet"/>
      <w:pStyle w:val="P8-B7Paragraph8-Bullet7"/>
      <w:lvlText w:val="–"/>
      <w:lvlJc w:val="left"/>
      <w:pPr>
        <w:tabs>
          <w:tab w:val="num" w:pos="6804"/>
        </w:tabs>
        <w:ind w:left="6804" w:hanging="850"/>
      </w:pPr>
      <w:rPr>
        <w:rFonts w:ascii="Calibri" w:eastAsiaTheme="minorHAnsi" w:hAnsi="Calibri" w:cs="Calibri" w:hint="default"/>
      </w:rPr>
    </w:lvl>
    <w:lvl w:ilvl="8" w:tplc="7B3C086C">
      <w:start w:val="1"/>
      <w:numFmt w:val="bullet"/>
      <w:pStyle w:val="P9-B8Paragraph9-Bullet8"/>
      <w:lvlText w:val="o"/>
      <w:lvlJc w:val="left"/>
      <w:pPr>
        <w:tabs>
          <w:tab w:val="num" w:pos="7655"/>
        </w:tabs>
        <w:ind w:left="7655" w:hanging="851"/>
      </w:pPr>
      <w:rPr>
        <w:rFonts w:ascii="Courier New" w:hAnsi="Courier New" w:hint="default"/>
      </w:rPr>
    </w:lvl>
  </w:abstractNum>
  <w:abstractNum w:abstractNumId="4" w15:restartNumberingAfterBreak="0">
    <w:nsid w:val="3FE04801"/>
    <w:multiLevelType w:val="hybridMultilevel"/>
    <w:tmpl w:val="E9ECA516"/>
    <w:lvl w:ilvl="0" w:tplc="4216D8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5D1099"/>
    <w:multiLevelType w:val="multilevel"/>
    <w:tmpl w:val="79A4006C"/>
    <w:lvl w:ilvl="0">
      <w:start w:val="1"/>
      <w:numFmt w:val="upperLetter"/>
      <w:pStyle w:val="AHL1AnnexHeadingLevel1"/>
      <w:lvlText w:val="ANNEX %1"/>
      <w:lvlJc w:val="left"/>
      <w:pPr>
        <w:tabs>
          <w:tab w:val="num" w:pos="1418"/>
        </w:tabs>
        <w:ind w:left="1418" w:hanging="1418"/>
      </w:pPr>
      <w:rPr>
        <w:rFonts w:hint="default"/>
      </w:rPr>
    </w:lvl>
    <w:lvl w:ilvl="1">
      <w:start w:val="1"/>
      <w:numFmt w:val="decimal"/>
      <w:pStyle w:val="AHL2AnnexHeadingLevel2"/>
      <w:lvlText w:val="%1.%2"/>
      <w:lvlJc w:val="left"/>
      <w:pPr>
        <w:tabs>
          <w:tab w:val="num" w:pos="851"/>
        </w:tabs>
        <w:ind w:left="851" w:hanging="851"/>
      </w:pPr>
      <w:rPr>
        <w:rFonts w:hint="default"/>
      </w:rPr>
    </w:lvl>
    <w:lvl w:ilvl="2">
      <w:start w:val="1"/>
      <w:numFmt w:val="decimal"/>
      <w:pStyle w:val="AHL3AnnexHeadingLevel3"/>
      <w:lvlText w:val="%1.%2.%3"/>
      <w:lvlJc w:val="left"/>
      <w:pPr>
        <w:tabs>
          <w:tab w:val="num" w:pos="1701"/>
        </w:tabs>
        <w:ind w:left="1701" w:hanging="850"/>
      </w:pPr>
      <w:rPr>
        <w:rFonts w:hint="default"/>
      </w:rPr>
    </w:lvl>
    <w:lvl w:ilvl="3">
      <w:start w:val="1"/>
      <w:numFmt w:val="decimal"/>
      <w:pStyle w:val="AHL4AnnexHeadingLevel4"/>
      <w:lvlText w:val="%1.%2.%3.%4"/>
      <w:lvlJc w:val="left"/>
      <w:pPr>
        <w:tabs>
          <w:tab w:val="num" w:pos="2835"/>
        </w:tabs>
        <w:ind w:left="2835" w:hanging="1134"/>
      </w:pPr>
      <w:rPr>
        <w:rFonts w:hint="default"/>
        <w:u w:val="single"/>
      </w:rPr>
    </w:lvl>
    <w:lvl w:ilvl="4">
      <w:start w:val="1"/>
      <w:numFmt w:val="none"/>
      <w:pStyle w:val="AHL5AnnexHeadingLevel5"/>
      <w:lvlText w:val=""/>
      <w:lvlJc w:val="left"/>
      <w:pPr>
        <w:ind w:left="2552" w:firstLine="0"/>
      </w:pPr>
      <w:rPr>
        <w:rFonts w:hint="default"/>
      </w:rPr>
    </w:lvl>
    <w:lvl w:ilvl="5">
      <w:start w:val="1"/>
      <w:numFmt w:val="none"/>
      <w:pStyle w:val="AHL6AnnexHeadingLevel6"/>
      <w:lvlText w:val=""/>
      <w:lvlJc w:val="left"/>
      <w:pPr>
        <w:ind w:left="3402" w:firstLine="0"/>
      </w:pPr>
      <w:rPr>
        <w:rFonts w:hint="default"/>
      </w:rPr>
    </w:lvl>
    <w:lvl w:ilvl="6">
      <w:start w:val="1"/>
      <w:numFmt w:val="none"/>
      <w:pStyle w:val="AHL7AnnexHeadingLevel7"/>
      <w:lvlText w:val=""/>
      <w:lvlJc w:val="left"/>
      <w:pPr>
        <w:ind w:left="4253" w:firstLine="0"/>
      </w:pPr>
      <w:rPr>
        <w:rFonts w:hint="default"/>
      </w:rPr>
    </w:lvl>
    <w:lvl w:ilvl="7">
      <w:start w:val="1"/>
      <w:numFmt w:val="none"/>
      <w:pStyle w:val="AHL8AnnexHeadingLevel8"/>
      <w:lvlText w:val=""/>
      <w:lvlJc w:val="left"/>
      <w:pPr>
        <w:ind w:left="5103" w:firstLine="0"/>
      </w:pPr>
      <w:rPr>
        <w:rFonts w:hint="default"/>
      </w:rPr>
    </w:lvl>
    <w:lvl w:ilvl="8">
      <w:start w:val="1"/>
      <w:numFmt w:val="none"/>
      <w:pStyle w:val="AHL9AnnexHeadingLevel9"/>
      <w:lvlText w:val=""/>
      <w:lvlJc w:val="left"/>
      <w:pPr>
        <w:ind w:left="5954" w:firstLine="0"/>
      </w:pPr>
      <w:rPr>
        <w:rFonts w:hint="default"/>
      </w:rPr>
    </w:lvl>
  </w:abstractNum>
  <w:abstractNum w:abstractNumId="6" w15:restartNumberingAfterBreak="0">
    <w:nsid w:val="67CE0D86"/>
    <w:multiLevelType w:val="hybridMultilevel"/>
    <w:tmpl w:val="48F8E010"/>
    <w:lvl w:ilvl="0" w:tplc="15ACE29E">
      <w:start w:val="1"/>
      <w:numFmt w:val="decimal"/>
      <w:pStyle w:val="TCTableCaption"/>
      <w:lvlText w:val="Table %1"/>
      <w:lvlJc w:val="left"/>
      <w:pPr>
        <w:tabs>
          <w:tab w:val="num" w:pos="1134"/>
        </w:tabs>
        <w:ind w:left="1134" w:hanging="113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75890386">
    <w:abstractNumId w:val="3"/>
  </w:num>
  <w:num w:numId="2" w16cid:durableId="1405184971">
    <w:abstractNumId w:val="2"/>
  </w:num>
  <w:num w:numId="3" w16cid:durableId="2035419370">
    <w:abstractNumId w:val="3"/>
    <w:lvlOverride w:ilvl="0">
      <w:startOverride w:val="1"/>
    </w:lvlOverride>
  </w:num>
  <w:num w:numId="4" w16cid:durableId="417403700">
    <w:abstractNumId w:val="1"/>
  </w:num>
  <w:num w:numId="5" w16cid:durableId="1133214290">
    <w:abstractNumId w:val="6"/>
  </w:num>
  <w:num w:numId="6" w16cid:durableId="2049722060">
    <w:abstractNumId w:val="5"/>
  </w:num>
  <w:num w:numId="7" w16cid:durableId="1721594287">
    <w:abstractNumId w:val="5"/>
  </w:num>
  <w:num w:numId="8" w16cid:durableId="67119744">
    <w:abstractNumId w:val="0"/>
  </w:num>
  <w:num w:numId="9" w16cid:durableId="2036495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85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15"/>
    <w:rsid w:val="00002360"/>
    <w:rsid w:val="00004009"/>
    <w:rsid w:val="000041FC"/>
    <w:rsid w:val="00006269"/>
    <w:rsid w:val="000102D1"/>
    <w:rsid w:val="00010FD5"/>
    <w:rsid w:val="00011649"/>
    <w:rsid w:val="00013337"/>
    <w:rsid w:val="00013F6E"/>
    <w:rsid w:val="00023C47"/>
    <w:rsid w:val="000243D4"/>
    <w:rsid w:val="00025483"/>
    <w:rsid w:val="00030A32"/>
    <w:rsid w:val="00031577"/>
    <w:rsid w:val="00040482"/>
    <w:rsid w:val="000410F0"/>
    <w:rsid w:val="000453F8"/>
    <w:rsid w:val="00046BAF"/>
    <w:rsid w:val="00060237"/>
    <w:rsid w:val="00061F6E"/>
    <w:rsid w:val="000662B0"/>
    <w:rsid w:val="00066E4F"/>
    <w:rsid w:val="000716BD"/>
    <w:rsid w:val="0007327B"/>
    <w:rsid w:val="00073C41"/>
    <w:rsid w:val="00074FA3"/>
    <w:rsid w:val="00080852"/>
    <w:rsid w:val="00080CDE"/>
    <w:rsid w:val="00081602"/>
    <w:rsid w:val="00082549"/>
    <w:rsid w:val="00086EF0"/>
    <w:rsid w:val="00093175"/>
    <w:rsid w:val="00094B26"/>
    <w:rsid w:val="000950D2"/>
    <w:rsid w:val="00096063"/>
    <w:rsid w:val="000A6B7D"/>
    <w:rsid w:val="000B2BCA"/>
    <w:rsid w:val="000C14F5"/>
    <w:rsid w:val="000C3CCB"/>
    <w:rsid w:val="000C69EE"/>
    <w:rsid w:val="000D1F43"/>
    <w:rsid w:val="000E4C65"/>
    <w:rsid w:val="000E5BC3"/>
    <w:rsid w:val="00100515"/>
    <w:rsid w:val="001042FC"/>
    <w:rsid w:val="001045D5"/>
    <w:rsid w:val="00107A57"/>
    <w:rsid w:val="0011547E"/>
    <w:rsid w:val="00116011"/>
    <w:rsid w:val="0012151F"/>
    <w:rsid w:val="001259A3"/>
    <w:rsid w:val="001336B0"/>
    <w:rsid w:val="001406B9"/>
    <w:rsid w:val="00147B44"/>
    <w:rsid w:val="001570CB"/>
    <w:rsid w:val="00162CD4"/>
    <w:rsid w:val="00165108"/>
    <w:rsid w:val="00165A7E"/>
    <w:rsid w:val="0017192E"/>
    <w:rsid w:val="00182727"/>
    <w:rsid w:val="001916E5"/>
    <w:rsid w:val="001939EF"/>
    <w:rsid w:val="00193D16"/>
    <w:rsid w:val="00193DD0"/>
    <w:rsid w:val="001A1343"/>
    <w:rsid w:val="001A22BA"/>
    <w:rsid w:val="001A41B7"/>
    <w:rsid w:val="001A71D6"/>
    <w:rsid w:val="001A785B"/>
    <w:rsid w:val="001B12C3"/>
    <w:rsid w:val="001B693F"/>
    <w:rsid w:val="001B7AF5"/>
    <w:rsid w:val="001C10BD"/>
    <w:rsid w:val="001C3922"/>
    <w:rsid w:val="001C6FE8"/>
    <w:rsid w:val="001D755A"/>
    <w:rsid w:val="001D75A0"/>
    <w:rsid w:val="001D786F"/>
    <w:rsid w:val="001E3E1E"/>
    <w:rsid w:val="001E638B"/>
    <w:rsid w:val="001F0CAA"/>
    <w:rsid w:val="001F1F44"/>
    <w:rsid w:val="001F46B7"/>
    <w:rsid w:val="001F4E52"/>
    <w:rsid w:val="00203231"/>
    <w:rsid w:val="00206F0F"/>
    <w:rsid w:val="002070FA"/>
    <w:rsid w:val="002074D5"/>
    <w:rsid w:val="00212CBA"/>
    <w:rsid w:val="0021410C"/>
    <w:rsid w:val="002144B5"/>
    <w:rsid w:val="00215FB0"/>
    <w:rsid w:val="002212CB"/>
    <w:rsid w:val="00223F92"/>
    <w:rsid w:val="00225B4F"/>
    <w:rsid w:val="00230197"/>
    <w:rsid w:val="0023272D"/>
    <w:rsid w:val="00236358"/>
    <w:rsid w:val="00241A14"/>
    <w:rsid w:val="00244A21"/>
    <w:rsid w:val="00245E64"/>
    <w:rsid w:val="00245FA1"/>
    <w:rsid w:val="00251116"/>
    <w:rsid w:val="002603E6"/>
    <w:rsid w:val="0026128E"/>
    <w:rsid w:val="00264EA4"/>
    <w:rsid w:val="00271EE7"/>
    <w:rsid w:val="00276B2D"/>
    <w:rsid w:val="002774D9"/>
    <w:rsid w:val="002777DC"/>
    <w:rsid w:val="00283DB2"/>
    <w:rsid w:val="00287AED"/>
    <w:rsid w:val="002920DD"/>
    <w:rsid w:val="00295291"/>
    <w:rsid w:val="00297BB0"/>
    <w:rsid w:val="002A594C"/>
    <w:rsid w:val="002C43C8"/>
    <w:rsid w:val="002C68CA"/>
    <w:rsid w:val="002D451D"/>
    <w:rsid w:val="002D541D"/>
    <w:rsid w:val="002D6AE7"/>
    <w:rsid w:val="002E0832"/>
    <w:rsid w:val="002F1025"/>
    <w:rsid w:val="002F433F"/>
    <w:rsid w:val="003005A3"/>
    <w:rsid w:val="00302320"/>
    <w:rsid w:val="003034C3"/>
    <w:rsid w:val="0031054B"/>
    <w:rsid w:val="00311D24"/>
    <w:rsid w:val="00316F36"/>
    <w:rsid w:val="00320119"/>
    <w:rsid w:val="00320389"/>
    <w:rsid w:val="00323D58"/>
    <w:rsid w:val="00326049"/>
    <w:rsid w:val="00330582"/>
    <w:rsid w:val="0034051B"/>
    <w:rsid w:val="0034182B"/>
    <w:rsid w:val="00343C7D"/>
    <w:rsid w:val="00353921"/>
    <w:rsid w:val="00354A06"/>
    <w:rsid w:val="00355394"/>
    <w:rsid w:val="003618DE"/>
    <w:rsid w:val="00364ED8"/>
    <w:rsid w:val="00372A26"/>
    <w:rsid w:val="00375368"/>
    <w:rsid w:val="00380306"/>
    <w:rsid w:val="00380454"/>
    <w:rsid w:val="00380795"/>
    <w:rsid w:val="00381DCE"/>
    <w:rsid w:val="00387CED"/>
    <w:rsid w:val="00391EEF"/>
    <w:rsid w:val="00395173"/>
    <w:rsid w:val="00396B82"/>
    <w:rsid w:val="00397349"/>
    <w:rsid w:val="003A10EE"/>
    <w:rsid w:val="003A2EF9"/>
    <w:rsid w:val="003A3FC8"/>
    <w:rsid w:val="003A56A4"/>
    <w:rsid w:val="003A5EE8"/>
    <w:rsid w:val="003B2A91"/>
    <w:rsid w:val="003B48E4"/>
    <w:rsid w:val="003B6112"/>
    <w:rsid w:val="003C3111"/>
    <w:rsid w:val="003C415D"/>
    <w:rsid w:val="003C447D"/>
    <w:rsid w:val="003D3368"/>
    <w:rsid w:val="003F0D25"/>
    <w:rsid w:val="003F23BF"/>
    <w:rsid w:val="003F2C72"/>
    <w:rsid w:val="003F73BD"/>
    <w:rsid w:val="003F74A0"/>
    <w:rsid w:val="003F7744"/>
    <w:rsid w:val="0040108F"/>
    <w:rsid w:val="00401CDA"/>
    <w:rsid w:val="0040416C"/>
    <w:rsid w:val="0041334C"/>
    <w:rsid w:val="00413494"/>
    <w:rsid w:val="00420443"/>
    <w:rsid w:val="004211AC"/>
    <w:rsid w:val="00432A9F"/>
    <w:rsid w:val="004333D2"/>
    <w:rsid w:val="004342E7"/>
    <w:rsid w:val="004347EA"/>
    <w:rsid w:val="0044550A"/>
    <w:rsid w:val="00445689"/>
    <w:rsid w:val="00446F79"/>
    <w:rsid w:val="004524CE"/>
    <w:rsid w:val="00453C6C"/>
    <w:rsid w:val="00454A8F"/>
    <w:rsid w:val="00455040"/>
    <w:rsid w:val="00461258"/>
    <w:rsid w:val="00466B01"/>
    <w:rsid w:val="00477519"/>
    <w:rsid w:val="004808B5"/>
    <w:rsid w:val="004825DF"/>
    <w:rsid w:val="00490D98"/>
    <w:rsid w:val="004949B1"/>
    <w:rsid w:val="00497790"/>
    <w:rsid w:val="004A00B7"/>
    <w:rsid w:val="004A1215"/>
    <w:rsid w:val="004A30E0"/>
    <w:rsid w:val="004A5385"/>
    <w:rsid w:val="004C0203"/>
    <w:rsid w:val="004C048D"/>
    <w:rsid w:val="004C0D8E"/>
    <w:rsid w:val="004C335E"/>
    <w:rsid w:val="004C78FD"/>
    <w:rsid w:val="004C7AA4"/>
    <w:rsid w:val="004D23D9"/>
    <w:rsid w:val="004D6BFA"/>
    <w:rsid w:val="004D7079"/>
    <w:rsid w:val="004D7B60"/>
    <w:rsid w:val="004D7C3F"/>
    <w:rsid w:val="004E435A"/>
    <w:rsid w:val="004E4EDF"/>
    <w:rsid w:val="004F47D1"/>
    <w:rsid w:val="0050080F"/>
    <w:rsid w:val="00504475"/>
    <w:rsid w:val="00505CB1"/>
    <w:rsid w:val="005076A0"/>
    <w:rsid w:val="00510F4F"/>
    <w:rsid w:val="00511FDF"/>
    <w:rsid w:val="005126FB"/>
    <w:rsid w:val="00513381"/>
    <w:rsid w:val="00513A57"/>
    <w:rsid w:val="00522ACC"/>
    <w:rsid w:val="00523971"/>
    <w:rsid w:val="00525CB3"/>
    <w:rsid w:val="00526801"/>
    <w:rsid w:val="00542BAE"/>
    <w:rsid w:val="0054720A"/>
    <w:rsid w:val="005479B3"/>
    <w:rsid w:val="00547F08"/>
    <w:rsid w:val="0055069B"/>
    <w:rsid w:val="00561204"/>
    <w:rsid w:val="0056206D"/>
    <w:rsid w:val="00562821"/>
    <w:rsid w:val="005714C3"/>
    <w:rsid w:val="00571535"/>
    <w:rsid w:val="00575DBA"/>
    <w:rsid w:val="0058590A"/>
    <w:rsid w:val="00594E7E"/>
    <w:rsid w:val="005A661E"/>
    <w:rsid w:val="005A6C0D"/>
    <w:rsid w:val="005B15B3"/>
    <w:rsid w:val="005B3EB7"/>
    <w:rsid w:val="005B4C86"/>
    <w:rsid w:val="005B6710"/>
    <w:rsid w:val="005C0E21"/>
    <w:rsid w:val="005C322A"/>
    <w:rsid w:val="005C6B63"/>
    <w:rsid w:val="005D0800"/>
    <w:rsid w:val="005D0D40"/>
    <w:rsid w:val="005D2503"/>
    <w:rsid w:val="005D331C"/>
    <w:rsid w:val="005E065F"/>
    <w:rsid w:val="005E27EA"/>
    <w:rsid w:val="005E4300"/>
    <w:rsid w:val="005E66D1"/>
    <w:rsid w:val="005E6A4E"/>
    <w:rsid w:val="005E73E8"/>
    <w:rsid w:val="005E7CD7"/>
    <w:rsid w:val="005F0DD5"/>
    <w:rsid w:val="005F4454"/>
    <w:rsid w:val="005F5A11"/>
    <w:rsid w:val="00602266"/>
    <w:rsid w:val="00604D53"/>
    <w:rsid w:val="00607472"/>
    <w:rsid w:val="00610A76"/>
    <w:rsid w:val="00611194"/>
    <w:rsid w:val="0061732F"/>
    <w:rsid w:val="00617379"/>
    <w:rsid w:val="0062041F"/>
    <w:rsid w:val="006220E2"/>
    <w:rsid w:val="00624CBC"/>
    <w:rsid w:val="00631C3B"/>
    <w:rsid w:val="006550D0"/>
    <w:rsid w:val="00664126"/>
    <w:rsid w:val="00665FD1"/>
    <w:rsid w:val="006667C2"/>
    <w:rsid w:val="00670656"/>
    <w:rsid w:val="00672758"/>
    <w:rsid w:val="00675218"/>
    <w:rsid w:val="006778A5"/>
    <w:rsid w:val="006807B2"/>
    <w:rsid w:val="00684C7C"/>
    <w:rsid w:val="0068780B"/>
    <w:rsid w:val="00695D05"/>
    <w:rsid w:val="006970AB"/>
    <w:rsid w:val="0069728F"/>
    <w:rsid w:val="00697885"/>
    <w:rsid w:val="006A2D9E"/>
    <w:rsid w:val="006A69CD"/>
    <w:rsid w:val="006B1C9A"/>
    <w:rsid w:val="006B6DE1"/>
    <w:rsid w:val="006B7BA3"/>
    <w:rsid w:val="006C1D90"/>
    <w:rsid w:val="006D0BAC"/>
    <w:rsid w:val="006D426F"/>
    <w:rsid w:val="006D5989"/>
    <w:rsid w:val="006E2F9F"/>
    <w:rsid w:val="006E314A"/>
    <w:rsid w:val="006E78E4"/>
    <w:rsid w:val="006F189E"/>
    <w:rsid w:val="006F1CC8"/>
    <w:rsid w:val="006F2CF0"/>
    <w:rsid w:val="00701992"/>
    <w:rsid w:val="00701EB8"/>
    <w:rsid w:val="00706CC5"/>
    <w:rsid w:val="00706E5D"/>
    <w:rsid w:val="0070746F"/>
    <w:rsid w:val="00744184"/>
    <w:rsid w:val="00752167"/>
    <w:rsid w:val="0075266F"/>
    <w:rsid w:val="00755CB3"/>
    <w:rsid w:val="00762241"/>
    <w:rsid w:val="007630FC"/>
    <w:rsid w:val="0076488C"/>
    <w:rsid w:val="00772610"/>
    <w:rsid w:val="007735B0"/>
    <w:rsid w:val="00773D75"/>
    <w:rsid w:val="00774C5D"/>
    <w:rsid w:val="00776658"/>
    <w:rsid w:val="00777F27"/>
    <w:rsid w:val="00780DA5"/>
    <w:rsid w:val="007829DA"/>
    <w:rsid w:val="00785050"/>
    <w:rsid w:val="0078752E"/>
    <w:rsid w:val="0079069E"/>
    <w:rsid w:val="0079126C"/>
    <w:rsid w:val="00791E95"/>
    <w:rsid w:val="00793E70"/>
    <w:rsid w:val="00795605"/>
    <w:rsid w:val="007A3EF1"/>
    <w:rsid w:val="007A50A6"/>
    <w:rsid w:val="007A5A47"/>
    <w:rsid w:val="007A7B0E"/>
    <w:rsid w:val="007B26E6"/>
    <w:rsid w:val="007B4AFE"/>
    <w:rsid w:val="007C5A23"/>
    <w:rsid w:val="007D1A40"/>
    <w:rsid w:val="007D4CA5"/>
    <w:rsid w:val="007D5643"/>
    <w:rsid w:val="007D77DD"/>
    <w:rsid w:val="007D7F0D"/>
    <w:rsid w:val="007E6BE3"/>
    <w:rsid w:val="007E7DB4"/>
    <w:rsid w:val="007F0619"/>
    <w:rsid w:val="007F3D26"/>
    <w:rsid w:val="007F469E"/>
    <w:rsid w:val="00800159"/>
    <w:rsid w:val="00802196"/>
    <w:rsid w:val="00805DF6"/>
    <w:rsid w:val="008120A4"/>
    <w:rsid w:val="0081277A"/>
    <w:rsid w:val="00813DC5"/>
    <w:rsid w:val="00814888"/>
    <w:rsid w:val="008200C9"/>
    <w:rsid w:val="008232DB"/>
    <w:rsid w:val="00825FBD"/>
    <w:rsid w:val="00830142"/>
    <w:rsid w:val="0083332A"/>
    <w:rsid w:val="008413E5"/>
    <w:rsid w:val="00852E85"/>
    <w:rsid w:val="0085455A"/>
    <w:rsid w:val="00856C9B"/>
    <w:rsid w:val="00862E5E"/>
    <w:rsid w:val="00871E53"/>
    <w:rsid w:val="00876576"/>
    <w:rsid w:val="00876A03"/>
    <w:rsid w:val="00881692"/>
    <w:rsid w:val="00882CC5"/>
    <w:rsid w:val="0088439F"/>
    <w:rsid w:val="008872E7"/>
    <w:rsid w:val="00887792"/>
    <w:rsid w:val="00887C12"/>
    <w:rsid w:val="008929A5"/>
    <w:rsid w:val="008957FE"/>
    <w:rsid w:val="008A1191"/>
    <w:rsid w:val="008A3F4A"/>
    <w:rsid w:val="008A4C51"/>
    <w:rsid w:val="008B068C"/>
    <w:rsid w:val="008B23EA"/>
    <w:rsid w:val="008B3ED6"/>
    <w:rsid w:val="008C1917"/>
    <w:rsid w:val="008C302F"/>
    <w:rsid w:val="008D19C4"/>
    <w:rsid w:val="008D238C"/>
    <w:rsid w:val="008D5450"/>
    <w:rsid w:val="008E0031"/>
    <w:rsid w:val="008E0CB0"/>
    <w:rsid w:val="008E682E"/>
    <w:rsid w:val="008F2904"/>
    <w:rsid w:val="008F50C8"/>
    <w:rsid w:val="008F5ACF"/>
    <w:rsid w:val="008F5B14"/>
    <w:rsid w:val="008F7779"/>
    <w:rsid w:val="009015A8"/>
    <w:rsid w:val="0091263A"/>
    <w:rsid w:val="009136CC"/>
    <w:rsid w:val="00917445"/>
    <w:rsid w:val="009220F7"/>
    <w:rsid w:val="00925C7D"/>
    <w:rsid w:val="0093054A"/>
    <w:rsid w:val="00930FC8"/>
    <w:rsid w:val="00932937"/>
    <w:rsid w:val="009410A9"/>
    <w:rsid w:val="00942FFF"/>
    <w:rsid w:val="009441C2"/>
    <w:rsid w:val="009442A5"/>
    <w:rsid w:val="00950F3D"/>
    <w:rsid w:val="00962C06"/>
    <w:rsid w:val="0096358E"/>
    <w:rsid w:val="00963EB0"/>
    <w:rsid w:val="00965EF5"/>
    <w:rsid w:val="009668FC"/>
    <w:rsid w:val="0097242A"/>
    <w:rsid w:val="00973C32"/>
    <w:rsid w:val="00981EBE"/>
    <w:rsid w:val="00982909"/>
    <w:rsid w:val="009913D3"/>
    <w:rsid w:val="00991E72"/>
    <w:rsid w:val="00994BF4"/>
    <w:rsid w:val="009950B3"/>
    <w:rsid w:val="009A12FE"/>
    <w:rsid w:val="009A4D96"/>
    <w:rsid w:val="009A5420"/>
    <w:rsid w:val="009A54DA"/>
    <w:rsid w:val="009B38F2"/>
    <w:rsid w:val="009B56F4"/>
    <w:rsid w:val="009C19B4"/>
    <w:rsid w:val="009C64CD"/>
    <w:rsid w:val="009D4CF6"/>
    <w:rsid w:val="009E004D"/>
    <w:rsid w:val="009E3BE8"/>
    <w:rsid w:val="009F0978"/>
    <w:rsid w:val="009F0B36"/>
    <w:rsid w:val="009F3349"/>
    <w:rsid w:val="009F50FC"/>
    <w:rsid w:val="009F736B"/>
    <w:rsid w:val="00A01B65"/>
    <w:rsid w:val="00A041DE"/>
    <w:rsid w:val="00A0627A"/>
    <w:rsid w:val="00A06D61"/>
    <w:rsid w:val="00A100EE"/>
    <w:rsid w:val="00A10DA2"/>
    <w:rsid w:val="00A137E6"/>
    <w:rsid w:val="00A1497F"/>
    <w:rsid w:val="00A15FB1"/>
    <w:rsid w:val="00A1762C"/>
    <w:rsid w:val="00A24CA2"/>
    <w:rsid w:val="00A261D8"/>
    <w:rsid w:val="00A26BD6"/>
    <w:rsid w:val="00A31388"/>
    <w:rsid w:val="00A31E82"/>
    <w:rsid w:val="00A3466F"/>
    <w:rsid w:val="00A34744"/>
    <w:rsid w:val="00A34F67"/>
    <w:rsid w:val="00A351B1"/>
    <w:rsid w:val="00A35F65"/>
    <w:rsid w:val="00A40791"/>
    <w:rsid w:val="00A42156"/>
    <w:rsid w:val="00A43C9A"/>
    <w:rsid w:val="00A44CD0"/>
    <w:rsid w:val="00A46120"/>
    <w:rsid w:val="00A52626"/>
    <w:rsid w:val="00A5375A"/>
    <w:rsid w:val="00A54F00"/>
    <w:rsid w:val="00A571BC"/>
    <w:rsid w:val="00A62490"/>
    <w:rsid w:val="00A62B63"/>
    <w:rsid w:val="00A70EAE"/>
    <w:rsid w:val="00A734D5"/>
    <w:rsid w:val="00A75180"/>
    <w:rsid w:val="00A80DD9"/>
    <w:rsid w:val="00A8222F"/>
    <w:rsid w:val="00A836EA"/>
    <w:rsid w:val="00A83D56"/>
    <w:rsid w:val="00A87576"/>
    <w:rsid w:val="00A900B6"/>
    <w:rsid w:val="00A9231C"/>
    <w:rsid w:val="00A93F22"/>
    <w:rsid w:val="00A977A6"/>
    <w:rsid w:val="00AA0A64"/>
    <w:rsid w:val="00AA19A4"/>
    <w:rsid w:val="00AB3814"/>
    <w:rsid w:val="00AB450E"/>
    <w:rsid w:val="00AC4A0D"/>
    <w:rsid w:val="00AD0459"/>
    <w:rsid w:val="00AD21CA"/>
    <w:rsid w:val="00AD31C4"/>
    <w:rsid w:val="00AD52FF"/>
    <w:rsid w:val="00AD6F6B"/>
    <w:rsid w:val="00AD7E16"/>
    <w:rsid w:val="00AE42A6"/>
    <w:rsid w:val="00AF1FD4"/>
    <w:rsid w:val="00AF4DE4"/>
    <w:rsid w:val="00AF547B"/>
    <w:rsid w:val="00B01D69"/>
    <w:rsid w:val="00B03F76"/>
    <w:rsid w:val="00B070F1"/>
    <w:rsid w:val="00B10942"/>
    <w:rsid w:val="00B15D11"/>
    <w:rsid w:val="00B15F8B"/>
    <w:rsid w:val="00B20115"/>
    <w:rsid w:val="00B233FD"/>
    <w:rsid w:val="00B24323"/>
    <w:rsid w:val="00B26144"/>
    <w:rsid w:val="00B30A20"/>
    <w:rsid w:val="00B31FB2"/>
    <w:rsid w:val="00B34B6D"/>
    <w:rsid w:val="00B34BCC"/>
    <w:rsid w:val="00B35F07"/>
    <w:rsid w:val="00B36BF4"/>
    <w:rsid w:val="00B36F52"/>
    <w:rsid w:val="00B40A00"/>
    <w:rsid w:val="00B435F2"/>
    <w:rsid w:val="00B455DD"/>
    <w:rsid w:val="00B46ACA"/>
    <w:rsid w:val="00B51DF3"/>
    <w:rsid w:val="00B56FF7"/>
    <w:rsid w:val="00B57291"/>
    <w:rsid w:val="00B608EC"/>
    <w:rsid w:val="00B61586"/>
    <w:rsid w:val="00B61ED2"/>
    <w:rsid w:val="00B66BE5"/>
    <w:rsid w:val="00B67BE7"/>
    <w:rsid w:val="00B74688"/>
    <w:rsid w:val="00B80E42"/>
    <w:rsid w:val="00B87201"/>
    <w:rsid w:val="00B87F97"/>
    <w:rsid w:val="00B90D33"/>
    <w:rsid w:val="00B9232F"/>
    <w:rsid w:val="00B96619"/>
    <w:rsid w:val="00B9740F"/>
    <w:rsid w:val="00BA008E"/>
    <w:rsid w:val="00BA52F5"/>
    <w:rsid w:val="00BA52F9"/>
    <w:rsid w:val="00BA7965"/>
    <w:rsid w:val="00BB1BC1"/>
    <w:rsid w:val="00BB49FA"/>
    <w:rsid w:val="00BC06DF"/>
    <w:rsid w:val="00BC44A7"/>
    <w:rsid w:val="00BC60D1"/>
    <w:rsid w:val="00BD0E60"/>
    <w:rsid w:val="00BD10F1"/>
    <w:rsid w:val="00BD3B1D"/>
    <w:rsid w:val="00BD4519"/>
    <w:rsid w:val="00BE0B1C"/>
    <w:rsid w:val="00BE21F3"/>
    <w:rsid w:val="00BF11C4"/>
    <w:rsid w:val="00BF2E2B"/>
    <w:rsid w:val="00BF4AE2"/>
    <w:rsid w:val="00C0088C"/>
    <w:rsid w:val="00C105A7"/>
    <w:rsid w:val="00C10D29"/>
    <w:rsid w:val="00C137A6"/>
    <w:rsid w:val="00C1540A"/>
    <w:rsid w:val="00C1603C"/>
    <w:rsid w:val="00C20DCF"/>
    <w:rsid w:val="00C22056"/>
    <w:rsid w:val="00C22B36"/>
    <w:rsid w:val="00C24A27"/>
    <w:rsid w:val="00C25313"/>
    <w:rsid w:val="00C27B9A"/>
    <w:rsid w:val="00C31A5A"/>
    <w:rsid w:val="00C32761"/>
    <w:rsid w:val="00C32C48"/>
    <w:rsid w:val="00C36DBD"/>
    <w:rsid w:val="00C37FD8"/>
    <w:rsid w:val="00C45722"/>
    <w:rsid w:val="00C45EAB"/>
    <w:rsid w:val="00C50289"/>
    <w:rsid w:val="00C52919"/>
    <w:rsid w:val="00C5720D"/>
    <w:rsid w:val="00C614EF"/>
    <w:rsid w:val="00C63475"/>
    <w:rsid w:val="00C64D8B"/>
    <w:rsid w:val="00C65ED9"/>
    <w:rsid w:val="00C7104A"/>
    <w:rsid w:val="00C715A9"/>
    <w:rsid w:val="00C73188"/>
    <w:rsid w:val="00C7372D"/>
    <w:rsid w:val="00C737AF"/>
    <w:rsid w:val="00C740D8"/>
    <w:rsid w:val="00C74121"/>
    <w:rsid w:val="00C83D06"/>
    <w:rsid w:val="00C84084"/>
    <w:rsid w:val="00C857F1"/>
    <w:rsid w:val="00C87E24"/>
    <w:rsid w:val="00C90D90"/>
    <w:rsid w:val="00C91F26"/>
    <w:rsid w:val="00C93194"/>
    <w:rsid w:val="00C971A5"/>
    <w:rsid w:val="00CA0542"/>
    <w:rsid w:val="00CA4798"/>
    <w:rsid w:val="00CA4892"/>
    <w:rsid w:val="00CA4963"/>
    <w:rsid w:val="00CB069D"/>
    <w:rsid w:val="00CB1474"/>
    <w:rsid w:val="00CB4F8D"/>
    <w:rsid w:val="00CB57B3"/>
    <w:rsid w:val="00CC43EC"/>
    <w:rsid w:val="00CC4A2F"/>
    <w:rsid w:val="00CD22F0"/>
    <w:rsid w:val="00CD5454"/>
    <w:rsid w:val="00CE22D8"/>
    <w:rsid w:val="00CE564A"/>
    <w:rsid w:val="00CF4689"/>
    <w:rsid w:val="00CF5554"/>
    <w:rsid w:val="00D025AA"/>
    <w:rsid w:val="00D11109"/>
    <w:rsid w:val="00D1377A"/>
    <w:rsid w:val="00D20425"/>
    <w:rsid w:val="00D209BA"/>
    <w:rsid w:val="00D23BAF"/>
    <w:rsid w:val="00D277E4"/>
    <w:rsid w:val="00D36654"/>
    <w:rsid w:val="00D373BD"/>
    <w:rsid w:val="00D43080"/>
    <w:rsid w:val="00D456CA"/>
    <w:rsid w:val="00D4692A"/>
    <w:rsid w:val="00D47F18"/>
    <w:rsid w:val="00D508E6"/>
    <w:rsid w:val="00D511C2"/>
    <w:rsid w:val="00D52037"/>
    <w:rsid w:val="00D52A17"/>
    <w:rsid w:val="00D55C93"/>
    <w:rsid w:val="00D61000"/>
    <w:rsid w:val="00D81E5C"/>
    <w:rsid w:val="00D82DD3"/>
    <w:rsid w:val="00D83E8C"/>
    <w:rsid w:val="00D83F97"/>
    <w:rsid w:val="00D84123"/>
    <w:rsid w:val="00D875D9"/>
    <w:rsid w:val="00D94896"/>
    <w:rsid w:val="00D96609"/>
    <w:rsid w:val="00D971DC"/>
    <w:rsid w:val="00DA1226"/>
    <w:rsid w:val="00DA4522"/>
    <w:rsid w:val="00DA5381"/>
    <w:rsid w:val="00DB0228"/>
    <w:rsid w:val="00DB06ED"/>
    <w:rsid w:val="00DB25EA"/>
    <w:rsid w:val="00DB2747"/>
    <w:rsid w:val="00DB68EC"/>
    <w:rsid w:val="00DB7548"/>
    <w:rsid w:val="00DB7728"/>
    <w:rsid w:val="00DC0A4C"/>
    <w:rsid w:val="00DC15AF"/>
    <w:rsid w:val="00DD0CFE"/>
    <w:rsid w:val="00DD0EFD"/>
    <w:rsid w:val="00DD19B1"/>
    <w:rsid w:val="00DD2CBE"/>
    <w:rsid w:val="00DD4BA0"/>
    <w:rsid w:val="00DD6371"/>
    <w:rsid w:val="00DE5BEE"/>
    <w:rsid w:val="00DE63C2"/>
    <w:rsid w:val="00DF04F1"/>
    <w:rsid w:val="00DF0BD3"/>
    <w:rsid w:val="00DF544C"/>
    <w:rsid w:val="00DF61D9"/>
    <w:rsid w:val="00E059FC"/>
    <w:rsid w:val="00E06BFA"/>
    <w:rsid w:val="00E10E72"/>
    <w:rsid w:val="00E14388"/>
    <w:rsid w:val="00E14492"/>
    <w:rsid w:val="00E21513"/>
    <w:rsid w:val="00E25E73"/>
    <w:rsid w:val="00E26569"/>
    <w:rsid w:val="00E34DBF"/>
    <w:rsid w:val="00E37339"/>
    <w:rsid w:val="00E45A0F"/>
    <w:rsid w:val="00E56ADC"/>
    <w:rsid w:val="00E57A71"/>
    <w:rsid w:val="00E67761"/>
    <w:rsid w:val="00E713FB"/>
    <w:rsid w:val="00E717FB"/>
    <w:rsid w:val="00E8628D"/>
    <w:rsid w:val="00E8692B"/>
    <w:rsid w:val="00E90685"/>
    <w:rsid w:val="00E976A8"/>
    <w:rsid w:val="00EA03F4"/>
    <w:rsid w:val="00EB0116"/>
    <w:rsid w:val="00EC0A8F"/>
    <w:rsid w:val="00EC41FB"/>
    <w:rsid w:val="00EC5100"/>
    <w:rsid w:val="00EC52C3"/>
    <w:rsid w:val="00EC6E76"/>
    <w:rsid w:val="00EC7E48"/>
    <w:rsid w:val="00ED1747"/>
    <w:rsid w:val="00ED3D2C"/>
    <w:rsid w:val="00EE47D1"/>
    <w:rsid w:val="00EE55BF"/>
    <w:rsid w:val="00EE6C76"/>
    <w:rsid w:val="00EE7304"/>
    <w:rsid w:val="00EF043D"/>
    <w:rsid w:val="00EF4D82"/>
    <w:rsid w:val="00EF6CFC"/>
    <w:rsid w:val="00F00B06"/>
    <w:rsid w:val="00F01A73"/>
    <w:rsid w:val="00F03947"/>
    <w:rsid w:val="00F10E86"/>
    <w:rsid w:val="00F1112B"/>
    <w:rsid w:val="00F14A93"/>
    <w:rsid w:val="00F17867"/>
    <w:rsid w:val="00F20263"/>
    <w:rsid w:val="00F24279"/>
    <w:rsid w:val="00F320CF"/>
    <w:rsid w:val="00F35F13"/>
    <w:rsid w:val="00F36B27"/>
    <w:rsid w:val="00F40E05"/>
    <w:rsid w:val="00F4221D"/>
    <w:rsid w:val="00F45665"/>
    <w:rsid w:val="00F57DC7"/>
    <w:rsid w:val="00F86101"/>
    <w:rsid w:val="00F90F8C"/>
    <w:rsid w:val="00F93F5B"/>
    <w:rsid w:val="00F945DB"/>
    <w:rsid w:val="00F94D68"/>
    <w:rsid w:val="00F9656E"/>
    <w:rsid w:val="00FA3211"/>
    <w:rsid w:val="00FA511E"/>
    <w:rsid w:val="00FB59EA"/>
    <w:rsid w:val="00FC103A"/>
    <w:rsid w:val="00FC653F"/>
    <w:rsid w:val="00FD1A16"/>
    <w:rsid w:val="00FD25CE"/>
    <w:rsid w:val="00FD43C2"/>
    <w:rsid w:val="00FE340B"/>
    <w:rsid w:val="00FE63B8"/>
    <w:rsid w:val="00FF1BC3"/>
    <w:rsid w:val="00FF2B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03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AU"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9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8"/>
    <w:lsdException w:name="Emphasis" w:semiHidden="1" w:uiPriority="98"/>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98"/>
    <w:lsdException w:name="Intense Quote" w:semiHidden="1" w:uiPriority="9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lsdException w:name="Intense Emphasis" w:semiHidden="1" w:uiPriority="98"/>
    <w:lsdException w:name="Subtle Reference" w:semiHidden="1" w:uiPriority="98"/>
    <w:lsdException w:name="Intense Reference" w:semiHidden="1" w:uiPriority="98"/>
    <w:lsdException w:name="Book Title" w:semiHidden="1" w:uiPriority="98"/>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E47D1"/>
  </w:style>
  <w:style w:type="paragraph" w:styleId="Heading1">
    <w:name w:val="heading 1"/>
    <w:basedOn w:val="Normal"/>
    <w:next w:val="BTBodyText"/>
    <w:link w:val="Heading1Char"/>
    <w:uiPriority w:val="33"/>
    <w:rsid w:val="00887792"/>
    <w:pPr>
      <w:keepNext/>
      <w:keepLines/>
      <w:outlineLvl w:val="0"/>
    </w:pPr>
    <w:rPr>
      <w:rFonts w:eastAsiaTheme="majorEastAsia" w:cstheme="majorBidi"/>
      <w:b/>
      <w:caps/>
      <w:sz w:val="28"/>
      <w:szCs w:val="32"/>
    </w:rPr>
  </w:style>
  <w:style w:type="paragraph" w:styleId="Heading2">
    <w:name w:val="heading 2"/>
    <w:basedOn w:val="Normal"/>
    <w:next w:val="BTBodyText"/>
    <w:link w:val="Heading2Char"/>
    <w:uiPriority w:val="33"/>
    <w:unhideWhenUsed/>
    <w:rsid w:val="00887792"/>
    <w:pPr>
      <w:keepNext/>
      <w:keepLines/>
      <w:outlineLvl w:val="1"/>
    </w:pPr>
    <w:rPr>
      <w:rFonts w:eastAsiaTheme="majorEastAsia" w:cstheme="majorBidi"/>
      <w:b/>
      <w:smallCaps/>
      <w:sz w:val="28"/>
      <w:szCs w:val="26"/>
    </w:rPr>
  </w:style>
  <w:style w:type="paragraph" w:styleId="Heading3">
    <w:name w:val="heading 3"/>
    <w:basedOn w:val="Normal"/>
    <w:next w:val="BTBodyText"/>
    <w:link w:val="Heading3Char"/>
    <w:uiPriority w:val="33"/>
    <w:unhideWhenUsed/>
    <w:rsid w:val="00887792"/>
    <w:pPr>
      <w:keepNext/>
      <w:keepLines/>
      <w:outlineLvl w:val="2"/>
    </w:pPr>
    <w:rPr>
      <w:rFonts w:eastAsiaTheme="majorEastAsia" w:cstheme="majorBidi"/>
      <w:b/>
    </w:rPr>
  </w:style>
  <w:style w:type="paragraph" w:styleId="Heading4">
    <w:name w:val="heading 4"/>
    <w:basedOn w:val="Normal"/>
    <w:next w:val="BTBodyText"/>
    <w:link w:val="Heading4Char"/>
    <w:uiPriority w:val="33"/>
    <w:unhideWhenUsed/>
    <w:rsid w:val="00887792"/>
    <w:pPr>
      <w:keepNext/>
      <w:keepLines/>
      <w:outlineLvl w:val="3"/>
    </w:pPr>
    <w:rPr>
      <w:rFonts w:eastAsiaTheme="majorEastAsia" w:cstheme="majorBidi"/>
      <w:iCs/>
      <w:u w:val="single"/>
    </w:rPr>
  </w:style>
  <w:style w:type="paragraph" w:styleId="Heading5">
    <w:name w:val="heading 5"/>
    <w:basedOn w:val="Normal"/>
    <w:next w:val="BTBodyText"/>
    <w:link w:val="Heading5Char"/>
    <w:uiPriority w:val="33"/>
    <w:unhideWhenUsed/>
    <w:rsid w:val="00887792"/>
    <w:pPr>
      <w:keepNext/>
      <w:keepLines/>
      <w:outlineLvl w:val="4"/>
    </w:pPr>
    <w:rPr>
      <w:rFonts w:eastAsiaTheme="majorEastAsia" w:cstheme="majorBidi"/>
      <w:i/>
    </w:rPr>
  </w:style>
  <w:style w:type="paragraph" w:styleId="Heading6">
    <w:name w:val="heading 6"/>
    <w:basedOn w:val="Normal"/>
    <w:next w:val="BTBodyText"/>
    <w:link w:val="Heading6Char"/>
    <w:uiPriority w:val="33"/>
    <w:unhideWhenUsed/>
    <w:rsid w:val="00887792"/>
    <w:pPr>
      <w:keepNext/>
      <w:keepLines/>
      <w:outlineLvl w:val="5"/>
    </w:pPr>
    <w:rPr>
      <w:rFonts w:eastAsiaTheme="majorEastAsia" w:cstheme="majorBidi"/>
      <w:u w:val="single"/>
    </w:rPr>
  </w:style>
  <w:style w:type="paragraph" w:styleId="Heading7">
    <w:name w:val="heading 7"/>
    <w:basedOn w:val="Normal"/>
    <w:next w:val="BTBodyText"/>
    <w:link w:val="Heading7Char"/>
    <w:uiPriority w:val="33"/>
    <w:unhideWhenUsed/>
    <w:rsid w:val="00887792"/>
    <w:pPr>
      <w:keepNext/>
      <w:keepLines/>
      <w:outlineLvl w:val="6"/>
    </w:pPr>
    <w:rPr>
      <w:rFonts w:eastAsiaTheme="majorEastAsia" w:cstheme="majorBidi"/>
      <w:i/>
      <w:iCs/>
    </w:rPr>
  </w:style>
  <w:style w:type="paragraph" w:styleId="Heading8">
    <w:name w:val="heading 8"/>
    <w:basedOn w:val="Normal"/>
    <w:next w:val="BTBodyText"/>
    <w:link w:val="Heading8Char"/>
    <w:uiPriority w:val="33"/>
    <w:unhideWhenUsed/>
    <w:rsid w:val="00887792"/>
    <w:pPr>
      <w:keepNext/>
      <w:keepLines/>
      <w:outlineLvl w:val="7"/>
    </w:pPr>
    <w:rPr>
      <w:rFonts w:eastAsiaTheme="majorEastAsia" w:cstheme="majorBidi"/>
      <w:szCs w:val="21"/>
      <w:u w:val="single"/>
    </w:rPr>
  </w:style>
  <w:style w:type="paragraph" w:styleId="Heading9">
    <w:name w:val="heading 9"/>
    <w:basedOn w:val="Normal"/>
    <w:next w:val="BTBodyText"/>
    <w:link w:val="Heading9Char"/>
    <w:uiPriority w:val="33"/>
    <w:unhideWhenUsed/>
    <w:rsid w:val="00887792"/>
    <w:pPr>
      <w:keepNext/>
      <w:keepLines/>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4A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6"/>
    <w:rPr>
      <w:rFonts w:ascii="Segoe UI" w:hAnsi="Segoe UI" w:cs="Segoe UI"/>
      <w:sz w:val="18"/>
      <w:szCs w:val="18"/>
    </w:rPr>
  </w:style>
  <w:style w:type="paragraph" w:customStyle="1" w:styleId="BTBodyText">
    <w:name w:val="[BT] Body Text"/>
    <w:basedOn w:val="Normal"/>
    <w:link w:val="BTBodyTextChar"/>
    <w:uiPriority w:val="2"/>
    <w:qFormat/>
    <w:rsid w:val="00354A06"/>
  </w:style>
  <w:style w:type="paragraph" w:customStyle="1" w:styleId="BTIBodyTextIndented">
    <w:name w:val="[BTI] Body Text Indented"/>
    <w:basedOn w:val="BTBodyText"/>
    <w:link w:val="BTIBodyTextIndentedChar"/>
    <w:uiPriority w:val="2"/>
    <w:qFormat/>
    <w:rsid w:val="00354A06"/>
    <w:pPr>
      <w:ind w:left="851"/>
    </w:pPr>
  </w:style>
  <w:style w:type="character" w:customStyle="1" w:styleId="BTBodyTextChar">
    <w:name w:val="[BT] Body Text Char"/>
    <w:basedOn w:val="DefaultParagraphFont"/>
    <w:link w:val="BTBodyText"/>
    <w:uiPriority w:val="2"/>
    <w:rsid w:val="00AD0459"/>
  </w:style>
  <w:style w:type="paragraph" w:customStyle="1" w:styleId="BTIIBodyTextTwiceIndented">
    <w:name w:val="[BTII] Body Text Twice Indented"/>
    <w:basedOn w:val="BTBodyText"/>
    <w:link w:val="BTIIBodyTextTwiceIndentedChar"/>
    <w:uiPriority w:val="2"/>
    <w:qFormat/>
    <w:rsid w:val="00354A06"/>
    <w:pPr>
      <w:ind w:left="1702"/>
    </w:pPr>
  </w:style>
  <w:style w:type="character" w:customStyle="1" w:styleId="BTIBodyTextIndentedChar">
    <w:name w:val="[BTI] Body Text Indented Char"/>
    <w:basedOn w:val="BTBodyTextChar"/>
    <w:link w:val="BTIBodyTextIndented"/>
    <w:uiPriority w:val="2"/>
    <w:rsid w:val="00AD0459"/>
  </w:style>
  <w:style w:type="paragraph" w:styleId="ListParagraph">
    <w:name w:val="List Paragraph"/>
    <w:basedOn w:val="Normal"/>
    <w:uiPriority w:val="34"/>
    <w:qFormat/>
    <w:rsid w:val="003A10EE"/>
    <w:pPr>
      <w:ind w:left="851"/>
    </w:pPr>
  </w:style>
  <w:style w:type="character" w:customStyle="1" w:styleId="BTIIBodyTextTwiceIndentedChar">
    <w:name w:val="[BTII] Body Text Twice Indented Char"/>
    <w:basedOn w:val="BTBodyTextChar"/>
    <w:link w:val="BTIIBodyTextTwiceIndented"/>
    <w:uiPriority w:val="2"/>
    <w:rsid w:val="00AD0459"/>
  </w:style>
  <w:style w:type="paragraph" w:styleId="NoSpacing">
    <w:name w:val="No Spacing"/>
    <w:link w:val="NoSpacingChar"/>
    <w:uiPriority w:val="1"/>
    <w:rsid w:val="001F46B7"/>
    <w:pPr>
      <w:spacing w:after="0" w:line="240" w:lineRule="auto"/>
    </w:pPr>
  </w:style>
  <w:style w:type="paragraph" w:customStyle="1" w:styleId="BTNSBodyTextNoSpacing">
    <w:name w:val="[BTNS] Body Text No Spacing"/>
    <w:basedOn w:val="NoSpacing"/>
    <w:link w:val="BTNSBodyTextNoSpacingChar"/>
    <w:uiPriority w:val="2"/>
    <w:qFormat/>
    <w:rsid w:val="001F46B7"/>
  </w:style>
  <w:style w:type="paragraph" w:customStyle="1" w:styleId="BTNSSBodyTextNoSpacingSmall">
    <w:name w:val="[BTNSS] Body Text No Spacing Small"/>
    <w:basedOn w:val="BTNSBodyTextNoSpacing"/>
    <w:link w:val="BTNSSBodyTextNoSpacingSmallChar"/>
    <w:uiPriority w:val="2"/>
    <w:rsid w:val="001F46B7"/>
    <w:rPr>
      <w:sz w:val="8"/>
      <w:szCs w:val="8"/>
    </w:rPr>
  </w:style>
  <w:style w:type="character" w:customStyle="1" w:styleId="NoSpacingChar">
    <w:name w:val="No Spacing Char"/>
    <w:basedOn w:val="DefaultParagraphFont"/>
    <w:link w:val="NoSpacing"/>
    <w:uiPriority w:val="1"/>
    <w:rsid w:val="001F46B7"/>
  </w:style>
  <w:style w:type="character" w:customStyle="1" w:styleId="BTNSBodyTextNoSpacingChar">
    <w:name w:val="[BTNS] Body Text No Spacing Char"/>
    <w:basedOn w:val="NoSpacingChar"/>
    <w:link w:val="BTNSBodyTextNoSpacing"/>
    <w:uiPriority w:val="2"/>
    <w:rsid w:val="00B10942"/>
  </w:style>
  <w:style w:type="character" w:customStyle="1" w:styleId="BTNSSBodyTextNoSpacingSmallChar">
    <w:name w:val="[BTNSS] Body Text No Spacing Small Char"/>
    <w:basedOn w:val="BTNSBodyTextNoSpacingChar"/>
    <w:link w:val="BTNSSBodyTextNoSpacingSmall"/>
    <w:uiPriority w:val="2"/>
    <w:rsid w:val="00B10942"/>
    <w:rPr>
      <w:sz w:val="8"/>
      <w:szCs w:val="8"/>
    </w:rPr>
  </w:style>
  <w:style w:type="paragraph" w:customStyle="1" w:styleId="P1-N1Paragraph1-Number1">
    <w:name w:val="[P1-N1] Paragraph 1 - Number 1"/>
    <w:basedOn w:val="BTBodyText"/>
    <w:link w:val="P1-N1Paragraph1-Number1Char"/>
    <w:uiPriority w:val="6"/>
    <w:qFormat/>
    <w:rsid w:val="006F189E"/>
    <w:pPr>
      <w:numPr>
        <w:numId w:val="1"/>
      </w:numPr>
    </w:pPr>
  </w:style>
  <w:style w:type="paragraph" w:customStyle="1" w:styleId="P2-B1Paragraph2-Bullet1">
    <w:name w:val="[P2-B1] Paragraph 2 - Bullet 1"/>
    <w:basedOn w:val="BTBodyText"/>
    <w:link w:val="P2-B1Paragraph2-Bullet1Char"/>
    <w:uiPriority w:val="6"/>
    <w:qFormat/>
    <w:rsid w:val="00C45722"/>
    <w:pPr>
      <w:numPr>
        <w:ilvl w:val="1"/>
        <w:numId w:val="1"/>
      </w:numPr>
      <w:spacing w:after="120"/>
      <w:ind w:left="1702" w:hanging="851"/>
    </w:pPr>
  </w:style>
  <w:style w:type="character" w:customStyle="1" w:styleId="P1-N1Paragraph1-Number1Char">
    <w:name w:val="[P1-N1] Paragraph 1 - Number 1 Char"/>
    <w:basedOn w:val="BTBodyTextChar"/>
    <w:link w:val="P1-N1Paragraph1-Number1"/>
    <w:uiPriority w:val="6"/>
    <w:rsid w:val="002603E6"/>
  </w:style>
  <w:style w:type="paragraph" w:customStyle="1" w:styleId="P3-B2Paragraph3-Bullet2">
    <w:name w:val="[P3-B2] Paragraph 3 - Bullet 2"/>
    <w:basedOn w:val="BTBodyText"/>
    <w:link w:val="P3-B2Paragraph3-Bullet2Char"/>
    <w:uiPriority w:val="6"/>
    <w:qFormat/>
    <w:rsid w:val="00C45722"/>
    <w:pPr>
      <w:numPr>
        <w:ilvl w:val="2"/>
        <w:numId w:val="1"/>
      </w:numPr>
      <w:spacing w:after="120"/>
    </w:pPr>
  </w:style>
  <w:style w:type="character" w:customStyle="1" w:styleId="P2-B1Paragraph2-Bullet1Char">
    <w:name w:val="[P2-B1] Paragraph 2 - Bullet 1 Char"/>
    <w:basedOn w:val="BTBodyTextChar"/>
    <w:link w:val="P2-B1Paragraph2-Bullet1"/>
    <w:uiPriority w:val="6"/>
    <w:rsid w:val="00C45722"/>
  </w:style>
  <w:style w:type="paragraph" w:customStyle="1" w:styleId="P4-B3Paragraph4-Bullet3">
    <w:name w:val="[P4-B3] Paragraph 4 - Bullet 3"/>
    <w:basedOn w:val="BTBodyText"/>
    <w:link w:val="P4-B3Paragraph4-Bullet3Char"/>
    <w:uiPriority w:val="6"/>
    <w:rsid w:val="00C45722"/>
    <w:pPr>
      <w:numPr>
        <w:ilvl w:val="3"/>
        <w:numId w:val="1"/>
      </w:numPr>
      <w:spacing w:after="120"/>
      <w:ind w:left="3403" w:hanging="851"/>
    </w:pPr>
  </w:style>
  <w:style w:type="character" w:customStyle="1" w:styleId="P3-B2Paragraph3-Bullet2Char">
    <w:name w:val="[P3-B2] Paragraph 3 - Bullet 2 Char"/>
    <w:basedOn w:val="BTBodyTextChar"/>
    <w:link w:val="P3-B2Paragraph3-Bullet2"/>
    <w:uiPriority w:val="6"/>
    <w:rsid w:val="00C45722"/>
  </w:style>
  <w:style w:type="paragraph" w:customStyle="1" w:styleId="P5-B4Paragraph5-Bullet4">
    <w:name w:val="[P5-B4] Paragraph 5 - Bullet 4"/>
    <w:basedOn w:val="BTBodyText"/>
    <w:link w:val="P5-B4Paragraph5-Bullet4Char"/>
    <w:uiPriority w:val="6"/>
    <w:rsid w:val="00C45722"/>
    <w:pPr>
      <w:numPr>
        <w:ilvl w:val="4"/>
        <w:numId w:val="1"/>
      </w:numPr>
      <w:spacing w:after="120"/>
    </w:pPr>
  </w:style>
  <w:style w:type="character" w:customStyle="1" w:styleId="P4-B3Paragraph4-Bullet3Char">
    <w:name w:val="[P4-B3] Paragraph 4 - Bullet 3 Char"/>
    <w:basedOn w:val="BTBodyTextChar"/>
    <w:link w:val="P4-B3Paragraph4-Bullet3"/>
    <w:uiPriority w:val="6"/>
    <w:rsid w:val="00C45722"/>
  </w:style>
  <w:style w:type="paragraph" w:customStyle="1" w:styleId="P6-B5Paragraph6-Bullet5">
    <w:name w:val="[P6-B5] Paragraph 6 - Bullet 5"/>
    <w:basedOn w:val="BTBodyText"/>
    <w:link w:val="P6-B5Paragraph6-Bullet5Char"/>
    <w:uiPriority w:val="6"/>
    <w:rsid w:val="00C45722"/>
    <w:pPr>
      <w:numPr>
        <w:ilvl w:val="5"/>
        <w:numId w:val="1"/>
      </w:numPr>
      <w:spacing w:after="120"/>
      <w:ind w:left="5104" w:hanging="851"/>
    </w:pPr>
  </w:style>
  <w:style w:type="character" w:customStyle="1" w:styleId="P5-B4Paragraph5-Bullet4Char">
    <w:name w:val="[P5-B4] Paragraph 5 - Bullet 4 Char"/>
    <w:basedOn w:val="BTBodyTextChar"/>
    <w:link w:val="P5-B4Paragraph5-Bullet4"/>
    <w:uiPriority w:val="6"/>
    <w:rsid w:val="00C45722"/>
  </w:style>
  <w:style w:type="paragraph" w:customStyle="1" w:styleId="P7-B6Paragraph7-Bullet6">
    <w:name w:val="[P7-B6] Paragraph 7 - Bullet 6"/>
    <w:basedOn w:val="BTBodyText"/>
    <w:link w:val="P7-B6Paragraph7-Bullet6Char"/>
    <w:uiPriority w:val="6"/>
    <w:semiHidden/>
    <w:rsid w:val="00C45722"/>
    <w:pPr>
      <w:numPr>
        <w:ilvl w:val="6"/>
        <w:numId w:val="1"/>
      </w:numPr>
      <w:spacing w:after="120"/>
    </w:pPr>
  </w:style>
  <w:style w:type="character" w:customStyle="1" w:styleId="P6-B5Paragraph6-Bullet5Char">
    <w:name w:val="[P6-B5] Paragraph 6 - Bullet 5 Char"/>
    <w:basedOn w:val="BTBodyTextChar"/>
    <w:link w:val="P6-B5Paragraph6-Bullet5"/>
    <w:uiPriority w:val="6"/>
    <w:rsid w:val="00C45722"/>
  </w:style>
  <w:style w:type="paragraph" w:customStyle="1" w:styleId="P8-B7Paragraph8-Bullet7">
    <w:name w:val="[P8-B7] Paragraph 8 - Bullet 7"/>
    <w:basedOn w:val="BTBodyText"/>
    <w:link w:val="P8-B7Paragraph8-Bullet7Char"/>
    <w:uiPriority w:val="6"/>
    <w:semiHidden/>
    <w:rsid w:val="00C45722"/>
    <w:pPr>
      <w:numPr>
        <w:ilvl w:val="7"/>
        <w:numId w:val="1"/>
      </w:numPr>
      <w:spacing w:after="120"/>
      <w:ind w:left="6805" w:hanging="851"/>
    </w:pPr>
  </w:style>
  <w:style w:type="character" w:customStyle="1" w:styleId="P7-B6Paragraph7-Bullet6Char">
    <w:name w:val="[P7-B6] Paragraph 7 - Bullet 6 Char"/>
    <w:basedOn w:val="BTBodyTextChar"/>
    <w:link w:val="P7-B6Paragraph7-Bullet6"/>
    <w:uiPriority w:val="6"/>
    <w:semiHidden/>
    <w:rsid w:val="00C45722"/>
  </w:style>
  <w:style w:type="paragraph" w:customStyle="1" w:styleId="P9-B8Paragraph9-Bullet8">
    <w:name w:val="[P9-B8] Paragraph 9 - Bullet 8"/>
    <w:basedOn w:val="BTBodyText"/>
    <w:link w:val="P9-B8Paragraph9-Bullet8Char"/>
    <w:uiPriority w:val="6"/>
    <w:semiHidden/>
    <w:rsid w:val="00C45722"/>
    <w:pPr>
      <w:numPr>
        <w:ilvl w:val="8"/>
        <w:numId w:val="1"/>
      </w:numPr>
      <w:spacing w:after="120"/>
    </w:pPr>
  </w:style>
  <w:style w:type="character" w:customStyle="1" w:styleId="P8-B7Paragraph8-Bullet7Char">
    <w:name w:val="[P8-B7] Paragraph 8 - Bullet 7 Char"/>
    <w:basedOn w:val="BTBodyTextChar"/>
    <w:link w:val="P8-B7Paragraph8-Bullet7"/>
    <w:uiPriority w:val="6"/>
    <w:semiHidden/>
    <w:rsid w:val="00C45722"/>
  </w:style>
  <w:style w:type="paragraph" w:customStyle="1" w:styleId="QQuotation">
    <w:name w:val="[Q] Quotation"/>
    <w:basedOn w:val="BTIBodyTextIndented"/>
    <w:next w:val="P1-N1Paragraph1-Number1"/>
    <w:link w:val="QQuotationChar"/>
    <w:uiPriority w:val="8"/>
    <w:qFormat/>
    <w:rsid w:val="00EF4D82"/>
    <w:pPr>
      <w:spacing w:after="240" w:line="276" w:lineRule="auto"/>
    </w:pPr>
    <w:rPr>
      <w:sz w:val="22"/>
    </w:rPr>
  </w:style>
  <w:style w:type="character" w:customStyle="1" w:styleId="P9-B8Paragraph9-Bullet8Char">
    <w:name w:val="[P9-B8] Paragraph 9 - Bullet 8 Char"/>
    <w:basedOn w:val="BTBodyTextChar"/>
    <w:link w:val="P9-B8Paragraph9-Bullet8"/>
    <w:uiPriority w:val="6"/>
    <w:semiHidden/>
    <w:rsid w:val="00C45722"/>
  </w:style>
  <w:style w:type="character" w:customStyle="1" w:styleId="Heading1Char">
    <w:name w:val="Heading 1 Char"/>
    <w:basedOn w:val="DefaultParagraphFont"/>
    <w:link w:val="Heading1"/>
    <w:uiPriority w:val="33"/>
    <w:rsid w:val="002603E6"/>
    <w:rPr>
      <w:rFonts w:eastAsiaTheme="majorEastAsia" w:cstheme="majorBidi"/>
      <w:b/>
      <w:caps/>
      <w:sz w:val="28"/>
      <w:szCs w:val="32"/>
    </w:rPr>
  </w:style>
  <w:style w:type="character" w:customStyle="1" w:styleId="QQuotationChar">
    <w:name w:val="[Q] Quotation Char"/>
    <w:basedOn w:val="BTIBodyTextIndentedChar"/>
    <w:link w:val="QQuotation"/>
    <w:uiPriority w:val="8"/>
    <w:rsid w:val="00EF4D82"/>
    <w:rPr>
      <w:sz w:val="22"/>
    </w:rPr>
  </w:style>
  <w:style w:type="character" w:customStyle="1" w:styleId="Heading2Char">
    <w:name w:val="Heading 2 Char"/>
    <w:basedOn w:val="DefaultParagraphFont"/>
    <w:link w:val="Heading2"/>
    <w:uiPriority w:val="33"/>
    <w:rsid w:val="002603E6"/>
    <w:rPr>
      <w:rFonts w:eastAsiaTheme="majorEastAsia" w:cstheme="majorBidi"/>
      <w:b/>
      <w:smallCaps/>
      <w:sz w:val="28"/>
      <w:szCs w:val="26"/>
    </w:rPr>
  </w:style>
  <w:style w:type="character" w:customStyle="1" w:styleId="Heading3Char">
    <w:name w:val="Heading 3 Char"/>
    <w:basedOn w:val="DefaultParagraphFont"/>
    <w:link w:val="Heading3"/>
    <w:uiPriority w:val="33"/>
    <w:rsid w:val="002603E6"/>
    <w:rPr>
      <w:rFonts w:eastAsiaTheme="majorEastAsia" w:cstheme="majorBidi"/>
      <w:b/>
    </w:rPr>
  </w:style>
  <w:style w:type="character" w:customStyle="1" w:styleId="Heading4Char">
    <w:name w:val="Heading 4 Char"/>
    <w:basedOn w:val="DefaultParagraphFont"/>
    <w:link w:val="Heading4"/>
    <w:uiPriority w:val="33"/>
    <w:rsid w:val="002603E6"/>
    <w:rPr>
      <w:rFonts w:eastAsiaTheme="majorEastAsia" w:cstheme="majorBidi"/>
      <w:iCs/>
      <w:u w:val="single"/>
    </w:rPr>
  </w:style>
  <w:style w:type="character" w:customStyle="1" w:styleId="Heading5Char">
    <w:name w:val="Heading 5 Char"/>
    <w:basedOn w:val="DefaultParagraphFont"/>
    <w:link w:val="Heading5"/>
    <w:uiPriority w:val="33"/>
    <w:rsid w:val="002603E6"/>
    <w:rPr>
      <w:rFonts w:eastAsiaTheme="majorEastAsia" w:cstheme="majorBidi"/>
      <w:i/>
    </w:rPr>
  </w:style>
  <w:style w:type="character" w:customStyle="1" w:styleId="Heading6Char">
    <w:name w:val="Heading 6 Char"/>
    <w:basedOn w:val="DefaultParagraphFont"/>
    <w:link w:val="Heading6"/>
    <w:uiPriority w:val="33"/>
    <w:rsid w:val="002603E6"/>
    <w:rPr>
      <w:rFonts w:eastAsiaTheme="majorEastAsia" w:cstheme="majorBidi"/>
      <w:u w:val="single"/>
    </w:rPr>
  </w:style>
  <w:style w:type="character" w:customStyle="1" w:styleId="Heading7Char">
    <w:name w:val="Heading 7 Char"/>
    <w:basedOn w:val="DefaultParagraphFont"/>
    <w:link w:val="Heading7"/>
    <w:uiPriority w:val="33"/>
    <w:rsid w:val="002603E6"/>
    <w:rPr>
      <w:rFonts w:eastAsiaTheme="majorEastAsia" w:cstheme="majorBidi"/>
      <w:i/>
      <w:iCs/>
    </w:rPr>
  </w:style>
  <w:style w:type="character" w:customStyle="1" w:styleId="Heading8Char">
    <w:name w:val="Heading 8 Char"/>
    <w:basedOn w:val="DefaultParagraphFont"/>
    <w:link w:val="Heading8"/>
    <w:uiPriority w:val="33"/>
    <w:rsid w:val="002603E6"/>
    <w:rPr>
      <w:rFonts w:eastAsiaTheme="majorEastAsia" w:cstheme="majorBidi"/>
      <w:szCs w:val="21"/>
      <w:u w:val="single"/>
    </w:rPr>
  </w:style>
  <w:style w:type="character" w:customStyle="1" w:styleId="Heading9Char">
    <w:name w:val="Heading 9 Char"/>
    <w:basedOn w:val="DefaultParagraphFont"/>
    <w:link w:val="Heading9"/>
    <w:uiPriority w:val="33"/>
    <w:rsid w:val="002603E6"/>
    <w:rPr>
      <w:rFonts w:eastAsiaTheme="majorEastAsia" w:cstheme="majorBidi"/>
      <w:i/>
      <w:iCs/>
      <w:szCs w:val="21"/>
    </w:rPr>
  </w:style>
  <w:style w:type="paragraph" w:customStyle="1" w:styleId="HL1HeadingLevel1">
    <w:name w:val="[HL1] Heading Level 1"/>
    <w:basedOn w:val="Heading1"/>
    <w:next w:val="P1-N1Paragraph1-Number1"/>
    <w:link w:val="HL1HeadingLevel1Char"/>
    <w:uiPriority w:val="4"/>
    <w:qFormat/>
    <w:rsid w:val="00B9740F"/>
  </w:style>
  <w:style w:type="paragraph" w:customStyle="1" w:styleId="HL2HeadingLevel2">
    <w:name w:val="[HL2] Heading Level 2"/>
    <w:basedOn w:val="Heading2"/>
    <w:next w:val="P1-N1Paragraph1-Number1"/>
    <w:link w:val="HL2HeadingLevel2Char"/>
    <w:uiPriority w:val="4"/>
    <w:qFormat/>
    <w:rsid w:val="00B9740F"/>
  </w:style>
  <w:style w:type="character" w:customStyle="1" w:styleId="HL1HeadingLevel1Char">
    <w:name w:val="[HL1] Heading Level 1 Char"/>
    <w:basedOn w:val="BTBodyTextChar"/>
    <w:link w:val="HL1HeadingLevel1"/>
    <w:uiPriority w:val="4"/>
    <w:rsid w:val="002603E6"/>
    <w:rPr>
      <w:rFonts w:eastAsiaTheme="majorEastAsia" w:cstheme="majorBidi"/>
      <w:b/>
      <w:caps/>
      <w:sz w:val="28"/>
      <w:szCs w:val="32"/>
    </w:rPr>
  </w:style>
  <w:style w:type="paragraph" w:customStyle="1" w:styleId="HL3HeadingLevel3">
    <w:name w:val="[HL3] Heading Level 3"/>
    <w:basedOn w:val="Heading3"/>
    <w:next w:val="P1-N1Paragraph1-Number1"/>
    <w:link w:val="HL3HeadingLevel3Char"/>
    <w:uiPriority w:val="4"/>
    <w:qFormat/>
    <w:rsid w:val="00B9740F"/>
  </w:style>
  <w:style w:type="character" w:customStyle="1" w:styleId="HL2HeadingLevel2Char">
    <w:name w:val="[HL2] Heading Level 2 Char"/>
    <w:basedOn w:val="BTBodyTextChar"/>
    <w:link w:val="HL2HeadingLevel2"/>
    <w:uiPriority w:val="4"/>
    <w:rsid w:val="002603E6"/>
    <w:rPr>
      <w:rFonts w:eastAsiaTheme="majorEastAsia" w:cstheme="majorBidi"/>
      <w:b/>
      <w:smallCaps/>
      <w:sz w:val="28"/>
      <w:szCs w:val="26"/>
    </w:rPr>
  </w:style>
  <w:style w:type="paragraph" w:customStyle="1" w:styleId="HL4HeadingLevel4">
    <w:name w:val="[HL4] Heading Level 4"/>
    <w:basedOn w:val="Heading4"/>
    <w:next w:val="P1-N1Paragraph1-Number1"/>
    <w:link w:val="HL4HeadingLevel4Char"/>
    <w:uiPriority w:val="4"/>
    <w:qFormat/>
    <w:rsid w:val="00B9740F"/>
  </w:style>
  <w:style w:type="character" w:customStyle="1" w:styleId="HL3HeadingLevel3Char">
    <w:name w:val="[HL3] Heading Level 3 Char"/>
    <w:basedOn w:val="BTBodyTextChar"/>
    <w:link w:val="HL3HeadingLevel3"/>
    <w:uiPriority w:val="4"/>
    <w:rsid w:val="002603E6"/>
    <w:rPr>
      <w:rFonts w:eastAsiaTheme="majorEastAsia" w:cstheme="majorBidi"/>
      <w:b/>
    </w:rPr>
  </w:style>
  <w:style w:type="paragraph" w:customStyle="1" w:styleId="HL5HeadingLevel5">
    <w:name w:val="[HL5] Heading Level 5"/>
    <w:basedOn w:val="Heading5"/>
    <w:next w:val="P1-N1Paragraph1-Number1"/>
    <w:link w:val="HL5HeadingLevel5Char"/>
    <w:uiPriority w:val="4"/>
    <w:qFormat/>
    <w:rsid w:val="00B9740F"/>
  </w:style>
  <w:style w:type="character" w:customStyle="1" w:styleId="HL4HeadingLevel4Char">
    <w:name w:val="[HL4] Heading Level 4 Char"/>
    <w:basedOn w:val="BTBodyTextChar"/>
    <w:link w:val="HL4HeadingLevel4"/>
    <w:uiPriority w:val="4"/>
    <w:rsid w:val="002603E6"/>
    <w:rPr>
      <w:rFonts w:eastAsiaTheme="majorEastAsia" w:cstheme="majorBidi"/>
      <w:iCs/>
      <w:u w:val="single"/>
    </w:rPr>
  </w:style>
  <w:style w:type="paragraph" w:customStyle="1" w:styleId="HL6HeadingLevel6">
    <w:name w:val="[HL6] Heading Level 6"/>
    <w:basedOn w:val="Heading6"/>
    <w:next w:val="P1-N1Paragraph1-Number1"/>
    <w:link w:val="HL6HeadingLevel6Char"/>
    <w:uiPriority w:val="4"/>
    <w:semiHidden/>
    <w:rsid w:val="00B9740F"/>
  </w:style>
  <w:style w:type="character" w:customStyle="1" w:styleId="HL5HeadingLevel5Char">
    <w:name w:val="[HL5] Heading Level 5 Char"/>
    <w:basedOn w:val="BTBodyTextChar"/>
    <w:link w:val="HL5HeadingLevel5"/>
    <w:uiPriority w:val="4"/>
    <w:rsid w:val="002603E6"/>
    <w:rPr>
      <w:rFonts w:eastAsiaTheme="majorEastAsia" w:cstheme="majorBidi"/>
      <w:i/>
    </w:rPr>
  </w:style>
  <w:style w:type="paragraph" w:customStyle="1" w:styleId="HL7HeadingLevel7">
    <w:name w:val="[HL7] Heading Level 7"/>
    <w:basedOn w:val="Heading7"/>
    <w:next w:val="P1-N1Paragraph1-Number1"/>
    <w:link w:val="HL7HeadingLevel7Char"/>
    <w:uiPriority w:val="4"/>
    <w:semiHidden/>
    <w:rsid w:val="00B9740F"/>
  </w:style>
  <w:style w:type="character" w:customStyle="1" w:styleId="HL6HeadingLevel6Char">
    <w:name w:val="[HL6] Heading Level 6 Char"/>
    <w:basedOn w:val="BTBodyTextChar"/>
    <w:link w:val="HL6HeadingLevel6"/>
    <w:uiPriority w:val="4"/>
    <w:semiHidden/>
    <w:rsid w:val="00C74121"/>
    <w:rPr>
      <w:rFonts w:eastAsiaTheme="majorEastAsia" w:cstheme="majorBidi"/>
      <w:u w:val="single"/>
    </w:rPr>
  </w:style>
  <w:style w:type="paragraph" w:customStyle="1" w:styleId="HL8HeadingLevel8">
    <w:name w:val="[HL8] Heading Level 8"/>
    <w:basedOn w:val="Heading8"/>
    <w:next w:val="P1-N1Paragraph1-Number1"/>
    <w:link w:val="HL8HeadingLevel8Char"/>
    <w:uiPriority w:val="4"/>
    <w:semiHidden/>
    <w:rsid w:val="00B9740F"/>
  </w:style>
  <w:style w:type="character" w:customStyle="1" w:styleId="HL7HeadingLevel7Char">
    <w:name w:val="[HL7] Heading Level 7 Char"/>
    <w:basedOn w:val="BTBodyTextChar"/>
    <w:link w:val="HL7HeadingLevel7"/>
    <w:uiPriority w:val="4"/>
    <w:semiHidden/>
    <w:rsid w:val="00C74121"/>
    <w:rPr>
      <w:rFonts w:eastAsiaTheme="majorEastAsia" w:cstheme="majorBidi"/>
      <w:i/>
      <w:iCs/>
    </w:rPr>
  </w:style>
  <w:style w:type="paragraph" w:customStyle="1" w:styleId="HL9HeadingLevel9">
    <w:name w:val="[HL9] Heading Level 9"/>
    <w:basedOn w:val="Heading9"/>
    <w:next w:val="P1-N1Paragraph1-Number1"/>
    <w:link w:val="HL9HeadingLevel9Char"/>
    <w:uiPriority w:val="4"/>
    <w:semiHidden/>
    <w:rsid w:val="00B9740F"/>
  </w:style>
  <w:style w:type="character" w:customStyle="1" w:styleId="HL8HeadingLevel8Char">
    <w:name w:val="[HL8] Heading Level 8 Char"/>
    <w:basedOn w:val="BTBodyTextChar"/>
    <w:link w:val="HL8HeadingLevel8"/>
    <w:uiPriority w:val="4"/>
    <w:semiHidden/>
    <w:rsid w:val="00C74121"/>
    <w:rPr>
      <w:rFonts w:eastAsiaTheme="majorEastAsia" w:cstheme="majorBidi"/>
      <w:szCs w:val="21"/>
      <w:u w:val="single"/>
    </w:rPr>
  </w:style>
  <w:style w:type="paragraph" w:customStyle="1" w:styleId="SHSectionHeading">
    <w:name w:val="[SH] Section Heading"/>
    <w:basedOn w:val="Heading1"/>
    <w:next w:val="BTBodyText"/>
    <w:link w:val="SHSectionHeadingChar"/>
    <w:uiPriority w:val="12"/>
    <w:qFormat/>
    <w:rsid w:val="002F433F"/>
    <w:pPr>
      <w:spacing w:before="240" w:after="0"/>
      <w:jc w:val="center"/>
    </w:pPr>
    <w:rPr>
      <w:sz w:val="24"/>
    </w:rPr>
  </w:style>
  <w:style w:type="character" w:customStyle="1" w:styleId="HL9HeadingLevel9Char">
    <w:name w:val="[HL9] Heading Level 9 Char"/>
    <w:basedOn w:val="BTBodyTextChar"/>
    <w:link w:val="HL9HeadingLevel9"/>
    <w:uiPriority w:val="4"/>
    <w:semiHidden/>
    <w:rsid w:val="00C74121"/>
    <w:rPr>
      <w:rFonts w:eastAsiaTheme="majorEastAsia" w:cstheme="majorBidi"/>
      <w:i/>
      <w:iCs/>
      <w:szCs w:val="21"/>
    </w:rPr>
  </w:style>
  <w:style w:type="paragraph" w:styleId="TOCHeading">
    <w:name w:val="TOC Heading"/>
    <w:basedOn w:val="Normal"/>
    <w:next w:val="Normal"/>
    <w:uiPriority w:val="39"/>
    <w:unhideWhenUsed/>
    <w:rsid w:val="00AC4A0D"/>
    <w:pPr>
      <w:spacing w:after="0" w:line="240" w:lineRule="auto"/>
      <w:jc w:val="center"/>
    </w:pPr>
    <w:rPr>
      <w:b/>
      <w:caps/>
      <w:lang w:val="en-US"/>
    </w:rPr>
  </w:style>
  <w:style w:type="character" w:customStyle="1" w:styleId="SHSectionHeadingChar">
    <w:name w:val="[SH] Section Heading Char"/>
    <w:basedOn w:val="Heading1Char"/>
    <w:link w:val="SHSectionHeading"/>
    <w:uiPriority w:val="12"/>
    <w:rsid w:val="002F433F"/>
    <w:rPr>
      <w:rFonts w:eastAsiaTheme="majorEastAsia" w:cstheme="majorBidi"/>
      <w:b/>
      <w:caps/>
      <w:sz w:val="28"/>
      <w:szCs w:val="32"/>
    </w:rPr>
  </w:style>
  <w:style w:type="paragraph" w:styleId="TOC1">
    <w:name w:val="toc 1"/>
    <w:basedOn w:val="Normal"/>
    <w:next w:val="Normal"/>
    <w:autoRedefine/>
    <w:uiPriority w:val="39"/>
    <w:unhideWhenUsed/>
    <w:rsid w:val="0062041F"/>
    <w:pPr>
      <w:tabs>
        <w:tab w:val="left" w:pos="851"/>
        <w:tab w:val="right" w:leader="dot" w:pos="9060"/>
      </w:tabs>
      <w:spacing w:before="180" w:after="100" w:line="240" w:lineRule="auto"/>
      <w:ind w:left="851" w:hanging="851"/>
    </w:pPr>
    <w:rPr>
      <w:b/>
      <w:caps/>
    </w:rPr>
  </w:style>
  <w:style w:type="paragraph" w:styleId="TOC2">
    <w:name w:val="toc 2"/>
    <w:basedOn w:val="Normal"/>
    <w:next w:val="Normal"/>
    <w:autoRedefine/>
    <w:uiPriority w:val="39"/>
    <w:unhideWhenUsed/>
    <w:rsid w:val="00380795"/>
    <w:pPr>
      <w:tabs>
        <w:tab w:val="left" w:pos="1276"/>
        <w:tab w:val="right" w:leader="dot" w:pos="9060"/>
      </w:tabs>
      <w:spacing w:before="120" w:after="100" w:line="240" w:lineRule="auto"/>
      <w:ind w:left="1276" w:hanging="851"/>
    </w:pPr>
    <w:rPr>
      <w:b/>
      <w:smallCaps/>
    </w:rPr>
  </w:style>
  <w:style w:type="paragraph" w:styleId="TOC3">
    <w:name w:val="toc 3"/>
    <w:basedOn w:val="Normal"/>
    <w:next w:val="Normal"/>
    <w:autoRedefine/>
    <w:uiPriority w:val="39"/>
    <w:unhideWhenUsed/>
    <w:rsid w:val="00380795"/>
    <w:pPr>
      <w:tabs>
        <w:tab w:val="left" w:pos="1701"/>
        <w:tab w:val="right" w:leader="dot" w:pos="9060"/>
      </w:tabs>
      <w:spacing w:before="120" w:after="100" w:line="240" w:lineRule="auto"/>
      <w:ind w:left="1702" w:hanging="851"/>
    </w:pPr>
    <w:rPr>
      <w:b/>
    </w:rPr>
  </w:style>
  <w:style w:type="character" w:styleId="Hyperlink">
    <w:name w:val="Hyperlink"/>
    <w:basedOn w:val="DefaultParagraphFont"/>
    <w:uiPriority w:val="99"/>
    <w:unhideWhenUsed/>
    <w:rsid w:val="00D47F18"/>
    <w:rPr>
      <w:color w:val="0563C1" w:themeColor="hyperlink"/>
      <w:u w:val="single"/>
    </w:rPr>
  </w:style>
  <w:style w:type="paragraph" w:styleId="TOC4">
    <w:name w:val="toc 4"/>
    <w:basedOn w:val="Normal"/>
    <w:next w:val="Normal"/>
    <w:autoRedefine/>
    <w:uiPriority w:val="39"/>
    <w:unhideWhenUsed/>
    <w:rsid w:val="00380795"/>
    <w:pPr>
      <w:tabs>
        <w:tab w:val="left" w:pos="2127"/>
        <w:tab w:val="right" w:leader="dot" w:pos="9060"/>
      </w:tabs>
      <w:spacing w:before="120" w:after="100" w:line="240" w:lineRule="auto"/>
      <w:ind w:left="2127" w:hanging="851"/>
    </w:pPr>
    <w:rPr>
      <w:u w:val="single"/>
    </w:rPr>
  </w:style>
  <w:style w:type="paragraph" w:styleId="TOC5">
    <w:name w:val="toc 5"/>
    <w:basedOn w:val="Normal"/>
    <w:next w:val="Normal"/>
    <w:autoRedefine/>
    <w:uiPriority w:val="39"/>
    <w:unhideWhenUsed/>
    <w:rsid w:val="00380795"/>
    <w:pPr>
      <w:tabs>
        <w:tab w:val="left" w:pos="2552"/>
        <w:tab w:val="right" w:leader="dot" w:pos="9060"/>
      </w:tabs>
      <w:spacing w:before="120" w:after="100" w:line="240" w:lineRule="auto"/>
      <w:ind w:left="2552" w:hanging="851"/>
    </w:pPr>
    <w:rPr>
      <w:i/>
    </w:rPr>
  </w:style>
  <w:style w:type="paragraph" w:styleId="TOC6">
    <w:name w:val="toc 6"/>
    <w:basedOn w:val="Normal"/>
    <w:next w:val="Normal"/>
    <w:autoRedefine/>
    <w:uiPriority w:val="39"/>
    <w:unhideWhenUsed/>
    <w:rsid w:val="00380795"/>
    <w:pPr>
      <w:tabs>
        <w:tab w:val="left" w:pos="2977"/>
        <w:tab w:val="right" w:leader="dot" w:pos="9060"/>
      </w:tabs>
      <w:spacing w:before="120" w:after="100" w:line="240" w:lineRule="auto"/>
      <w:ind w:left="2977" w:hanging="851"/>
    </w:pPr>
  </w:style>
  <w:style w:type="paragraph" w:styleId="TOC7">
    <w:name w:val="toc 7"/>
    <w:basedOn w:val="Normal"/>
    <w:next w:val="Normal"/>
    <w:autoRedefine/>
    <w:uiPriority w:val="39"/>
    <w:unhideWhenUsed/>
    <w:rsid w:val="00380795"/>
    <w:pPr>
      <w:spacing w:before="120" w:after="100" w:line="240" w:lineRule="auto"/>
      <w:ind w:left="3403" w:hanging="851"/>
    </w:pPr>
  </w:style>
  <w:style w:type="paragraph" w:styleId="TOC8">
    <w:name w:val="toc 8"/>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styleId="TOC9">
    <w:name w:val="toc 9"/>
    <w:basedOn w:val="Normal"/>
    <w:next w:val="Normal"/>
    <w:autoRedefine/>
    <w:uiPriority w:val="39"/>
    <w:unhideWhenUsed/>
    <w:rsid w:val="00380795"/>
    <w:pPr>
      <w:tabs>
        <w:tab w:val="left" w:pos="1134"/>
        <w:tab w:val="right" w:leader="dot" w:pos="9060"/>
      </w:tabs>
      <w:spacing w:before="120" w:after="100" w:line="240" w:lineRule="auto"/>
      <w:ind w:left="1134" w:hanging="1134"/>
    </w:pPr>
  </w:style>
  <w:style w:type="paragraph" w:customStyle="1" w:styleId="FCFigureCaption">
    <w:name w:val="[FC] Figure Caption"/>
    <w:basedOn w:val="BTBodyText"/>
    <w:next w:val="BTBodyText"/>
    <w:link w:val="FCFigureCaptionChar"/>
    <w:uiPriority w:val="10"/>
    <w:qFormat/>
    <w:rsid w:val="00EE47D1"/>
    <w:pPr>
      <w:keepNext/>
      <w:numPr>
        <w:numId w:val="4"/>
      </w:numPr>
      <w:spacing w:before="240" w:after="0"/>
      <w:jc w:val="center"/>
      <w:outlineLvl w:val="7"/>
    </w:pPr>
    <w:rPr>
      <w:b/>
    </w:rPr>
  </w:style>
  <w:style w:type="character" w:customStyle="1" w:styleId="FCFigureCaptionChar">
    <w:name w:val="[FC] Figure Caption Char"/>
    <w:basedOn w:val="BTBodyTextChar"/>
    <w:link w:val="FCFigureCaption"/>
    <w:uiPriority w:val="10"/>
    <w:rsid w:val="00EE47D1"/>
    <w:rPr>
      <w:b/>
    </w:rPr>
  </w:style>
  <w:style w:type="paragraph" w:customStyle="1" w:styleId="TCTableCaption">
    <w:name w:val="[TC] Table Caption"/>
    <w:basedOn w:val="FCFigureCaption"/>
    <w:next w:val="BTBodyText"/>
    <w:link w:val="TCTableCaptionChar"/>
    <w:uiPriority w:val="10"/>
    <w:qFormat/>
    <w:rsid w:val="00ED1747"/>
    <w:pPr>
      <w:numPr>
        <w:numId w:val="5"/>
      </w:numPr>
      <w:outlineLvl w:val="8"/>
    </w:pPr>
  </w:style>
  <w:style w:type="table" w:styleId="TableGrid">
    <w:name w:val="Table Grid"/>
    <w:basedOn w:val="TableNormal"/>
    <w:uiPriority w:val="39"/>
    <w:rsid w:val="006F1C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CTableCaptionChar">
    <w:name w:val="[TC] Table Caption Char"/>
    <w:basedOn w:val="BTBodyTextChar"/>
    <w:link w:val="TCTableCaption"/>
    <w:uiPriority w:val="10"/>
    <w:rsid w:val="00093175"/>
    <w:rPr>
      <w:b/>
    </w:rPr>
  </w:style>
  <w:style w:type="paragraph" w:customStyle="1" w:styleId="TTTableText">
    <w:name w:val="[TT] Table Text"/>
    <w:basedOn w:val="BTBodyText"/>
    <w:link w:val="TTTableTextChar"/>
    <w:uiPriority w:val="19"/>
    <w:qFormat/>
    <w:rsid w:val="008E0031"/>
    <w:pPr>
      <w:spacing w:before="40" w:after="40" w:line="240" w:lineRule="auto"/>
      <w:jc w:val="left"/>
    </w:pPr>
  </w:style>
  <w:style w:type="paragraph" w:customStyle="1" w:styleId="THTableHeading">
    <w:name w:val="[TH] Table Heading"/>
    <w:basedOn w:val="TTTableText"/>
    <w:link w:val="THTableHeadingChar"/>
    <w:uiPriority w:val="19"/>
    <w:qFormat/>
    <w:rsid w:val="008E0031"/>
    <w:rPr>
      <w:b/>
    </w:rPr>
  </w:style>
  <w:style w:type="character" w:customStyle="1" w:styleId="TTTableTextChar">
    <w:name w:val="[TT] Table Text Char"/>
    <w:basedOn w:val="BTBodyTextChar"/>
    <w:link w:val="TTTableText"/>
    <w:uiPriority w:val="19"/>
    <w:rsid w:val="00093175"/>
  </w:style>
  <w:style w:type="paragraph" w:customStyle="1" w:styleId="AHL1AnnexHeadingLevel1">
    <w:name w:val="[AHL1] Annex Heading Level 1"/>
    <w:basedOn w:val="Heading1"/>
    <w:next w:val="P1-N1Paragraph1-Number1"/>
    <w:link w:val="AHL1AnnexHeadingLevel1Char"/>
    <w:uiPriority w:val="15"/>
    <w:qFormat/>
    <w:rsid w:val="006C1D90"/>
    <w:pPr>
      <w:numPr>
        <w:numId w:val="6"/>
      </w:numPr>
    </w:pPr>
    <w:rPr>
      <w:caps w:val="0"/>
      <w:sz w:val="24"/>
    </w:rPr>
  </w:style>
  <w:style w:type="character" w:customStyle="1" w:styleId="THTableHeadingChar">
    <w:name w:val="[TH] Table Heading Char"/>
    <w:basedOn w:val="TTTableTextChar"/>
    <w:link w:val="THTableHeading"/>
    <w:uiPriority w:val="19"/>
    <w:rsid w:val="00093175"/>
    <w:rPr>
      <w:b/>
    </w:rPr>
  </w:style>
  <w:style w:type="paragraph" w:customStyle="1" w:styleId="AHL2AnnexHeadingLevel2">
    <w:name w:val="[AHL2] Annex Heading Level 2"/>
    <w:basedOn w:val="Heading2"/>
    <w:next w:val="P1-N1Paragraph1-Number1"/>
    <w:link w:val="AHL2AnnexHeadingLevel2Char"/>
    <w:uiPriority w:val="15"/>
    <w:qFormat/>
    <w:rsid w:val="006C1D90"/>
    <w:pPr>
      <w:numPr>
        <w:ilvl w:val="1"/>
        <w:numId w:val="6"/>
      </w:numPr>
    </w:pPr>
    <w:rPr>
      <w:sz w:val="24"/>
    </w:rPr>
  </w:style>
  <w:style w:type="character" w:customStyle="1" w:styleId="AHL1AnnexHeadingLevel1Char">
    <w:name w:val="[AHL1] Annex Heading Level 1 Char"/>
    <w:basedOn w:val="BTBodyTextChar"/>
    <w:link w:val="AHL1AnnexHeadingLevel1"/>
    <w:uiPriority w:val="15"/>
    <w:rsid w:val="00D456CA"/>
    <w:rPr>
      <w:rFonts w:eastAsiaTheme="majorEastAsia" w:cstheme="majorBidi"/>
      <w:b/>
      <w:szCs w:val="32"/>
    </w:rPr>
  </w:style>
  <w:style w:type="paragraph" w:customStyle="1" w:styleId="AHL3AnnexHeadingLevel3">
    <w:name w:val="[AHL3] Annex Heading Level 3"/>
    <w:basedOn w:val="Heading3"/>
    <w:next w:val="P1-N1Paragraph1-Number1"/>
    <w:link w:val="AHL3AnnexHeadingLevel3Char"/>
    <w:uiPriority w:val="15"/>
    <w:qFormat/>
    <w:rsid w:val="0093054A"/>
    <w:pPr>
      <w:numPr>
        <w:ilvl w:val="2"/>
        <w:numId w:val="6"/>
      </w:numPr>
    </w:pPr>
  </w:style>
  <w:style w:type="character" w:customStyle="1" w:styleId="AHL2AnnexHeadingLevel2Char">
    <w:name w:val="[AHL2] Annex Heading Level 2 Char"/>
    <w:basedOn w:val="BTBodyTextChar"/>
    <w:link w:val="AHL2AnnexHeadingLevel2"/>
    <w:uiPriority w:val="15"/>
    <w:rsid w:val="00D456CA"/>
    <w:rPr>
      <w:rFonts w:eastAsiaTheme="majorEastAsia" w:cstheme="majorBidi"/>
      <w:b/>
      <w:smallCaps/>
      <w:szCs w:val="26"/>
    </w:rPr>
  </w:style>
  <w:style w:type="paragraph" w:customStyle="1" w:styleId="AHL4AnnexHeadingLevel4">
    <w:name w:val="[AHL4] Annex Heading Level 4"/>
    <w:basedOn w:val="Heading4"/>
    <w:next w:val="P1-N1Paragraph1-Number1"/>
    <w:link w:val="AHL4AnnexHeadingLevel4Char"/>
    <w:uiPriority w:val="15"/>
    <w:semiHidden/>
    <w:rsid w:val="0093054A"/>
    <w:pPr>
      <w:numPr>
        <w:ilvl w:val="3"/>
        <w:numId w:val="6"/>
      </w:numPr>
    </w:pPr>
  </w:style>
  <w:style w:type="character" w:customStyle="1" w:styleId="AHL3AnnexHeadingLevel3Char">
    <w:name w:val="[AHL3] Annex Heading Level 3 Char"/>
    <w:basedOn w:val="BTBodyTextChar"/>
    <w:link w:val="AHL3AnnexHeadingLevel3"/>
    <w:uiPriority w:val="15"/>
    <w:rsid w:val="00D456CA"/>
    <w:rPr>
      <w:rFonts w:eastAsiaTheme="majorEastAsia" w:cstheme="majorBidi"/>
      <w:b/>
    </w:rPr>
  </w:style>
  <w:style w:type="paragraph" w:customStyle="1" w:styleId="AHL5AnnexHeadingLevel5">
    <w:name w:val="[AHL5] Annex Heading Level 5"/>
    <w:basedOn w:val="Heading5"/>
    <w:next w:val="P1-N1Paragraph1-Number1"/>
    <w:link w:val="AHL5AnnexHeadingLevel5Char"/>
    <w:uiPriority w:val="15"/>
    <w:semiHidden/>
    <w:rsid w:val="006C1D90"/>
    <w:pPr>
      <w:numPr>
        <w:ilvl w:val="4"/>
        <w:numId w:val="6"/>
      </w:numPr>
    </w:pPr>
    <w:rPr>
      <w:b/>
      <w:i w:val="0"/>
    </w:rPr>
  </w:style>
  <w:style w:type="character" w:customStyle="1" w:styleId="AHL4AnnexHeadingLevel4Char">
    <w:name w:val="[AHL4] Annex Heading Level 4 Char"/>
    <w:basedOn w:val="BTBodyTextChar"/>
    <w:link w:val="AHL4AnnexHeadingLevel4"/>
    <w:uiPriority w:val="15"/>
    <w:semiHidden/>
    <w:rsid w:val="00D456CA"/>
    <w:rPr>
      <w:rFonts w:eastAsiaTheme="majorEastAsia" w:cstheme="majorBidi"/>
      <w:iCs/>
      <w:u w:val="single"/>
    </w:rPr>
  </w:style>
  <w:style w:type="paragraph" w:customStyle="1" w:styleId="AHL6AnnexHeadingLevel6">
    <w:name w:val="[AHL6] Annex Heading Level 6"/>
    <w:basedOn w:val="Heading6"/>
    <w:next w:val="P1-N1Paragraph1-Number1"/>
    <w:link w:val="AHL6AnnexHeadingLevel6Char"/>
    <w:uiPriority w:val="15"/>
    <w:semiHidden/>
    <w:rsid w:val="0093054A"/>
    <w:pPr>
      <w:numPr>
        <w:ilvl w:val="5"/>
        <w:numId w:val="6"/>
      </w:numPr>
    </w:pPr>
  </w:style>
  <w:style w:type="character" w:customStyle="1" w:styleId="AHL5AnnexHeadingLevel5Char">
    <w:name w:val="[AHL5] Annex Heading Level 5 Char"/>
    <w:basedOn w:val="BTBodyTextChar"/>
    <w:link w:val="AHL5AnnexHeadingLevel5"/>
    <w:uiPriority w:val="15"/>
    <w:semiHidden/>
    <w:rsid w:val="00D456CA"/>
    <w:rPr>
      <w:rFonts w:eastAsiaTheme="majorEastAsia" w:cstheme="majorBidi"/>
      <w:b/>
    </w:rPr>
  </w:style>
  <w:style w:type="paragraph" w:customStyle="1" w:styleId="AHL7AnnexHeadingLevel7">
    <w:name w:val="[AHL7] Annex Heading Level 7"/>
    <w:basedOn w:val="Heading7"/>
    <w:next w:val="P1-N1Paragraph1-Number1"/>
    <w:link w:val="AHL7AnnexHeadingLevel7Char"/>
    <w:uiPriority w:val="15"/>
    <w:semiHidden/>
    <w:rsid w:val="0093054A"/>
    <w:pPr>
      <w:numPr>
        <w:ilvl w:val="6"/>
        <w:numId w:val="6"/>
      </w:numPr>
    </w:pPr>
  </w:style>
  <w:style w:type="character" w:customStyle="1" w:styleId="AHL6AnnexHeadingLevel6Char">
    <w:name w:val="[AHL6] Annex Heading Level 6 Char"/>
    <w:basedOn w:val="BTBodyTextChar"/>
    <w:link w:val="AHL6AnnexHeadingLevel6"/>
    <w:uiPriority w:val="15"/>
    <w:semiHidden/>
    <w:rsid w:val="00D456CA"/>
    <w:rPr>
      <w:rFonts w:eastAsiaTheme="majorEastAsia" w:cstheme="majorBidi"/>
      <w:u w:val="single"/>
    </w:rPr>
  </w:style>
  <w:style w:type="paragraph" w:customStyle="1" w:styleId="AHL8AnnexHeadingLevel8">
    <w:name w:val="[AHL8] Annex Heading Level 8"/>
    <w:basedOn w:val="Heading8"/>
    <w:next w:val="P1-N1Paragraph1-Number1"/>
    <w:link w:val="AHL8AnnexHeadingLevel8Char"/>
    <w:uiPriority w:val="15"/>
    <w:semiHidden/>
    <w:rsid w:val="0093054A"/>
    <w:pPr>
      <w:numPr>
        <w:ilvl w:val="7"/>
        <w:numId w:val="6"/>
      </w:numPr>
    </w:pPr>
  </w:style>
  <w:style w:type="character" w:customStyle="1" w:styleId="AHL7AnnexHeadingLevel7Char">
    <w:name w:val="[AHL7] Annex Heading Level 7 Char"/>
    <w:basedOn w:val="BTBodyTextChar"/>
    <w:link w:val="AHL7AnnexHeadingLevel7"/>
    <w:uiPriority w:val="15"/>
    <w:semiHidden/>
    <w:rsid w:val="00D456CA"/>
    <w:rPr>
      <w:rFonts w:eastAsiaTheme="majorEastAsia" w:cstheme="majorBidi"/>
      <w:i/>
      <w:iCs/>
    </w:rPr>
  </w:style>
  <w:style w:type="paragraph" w:customStyle="1" w:styleId="AHL9AnnexHeadingLevel9">
    <w:name w:val="[AHL9] Annex Heading Level 9"/>
    <w:basedOn w:val="Heading9"/>
    <w:next w:val="P1-N1Paragraph1-Number1"/>
    <w:link w:val="AHL9AnnexHeadingLevel9Char"/>
    <w:uiPriority w:val="15"/>
    <w:semiHidden/>
    <w:rsid w:val="0093054A"/>
    <w:pPr>
      <w:numPr>
        <w:ilvl w:val="8"/>
        <w:numId w:val="6"/>
      </w:numPr>
    </w:pPr>
  </w:style>
  <w:style w:type="character" w:customStyle="1" w:styleId="AHL8AnnexHeadingLevel8Char">
    <w:name w:val="[AHL8] Annex Heading Level 8 Char"/>
    <w:basedOn w:val="BTBodyTextChar"/>
    <w:link w:val="AHL8AnnexHeadingLevel8"/>
    <w:uiPriority w:val="15"/>
    <w:semiHidden/>
    <w:rsid w:val="00D456CA"/>
    <w:rPr>
      <w:rFonts w:eastAsiaTheme="majorEastAsia" w:cstheme="majorBidi"/>
      <w:szCs w:val="21"/>
      <w:u w:val="single"/>
    </w:rPr>
  </w:style>
  <w:style w:type="paragraph" w:styleId="Header">
    <w:name w:val="header"/>
    <w:basedOn w:val="Normal"/>
    <w:link w:val="HeaderChar"/>
    <w:uiPriority w:val="99"/>
    <w:unhideWhenUsed/>
    <w:rsid w:val="00006269"/>
    <w:pPr>
      <w:tabs>
        <w:tab w:val="center" w:pos="4536"/>
        <w:tab w:val="right" w:pos="9072"/>
      </w:tabs>
      <w:spacing w:after="0" w:line="240" w:lineRule="auto"/>
    </w:pPr>
    <w:rPr>
      <w:sz w:val="22"/>
    </w:rPr>
  </w:style>
  <w:style w:type="character" w:customStyle="1" w:styleId="AHL9AnnexHeadingLevel9Char">
    <w:name w:val="[AHL9] Annex Heading Level 9 Char"/>
    <w:basedOn w:val="BTBodyTextChar"/>
    <w:link w:val="AHL9AnnexHeadingLevel9"/>
    <w:uiPriority w:val="15"/>
    <w:semiHidden/>
    <w:rsid w:val="00D456CA"/>
    <w:rPr>
      <w:rFonts w:eastAsiaTheme="majorEastAsia" w:cstheme="majorBidi"/>
      <w:i/>
      <w:iCs/>
      <w:szCs w:val="21"/>
    </w:rPr>
  </w:style>
  <w:style w:type="character" w:customStyle="1" w:styleId="HeaderChar">
    <w:name w:val="Header Char"/>
    <w:basedOn w:val="DefaultParagraphFont"/>
    <w:link w:val="Header"/>
    <w:uiPriority w:val="99"/>
    <w:rsid w:val="00006269"/>
    <w:rPr>
      <w:sz w:val="22"/>
    </w:rPr>
  </w:style>
  <w:style w:type="paragraph" w:styleId="Footer">
    <w:name w:val="footer"/>
    <w:basedOn w:val="Normal"/>
    <w:link w:val="FooterChar"/>
    <w:uiPriority w:val="99"/>
    <w:unhideWhenUsed/>
    <w:rsid w:val="00006269"/>
    <w:pPr>
      <w:tabs>
        <w:tab w:val="center" w:pos="4536"/>
        <w:tab w:val="right" w:pos="9072"/>
      </w:tabs>
      <w:spacing w:after="0" w:line="240" w:lineRule="auto"/>
    </w:pPr>
    <w:rPr>
      <w:sz w:val="22"/>
    </w:rPr>
  </w:style>
  <w:style w:type="character" w:customStyle="1" w:styleId="FooterChar">
    <w:name w:val="Footer Char"/>
    <w:basedOn w:val="DefaultParagraphFont"/>
    <w:link w:val="Footer"/>
    <w:uiPriority w:val="99"/>
    <w:rsid w:val="00006269"/>
    <w:rPr>
      <w:sz w:val="22"/>
    </w:rPr>
  </w:style>
  <w:style w:type="paragraph" w:styleId="FootnoteText">
    <w:name w:val="footnote text"/>
    <w:basedOn w:val="Normal"/>
    <w:link w:val="FootnoteTextChar"/>
    <w:uiPriority w:val="99"/>
    <w:rsid w:val="00EE47D1"/>
    <w:pPr>
      <w:spacing w:after="0" w:line="240" w:lineRule="auto"/>
    </w:pPr>
    <w:rPr>
      <w:sz w:val="18"/>
      <w:szCs w:val="20"/>
    </w:rPr>
  </w:style>
  <w:style w:type="character" w:customStyle="1" w:styleId="FootnoteTextChar">
    <w:name w:val="Footnote Text Char"/>
    <w:basedOn w:val="DefaultParagraphFont"/>
    <w:link w:val="FootnoteText"/>
    <w:uiPriority w:val="99"/>
    <w:rsid w:val="00EE47D1"/>
    <w:rPr>
      <w:sz w:val="18"/>
      <w:szCs w:val="20"/>
    </w:rPr>
  </w:style>
  <w:style w:type="character" w:styleId="FootnoteReference">
    <w:name w:val="footnote reference"/>
    <w:basedOn w:val="DefaultParagraphFont"/>
    <w:uiPriority w:val="99"/>
    <w:rsid w:val="00BD0E60"/>
    <w:rPr>
      <w:rFonts w:ascii="Calibri" w:hAnsi="Calibri"/>
      <w:vertAlign w:val="superscript"/>
    </w:rPr>
  </w:style>
  <w:style w:type="character" w:styleId="UnresolvedMention">
    <w:name w:val="Unresolved Mention"/>
    <w:basedOn w:val="DefaultParagraphFont"/>
    <w:uiPriority w:val="99"/>
    <w:semiHidden/>
    <w:unhideWhenUsed/>
    <w:rsid w:val="00030A32"/>
    <w:rPr>
      <w:color w:val="605E5C"/>
      <w:shd w:val="clear" w:color="auto" w:fill="E1DFDD"/>
    </w:rPr>
  </w:style>
  <w:style w:type="paragraph" w:customStyle="1" w:styleId="WTODTWTODisputeTitle">
    <w:name w:val="[WTODT] WTO Dispute Title"/>
    <w:basedOn w:val="BTBodyText"/>
    <w:link w:val="WTODTWTODisputeTitleChar"/>
    <w:uiPriority w:val="27"/>
    <w:rsid w:val="00DA5381"/>
    <w:pPr>
      <w:spacing w:line="240" w:lineRule="auto"/>
      <w:jc w:val="center"/>
    </w:pPr>
    <w:rPr>
      <w:b/>
      <w:bCs/>
      <w:smallCaps/>
      <w:sz w:val="40"/>
      <w:szCs w:val="40"/>
    </w:rPr>
  </w:style>
  <w:style w:type="paragraph" w:customStyle="1" w:styleId="DSNDSNumber">
    <w:name w:val="[DSN] DS Number"/>
    <w:basedOn w:val="BTBodyText"/>
    <w:link w:val="DSNDSNumberChar"/>
    <w:uiPriority w:val="27"/>
    <w:rsid w:val="00DA5381"/>
    <w:pPr>
      <w:spacing w:line="240" w:lineRule="auto"/>
      <w:jc w:val="center"/>
    </w:pPr>
  </w:style>
  <w:style w:type="character" w:customStyle="1" w:styleId="WTODTWTODisputeTitleChar">
    <w:name w:val="[WTODT] WTO Dispute Title Char"/>
    <w:basedOn w:val="BTBodyTextChar"/>
    <w:link w:val="WTODTWTODisputeTitle"/>
    <w:uiPriority w:val="27"/>
    <w:rsid w:val="0026128E"/>
    <w:rPr>
      <w:b/>
      <w:bCs/>
      <w:smallCaps/>
      <w:sz w:val="40"/>
      <w:szCs w:val="40"/>
    </w:rPr>
  </w:style>
  <w:style w:type="paragraph" w:customStyle="1" w:styleId="DTDocumentTitle">
    <w:name w:val="[DT] Document Title"/>
    <w:basedOn w:val="BTBodyText"/>
    <w:link w:val="DTDocumentTitleChar"/>
    <w:uiPriority w:val="27"/>
    <w:rsid w:val="00DA5381"/>
    <w:pPr>
      <w:spacing w:line="240" w:lineRule="auto"/>
      <w:jc w:val="center"/>
    </w:pPr>
    <w:rPr>
      <w:b/>
      <w:bCs/>
      <w:smallCaps/>
      <w:sz w:val="36"/>
      <w:szCs w:val="36"/>
    </w:rPr>
  </w:style>
  <w:style w:type="character" w:customStyle="1" w:styleId="DSNDSNumberChar">
    <w:name w:val="[DSN] DS Number Char"/>
    <w:basedOn w:val="BTBodyTextChar"/>
    <w:link w:val="DSNDSNumber"/>
    <w:uiPriority w:val="27"/>
    <w:rsid w:val="0026128E"/>
  </w:style>
  <w:style w:type="paragraph" w:customStyle="1" w:styleId="DDDocumentDate">
    <w:name w:val="[DD] Document Date"/>
    <w:basedOn w:val="BTBodyText"/>
    <w:link w:val="DDDocumentDateChar"/>
    <w:uiPriority w:val="27"/>
    <w:rsid w:val="00DA5381"/>
    <w:pPr>
      <w:spacing w:line="240" w:lineRule="auto"/>
      <w:jc w:val="center"/>
    </w:pPr>
    <w:rPr>
      <w:sz w:val="32"/>
      <w:szCs w:val="32"/>
    </w:rPr>
  </w:style>
  <w:style w:type="character" w:customStyle="1" w:styleId="DTDocumentTitleChar">
    <w:name w:val="[DT] Document Title Char"/>
    <w:basedOn w:val="BTBodyTextChar"/>
    <w:link w:val="DTDocumentTitle"/>
    <w:uiPriority w:val="27"/>
    <w:rsid w:val="0026128E"/>
    <w:rPr>
      <w:b/>
      <w:bCs/>
      <w:smallCaps/>
      <w:sz w:val="36"/>
      <w:szCs w:val="36"/>
    </w:rPr>
  </w:style>
  <w:style w:type="character" w:customStyle="1" w:styleId="DDDocumentDateChar">
    <w:name w:val="[DD] Document Date Char"/>
    <w:basedOn w:val="BTBodyTextChar"/>
    <w:link w:val="DDDocumentDate"/>
    <w:uiPriority w:val="27"/>
    <w:rsid w:val="0026128E"/>
    <w:rPr>
      <w:sz w:val="32"/>
      <w:szCs w:val="32"/>
    </w:rPr>
  </w:style>
  <w:style w:type="character" w:styleId="PlaceholderText">
    <w:name w:val="Placeholder Text"/>
    <w:basedOn w:val="DefaultParagraphFont"/>
    <w:uiPriority w:val="99"/>
    <w:semiHidden/>
    <w:rsid w:val="00D52A17"/>
    <w:rPr>
      <w:color w:val="808080"/>
    </w:rPr>
  </w:style>
  <w:style w:type="character" w:styleId="CommentReference">
    <w:name w:val="annotation reference"/>
    <w:basedOn w:val="DefaultParagraphFont"/>
    <w:uiPriority w:val="99"/>
    <w:semiHidden/>
    <w:unhideWhenUsed/>
    <w:rsid w:val="004C78FD"/>
    <w:rPr>
      <w:sz w:val="16"/>
      <w:szCs w:val="16"/>
    </w:rPr>
  </w:style>
  <w:style w:type="paragraph" w:styleId="CommentText">
    <w:name w:val="annotation text"/>
    <w:basedOn w:val="Normal"/>
    <w:link w:val="CommentTextChar"/>
    <w:uiPriority w:val="99"/>
    <w:unhideWhenUsed/>
    <w:rsid w:val="004C78FD"/>
    <w:pPr>
      <w:spacing w:line="240" w:lineRule="auto"/>
    </w:pPr>
    <w:rPr>
      <w:sz w:val="20"/>
      <w:szCs w:val="20"/>
    </w:rPr>
  </w:style>
  <w:style w:type="character" w:customStyle="1" w:styleId="CommentTextChar">
    <w:name w:val="Comment Text Char"/>
    <w:basedOn w:val="DefaultParagraphFont"/>
    <w:link w:val="CommentText"/>
    <w:uiPriority w:val="99"/>
    <w:rsid w:val="004C78FD"/>
    <w:rPr>
      <w:sz w:val="20"/>
      <w:szCs w:val="20"/>
    </w:rPr>
  </w:style>
  <w:style w:type="paragraph" w:styleId="CommentSubject">
    <w:name w:val="annotation subject"/>
    <w:basedOn w:val="CommentText"/>
    <w:next w:val="CommentText"/>
    <w:link w:val="CommentSubjectChar"/>
    <w:uiPriority w:val="99"/>
    <w:semiHidden/>
    <w:unhideWhenUsed/>
    <w:rsid w:val="004C78FD"/>
    <w:rPr>
      <w:b/>
      <w:bCs/>
    </w:rPr>
  </w:style>
  <w:style w:type="character" w:customStyle="1" w:styleId="CommentSubjectChar">
    <w:name w:val="Comment Subject Char"/>
    <w:basedOn w:val="CommentTextChar"/>
    <w:link w:val="CommentSubject"/>
    <w:uiPriority w:val="99"/>
    <w:semiHidden/>
    <w:rsid w:val="004C78FD"/>
    <w:rPr>
      <w:b/>
      <w:bCs/>
      <w:sz w:val="20"/>
      <w:szCs w:val="20"/>
    </w:rPr>
  </w:style>
  <w:style w:type="paragraph" w:customStyle="1" w:styleId="Default">
    <w:name w:val="Default"/>
    <w:rsid w:val="00445689"/>
    <w:pPr>
      <w:autoSpaceDE w:val="0"/>
      <w:autoSpaceDN w:val="0"/>
      <w:adjustRightInd w:val="0"/>
      <w:spacing w:after="0" w:line="240" w:lineRule="auto"/>
      <w:jc w:val="left"/>
    </w:pPr>
    <w:rPr>
      <w:rFonts w:ascii="Arial" w:hAnsi="Arial" w:cs="Arial"/>
      <w:color w:val="000000"/>
      <w:lang w:val="en-US"/>
    </w:rPr>
  </w:style>
  <w:style w:type="paragraph" w:styleId="Revision">
    <w:name w:val="Revision"/>
    <w:hidden/>
    <w:uiPriority w:val="99"/>
    <w:semiHidden/>
    <w:rsid w:val="00862E5E"/>
    <w:pPr>
      <w:spacing w:after="0" w:line="240" w:lineRule="auto"/>
      <w:jc w:val="left"/>
    </w:pPr>
  </w:style>
  <w:style w:type="paragraph" w:styleId="NormalWeb">
    <w:name w:val="Normal (Web)"/>
    <w:basedOn w:val="Normal"/>
    <w:uiPriority w:val="99"/>
    <w:semiHidden/>
    <w:unhideWhenUsed/>
    <w:rsid w:val="00B46AC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382913">
      <w:bodyDiv w:val="1"/>
      <w:marLeft w:val="0"/>
      <w:marRight w:val="0"/>
      <w:marTop w:val="0"/>
      <w:marBottom w:val="0"/>
      <w:divBdr>
        <w:top w:val="none" w:sz="0" w:space="0" w:color="auto"/>
        <w:left w:val="none" w:sz="0" w:space="0" w:color="auto"/>
        <w:bottom w:val="none" w:sz="0" w:space="0" w:color="auto"/>
        <w:right w:val="none" w:sz="0" w:space="0" w:color="auto"/>
      </w:divBdr>
    </w:div>
    <w:div w:id="274218159">
      <w:bodyDiv w:val="1"/>
      <w:marLeft w:val="0"/>
      <w:marRight w:val="0"/>
      <w:marTop w:val="0"/>
      <w:marBottom w:val="0"/>
      <w:divBdr>
        <w:top w:val="none" w:sz="0" w:space="0" w:color="auto"/>
        <w:left w:val="none" w:sz="0" w:space="0" w:color="auto"/>
        <w:bottom w:val="none" w:sz="0" w:space="0" w:color="auto"/>
        <w:right w:val="none" w:sz="0" w:space="0" w:color="auto"/>
      </w:divBdr>
    </w:div>
    <w:div w:id="329649665">
      <w:bodyDiv w:val="1"/>
      <w:marLeft w:val="0"/>
      <w:marRight w:val="0"/>
      <w:marTop w:val="0"/>
      <w:marBottom w:val="0"/>
      <w:divBdr>
        <w:top w:val="none" w:sz="0" w:space="0" w:color="auto"/>
        <w:left w:val="none" w:sz="0" w:space="0" w:color="auto"/>
        <w:bottom w:val="none" w:sz="0" w:space="0" w:color="auto"/>
        <w:right w:val="none" w:sz="0" w:space="0" w:color="auto"/>
      </w:divBdr>
    </w:div>
    <w:div w:id="488643910">
      <w:bodyDiv w:val="1"/>
      <w:marLeft w:val="0"/>
      <w:marRight w:val="0"/>
      <w:marTop w:val="0"/>
      <w:marBottom w:val="0"/>
      <w:divBdr>
        <w:top w:val="none" w:sz="0" w:space="0" w:color="auto"/>
        <w:left w:val="none" w:sz="0" w:space="0" w:color="auto"/>
        <w:bottom w:val="none" w:sz="0" w:space="0" w:color="auto"/>
        <w:right w:val="none" w:sz="0" w:space="0" w:color="auto"/>
      </w:divBdr>
    </w:div>
    <w:div w:id="604651983">
      <w:bodyDiv w:val="1"/>
      <w:marLeft w:val="0"/>
      <w:marRight w:val="0"/>
      <w:marTop w:val="0"/>
      <w:marBottom w:val="0"/>
      <w:divBdr>
        <w:top w:val="none" w:sz="0" w:space="0" w:color="auto"/>
        <w:left w:val="none" w:sz="0" w:space="0" w:color="auto"/>
        <w:bottom w:val="none" w:sz="0" w:space="0" w:color="auto"/>
        <w:right w:val="none" w:sz="0" w:space="0" w:color="auto"/>
      </w:divBdr>
    </w:div>
    <w:div w:id="644165787">
      <w:bodyDiv w:val="1"/>
      <w:marLeft w:val="0"/>
      <w:marRight w:val="0"/>
      <w:marTop w:val="0"/>
      <w:marBottom w:val="0"/>
      <w:divBdr>
        <w:top w:val="none" w:sz="0" w:space="0" w:color="auto"/>
        <w:left w:val="none" w:sz="0" w:space="0" w:color="auto"/>
        <w:bottom w:val="none" w:sz="0" w:space="0" w:color="auto"/>
        <w:right w:val="none" w:sz="0" w:space="0" w:color="auto"/>
      </w:divBdr>
    </w:div>
    <w:div w:id="1126968019">
      <w:bodyDiv w:val="1"/>
      <w:marLeft w:val="0"/>
      <w:marRight w:val="0"/>
      <w:marTop w:val="0"/>
      <w:marBottom w:val="0"/>
      <w:divBdr>
        <w:top w:val="none" w:sz="0" w:space="0" w:color="auto"/>
        <w:left w:val="none" w:sz="0" w:space="0" w:color="auto"/>
        <w:bottom w:val="none" w:sz="0" w:space="0" w:color="auto"/>
        <w:right w:val="none" w:sz="0" w:space="0" w:color="auto"/>
      </w:divBdr>
    </w:div>
    <w:div w:id="1794328362">
      <w:bodyDiv w:val="1"/>
      <w:marLeft w:val="0"/>
      <w:marRight w:val="0"/>
      <w:marTop w:val="0"/>
      <w:marBottom w:val="0"/>
      <w:divBdr>
        <w:top w:val="none" w:sz="0" w:space="0" w:color="auto"/>
        <w:left w:val="none" w:sz="0" w:space="0" w:color="auto"/>
        <w:bottom w:val="none" w:sz="0" w:space="0" w:color="auto"/>
        <w:right w:val="none" w:sz="0" w:space="0" w:color="auto"/>
      </w:divBdr>
    </w:div>
    <w:div w:id="1879664195">
      <w:bodyDiv w:val="1"/>
      <w:marLeft w:val="0"/>
      <w:marRight w:val="0"/>
      <w:marTop w:val="0"/>
      <w:marBottom w:val="0"/>
      <w:divBdr>
        <w:top w:val="none" w:sz="0" w:space="0" w:color="auto"/>
        <w:left w:val="none" w:sz="0" w:space="0" w:color="auto"/>
        <w:bottom w:val="none" w:sz="0" w:space="0" w:color="auto"/>
        <w:right w:val="none" w:sz="0" w:space="0" w:color="auto"/>
      </w:divBdr>
    </w:div>
    <w:div w:id="2035495634">
      <w:bodyDiv w:val="1"/>
      <w:marLeft w:val="0"/>
      <w:marRight w:val="0"/>
      <w:marTop w:val="0"/>
      <w:marBottom w:val="0"/>
      <w:divBdr>
        <w:top w:val="none" w:sz="0" w:space="0" w:color="auto"/>
        <w:left w:val="none" w:sz="0" w:space="0" w:color="auto"/>
        <w:bottom w:val="none" w:sz="0" w:space="0" w:color="auto"/>
        <w:right w:val="none" w:sz="0" w:space="0" w:color="auto"/>
      </w:divBdr>
    </w:div>
    <w:div w:id="2079787389">
      <w:bodyDiv w:val="1"/>
      <w:marLeft w:val="0"/>
      <w:marRight w:val="0"/>
      <w:marTop w:val="0"/>
      <w:marBottom w:val="0"/>
      <w:divBdr>
        <w:top w:val="none" w:sz="0" w:space="0" w:color="auto"/>
        <w:left w:val="none" w:sz="0" w:space="0" w:color="auto"/>
        <w:bottom w:val="none" w:sz="0" w:space="0" w:color="auto"/>
        <w:right w:val="none" w:sz="0" w:space="0" w:color="auto"/>
      </w:divBdr>
      <w:divsChild>
        <w:div w:id="1567374315">
          <w:marLeft w:val="0"/>
          <w:marRight w:val="0"/>
          <w:marTop w:val="0"/>
          <w:marBottom w:val="0"/>
          <w:divBdr>
            <w:top w:val="none" w:sz="0" w:space="0" w:color="auto"/>
            <w:left w:val="none" w:sz="0" w:space="0" w:color="auto"/>
            <w:bottom w:val="none" w:sz="0" w:space="0" w:color="auto"/>
            <w:right w:val="none" w:sz="0" w:space="0" w:color="auto"/>
          </w:divBdr>
        </w:div>
        <w:div w:id="957757006">
          <w:marLeft w:val="0"/>
          <w:marRight w:val="0"/>
          <w:marTop w:val="0"/>
          <w:marBottom w:val="0"/>
          <w:divBdr>
            <w:top w:val="none" w:sz="0" w:space="0" w:color="auto"/>
            <w:left w:val="none" w:sz="0" w:space="0" w:color="auto"/>
            <w:bottom w:val="none" w:sz="0" w:space="0" w:color="auto"/>
            <w:right w:val="none" w:sz="0" w:space="0" w:color="auto"/>
          </w:divBdr>
        </w:div>
        <w:div w:id="1658877921">
          <w:marLeft w:val="0"/>
          <w:marRight w:val="0"/>
          <w:marTop w:val="0"/>
          <w:marBottom w:val="0"/>
          <w:divBdr>
            <w:top w:val="none" w:sz="0" w:space="0" w:color="auto"/>
            <w:left w:val="none" w:sz="0" w:space="0" w:color="auto"/>
            <w:bottom w:val="none" w:sz="0" w:space="0" w:color="auto"/>
            <w:right w:val="none" w:sz="0" w:space="0" w:color="auto"/>
          </w:divBdr>
        </w:div>
        <w:div w:id="551232950">
          <w:marLeft w:val="0"/>
          <w:marRight w:val="0"/>
          <w:marTop w:val="0"/>
          <w:marBottom w:val="0"/>
          <w:divBdr>
            <w:top w:val="none" w:sz="0" w:space="0" w:color="auto"/>
            <w:left w:val="none" w:sz="0" w:space="0" w:color="auto"/>
            <w:bottom w:val="none" w:sz="0" w:space="0" w:color="auto"/>
            <w:right w:val="none" w:sz="0" w:space="0" w:color="auto"/>
          </w:divBdr>
        </w:div>
        <w:div w:id="1073503200">
          <w:marLeft w:val="0"/>
          <w:marRight w:val="0"/>
          <w:marTop w:val="0"/>
          <w:marBottom w:val="0"/>
          <w:divBdr>
            <w:top w:val="none" w:sz="0" w:space="0" w:color="auto"/>
            <w:left w:val="none" w:sz="0" w:space="0" w:color="auto"/>
            <w:bottom w:val="none" w:sz="0" w:space="0" w:color="auto"/>
            <w:right w:val="none" w:sz="0" w:space="0" w:color="auto"/>
          </w:divBdr>
        </w:div>
        <w:div w:id="1038046398">
          <w:marLeft w:val="0"/>
          <w:marRight w:val="0"/>
          <w:marTop w:val="0"/>
          <w:marBottom w:val="0"/>
          <w:divBdr>
            <w:top w:val="none" w:sz="0" w:space="0" w:color="auto"/>
            <w:left w:val="none" w:sz="0" w:space="0" w:color="auto"/>
            <w:bottom w:val="none" w:sz="0" w:space="0" w:color="auto"/>
            <w:right w:val="none" w:sz="0" w:space="0" w:color="auto"/>
          </w:divBdr>
        </w:div>
        <w:div w:id="609513515">
          <w:marLeft w:val="0"/>
          <w:marRight w:val="0"/>
          <w:marTop w:val="0"/>
          <w:marBottom w:val="0"/>
          <w:divBdr>
            <w:top w:val="none" w:sz="0" w:space="0" w:color="auto"/>
            <w:left w:val="none" w:sz="0" w:space="0" w:color="auto"/>
            <w:bottom w:val="none" w:sz="0" w:space="0" w:color="auto"/>
            <w:right w:val="none" w:sz="0" w:space="0" w:color="auto"/>
          </w:divBdr>
        </w:div>
        <w:div w:id="1580211866">
          <w:marLeft w:val="0"/>
          <w:marRight w:val="0"/>
          <w:marTop w:val="0"/>
          <w:marBottom w:val="0"/>
          <w:divBdr>
            <w:top w:val="none" w:sz="0" w:space="0" w:color="auto"/>
            <w:left w:val="none" w:sz="0" w:space="0" w:color="auto"/>
            <w:bottom w:val="none" w:sz="0" w:space="0" w:color="auto"/>
            <w:right w:val="none" w:sz="0" w:space="0" w:color="auto"/>
          </w:divBdr>
        </w:div>
        <w:div w:id="328676994">
          <w:marLeft w:val="0"/>
          <w:marRight w:val="0"/>
          <w:marTop w:val="0"/>
          <w:marBottom w:val="0"/>
          <w:divBdr>
            <w:top w:val="none" w:sz="0" w:space="0" w:color="auto"/>
            <w:left w:val="none" w:sz="0" w:space="0" w:color="auto"/>
            <w:bottom w:val="none" w:sz="0" w:space="0" w:color="auto"/>
            <w:right w:val="none" w:sz="0" w:space="0" w:color="auto"/>
          </w:divBdr>
        </w:div>
        <w:div w:id="1014890598">
          <w:marLeft w:val="0"/>
          <w:marRight w:val="0"/>
          <w:marTop w:val="0"/>
          <w:marBottom w:val="0"/>
          <w:divBdr>
            <w:top w:val="none" w:sz="0" w:space="0" w:color="auto"/>
            <w:left w:val="none" w:sz="0" w:space="0" w:color="auto"/>
            <w:bottom w:val="none" w:sz="0" w:space="0" w:color="auto"/>
            <w:right w:val="none" w:sz="0" w:space="0" w:color="auto"/>
          </w:divBdr>
        </w:div>
        <w:div w:id="1177115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F00AC2E10A2B34A86A613A4498C609D" ma:contentTypeVersion="3" ma:contentTypeDescription="Create a new document." ma:contentTypeScope="" ma:versionID="93795d7ebee9913df2db193712303f32">
  <xsd:schema xmlns:xsd="http://www.w3.org/2001/XMLSchema" xmlns:xs="http://www.w3.org/2001/XMLSchema" xmlns:p="http://schemas.microsoft.com/office/2006/metadata/properties" xmlns:ns2="d0a44250-acd7-47b7-bc6f-6107bccf164c" targetNamespace="http://schemas.microsoft.com/office/2006/metadata/properties" ma:root="true" ma:fieldsID="4ed414144b03bc0ea3ef09ddc924adb9" ns2:_="">
    <xsd:import namespace="d0a44250-acd7-47b7-bc6f-6107bccf164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a44250-acd7-47b7-bc6f-6107bccf1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F69CD-395A-4F8D-809E-294B81ECB76C}">
  <ds:schemaRefs>
    <ds:schemaRef ds:uri="http://schemas.openxmlformats.org/officeDocument/2006/bibliography"/>
  </ds:schemaRefs>
</ds:datastoreItem>
</file>

<file path=customXml/itemProps2.xml><?xml version="1.0" encoding="utf-8"?>
<ds:datastoreItem xmlns:ds="http://schemas.openxmlformats.org/officeDocument/2006/customXml" ds:itemID="{5F110594-D432-4CBE-843C-E93F229820B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FE8D88-BDC8-4E52-88BC-56F7EE4054A9}">
  <ds:schemaRefs>
    <ds:schemaRef ds:uri="http://schemas.microsoft.com/sharepoint/v3/contenttype/forms"/>
  </ds:schemaRefs>
</ds:datastoreItem>
</file>

<file path=customXml/itemProps4.xml><?xml version="1.0" encoding="utf-8"?>
<ds:datastoreItem xmlns:ds="http://schemas.openxmlformats.org/officeDocument/2006/customXml" ds:itemID="{FE39EF82-4E4E-4506-82A4-97701B07D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a44250-acd7-47b7-bc6f-6107bccf16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1485</Words>
  <Characters>8625</Characters>
  <Application>Microsoft Office Word</Application>
  <DocSecurity>0</DocSecurity>
  <Lines>208</Lines>
  <Paragraphs>77</Paragraphs>
  <ScaleCrop>false</ScaleCrop>
  <Company/>
  <LinksUpToDate>false</LinksUpToDate>
  <CharactersWithSpaces>10085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[SEC=OFFICIAL:Sensitive]</cp:keywords>
  <dc:description/>
  <cp:lastModifiedBy/>
  <cp:revision>1</cp:revision>
  <dcterms:created xsi:type="dcterms:W3CDTF">2025-08-12T05:32:00Z</dcterms:created>
  <dcterms:modified xsi:type="dcterms:W3CDTF">2025-12-15T20:16:00Z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Namespace">
    <vt:lpwstr>gov.au</vt:lpwstr>
  </property>
  <property fmtid="{D5CDD505-2E9C-101B-9397-08002B2CF9AE}" pid="3" name="PM_Version">
    <vt:lpwstr>2018.4</vt:lpwstr>
  </property>
  <property fmtid="{D5CDD505-2E9C-101B-9397-08002B2CF9AE}" pid="4" name="PM_Note">
    <vt:lpwstr/>
  </property>
  <property fmtid="{D5CDD505-2E9C-101B-9397-08002B2CF9AE}" pid="5" name="PMHMAC">
    <vt:lpwstr>v=2022.1;a=SHA256;h=3F39F46EE1C984A2C268453E2CE3DDB891F0EDB75CBA3C46567EB8B3FB6589A6</vt:lpwstr>
  </property>
  <property fmtid="{D5CDD505-2E9C-101B-9397-08002B2CF9AE}" pid="6" name="PM_Qualifier">
    <vt:lpwstr/>
  </property>
  <property fmtid="{D5CDD505-2E9C-101B-9397-08002B2CF9AE}" pid="7" name="PM_SecurityClassification">
    <vt:lpwstr>OFFICIAL:Sensitive</vt:lpwstr>
  </property>
  <property fmtid="{D5CDD505-2E9C-101B-9397-08002B2CF9AE}" pid="8" name="PM_ProtectiveMarkingValue_Header">
    <vt:lpwstr>OFFICIAL: Sensitive_x000d_
Legal privilege</vt:lpwstr>
  </property>
  <property fmtid="{D5CDD505-2E9C-101B-9397-08002B2CF9AE}" pid="9" name="PM_OriginationTimeStamp">
    <vt:lpwstr>2025-08-04T22:08:43Z</vt:lpwstr>
  </property>
  <property fmtid="{D5CDD505-2E9C-101B-9397-08002B2CF9AE}" pid="10" name="PM_Markers">
    <vt:lpwstr>Legal-Privilege</vt:lpwstr>
  </property>
  <property fmtid="{D5CDD505-2E9C-101B-9397-08002B2CF9AE}" pid="11" name="PM_InsertionValue">
    <vt:lpwstr>OFFICIAL: Sensitive</vt:lpwstr>
  </property>
  <property fmtid="{D5CDD505-2E9C-101B-9397-08002B2CF9AE}" pid="12" name="PM_Originator_Hash_SHA1">
    <vt:lpwstr>31FD3EAE4A251ABCF009A8ACCBAC4038715E6F10</vt:lpwstr>
  </property>
  <property fmtid="{D5CDD505-2E9C-101B-9397-08002B2CF9AE}" pid="13" name="PM_DisplayValueSecClassificationWithQualifier">
    <vt:lpwstr>OFFICIAL: Sensitive Legal privilege</vt:lpwstr>
  </property>
  <property fmtid="{D5CDD505-2E9C-101B-9397-08002B2CF9AE}" pid="14" name="PM_Originating_FileId">
    <vt:lpwstr>D499BD8C13034D4B87DBEBE8CD202BBD</vt:lpwstr>
  </property>
  <property fmtid="{D5CDD505-2E9C-101B-9397-08002B2CF9AE}" pid="15" name="PM_ProtectiveMarkingValue_Footer">
    <vt:lpwstr>Legal privilege_x000d_
OFFICIAL: Sensitive</vt:lpwstr>
  </property>
  <property fmtid="{D5CDD505-2E9C-101B-9397-08002B2CF9AE}" pid="16" name="PM_ProtectiveMarkingImage_Header">
    <vt:lpwstr>C:\Program Files\Common Files\janusNET Shared\janusSEAL\Images\DocumentSlashBlue.png</vt:lpwstr>
  </property>
  <property fmtid="{D5CDD505-2E9C-101B-9397-08002B2CF9AE}" pid="17" name="PM_ProtectiveMarkingImage_Footer">
    <vt:lpwstr>C:\Program Files\Common Files\janusNET Shared\janusSEAL\Images\DocumentSlashBlue.png</vt:lpwstr>
  </property>
  <property fmtid="{D5CDD505-2E9C-101B-9397-08002B2CF9AE}" pid="18" name="PM_Display">
    <vt:lpwstr>OFFICIAL: Sensitive Legal privilege</vt:lpwstr>
  </property>
  <property fmtid="{D5CDD505-2E9C-101B-9397-08002B2CF9AE}" pid="19" name="PM_OriginatorUserAccountName_SHA256">
    <vt:lpwstr>91EA69836A306F65000D7711B40DDACB57150DAE7AC7FEFA95158BE89FCA2A6B</vt:lpwstr>
  </property>
  <property fmtid="{D5CDD505-2E9C-101B-9397-08002B2CF9AE}" pid="20" name="PM_OriginatorDomainName_SHA256">
    <vt:lpwstr>6F3591835F3B2A8A025B00B5BA6418010DA3A17C9C26EA9C049FFD28039489A2</vt:lpwstr>
  </property>
  <property fmtid="{D5CDD505-2E9C-101B-9397-08002B2CF9AE}" pid="21" name="PMUuid">
    <vt:lpwstr>v=2022.2;d=gov.au;g=9838020E-D8A2-5FB0-ACAD-24AFC21961EB</vt:lpwstr>
  </property>
  <property fmtid="{D5CDD505-2E9C-101B-9397-08002B2CF9AE}" pid="22" name="PM_Hash_Version">
    <vt:lpwstr>2022.1</vt:lpwstr>
  </property>
  <property fmtid="{D5CDD505-2E9C-101B-9397-08002B2CF9AE}" pid="23" name="PM_Hash_Salt_Prev">
    <vt:lpwstr>92B8067CD5337AFD3C0D3CD7FC26E2AC</vt:lpwstr>
  </property>
  <property fmtid="{D5CDD505-2E9C-101B-9397-08002B2CF9AE}" pid="24" name="PM_Hash_Salt">
    <vt:lpwstr>61412FF4C2FDD64A0733F9DBD68930F4</vt:lpwstr>
  </property>
  <property fmtid="{D5CDD505-2E9C-101B-9397-08002B2CF9AE}" pid="25" name="PM_Hash_SHA1">
    <vt:lpwstr>CABE8B6D235F2A8813A8149414217C63F3771EB0</vt:lpwstr>
  </property>
  <property fmtid="{D5CDD505-2E9C-101B-9397-08002B2CF9AE}" pid="26" name="PM_SecurityClassification_Prev">
    <vt:lpwstr>OFFICIAL:Sensitive</vt:lpwstr>
  </property>
  <property fmtid="{D5CDD505-2E9C-101B-9397-08002B2CF9AE}" pid="27" name="PM_Qualifier_Prev">
    <vt:lpwstr/>
  </property>
  <property fmtid="{D5CDD505-2E9C-101B-9397-08002B2CF9AE}" pid="28" name="PM_Caveats_Count">
    <vt:lpwstr>0</vt:lpwstr>
  </property>
  <property fmtid="{D5CDD505-2E9C-101B-9397-08002B2CF9AE}" pid="29" name="ContentTypeId">
    <vt:lpwstr>0x010100CF00AC2E10A2B34A86A613A4498C609D</vt:lpwstr>
  </property>
  <property fmtid="{D5CDD505-2E9C-101B-9397-08002B2CF9AE}" pid="30" name="PM_Expires">
    <vt:lpwstr/>
  </property>
  <property fmtid="{D5CDD505-2E9C-101B-9397-08002B2CF9AE}" pid="31" name="PM_DownTo">
    <vt:lpwstr/>
  </property>
</Properties>
</file>