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D519" w14:textId="77777777" w:rsidR="00354A06" w:rsidRPr="0007327B" w:rsidRDefault="00354A06" w:rsidP="005714C3">
      <w:pPr>
        <w:pStyle w:val="BTNSSBodyTextNoSpacingSmall"/>
        <w:rPr>
          <w:sz w:val="2"/>
          <w:szCs w:val="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5714C3" w:rsidRPr="0007327B" w14:paraId="760A23D7" w14:textId="77777777" w:rsidTr="008A4C51">
        <w:trPr>
          <w:trHeight w:val="4365"/>
        </w:trPr>
        <w:tc>
          <w:tcPr>
            <w:tcW w:w="9060" w:type="dxa"/>
          </w:tcPr>
          <w:p w14:paraId="26CCDE0D" w14:textId="77777777" w:rsidR="005714C3" w:rsidRPr="0007327B" w:rsidRDefault="005714C3" w:rsidP="005714C3">
            <w:pPr>
              <w:pStyle w:val="BTBodyText"/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07327B">
              <w:rPr>
                <w:b/>
                <w:bCs/>
                <w:sz w:val="32"/>
                <w:szCs w:val="32"/>
              </w:rPr>
              <w:t>Before the World Trade Organization</w:t>
            </w:r>
          </w:p>
          <w:p w14:paraId="1C6F5485" w14:textId="77777777" w:rsidR="005714C3" w:rsidRPr="0007327B" w:rsidRDefault="005714C3" w:rsidP="005714C3">
            <w:pPr>
              <w:pStyle w:val="BTBodyText"/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07327B">
              <w:rPr>
                <w:b/>
                <w:bCs/>
                <w:sz w:val="32"/>
                <w:szCs w:val="32"/>
              </w:rPr>
              <w:t>Panel Proceedings</w:t>
            </w:r>
          </w:p>
        </w:tc>
      </w:tr>
      <w:tr w:rsidR="005714C3" w:rsidRPr="0007327B" w14:paraId="7801571A" w14:textId="77777777" w:rsidTr="00BE0B1C">
        <w:trPr>
          <w:trHeight w:val="737"/>
        </w:trPr>
        <w:tc>
          <w:tcPr>
            <w:tcW w:w="9060" w:type="dxa"/>
          </w:tcPr>
          <w:p w14:paraId="7E0DF1C7" w14:textId="360D0871" w:rsidR="005714C3" w:rsidRPr="006F7B75" w:rsidRDefault="006F7B75" w:rsidP="006F7B75">
            <w:pPr>
              <w:pStyle w:val="WTODTWTODisputeTitle"/>
              <w:rPr>
                <w:lang w:val="en-US"/>
              </w:rPr>
            </w:pPr>
            <w:r w:rsidRPr="006F7B75">
              <w:rPr>
                <w:lang w:val="en-US"/>
              </w:rPr>
              <w:t>European Union — Anti-Dumping Measures on Imports of Fatty Acid from Indonesia</w:t>
            </w:r>
          </w:p>
        </w:tc>
      </w:tr>
      <w:tr w:rsidR="005714C3" w:rsidRPr="0007327B" w14:paraId="0E5ED6C9" w14:textId="77777777" w:rsidTr="008A4C51">
        <w:trPr>
          <w:trHeight w:val="3175"/>
        </w:trPr>
        <w:tc>
          <w:tcPr>
            <w:tcW w:w="9060" w:type="dxa"/>
          </w:tcPr>
          <w:p w14:paraId="66776B5E" w14:textId="2B0AE705" w:rsidR="005714C3" w:rsidRPr="0007327B" w:rsidRDefault="005714C3" w:rsidP="00DA5381">
            <w:pPr>
              <w:pStyle w:val="DSNDSNumber"/>
            </w:pPr>
            <w:r w:rsidRPr="0007327B">
              <w:t>(DS</w:t>
            </w:r>
            <w:r w:rsidR="004A1215">
              <w:t>622</w:t>
            </w:r>
            <w:r w:rsidRPr="0007327B">
              <w:t>)</w:t>
            </w:r>
          </w:p>
        </w:tc>
      </w:tr>
      <w:tr w:rsidR="005714C3" w:rsidRPr="0007327B" w14:paraId="4973DF26" w14:textId="77777777" w:rsidTr="00DD4BA0">
        <w:trPr>
          <w:trHeight w:val="3798"/>
        </w:trPr>
        <w:tc>
          <w:tcPr>
            <w:tcW w:w="9060" w:type="dxa"/>
          </w:tcPr>
          <w:p w14:paraId="253AF128" w14:textId="77777777" w:rsidR="005714C3" w:rsidRDefault="004A1215" w:rsidP="00DA5381">
            <w:pPr>
              <w:pStyle w:val="DTDocumentTitle"/>
            </w:pPr>
            <w:r>
              <w:t xml:space="preserve">Third party </w:t>
            </w:r>
            <w:r w:rsidR="004D6A4F">
              <w:t>oral statement</w:t>
            </w:r>
            <w:r>
              <w:t xml:space="preserve"> of Australia</w:t>
            </w:r>
          </w:p>
          <w:p w14:paraId="67628421" w14:textId="22C1B91C" w:rsidR="00ED589A" w:rsidRPr="0007327B" w:rsidRDefault="00ED589A" w:rsidP="00DA5381">
            <w:pPr>
              <w:pStyle w:val="DTDocumentTitle"/>
            </w:pPr>
            <w:r>
              <w:t>as delivered</w:t>
            </w:r>
          </w:p>
        </w:tc>
      </w:tr>
      <w:tr w:rsidR="005714C3" w:rsidRPr="0007327B" w14:paraId="487A94A0" w14:textId="77777777" w:rsidTr="00BE0B1C">
        <w:trPr>
          <w:trHeight w:val="624"/>
        </w:trPr>
        <w:tc>
          <w:tcPr>
            <w:tcW w:w="9060" w:type="dxa"/>
          </w:tcPr>
          <w:p w14:paraId="7D4483A0" w14:textId="7017B1DB" w:rsidR="005714C3" w:rsidRPr="0007327B" w:rsidRDefault="004D6A4F" w:rsidP="00DA5381">
            <w:pPr>
              <w:pStyle w:val="DDDocumentDate"/>
            </w:pPr>
            <w:r>
              <w:t>15 October</w:t>
            </w:r>
            <w:r w:rsidR="004A1215">
              <w:t xml:space="preserve"> 2025</w:t>
            </w:r>
          </w:p>
        </w:tc>
      </w:tr>
    </w:tbl>
    <w:p w14:paraId="21A48F93" w14:textId="77777777" w:rsidR="005714C3" w:rsidRPr="0007327B" w:rsidRDefault="005714C3" w:rsidP="00BE0B1C">
      <w:pPr>
        <w:pStyle w:val="BTNSSBodyTextNoSpacingSmall"/>
      </w:pPr>
    </w:p>
    <w:p w14:paraId="4124BEE3" w14:textId="77777777" w:rsidR="00006269" w:rsidRPr="0007327B" w:rsidRDefault="00006269" w:rsidP="00BE0B1C">
      <w:pPr>
        <w:pStyle w:val="BTNSSBodyTextNoSpacingSmall"/>
      </w:pPr>
      <w:r w:rsidRPr="0007327B">
        <w:br w:type="page"/>
      </w:r>
    </w:p>
    <w:p w14:paraId="39BBE50E" w14:textId="77777777" w:rsidR="00F01A73" w:rsidRPr="0007327B" w:rsidRDefault="00F01A73" w:rsidP="00F01A73">
      <w:pPr>
        <w:pStyle w:val="BTNSSBodyTextNoSpacingSmall"/>
        <w:rPr>
          <w:sz w:val="2"/>
          <w:szCs w:val="2"/>
        </w:rPr>
      </w:pPr>
    </w:p>
    <w:sdt>
      <w:sdtPr>
        <w:rPr>
          <w:b w:val="0"/>
          <w:caps w:val="0"/>
          <w:sz w:val="8"/>
          <w:szCs w:val="8"/>
          <w:lang w:val="en-AU"/>
        </w:rPr>
        <w:id w:val="-173052427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84F14B6" w14:textId="77777777" w:rsidR="00D47F18" w:rsidRPr="0007327B" w:rsidRDefault="00D47F18">
          <w:pPr>
            <w:pStyle w:val="TOCHeading"/>
            <w:rPr>
              <w:lang w:val="en-AU"/>
            </w:rPr>
          </w:pPr>
          <w:r w:rsidRPr="0007327B">
            <w:rPr>
              <w:lang w:val="en-AU"/>
            </w:rPr>
            <w:t>Table of Contents</w:t>
          </w:r>
        </w:p>
        <w:p w14:paraId="4775DFDC" w14:textId="01AF6F61" w:rsidR="000319E5" w:rsidRDefault="00F945DB">
          <w:pPr>
            <w:pStyle w:val="TOC1"/>
            <w:rPr>
              <w:rFonts w:asciiTheme="minorHAnsi" w:eastAsiaTheme="minorEastAsia" w:hAnsiTheme="minorHAnsi"/>
              <w:b w:val="0"/>
              <w:caps w:val="0"/>
              <w:noProof/>
              <w:kern w:val="2"/>
              <w:lang w:eastAsia="en-AU"/>
              <w14:ligatures w14:val="standardContextual"/>
            </w:rPr>
          </w:pPr>
          <w:r w:rsidRPr="0007327B">
            <w:fldChar w:fldCharType="begin"/>
          </w:r>
          <w:r w:rsidRPr="0007327B">
            <w:instrText xml:space="preserve"> TOC \o "1-5" \h \z \u </w:instrText>
          </w:r>
          <w:r w:rsidRPr="0007327B">
            <w:fldChar w:fldCharType="separate"/>
          </w:r>
          <w:hyperlink w:anchor="_Toc211353378" w:history="1">
            <w:r w:rsidR="000319E5" w:rsidRPr="00D156F2">
              <w:rPr>
                <w:rStyle w:val="Hyperlink"/>
                <w:noProof/>
              </w:rPr>
              <w:t>Table of Cases</w:t>
            </w:r>
            <w:r w:rsidR="000319E5">
              <w:rPr>
                <w:noProof/>
                <w:webHidden/>
              </w:rPr>
              <w:tab/>
            </w:r>
            <w:r w:rsidR="000319E5">
              <w:rPr>
                <w:noProof/>
                <w:webHidden/>
              </w:rPr>
              <w:fldChar w:fldCharType="begin"/>
            </w:r>
            <w:r w:rsidR="000319E5">
              <w:rPr>
                <w:noProof/>
                <w:webHidden/>
              </w:rPr>
              <w:instrText xml:space="preserve"> PAGEREF _Toc211353378 \h </w:instrText>
            </w:r>
            <w:r w:rsidR="000319E5">
              <w:rPr>
                <w:noProof/>
                <w:webHidden/>
              </w:rPr>
            </w:r>
            <w:r w:rsidR="000319E5">
              <w:rPr>
                <w:noProof/>
                <w:webHidden/>
              </w:rPr>
              <w:fldChar w:fldCharType="separate"/>
            </w:r>
            <w:r w:rsidR="00C35E96">
              <w:rPr>
                <w:noProof/>
                <w:webHidden/>
              </w:rPr>
              <w:t>2</w:t>
            </w:r>
            <w:r w:rsidR="000319E5">
              <w:rPr>
                <w:noProof/>
                <w:webHidden/>
              </w:rPr>
              <w:fldChar w:fldCharType="end"/>
            </w:r>
          </w:hyperlink>
        </w:p>
        <w:p w14:paraId="1019CC5F" w14:textId="05C45590" w:rsidR="000319E5" w:rsidRDefault="000319E5">
          <w:pPr>
            <w:pStyle w:val="TOC1"/>
            <w:rPr>
              <w:rFonts w:asciiTheme="minorHAnsi" w:eastAsiaTheme="minorEastAsia" w:hAnsiTheme="minorHAnsi"/>
              <w:b w:val="0"/>
              <w:caps w:val="0"/>
              <w:noProof/>
              <w:kern w:val="2"/>
              <w:lang w:eastAsia="en-AU"/>
              <w14:ligatures w14:val="standardContextual"/>
            </w:rPr>
          </w:pPr>
          <w:hyperlink w:anchor="_Toc211353379" w:history="1">
            <w:r w:rsidRPr="00D156F2">
              <w:rPr>
                <w:rStyle w:val="Hyperlink"/>
                <w:noProof/>
              </w:rPr>
              <w:t>List of Acronyms, Abbreviations and Short Forms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_Toc211353379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5E9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21CFF" w14:textId="731BF306" w:rsidR="000319E5" w:rsidRDefault="000319E5">
          <w:pPr>
            <w:pStyle w:val="TOC1"/>
            <w:rPr>
              <w:rFonts w:asciiTheme="minorHAnsi" w:eastAsiaTheme="minorEastAsia" w:hAnsiTheme="minorHAnsi"/>
              <w:b w:val="0"/>
              <w:caps w:val="0"/>
              <w:noProof/>
              <w:kern w:val="2"/>
              <w:lang w:eastAsia="en-AU"/>
              <w14:ligatures w14:val="standardContextual"/>
            </w:rPr>
          </w:pPr>
          <w:hyperlink w:anchor="_Toc211353380" w:history="1">
            <w:r w:rsidRPr="00D156F2">
              <w:rPr>
                <w:rStyle w:val="Hyperlink"/>
                <w:noProof/>
              </w:rPr>
              <w:t>I.</w:t>
            </w:r>
            <w:r>
              <w:rPr>
                <w:rFonts w:asciiTheme="minorHAnsi" w:eastAsiaTheme="minorEastAsia" w:hAnsiTheme="minorHAnsi"/>
                <w:b w:val="0"/>
                <w:caps w:val="0"/>
                <w:noProof/>
                <w:kern w:val="2"/>
                <w:lang w:eastAsia="en-AU"/>
                <w14:ligatures w14:val="standardContextual"/>
              </w:rPr>
              <w:tab/>
            </w:r>
            <w:r w:rsidRPr="00D156F2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_Toc211353380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5E9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F3D39" w14:textId="4FA1FA8D" w:rsidR="000319E5" w:rsidRDefault="000319E5">
          <w:pPr>
            <w:pStyle w:val="TOC1"/>
            <w:rPr>
              <w:rFonts w:asciiTheme="minorHAnsi" w:eastAsiaTheme="minorEastAsia" w:hAnsiTheme="minorHAnsi"/>
              <w:b w:val="0"/>
              <w:caps w:val="0"/>
              <w:noProof/>
              <w:kern w:val="2"/>
              <w:lang w:eastAsia="en-AU"/>
              <w14:ligatures w14:val="standardContextual"/>
            </w:rPr>
          </w:pPr>
          <w:hyperlink w:anchor="_Toc211353381" w:history="1">
            <w:r w:rsidRPr="00D156F2">
              <w:rPr>
                <w:rStyle w:val="Hyperlink"/>
                <w:noProof/>
              </w:rPr>
              <w:t>II.</w:t>
            </w:r>
            <w:r>
              <w:rPr>
                <w:rFonts w:asciiTheme="minorHAnsi" w:eastAsiaTheme="minorEastAsia" w:hAnsiTheme="minorHAnsi"/>
                <w:b w:val="0"/>
                <w:caps w:val="0"/>
                <w:noProof/>
                <w:kern w:val="2"/>
                <w:lang w:eastAsia="en-AU"/>
                <w14:ligatures w14:val="standardContextual"/>
              </w:rPr>
              <w:tab/>
            </w:r>
            <w:r w:rsidRPr="00D156F2">
              <w:rPr>
                <w:rStyle w:val="Hyperlink"/>
                <w:noProof/>
              </w:rPr>
              <w:t>Article X:3(a) of the GATT 1994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_Toc211353381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5E9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CA4B2" w14:textId="260C3218" w:rsidR="000319E5" w:rsidRDefault="000319E5">
          <w:pPr>
            <w:pStyle w:val="TOC1"/>
            <w:rPr>
              <w:rFonts w:asciiTheme="minorHAnsi" w:eastAsiaTheme="minorEastAsia" w:hAnsiTheme="minorHAnsi"/>
              <w:b w:val="0"/>
              <w:caps w:val="0"/>
              <w:noProof/>
              <w:kern w:val="2"/>
              <w:lang w:eastAsia="en-AU"/>
              <w14:ligatures w14:val="standardContextual"/>
            </w:rPr>
          </w:pPr>
          <w:hyperlink w:anchor="_Toc211353382" w:history="1">
            <w:r w:rsidRPr="00D156F2">
              <w:rPr>
                <w:rStyle w:val="Hyperlink"/>
                <w:noProof/>
              </w:rPr>
              <w:t>III.</w:t>
            </w:r>
            <w:r>
              <w:rPr>
                <w:rFonts w:asciiTheme="minorHAnsi" w:eastAsiaTheme="minorEastAsia" w:hAnsiTheme="minorHAnsi"/>
                <w:b w:val="0"/>
                <w:caps w:val="0"/>
                <w:noProof/>
                <w:kern w:val="2"/>
                <w:lang w:eastAsia="en-AU"/>
                <w14:ligatures w14:val="standardContextual"/>
              </w:rPr>
              <w:tab/>
            </w:r>
            <w:r w:rsidRPr="00D156F2">
              <w:rPr>
                <w:rStyle w:val="Hyperlink"/>
                <w:noProof/>
              </w:rPr>
              <w:t>WITHDRAWAL OF A COMPLAINT under the anti-dumping agreement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_Toc211353382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5E9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73D93" w14:textId="0E0C5C91" w:rsidR="000319E5" w:rsidRDefault="000319E5">
          <w:pPr>
            <w:pStyle w:val="TOC1"/>
            <w:rPr>
              <w:rFonts w:asciiTheme="minorHAnsi" w:eastAsiaTheme="minorEastAsia" w:hAnsiTheme="minorHAnsi"/>
              <w:b w:val="0"/>
              <w:caps w:val="0"/>
              <w:noProof/>
              <w:kern w:val="2"/>
              <w:lang w:eastAsia="en-AU"/>
              <w14:ligatures w14:val="standardContextual"/>
            </w:rPr>
          </w:pPr>
          <w:hyperlink w:anchor="_Toc211353383" w:history="1">
            <w:r w:rsidRPr="00D156F2">
              <w:rPr>
                <w:rStyle w:val="Hyperlink"/>
                <w:noProof/>
              </w:rPr>
              <w:t>IV.</w:t>
            </w:r>
            <w:r>
              <w:rPr>
                <w:rFonts w:asciiTheme="minorHAnsi" w:eastAsiaTheme="minorEastAsia" w:hAnsiTheme="minorHAnsi"/>
                <w:b w:val="0"/>
                <w:caps w:val="0"/>
                <w:noProof/>
                <w:kern w:val="2"/>
                <w:lang w:eastAsia="en-AU"/>
                <w14:ligatures w14:val="standardContextual"/>
              </w:rPr>
              <w:tab/>
            </w:r>
            <w:r w:rsidRPr="00D156F2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_Toc211353383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5E9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FDBAC" w14:textId="3051DC03" w:rsidR="00D47F18" w:rsidRPr="0007327B" w:rsidRDefault="00F945DB" w:rsidP="00F01A73">
          <w:pPr>
            <w:pStyle w:val="BTNSSBodyTextNoSpacingSmall"/>
          </w:pPr>
          <w:r w:rsidRPr="0007327B">
            <w:rPr>
              <w:rFonts w:eastAsiaTheme="majorEastAsia" w:cstheme="majorBidi"/>
              <w:sz w:val="24"/>
              <w:szCs w:val="32"/>
            </w:rPr>
            <w:fldChar w:fldCharType="end"/>
          </w:r>
        </w:p>
      </w:sdtContent>
    </w:sdt>
    <w:p w14:paraId="07CB1FD1" w14:textId="77777777" w:rsidR="004D7079" w:rsidRPr="0007327B" w:rsidRDefault="004D7079" w:rsidP="004D7079">
      <w:pPr>
        <w:pStyle w:val="BTNSSBodyTextNoSpacingSmall"/>
      </w:pPr>
    </w:p>
    <w:p w14:paraId="7DF19F35" w14:textId="77777777" w:rsidR="00F945DB" w:rsidRPr="0007327B" w:rsidRDefault="00F945DB" w:rsidP="00C73188">
      <w:pPr>
        <w:pStyle w:val="SHSectionHeading"/>
      </w:pPr>
      <w:bookmarkStart w:id="0" w:name="_Toc210748984"/>
      <w:bookmarkStart w:id="1" w:name="_Toc211353378"/>
      <w:r w:rsidRPr="0007327B">
        <w:t>Table of Cases</w:t>
      </w:r>
      <w:bookmarkEnd w:id="0"/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5"/>
        <w:gridCol w:w="6795"/>
      </w:tblGrid>
      <w:tr w:rsidR="008A1191" w:rsidRPr="0007327B" w14:paraId="12847F38" w14:textId="77777777" w:rsidTr="008A4C51">
        <w:trPr>
          <w:cantSplit/>
          <w:trHeight w:val="397"/>
          <w:tblHeader/>
        </w:trPr>
        <w:tc>
          <w:tcPr>
            <w:tcW w:w="2265" w:type="dxa"/>
            <w:shd w:val="clear" w:color="auto" w:fill="D9D9D9" w:themeFill="background1" w:themeFillShade="D9"/>
          </w:tcPr>
          <w:p w14:paraId="3975B761" w14:textId="77777777" w:rsidR="008A1191" w:rsidRPr="00F95299" w:rsidRDefault="008A1191" w:rsidP="008A4C51">
            <w:pPr>
              <w:pStyle w:val="THTableHeading"/>
              <w:jc w:val="center"/>
            </w:pPr>
            <w:r w:rsidRPr="00F95299">
              <w:t>Short Title</w:t>
            </w:r>
          </w:p>
        </w:tc>
        <w:tc>
          <w:tcPr>
            <w:tcW w:w="6795" w:type="dxa"/>
            <w:shd w:val="clear" w:color="auto" w:fill="D9D9D9" w:themeFill="background1" w:themeFillShade="D9"/>
          </w:tcPr>
          <w:p w14:paraId="7408D947" w14:textId="77777777" w:rsidR="008A1191" w:rsidRPr="0007327B" w:rsidRDefault="008A1191" w:rsidP="008A4C51">
            <w:pPr>
              <w:pStyle w:val="THTableHeading"/>
              <w:jc w:val="center"/>
            </w:pPr>
            <w:r w:rsidRPr="0007327B">
              <w:t>Full Case Title and Citation</w:t>
            </w:r>
          </w:p>
        </w:tc>
      </w:tr>
      <w:tr w:rsidR="00650FE0" w:rsidRPr="0007327B" w14:paraId="37EA1E6B" w14:textId="77777777" w:rsidTr="008A4C51">
        <w:trPr>
          <w:cantSplit/>
          <w:trHeight w:val="397"/>
        </w:trPr>
        <w:tc>
          <w:tcPr>
            <w:tcW w:w="2265" w:type="dxa"/>
          </w:tcPr>
          <w:p w14:paraId="37D15AD8" w14:textId="66F2D088" w:rsidR="00650FE0" w:rsidRPr="00F95299" w:rsidRDefault="00650FE0" w:rsidP="00A8222F">
            <w:pPr>
              <w:pStyle w:val="TTTableText"/>
              <w:rPr>
                <w:i/>
                <w:iCs/>
              </w:rPr>
            </w:pPr>
            <w:r w:rsidRPr="00F95299">
              <w:rPr>
                <w:i/>
                <w:iCs/>
                <w:lang w:val="en-GB"/>
              </w:rPr>
              <w:t>Argentina – Hides and Leather</w:t>
            </w:r>
          </w:p>
        </w:tc>
        <w:tc>
          <w:tcPr>
            <w:tcW w:w="6795" w:type="dxa"/>
          </w:tcPr>
          <w:p w14:paraId="7596DEB1" w14:textId="32D1091F" w:rsidR="00650FE0" w:rsidRPr="00137803" w:rsidRDefault="009C2A28" w:rsidP="00A8222F">
            <w:pPr>
              <w:pStyle w:val="TTTableText"/>
              <w:rPr>
                <w:i/>
                <w:iCs/>
                <w:color w:val="000000"/>
              </w:rPr>
            </w:pPr>
            <w:r w:rsidRPr="0076316A">
              <w:rPr>
                <w:color w:val="000000"/>
                <w:lang w:val="en-GB"/>
              </w:rPr>
              <w:t>Panel Report,</w:t>
            </w:r>
            <w:r w:rsidRPr="009C2A28">
              <w:rPr>
                <w:i/>
                <w:iCs/>
                <w:color w:val="000000"/>
                <w:lang w:val="en-GB"/>
              </w:rPr>
              <w:t xml:space="preserve"> Argentina – Measures Affecting the Export of Bovine Hides and the Import of Finished Leather,</w:t>
            </w:r>
            <w:r w:rsidRPr="0076316A">
              <w:rPr>
                <w:color w:val="000000"/>
                <w:lang w:val="en-GB"/>
              </w:rPr>
              <w:t xml:space="preserve"> </w:t>
            </w:r>
            <w:hyperlink r:id="rId11" w:history="1">
              <w:r w:rsidRPr="0076316A">
                <w:rPr>
                  <w:rStyle w:val="Hyperlink"/>
                  <w:bCs/>
                  <w:lang w:val="en-GB"/>
                </w:rPr>
                <w:t>WT/DS155/R</w:t>
              </w:r>
            </w:hyperlink>
            <w:r w:rsidRPr="0076316A">
              <w:rPr>
                <w:b/>
                <w:bCs/>
                <w:color w:val="000000"/>
                <w:lang w:val="en-GB"/>
              </w:rPr>
              <w:t xml:space="preserve"> </w:t>
            </w:r>
            <w:r w:rsidRPr="0076316A">
              <w:rPr>
                <w:color w:val="000000"/>
                <w:lang w:val="en-GB"/>
              </w:rPr>
              <w:t xml:space="preserve">and </w:t>
            </w:r>
            <w:r w:rsidRPr="0076316A">
              <w:rPr>
                <w:bCs/>
                <w:color w:val="000000"/>
                <w:lang w:val="en-GB"/>
              </w:rPr>
              <w:t>Corr.1</w:t>
            </w:r>
            <w:r w:rsidRPr="0076316A">
              <w:rPr>
                <w:color w:val="000000"/>
                <w:lang w:val="en-GB"/>
              </w:rPr>
              <w:t>, adopted 16 February 2001, DSR 2001:V, p. 1779</w:t>
            </w:r>
          </w:p>
        </w:tc>
      </w:tr>
      <w:tr w:rsidR="000C079B" w:rsidRPr="0007327B" w14:paraId="44A82C3E" w14:textId="77777777" w:rsidTr="008A4C51">
        <w:trPr>
          <w:cantSplit/>
          <w:trHeight w:val="397"/>
        </w:trPr>
        <w:tc>
          <w:tcPr>
            <w:tcW w:w="2265" w:type="dxa"/>
          </w:tcPr>
          <w:p w14:paraId="3B5200ED" w14:textId="77777777" w:rsidR="000C079B" w:rsidRPr="00F95299" w:rsidRDefault="000C079B" w:rsidP="00A8222F">
            <w:pPr>
              <w:pStyle w:val="TTTableText"/>
              <w:rPr>
                <w:i/>
                <w:iCs/>
                <w:highlight w:val="yellow"/>
              </w:rPr>
            </w:pPr>
            <w:r w:rsidRPr="00F95299">
              <w:rPr>
                <w:i/>
                <w:iCs/>
              </w:rPr>
              <w:t>EC – Selected Customs Matters</w:t>
            </w:r>
          </w:p>
        </w:tc>
        <w:tc>
          <w:tcPr>
            <w:tcW w:w="6795" w:type="dxa"/>
          </w:tcPr>
          <w:p w14:paraId="53FA4EA7" w14:textId="41D438E3" w:rsidR="000C079B" w:rsidRPr="00137803" w:rsidRDefault="009739C9" w:rsidP="00A8222F">
            <w:pPr>
              <w:pStyle w:val="TTTableText"/>
              <w:rPr>
                <w:i/>
                <w:iCs/>
                <w:color w:val="000000"/>
              </w:rPr>
            </w:pPr>
            <w:r w:rsidRPr="0076316A">
              <w:rPr>
                <w:color w:val="000000"/>
              </w:rPr>
              <w:t>Appellate Body Report,</w:t>
            </w:r>
            <w:r w:rsidRPr="00137803">
              <w:rPr>
                <w:i/>
                <w:iCs/>
                <w:color w:val="000000"/>
              </w:rPr>
              <w:t xml:space="preserve"> European Communities – Selected Customs Matters, </w:t>
            </w:r>
            <w:hyperlink r:id="rId12" w:history="1">
              <w:r w:rsidR="00EB0B3F" w:rsidRPr="00EB0B3F">
                <w:rPr>
                  <w:rStyle w:val="Hyperlink"/>
                  <w:lang w:val="en-GB"/>
                </w:rPr>
                <w:t>WT/DS315/AB/R</w:t>
              </w:r>
            </w:hyperlink>
            <w:r w:rsidRPr="0076316A">
              <w:rPr>
                <w:color w:val="000000"/>
              </w:rPr>
              <w:t>, adopted 11 December 2006, DSR 2006:IX, p. 3791</w:t>
            </w:r>
          </w:p>
        </w:tc>
      </w:tr>
      <w:tr w:rsidR="00E67FF9" w:rsidRPr="0007327B" w14:paraId="45AE4EA2" w14:textId="77777777" w:rsidTr="008A4C51">
        <w:trPr>
          <w:cantSplit/>
          <w:trHeight w:val="397"/>
        </w:trPr>
        <w:tc>
          <w:tcPr>
            <w:tcW w:w="2265" w:type="dxa"/>
          </w:tcPr>
          <w:p w14:paraId="7DF7FE55" w14:textId="16CBA71F" w:rsidR="00E67FF9" w:rsidRPr="00F95299" w:rsidRDefault="00932F1D" w:rsidP="00A8222F">
            <w:pPr>
              <w:pStyle w:val="TTTableText"/>
              <w:rPr>
                <w:i/>
                <w:iCs/>
              </w:rPr>
            </w:pPr>
            <w:r w:rsidRPr="00F95299">
              <w:rPr>
                <w:i/>
                <w:iCs/>
              </w:rPr>
              <w:t>Thailand – Cigarettes (Philippines)</w:t>
            </w:r>
          </w:p>
        </w:tc>
        <w:tc>
          <w:tcPr>
            <w:tcW w:w="6795" w:type="dxa"/>
          </w:tcPr>
          <w:p w14:paraId="2DE502EF" w14:textId="0597279F" w:rsidR="00E67FF9" w:rsidRPr="00137803" w:rsidRDefault="00932F1D" w:rsidP="00A8222F">
            <w:pPr>
              <w:pStyle w:val="TTTableText"/>
              <w:rPr>
                <w:i/>
                <w:iCs/>
                <w:color w:val="000000"/>
              </w:rPr>
            </w:pPr>
            <w:r w:rsidRPr="0076316A">
              <w:rPr>
                <w:color w:val="000000"/>
              </w:rPr>
              <w:t xml:space="preserve">Panel Report, </w:t>
            </w:r>
            <w:r w:rsidRPr="00137803">
              <w:rPr>
                <w:i/>
                <w:iCs/>
                <w:color w:val="000000"/>
              </w:rPr>
              <w:t xml:space="preserve">Thailand – Customs and Fiscal Measures on Cigarettes from the Philippines, </w:t>
            </w:r>
            <w:hyperlink r:id="rId13" w:history="1">
              <w:r w:rsidR="0085209D" w:rsidRPr="0085209D">
                <w:rPr>
                  <w:rStyle w:val="Hyperlink"/>
                  <w:iCs/>
                  <w:lang w:val="en-GB"/>
                </w:rPr>
                <w:t>WT/DS371/R</w:t>
              </w:r>
            </w:hyperlink>
            <w:r w:rsidR="0085209D">
              <w:rPr>
                <w:color w:val="000000"/>
              </w:rPr>
              <w:t xml:space="preserve">, </w:t>
            </w:r>
            <w:r w:rsidRPr="0076316A">
              <w:rPr>
                <w:color w:val="000000"/>
              </w:rPr>
              <w:t>adopted 15 July 2011, as modified by Appellate Body Report WT/DS371/AB/R, DSR 2011:IV, p. 2299</w:t>
            </w:r>
          </w:p>
        </w:tc>
      </w:tr>
      <w:tr w:rsidR="000C079B" w:rsidRPr="0007327B" w14:paraId="28F9C9DD" w14:textId="77777777" w:rsidTr="008A4C51">
        <w:trPr>
          <w:cantSplit/>
          <w:trHeight w:val="397"/>
        </w:trPr>
        <w:tc>
          <w:tcPr>
            <w:tcW w:w="2265" w:type="dxa"/>
          </w:tcPr>
          <w:p w14:paraId="1BF6D9BC" w14:textId="77777777" w:rsidR="000C079B" w:rsidRPr="00F95299" w:rsidRDefault="000C079B" w:rsidP="00A8222F">
            <w:pPr>
              <w:pStyle w:val="TTTableText"/>
              <w:rPr>
                <w:i/>
                <w:iCs/>
                <w:highlight w:val="yellow"/>
              </w:rPr>
            </w:pPr>
            <w:r w:rsidRPr="00F95299">
              <w:rPr>
                <w:i/>
                <w:iCs/>
              </w:rPr>
              <w:t>US – COOL</w:t>
            </w:r>
          </w:p>
        </w:tc>
        <w:tc>
          <w:tcPr>
            <w:tcW w:w="6795" w:type="dxa"/>
          </w:tcPr>
          <w:p w14:paraId="680BD511" w14:textId="786AD361" w:rsidR="000C079B" w:rsidRPr="00137803" w:rsidRDefault="009F384A" w:rsidP="00A8222F">
            <w:pPr>
              <w:pStyle w:val="TTTableText"/>
              <w:rPr>
                <w:i/>
                <w:iCs/>
                <w:color w:val="000000"/>
              </w:rPr>
            </w:pPr>
            <w:r w:rsidRPr="0076316A">
              <w:rPr>
                <w:color w:val="000000"/>
              </w:rPr>
              <w:t>Panel Reports,</w:t>
            </w:r>
            <w:r w:rsidRPr="00137803">
              <w:rPr>
                <w:i/>
                <w:iCs/>
                <w:color w:val="000000"/>
              </w:rPr>
              <w:t xml:space="preserve"> United States – Certain Country of Origin Labelling (COOL) Requirements, </w:t>
            </w:r>
            <w:hyperlink r:id="rId14" w:history="1">
              <w:r w:rsidR="00DC5D3A" w:rsidRPr="0076316A">
                <w:rPr>
                  <w:rStyle w:val="Hyperlink"/>
                  <w:lang w:val="en-GB"/>
                </w:rPr>
                <w:t>WT/DS384/R</w:t>
              </w:r>
            </w:hyperlink>
            <w:r w:rsidRPr="0076316A">
              <w:rPr>
                <w:color w:val="000000"/>
              </w:rPr>
              <w:t xml:space="preserve">/ </w:t>
            </w:r>
            <w:hyperlink r:id="rId15" w:history="1">
              <w:r w:rsidR="00D5540B" w:rsidRPr="0076316A">
                <w:rPr>
                  <w:rStyle w:val="Hyperlink"/>
                  <w:lang w:val="en-GB"/>
                </w:rPr>
                <w:t>WT/DS386/R</w:t>
              </w:r>
            </w:hyperlink>
            <w:r w:rsidRPr="0076316A">
              <w:rPr>
                <w:color w:val="000000"/>
              </w:rPr>
              <w:t>, adopted 23 July 2012, as modified by Appellate Body Reports WT/DS384/AB/R / WT/DS386/AB/R, DSR 2012:VI, p. 2745</w:t>
            </w:r>
          </w:p>
        </w:tc>
      </w:tr>
      <w:tr w:rsidR="000C079B" w:rsidRPr="0007327B" w14:paraId="7C292661" w14:textId="77777777" w:rsidTr="008A4C51">
        <w:trPr>
          <w:cantSplit/>
          <w:trHeight w:val="397"/>
        </w:trPr>
        <w:tc>
          <w:tcPr>
            <w:tcW w:w="2265" w:type="dxa"/>
          </w:tcPr>
          <w:p w14:paraId="11C1F137" w14:textId="77777777" w:rsidR="000C079B" w:rsidRPr="00F95299" w:rsidRDefault="000C079B" w:rsidP="00A8222F">
            <w:pPr>
              <w:pStyle w:val="TTTableText"/>
              <w:rPr>
                <w:i/>
                <w:iCs/>
                <w:highlight w:val="yellow"/>
              </w:rPr>
            </w:pPr>
            <w:r w:rsidRPr="00F95299">
              <w:rPr>
                <w:i/>
                <w:iCs/>
              </w:rPr>
              <w:t>US – Corrosion-Resistant Steel Sunset Review</w:t>
            </w:r>
          </w:p>
        </w:tc>
        <w:tc>
          <w:tcPr>
            <w:tcW w:w="6795" w:type="dxa"/>
          </w:tcPr>
          <w:p w14:paraId="584F7ADC" w14:textId="353C220E" w:rsidR="000C079B" w:rsidRPr="00137803" w:rsidRDefault="005E7F00" w:rsidP="00A8222F">
            <w:pPr>
              <w:pStyle w:val="TTTableText"/>
              <w:rPr>
                <w:i/>
                <w:iCs/>
                <w:color w:val="000000"/>
              </w:rPr>
            </w:pPr>
            <w:r w:rsidRPr="0076316A">
              <w:rPr>
                <w:color w:val="000000"/>
                <w:lang w:val="en-GB"/>
              </w:rPr>
              <w:t>Panel Report,</w:t>
            </w:r>
            <w:r w:rsidRPr="005E7F00">
              <w:rPr>
                <w:i/>
                <w:iCs/>
                <w:color w:val="000000"/>
                <w:lang w:val="en-GB"/>
              </w:rPr>
              <w:t xml:space="preserve"> United States – Sunset Review of Anti</w:t>
            </w:r>
            <w:r w:rsidRPr="005E7F00">
              <w:rPr>
                <w:i/>
                <w:iCs/>
                <w:color w:val="000000"/>
                <w:lang w:val="en-GB"/>
              </w:rPr>
              <w:noBreakHyphen/>
              <w:t xml:space="preserve">Dumping Duties on Corrosion-Resistant Carbon Steel Flat Products from Japan, </w:t>
            </w:r>
            <w:hyperlink r:id="rId16" w:history="1">
              <w:r w:rsidRPr="0076316A">
                <w:rPr>
                  <w:rStyle w:val="Hyperlink"/>
                  <w:lang w:val="en-GB"/>
                </w:rPr>
                <w:t>WT/DS244/R</w:t>
              </w:r>
            </w:hyperlink>
            <w:r w:rsidRPr="0076316A">
              <w:rPr>
                <w:color w:val="000000"/>
                <w:lang w:val="en-GB"/>
              </w:rPr>
              <w:t>,</w:t>
            </w:r>
            <w:r w:rsidRPr="005E7F00">
              <w:rPr>
                <w:i/>
                <w:iCs/>
                <w:color w:val="000000"/>
                <w:lang w:val="en-GB"/>
              </w:rPr>
              <w:t xml:space="preserve"> </w:t>
            </w:r>
            <w:r w:rsidRPr="0076316A">
              <w:rPr>
                <w:color w:val="000000"/>
                <w:lang w:val="en-GB"/>
              </w:rPr>
              <w:t>adopted 9 January 2004, as modified by Appellate Body Report WT/DS244/AB/R, DSR 2004:I, p. 85</w:t>
            </w:r>
          </w:p>
        </w:tc>
      </w:tr>
      <w:tr w:rsidR="000C079B" w:rsidRPr="0007327B" w14:paraId="78161D60" w14:textId="77777777" w:rsidTr="008A4C51">
        <w:trPr>
          <w:cantSplit/>
          <w:trHeight w:val="397"/>
        </w:trPr>
        <w:tc>
          <w:tcPr>
            <w:tcW w:w="2265" w:type="dxa"/>
          </w:tcPr>
          <w:p w14:paraId="51B25CFC" w14:textId="77777777" w:rsidR="000C079B" w:rsidRPr="00F95299" w:rsidRDefault="000C079B" w:rsidP="00A8222F">
            <w:pPr>
              <w:pStyle w:val="TTTableText"/>
              <w:rPr>
                <w:i/>
                <w:iCs/>
              </w:rPr>
            </w:pPr>
            <w:r w:rsidRPr="00F95299">
              <w:rPr>
                <w:i/>
                <w:iCs/>
                <w:lang w:val="en-US"/>
              </w:rPr>
              <w:t>US – Softwood Lumber V</w:t>
            </w:r>
          </w:p>
        </w:tc>
        <w:tc>
          <w:tcPr>
            <w:tcW w:w="6795" w:type="dxa"/>
          </w:tcPr>
          <w:p w14:paraId="42A6123A" w14:textId="5EF349A0" w:rsidR="000C079B" w:rsidRPr="00137803" w:rsidRDefault="00B00EA5" w:rsidP="00A8222F">
            <w:pPr>
              <w:pStyle w:val="TTTableText"/>
              <w:rPr>
                <w:i/>
                <w:iCs/>
                <w:color w:val="000000"/>
              </w:rPr>
            </w:pPr>
            <w:r w:rsidRPr="0076316A">
              <w:rPr>
                <w:color w:val="000000"/>
              </w:rPr>
              <w:t>Panel Report,</w:t>
            </w:r>
            <w:r w:rsidRPr="00137803">
              <w:rPr>
                <w:i/>
                <w:iCs/>
                <w:color w:val="000000"/>
              </w:rPr>
              <w:t xml:space="preserve"> United States – Final Dumping Determination on Softwood Lumber from Canada, </w:t>
            </w:r>
            <w:hyperlink r:id="rId17" w:history="1">
              <w:r w:rsidR="00E42F9E" w:rsidRPr="00E42F9E">
                <w:rPr>
                  <w:rStyle w:val="Hyperlink"/>
                  <w:lang w:val="en-GB"/>
                </w:rPr>
                <w:t>WT/DS264/R</w:t>
              </w:r>
            </w:hyperlink>
            <w:r w:rsidRPr="0076316A">
              <w:rPr>
                <w:color w:val="000000"/>
              </w:rPr>
              <w:t>, adopted 31 August 2004, as modified by Appellate Body Report WT/DS264/AB/R, DSR 2004:V, p. 1937</w:t>
            </w:r>
          </w:p>
        </w:tc>
      </w:tr>
      <w:tr w:rsidR="000C079B" w:rsidRPr="0007327B" w14:paraId="3ACF0BD3" w14:textId="77777777" w:rsidTr="008A4C51">
        <w:trPr>
          <w:cantSplit/>
          <w:trHeight w:val="397"/>
        </w:trPr>
        <w:tc>
          <w:tcPr>
            <w:tcW w:w="2265" w:type="dxa"/>
          </w:tcPr>
          <w:p w14:paraId="51AA9A82" w14:textId="77777777" w:rsidR="000C079B" w:rsidRPr="00F95299" w:rsidRDefault="000C079B" w:rsidP="00A8222F">
            <w:pPr>
              <w:pStyle w:val="TTTableText"/>
              <w:rPr>
                <w:i/>
                <w:iCs/>
                <w:highlight w:val="yellow"/>
              </w:rPr>
            </w:pPr>
            <w:r w:rsidRPr="00F95299">
              <w:rPr>
                <w:i/>
                <w:iCs/>
              </w:rPr>
              <w:t>US – Stainless Steel (Korea)</w:t>
            </w:r>
          </w:p>
        </w:tc>
        <w:tc>
          <w:tcPr>
            <w:tcW w:w="6795" w:type="dxa"/>
          </w:tcPr>
          <w:p w14:paraId="18F64558" w14:textId="365C7776" w:rsidR="000C079B" w:rsidRPr="00137803" w:rsidRDefault="00502B52" w:rsidP="00A8222F">
            <w:pPr>
              <w:pStyle w:val="TTTableText"/>
              <w:rPr>
                <w:i/>
                <w:iCs/>
                <w:color w:val="000000"/>
              </w:rPr>
            </w:pPr>
            <w:r w:rsidRPr="0076316A">
              <w:rPr>
                <w:color w:val="000000"/>
              </w:rPr>
              <w:t>Panel Report,</w:t>
            </w:r>
            <w:r w:rsidRPr="00137803">
              <w:rPr>
                <w:i/>
                <w:iCs/>
                <w:color w:val="000000"/>
              </w:rPr>
              <w:t xml:space="preserve"> United States – Anti-Dumping Measures on Stainless Steel Plate in Coils and Stainless Steel Sheet and Strip from Korea, </w:t>
            </w:r>
            <w:hyperlink r:id="rId18" w:history="1">
              <w:r w:rsidR="00F83CC5" w:rsidRPr="0076316A">
                <w:rPr>
                  <w:rStyle w:val="Hyperlink"/>
                  <w:lang w:val="en-GB"/>
                </w:rPr>
                <w:t>WT/DS179/R</w:t>
              </w:r>
            </w:hyperlink>
            <w:r w:rsidRPr="0076316A">
              <w:rPr>
                <w:color w:val="000000"/>
              </w:rPr>
              <w:t>, adopted 1 February 2001, DSR 2001:IV, p. 1295</w:t>
            </w:r>
          </w:p>
        </w:tc>
      </w:tr>
    </w:tbl>
    <w:p w14:paraId="3F48318D" w14:textId="77777777" w:rsidR="004D7079" w:rsidRPr="0007327B" w:rsidRDefault="004D7079" w:rsidP="004D7079">
      <w:pPr>
        <w:pStyle w:val="BTNSSBodyTextNoSpacingSmall"/>
      </w:pPr>
    </w:p>
    <w:p w14:paraId="4FA1C583" w14:textId="77777777" w:rsidR="008A1191" w:rsidRPr="0007327B" w:rsidRDefault="004524CE" w:rsidP="004524CE">
      <w:pPr>
        <w:pStyle w:val="SHSectionHeading"/>
      </w:pPr>
      <w:bookmarkStart w:id="2" w:name="_Toc210748985"/>
      <w:bookmarkStart w:id="3" w:name="_Toc211353379"/>
      <w:r w:rsidRPr="0007327B">
        <w:lastRenderedPageBreak/>
        <w:t>List of Acronyms, Abbreviations and Short Forms</w:t>
      </w:r>
      <w:bookmarkEnd w:id="2"/>
      <w:bookmarkEnd w:id="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9"/>
        <w:gridCol w:w="6821"/>
      </w:tblGrid>
      <w:tr w:rsidR="008A1191" w:rsidRPr="0007327B" w14:paraId="7DAFFD04" w14:textId="77777777" w:rsidTr="00F10D84">
        <w:trPr>
          <w:cantSplit/>
          <w:trHeight w:val="397"/>
          <w:tblHeader/>
        </w:trPr>
        <w:tc>
          <w:tcPr>
            <w:tcW w:w="2239" w:type="dxa"/>
            <w:shd w:val="clear" w:color="auto" w:fill="D9D9D9" w:themeFill="background1" w:themeFillShade="D9"/>
          </w:tcPr>
          <w:p w14:paraId="0C2323E3" w14:textId="77777777" w:rsidR="008A1191" w:rsidRPr="00F95299" w:rsidRDefault="008A1191" w:rsidP="008A4C51">
            <w:pPr>
              <w:pStyle w:val="THTableHeading"/>
              <w:jc w:val="center"/>
            </w:pPr>
            <w:r w:rsidRPr="00F95299">
              <w:t>Abbreviation</w:t>
            </w:r>
          </w:p>
        </w:tc>
        <w:tc>
          <w:tcPr>
            <w:tcW w:w="6821" w:type="dxa"/>
            <w:shd w:val="clear" w:color="auto" w:fill="D9D9D9" w:themeFill="background1" w:themeFillShade="D9"/>
          </w:tcPr>
          <w:p w14:paraId="3B246128" w14:textId="77777777" w:rsidR="008A1191" w:rsidRPr="00F95299" w:rsidRDefault="008A1191" w:rsidP="008A4C51">
            <w:pPr>
              <w:pStyle w:val="THTableHeading"/>
              <w:jc w:val="center"/>
            </w:pPr>
            <w:r w:rsidRPr="00F95299">
              <w:t>Full Form or Description</w:t>
            </w:r>
          </w:p>
        </w:tc>
      </w:tr>
      <w:tr w:rsidR="008A1191" w:rsidRPr="0007327B" w14:paraId="3CBDEC6D" w14:textId="77777777" w:rsidTr="00F10D84">
        <w:trPr>
          <w:cantSplit/>
          <w:trHeight w:val="397"/>
        </w:trPr>
        <w:tc>
          <w:tcPr>
            <w:tcW w:w="2239" w:type="dxa"/>
          </w:tcPr>
          <w:p w14:paraId="638A7936" w14:textId="33D0E5BB" w:rsidR="008A1191" w:rsidRPr="00F95299" w:rsidRDefault="00AB450E" w:rsidP="008A4C51">
            <w:pPr>
              <w:pStyle w:val="TTTableText"/>
            </w:pPr>
            <w:r w:rsidRPr="00F95299">
              <w:t xml:space="preserve">Anti-Dumping Agreement </w:t>
            </w:r>
          </w:p>
        </w:tc>
        <w:tc>
          <w:tcPr>
            <w:tcW w:w="6821" w:type="dxa"/>
          </w:tcPr>
          <w:p w14:paraId="52590913" w14:textId="6434D46E" w:rsidR="008A1191" w:rsidRPr="00F95299" w:rsidRDefault="00780DA5" w:rsidP="008A4C51">
            <w:pPr>
              <w:pStyle w:val="TTTableText"/>
            </w:pPr>
            <w:r w:rsidRPr="00F95299">
              <w:t>Agreement on Implementation of Article VI of GATT 1994</w:t>
            </w:r>
          </w:p>
        </w:tc>
      </w:tr>
      <w:tr w:rsidR="000A0A01" w:rsidRPr="0007327B" w14:paraId="3BF592AC" w14:textId="77777777" w:rsidTr="00F10D84">
        <w:trPr>
          <w:cantSplit/>
          <w:trHeight w:val="397"/>
        </w:trPr>
        <w:tc>
          <w:tcPr>
            <w:tcW w:w="2239" w:type="dxa"/>
          </w:tcPr>
          <w:p w14:paraId="7D3B56CC" w14:textId="4A103D4F" w:rsidR="000A0A01" w:rsidRPr="0076316A" w:rsidRDefault="000A0A01" w:rsidP="00165A7E">
            <w:pPr>
              <w:pStyle w:val="TTTableText"/>
            </w:pPr>
            <w:r w:rsidRPr="0076316A">
              <w:t>Commission</w:t>
            </w:r>
          </w:p>
        </w:tc>
        <w:tc>
          <w:tcPr>
            <w:tcW w:w="6821" w:type="dxa"/>
          </w:tcPr>
          <w:p w14:paraId="687DC4D8" w14:textId="2782875D" w:rsidR="000A0A01" w:rsidRPr="00F95299" w:rsidRDefault="000A0A01" w:rsidP="00165A7E">
            <w:pPr>
              <w:pStyle w:val="TTTableText"/>
            </w:pPr>
            <w:r w:rsidRPr="00F95299">
              <w:t>European Commission</w:t>
            </w:r>
          </w:p>
        </w:tc>
      </w:tr>
      <w:tr w:rsidR="007530A8" w:rsidRPr="0007327B" w14:paraId="4E98FD3B" w14:textId="77777777" w:rsidTr="00F10D84">
        <w:trPr>
          <w:cantSplit/>
          <w:trHeight w:val="397"/>
        </w:trPr>
        <w:tc>
          <w:tcPr>
            <w:tcW w:w="2239" w:type="dxa"/>
          </w:tcPr>
          <w:p w14:paraId="1D5517B1" w14:textId="5372E8DB" w:rsidR="007530A8" w:rsidRPr="00F95299" w:rsidRDefault="007530A8" w:rsidP="00165A7E">
            <w:pPr>
              <w:pStyle w:val="TTTableText"/>
            </w:pPr>
            <w:r w:rsidRPr="0076316A">
              <w:t>CUFTA</w:t>
            </w:r>
          </w:p>
        </w:tc>
        <w:tc>
          <w:tcPr>
            <w:tcW w:w="6821" w:type="dxa"/>
          </w:tcPr>
          <w:p w14:paraId="647A9AFE" w14:textId="1473D79C" w:rsidR="007530A8" w:rsidRPr="00F95299" w:rsidRDefault="00F64C5A" w:rsidP="00165A7E">
            <w:pPr>
              <w:pStyle w:val="TTTableText"/>
            </w:pPr>
            <w:r w:rsidRPr="00F95299">
              <w:t>Coalition Against Unfair Trade in Fatty Acid</w:t>
            </w:r>
          </w:p>
        </w:tc>
      </w:tr>
      <w:tr w:rsidR="000A0A01" w:rsidRPr="0007327B" w14:paraId="3204D080" w14:textId="77777777" w:rsidTr="00F4709F">
        <w:trPr>
          <w:cantSplit/>
          <w:trHeight w:val="397"/>
        </w:trPr>
        <w:tc>
          <w:tcPr>
            <w:tcW w:w="2239" w:type="dxa"/>
          </w:tcPr>
          <w:p w14:paraId="3D1225DB" w14:textId="302C7BF0" w:rsidR="000A0A01" w:rsidRPr="0076316A" w:rsidRDefault="000A0A01" w:rsidP="00165A7E">
            <w:pPr>
              <w:pStyle w:val="TTTableText"/>
            </w:pPr>
            <w:r w:rsidRPr="0076316A">
              <w:t>DSU</w:t>
            </w:r>
          </w:p>
        </w:tc>
        <w:tc>
          <w:tcPr>
            <w:tcW w:w="6821" w:type="dxa"/>
          </w:tcPr>
          <w:p w14:paraId="7C430431" w14:textId="390776DC" w:rsidR="000A0A01" w:rsidRPr="00F95299" w:rsidRDefault="00262B27" w:rsidP="00262B27">
            <w:pPr>
              <w:pStyle w:val="TTTableText"/>
            </w:pPr>
            <w:r w:rsidRPr="00F95299">
              <w:t>Understanding on Rules and Procedures Governing the Settlement of Disputes</w:t>
            </w:r>
          </w:p>
        </w:tc>
      </w:tr>
      <w:tr w:rsidR="00BB0024" w:rsidRPr="0007327B" w14:paraId="38DC0B66" w14:textId="77777777" w:rsidTr="00F4709F">
        <w:trPr>
          <w:cantSplit/>
          <w:trHeight w:val="397"/>
        </w:trPr>
        <w:tc>
          <w:tcPr>
            <w:tcW w:w="2239" w:type="dxa"/>
          </w:tcPr>
          <w:p w14:paraId="11BB8219" w14:textId="26BA72C4" w:rsidR="00BB0024" w:rsidRPr="0076316A" w:rsidRDefault="00BB0024" w:rsidP="00165A7E">
            <w:pPr>
              <w:pStyle w:val="TTTableText"/>
            </w:pPr>
            <w:r w:rsidRPr="0076316A">
              <w:t>GATT</w:t>
            </w:r>
          </w:p>
        </w:tc>
        <w:tc>
          <w:tcPr>
            <w:tcW w:w="6821" w:type="dxa"/>
          </w:tcPr>
          <w:p w14:paraId="617AA36A" w14:textId="642404DA" w:rsidR="00BB0024" w:rsidRPr="00F95299" w:rsidRDefault="00BB0024" w:rsidP="00165A7E">
            <w:pPr>
              <w:pStyle w:val="TTTableText"/>
            </w:pPr>
            <w:r w:rsidRPr="00F95299">
              <w:t xml:space="preserve">General Agreement on </w:t>
            </w:r>
            <w:r w:rsidR="008759B3" w:rsidRPr="00F95299">
              <w:t>Tariffs and Trade 1994</w:t>
            </w:r>
          </w:p>
        </w:tc>
      </w:tr>
      <w:tr w:rsidR="00165A7E" w:rsidRPr="0007327B" w14:paraId="793AFDE3" w14:textId="77777777" w:rsidTr="00F10D84">
        <w:trPr>
          <w:cantSplit/>
          <w:trHeight w:val="397"/>
        </w:trPr>
        <w:tc>
          <w:tcPr>
            <w:tcW w:w="2239" w:type="dxa"/>
          </w:tcPr>
          <w:p w14:paraId="54ADA10F" w14:textId="26E061CB" w:rsidR="00165A7E" w:rsidRPr="00F95299" w:rsidRDefault="00165A7E" w:rsidP="00165A7E">
            <w:pPr>
              <w:pStyle w:val="TTTableText"/>
            </w:pPr>
            <w:r w:rsidRPr="00F95299">
              <w:t>Member</w:t>
            </w:r>
          </w:p>
        </w:tc>
        <w:tc>
          <w:tcPr>
            <w:tcW w:w="6821" w:type="dxa"/>
          </w:tcPr>
          <w:p w14:paraId="24089B4F" w14:textId="316CB95D" w:rsidR="00165A7E" w:rsidRPr="00F95299" w:rsidRDefault="00165A7E" w:rsidP="00165A7E">
            <w:pPr>
              <w:pStyle w:val="TTTableText"/>
            </w:pPr>
            <w:r w:rsidRPr="00F95299">
              <w:t xml:space="preserve">Member of the World Trade Organization </w:t>
            </w:r>
          </w:p>
        </w:tc>
      </w:tr>
      <w:tr w:rsidR="00C91043" w:rsidRPr="0007327B" w14:paraId="25FE1524" w14:textId="77777777" w:rsidTr="00F4709F">
        <w:trPr>
          <w:cantSplit/>
          <w:trHeight w:val="397"/>
        </w:trPr>
        <w:tc>
          <w:tcPr>
            <w:tcW w:w="2239" w:type="dxa"/>
          </w:tcPr>
          <w:p w14:paraId="50094F0B" w14:textId="4D149D5A" w:rsidR="00FA675E" w:rsidRPr="00F95299" w:rsidRDefault="00FA675E" w:rsidP="00C5720D">
            <w:pPr>
              <w:pStyle w:val="TTTableText"/>
            </w:pPr>
            <w:r w:rsidRPr="00F95299">
              <w:t>UN</w:t>
            </w:r>
          </w:p>
        </w:tc>
        <w:tc>
          <w:tcPr>
            <w:tcW w:w="6821" w:type="dxa"/>
          </w:tcPr>
          <w:p w14:paraId="102A3B28" w14:textId="157EEAAE" w:rsidR="00FA675E" w:rsidRPr="00F95299" w:rsidRDefault="00FA675E" w:rsidP="00C5720D">
            <w:pPr>
              <w:pStyle w:val="TTTableText"/>
            </w:pPr>
            <w:r w:rsidRPr="00F95299">
              <w:t>United Nations</w:t>
            </w:r>
          </w:p>
        </w:tc>
      </w:tr>
      <w:tr w:rsidR="00C5720D" w:rsidRPr="0007327B" w14:paraId="6A5B20B3" w14:textId="77777777" w:rsidTr="00F10D84">
        <w:trPr>
          <w:cantSplit/>
          <w:trHeight w:val="397"/>
        </w:trPr>
        <w:tc>
          <w:tcPr>
            <w:tcW w:w="2239" w:type="dxa"/>
          </w:tcPr>
          <w:p w14:paraId="78FA8675" w14:textId="7B0DF06B" w:rsidR="00C5720D" w:rsidRPr="00F95299" w:rsidRDefault="00C5720D" w:rsidP="00C5720D">
            <w:pPr>
              <w:pStyle w:val="TTTableText"/>
            </w:pPr>
            <w:r w:rsidRPr="00F95299">
              <w:t>WTO</w:t>
            </w:r>
          </w:p>
        </w:tc>
        <w:tc>
          <w:tcPr>
            <w:tcW w:w="6821" w:type="dxa"/>
          </w:tcPr>
          <w:p w14:paraId="3E053F53" w14:textId="1E34C8F1" w:rsidR="00C5720D" w:rsidRPr="00F95299" w:rsidRDefault="00C5720D" w:rsidP="00C5720D">
            <w:pPr>
              <w:pStyle w:val="TTTableText"/>
            </w:pPr>
            <w:r w:rsidRPr="00F95299">
              <w:t xml:space="preserve">World Trade Organization </w:t>
            </w:r>
          </w:p>
        </w:tc>
      </w:tr>
    </w:tbl>
    <w:p w14:paraId="5D23F939" w14:textId="77777777" w:rsidR="004D7079" w:rsidRPr="0007327B" w:rsidRDefault="004D7079" w:rsidP="004D7079">
      <w:pPr>
        <w:pStyle w:val="BTNSSBodyTextNoSpacingSmall"/>
      </w:pPr>
    </w:p>
    <w:p w14:paraId="3C9C03E5" w14:textId="64F45B79" w:rsidR="00D47F18" w:rsidRDefault="00D47F18" w:rsidP="00D52A17">
      <w:pPr>
        <w:pStyle w:val="BTBodyText"/>
      </w:pPr>
    </w:p>
    <w:p w14:paraId="17A509F0" w14:textId="77777777" w:rsidR="00FE1D59" w:rsidRDefault="00FE1D59" w:rsidP="00D52A17">
      <w:pPr>
        <w:pStyle w:val="BTBodyText"/>
      </w:pPr>
    </w:p>
    <w:p w14:paraId="0C6FAE52" w14:textId="77777777" w:rsidR="00FE1D59" w:rsidRDefault="00FE1D59" w:rsidP="00D52A17">
      <w:pPr>
        <w:pStyle w:val="BTBodyText"/>
      </w:pPr>
    </w:p>
    <w:p w14:paraId="60E3B043" w14:textId="29043EA5" w:rsidR="0058516E" w:rsidRDefault="0058516E">
      <w:r>
        <w:br w:type="page"/>
      </w:r>
    </w:p>
    <w:p w14:paraId="484E2B54" w14:textId="0488B087" w:rsidR="00D52A17" w:rsidRPr="0007327B" w:rsidRDefault="003B4FBD" w:rsidP="00BA52F9">
      <w:pPr>
        <w:pStyle w:val="HL1HeadingLevel1"/>
        <w:numPr>
          <w:ilvl w:val="0"/>
          <w:numId w:val="9"/>
        </w:numPr>
      </w:pPr>
      <w:bookmarkStart w:id="4" w:name="_Toc210748986"/>
      <w:bookmarkStart w:id="5" w:name="_Toc211353380"/>
      <w:r>
        <w:rPr>
          <w:caps w:val="0"/>
        </w:rPr>
        <w:lastRenderedPageBreak/>
        <w:t>INTRODUCTION</w:t>
      </w:r>
      <w:bookmarkEnd w:id="4"/>
      <w:bookmarkEnd w:id="5"/>
    </w:p>
    <w:p w14:paraId="404B2C32" w14:textId="056A5DF2" w:rsidR="00601AB1" w:rsidRDefault="00601AB1" w:rsidP="00D52A17">
      <w:pPr>
        <w:pStyle w:val="P1-N1Paragraph1-Number1"/>
      </w:pPr>
      <w:r>
        <w:t>Chair, distinguished members of the Panel – good morning. Thank you for the opportunity to make an oral statement at this session.</w:t>
      </w:r>
    </w:p>
    <w:p w14:paraId="5E72D227" w14:textId="732F7B2F" w:rsidR="00B974A4" w:rsidRDefault="00A87576" w:rsidP="00D52A17">
      <w:pPr>
        <w:pStyle w:val="P1-N1Paragraph1-Number1"/>
      </w:pPr>
      <w:r>
        <w:t xml:space="preserve">Australia </w:t>
      </w:r>
      <w:r w:rsidR="006377A4">
        <w:t xml:space="preserve">considers this case raises important questions </w:t>
      </w:r>
      <w:r w:rsidR="00A120BF">
        <w:t xml:space="preserve">in relation to </w:t>
      </w:r>
      <w:r w:rsidR="008F72CB">
        <w:t>the interpretation of</w:t>
      </w:r>
      <w:r w:rsidR="006377A4">
        <w:t xml:space="preserve"> </w:t>
      </w:r>
      <w:r w:rsidR="00600721">
        <w:t>sub-</w:t>
      </w:r>
      <w:r w:rsidR="009C0AF9">
        <w:t xml:space="preserve">paragraph 3(a) of </w:t>
      </w:r>
      <w:r w:rsidR="00F32FEA">
        <w:t xml:space="preserve">Article X of the GATT 1994 and </w:t>
      </w:r>
      <w:r w:rsidR="00D470DE">
        <w:t xml:space="preserve">the </w:t>
      </w:r>
      <w:r w:rsidR="00C72B6D">
        <w:t xml:space="preserve">obligations </w:t>
      </w:r>
      <w:r w:rsidR="00D470DE">
        <w:t xml:space="preserve">on an </w:t>
      </w:r>
      <w:r w:rsidR="00F32FEA">
        <w:t xml:space="preserve">investigating </w:t>
      </w:r>
      <w:r w:rsidR="00D470DE">
        <w:t xml:space="preserve">authority </w:t>
      </w:r>
      <w:r w:rsidR="009C1C05">
        <w:t xml:space="preserve">if </w:t>
      </w:r>
      <w:r w:rsidR="007057CB">
        <w:t>a complaint</w:t>
      </w:r>
      <w:r w:rsidR="00C72B6D">
        <w:t xml:space="preserve"> </w:t>
      </w:r>
      <w:r w:rsidR="009C1C05">
        <w:t>is</w:t>
      </w:r>
      <w:r w:rsidR="00C72B6D">
        <w:t xml:space="preserve"> withdrawn</w:t>
      </w:r>
      <w:r w:rsidR="00B71B53">
        <w:t xml:space="preserve">. </w:t>
      </w:r>
    </w:p>
    <w:p w14:paraId="567DE91C" w14:textId="18705422" w:rsidR="00087E54" w:rsidRPr="00171517" w:rsidRDefault="007D3735" w:rsidP="00171517">
      <w:pPr>
        <w:pStyle w:val="P1-N1Paragraph1-Number1"/>
        <w:rPr>
          <w:i/>
          <w:iCs/>
        </w:rPr>
      </w:pPr>
      <w:r w:rsidRPr="0055172B">
        <w:t xml:space="preserve">Before proceeding to set out Australia’s views on </w:t>
      </w:r>
      <w:r w:rsidR="00C72B6D">
        <w:t>these issues</w:t>
      </w:r>
      <w:r w:rsidRPr="0055172B">
        <w:t xml:space="preserve">, </w:t>
      </w:r>
      <w:r w:rsidR="006E1644" w:rsidRPr="00F10D84">
        <w:t xml:space="preserve">Australia </w:t>
      </w:r>
      <w:r w:rsidR="006E1644">
        <w:t>notes that the Russian Federation is a third party in this dispute and is present at t</w:t>
      </w:r>
      <w:r w:rsidR="002741EB">
        <w:t xml:space="preserve">his session. </w:t>
      </w:r>
      <w:r w:rsidRPr="002E31B5">
        <w:t xml:space="preserve">Australia </w:t>
      </w:r>
      <w:r w:rsidRPr="00F10D84">
        <w:t>would</w:t>
      </w:r>
      <w:r w:rsidR="002741EB" w:rsidRPr="002E31B5">
        <w:t xml:space="preserve"> therefore</w:t>
      </w:r>
      <w:r w:rsidRPr="00F10D84">
        <w:t xml:space="preserve"> like to reiterate its ongoing support for Ukraine and to again condemn in the strongest terms Russia's illegal and immoral invasion of Ukraine. Russia's aggression is a gross violation of international law, including the UN Charter, and is inconsistent with the global rules and norms that underpin multilateral organisations such as the WTO.</w:t>
      </w:r>
      <w:bookmarkStart w:id="6" w:name="_Toc210748987"/>
    </w:p>
    <w:p w14:paraId="3AF2E3A1" w14:textId="690949CA" w:rsidR="00C9139F" w:rsidRPr="00C9139F" w:rsidRDefault="003B4FBD" w:rsidP="00C9139F">
      <w:pPr>
        <w:pStyle w:val="HL1HeadingLevel1"/>
        <w:numPr>
          <w:ilvl w:val="0"/>
          <w:numId w:val="9"/>
        </w:numPr>
      </w:pPr>
      <w:bookmarkStart w:id="7" w:name="_Toc211353381"/>
      <w:r>
        <w:rPr>
          <w:caps w:val="0"/>
        </w:rPr>
        <w:t>ARTICLE X:3(A) OF THE GATT 1994</w:t>
      </w:r>
      <w:bookmarkEnd w:id="7"/>
      <w:r>
        <w:rPr>
          <w:caps w:val="0"/>
        </w:rPr>
        <w:t xml:space="preserve"> </w:t>
      </w:r>
    </w:p>
    <w:bookmarkEnd w:id="6"/>
    <w:p w14:paraId="24D37F81" w14:textId="69AEB372" w:rsidR="00084F48" w:rsidRPr="00B727FC" w:rsidRDefault="00ED589A" w:rsidP="00564349">
      <w:pPr>
        <w:pStyle w:val="P1-N1Paragraph1-Number1"/>
        <w:rPr>
          <w:lang w:val="en-US"/>
        </w:rPr>
      </w:pPr>
      <w:r>
        <w:t xml:space="preserve">Turning to the issues in this dispute, </w:t>
      </w:r>
      <w:r w:rsidR="00084F48" w:rsidRPr="00B727FC">
        <w:t xml:space="preserve">Indonesia claims that by continuing the anti-dumping investigation while terminating the anti-subsidy investigation following the withdrawal of the complaints in both proceedings, the European Union </w:t>
      </w:r>
      <w:r w:rsidR="00084F48" w:rsidRPr="00B727FC">
        <w:rPr>
          <w:lang w:val="en-US"/>
        </w:rPr>
        <w:t xml:space="preserve">failed to administer the provisions governing the withdrawal of complaints in the Basic Anti-Dumping Regulation and the Basic Anti-Subsidy Regulation in </w:t>
      </w:r>
      <w:r w:rsidR="00AD290E">
        <w:rPr>
          <w:lang w:val="en-US"/>
        </w:rPr>
        <w:t>"</w:t>
      </w:r>
      <w:r w:rsidR="00084F48" w:rsidRPr="00B727FC">
        <w:rPr>
          <w:lang w:val="en-US"/>
        </w:rPr>
        <w:t>a uniform and reasonable manner</w:t>
      </w:r>
      <w:r w:rsidR="00AD290E">
        <w:rPr>
          <w:lang w:val="en-US"/>
        </w:rPr>
        <w:t>"</w:t>
      </w:r>
      <w:r w:rsidR="00084F48" w:rsidRPr="00B727FC">
        <w:t xml:space="preserve"> in violation of </w:t>
      </w:r>
      <w:r w:rsidR="00600721">
        <w:t>sub-</w:t>
      </w:r>
      <w:r w:rsidR="009C0AF9">
        <w:t xml:space="preserve">paragraph 3(a) of </w:t>
      </w:r>
      <w:r w:rsidR="00084F48" w:rsidRPr="00B727FC">
        <w:t>Article X of the GATT 1994.</w:t>
      </w:r>
      <w:r w:rsidR="00084F48" w:rsidRPr="00B727FC">
        <w:rPr>
          <w:rStyle w:val="FootnoteReference"/>
        </w:rPr>
        <w:footnoteReference w:id="1"/>
      </w:r>
      <w:r w:rsidR="00084F48" w:rsidRPr="00B727FC">
        <w:t xml:space="preserve"> Indonesia </w:t>
      </w:r>
      <w:r w:rsidR="00CA048B" w:rsidRPr="00B727FC">
        <w:t>argues</w:t>
      </w:r>
      <w:r w:rsidR="00084F48" w:rsidRPr="00B727FC">
        <w:t xml:space="preserve"> that</w:t>
      </w:r>
      <w:r w:rsidR="00B95849" w:rsidRPr="00B727FC">
        <w:t xml:space="preserve"> while</w:t>
      </w:r>
      <w:r w:rsidR="00084F48" w:rsidRPr="00B727FC">
        <w:t xml:space="preserve"> the factual circumstances of the two investigations were the same</w:t>
      </w:r>
      <w:r w:rsidR="00B95849" w:rsidRPr="00B727FC">
        <w:t xml:space="preserve">, </w:t>
      </w:r>
      <w:r w:rsidR="00084F48" w:rsidRPr="00B727FC">
        <w:t xml:space="preserve">the </w:t>
      </w:r>
      <w:r w:rsidR="00697F9E">
        <w:t>Commission</w:t>
      </w:r>
      <w:r w:rsidR="00F76BE7">
        <w:t xml:space="preserve"> </w:t>
      </w:r>
      <w:r w:rsidR="00084F48" w:rsidRPr="00B727FC">
        <w:t>treated the proceedings very differently.</w:t>
      </w:r>
      <w:r w:rsidR="00084F48" w:rsidRPr="00B727FC">
        <w:rPr>
          <w:rStyle w:val="FootnoteReference"/>
        </w:rPr>
        <w:footnoteReference w:id="2"/>
      </w:r>
      <w:r w:rsidR="00084F48" w:rsidRPr="00B727FC">
        <w:t xml:space="preserve"> </w:t>
      </w:r>
    </w:p>
    <w:p w14:paraId="7DB5A3AB" w14:textId="530CF108" w:rsidR="000D5FAE" w:rsidRDefault="0019113C" w:rsidP="00B95849">
      <w:pPr>
        <w:pStyle w:val="P1-N1Paragraph1-Number1"/>
      </w:pPr>
      <w:r w:rsidRPr="00B727FC">
        <w:t xml:space="preserve">The European Union </w:t>
      </w:r>
      <w:r w:rsidR="000969F7" w:rsidRPr="00B727FC">
        <w:t xml:space="preserve">disagrees with Indonesia’s claims relating to the alleged lack of </w:t>
      </w:r>
      <w:r w:rsidR="00AD290E">
        <w:t>"</w:t>
      </w:r>
      <w:r w:rsidR="000969F7" w:rsidRPr="00B727FC">
        <w:t>uniformity</w:t>
      </w:r>
      <w:r w:rsidR="00AD290E">
        <w:t>"</w:t>
      </w:r>
      <w:r w:rsidR="000969F7" w:rsidRPr="00B727FC">
        <w:t xml:space="preserve"> and </w:t>
      </w:r>
      <w:r w:rsidR="00AD290E">
        <w:t>"</w:t>
      </w:r>
      <w:r w:rsidR="000969F7" w:rsidRPr="00B727FC">
        <w:t>reasonableness</w:t>
      </w:r>
      <w:r w:rsidR="00AD290E">
        <w:t>"</w:t>
      </w:r>
      <w:r w:rsidR="000969F7" w:rsidRPr="00B727FC">
        <w:t xml:space="preserve"> </w:t>
      </w:r>
      <w:r w:rsidR="00435E3A" w:rsidRPr="00B727FC">
        <w:t>of</w:t>
      </w:r>
      <w:r w:rsidR="000969F7" w:rsidRPr="00B727FC">
        <w:t xml:space="preserve"> </w:t>
      </w:r>
      <w:r w:rsidR="00435E3A" w:rsidRPr="00B727FC">
        <w:t>th</w:t>
      </w:r>
      <w:r w:rsidR="000969F7" w:rsidRPr="00B727FC">
        <w:t>e</w:t>
      </w:r>
      <w:r w:rsidR="00435E3A" w:rsidRPr="00B727FC">
        <w:t xml:space="preserve"> </w:t>
      </w:r>
      <w:r w:rsidR="000969F7" w:rsidRPr="00B727FC">
        <w:t>Commission’s</w:t>
      </w:r>
      <w:r w:rsidR="00557586">
        <w:t xml:space="preserve"> determinations to continue the anti-dumping investigation and terminate the anti-subsidy investigation</w:t>
      </w:r>
      <w:r w:rsidR="00435E3A" w:rsidRPr="00B727FC">
        <w:rPr>
          <w:rStyle w:val="FootnoteReference"/>
        </w:rPr>
        <w:footnoteReference w:id="3"/>
      </w:r>
      <w:r w:rsidR="003E2930" w:rsidRPr="00B727FC">
        <w:t xml:space="preserve"> and submits the claim</w:t>
      </w:r>
      <w:r w:rsidR="00C37D37">
        <w:t>s are</w:t>
      </w:r>
      <w:r w:rsidR="003E2930" w:rsidRPr="00B727FC">
        <w:t xml:space="preserve"> entirely meri</w:t>
      </w:r>
      <w:r w:rsidR="00564349" w:rsidRPr="00B727FC">
        <w:t>tless</w:t>
      </w:r>
      <w:r w:rsidR="00182DD5" w:rsidRPr="00B727FC">
        <w:t>.</w:t>
      </w:r>
      <w:r w:rsidR="00564349" w:rsidRPr="00B727FC">
        <w:rPr>
          <w:rStyle w:val="FootnoteReference"/>
        </w:rPr>
        <w:footnoteReference w:id="4"/>
      </w:r>
      <w:r w:rsidR="000969F7" w:rsidRPr="00B727FC">
        <w:t xml:space="preserve"> </w:t>
      </w:r>
      <w:r w:rsidR="00182DD5" w:rsidRPr="00B727FC">
        <w:t xml:space="preserve"> </w:t>
      </w:r>
    </w:p>
    <w:p w14:paraId="23CC137C" w14:textId="77777777" w:rsidR="004C2659" w:rsidRDefault="004C2659" w:rsidP="004C2659">
      <w:pPr>
        <w:pStyle w:val="P1-N1Paragraph1-Number1"/>
        <w:numPr>
          <w:ilvl w:val="0"/>
          <w:numId w:val="0"/>
        </w:numPr>
      </w:pPr>
    </w:p>
    <w:p w14:paraId="1B3D8C0B" w14:textId="15B21970" w:rsidR="00C3366C" w:rsidRDefault="00C3366C" w:rsidP="00C3366C">
      <w:pPr>
        <w:pStyle w:val="P1-N1Paragraph1-Number1"/>
      </w:pPr>
      <w:r>
        <w:t>Australia considers that an</w:t>
      </w:r>
      <w:r w:rsidRPr="008878CF">
        <w:t xml:space="preserve"> examination of claims under </w:t>
      </w:r>
      <w:r w:rsidR="00F76BE7">
        <w:t>s</w:t>
      </w:r>
      <w:r w:rsidR="00600721">
        <w:t>ub-</w:t>
      </w:r>
      <w:r w:rsidR="009C0AF9">
        <w:t xml:space="preserve">paragraph 3(a) of </w:t>
      </w:r>
      <w:r w:rsidRPr="008878CF">
        <w:t xml:space="preserve">Article X </w:t>
      </w:r>
      <w:r w:rsidR="00930132">
        <w:rPr>
          <w:rFonts w:asciiTheme="minorHAnsi" w:hAnsiTheme="minorHAnsi" w:cstheme="minorHAnsi"/>
          <w:lang w:val="en-US"/>
        </w:rPr>
        <w:t>of the GATT 1994</w:t>
      </w:r>
      <w:r w:rsidR="00930132" w:rsidRPr="00F10D84">
        <w:rPr>
          <w:rFonts w:asciiTheme="minorHAnsi" w:hAnsiTheme="minorHAnsi"/>
          <w:lang w:val="en-US"/>
        </w:rPr>
        <w:t xml:space="preserve"> </w:t>
      </w:r>
      <w:r w:rsidRPr="008878CF">
        <w:t xml:space="preserve">requires </w:t>
      </w:r>
      <w:r>
        <w:t>the Panel to</w:t>
      </w:r>
      <w:r w:rsidRPr="008878CF">
        <w:t xml:space="preserve"> exercise a balanced judgment between the fundamental right </w:t>
      </w:r>
      <w:r>
        <w:t xml:space="preserve">of traders </w:t>
      </w:r>
      <w:r w:rsidRPr="008878CF">
        <w:t>to procedural fairness and the sovereign right afforded to Member</w:t>
      </w:r>
      <w:r>
        <w:t>s</w:t>
      </w:r>
      <w:r w:rsidRPr="008878CF">
        <w:t xml:space="preserve"> </w:t>
      </w:r>
      <w:r>
        <w:t>to</w:t>
      </w:r>
      <w:r w:rsidRPr="008878CF">
        <w:t xml:space="preserve"> manag</w:t>
      </w:r>
      <w:r>
        <w:t>e</w:t>
      </w:r>
      <w:r w:rsidRPr="008878CF">
        <w:t xml:space="preserve"> </w:t>
      </w:r>
      <w:r>
        <w:t>how</w:t>
      </w:r>
      <w:r w:rsidRPr="008878CF">
        <w:t xml:space="preserve"> they administer their laws and regulations.</w:t>
      </w:r>
      <w:r>
        <w:rPr>
          <w:rStyle w:val="FootnoteReference"/>
        </w:rPr>
        <w:footnoteReference w:id="5"/>
      </w:r>
      <w:r>
        <w:t xml:space="preserve"> </w:t>
      </w:r>
      <w:r w:rsidRPr="00B727FC">
        <w:t xml:space="preserve">Australia </w:t>
      </w:r>
      <w:r>
        <w:t>also considers</w:t>
      </w:r>
      <w:r w:rsidRPr="00B727FC">
        <w:t xml:space="preserve"> that non-uniformity or differences in administrative processes do not, by themselves, constitute a violation of </w:t>
      </w:r>
      <w:r w:rsidR="00600721">
        <w:t>sub-</w:t>
      </w:r>
      <w:r w:rsidR="009C0AF9">
        <w:t xml:space="preserve">paragraph 3(a) of </w:t>
      </w:r>
      <w:r w:rsidRPr="00B727FC">
        <w:t>Article X.</w:t>
      </w:r>
      <w:r w:rsidRPr="00B727FC">
        <w:rPr>
          <w:rStyle w:val="FootnoteReference"/>
        </w:rPr>
        <w:footnoteReference w:id="6"/>
      </w:r>
      <w:r w:rsidRPr="00B727FC">
        <w:t xml:space="preserve">  </w:t>
      </w:r>
    </w:p>
    <w:p w14:paraId="018F1134" w14:textId="242747CD" w:rsidR="00153D97" w:rsidRPr="00B727FC" w:rsidRDefault="00153D97" w:rsidP="00FC438C">
      <w:pPr>
        <w:pStyle w:val="P1-N1Paragraph1-Number1"/>
        <w:rPr>
          <w:rFonts w:asciiTheme="minorHAnsi" w:hAnsiTheme="minorHAnsi" w:cstheme="minorHAnsi"/>
        </w:rPr>
      </w:pPr>
      <w:r w:rsidRPr="00B727FC">
        <w:t xml:space="preserve">The term </w:t>
      </w:r>
      <w:r w:rsidR="00AD290E">
        <w:t>"</w:t>
      </w:r>
      <w:r w:rsidRPr="00B727FC">
        <w:t>uniform</w:t>
      </w:r>
      <w:r w:rsidR="00AD290E">
        <w:t>"</w:t>
      </w:r>
      <w:r w:rsidR="00C3366C">
        <w:t xml:space="preserve"> in</w:t>
      </w:r>
      <w:r w:rsidRPr="00B727FC">
        <w:t xml:space="preserve"> </w:t>
      </w:r>
      <w:r w:rsidR="00480631">
        <w:t>sub-</w:t>
      </w:r>
      <w:r w:rsidR="009C0AF9">
        <w:t xml:space="preserve">paragraph </w:t>
      </w:r>
      <w:r w:rsidR="00C3366C" w:rsidRPr="00B727FC">
        <w:t xml:space="preserve">3(a) </w:t>
      </w:r>
      <w:r w:rsidR="00CA4D9F">
        <w:t>has been</w:t>
      </w:r>
      <w:r w:rsidR="00CA4D9F" w:rsidRPr="00B727FC">
        <w:t xml:space="preserve"> </w:t>
      </w:r>
      <w:r w:rsidR="00B653DE">
        <w:t>interpreted to mean</w:t>
      </w:r>
      <w:r w:rsidRPr="00B727FC">
        <w:t xml:space="preserve"> </w:t>
      </w:r>
      <w:r w:rsidR="00AD290E">
        <w:t>"</w:t>
      </w:r>
      <w:r w:rsidRPr="00B727FC">
        <w:t>of one unchanging form, character, or kind; that is or stays the same in different places or circumstances, or at different times</w:t>
      </w:r>
      <w:r w:rsidR="00AD290E">
        <w:t>"</w:t>
      </w:r>
      <w:r w:rsidRPr="00B727FC">
        <w:t>.</w:t>
      </w:r>
      <w:r w:rsidRPr="00B727FC">
        <w:rPr>
          <w:rStyle w:val="FootnoteReference"/>
        </w:rPr>
        <w:footnoteReference w:id="7"/>
      </w:r>
      <w:r w:rsidRPr="00B727FC">
        <w:t xml:space="preserve"> </w:t>
      </w:r>
      <w:r w:rsidR="00A35E01" w:rsidRPr="00B727FC">
        <w:rPr>
          <w:rFonts w:asciiTheme="minorHAnsi" w:hAnsiTheme="minorHAnsi" w:cstheme="minorHAnsi"/>
        </w:rPr>
        <w:t>T</w:t>
      </w:r>
      <w:r w:rsidRPr="00B727FC">
        <w:rPr>
          <w:rFonts w:asciiTheme="minorHAnsi" w:hAnsiTheme="minorHAnsi" w:cstheme="minorHAnsi"/>
        </w:rPr>
        <w:t xml:space="preserve">he requirement of uniform administration of laws and regulations </w:t>
      </w:r>
      <w:r w:rsidR="00CA4D9F">
        <w:rPr>
          <w:rFonts w:asciiTheme="minorHAnsi" w:hAnsiTheme="minorHAnsi" w:cstheme="minorHAnsi"/>
        </w:rPr>
        <w:t>has been</w:t>
      </w:r>
      <w:r w:rsidR="00CA4D9F" w:rsidRPr="00B727FC">
        <w:rPr>
          <w:rFonts w:asciiTheme="minorHAnsi" w:hAnsiTheme="minorHAnsi" w:cstheme="minorHAnsi"/>
        </w:rPr>
        <w:t xml:space="preserve"> </w:t>
      </w:r>
      <w:r w:rsidRPr="00B727FC">
        <w:rPr>
          <w:rFonts w:asciiTheme="minorHAnsi" w:hAnsiTheme="minorHAnsi" w:cstheme="minorHAnsi"/>
        </w:rPr>
        <w:t xml:space="preserve">understood to mean </w:t>
      </w:r>
      <w:r w:rsidR="00B34546">
        <w:rPr>
          <w:lang w:val="en-US"/>
        </w:rPr>
        <w:t>"</w:t>
      </w:r>
      <w:r w:rsidRPr="00B727FC">
        <w:rPr>
          <w:rFonts w:asciiTheme="minorHAnsi" w:hAnsiTheme="minorHAnsi" w:cstheme="minorHAnsi"/>
        </w:rPr>
        <w:t>uniformity of treatment in respect of persons similarly situated</w:t>
      </w:r>
      <w:r w:rsidR="00AD290E">
        <w:t>"</w:t>
      </w:r>
      <w:r w:rsidRPr="00B727FC">
        <w:rPr>
          <w:rFonts w:asciiTheme="minorHAnsi" w:hAnsiTheme="minorHAnsi" w:cstheme="minorHAnsi"/>
        </w:rPr>
        <w:t>.</w:t>
      </w:r>
      <w:r w:rsidR="00601A93" w:rsidRPr="00B727FC">
        <w:rPr>
          <w:rStyle w:val="FootnoteReference"/>
          <w:rFonts w:asciiTheme="minorHAnsi" w:hAnsiTheme="minorHAnsi" w:cstheme="minorHAnsi"/>
        </w:rPr>
        <w:footnoteReference w:id="8"/>
      </w:r>
    </w:p>
    <w:p w14:paraId="5A5904F7" w14:textId="15B4FC1B" w:rsidR="0092545C" w:rsidRPr="00B727FC" w:rsidRDefault="00C50AAA" w:rsidP="000E5480">
      <w:pPr>
        <w:pStyle w:val="P1-N1Paragraph1-Number1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Panels have </w:t>
      </w:r>
      <w:r w:rsidR="00C3366C">
        <w:rPr>
          <w:rFonts w:asciiTheme="minorHAnsi" w:hAnsiTheme="minorHAnsi" w:cstheme="minorHAnsi"/>
          <w:lang w:val="en-US"/>
        </w:rPr>
        <w:t xml:space="preserve">also </w:t>
      </w:r>
      <w:r>
        <w:rPr>
          <w:rFonts w:asciiTheme="minorHAnsi" w:hAnsiTheme="minorHAnsi" w:cstheme="minorHAnsi"/>
          <w:lang w:val="en-US"/>
        </w:rPr>
        <w:t xml:space="preserve">found that </w:t>
      </w:r>
      <w:r w:rsidR="00AD290E">
        <w:t>"</w:t>
      </w:r>
      <w:r>
        <w:rPr>
          <w:rFonts w:asciiTheme="minorHAnsi" w:hAnsiTheme="minorHAnsi" w:cstheme="minorHAnsi"/>
          <w:lang w:val="en-US"/>
        </w:rPr>
        <w:t>uniform</w:t>
      </w:r>
      <w:r w:rsidR="00AD290E">
        <w:t>"</w:t>
      </w:r>
      <w:r>
        <w:rPr>
          <w:rFonts w:asciiTheme="minorHAnsi" w:hAnsiTheme="minorHAnsi" w:cstheme="minorHAnsi"/>
          <w:lang w:val="en-US"/>
        </w:rPr>
        <w:t xml:space="preserve"> administration under </w:t>
      </w:r>
      <w:r w:rsidR="00600721">
        <w:rPr>
          <w:rFonts w:asciiTheme="minorHAnsi" w:hAnsiTheme="minorHAnsi" w:cstheme="minorHAnsi"/>
          <w:lang w:val="en-US"/>
        </w:rPr>
        <w:t>sub-</w:t>
      </w:r>
      <w:r w:rsidR="009C0AF9">
        <w:t xml:space="preserve">paragraph 3(a) of </w:t>
      </w:r>
      <w:r>
        <w:rPr>
          <w:rFonts w:asciiTheme="minorHAnsi" w:hAnsiTheme="minorHAnsi" w:cstheme="minorHAnsi"/>
          <w:lang w:val="en-US"/>
        </w:rPr>
        <w:t>Article X requires that laws be applied in a consistent and predictable manner.</w:t>
      </w:r>
      <w:r w:rsidRPr="00B727FC">
        <w:rPr>
          <w:rStyle w:val="FootnoteReference"/>
          <w:rFonts w:cstheme="minorHAnsi"/>
          <w:lang w:val="en-US"/>
        </w:rPr>
        <w:footnoteReference w:id="9"/>
      </w:r>
      <w:r>
        <w:rPr>
          <w:rStyle w:val="FootnoteReference"/>
          <w:rFonts w:cstheme="minorHAnsi"/>
          <w:lang w:val="en-US"/>
        </w:rPr>
        <w:t xml:space="preserve"> </w:t>
      </w:r>
    </w:p>
    <w:p w14:paraId="592E4BBF" w14:textId="22265BBD" w:rsidR="00E05D7B" w:rsidRPr="00B727FC" w:rsidRDefault="00146203" w:rsidP="00E05D7B">
      <w:pPr>
        <w:pStyle w:val="P1-N1Paragraph1-Number1"/>
      </w:pPr>
      <w:r w:rsidRPr="00B727FC">
        <w:rPr>
          <w:rFonts w:asciiTheme="minorHAnsi" w:hAnsiTheme="minorHAnsi" w:cstheme="minorHAnsi"/>
        </w:rPr>
        <w:t xml:space="preserve">As </w:t>
      </w:r>
      <w:r w:rsidR="00C3366C">
        <w:rPr>
          <w:rFonts w:asciiTheme="minorHAnsi" w:hAnsiTheme="minorHAnsi" w:cstheme="minorHAnsi"/>
        </w:rPr>
        <w:t>for</w:t>
      </w:r>
      <w:r w:rsidR="00C3366C" w:rsidRPr="00B727FC">
        <w:rPr>
          <w:rFonts w:asciiTheme="minorHAnsi" w:hAnsiTheme="minorHAnsi" w:cstheme="minorHAnsi"/>
        </w:rPr>
        <w:t xml:space="preserve"> </w:t>
      </w:r>
      <w:r w:rsidRPr="00B727FC">
        <w:rPr>
          <w:rFonts w:asciiTheme="minorHAnsi" w:hAnsiTheme="minorHAnsi" w:cstheme="minorHAnsi"/>
        </w:rPr>
        <w:t>the</w:t>
      </w:r>
      <w:r w:rsidR="00E05D7B" w:rsidRPr="00B727FC">
        <w:rPr>
          <w:rFonts w:asciiTheme="minorHAnsi" w:hAnsiTheme="minorHAnsi" w:cstheme="minorHAnsi"/>
        </w:rPr>
        <w:t xml:space="preserve"> term </w:t>
      </w:r>
      <w:r w:rsidR="00AD290E">
        <w:t>"</w:t>
      </w:r>
      <w:r w:rsidR="00E05D7B" w:rsidRPr="00B727FC">
        <w:rPr>
          <w:rFonts w:asciiTheme="minorHAnsi" w:hAnsiTheme="minorHAnsi" w:cstheme="minorHAnsi"/>
        </w:rPr>
        <w:t>reasonable</w:t>
      </w:r>
      <w:r w:rsidR="00AD290E">
        <w:t>"</w:t>
      </w:r>
      <w:r w:rsidRPr="00B727FC">
        <w:rPr>
          <w:rFonts w:asciiTheme="minorHAnsi" w:hAnsiTheme="minorHAnsi" w:cstheme="minorHAnsi"/>
        </w:rPr>
        <w:t>, it</w:t>
      </w:r>
      <w:r w:rsidR="00E05D7B" w:rsidRPr="00B727FC">
        <w:rPr>
          <w:rFonts w:asciiTheme="minorHAnsi" w:hAnsiTheme="minorHAnsi" w:cstheme="minorHAnsi"/>
        </w:rPr>
        <w:t xml:space="preserve"> </w:t>
      </w:r>
      <w:r w:rsidR="00B84D55" w:rsidRPr="00B727FC">
        <w:rPr>
          <w:rFonts w:asciiTheme="minorHAnsi" w:hAnsiTheme="minorHAnsi" w:cstheme="minorHAnsi"/>
        </w:rPr>
        <w:t>has been</w:t>
      </w:r>
      <w:r w:rsidR="00E05D7B" w:rsidRPr="00B727FC">
        <w:rPr>
          <w:rFonts w:asciiTheme="minorHAnsi" w:hAnsiTheme="minorHAnsi" w:cstheme="minorHAnsi"/>
        </w:rPr>
        <w:t xml:space="preserve"> </w:t>
      </w:r>
      <w:r w:rsidR="008515D2">
        <w:rPr>
          <w:rFonts w:asciiTheme="minorHAnsi" w:hAnsiTheme="minorHAnsi" w:cstheme="minorHAnsi"/>
        </w:rPr>
        <w:t>interpreted to mean</w:t>
      </w:r>
      <w:r w:rsidR="002E31B5">
        <w:rPr>
          <w:rFonts w:asciiTheme="minorHAnsi" w:hAnsiTheme="minorHAnsi" w:cstheme="minorHAnsi"/>
        </w:rPr>
        <w:t xml:space="preserve"> </w:t>
      </w:r>
      <w:r w:rsidR="00AD290E">
        <w:t>"</w:t>
      </w:r>
      <w:r w:rsidR="00E05D7B" w:rsidRPr="00B727FC">
        <w:rPr>
          <w:rFonts w:asciiTheme="minorHAnsi" w:hAnsiTheme="minorHAnsi" w:cstheme="minorHAnsi"/>
        </w:rPr>
        <w:t>not irrational or absurd</w:t>
      </w:r>
      <w:r w:rsidR="00AD290E">
        <w:t>"</w:t>
      </w:r>
      <w:r w:rsidR="00E05D7B" w:rsidRPr="00B727FC">
        <w:rPr>
          <w:rFonts w:asciiTheme="minorHAnsi" w:hAnsiTheme="minorHAnsi" w:cstheme="minorHAnsi"/>
        </w:rPr>
        <w:t xml:space="preserve">, </w:t>
      </w:r>
      <w:r w:rsidR="00AD290E">
        <w:t>"</w:t>
      </w:r>
      <w:r w:rsidR="00E05D7B" w:rsidRPr="00B727FC">
        <w:rPr>
          <w:rFonts w:asciiTheme="minorHAnsi" w:hAnsiTheme="minorHAnsi" w:cstheme="minorHAnsi"/>
        </w:rPr>
        <w:t>proportionate</w:t>
      </w:r>
      <w:r w:rsidR="00AD290E">
        <w:t>"</w:t>
      </w:r>
      <w:r w:rsidR="00E05D7B" w:rsidRPr="00B727FC">
        <w:rPr>
          <w:rFonts w:asciiTheme="minorHAnsi" w:hAnsiTheme="minorHAnsi" w:cstheme="minorHAnsi"/>
        </w:rPr>
        <w:t xml:space="preserve">, and </w:t>
      </w:r>
      <w:r w:rsidR="00AD290E">
        <w:t>"</w:t>
      </w:r>
      <w:r w:rsidR="00E05D7B" w:rsidRPr="00B727FC">
        <w:rPr>
          <w:rFonts w:asciiTheme="minorHAnsi" w:hAnsiTheme="minorHAnsi" w:cstheme="minorHAnsi"/>
        </w:rPr>
        <w:t>within the limits of reason</w:t>
      </w:r>
      <w:r w:rsidR="00E05D7B" w:rsidRPr="00B727FC">
        <w:t>, not greatly less or more than might be thought likely or appropriate</w:t>
      </w:r>
      <w:r w:rsidR="00AD290E">
        <w:t>"</w:t>
      </w:r>
      <w:r w:rsidR="00E05D7B" w:rsidRPr="00B727FC">
        <w:t>.</w:t>
      </w:r>
      <w:r w:rsidR="00E05D7B" w:rsidRPr="00B727FC">
        <w:rPr>
          <w:rStyle w:val="FootnoteReference"/>
        </w:rPr>
        <w:footnoteReference w:id="10"/>
      </w:r>
      <w:r w:rsidR="00E05D7B" w:rsidRPr="00B727FC">
        <w:t xml:space="preserve"> In </w:t>
      </w:r>
      <w:r w:rsidR="00E05D7B" w:rsidRPr="00B727FC">
        <w:rPr>
          <w:i/>
          <w:iCs/>
        </w:rPr>
        <w:t>US – COOL</w:t>
      </w:r>
      <w:r w:rsidR="00E05D7B" w:rsidRPr="00B727FC">
        <w:t xml:space="preserve">, the Panel found that whether an act of administration can be considered reasonable within the meaning of </w:t>
      </w:r>
      <w:r w:rsidR="00600721">
        <w:t>sub-</w:t>
      </w:r>
      <w:r w:rsidR="009C0AF9">
        <w:t xml:space="preserve">paragraph 3(a) of </w:t>
      </w:r>
      <w:r w:rsidR="00E05D7B" w:rsidRPr="00B727FC">
        <w:t xml:space="preserve">Article X entailed </w:t>
      </w:r>
      <w:r w:rsidR="00AD290E">
        <w:t>"</w:t>
      </w:r>
      <w:r w:rsidR="00E05D7B" w:rsidRPr="00E94AEB">
        <w:t xml:space="preserve">a </w:t>
      </w:r>
      <w:r w:rsidR="00E05D7B" w:rsidRPr="00F1730F">
        <w:t>consideration of factual circumstances specific to each case</w:t>
      </w:r>
      <w:r w:rsidR="00AD290E">
        <w:t>"</w:t>
      </w:r>
      <w:r w:rsidR="005C35B1">
        <w:t>.</w:t>
      </w:r>
      <w:r w:rsidR="00E05D7B" w:rsidRPr="00B727FC">
        <w:rPr>
          <w:rStyle w:val="FootnoteReference"/>
        </w:rPr>
        <w:footnoteReference w:id="11"/>
      </w:r>
      <w:r w:rsidR="00F75821">
        <w:t xml:space="preserve"> </w:t>
      </w:r>
      <w:r w:rsidR="00E05D7B" w:rsidRPr="00B727FC">
        <w:t xml:space="preserve"> </w:t>
      </w:r>
    </w:p>
    <w:p w14:paraId="028A0262" w14:textId="60458D0D" w:rsidR="00D3136C" w:rsidRDefault="00691998" w:rsidP="00607136">
      <w:pPr>
        <w:pStyle w:val="P1-N1Paragraph1-Number1"/>
      </w:pPr>
      <w:r w:rsidRPr="00B727FC">
        <w:t>In the case before the Panel, t</w:t>
      </w:r>
      <w:r w:rsidR="00564349" w:rsidRPr="00B727FC">
        <w:t xml:space="preserve">he </w:t>
      </w:r>
      <w:r w:rsidR="002362D4" w:rsidRPr="00B727FC">
        <w:t xml:space="preserve">European Union </w:t>
      </w:r>
      <w:r w:rsidR="00221803" w:rsidRPr="00B727FC">
        <w:t>argues</w:t>
      </w:r>
      <w:r w:rsidR="00564349" w:rsidRPr="00B727FC">
        <w:t xml:space="preserve"> there were </w:t>
      </w:r>
      <w:r w:rsidR="00AD290E">
        <w:t>"</w:t>
      </w:r>
      <w:r w:rsidR="00564349" w:rsidRPr="00B727FC">
        <w:t>manifest differences</w:t>
      </w:r>
      <w:r w:rsidR="00AD290E">
        <w:t>"</w:t>
      </w:r>
      <w:r w:rsidR="0063490E">
        <w:rPr>
          <w:rStyle w:val="FootnoteReference"/>
        </w:rPr>
        <w:footnoteReference w:id="12"/>
      </w:r>
      <w:r w:rsidR="00564349" w:rsidRPr="00B727FC">
        <w:t xml:space="preserve"> between the </w:t>
      </w:r>
      <w:r w:rsidR="0014352C">
        <w:t>anti-subsidy and anti-dumping</w:t>
      </w:r>
      <w:r w:rsidR="00564349" w:rsidRPr="00B727FC">
        <w:t xml:space="preserve"> </w:t>
      </w:r>
      <w:r w:rsidR="0014352C">
        <w:t>proceedings</w:t>
      </w:r>
      <w:r w:rsidR="00607136">
        <w:t xml:space="preserve">. </w:t>
      </w:r>
    </w:p>
    <w:p w14:paraId="50A352E3" w14:textId="77777777" w:rsidR="004C2659" w:rsidRDefault="004C2659" w:rsidP="004C2659">
      <w:pPr>
        <w:pStyle w:val="P1-N1Paragraph1-Number1"/>
        <w:numPr>
          <w:ilvl w:val="0"/>
          <w:numId w:val="0"/>
        </w:numPr>
      </w:pPr>
    </w:p>
    <w:p w14:paraId="1D07FE5B" w14:textId="77777777" w:rsidR="004C2659" w:rsidRDefault="004C2659" w:rsidP="004C2659">
      <w:pPr>
        <w:pStyle w:val="P1-N1Paragraph1-Number1"/>
        <w:numPr>
          <w:ilvl w:val="0"/>
          <w:numId w:val="0"/>
        </w:numPr>
      </w:pPr>
    </w:p>
    <w:p w14:paraId="4BDC9D99" w14:textId="77777777" w:rsidR="004C2659" w:rsidRDefault="004C2659" w:rsidP="004C2659">
      <w:pPr>
        <w:pStyle w:val="P1-N1Paragraph1-Number1"/>
        <w:numPr>
          <w:ilvl w:val="0"/>
          <w:numId w:val="0"/>
        </w:numPr>
      </w:pPr>
    </w:p>
    <w:p w14:paraId="2E25FAC7" w14:textId="11C7F693" w:rsidR="00607136" w:rsidRPr="00043054" w:rsidRDefault="001E4626" w:rsidP="00607136">
      <w:pPr>
        <w:pStyle w:val="P1-N1Paragraph1-Number1"/>
      </w:pPr>
      <w:r>
        <w:t>According to the European Union, t</w:t>
      </w:r>
      <w:r w:rsidR="00607136">
        <w:t xml:space="preserve">he primary differentiating factor was </w:t>
      </w:r>
      <w:r w:rsidR="00564349" w:rsidRPr="00B727FC">
        <w:t xml:space="preserve">the phases of the </w:t>
      </w:r>
      <w:r w:rsidR="007311BD">
        <w:t xml:space="preserve">respective </w:t>
      </w:r>
      <w:r w:rsidR="00564349" w:rsidRPr="00B727FC">
        <w:t>investigation</w:t>
      </w:r>
      <w:r w:rsidR="007311BD">
        <w:t>s at the time of the withdrawal of the complaints</w:t>
      </w:r>
      <w:r w:rsidR="00607136">
        <w:t>.</w:t>
      </w:r>
      <w:r w:rsidR="00564349" w:rsidRPr="00B727FC">
        <w:rPr>
          <w:rStyle w:val="FootnoteReference"/>
        </w:rPr>
        <w:footnoteReference w:id="13"/>
      </w:r>
      <w:r w:rsidR="00607136">
        <w:t xml:space="preserve"> </w:t>
      </w:r>
      <w:r w:rsidR="007D2D5E" w:rsidRPr="00607136">
        <w:t>The two investigations were around six months apart.</w:t>
      </w:r>
      <w:r w:rsidR="00F3701C">
        <w:rPr>
          <w:rStyle w:val="FootnoteReference"/>
        </w:rPr>
        <w:footnoteReference w:id="14"/>
      </w:r>
      <w:r w:rsidR="00F3701C">
        <w:t xml:space="preserve"> </w:t>
      </w:r>
      <w:r w:rsidR="0093397E">
        <w:rPr>
          <w:lang w:val="en-US"/>
        </w:rPr>
        <w:t>I</w:t>
      </w:r>
      <w:r w:rsidR="00607136" w:rsidRPr="00607136">
        <w:t xml:space="preserve">n the anti-dumping investigation, the withdrawal took place after dumping, injury and causation had been preliminarily established. In the anti-subsidy investigation, the Commission had not reached any finding of the existence of subsidisation. </w:t>
      </w:r>
      <w:r w:rsidR="00D3136C" w:rsidRPr="00043054">
        <w:t xml:space="preserve">As such, the decision </w:t>
      </w:r>
      <w:r w:rsidR="007D2D5E" w:rsidRPr="00043054">
        <w:t xml:space="preserve">required </w:t>
      </w:r>
      <w:r w:rsidR="00D3136C" w:rsidRPr="00043054">
        <w:t xml:space="preserve">in the anti-dumping investigation was whether to impose measures and the decision </w:t>
      </w:r>
      <w:r w:rsidR="007D2D5E" w:rsidRPr="00043054">
        <w:t xml:space="preserve">required </w:t>
      </w:r>
      <w:r w:rsidR="00D3136C" w:rsidRPr="00043054">
        <w:t>in the anti-subsidy investigation was whether to investigate.</w:t>
      </w:r>
      <w:r w:rsidR="00D3136C" w:rsidRPr="00043054">
        <w:rPr>
          <w:rStyle w:val="FootnoteReference"/>
        </w:rPr>
        <w:footnoteReference w:id="15"/>
      </w:r>
    </w:p>
    <w:p w14:paraId="3DDF1709" w14:textId="3287A343" w:rsidR="006D6319" w:rsidRDefault="00607136" w:rsidP="00607136">
      <w:pPr>
        <w:pStyle w:val="P1-N1Paragraph1-Number1"/>
      </w:pPr>
      <w:r>
        <w:t xml:space="preserve">The European Union also </w:t>
      </w:r>
      <w:r w:rsidR="002D2C8C">
        <w:t xml:space="preserve">notes </w:t>
      </w:r>
      <w:r>
        <w:t xml:space="preserve">that </w:t>
      </w:r>
      <w:r w:rsidR="002D2C8C">
        <w:t xml:space="preserve">there </w:t>
      </w:r>
      <w:r>
        <w:t xml:space="preserve">were differing </w:t>
      </w:r>
      <w:r w:rsidR="00564349" w:rsidRPr="00B727FC">
        <w:t>reason</w:t>
      </w:r>
      <w:r>
        <w:t>s</w:t>
      </w:r>
      <w:r w:rsidR="00564349" w:rsidRPr="00B727FC">
        <w:t xml:space="preserve"> provided by CUFTA for the withdrawal of the </w:t>
      </w:r>
      <w:r w:rsidR="007311BD">
        <w:t xml:space="preserve">respective </w:t>
      </w:r>
      <w:r w:rsidR="00564349" w:rsidRPr="00B727FC">
        <w:t>complaints</w:t>
      </w:r>
      <w:r>
        <w:t xml:space="preserve">. The </w:t>
      </w:r>
      <w:r w:rsidR="00AD290E">
        <w:t>"</w:t>
      </w:r>
      <w:r>
        <w:t xml:space="preserve">influence </w:t>
      </w:r>
      <w:r w:rsidR="005324BD">
        <w:t xml:space="preserve">from </w:t>
      </w:r>
      <w:r>
        <w:t>stakeholder</w:t>
      </w:r>
      <w:r w:rsidR="005324BD">
        <w:t>s</w:t>
      </w:r>
      <w:r w:rsidR="00AD290E">
        <w:t>"</w:t>
      </w:r>
      <w:r>
        <w:t xml:space="preserve"> was </w:t>
      </w:r>
      <w:r w:rsidR="007D2D5E">
        <w:t xml:space="preserve">given as </w:t>
      </w:r>
      <w:r>
        <w:t xml:space="preserve">a factor in the withdrawal of </w:t>
      </w:r>
      <w:r w:rsidR="007D2D5E">
        <w:t>the</w:t>
      </w:r>
      <w:r w:rsidR="00D3136C">
        <w:t xml:space="preserve"> anti-dumping </w:t>
      </w:r>
      <w:r>
        <w:t xml:space="preserve">complaint </w:t>
      </w:r>
      <w:r w:rsidR="00D3136C">
        <w:t xml:space="preserve">but </w:t>
      </w:r>
      <w:r>
        <w:t xml:space="preserve">was not raised </w:t>
      </w:r>
      <w:r w:rsidR="007D2D5E">
        <w:t>with respect to the</w:t>
      </w:r>
      <w:r w:rsidR="00D3136C">
        <w:t xml:space="preserve"> withdrawal of </w:t>
      </w:r>
      <w:r>
        <w:t xml:space="preserve">the anti-subsidy </w:t>
      </w:r>
      <w:r w:rsidR="00D3136C">
        <w:t>complaint</w:t>
      </w:r>
      <w:r>
        <w:t>.</w:t>
      </w:r>
      <w:r w:rsidR="00564349" w:rsidRPr="00B727FC">
        <w:rPr>
          <w:rStyle w:val="FootnoteReference"/>
        </w:rPr>
        <w:footnoteReference w:id="16"/>
      </w:r>
      <w:r>
        <w:t xml:space="preserve"> </w:t>
      </w:r>
    </w:p>
    <w:p w14:paraId="2915F9EC" w14:textId="75DFA01F" w:rsidR="000635B2" w:rsidRPr="00B727FC" w:rsidRDefault="00952D05" w:rsidP="00F1730F">
      <w:pPr>
        <w:pStyle w:val="P1-N1Paragraph1-Number1"/>
      </w:pPr>
      <w:r>
        <w:t xml:space="preserve">In Australia’s view, uniform </w:t>
      </w:r>
      <w:r w:rsidR="005839E6">
        <w:t>and reasonable administration</w:t>
      </w:r>
      <w:r w:rsidR="00E44624">
        <w:t>,</w:t>
      </w:r>
      <w:r w:rsidR="005839E6">
        <w:t xml:space="preserve"> </w:t>
      </w:r>
      <w:r w:rsidR="004C4E2C">
        <w:t xml:space="preserve">consistent with </w:t>
      </w:r>
      <w:r w:rsidR="008D4D70">
        <w:t>sub-</w:t>
      </w:r>
      <w:r w:rsidR="0045115D">
        <w:t xml:space="preserve">paragraph 3(a) of </w:t>
      </w:r>
      <w:r w:rsidR="004C4E2C">
        <w:t>Article</w:t>
      </w:r>
      <w:r w:rsidR="0045115D">
        <w:t> </w:t>
      </w:r>
      <w:r w:rsidR="004C4E2C">
        <w:t xml:space="preserve">X of the GATT 1994 </w:t>
      </w:r>
      <w:r w:rsidR="00C3366C">
        <w:t xml:space="preserve">does not </w:t>
      </w:r>
      <w:r w:rsidR="005839E6">
        <w:t xml:space="preserve">require an investigating authority to reach identical results where the </w:t>
      </w:r>
      <w:r w:rsidR="00C3366C">
        <w:t>circumstance</w:t>
      </w:r>
      <w:r w:rsidR="00AD6039">
        <w:t xml:space="preserve">s </w:t>
      </w:r>
      <w:r w:rsidR="00C3366C">
        <w:t xml:space="preserve">are </w:t>
      </w:r>
      <w:r w:rsidR="00AD6039">
        <w:t>differ</w:t>
      </w:r>
      <w:r w:rsidR="00C3366C">
        <w:t>ent</w:t>
      </w:r>
      <w:r w:rsidR="00AD6039">
        <w:t xml:space="preserve">, as </w:t>
      </w:r>
      <w:r w:rsidR="00F76BE7">
        <w:t>asserted by the European Union</w:t>
      </w:r>
      <w:r w:rsidR="00C3366C">
        <w:t xml:space="preserve"> </w:t>
      </w:r>
      <w:r w:rsidR="00AD6039">
        <w:t>in this case.</w:t>
      </w:r>
      <w:r w:rsidR="00B90073">
        <w:rPr>
          <w:rStyle w:val="FootnoteReference"/>
        </w:rPr>
        <w:footnoteReference w:id="17"/>
      </w:r>
      <w:r w:rsidR="00AD6039">
        <w:t xml:space="preserve"> </w:t>
      </w:r>
    </w:p>
    <w:p w14:paraId="294FE1A9" w14:textId="6B6E6377" w:rsidR="005A1A59" w:rsidRPr="005A1A59" w:rsidRDefault="003B4FBD" w:rsidP="005A1A59">
      <w:pPr>
        <w:pStyle w:val="HL1HeadingLevel1"/>
        <w:numPr>
          <w:ilvl w:val="0"/>
          <w:numId w:val="9"/>
        </w:numPr>
      </w:pPr>
      <w:bookmarkStart w:id="8" w:name="_Toc211353382"/>
      <w:r>
        <w:rPr>
          <w:caps w:val="0"/>
        </w:rPr>
        <w:t>WITHDRAWAL OF A COMPLAINT UNDER THE ANTI-DUMPING AGREEMENT</w:t>
      </w:r>
      <w:bookmarkEnd w:id="8"/>
      <w:r>
        <w:rPr>
          <w:caps w:val="0"/>
        </w:rPr>
        <w:t xml:space="preserve"> </w:t>
      </w:r>
    </w:p>
    <w:p w14:paraId="52DE4400" w14:textId="2D7ED8FE" w:rsidR="00A938AA" w:rsidRDefault="0045388E" w:rsidP="00A938AA">
      <w:pPr>
        <w:pStyle w:val="P1-N1Paragraph1-Number1"/>
      </w:pPr>
      <w:r w:rsidRPr="00B727FC">
        <w:t xml:space="preserve">Indonesia </w:t>
      </w:r>
      <w:r w:rsidR="00676526">
        <w:t xml:space="preserve">also </w:t>
      </w:r>
      <w:r w:rsidR="00B576A4" w:rsidRPr="00B727FC">
        <w:t>claims</w:t>
      </w:r>
      <w:r w:rsidR="00C71E9E" w:rsidRPr="00B727FC">
        <w:t xml:space="preserve"> </w:t>
      </w:r>
      <w:r w:rsidR="002759EF" w:rsidRPr="00B727FC">
        <w:t>that the European Union</w:t>
      </w:r>
      <w:r w:rsidR="00C71E9E" w:rsidRPr="00B727FC">
        <w:t xml:space="preserve"> violated Article 5.6 of the </w:t>
      </w:r>
      <w:r w:rsidR="00C71E9E" w:rsidRPr="009577E4">
        <w:t xml:space="preserve">Anti-Dumping Agreement </w:t>
      </w:r>
      <w:r w:rsidR="00C71E9E" w:rsidRPr="00B727FC">
        <w:t>because it proceeded with its investigation following the withdrawal of the complaint, without a separate determination that the conditions in that provision were satisfied.</w:t>
      </w:r>
      <w:r w:rsidR="002759EF" w:rsidRPr="00B727FC">
        <w:rPr>
          <w:rStyle w:val="FootnoteReference"/>
        </w:rPr>
        <w:footnoteReference w:id="18"/>
      </w:r>
      <w:r w:rsidR="00C71E9E" w:rsidRPr="00B727FC">
        <w:t xml:space="preserve"> </w:t>
      </w:r>
    </w:p>
    <w:p w14:paraId="204EE4F0" w14:textId="77777777" w:rsidR="006B5321" w:rsidRDefault="006B5321" w:rsidP="006B5321">
      <w:pPr>
        <w:pStyle w:val="P1-N1Paragraph1-Number1"/>
        <w:numPr>
          <w:ilvl w:val="0"/>
          <w:numId w:val="0"/>
        </w:numPr>
      </w:pPr>
    </w:p>
    <w:p w14:paraId="61E391C0" w14:textId="77777777" w:rsidR="006B5321" w:rsidRPr="00B727FC" w:rsidRDefault="006B5321" w:rsidP="006B5321">
      <w:pPr>
        <w:pStyle w:val="P1-N1Paragraph1-Number1"/>
        <w:numPr>
          <w:ilvl w:val="0"/>
          <w:numId w:val="0"/>
        </w:numPr>
      </w:pPr>
    </w:p>
    <w:p w14:paraId="467514B3" w14:textId="3222DC7F" w:rsidR="00CF7F16" w:rsidRPr="00B727FC" w:rsidRDefault="00CF7F16" w:rsidP="00D85A1F">
      <w:pPr>
        <w:pStyle w:val="P1-N1Paragraph1-Number1"/>
      </w:pPr>
      <w:r w:rsidRPr="00B727FC">
        <w:t xml:space="preserve">Indonesia </w:t>
      </w:r>
      <w:r w:rsidR="00E136AC" w:rsidRPr="00B727FC">
        <w:t>argues</w:t>
      </w:r>
      <w:r w:rsidRPr="00B727FC">
        <w:t xml:space="preserve"> </w:t>
      </w:r>
      <w:r w:rsidR="00304092" w:rsidRPr="00B727FC">
        <w:t xml:space="preserve">the withdrawal </w:t>
      </w:r>
      <w:r w:rsidR="00171E0E">
        <w:t xml:space="preserve">of the complaint </w:t>
      </w:r>
      <w:r w:rsidR="00304092" w:rsidRPr="00B727FC">
        <w:t xml:space="preserve">amounted to a </w:t>
      </w:r>
      <w:r w:rsidR="00AD290E">
        <w:t>"</w:t>
      </w:r>
      <w:r w:rsidR="00304092" w:rsidRPr="00B727FC">
        <w:t>change</w:t>
      </w:r>
      <w:r w:rsidR="00AD290E">
        <w:t>"</w:t>
      </w:r>
      <w:r w:rsidR="00304092" w:rsidRPr="00B727FC">
        <w:t xml:space="preserve"> in the factual circumstances </w:t>
      </w:r>
      <w:r w:rsidR="00150C71" w:rsidRPr="00B727FC">
        <w:t xml:space="preserve">and the European Union was required to </w:t>
      </w:r>
      <w:r w:rsidR="00AD290E">
        <w:t>"</w:t>
      </w:r>
      <w:r w:rsidR="00150C71" w:rsidRPr="00B727FC">
        <w:t>promptly</w:t>
      </w:r>
      <w:r w:rsidR="00AD290E">
        <w:t>"</w:t>
      </w:r>
      <w:r w:rsidR="00A541CA" w:rsidRPr="00B727FC">
        <w:t xml:space="preserve"> make a new determination as to whether the </w:t>
      </w:r>
      <w:r w:rsidR="00AD290E">
        <w:t>"</w:t>
      </w:r>
      <w:r w:rsidR="00A541CA" w:rsidRPr="00B727FC">
        <w:t>continuation</w:t>
      </w:r>
      <w:r w:rsidR="00AD290E">
        <w:t>"</w:t>
      </w:r>
      <w:r w:rsidR="00A541CA" w:rsidRPr="00B727FC">
        <w:t xml:space="preserve"> of the investigation remained justified or whether </w:t>
      </w:r>
      <w:r w:rsidR="00AD290E">
        <w:t>"</w:t>
      </w:r>
      <w:r w:rsidR="00A541CA" w:rsidRPr="00B727FC">
        <w:t>termination</w:t>
      </w:r>
      <w:r w:rsidR="00AD290E">
        <w:t>"</w:t>
      </w:r>
      <w:r w:rsidR="00A541CA" w:rsidRPr="00B727FC">
        <w:t xml:space="preserve"> was required</w:t>
      </w:r>
      <w:r w:rsidR="00701430">
        <w:t xml:space="preserve"> under Article 5.8</w:t>
      </w:r>
      <w:r w:rsidR="00A541CA" w:rsidRPr="00B727FC">
        <w:t>.</w:t>
      </w:r>
      <w:r w:rsidR="00A541CA" w:rsidRPr="00B727FC">
        <w:rPr>
          <w:rStyle w:val="FootnoteReference"/>
        </w:rPr>
        <w:footnoteReference w:id="19"/>
      </w:r>
      <w:r w:rsidR="009C70A1" w:rsidRPr="00B727FC">
        <w:t xml:space="preserve"> Indonesia claims that </w:t>
      </w:r>
      <w:r w:rsidR="00AB5D80" w:rsidRPr="00B727FC">
        <w:t xml:space="preserve">the investigation could only proceed as an </w:t>
      </w:r>
      <w:r w:rsidR="00AB5D80" w:rsidRPr="00B727FC">
        <w:rPr>
          <w:i/>
          <w:iCs/>
        </w:rPr>
        <w:t xml:space="preserve">ex officio </w:t>
      </w:r>
      <w:r w:rsidR="00AB5D80" w:rsidRPr="00B727FC">
        <w:t>investigation</w:t>
      </w:r>
      <w:r w:rsidR="00701430">
        <w:t xml:space="preserve"> under Article 5.6</w:t>
      </w:r>
      <w:r w:rsidR="00AB5D80" w:rsidRPr="00B727FC">
        <w:t>.</w:t>
      </w:r>
      <w:r w:rsidR="00AB5D80" w:rsidRPr="00B727FC">
        <w:rPr>
          <w:rStyle w:val="FootnoteReference"/>
        </w:rPr>
        <w:footnoteReference w:id="20"/>
      </w:r>
    </w:p>
    <w:p w14:paraId="28D49786" w14:textId="6D4219A2" w:rsidR="00F34439" w:rsidRPr="00B727FC" w:rsidRDefault="00450BC8" w:rsidP="00D85A1F">
      <w:pPr>
        <w:pStyle w:val="P1-N1Paragraph1-Number1"/>
      </w:pPr>
      <w:r w:rsidRPr="00B727FC">
        <w:t>The E</w:t>
      </w:r>
      <w:r w:rsidR="00A938AA" w:rsidRPr="00B727FC">
        <w:t xml:space="preserve">uropean Union argues that </w:t>
      </w:r>
      <w:r w:rsidR="00F34439" w:rsidRPr="00B727FC">
        <w:t xml:space="preserve">the claim is based on an </w:t>
      </w:r>
      <w:r w:rsidR="00AD290E">
        <w:t>"</w:t>
      </w:r>
      <w:r w:rsidR="00F34439" w:rsidRPr="00B727FC">
        <w:t>erroneous interpretation</w:t>
      </w:r>
      <w:r w:rsidR="00AD290E">
        <w:t>"</w:t>
      </w:r>
      <w:r w:rsidR="00F34439" w:rsidRPr="00B727FC">
        <w:t xml:space="preserve"> of the Anti-Dumping Agreement</w:t>
      </w:r>
      <w:r w:rsidR="0033206F" w:rsidRPr="00B727FC">
        <w:rPr>
          <w:rStyle w:val="FootnoteReference"/>
        </w:rPr>
        <w:footnoteReference w:id="21"/>
      </w:r>
      <w:r w:rsidR="00A41678" w:rsidRPr="00B727FC">
        <w:t xml:space="preserve"> a</w:t>
      </w:r>
      <w:r w:rsidR="00CF37CA" w:rsidRPr="00B727FC">
        <w:t>nd is not supported by the text and context of Article 5.6.</w:t>
      </w:r>
      <w:r w:rsidR="00CF37CA" w:rsidRPr="00B727FC">
        <w:rPr>
          <w:rStyle w:val="FootnoteReference"/>
        </w:rPr>
        <w:footnoteReference w:id="22"/>
      </w:r>
      <w:r w:rsidR="00F34439" w:rsidRPr="00B727FC">
        <w:t xml:space="preserve"> </w:t>
      </w:r>
    </w:p>
    <w:p w14:paraId="5375A1EF" w14:textId="74CF3F7F" w:rsidR="00FB54FC" w:rsidRPr="00B727FC" w:rsidRDefault="00FB54FC" w:rsidP="00D85A1F">
      <w:pPr>
        <w:pStyle w:val="P1-N1Paragraph1-Number1"/>
      </w:pPr>
      <w:r w:rsidRPr="00B727FC">
        <w:t xml:space="preserve">As noted by Indonesia, </w:t>
      </w:r>
      <w:r w:rsidR="009B6E74" w:rsidRPr="00B727FC">
        <w:t>the</w:t>
      </w:r>
      <w:r w:rsidR="00243ED7">
        <w:t xml:space="preserve"> situation of a </w:t>
      </w:r>
      <w:r w:rsidR="00171E0E">
        <w:t xml:space="preserve">withdrawn complaint that is currently before the Panel </w:t>
      </w:r>
      <w:r w:rsidR="004754D0">
        <w:t>is not contemplated by the</w:t>
      </w:r>
      <w:r w:rsidR="009B6E74" w:rsidRPr="00B727FC">
        <w:t xml:space="preserve"> Anti-Dumping Agreement</w:t>
      </w:r>
      <w:r w:rsidRPr="00B727FC">
        <w:t>.</w:t>
      </w:r>
      <w:r w:rsidRPr="00B727FC">
        <w:rPr>
          <w:rStyle w:val="FootnoteReference"/>
        </w:rPr>
        <w:footnoteReference w:id="23"/>
      </w:r>
      <w:r w:rsidR="00D43FBF">
        <w:t xml:space="preserve">  </w:t>
      </w:r>
    </w:p>
    <w:p w14:paraId="223480F6" w14:textId="293D1C2F" w:rsidR="00864C66" w:rsidRDefault="00C71C97" w:rsidP="000A39E7">
      <w:pPr>
        <w:pStyle w:val="P1-N1Paragraph1-Number1"/>
      </w:pPr>
      <w:r w:rsidRPr="00B727FC">
        <w:t>Article 5.6 of the Anti-Dumping Agreement</w:t>
      </w:r>
      <w:r w:rsidR="009C3E62" w:rsidRPr="00B727FC">
        <w:t xml:space="preserve"> </w:t>
      </w:r>
      <w:r w:rsidR="007B023C">
        <w:t xml:space="preserve">expressly </w:t>
      </w:r>
      <w:r w:rsidR="00685AA9" w:rsidRPr="00B727FC">
        <w:t>appl</w:t>
      </w:r>
      <w:r w:rsidR="008D54B7" w:rsidRPr="00B727FC">
        <w:t>ies</w:t>
      </w:r>
      <w:r w:rsidR="00685AA9" w:rsidRPr="00F10D84">
        <w:t xml:space="preserve"> in </w:t>
      </w:r>
      <w:r w:rsidR="00AD290E">
        <w:t>"</w:t>
      </w:r>
      <w:r w:rsidR="00B97426" w:rsidRPr="00F10D84">
        <w:t>special circumstances</w:t>
      </w:r>
      <w:r w:rsidR="00AD290E">
        <w:t>"</w:t>
      </w:r>
      <w:r w:rsidR="00B97426" w:rsidRPr="00B727FC">
        <w:t xml:space="preserve"> </w:t>
      </w:r>
      <w:r w:rsidR="00837B44">
        <w:t xml:space="preserve">where the authorities of a Member decide </w:t>
      </w:r>
      <w:r w:rsidR="00974A8E" w:rsidRPr="00B727FC">
        <w:t>to</w:t>
      </w:r>
      <w:r w:rsidR="00B97426" w:rsidRPr="00B727FC">
        <w:t xml:space="preserve"> </w:t>
      </w:r>
      <w:r w:rsidR="00AD290E">
        <w:t>"</w:t>
      </w:r>
      <w:r w:rsidR="0085187C" w:rsidRPr="00B727FC">
        <w:t>initiat</w:t>
      </w:r>
      <w:r w:rsidR="00974A8E" w:rsidRPr="00B727FC">
        <w:t>e</w:t>
      </w:r>
      <w:r w:rsidR="00AD290E">
        <w:t>"</w:t>
      </w:r>
      <w:r w:rsidR="0085187C" w:rsidRPr="00B727FC">
        <w:t xml:space="preserve"> </w:t>
      </w:r>
      <w:r w:rsidR="00831142" w:rsidRPr="00B727FC">
        <w:t xml:space="preserve">an </w:t>
      </w:r>
      <w:r w:rsidR="00837B44">
        <w:t xml:space="preserve">anti-dumping </w:t>
      </w:r>
      <w:r w:rsidR="00831142" w:rsidRPr="00B727FC">
        <w:t>investigation</w:t>
      </w:r>
      <w:r w:rsidR="00D10A98" w:rsidRPr="00B727FC">
        <w:t xml:space="preserve"> without </w:t>
      </w:r>
      <w:r w:rsidR="00837B44">
        <w:t>having received</w:t>
      </w:r>
      <w:r w:rsidR="00D10A98" w:rsidRPr="00B727FC">
        <w:t xml:space="preserve"> a written application</w:t>
      </w:r>
      <w:r w:rsidR="00837B44">
        <w:t xml:space="preserve"> by or on behalf of a domestic industry</w:t>
      </w:r>
      <w:r w:rsidR="00CF7F16" w:rsidRPr="00B727FC">
        <w:t>.</w:t>
      </w:r>
      <w:r w:rsidR="000A39E7">
        <w:t xml:space="preserve"> </w:t>
      </w:r>
    </w:p>
    <w:p w14:paraId="08F84C1A" w14:textId="4DC3D8E8" w:rsidR="00864C66" w:rsidRDefault="00864C66" w:rsidP="00864C66">
      <w:pPr>
        <w:pStyle w:val="P1-N1Paragraph1-Number1"/>
      </w:pPr>
      <w:r w:rsidRPr="00B727FC">
        <w:t xml:space="preserve">Australia agrees with the Panel in </w:t>
      </w:r>
      <w:r w:rsidRPr="00B727FC">
        <w:rPr>
          <w:i/>
          <w:iCs/>
        </w:rPr>
        <w:t xml:space="preserve">US – Corrosion-Resistant Steel Sunset Review </w:t>
      </w:r>
      <w:r w:rsidRPr="00B727FC">
        <w:t xml:space="preserve">that </w:t>
      </w:r>
      <w:r w:rsidR="00AD290E">
        <w:t>"</w:t>
      </w:r>
      <w:r w:rsidRPr="00B727FC">
        <w:t>[t]he text of Article 5.6 gives no indication that its evidentiary standards apply to anything but self-initiation of investigations</w:t>
      </w:r>
      <w:r w:rsidR="00AD290E">
        <w:t>"</w:t>
      </w:r>
      <w:r w:rsidRPr="00B727FC">
        <w:t>.</w:t>
      </w:r>
      <w:r w:rsidRPr="00B727FC">
        <w:rPr>
          <w:rStyle w:val="FootnoteReference"/>
        </w:rPr>
        <w:footnoteReference w:id="24"/>
      </w:r>
      <w:r w:rsidRPr="00B727FC">
        <w:t xml:space="preserve"> </w:t>
      </w:r>
    </w:p>
    <w:p w14:paraId="2A221A78" w14:textId="7ADAC9F3" w:rsidR="000A39E7" w:rsidRDefault="00864C66" w:rsidP="000A39E7">
      <w:pPr>
        <w:pStyle w:val="P1-N1Paragraph1-Number1"/>
      </w:pPr>
      <w:r>
        <w:t xml:space="preserve">In the case before the </w:t>
      </w:r>
      <w:r w:rsidR="0063138E">
        <w:t>P</w:t>
      </w:r>
      <w:r>
        <w:t>anel, the E</w:t>
      </w:r>
      <w:r w:rsidR="002E41B1">
        <w:t xml:space="preserve">uropean </w:t>
      </w:r>
      <w:r>
        <w:t>U</w:t>
      </w:r>
      <w:r w:rsidR="002E41B1">
        <w:t>nion</w:t>
      </w:r>
      <w:r>
        <w:t xml:space="preserve"> initiated the anti-dumping investigation after having received a written application by or on behalf of domestic industry. </w:t>
      </w:r>
    </w:p>
    <w:p w14:paraId="15B98269" w14:textId="3F29B529" w:rsidR="00864C66" w:rsidRPr="006B5321" w:rsidRDefault="00864C66" w:rsidP="00864C66">
      <w:pPr>
        <w:pStyle w:val="P1-N1Paragraph1-Number1"/>
      </w:pPr>
      <w:r>
        <w:rPr>
          <w:lang w:val="en-US"/>
        </w:rPr>
        <w:t>O</w:t>
      </w:r>
      <w:r w:rsidRPr="00CB3B6B">
        <w:rPr>
          <w:lang w:val="en-US"/>
        </w:rPr>
        <w:t xml:space="preserve">nce an investigation has been initiated on the basis of sufficient evidence </w:t>
      </w:r>
      <w:r w:rsidR="00701430">
        <w:rPr>
          <w:lang w:val="en-US"/>
        </w:rPr>
        <w:t>in such an application</w:t>
      </w:r>
      <w:r w:rsidRPr="00CB3B6B">
        <w:rPr>
          <w:lang w:val="en-US"/>
        </w:rPr>
        <w:t xml:space="preserve">, the application has served its purpose. </w:t>
      </w:r>
      <w:r>
        <w:rPr>
          <w:lang w:val="en-US"/>
        </w:rPr>
        <w:t xml:space="preserve">While there is a </w:t>
      </w:r>
      <w:r w:rsidRPr="00CB3B6B">
        <w:rPr>
          <w:lang w:val="en-US"/>
        </w:rPr>
        <w:t xml:space="preserve">continuing obligation to terminate an investigation </w:t>
      </w:r>
      <w:r>
        <w:rPr>
          <w:lang w:val="en-US"/>
        </w:rPr>
        <w:t xml:space="preserve">under Article 5.8 </w:t>
      </w:r>
      <w:r w:rsidRPr="00CB3B6B">
        <w:rPr>
          <w:lang w:val="en-US"/>
        </w:rPr>
        <w:t>where an investigating authority is satisfied that there is not sufficient evidence</w:t>
      </w:r>
      <w:r w:rsidR="00F15420">
        <w:rPr>
          <w:lang w:val="en-US"/>
        </w:rPr>
        <w:t xml:space="preserve"> of dumping and injury</w:t>
      </w:r>
      <w:r w:rsidRPr="00CB3B6B">
        <w:rPr>
          <w:lang w:val="en-US"/>
        </w:rPr>
        <w:t xml:space="preserve"> to justify proceeding</w:t>
      </w:r>
      <w:r>
        <w:rPr>
          <w:lang w:val="en-US"/>
        </w:rPr>
        <w:t>, that</w:t>
      </w:r>
      <w:r w:rsidRPr="00CB3B6B">
        <w:rPr>
          <w:lang w:val="en-US"/>
        </w:rPr>
        <w:t xml:space="preserve"> must be based on an assessment of the overall state of the evidence before </w:t>
      </w:r>
      <w:r>
        <w:rPr>
          <w:lang w:val="en-US"/>
        </w:rPr>
        <w:t>the investigating authority.</w:t>
      </w:r>
      <w:r>
        <w:rPr>
          <w:rStyle w:val="FootnoteReference"/>
          <w:lang w:val="en-US"/>
        </w:rPr>
        <w:footnoteReference w:id="25"/>
      </w:r>
    </w:p>
    <w:p w14:paraId="5D9DA2A8" w14:textId="77777777" w:rsidR="006B5321" w:rsidRPr="00F1730F" w:rsidRDefault="006B5321" w:rsidP="006B5321">
      <w:pPr>
        <w:pStyle w:val="P1-N1Paragraph1-Number1"/>
        <w:numPr>
          <w:ilvl w:val="0"/>
          <w:numId w:val="0"/>
        </w:numPr>
      </w:pPr>
    </w:p>
    <w:p w14:paraId="4AC5D97D" w14:textId="368271E1" w:rsidR="00F32FEA" w:rsidRPr="00C56E2D" w:rsidRDefault="00A829B2" w:rsidP="00864C66">
      <w:pPr>
        <w:pStyle w:val="P1-N1Paragraph1-Number1"/>
      </w:pPr>
      <w:r>
        <w:rPr>
          <w:lang w:val="en-US"/>
        </w:rPr>
        <w:t xml:space="preserve">In Australia’s </w:t>
      </w:r>
      <w:r w:rsidR="00637603">
        <w:rPr>
          <w:lang w:val="en-US"/>
        </w:rPr>
        <w:t>view</w:t>
      </w:r>
      <w:r>
        <w:rPr>
          <w:lang w:val="en-US"/>
        </w:rPr>
        <w:t>, t</w:t>
      </w:r>
      <w:r w:rsidR="00F32FEA">
        <w:rPr>
          <w:lang w:val="en-US"/>
        </w:rPr>
        <w:t xml:space="preserve">he </w:t>
      </w:r>
      <w:r w:rsidR="00103CC9">
        <w:rPr>
          <w:lang w:val="en-US"/>
        </w:rPr>
        <w:t xml:space="preserve">mere </w:t>
      </w:r>
      <w:r w:rsidR="00F32FEA">
        <w:rPr>
          <w:lang w:val="en-US"/>
        </w:rPr>
        <w:t>withdrawal of</w:t>
      </w:r>
      <w:r w:rsidR="00103CC9">
        <w:rPr>
          <w:lang w:val="en-US"/>
        </w:rPr>
        <w:t xml:space="preserve"> the</w:t>
      </w:r>
      <w:r w:rsidR="00F32FEA">
        <w:rPr>
          <w:lang w:val="en-US"/>
        </w:rPr>
        <w:t xml:space="preserve"> </w:t>
      </w:r>
      <w:r w:rsidR="00103CC9">
        <w:rPr>
          <w:lang w:val="en-US"/>
        </w:rPr>
        <w:t>complaint</w:t>
      </w:r>
      <w:r w:rsidR="00592EA2">
        <w:rPr>
          <w:lang w:val="en-US"/>
        </w:rPr>
        <w:t xml:space="preserve"> </w:t>
      </w:r>
      <w:r w:rsidR="005913E9">
        <w:rPr>
          <w:lang w:val="en-US"/>
        </w:rPr>
        <w:t>–</w:t>
      </w:r>
      <w:r w:rsidR="00E00E77">
        <w:rPr>
          <w:lang w:val="en-US"/>
        </w:rPr>
        <w:t xml:space="preserve"> in and of itself</w:t>
      </w:r>
      <w:r w:rsidR="00F948A9">
        <w:rPr>
          <w:lang w:val="en-US"/>
        </w:rPr>
        <w:t xml:space="preserve"> </w:t>
      </w:r>
      <w:r w:rsidR="00592EA2">
        <w:rPr>
          <w:lang w:val="en-US"/>
        </w:rPr>
        <w:t>– did not</w:t>
      </w:r>
      <w:r w:rsidR="00E00E77">
        <w:rPr>
          <w:lang w:val="en-US"/>
        </w:rPr>
        <w:t xml:space="preserve"> </w:t>
      </w:r>
      <w:r w:rsidR="00A85916">
        <w:rPr>
          <w:lang w:val="en-US"/>
        </w:rPr>
        <w:t xml:space="preserve">affect the state of evidence before the investigating authority and therefore did not </w:t>
      </w:r>
      <w:r w:rsidR="00F32FEA">
        <w:rPr>
          <w:lang w:val="en-US"/>
        </w:rPr>
        <w:t xml:space="preserve">require the </w:t>
      </w:r>
      <w:r w:rsidR="00E00E77">
        <w:rPr>
          <w:lang w:val="en-US"/>
        </w:rPr>
        <w:t>Commission</w:t>
      </w:r>
      <w:r w:rsidR="00F32FEA">
        <w:rPr>
          <w:lang w:val="en-US"/>
        </w:rPr>
        <w:t xml:space="preserve"> to terminate the investigation under Article 5.8</w:t>
      </w:r>
      <w:r w:rsidR="00A85916">
        <w:rPr>
          <w:lang w:val="en-US"/>
        </w:rPr>
        <w:t>. As such</w:t>
      </w:r>
      <w:r w:rsidR="00586061">
        <w:rPr>
          <w:lang w:val="en-US"/>
        </w:rPr>
        <w:t>, it</w:t>
      </w:r>
      <w:r w:rsidR="00701430">
        <w:rPr>
          <w:lang w:val="en-US"/>
        </w:rPr>
        <w:t xml:space="preserve"> did not require the </w:t>
      </w:r>
      <w:r w:rsidR="00F76BE7">
        <w:rPr>
          <w:lang w:val="en-US"/>
        </w:rPr>
        <w:t>Commission</w:t>
      </w:r>
      <w:r w:rsidR="007A6D08">
        <w:rPr>
          <w:lang w:val="en-US"/>
        </w:rPr>
        <w:t xml:space="preserve"> </w:t>
      </w:r>
      <w:r w:rsidR="00701430">
        <w:rPr>
          <w:lang w:val="en-US"/>
        </w:rPr>
        <w:t xml:space="preserve">to find that the conditions in Article 5.6 were satisfied </w:t>
      </w:r>
      <w:r w:rsidR="00586061">
        <w:rPr>
          <w:lang w:val="en-US"/>
        </w:rPr>
        <w:t>in order for</w:t>
      </w:r>
      <w:r w:rsidR="00701430">
        <w:rPr>
          <w:lang w:val="en-US"/>
        </w:rPr>
        <w:t xml:space="preserve"> </w:t>
      </w:r>
      <w:r w:rsidR="00FC7F70">
        <w:rPr>
          <w:lang w:val="en-US"/>
        </w:rPr>
        <w:t>it</w:t>
      </w:r>
      <w:r w:rsidR="00701430">
        <w:rPr>
          <w:lang w:val="en-US"/>
        </w:rPr>
        <w:t xml:space="preserve"> </w:t>
      </w:r>
      <w:r w:rsidR="007E3FF2">
        <w:rPr>
          <w:lang w:val="en-US"/>
        </w:rPr>
        <w:t>to</w:t>
      </w:r>
      <w:r w:rsidR="00701430">
        <w:rPr>
          <w:lang w:val="en-US"/>
        </w:rPr>
        <w:t xml:space="preserve"> continue t</w:t>
      </w:r>
      <w:r w:rsidR="00485ACF">
        <w:rPr>
          <w:lang w:val="en-US"/>
        </w:rPr>
        <w:t>he</w:t>
      </w:r>
      <w:r w:rsidR="00701430">
        <w:rPr>
          <w:lang w:val="en-US"/>
        </w:rPr>
        <w:t xml:space="preserve"> investigation.</w:t>
      </w:r>
    </w:p>
    <w:p w14:paraId="000EDCFA" w14:textId="06FA5DFD" w:rsidR="003B2310" w:rsidRPr="00B727FC" w:rsidRDefault="00701430" w:rsidP="00F46E96">
      <w:pPr>
        <w:pStyle w:val="P1-N1Paragraph1-Number1"/>
      </w:pPr>
      <w:r>
        <w:t>There is no</w:t>
      </w:r>
      <w:r w:rsidR="00700706" w:rsidRPr="00B727FC">
        <w:t xml:space="preserve"> obligation on</w:t>
      </w:r>
      <w:r w:rsidR="006E2E64" w:rsidRPr="00B727FC">
        <w:t xml:space="preserve"> an </w:t>
      </w:r>
      <w:r w:rsidR="00845DE7" w:rsidRPr="00B727FC">
        <w:t>investigati</w:t>
      </w:r>
      <w:r w:rsidR="00845DE7">
        <w:t>ng</w:t>
      </w:r>
      <w:r w:rsidR="00845DE7" w:rsidRPr="00B727FC">
        <w:t xml:space="preserve"> </w:t>
      </w:r>
      <w:r w:rsidR="006E2E64" w:rsidRPr="00B727FC">
        <w:t xml:space="preserve">authority to satisfy the </w:t>
      </w:r>
      <w:r w:rsidR="00EF7FFE" w:rsidRPr="00B727FC">
        <w:t xml:space="preserve">requirements </w:t>
      </w:r>
      <w:r w:rsidR="00D470DE" w:rsidRPr="00B727FC">
        <w:t xml:space="preserve">of Article 5.6 of the Anti-Dumping Agreement </w:t>
      </w:r>
      <w:r w:rsidR="00EF7FFE" w:rsidRPr="00B727FC">
        <w:t>after it ha</w:t>
      </w:r>
      <w:r>
        <w:t>s</w:t>
      </w:r>
      <w:r w:rsidR="00EF7FFE" w:rsidRPr="00B727FC">
        <w:t xml:space="preserve"> already satisfied the requirements </w:t>
      </w:r>
      <w:r>
        <w:t xml:space="preserve">to initiate the investigation based on an application by or on behalf of domestic industry </w:t>
      </w:r>
      <w:r w:rsidR="00EF7FFE" w:rsidRPr="00B727FC">
        <w:t>under Article</w:t>
      </w:r>
      <w:r>
        <w:t>s</w:t>
      </w:r>
      <w:r w:rsidR="00EF7FFE" w:rsidRPr="00B727FC">
        <w:t xml:space="preserve"> 5.</w:t>
      </w:r>
      <w:r w:rsidR="009C70A1" w:rsidRPr="00B727FC">
        <w:t>2</w:t>
      </w:r>
      <w:r>
        <w:t>, 5.3 and 5.4</w:t>
      </w:r>
      <w:r w:rsidR="00210331">
        <w:t xml:space="preserve">. That remains the case </w:t>
      </w:r>
      <w:r w:rsidR="00017781">
        <w:t>even if th</w:t>
      </w:r>
      <w:r w:rsidR="00210331">
        <w:t>e</w:t>
      </w:r>
      <w:r w:rsidR="00017781">
        <w:t xml:space="preserve"> application</w:t>
      </w:r>
      <w:r w:rsidR="002F3E33">
        <w:t xml:space="preserve"> is withdrawn</w:t>
      </w:r>
      <w:r w:rsidR="006E2E64" w:rsidRPr="00B727FC">
        <w:t>.</w:t>
      </w:r>
    </w:p>
    <w:p w14:paraId="7E890B4B" w14:textId="752B0E75" w:rsidR="00066E4F" w:rsidRDefault="003B4FBD" w:rsidP="00C9139F">
      <w:pPr>
        <w:pStyle w:val="HL1HeadingLevel1"/>
        <w:numPr>
          <w:ilvl w:val="0"/>
          <w:numId w:val="9"/>
        </w:numPr>
      </w:pPr>
      <w:bookmarkStart w:id="9" w:name="_Toc205283677"/>
      <w:bookmarkStart w:id="10" w:name="_Toc210748989"/>
      <w:bookmarkStart w:id="11" w:name="_Toc211353383"/>
      <w:r>
        <w:rPr>
          <w:caps w:val="0"/>
        </w:rPr>
        <w:t>CONCLUSION</w:t>
      </w:r>
      <w:bookmarkEnd w:id="9"/>
      <w:bookmarkEnd w:id="10"/>
      <w:bookmarkEnd w:id="11"/>
      <w:r>
        <w:rPr>
          <w:caps w:val="0"/>
        </w:rPr>
        <w:t xml:space="preserve"> </w:t>
      </w:r>
    </w:p>
    <w:p w14:paraId="414F5E99" w14:textId="3F5590E2" w:rsidR="00066E4F" w:rsidRDefault="00066E4F" w:rsidP="00C41FF1">
      <w:pPr>
        <w:pStyle w:val="P1-N1Paragraph1-Number1"/>
      </w:pPr>
      <w:r>
        <w:t xml:space="preserve">Australia thanks the Panel for </w:t>
      </w:r>
      <w:r w:rsidR="00C41FF1">
        <w:t>its time</w:t>
      </w:r>
      <w:r w:rsidR="00A829B2">
        <w:t xml:space="preserve">, and the Secretariat for its </w:t>
      </w:r>
      <w:r w:rsidR="004430D9">
        <w:t xml:space="preserve">work </w:t>
      </w:r>
      <w:r w:rsidR="00F167DE">
        <w:t xml:space="preserve">to </w:t>
      </w:r>
      <w:r w:rsidR="004430D9">
        <w:t xml:space="preserve">assist the Panel. </w:t>
      </w:r>
      <w:r w:rsidR="003F3EDE">
        <w:t>Australia</w:t>
      </w:r>
      <w:r w:rsidR="00C41FF1">
        <w:t xml:space="preserve"> hopes that its </w:t>
      </w:r>
      <w:r w:rsidR="003F3EDE">
        <w:t>submissions today</w:t>
      </w:r>
      <w:r w:rsidR="00C41FF1">
        <w:t xml:space="preserve"> will be useful for the Panel’s consideration of this matter. </w:t>
      </w:r>
    </w:p>
    <w:sectPr w:rsidR="00066E4F" w:rsidSect="008F5B14">
      <w:headerReference w:type="default" r:id="rId19"/>
      <w:footerReference w:type="default" r:id="rId2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48E5" w14:textId="77777777" w:rsidR="00987664" w:rsidRDefault="00987664" w:rsidP="00006269">
      <w:pPr>
        <w:spacing w:after="0" w:line="240" w:lineRule="auto"/>
      </w:pPr>
      <w:r>
        <w:separator/>
      </w:r>
    </w:p>
  </w:endnote>
  <w:endnote w:type="continuationSeparator" w:id="0">
    <w:p w14:paraId="64026EE2" w14:textId="77777777" w:rsidR="00987664" w:rsidRDefault="00987664" w:rsidP="0000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1B6C" w14:textId="77777777" w:rsidR="00380795" w:rsidRDefault="00380795">
    <w:pPr>
      <w:pStyle w:val="Footer"/>
    </w:pPr>
    <w:r>
      <w:ptab w:relativeTo="margin" w:alignment="right" w:leader="none"/>
    </w:r>
    <w:r w:rsidRPr="00006269">
      <w:fldChar w:fldCharType="begin"/>
    </w:r>
    <w:r w:rsidRPr="00006269">
      <w:instrText xml:space="preserve"> PAGE   \* MERGEFORMAT </w:instrText>
    </w:r>
    <w:r w:rsidRPr="00006269">
      <w:fldChar w:fldCharType="separate"/>
    </w:r>
    <w:r w:rsidRPr="00006269">
      <w:rPr>
        <w:noProof/>
      </w:rPr>
      <w:t>1</w:t>
    </w:r>
    <w:r w:rsidRPr="0000626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A66F" w14:textId="77777777" w:rsidR="00987664" w:rsidRDefault="00987664" w:rsidP="00006269">
      <w:pPr>
        <w:spacing w:after="0" w:line="240" w:lineRule="auto"/>
      </w:pPr>
      <w:r>
        <w:separator/>
      </w:r>
    </w:p>
  </w:footnote>
  <w:footnote w:type="continuationSeparator" w:id="0">
    <w:p w14:paraId="025CA113" w14:textId="77777777" w:rsidR="00987664" w:rsidRDefault="00987664" w:rsidP="00006269">
      <w:pPr>
        <w:spacing w:after="0" w:line="240" w:lineRule="auto"/>
      </w:pPr>
      <w:r>
        <w:continuationSeparator/>
      </w:r>
    </w:p>
  </w:footnote>
  <w:footnote w:id="1">
    <w:p w14:paraId="6E0A79F3" w14:textId="77777777" w:rsidR="00084F48" w:rsidRPr="004D7F16" w:rsidRDefault="00084F48" w:rsidP="00084F4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Indonesia’s first written submission, para 62. </w:t>
      </w:r>
    </w:p>
  </w:footnote>
  <w:footnote w:id="2">
    <w:p w14:paraId="37B0A236" w14:textId="77777777" w:rsidR="00084F48" w:rsidRPr="0023654B" w:rsidRDefault="00084F48" w:rsidP="00084F48">
      <w:pPr>
        <w:pStyle w:val="FootnoteText"/>
      </w:pPr>
      <w:r>
        <w:rPr>
          <w:rStyle w:val="FootnoteReference"/>
        </w:rPr>
        <w:footnoteRef/>
      </w:r>
      <w:r>
        <w:t xml:space="preserve"> Indonesia’s first written submission, para 110. </w:t>
      </w:r>
    </w:p>
  </w:footnote>
  <w:footnote w:id="3">
    <w:p w14:paraId="119DF8C9" w14:textId="4B6EA7D5" w:rsidR="00435E3A" w:rsidRPr="00435E3A" w:rsidRDefault="00435E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First written submission of the European Union, para 80.  </w:t>
      </w:r>
    </w:p>
  </w:footnote>
  <w:footnote w:id="4">
    <w:p w14:paraId="68AA60ED" w14:textId="4760877C" w:rsidR="00564349" w:rsidRPr="00564349" w:rsidRDefault="005643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First written submission of the European Union, para 111. </w:t>
      </w:r>
    </w:p>
  </w:footnote>
  <w:footnote w:id="5">
    <w:p w14:paraId="233247AE" w14:textId="05CE618C" w:rsidR="00C3366C" w:rsidRPr="008878CF" w:rsidRDefault="00C3366C" w:rsidP="00C3366C">
      <w:pPr>
        <w:pStyle w:val="FootnoteText"/>
      </w:pPr>
      <w:r>
        <w:rPr>
          <w:rStyle w:val="FootnoteReference"/>
        </w:rPr>
        <w:footnoteRef/>
      </w:r>
      <w:r>
        <w:t xml:space="preserve"> Panel Report, </w:t>
      </w:r>
      <w:r w:rsidRPr="006A202E">
        <w:rPr>
          <w:i/>
          <w:iCs/>
        </w:rPr>
        <w:t>Thailand –</w:t>
      </w:r>
      <w:r w:rsidR="008D0BAA">
        <w:rPr>
          <w:i/>
          <w:iCs/>
        </w:rPr>
        <w:t xml:space="preserve"> </w:t>
      </w:r>
      <w:r w:rsidRPr="006A202E">
        <w:rPr>
          <w:i/>
          <w:iCs/>
        </w:rPr>
        <w:t>Cigarettes (Philippines)</w:t>
      </w:r>
      <w:r>
        <w:t xml:space="preserve"> </w:t>
      </w:r>
      <w:r w:rsidRPr="00A16B40">
        <w:t>paras. 7.873-7.874</w:t>
      </w:r>
      <w:r w:rsidR="00FD53CB">
        <w:t>.</w:t>
      </w:r>
    </w:p>
  </w:footnote>
  <w:footnote w:id="6">
    <w:p w14:paraId="3533CD21" w14:textId="77777777" w:rsidR="00C3366C" w:rsidRPr="00A24BBD" w:rsidRDefault="00C3366C" w:rsidP="00C3366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24BBD">
        <w:t xml:space="preserve">Appellate Body Report, </w:t>
      </w:r>
      <w:r w:rsidRPr="00A24BBD">
        <w:rPr>
          <w:i/>
          <w:iCs/>
        </w:rPr>
        <w:t>EC – Selected Customs Matters</w:t>
      </w:r>
      <w:r w:rsidRPr="00A24BBD">
        <w:t>, para. 224.</w:t>
      </w:r>
    </w:p>
  </w:footnote>
  <w:footnote w:id="7">
    <w:p w14:paraId="4B06317E" w14:textId="7FE9EF2B" w:rsidR="00153D97" w:rsidRPr="00153D97" w:rsidRDefault="00153D9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E050B2" w:rsidRPr="00E050B2">
        <w:t xml:space="preserve">Panel Report, </w:t>
      </w:r>
      <w:r w:rsidR="00E050B2" w:rsidRPr="00EF2324">
        <w:rPr>
          <w:i/>
          <w:iCs/>
        </w:rPr>
        <w:t>US – COOL</w:t>
      </w:r>
      <w:r w:rsidR="00E050B2" w:rsidRPr="00E050B2">
        <w:t>, para. 7.876.</w:t>
      </w:r>
    </w:p>
  </w:footnote>
  <w:footnote w:id="8">
    <w:p w14:paraId="048077EA" w14:textId="4DF1E2E2" w:rsidR="00601A93" w:rsidRPr="00601A93" w:rsidRDefault="00601A9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01A93">
        <w:t xml:space="preserve">Panel Report, </w:t>
      </w:r>
      <w:r w:rsidRPr="00182DD5">
        <w:rPr>
          <w:i/>
          <w:iCs/>
        </w:rPr>
        <w:t>US – Stainless Steel</w:t>
      </w:r>
      <w:r w:rsidR="00502B52">
        <w:rPr>
          <w:i/>
          <w:iCs/>
        </w:rPr>
        <w:t xml:space="preserve"> (Korea)</w:t>
      </w:r>
      <w:r w:rsidRPr="00601A93">
        <w:t>, paras. 6.50.</w:t>
      </w:r>
    </w:p>
  </w:footnote>
  <w:footnote w:id="9">
    <w:p w14:paraId="3F6F6166" w14:textId="671A5AF6" w:rsidR="00C50AAA" w:rsidRPr="00182DD5" w:rsidRDefault="00C50AAA" w:rsidP="00C50A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2DD5">
        <w:rPr>
          <w:rFonts w:asciiTheme="minorHAnsi" w:hAnsiTheme="minorHAnsi" w:cstheme="minorHAnsi"/>
          <w:szCs w:val="18"/>
          <w:lang w:val="en-US"/>
        </w:rPr>
        <w:t xml:space="preserve">Panel Reports, </w:t>
      </w:r>
      <w:r w:rsidRPr="00182DD5">
        <w:rPr>
          <w:rFonts w:asciiTheme="minorHAnsi" w:hAnsiTheme="minorHAnsi" w:cstheme="minorHAnsi"/>
          <w:i/>
          <w:iCs/>
          <w:szCs w:val="18"/>
          <w:lang w:val="en-US"/>
        </w:rPr>
        <w:t>US – COOL</w:t>
      </w:r>
      <w:r w:rsidRPr="00182DD5">
        <w:rPr>
          <w:rFonts w:asciiTheme="minorHAnsi" w:hAnsiTheme="minorHAnsi" w:cstheme="minorHAnsi"/>
          <w:szCs w:val="18"/>
          <w:lang w:val="en-US"/>
        </w:rPr>
        <w:t xml:space="preserve">, para. </w:t>
      </w:r>
      <w:r w:rsidRPr="00FE46E5">
        <w:rPr>
          <w:rFonts w:asciiTheme="minorHAnsi" w:hAnsiTheme="minorHAnsi" w:cstheme="minorHAnsi"/>
          <w:szCs w:val="18"/>
        </w:rPr>
        <w:t xml:space="preserve">7.876; </w:t>
      </w:r>
      <w:r w:rsidR="00A350FB" w:rsidRPr="00182DD5">
        <w:rPr>
          <w:i/>
          <w:iCs/>
        </w:rPr>
        <w:t>Argentina – Hides and Leather</w:t>
      </w:r>
      <w:r w:rsidR="00A350FB" w:rsidRPr="00182DD5">
        <w:t>, para. 11.83</w:t>
      </w:r>
      <w:r w:rsidR="00FF2B4C">
        <w:t>.</w:t>
      </w:r>
    </w:p>
  </w:footnote>
  <w:footnote w:id="10">
    <w:p w14:paraId="5A7B4403" w14:textId="0AB4B904" w:rsidR="00E05D7B" w:rsidRPr="004F5D27" w:rsidRDefault="00E05D7B" w:rsidP="00E05D7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D3E48">
        <w:t xml:space="preserve">Panel Report, </w:t>
      </w:r>
      <w:r w:rsidRPr="00182DD5">
        <w:rPr>
          <w:i/>
          <w:iCs/>
        </w:rPr>
        <w:t>US – COOL</w:t>
      </w:r>
      <w:r w:rsidRPr="00CD3E48">
        <w:t>, paras. 7.850-7.851</w:t>
      </w:r>
      <w:r>
        <w:t>.</w:t>
      </w:r>
    </w:p>
  </w:footnote>
  <w:footnote w:id="11">
    <w:p w14:paraId="45ED04D3" w14:textId="4258BC7A" w:rsidR="00E05D7B" w:rsidRPr="00C0499B" w:rsidRDefault="00E05D7B" w:rsidP="00E05D7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D3E48">
        <w:t xml:space="preserve">Panel Report, </w:t>
      </w:r>
      <w:r w:rsidRPr="00182DD5">
        <w:rPr>
          <w:i/>
          <w:iCs/>
        </w:rPr>
        <w:t>US – COOL</w:t>
      </w:r>
      <w:r w:rsidRPr="00CD3E48">
        <w:t>, paras. 7.850-7.851</w:t>
      </w:r>
      <w:r>
        <w:t>.</w:t>
      </w:r>
    </w:p>
  </w:footnote>
  <w:footnote w:id="12">
    <w:p w14:paraId="704FFDB2" w14:textId="407A639F" w:rsidR="0063490E" w:rsidRDefault="006349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B7A30">
        <w:rPr>
          <w:lang w:val="en-US"/>
        </w:rPr>
        <w:t>First written submission of the European Union, para 53.</w:t>
      </w:r>
    </w:p>
  </w:footnote>
  <w:footnote w:id="13">
    <w:p w14:paraId="01A66B78" w14:textId="0AC27B31" w:rsidR="00564349" w:rsidRPr="001608A5" w:rsidRDefault="00564349" w:rsidP="005643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First written submission of the European Union, para 54. </w:t>
      </w:r>
    </w:p>
  </w:footnote>
  <w:footnote w:id="14">
    <w:p w14:paraId="3F4B228B" w14:textId="60E8CE9B" w:rsidR="00F3701C" w:rsidRDefault="00F370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First written submission of the European Union, para 54.</w:t>
      </w:r>
    </w:p>
  </w:footnote>
  <w:footnote w:id="15">
    <w:p w14:paraId="339CD74B" w14:textId="77777777" w:rsidR="00D3136C" w:rsidRDefault="00D3136C" w:rsidP="00D313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First written submission of the European Union, para 54. </w:t>
      </w:r>
    </w:p>
  </w:footnote>
  <w:footnote w:id="16">
    <w:p w14:paraId="0295A62C" w14:textId="5DF4C269" w:rsidR="00564349" w:rsidRPr="00735DCA" w:rsidRDefault="00564349" w:rsidP="005643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First written submission of the European Union, para 59</w:t>
      </w:r>
      <w:r w:rsidR="00607136">
        <w:rPr>
          <w:lang w:val="en-US"/>
        </w:rPr>
        <w:t xml:space="preserve">. </w:t>
      </w:r>
    </w:p>
  </w:footnote>
  <w:footnote w:id="17">
    <w:p w14:paraId="0D4A58CC" w14:textId="3202CC6B" w:rsidR="00B90073" w:rsidRDefault="00B900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0073">
        <w:t xml:space="preserve">Panel Report, </w:t>
      </w:r>
      <w:r w:rsidRPr="00B90073">
        <w:rPr>
          <w:i/>
          <w:iCs/>
        </w:rPr>
        <w:t>US – Stainless Steel (Korea)</w:t>
      </w:r>
      <w:r w:rsidRPr="00B90073">
        <w:t xml:space="preserve">, para. 6.51 </w:t>
      </w:r>
    </w:p>
  </w:footnote>
  <w:footnote w:id="18">
    <w:p w14:paraId="46C742B4" w14:textId="3C7AAEEB" w:rsidR="002759EF" w:rsidRPr="002759EF" w:rsidRDefault="002759EF">
      <w:pPr>
        <w:pStyle w:val="FootnoteText"/>
      </w:pPr>
      <w:r>
        <w:rPr>
          <w:rStyle w:val="FootnoteReference"/>
        </w:rPr>
        <w:footnoteRef/>
      </w:r>
      <w:r>
        <w:t xml:space="preserve"> First written submission of Indonesia, para </w:t>
      </w:r>
      <w:r w:rsidR="00A938AA">
        <w:t>3.</w:t>
      </w:r>
    </w:p>
  </w:footnote>
  <w:footnote w:id="19">
    <w:p w14:paraId="1422C7E4" w14:textId="0BF92A6E" w:rsidR="00A541CA" w:rsidRPr="00A541CA" w:rsidRDefault="00A541CA">
      <w:pPr>
        <w:pStyle w:val="FootnoteText"/>
      </w:pPr>
      <w:r>
        <w:rPr>
          <w:rStyle w:val="FootnoteReference"/>
        </w:rPr>
        <w:footnoteRef/>
      </w:r>
      <w:r>
        <w:t xml:space="preserve"> First written submission of Indonesia, para </w:t>
      </w:r>
      <w:r w:rsidR="00E136AC">
        <w:t xml:space="preserve">139. </w:t>
      </w:r>
    </w:p>
  </w:footnote>
  <w:footnote w:id="20">
    <w:p w14:paraId="17DAC5F1" w14:textId="42CFA951" w:rsidR="00AB5D80" w:rsidRPr="00AB5D80" w:rsidRDefault="00AB5D80">
      <w:pPr>
        <w:pStyle w:val="FootnoteText"/>
      </w:pPr>
      <w:r>
        <w:rPr>
          <w:rStyle w:val="FootnoteReference"/>
        </w:rPr>
        <w:footnoteRef/>
      </w:r>
      <w:r>
        <w:t xml:space="preserve"> First written submission of Indonesia, para 16</w:t>
      </w:r>
      <w:r w:rsidR="00E90F61">
        <w:t xml:space="preserve">5. </w:t>
      </w:r>
    </w:p>
  </w:footnote>
  <w:footnote w:id="21">
    <w:p w14:paraId="4D9FD163" w14:textId="38DD8565" w:rsidR="0033206F" w:rsidRPr="0033206F" w:rsidRDefault="0033206F">
      <w:pPr>
        <w:pStyle w:val="FootnoteText"/>
      </w:pPr>
      <w:r>
        <w:rPr>
          <w:rStyle w:val="FootnoteReference"/>
        </w:rPr>
        <w:footnoteRef/>
      </w:r>
      <w:r>
        <w:t xml:space="preserve"> First written submission of the European Union, para 112.</w:t>
      </w:r>
    </w:p>
  </w:footnote>
  <w:footnote w:id="22">
    <w:p w14:paraId="2CA9ABF6" w14:textId="08AF2280" w:rsidR="00CF37CA" w:rsidRPr="00CF37CA" w:rsidRDefault="00CF37CA">
      <w:pPr>
        <w:pStyle w:val="FootnoteText"/>
      </w:pPr>
      <w:r>
        <w:rPr>
          <w:rStyle w:val="FootnoteReference"/>
        </w:rPr>
        <w:footnoteRef/>
      </w:r>
      <w:r>
        <w:t xml:space="preserve"> First written submission of the European Union, para 143.</w:t>
      </w:r>
    </w:p>
  </w:footnote>
  <w:footnote w:id="23">
    <w:p w14:paraId="6950658F" w14:textId="77777777" w:rsidR="00FB54FC" w:rsidRPr="000A18DE" w:rsidRDefault="00FB54FC" w:rsidP="00FB54F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First written submission of Indonesia, para 126. </w:t>
      </w:r>
    </w:p>
  </w:footnote>
  <w:footnote w:id="24">
    <w:p w14:paraId="73AC4C5D" w14:textId="77777777" w:rsidR="00864C66" w:rsidRPr="00FD185D" w:rsidRDefault="00864C66" w:rsidP="00864C66">
      <w:pPr>
        <w:pStyle w:val="FootnoteText"/>
      </w:pPr>
      <w:r>
        <w:rPr>
          <w:rStyle w:val="FootnoteReference"/>
        </w:rPr>
        <w:footnoteRef/>
      </w:r>
      <w:r>
        <w:t xml:space="preserve"> Panel Report, </w:t>
      </w:r>
      <w:r>
        <w:rPr>
          <w:i/>
          <w:iCs/>
        </w:rPr>
        <w:t xml:space="preserve">US – Corrosion-Resistant Steel Sunset Review, </w:t>
      </w:r>
      <w:r>
        <w:t xml:space="preserve">para 7.36. </w:t>
      </w:r>
    </w:p>
  </w:footnote>
  <w:footnote w:id="25">
    <w:p w14:paraId="7C0FF44E" w14:textId="77777777" w:rsidR="00864C66" w:rsidRPr="00C56D20" w:rsidRDefault="00864C66" w:rsidP="00864C6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56D20">
        <w:rPr>
          <w:lang w:val="en-US"/>
        </w:rPr>
        <w:t xml:space="preserve">Panel Report, </w:t>
      </w:r>
      <w:r w:rsidRPr="00C56D20">
        <w:rPr>
          <w:i/>
          <w:iCs/>
          <w:lang w:val="en-US"/>
        </w:rPr>
        <w:t>US – Softwood Lumber V</w:t>
      </w:r>
      <w:r w:rsidRPr="00C56D20">
        <w:rPr>
          <w:lang w:val="en-US"/>
        </w:rPr>
        <w:t>, para. 7.137.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4576" w14:textId="222BC074" w:rsidR="00380795" w:rsidRDefault="004A1215">
    <w:pPr>
      <w:pStyle w:val="Header"/>
    </w:pPr>
    <w:r>
      <w:rPr>
        <w:i/>
        <w:iCs/>
      </w:rPr>
      <w:t>EU – AD on Fatty Acid (Indonesia)</w:t>
    </w:r>
    <w:r>
      <w:rPr>
        <w:i/>
        <w:iCs/>
      </w:rPr>
      <w:tab/>
    </w:r>
    <w:r>
      <w:rPr>
        <w:i/>
        <w:iCs/>
      </w:rPr>
      <w:tab/>
    </w:r>
    <w:r w:rsidR="00ED589A">
      <w:t>Third party oral statement of Australia</w:t>
    </w:r>
  </w:p>
  <w:p w14:paraId="24CCC517" w14:textId="1D11CA5A" w:rsidR="00380795" w:rsidRDefault="00C35E96">
    <w:pPr>
      <w:pStyle w:val="Header"/>
    </w:pPr>
    <w:fldSimple w:instr=" STYLEREF  &quot;[DSN] DS Number&quot;  \* MERGEFORMAT ">
      <w:r w:rsidR="003B4FBD">
        <w:rPr>
          <w:noProof/>
        </w:rPr>
        <w:t>(DS622)</w:t>
      </w:r>
    </w:fldSimple>
    <w:r w:rsidR="00380795">
      <w:ptab w:relativeTo="margin" w:alignment="right" w:leader="none"/>
    </w:r>
    <w:fldSimple w:instr=" STYLEREF  &quot;[DD] Document Date&quot;  \* MERGEFORMAT ">
      <w:r w:rsidR="003B4FBD">
        <w:rPr>
          <w:noProof/>
        </w:rPr>
        <w:t>15 October 2025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076"/>
    <w:multiLevelType w:val="hybridMultilevel"/>
    <w:tmpl w:val="11B25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259A"/>
    <w:multiLevelType w:val="hybridMultilevel"/>
    <w:tmpl w:val="C0784592"/>
    <w:lvl w:ilvl="0" w:tplc="AE1A8D56">
      <w:start w:val="1"/>
      <w:numFmt w:val="decimal"/>
      <w:pStyle w:val="FCFigureCaption"/>
      <w:lvlText w:val="Figur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4596"/>
    <w:multiLevelType w:val="multilevel"/>
    <w:tmpl w:val="3EF6F766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404"/>
        </w:tabs>
        <w:ind w:left="3404" w:hanging="851"/>
      </w:pPr>
      <w:rPr>
        <w:rFonts w:hint="default"/>
        <w:u w:val="single"/>
      </w:rPr>
    </w:lvl>
    <w:lvl w:ilvl="4">
      <w:start w:val="1"/>
      <w:numFmt w:val="lowerRoman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5103"/>
        </w:tabs>
        <w:ind w:left="5103" w:hanging="848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954"/>
        </w:tabs>
        <w:ind w:left="5954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4"/>
        </w:tabs>
        <w:ind w:left="6804" w:hanging="85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655"/>
        </w:tabs>
        <w:ind w:left="7655" w:hanging="851"/>
      </w:pPr>
      <w:rPr>
        <w:rFonts w:hint="default"/>
      </w:rPr>
    </w:lvl>
  </w:abstractNum>
  <w:abstractNum w:abstractNumId="3" w15:restartNumberingAfterBreak="0">
    <w:nsid w:val="0F706886"/>
    <w:multiLevelType w:val="multilevel"/>
    <w:tmpl w:val="B9A4718C"/>
    <w:lvl w:ilvl="0">
      <w:start w:val="1"/>
      <w:numFmt w:val="decimal"/>
      <w:pStyle w:val="WTONumbers"/>
      <w:lvlText w:val="%1."/>
      <w:lvlJc w:val="left"/>
      <w:pPr>
        <w:tabs>
          <w:tab w:val="num" w:pos="720"/>
        </w:tabs>
        <w:ind w:left="0" w:firstLine="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16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88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360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5760" w:firstLine="0"/>
      </w:pPr>
      <w:rPr>
        <w:rFonts w:cs="Times New Roman"/>
      </w:rPr>
    </w:lvl>
  </w:abstractNum>
  <w:abstractNum w:abstractNumId="4" w15:restartNumberingAfterBreak="0">
    <w:nsid w:val="159A79F2"/>
    <w:multiLevelType w:val="hybridMultilevel"/>
    <w:tmpl w:val="E9ECA51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FD4"/>
    <w:multiLevelType w:val="hybridMultilevel"/>
    <w:tmpl w:val="E9ECA51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43105"/>
    <w:multiLevelType w:val="hybridMultilevel"/>
    <w:tmpl w:val="11A2C1B6"/>
    <w:lvl w:ilvl="0" w:tplc="EA464842">
      <w:start w:val="1"/>
      <w:numFmt w:val="decimal"/>
      <w:pStyle w:val="P1-N1Paragraph1-Number1"/>
      <w:lvlText w:val="%1."/>
      <w:lvlJc w:val="left"/>
      <w:pPr>
        <w:tabs>
          <w:tab w:val="num" w:pos="851"/>
        </w:tabs>
        <w:ind w:left="0" w:firstLine="0"/>
      </w:pPr>
      <w:rPr>
        <w:rFonts w:hint="default"/>
        <w:i w:val="0"/>
        <w:iCs w:val="0"/>
      </w:rPr>
    </w:lvl>
    <w:lvl w:ilvl="1" w:tplc="35D2146C">
      <w:start w:val="1"/>
      <w:numFmt w:val="bullet"/>
      <w:pStyle w:val="P2-B1Paragraph2-Bullet1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2" w:tplc="9F3EA8EE">
      <w:start w:val="1"/>
      <w:numFmt w:val="bullet"/>
      <w:pStyle w:val="P3-B2Paragraph3-Bullet2"/>
      <w:lvlText w:val="–"/>
      <w:lvlJc w:val="left"/>
      <w:pPr>
        <w:tabs>
          <w:tab w:val="num" w:pos="2552"/>
        </w:tabs>
        <w:ind w:left="2552" w:hanging="851"/>
      </w:pPr>
      <w:rPr>
        <w:rFonts w:ascii="Calibri" w:eastAsiaTheme="minorHAnsi" w:hAnsi="Calibri" w:cs="Calibri" w:hint="default"/>
      </w:rPr>
    </w:lvl>
    <w:lvl w:ilvl="3" w:tplc="0C20942A">
      <w:start w:val="1"/>
      <w:numFmt w:val="bullet"/>
      <w:pStyle w:val="P4-B3Paragraph4-Bullet3"/>
      <w:lvlText w:val="o"/>
      <w:lvlJc w:val="left"/>
      <w:pPr>
        <w:tabs>
          <w:tab w:val="num" w:pos="3402"/>
        </w:tabs>
        <w:ind w:left="3402" w:hanging="850"/>
      </w:pPr>
      <w:rPr>
        <w:rFonts w:ascii="Courier New" w:hAnsi="Courier New" w:hint="default"/>
      </w:rPr>
    </w:lvl>
    <w:lvl w:ilvl="4" w:tplc="B388F3E6">
      <w:start w:val="1"/>
      <w:numFmt w:val="bullet"/>
      <w:pStyle w:val="P5-B4Paragraph5-Bullet4"/>
      <w:lvlText w:val=""/>
      <w:lvlJc w:val="left"/>
      <w:pPr>
        <w:tabs>
          <w:tab w:val="num" w:pos="4253"/>
        </w:tabs>
        <w:ind w:left="4253" w:hanging="851"/>
      </w:pPr>
      <w:rPr>
        <w:rFonts w:ascii="Wingdings" w:hAnsi="Wingdings" w:hint="default"/>
      </w:rPr>
    </w:lvl>
    <w:lvl w:ilvl="5" w:tplc="041E423A">
      <w:start w:val="1"/>
      <w:numFmt w:val="bullet"/>
      <w:pStyle w:val="P6-B5Paragraph6-Bullet5"/>
      <w:lvlText w:val=""/>
      <w:lvlJc w:val="left"/>
      <w:pPr>
        <w:tabs>
          <w:tab w:val="num" w:pos="5103"/>
        </w:tabs>
        <w:ind w:left="5103" w:hanging="850"/>
      </w:pPr>
      <w:rPr>
        <w:rFonts w:ascii="Wingdings" w:hAnsi="Wingdings" w:hint="default"/>
      </w:rPr>
    </w:lvl>
    <w:lvl w:ilvl="6" w:tplc="B914B13C">
      <w:start w:val="1"/>
      <w:numFmt w:val="bullet"/>
      <w:pStyle w:val="P7-B6Paragraph7-Bullet6"/>
      <w:lvlText w:val=""/>
      <w:lvlJc w:val="left"/>
      <w:pPr>
        <w:tabs>
          <w:tab w:val="num" w:pos="5954"/>
        </w:tabs>
        <w:ind w:left="5954" w:hanging="851"/>
      </w:pPr>
      <w:rPr>
        <w:rFonts w:ascii="Symbol" w:hAnsi="Symbol" w:hint="default"/>
      </w:rPr>
    </w:lvl>
    <w:lvl w:ilvl="7" w:tplc="B136EC4E">
      <w:start w:val="1"/>
      <w:numFmt w:val="bullet"/>
      <w:pStyle w:val="P8-B7Paragraph8-Bullet7"/>
      <w:lvlText w:val="–"/>
      <w:lvlJc w:val="left"/>
      <w:pPr>
        <w:tabs>
          <w:tab w:val="num" w:pos="6804"/>
        </w:tabs>
        <w:ind w:left="6804" w:hanging="850"/>
      </w:pPr>
      <w:rPr>
        <w:rFonts w:ascii="Calibri" w:eastAsiaTheme="minorHAnsi" w:hAnsi="Calibri" w:cs="Calibri" w:hint="default"/>
      </w:rPr>
    </w:lvl>
    <w:lvl w:ilvl="8" w:tplc="7B3C086C">
      <w:start w:val="1"/>
      <w:numFmt w:val="bullet"/>
      <w:pStyle w:val="P9-B8Paragraph9-Bullet8"/>
      <w:lvlText w:val="o"/>
      <w:lvlJc w:val="left"/>
      <w:pPr>
        <w:tabs>
          <w:tab w:val="num" w:pos="7655"/>
        </w:tabs>
        <w:ind w:left="7655" w:hanging="851"/>
      </w:pPr>
      <w:rPr>
        <w:rFonts w:ascii="Courier New" w:hAnsi="Courier New" w:hint="default"/>
      </w:rPr>
    </w:lvl>
  </w:abstractNum>
  <w:abstractNum w:abstractNumId="7" w15:restartNumberingAfterBreak="0">
    <w:nsid w:val="28E76FC4"/>
    <w:multiLevelType w:val="hybridMultilevel"/>
    <w:tmpl w:val="1CD0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04801"/>
    <w:multiLevelType w:val="hybridMultilevel"/>
    <w:tmpl w:val="E9ECA516"/>
    <w:lvl w:ilvl="0" w:tplc="4216D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D1099"/>
    <w:multiLevelType w:val="multilevel"/>
    <w:tmpl w:val="79A4006C"/>
    <w:lvl w:ilvl="0">
      <w:start w:val="1"/>
      <w:numFmt w:val="upperLetter"/>
      <w:pStyle w:val="AHL1AnnexHeadingLevel1"/>
      <w:lvlText w:val="ANNEX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HL2AnnexHeading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HL3AnnexHeading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pStyle w:val="AHL4AnnexHeadingLevel4"/>
      <w:lvlText w:val="%1.%2.%3.%4"/>
      <w:lvlJc w:val="left"/>
      <w:pPr>
        <w:tabs>
          <w:tab w:val="num" w:pos="2835"/>
        </w:tabs>
        <w:ind w:left="2835" w:hanging="1134"/>
      </w:pPr>
      <w:rPr>
        <w:rFonts w:hint="default"/>
        <w:u w:val="single"/>
      </w:rPr>
    </w:lvl>
    <w:lvl w:ilvl="4">
      <w:start w:val="1"/>
      <w:numFmt w:val="none"/>
      <w:pStyle w:val="AHL5AnnexHeadingLevel5"/>
      <w:lvlText w:val=""/>
      <w:lvlJc w:val="left"/>
      <w:pPr>
        <w:ind w:left="2552" w:firstLine="0"/>
      </w:pPr>
      <w:rPr>
        <w:rFonts w:hint="default"/>
      </w:rPr>
    </w:lvl>
    <w:lvl w:ilvl="5">
      <w:start w:val="1"/>
      <w:numFmt w:val="none"/>
      <w:pStyle w:val="AHL6AnnexHeadingLevel6"/>
      <w:lvlText w:val=""/>
      <w:lvlJc w:val="left"/>
      <w:pPr>
        <w:ind w:left="3402" w:firstLine="0"/>
      </w:pPr>
      <w:rPr>
        <w:rFonts w:hint="default"/>
      </w:rPr>
    </w:lvl>
    <w:lvl w:ilvl="6">
      <w:start w:val="1"/>
      <w:numFmt w:val="none"/>
      <w:pStyle w:val="AHL7AnnexHeadingLevel7"/>
      <w:lvlText w:val=""/>
      <w:lvlJc w:val="left"/>
      <w:pPr>
        <w:ind w:left="4253" w:firstLine="0"/>
      </w:pPr>
      <w:rPr>
        <w:rFonts w:hint="default"/>
      </w:rPr>
    </w:lvl>
    <w:lvl w:ilvl="7">
      <w:start w:val="1"/>
      <w:numFmt w:val="none"/>
      <w:pStyle w:val="AHL8AnnexHeadingLevel8"/>
      <w:lvlText w:val=""/>
      <w:lvlJc w:val="left"/>
      <w:pPr>
        <w:ind w:left="5103" w:firstLine="0"/>
      </w:pPr>
      <w:rPr>
        <w:rFonts w:hint="default"/>
      </w:rPr>
    </w:lvl>
    <w:lvl w:ilvl="8">
      <w:start w:val="1"/>
      <w:numFmt w:val="none"/>
      <w:pStyle w:val="AHL9AnnexHeadingLevel9"/>
      <w:lvlText w:val=""/>
      <w:lvlJc w:val="left"/>
      <w:pPr>
        <w:ind w:left="5954" w:firstLine="0"/>
      </w:pPr>
      <w:rPr>
        <w:rFonts w:hint="default"/>
      </w:rPr>
    </w:lvl>
  </w:abstractNum>
  <w:abstractNum w:abstractNumId="10" w15:restartNumberingAfterBreak="0">
    <w:nsid w:val="67CE0D86"/>
    <w:multiLevelType w:val="hybridMultilevel"/>
    <w:tmpl w:val="48F8E010"/>
    <w:lvl w:ilvl="0" w:tplc="15ACE29E">
      <w:start w:val="1"/>
      <w:numFmt w:val="decimal"/>
      <w:pStyle w:val="TCTableCaption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890386">
    <w:abstractNumId w:val="6"/>
  </w:num>
  <w:num w:numId="2" w16cid:durableId="1405184971">
    <w:abstractNumId w:val="2"/>
  </w:num>
  <w:num w:numId="3" w16cid:durableId="2035419370">
    <w:abstractNumId w:val="6"/>
    <w:lvlOverride w:ilvl="0">
      <w:startOverride w:val="1"/>
    </w:lvlOverride>
  </w:num>
  <w:num w:numId="4" w16cid:durableId="417403700">
    <w:abstractNumId w:val="1"/>
  </w:num>
  <w:num w:numId="5" w16cid:durableId="1133214290">
    <w:abstractNumId w:val="10"/>
  </w:num>
  <w:num w:numId="6" w16cid:durableId="2049722060">
    <w:abstractNumId w:val="9"/>
  </w:num>
  <w:num w:numId="7" w16cid:durableId="1721594287">
    <w:abstractNumId w:val="9"/>
  </w:num>
  <w:num w:numId="8" w16cid:durableId="67119744">
    <w:abstractNumId w:val="0"/>
  </w:num>
  <w:num w:numId="9" w16cid:durableId="2036495478">
    <w:abstractNumId w:val="8"/>
  </w:num>
  <w:num w:numId="10" w16cid:durableId="1284463117">
    <w:abstractNumId w:val="6"/>
  </w:num>
  <w:num w:numId="11" w16cid:durableId="1044721471">
    <w:abstractNumId w:val="6"/>
  </w:num>
  <w:num w:numId="12" w16cid:durableId="1907522785">
    <w:abstractNumId w:val="7"/>
  </w:num>
  <w:num w:numId="13" w16cid:durableId="452529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3923123">
    <w:abstractNumId w:val="6"/>
  </w:num>
  <w:num w:numId="15" w16cid:durableId="625625503">
    <w:abstractNumId w:val="5"/>
  </w:num>
  <w:num w:numId="16" w16cid:durableId="138228381">
    <w:abstractNumId w:val="4"/>
  </w:num>
  <w:num w:numId="17" w16cid:durableId="131919097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15"/>
    <w:rsid w:val="00001842"/>
    <w:rsid w:val="00002360"/>
    <w:rsid w:val="00004009"/>
    <w:rsid w:val="000041FC"/>
    <w:rsid w:val="0000608F"/>
    <w:rsid w:val="00006269"/>
    <w:rsid w:val="0000772B"/>
    <w:rsid w:val="000102D1"/>
    <w:rsid w:val="00010E85"/>
    <w:rsid w:val="00010FD5"/>
    <w:rsid w:val="00011649"/>
    <w:rsid w:val="00013337"/>
    <w:rsid w:val="00013F6E"/>
    <w:rsid w:val="00014C03"/>
    <w:rsid w:val="0001716D"/>
    <w:rsid w:val="00017781"/>
    <w:rsid w:val="00023C47"/>
    <w:rsid w:val="000243D4"/>
    <w:rsid w:val="00025483"/>
    <w:rsid w:val="00026BC5"/>
    <w:rsid w:val="00027263"/>
    <w:rsid w:val="00030A32"/>
    <w:rsid w:val="00031577"/>
    <w:rsid w:val="000319E5"/>
    <w:rsid w:val="00032975"/>
    <w:rsid w:val="000336F7"/>
    <w:rsid w:val="00040482"/>
    <w:rsid w:val="000410F0"/>
    <w:rsid w:val="00043054"/>
    <w:rsid w:val="000453F8"/>
    <w:rsid w:val="000454E6"/>
    <w:rsid w:val="00046BAF"/>
    <w:rsid w:val="0005406A"/>
    <w:rsid w:val="00060237"/>
    <w:rsid w:val="00061889"/>
    <w:rsid w:val="00061F6E"/>
    <w:rsid w:val="000635B2"/>
    <w:rsid w:val="000662B0"/>
    <w:rsid w:val="00066E4F"/>
    <w:rsid w:val="000716BD"/>
    <w:rsid w:val="0007327B"/>
    <w:rsid w:val="00073C41"/>
    <w:rsid w:val="00074FA3"/>
    <w:rsid w:val="00075956"/>
    <w:rsid w:val="00080852"/>
    <w:rsid w:val="00080899"/>
    <w:rsid w:val="00080CDE"/>
    <w:rsid w:val="00081602"/>
    <w:rsid w:val="00082549"/>
    <w:rsid w:val="00084F48"/>
    <w:rsid w:val="00086EF0"/>
    <w:rsid w:val="0008770B"/>
    <w:rsid w:val="00087E54"/>
    <w:rsid w:val="00092207"/>
    <w:rsid w:val="00093175"/>
    <w:rsid w:val="00093FC1"/>
    <w:rsid w:val="000943C5"/>
    <w:rsid w:val="00094B26"/>
    <w:rsid w:val="000950D2"/>
    <w:rsid w:val="00096063"/>
    <w:rsid w:val="000969F7"/>
    <w:rsid w:val="000A0A01"/>
    <w:rsid w:val="000A0CA8"/>
    <w:rsid w:val="000A18DE"/>
    <w:rsid w:val="000A1D39"/>
    <w:rsid w:val="000A39E7"/>
    <w:rsid w:val="000A6B7D"/>
    <w:rsid w:val="000B0730"/>
    <w:rsid w:val="000B1BF5"/>
    <w:rsid w:val="000B2BCA"/>
    <w:rsid w:val="000B4A49"/>
    <w:rsid w:val="000B4A4F"/>
    <w:rsid w:val="000B4B6D"/>
    <w:rsid w:val="000B4C3A"/>
    <w:rsid w:val="000C02D1"/>
    <w:rsid w:val="000C079B"/>
    <w:rsid w:val="000C0B8E"/>
    <w:rsid w:val="000C14F5"/>
    <w:rsid w:val="000C3CCB"/>
    <w:rsid w:val="000C4D20"/>
    <w:rsid w:val="000C6872"/>
    <w:rsid w:val="000C69EE"/>
    <w:rsid w:val="000C6A65"/>
    <w:rsid w:val="000C6E44"/>
    <w:rsid w:val="000C7BC5"/>
    <w:rsid w:val="000D1F43"/>
    <w:rsid w:val="000D42B9"/>
    <w:rsid w:val="000D5FAE"/>
    <w:rsid w:val="000D63C1"/>
    <w:rsid w:val="000D7D6C"/>
    <w:rsid w:val="000D7F6D"/>
    <w:rsid w:val="000E0A0E"/>
    <w:rsid w:val="000E4C65"/>
    <w:rsid w:val="000E520A"/>
    <w:rsid w:val="000E5480"/>
    <w:rsid w:val="000E5AA2"/>
    <w:rsid w:val="000E5BC3"/>
    <w:rsid w:val="000F21A1"/>
    <w:rsid w:val="000F2EF8"/>
    <w:rsid w:val="000F7AFC"/>
    <w:rsid w:val="00100515"/>
    <w:rsid w:val="00103CC9"/>
    <w:rsid w:val="001042FC"/>
    <w:rsid w:val="001045D5"/>
    <w:rsid w:val="001046BF"/>
    <w:rsid w:val="00107A57"/>
    <w:rsid w:val="00112825"/>
    <w:rsid w:val="00114C79"/>
    <w:rsid w:val="0011547E"/>
    <w:rsid w:val="0011558F"/>
    <w:rsid w:val="00116011"/>
    <w:rsid w:val="00117B59"/>
    <w:rsid w:val="0012017A"/>
    <w:rsid w:val="0012151F"/>
    <w:rsid w:val="0012445B"/>
    <w:rsid w:val="001259A3"/>
    <w:rsid w:val="00126500"/>
    <w:rsid w:val="00127266"/>
    <w:rsid w:val="00127350"/>
    <w:rsid w:val="001336B0"/>
    <w:rsid w:val="00137803"/>
    <w:rsid w:val="00137923"/>
    <w:rsid w:val="00137F44"/>
    <w:rsid w:val="00137F60"/>
    <w:rsid w:val="001406B9"/>
    <w:rsid w:val="00141261"/>
    <w:rsid w:val="00142DD5"/>
    <w:rsid w:val="0014352C"/>
    <w:rsid w:val="001441B2"/>
    <w:rsid w:val="00145742"/>
    <w:rsid w:val="00145FD8"/>
    <w:rsid w:val="00146203"/>
    <w:rsid w:val="00146231"/>
    <w:rsid w:val="00147B44"/>
    <w:rsid w:val="001506DA"/>
    <w:rsid w:val="00150C71"/>
    <w:rsid w:val="00153D97"/>
    <w:rsid w:val="00154DFF"/>
    <w:rsid w:val="00155F62"/>
    <w:rsid w:val="00156276"/>
    <w:rsid w:val="001570CB"/>
    <w:rsid w:val="001608A5"/>
    <w:rsid w:val="001618B0"/>
    <w:rsid w:val="00162CD4"/>
    <w:rsid w:val="00163DFD"/>
    <w:rsid w:val="00165108"/>
    <w:rsid w:val="00165A7E"/>
    <w:rsid w:val="00170A9C"/>
    <w:rsid w:val="001712EC"/>
    <w:rsid w:val="00171388"/>
    <w:rsid w:val="00171517"/>
    <w:rsid w:val="001717D0"/>
    <w:rsid w:val="0017192E"/>
    <w:rsid w:val="00171E0E"/>
    <w:rsid w:val="001815F7"/>
    <w:rsid w:val="00182727"/>
    <w:rsid w:val="00182DD5"/>
    <w:rsid w:val="001832CB"/>
    <w:rsid w:val="00185EC7"/>
    <w:rsid w:val="00186D44"/>
    <w:rsid w:val="0019113C"/>
    <w:rsid w:val="001916E5"/>
    <w:rsid w:val="00191EB9"/>
    <w:rsid w:val="00192672"/>
    <w:rsid w:val="00193101"/>
    <w:rsid w:val="001939EF"/>
    <w:rsid w:val="00193D16"/>
    <w:rsid w:val="00193DD0"/>
    <w:rsid w:val="0019459D"/>
    <w:rsid w:val="001A1343"/>
    <w:rsid w:val="001A22BA"/>
    <w:rsid w:val="001A41B7"/>
    <w:rsid w:val="001A4383"/>
    <w:rsid w:val="001A4B52"/>
    <w:rsid w:val="001A51AF"/>
    <w:rsid w:val="001A5EB7"/>
    <w:rsid w:val="001A6281"/>
    <w:rsid w:val="001A71D6"/>
    <w:rsid w:val="001A785B"/>
    <w:rsid w:val="001B12C3"/>
    <w:rsid w:val="001B28BF"/>
    <w:rsid w:val="001B693F"/>
    <w:rsid w:val="001B7AF5"/>
    <w:rsid w:val="001B7CB8"/>
    <w:rsid w:val="001C10BD"/>
    <w:rsid w:val="001C2308"/>
    <w:rsid w:val="001C38B9"/>
    <w:rsid w:val="001C3922"/>
    <w:rsid w:val="001C51FC"/>
    <w:rsid w:val="001C6FE8"/>
    <w:rsid w:val="001D4D86"/>
    <w:rsid w:val="001D755A"/>
    <w:rsid w:val="001D75A0"/>
    <w:rsid w:val="001D786F"/>
    <w:rsid w:val="001E2303"/>
    <w:rsid w:val="001E3452"/>
    <w:rsid w:val="001E355E"/>
    <w:rsid w:val="001E3E1E"/>
    <w:rsid w:val="001E4626"/>
    <w:rsid w:val="001E4B7E"/>
    <w:rsid w:val="001E638B"/>
    <w:rsid w:val="001E657A"/>
    <w:rsid w:val="001F04E4"/>
    <w:rsid w:val="001F0CAA"/>
    <w:rsid w:val="001F0EA0"/>
    <w:rsid w:val="001F1F44"/>
    <w:rsid w:val="001F46B7"/>
    <w:rsid w:val="001F4E52"/>
    <w:rsid w:val="001F521A"/>
    <w:rsid w:val="001F7482"/>
    <w:rsid w:val="001F76FE"/>
    <w:rsid w:val="002003E2"/>
    <w:rsid w:val="00200B24"/>
    <w:rsid w:val="00203231"/>
    <w:rsid w:val="00204031"/>
    <w:rsid w:val="00206F0F"/>
    <w:rsid w:val="002070FA"/>
    <w:rsid w:val="002074D5"/>
    <w:rsid w:val="00210331"/>
    <w:rsid w:val="00210EC7"/>
    <w:rsid w:val="00212CBA"/>
    <w:rsid w:val="0021410C"/>
    <w:rsid w:val="002144B5"/>
    <w:rsid w:val="00215FB0"/>
    <w:rsid w:val="002167F1"/>
    <w:rsid w:val="002212CB"/>
    <w:rsid w:val="00221803"/>
    <w:rsid w:val="00222377"/>
    <w:rsid w:val="0022301C"/>
    <w:rsid w:val="002238E9"/>
    <w:rsid w:val="00223F92"/>
    <w:rsid w:val="00225B4F"/>
    <w:rsid w:val="00225BAE"/>
    <w:rsid w:val="00227824"/>
    <w:rsid w:val="00230197"/>
    <w:rsid w:val="00231941"/>
    <w:rsid w:val="0023272D"/>
    <w:rsid w:val="002339A4"/>
    <w:rsid w:val="002362D4"/>
    <w:rsid w:val="00236358"/>
    <w:rsid w:val="0023647D"/>
    <w:rsid w:val="0023654B"/>
    <w:rsid w:val="00241A14"/>
    <w:rsid w:val="00243ED7"/>
    <w:rsid w:val="00244A21"/>
    <w:rsid w:val="00245E64"/>
    <w:rsid w:val="00245FA1"/>
    <w:rsid w:val="00250A7D"/>
    <w:rsid w:val="00251116"/>
    <w:rsid w:val="00251B12"/>
    <w:rsid w:val="00253E99"/>
    <w:rsid w:val="002603E6"/>
    <w:rsid w:val="0026128E"/>
    <w:rsid w:val="00262B27"/>
    <w:rsid w:val="00264EA4"/>
    <w:rsid w:val="0026706B"/>
    <w:rsid w:val="00270BD5"/>
    <w:rsid w:val="00271EE7"/>
    <w:rsid w:val="00272C1F"/>
    <w:rsid w:val="002741EB"/>
    <w:rsid w:val="00274F8E"/>
    <w:rsid w:val="002759EF"/>
    <w:rsid w:val="00276B2D"/>
    <w:rsid w:val="002774D9"/>
    <w:rsid w:val="002777DC"/>
    <w:rsid w:val="002806DC"/>
    <w:rsid w:val="00283DB2"/>
    <w:rsid w:val="00287457"/>
    <w:rsid w:val="00287AED"/>
    <w:rsid w:val="002900D9"/>
    <w:rsid w:val="00290D64"/>
    <w:rsid w:val="002920DD"/>
    <w:rsid w:val="00295291"/>
    <w:rsid w:val="00297BB0"/>
    <w:rsid w:val="002A594C"/>
    <w:rsid w:val="002B3D5B"/>
    <w:rsid w:val="002C03A0"/>
    <w:rsid w:val="002C43C8"/>
    <w:rsid w:val="002C4BA9"/>
    <w:rsid w:val="002C68CA"/>
    <w:rsid w:val="002C7515"/>
    <w:rsid w:val="002D233C"/>
    <w:rsid w:val="002D23D9"/>
    <w:rsid w:val="002D2C8C"/>
    <w:rsid w:val="002D451D"/>
    <w:rsid w:val="002D541D"/>
    <w:rsid w:val="002D6AE7"/>
    <w:rsid w:val="002E0832"/>
    <w:rsid w:val="002E2287"/>
    <w:rsid w:val="002E2A7E"/>
    <w:rsid w:val="002E31B5"/>
    <w:rsid w:val="002E41B1"/>
    <w:rsid w:val="002F1025"/>
    <w:rsid w:val="002F1463"/>
    <w:rsid w:val="002F1B73"/>
    <w:rsid w:val="002F3D3D"/>
    <w:rsid w:val="002F3E33"/>
    <w:rsid w:val="002F433F"/>
    <w:rsid w:val="002F7F40"/>
    <w:rsid w:val="003005A3"/>
    <w:rsid w:val="00302320"/>
    <w:rsid w:val="003034C3"/>
    <w:rsid w:val="00304092"/>
    <w:rsid w:val="0031054B"/>
    <w:rsid w:val="00310A73"/>
    <w:rsid w:val="003113E1"/>
    <w:rsid w:val="0031174D"/>
    <w:rsid w:val="00311D24"/>
    <w:rsid w:val="00311FAC"/>
    <w:rsid w:val="00314130"/>
    <w:rsid w:val="00316F36"/>
    <w:rsid w:val="00320119"/>
    <w:rsid w:val="00320389"/>
    <w:rsid w:val="00323D58"/>
    <w:rsid w:val="00326049"/>
    <w:rsid w:val="0032700B"/>
    <w:rsid w:val="00330582"/>
    <w:rsid w:val="0033206F"/>
    <w:rsid w:val="00332C7B"/>
    <w:rsid w:val="00332DE5"/>
    <w:rsid w:val="00333235"/>
    <w:rsid w:val="00335A36"/>
    <w:rsid w:val="00336495"/>
    <w:rsid w:val="0034051B"/>
    <w:rsid w:val="0034182B"/>
    <w:rsid w:val="003424E3"/>
    <w:rsid w:val="0034254D"/>
    <w:rsid w:val="00343C7D"/>
    <w:rsid w:val="00344455"/>
    <w:rsid w:val="0034465D"/>
    <w:rsid w:val="003457C3"/>
    <w:rsid w:val="003460C0"/>
    <w:rsid w:val="00347D3C"/>
    <w:rsid w:val="00353921"/>
    <w:rsid w:val="00354A06"/>
    <w:rsid w:val="00355394"/>
    <w:rsid w:val="003564B7"/>
    <w:rsid w:val="00356CD1"/>
    <w:rsid w:val="00357DE8"/>
    <w:rsid w:val="003618DE"/>
    <w:rsid w:val="00364ED8"/>
    <w:rsid w:val="00372678"/>
    <w:rsid w:val="00372A26"/>
    <w:rsid w:val="00374B94"/>
    <w:rsid w:val="00375368"/>
    <w:rsid w:val="00375E6C"/>
    <w:rsid w:val="00376175"/>
    <w:rsid w:val="00380306"/>
    <w:rsid w:val="00380454"/>
    <w:rsid w:val="00380795"/>
    <w:rsid w:val="00381DCE"/>
    <w:rsid w:val="00385129"/>
    <w:rsid w:val="00387CED"/>
    <w:rsid w:val="0039044A"/>
    <w:rsid w:val="00391EEF"/>
    <w:rsid w:val="00392F88"/>
    <w:rsid w:val="00395173"/>
    <w:rsid w:val="00396B82"/>
    <w:rsid w:val="00397349"/>
    <w:rsid w:val="00397C16"/>
    <w:rsid w:val="003A03F5"/>
    <w:rsid w:val="003A10EE"/>
    <w:rsid w:val="003A2EF9"/>
    <w:rsid w:val="003A3FC8"/>
    <w:rsid w:val="003A56A4"/>
    <w:rsid w:val="003A5EE8"/>
    <w:rsid w:val="003B2310"/>
    <w:rsid w:val="003B2A91"/>
    <w:rsid w:val="003B48E4"/>
    <w:rsid w:val="003B4FBD"/>
    <w:rsid w:val="003B6112"/>
    <w:rsid w:val="003C1023"/>
    <w:rsid w:val="003C2276"/>
    <w:rsid w:val="003C298B"/>
    <w:rsid w:val="003C2CA9"/>
    <w:rsid w:val="003C3111"/>
    <w:rsid w:val="003C415D"/>
    <w:rsid w:val="003C447D"/>
    <w:rsid w:val="003D2FD3"/>
    <w:rsid w:val="003D3368"/>
    <w:rsid w:val="003E172D"/>
    <w:rsid w:val="003E2930"/>
    <w:rsid w:val="003E39BE"/>
    <w:rsid w:val="003E73C8"/>
    <w:rsid w:val="003F0D25"/>
    <w:rsid w:val="003F23BF"/>
    <w:rsid w:val="003F2C72"/>
    <w:rsid w:val="003F2E50"/>
    <w:rsid w:val="003F3EDE"/>
    <w:rsid w:val="003F63A2"/>
    <w:rsid w:val="003F71E9"/>
    <w:rsid w:val="003F73BD"/>
    <w:rsid w:val="003F74A0"/>
    <w:rsid w:val="003F7744"/>
    <w:rsid w:val="0040108F"/>
    <w:rsid w:val="004010C9"/>
    <w:rsid w:val="00401CDA"/>
    <w:rsid w:val="00403134"/>
    <w:rsid w:val="0040416C"/>
    <w:rsid w:val="00410131"/>
    <w:rsid w:val="00412E76"/>
    <w:rsid w:val="0041334C"/>
    <w:rsid w:val="00413494"/>
    <w:rsid w:val="00413899"/>
    <w:rsid w:val="00417585"/>
    <w:rsid w:val="00420443"/>
    <w:rsid w:val="004211AC"/>
    <w:rsid w:val="004216C3"/>
    <w:rsid w:val="004277E7"/>
    <w:rsid w:val="00432A9F"/>
    <w:rsid w:val="004333D2"/>
    <w:rsid w:val="00433C11"/>
    <w:rsid w:val="004342E7"/>
    <w:rsid w:val="00434569"/>
    <w:rsid w:val="004347EA"/>
    <w:rsid w:val="00435E3A"/>
    <w:rsid w:val="0043614C"/>
    <w:rsid w:val="004374BD"/>
    <w:rsid w:val="004430D9"/>
    <w:rsid w:val="0044550A"/>
    <w:rsid w:val="00445689"/>
    <w:rsid w:val="00446F79"/>
    <w:rsid w:val="00450BC8"/>
    <w:rsid w:val="0045115D"/>
    <w:rsid w:val="004524CE"/>
    <w:rsid w:val="0045388E"/>
    <w:rsid w:val="00453C6C"/>
    <w:rsid w:val="00454A8F"/>
    <w:rsid w:val="00455040"/>
    <w:rsid w:val="004554A4"/>
    <w:rsid w:val="00461258"/>
    <w:rsid w:val="004629B9"/>
    <w:rsid w:val="004647C9"/>
    <w:rsid w:val="00466B01"/>
    <w:rsid w:val="00470729"/>
    <w:rsid w:val="004754D0"/>
    <w:rsid w:val="00476B27"/>
    <w:rsid w:val="00477519"/>
    <w:rsid w:val="00480631"/>
    <w:rsid w:val="004808B5"/>
    <w:rsid w:val="00481156"/>
    <w:rsid w:val="00482384"/>
    <w:rsid w:val="004825DF"/>
    <w:rsid w:val="00482868"/>
    <w:rsid w:val="00484B75"/>
    <w:rsid w:val="00485ACF"/>
    <w:rsid w:val="004867C6"/>
    <w:rsid w:val="004875DF"/>
    <w:rsid w:val="00490D98"/>
    <w:rsid w:val="00491DAB"/>
    <w:rsid w:val="00492BC8"/>
    <w:rsid w:val="004949B1"/>
    <w:rsid w:val="00497790"/>
    <w:rsid w:val="004A00B7"/>
    <w:rsid w:val="004A01BC"/>
    <w:rsid w:val="004A05ED"/>
    <w:rsid w:val="004A1215"/>
    <w:rsid w:val="004A30E0"/>
    <w:rsid w:val="004A4B74"/>
    <w:rsid w:val="004A5385"/>
    <w:rsid w:val="004B6CF6"/>
    <w:rsid w:val="004B6EF7"/>
    <w:rsid w:val="004C0203"/>
    <w:rsid w:val="004C048D"/>
    <w:rsid w:val="004C0A39"/>
    <w:rsid w:val="004C0D8E"/>
    <w:rsid w:val="004C1029"/>
    <w:rsid w:val="004C2659"/>
    <w:rsid w:val="004C335E"/>
    <w:rsid w:val="004C3743"/>
    <w:rsid w:val="004C4E2C"/>
    <w:rsid w:val="004C780C"/>
    <w:rsid w:val="004C78FD"/>
    <w:rsid w:val="004C7AA4"/>
    <w:rsid w:val="004D23D9"/>
    <w:rsid w:val="004D29FC"/>
    <w:rsid w:val="004D3E10"/>
    <w:rsid w:val="004D61B8"/>
    <w:rsid w:val="004D6A4F"/>
    <w:rsid w:val="004D6BFA"/>
    <w:rsid w:val="004D7079"/>
    <w:rsid w:val="004D7B60"/>
    <w:rsid w:val="004D7C3F"/>
    <w:rsid w:val="004D7F16"/>
    <w:rsid w:val="004E0443"/>
    <w:rsid w:val="004E066D"/>
    <w:rsid w:val="004E435A"/>
    <w:rsid w:val="004E4EDF"/>
    <w:rsid w:val="004E4FF5"/>
    <w:rsid w:val="004F0C51"/>
    <w:rsid w:val="004F2CFB"/>
    <w:rsid w:val="004F3D42"/>
    <w:rsid w:val="004F47D1"/>
    <w:rsid w:val="004F5D27"/>
    <w:rsid w:val="0050080F"/>
    <w:rsid w:val="00502B52"/>
    <w:rsid w:val="00504475"/>
    <w:rsid w:val="00505CB1"/>
    <w:rsid w:val="005076A0"/>
    <w:rsid w:val="00510627"/>
    <w:rsid w:val="00510A07"/>
    <w:rsid w:val="00510F4F"/>
    <w:rsid w:val="00511591"/>
    <w:rsid w:val="00511FDF"/>
    <w:rsid w:val="005126FB"/>
    <w:rsid w:val="00513381"/>
    <w:rsid w:val="00513A57"/>
    <w:rsid w:val="00517AA7"/>
    <w:rsid w:val="00523971"/>
    <w:rsid w:val="00525CB3"/>
    <w:rsid w:val="00526801"/>
    <w:rsid w:val="00531515"/>
    <w:rsid w:val="005324BD"/>
    <w:rsid w:val="00541C7D"/>
    <w:rsid w:val="005429FF"/>
    <w:rsid w:val="00542BAE"/>
    <w:rsid w:val="0054720A"/>
    <w:rsid w:val="00547362"/>
    <w:rsid w:val="005479B3"/>
    <w:rsid w:val="00547F08"/>
    <w:rsid w:val="0055069B"/>
    <w:rsid w:val="00551119"/>
    <w:rsid w:val="00551F20"/>
    <w:rsid w:val="00553F78"/>
    <w:rsid w:val="0055412E"/>
    <w:rsid w:val="00556879"/>
    <w:rsid w:val="00557586"/>
    <w:rsid w:val="00561204"/>
    <w:rsid w:val="0056206D"/>
    <w:rsid w:val="00562821"/>
    <w:rsid w:val="00562DB6"/>
    <w:rsid w:val="005635B0"/>
    <w:rsid w:val="00564349"/>
    <w:rsid w:val="0056450E"/>
    <w:rsid w:val="00565A44"/>
    <w:rsid w:val="00565E82"/>
    <w:rsid w:val="005665CA"/>
    <w:rsid w:val="005714C3"/>
    <w:rsid w:val="00571535"/>
    <w:rsid w:val="00575DBA"/>
    <w:rsid w:val="0058136C"/>
    <w:rsid w:val="0058142F"/>
    <w:rsid w:val="00581537"/>
    <w:rsid w:val="00583523"/>
    <w:rsid w:val="005839E6"/>
    <w:rsid w:val="0058516E"/>
    <w:rsid w:val="0058590A"/>
    <w:rsid w:val="00586061"/>
    <w:rsid w:val="00587FC6"/>
    <w:rsid w:val="005905DC"/>
    <w:rsid w:val="005913E9"/>
    <w:rsid w:val="00592EA2"/>
    <w:rsid w:val="00594E7E"/>
    <w:rsid w:val="005A1A59"/>
    <w:rsid w:val="005A1D01"/>
    <w:rsid w:val="005A2042"/>
    <w:rsid w:val="005A3BFC"/>
    <w:rsid w:val="005A582E"/>
    <w:rsid w:val="005A661E"/>
    <w:rsid w:val="005A6C0D"/>
    <w:rsid w:val="005B0F59"/>
    <w:rsid w:val="005B15B3"/>
    <w:rsid w:val="005B197E"/>
    <w:rsid w:val="005B3EB7"/>
    <w:rsid w:val="005B4C86"/>
    <w:rsid w:val="005B6710"/>
    <w:rsid w:val="005C0E21"/>
    <w:rsid w:val="005C322A"/>
    <w:rsid w:val="005C35B1"/>
    <w:rsid w:val="005C4506"/>
    <w:rsid w:val="005C6B63"/>
    <w:rsid w:val="005D0800"/>
    <w:rsid w:val="005D0D00"/>
    <w:rsid w:val="005D0D40"/>
    <w:rsid w:val="005D13CF"/>
    <w:rsid w:val="005D2463"/>
    <w:rsid w:val="005D2503"/>
    <w:rsid w:val="005D331C"/>
    <w:rsid w:val="005D4021"/>
    <w:rsid w:val="005D4F05"/>
    <w:rsid w:val="005E065F"/>
    <w:rsid w:val="005E079A"/>
    <w:rsid w:val="005E106E"/>
    <w:rsid w:val="005E27EA"/>
    <w:rsid w:val="005E4300"/>
    <w:rsid w:val="005E62D5"/>
    <w:rsid w:val="005E66D1"/>
    <w:rsid w:val="005E6A4E"/>
    <w:rsid w:val="005E73E8"/>
    <w:rsid w:val="005E7CD7"/>
    <w:rsid w:val="005E7F00"/>
    <w:rsid w:val="005F0A9F"/>
    <w:rsid w:val="005F0DD5"/>
    <w:rsid w:val="005F13FA"/>
    <w:rsid w:val="005F4454"/>
    <w:rsid w:val="005F5A11"/>
    <w:rsid w:val="005F7BEB"/>
    <w:rsid w:val="00600721"/>
    <w:rsid w:val="00601A93"/>
    <w:rsid w:val="00601AB1"/>
    <w:rsid w:val="006021F9"/>
    <w:rsid w:val="00602266"/>
    <w:rsid w:val="00603130"/>
    <w:rsid w:val="00604D53"/>
    <w:rsid w:val="00607045"/>
    <w:rsid w:val="00607136"/>
    <w:rsid w:val="00607472"/>
    <w:rsid w:val="00610A76"/>
    <w:rsid w:val="00611194"/>
    <w:rsid w:val="0061732F"/>
    <w:rsid w:val="00617379"/>
    <w:rsid w:val="0062041F"/>
    <w:rsid w:val="006220E2"/>
    <w:rsid w:val="00624CBC"/>
    <w:rsid w:val="0063091A"/>
    <w:rsid w:val="0063138E"/>
    <w:rsid w:val="0063143C"/>
    <w:rsid w:val="00631C3B"/>
    <w:rsid w:val="00633332"/>
    <w:rsid w:val="006346C0"/>
    <w:rsid w:val="0063490E"/>
    <w:rsid w:val="006372D0"/>
    <w:rsid w:val="00637603"/>
    <w:rsid w:val="006377A4"/>
    <w:rsid w:val="00642DD3"/>
    <w:rsid w:val="00643BE7"/>
    <w:rsid w:val="00647C0B"/>
    <w:rsid w:val="00650B1C"/>
    <w:rsid w:val="00650FE0"/>
    <w:rsid w:val="006550D0"/>
    <w:rsid w:val="00657743"/>
    <w:rsid w:val="00657A7B"/>
    <w:rsid w:val="00661AE0"/>
    <w:rsid w:val="00662229"/>
    <w:rsid w:val="0066225D"/>
    <w:rsid w:val="00664126"/>
    <w:rsid w:val="00664AD5"/>
    <w:rsid w:val="00665FD1"/>
    <w:rsid w:val="006667C2"/>
    <w:rsid w:val="00670656"/>
    <w:rsid w:val="00672758"/>
    <w:rsid w:val="006727D9"/>
    <w:rsid w:val="00675218"/>
    <w:rsid w:val="00675683"/>
    <w:rsid w:val="00675D80"/>
    <w:rsid w:val="00676123"/>
    <w:rsid w:val="00676526"/>
    <w:rsid w:val="006776E5"/>
    <w:rsid w:val="006778A5"/>
    <w:rsid w:val="006807B2"/>
    <w:rsid w:val="00684C7C"/>
    <w:rsid w:val="00685AA9"/>
    <w:rsid w:val="00685AD9"/>
    <w:rsid w:val="00685ED3"/>
    <w:rsid w:val="00686E09"/>
    <w:rsid w:val="0068780B"/>
    <w:rsid w:val="00690810"/>
    <w:rsid w:val="00691998"/>
    <w:rsid w:val="00691B3E"/>
    <w:rsid w:val="00692FE0"/>
    <w:rsid w:val="00695D05"/>
    <w:rsid w:val="00696A7D"/>
    <w:rsid w:val="006970AB"/>
    <w:rsid w:val="0069728F"/>
    <w:rsid w:val="00697885"/>
    <w:rsid w:val="00697CCD"/>
    <w:rsid w:val="00697F9E"/>
    <w:rsid w:val="006A0BA1"/>
    <w:rsid w:val="006A2704"/>
    <w:rsid w:val="006A2D9E"/>
    <w:rsid w:val="006A2E8A"/>
    <w:rsid w:val="006A6755"/>
    <w:rsid w:val="006A69CD"/>
    <w:rsid w:val="006A7960"/>
    <w:rsid w:val="006B1915"/>
    <w:rsid w:val="006B1C9A"/>
    <w:rsid w:val="006B2DE8"/>
    <w:rsid w:val="006B3CAD"/>
    <w:rsid w:val="006B43AD"/>
    <w:rsid w:val="006B5321"/>
    <w:rsid w:val="006B6DE1"/>
    <w:rsid w:val="006B7BA3"/>
    <w:rsid w:val="006C08F8"/>
    <w:rsid w:val="006C1BB2"/>
    <w:rsid w:val="006C1D90"/>
    <w:rsid w:val="006C33F6"/>
    <w:rsid w:val="006C3B03"/>
    <w:rsid w:val="006C4DAA"/>
    <w:rsid w:val="006C7747"/>
    <w:rsid w:val="006D01DC"/>
    <w:rsid w:val="006D0627"/>
    <w:rsid w:val="006D0BAC"/>
    <w:rsid w:val="006D17F9"/>
    <w:rsid w:val="006D1933"/>
    <w:rsid w:val="006D2880"/>
    <w:rsid w:val="006D426F"/>
    <w:rsid w:val="006D5989"/>
    <w:rsid w:val="006D6319"/>
    <w:rsid w:val="006E1644"/>
    <w:rsid w:val="006E2E64"/>
    <w:rsid w:val="006E2F9F"/>
    <w:rsid w:val="006E2FD2"/>
    <w:rsid w:val="006E314A"/>
    <w:rsid w:val="006E4181"/>
    <w:rsid w:val="006E4231"/>
    <w:rsid w:val="006E6370"/>
    <w:rsid w:val="006E78E4"/>
    <w:rsid w:val="006F0B3E"/>
    <w:rsid w:val="006F189E"/>
    <w:rsid w:val="006F1CC8"/>
    <w:rsid w:val="006F2CF0"/>
    <w:rsid w:val="006F31F7"/>
    <w:rsid w:val="006F3D20"/>
    <w:rsid w:val="006F7232"/>
    <w:rsid w:val="006F7241"/>
    <w:rsid w:val="006F7B75"/>
    <w:rsid w:val="00700706"/>
    <w:rsid w:val="0070092E"/>
    <w:rsid w:val="00701430"/>
    <w:rsid w:val="00701992"/>
    <w:rsid w:val="00701A3B"/>
    <w:rsid w:val="00701EB8"/>
    <w:rsid w:val="00704B5A"/>
    <w:rsid w:val="007057CB"/>
    <w:rsid w:val="00706CC5"/>
    <w:rsid w:val="00706E5D"/>
    <w:rsid w:val="0070746F"/>
    <w:rsid w:val="00707836"/>
    <w:rsid w:val="007102CB"/>
    <w:rsid w:val="00713496"/>
    <w:rsid w:val="00720787"/>
    <w:rsid w:val="00722AB9"/>
    <w:rsid w:val="00725BD3"/>
    <w:rsid w:val="00727B24"/>
    <w:rsid w:val="00727BA9"/>
    <w:rsid w:val="007311BD"/>
    <w:rsid w:val="00731C2F"/>
    <w:rsid w:val="007334D9"/>
    <w:rsid w:val="00733F97"/>
    <w:rsid w:val="00735BCF"/>
    <w:rsid w:val="00735DCA"/>
    <w:rsid w:val="00736B97"/>
    <w:rsid w:val="007406F2"/>
    <w:rsid w:val="00744184"/>
    <w:rsid w:val="007459C9"/>
    <w:rsid w:val="00750FBD"/>
    <w:rsid w:val="00752167"/>
    <w:rsid w:val="0075266F"/>
    <w:rsid w:val="007530A8"/>
    <w:rsid w:val="00755C59"/>
    <w:rsid w:val="00755CB3"/>
    <w:rsid w:val="007573B3"/>
    <w:rsid w:val="00757FDD"/>
    <w:rsid w:val="00762241"/>
    <w:rsid w:val="00762BFA"/>
    <w:rsid w:val="007630FC"/>
    <w:rsid w:val="0076316A"/>
    <w:rsid w:val="00763E60"/>
    <w:rsid w:val="0076488C"/>
    <w:rsid w:val="00767869"/>
    <w:rsid w:val="007709F0"/>
    <w:rsid w:val="00770D6A"/>
    <w:rsid w:val="00772610"/>
    <w:rsid w:val="007735B0"/>
    <w:rsid w:val="00773D75"/>
    <w:rsid w:val="007740DD"/>
    <w:rsid w:val="00774C5D"/>
    <w:rsid w:val="00776658"/>
    <w:rsid w:val="00777F27"/>
    <w:rsid w:val="00780DA5"/>
    <w:rsid w:val="00783602"/>
    <w:rsid w:val="00785050"/>
    <w:rsid w:val="00785F46"/>
    <w:rsid w:val="0078752E"/>
    <w:rsid w:val="0079069E"/>
    <w:rsid w:val="0079126C"/>
    <w:rsid w:val="00791E95"/>
    <w:rsid w:val="00793897"/>
    <w:rsid w:val="00793E70"/>
    <w:rsid w:val="00794747"/>
    <w:rsid w:val="00795605"/>
    <w:rsid w:val="00797CF0"/>
    <w:rsid w:val="007A005A"/>
    <w:rsid w:val="007A3EF1"/>
    <w:rsid w:val="007A50A6"/>
    <w:rsid w:val="007A5A47"/>
    <w:rsid w:val="007A6D08"/>
    <w:rsid w:val="007A7824"/>
    <w:rsid w:val="007A7B0E"/>
    <w:rsid w:val="007B01CB"/>
    <w:rsid w:val="007B023C"/>
    <w:rsid w:val="007B26E6"/>
    <w:rsid w:val="007B4AFE"/>
    <w:rsid w:val="007B7527"/>
    <w:rsid w:val="007C0C84"/>
    <w:rsid w:val="007C2722"/>
    <w:rsid w:val="007C4204"/>
    <w:rsid w:val="007C423D"/>
    <w:rsid w:val="007C52BE"/>
    <w:rsid w:val="007C5A23"/>
    <w:rsid w:val="007C6EAF"/>
    <w:rsid w:val="007C71F9"/>
    <w:rsid w:val="007D1A40"/>
    <w:rsid w:val="007D1E44"/>
    <w:rsid w:val="007D2D5E"/>
    <w:rsid w:val="007D3735"/>
    <w:rsid w:val="007D4CA5"/>
    <w:rsid w:val="007D5643"/>
    <w:rsid w:val="007D77DD"/>
    <w:rsid w:val="007D7F0D"/>
    <w:rsid w:val="007E3256"/>
    <w:rsid w:val="007E3FF2"/>
    <w:rsid w:val="007E65A9"/>
    <w:rsid w:val="007E6BE3"/>
    <w:rsid w:val="007E7DB4"/>
    <w:rsid w:val="007F0619"/>
    <w:rsid w:val="007F3D26"/>
    <w:rsid w:val="007F469E"/>
    <w:rsid w:val="007F4CBC"/>
    <w:rsid w:val="007F692A"/>
    <w:rsid w:val="00800159"/>
    <w:rsid w:val="00802196"/>
    <w:rsid w:val="00802F4B"/>
    <w:rsid w:val="00805DF6"/>
    <w:rsid w:val="008120A4"/>
    <w:rsid w:val="00812479"/>
    <w:rsid w:val="00813DC5"/>
    <w:rsid w:val="00813F1C"/>
    <w:rsid w:val="00814888"/>
    <w:rsid w:val="008200C9"/>
    <w:rsid w:val="00822979"/>
    <w:rsid w:val="008232DB"/>
    <w:rsid w:val="00825FBD"/>
    <w:rsid w:val="00830142"/>
    <w:rsid w:val="00831142"/>
    <w:rsid w:val="00831494"/>
    <w:rsid w:val="0083332A"/>
    <w:rsid w:val="008351C4"/>
    <w:rsid w:val="008369DC"/>
    <w:rsid w:val="00837B44"/>
    <w:rsid w:val="008413E5"/>
    <w:rsid w:val="0084259D"/>
    <w:rsid w:val="008438E6"/>
    <w:rsid w:val="00843DAD"/>
    <w:rsid w:val="0084422C"/>
    <w:rsid w:val="008449B1"/>
    <w:rsid w:val="00845DE7"/>
    <w:rsid w:val="008502FA"/>
    <w:rsid w:val="008515D2"/>
    <w:rsid w:val="0085187C"/>
    <w:rsid w:val="0085209D"/>
    <w:rsid w:val="008520CF"/>
    <w:rsid w:val="00852CFE"/>
    <w:rsid w:val="00852E85"/>
    <w:rsid w:val="00853371"/>
    <w:rsid w:val="00853EE8"/>
    <w:rsid w:val="0085412A"/>
    <w:rsid w:val="0085455A"/>
    <w:rsid w:val="00855B81"/>
    <w:rsid w:val="00856C9B"/>
    <w:rsid w:val="00862E5E"/>
    <w:rsid w:val="00864C66"/>
    <w:rsid w:val="00864D0B"/>
    <w:rsid w:val="0087076C"/>
    <w:rsid w:val="00871E53"/>
    <w:rsid w:val="00874934"/>
    <w:rsid w:val="008759B3"/>
    <w:rsid w:val="00876576"/>
    <w:rsid w:val="00876A03"/>
    <w:rsid w:val="008770F7"/>
    <w:rsid w:val="008779C4"/>
    <w:rsid w:val="00881692"/>
    <w:rsid w:val="008825AF"/>
    <w:rsid w:val="00882CC5"/>
    <w:rsid w:val="0088395E"/>
    <w:rsid w:val="0088439F"/>
    <w:rsid w:val="0088458B"/>
    <w:rsid w:val="00885438"/>
    <w:rsid w:val="008872E7"/>
    <w:rsid w:val="00887792"/>
    <w:rsid w:val="008878CF"/>
    <w:rsid w:val="00887C12"/>
    <w:rsid w:val="008914FB"/>
    <w:rsid w:val="008929A5"/>
    <w:rsid w:val="00894770"/>
    <w:rsid w:val="008957FE"/>
    <w:rsid w:val="00895E7D"/>
    <w:rsid w:val="008970D9"/>
    <w:rsid w:val="008A10E0"/>
    <w:rsid w:val="008A1191"/>
    <w:rsid w:val="008A3F4A"/>
    <w:rsid w:val="008A4C51"/>
    <w:rsid w:val="008B068C"/>
    <w:rsid w:val="008B23EA"/>
    <w:rsid w:val="008B3D52"/>
    <w:rsid w:val="008B3EBE"/>
    <w:rsid w:val="008B3ED6"/>
    <w:rsid w:val="008B69AC"/>
    <w:rsid w:val="008C1917"/>
    <w:rsid w:val="008C302F"/>
    <w:rsid w:val="008C379C"/>
    <w:rsid w:val="008C4DD9"/>
    <w:rsid w:val="008C686D"/>
    <w:rsid w:val="008D0BAA"/>
    <w:rsid w:val="008D19C4"/>
    <w:rsid w:val="008D238C"/>
    <w:rsid w:val="008D3FD2"/>
    <w:rsid w:val="008D4D70"/>
    <w:rsid w:val="008D5328"/>
    <w:rsid w:val="008D5450"/>
    <w:rsid w:val="008D54B7"/>
    <w:rsid w:val="008E0031"/>
    <w:rsid w:val="008E0CB0"/>
    <w:rsid w:val="008E64A8"/>
    <w:rsid w:val="008E682E"/>
    <w:rsid w:val="008F16A2"/>
    <w:rsid w:val="008F2904"/>
    <w:rsid w:val="008F2C88"/>
    <w:rsid w:val="008F45F3"/>
    <w:rsid w:val="008F50C8"/>
    <w:rsid w:val="008F5ACF"/>
    <w:rsid w:val="008F5B14"/>
    <w:rsid w:val="008F72CB"/>
    <w:rsid w:val="008F7779"/>
    <w:rsid w:val="009015A8"/>
    <w:rsid w:val="00906364"/>
    <w:rsid w:val="00911623"/>
    <w:rsid w:val="0091263A"/>
    <w:rsid w:val="00913354"/>
    <w:rsid w:val="009136CC"/>
    <w:rsid w:val="009167B4"/>
    <w:rsid w:val="00917445"/>
    <w:rsid w:val="009220F7"/>
    <w:rsid w:val="0092545C"/>
    <w:rsid w:val="00925C7D"/>
    <w:rsid w:val="00926759"/>
    <w:rsid w:val="00930132"/>
    <w:rsid w:val="009302BC"/>
    <w:rsid w:val="0093054A"/>
    <w:rsid w:val="00932937"/>
    <w:rsid w:val="00932F1D"/>
    <w:rsid w:val="0093397E"/>
    <w:rsid w:val="009342CD"/>
    <w:rsid w:val="00940F4A"/>
    <w:rsid w:val="009410A9"/>
    <w:rsid w:val="00941D70"/>
    <w:rsid w:val="00942FFF"/>
    <w:rsid w:val="009441C2"/>
    <w:rsid w:val="009442A5"/>
    <w:rsid w:val="009466C0"/>
    <w:rsid w:val="009468B8"/>
    <w:rsid w:val="00946A9A"/>
    <w:rsid w:val="00950F3D"/>
    <w:rsid w:val="00951C2A"/>
    <w:rsid w:val="00951EF0"/>
    <w:rsid w:val="00952D05"/>
    <w:rsid w:val="009577E4"/>
    <w:rsid w:val="00962C06"/>
    <w:rsid w:val="0096347B"/>
    <w:rsid w:val="0096358E"/>
    <w:rsid w:val="00963EB0"/>
    <w:rsid w:val="00965EF5"/>
    <w:rsid w:val="009668FC"/>
    <w:rsid w:val="0097242A"/>
    <w:rsid w:val="009739C9"/>
    <w:rsid w:val="00973C32"/>
    <w:rsid w:val="00974A8E"/>
    <w:rsid w:val="009759CB"/>
    <w:rsid w:val="0098069F"/>
    <w:rsid w:val="00981142"/>
    <w:rsid w:val="00981EBE"/>
    <w:rsid w:val="00982909"/>
    <w:rsid w:val="00984022"/>
    <w:rsid w:val="009871A3"/>
    <w:rsid w:val="00987664"/>
    <w:rsid w:val="0099113A"/>
    <w:rsid w:val="009913D3"/>
    <w:rsid w:val="00991E72"/>
    <w:rsid w:val="009942E7"/>
    <w:rsid w:val="009950B3"/>
    <w:rsid w:val="00996804"/>
    <w:rsid w:val="00997871"/>
    <w:rsid w:val="009A0174"/>
    <w:rsid w:val="009A12FE"/>
    <w:rsid w:val="009A4D96"/>
    <w:rsid w:val="009A5420"/>
    <w:rsid w:val="009A54DA"/>
    <w:rsid w:val="009B1492"/>
    <w:rsid w:val="009B38F2"/>
    <w:rsid w:val="009B4D36"/>
    <w:rsid w:val="009B56F4"/>
    <w:rsid w:val="009B684F"/>
    <w:rsid w:val="009B6E74"/>
    <w:rsid w:val="009C0AF9"/>
    <w:rsid w:val="009C0CE3"/>
    <w:rsid w:val="009C19B4"/>
    <w:rsid w:val="009C1C05"/>
    <w:rsid w:val="009C1E9E"/>
    <w:rsid w:val="009C2A28"/>
    <w:rsid w:val="009C2BE7"/>
    <w:rsid w:val="009C30BE"/>
    <w:rsid w:val="009C3393"/>
    <w:rsid w:val="009C3E62"/>
    <w:rsid w:val="009C5B0E"/>
    <w:rsid w:val="009C64CD"/>
    <w:rsid w:val="009C70A1"/>
    <w:rsid w:val="009C7E47"/>
    <w:rsid w:val="009D0495"/>
    <w:rsid w:val="009D0681"/>
    <w:rsid w:val="009D1784"/>
    <w:rsid w:val="009D22E5"/>
    <w:rsid w:val="009D27C4"/>
    <w:rsid w:val="009D4CF6"/>
    <w:rsid w:val="009D4E7C"/>
    <w:rsid w:val="009D582C"/>
    <w:rsid w:val="009E004D"/>
    <w:rsid w:val="009E3A26"/>
    <w:rsid w:val="009E3BE8"/>
    <w:rsid w:val="009F0978"/>
    <w:rsid w:val="009F0AC8"/>
    <w:rsid w:val="009F0B36"/>
    <w:rsid w:val="009F3349"/>
    <w:rsid w:val="009F384A"/>
    <w:rsid w:val="009F50FC"/>
    <w:rsid w:val="009F736B"/>
    <w:rsid w:val="009F7394"/>
    <w:rsid w:val="00A01B65"/>
    <w:rsid w:val="00A041DE"/>
    <w:rsid w:val="00A05AE8"/>
    <w:rsid w:val="00A0627A"/>
    <w:rsid w:val="00A06D61"/>
    <w:rsid w:val="00A100EE"/>
    <w:rsid w:val="00A10D59"/>
    <w:rsid w:val="00A10DA2"/>
    <w:rsid w:val="00A11EDE"/>
    <w:rsid w:val="00A11FC6"/>
    <w:rsid w:val="00A120BF"/>
    <w:rsid w:val="00A137E6"/>
    <w:rsid w:val="00A15FB1"/>
    <w:rsid w:val="00A16EC3"/>
    <w:rsid w:val="00A1762C"/>
    <w:rsid w:val="00A216C0"/>
    <w:rsid w:val="00A21BAD"/>
    <w:rsid w:val="00A24BBD"/>
    <w:rsid w:val="00A24CA2"/>
    <w:rsid w:val="00A261D8"/>
    <w:rsid w:val="00A26BD6"/>
    <w:rsid w:val="00A31388"/>
    <w:rsid w:val="00A31E82"/>
    <w:rsid w:val="00A3251D"/>
    <w:rsid w:val="00A327FE"/>
    <w:rsid w:val="00A34744"/>
    <w:rsid w:val="00A34F67"/>
    <w:rsid w:val="00A350FB"/>
    <w:rsid w:val="00A351B1"/>
    <w:rsid w:val="00A35E01"/>
    <w:rsid w:val="00A35F65"/>
    <w:rsid w:val="00A40791"/>
    <w:rsid w:val="00A41678"/>
    <w:rsid w:val="00A42156"/>
    <w:rsid w:val="00A43C9A"/>
    <w:rsid w:val="00A44CD0"/>
    <w:rsid w:val="00A44F45"/>
    <w:rsid w:val="00A45284"/>
    <w:rsid w:val="00A46120"/>
    <w:rsid w:val="00A46130"/>
    <w:rsid w:val="00A52626"/>
    <w:rsid w:val="00A527DD"/>
    <w:rsid w:val="00A52F05"/>
    <w:rsid w:val="00A5375A"/>
    <w:rsid w:val="00A541CA"/>
    <w:rsid w:val="00A54F00"/>
    <w:rsid w:val="00A571BC"/>
    <w:rsid w:val="00A62490"/>
    <w:rsid w:val="00A62B63"/>
    <w:rsid w:val="00A675BE"/>
    <w:rsid w:val="00A70EAE"/>
    <w:rsid w:val="00A71843"/>
    <w:rsid w:val="00A734D5"/>
    <w:rsid w:val="00A74DF0"/>
    <w:rsid w:val="00A75180"/>
    <w:rsid w:val="00A769CE"/>
    <w:rsid w:val="00A77D0F"/>
    <w:rsid w:val="00A80DD9"/>
    <w:rsid w:val="00A81A60"/>
    <w:rsid w:val="00A81F38"/>
    <w:rsid w:val="00A8222F"/>
    <w:rsid w:val="00A829B2"/>
    <w:rsid w:val="00A836EA"/>
    <w:rsid w:val="00A83D56"/>
    <w:rsid w:val="00A85916"/>
    <w:rsid w:val="00A86DF4"/>
    <w:rsid w:val="00A87576"/>
    <w:rsid w:val="00A900B6"/>
    <w:rsid w:val="00A900EB"/>
    <w:rsid w:val="00A909BB"/>
    <w:rsid w:val="00A9231C"/>
    <w:rsid w:val="00A93616"/>
    <w:rsid w:val="00A938AA"/>
    <w:rsid w:val="00A93F22"/>
    <w:rsid w:val="00A95477"/>
    <w:rsid w:val="00A95963"/>
    <w:rsid w:val="00A977A6"/>
    <w:rsid w:val="00AA0A64"/>
    <w:rsid w:val="00AA1029"/>
    <w:rsid w:val="00AA19A4"/>
    <w:rsid w:val="00AA6606"/>
    <w:rsid w:val="00AB3814"/>
    <w:rsid w:val="00AB4075"/>
    <w:rsid w:val="00AB450E"/>
    <w:rsid w:val="00AB5D80"/>
    <w:rsid w:val="00AB6A47"/>
    <w:rsid w:val="00AB7A30"/>
    <w:rsid w:val="00AC4A0D"/>
    <w:rsid w:val="00AC4C7F"/>
    <w:rsid w:val="00AC5492"/>
    <w:rsid w:val="00AC6944"/>
    <w:rsid w:val="00AD001A"/>
    <w:rsid w:val="00AD0459"/>
    <w:rsid w:val="00AD21CA"/>
    <w:rsid w:val="00AD290E"/>
    <w:rsid w:val="00AD31C4"/>
    <w:rsid w:val="00AD3F80"/>
    <w:rsid w:val="00AD4C18"/>
    <w:rsid w:val="00AD52FF"/>
    <w:rsid w:val="00AD6039"/>
    <w:rsid w:val="00AD638C"/>
    <w:rsid w:val="00AD6ECB"/>
    <w:rsid w:val="00AD6F6B"/>
    <w:rsid w:val="00AD7E16"/>
    <w:rsid w:val="00AE09C0"/>
    <w:rsid w:val="00AE2D1A"/>
    <w:rsid w:val="00AE31B3"/>
    <w:rsid w:val="00AE3CC5"/>
    <w:rsid w:val="00AE42A6"/>
    <w:rsid w:val="00AE5079"/>
    <w:rsid w:val="00AE55FB"/>
    <w:rsid w:val="00AF0DC9"/>
    <w:rsid w:val="00AF1FD4"/>
    <w:rsid w:val="00AF27EA"/>
    <w:rsid w:val="00AF4DE4"/>
    <w:rsid w:val="00AF51A4"/>
    <w:rsid w:val="00AF547B"/>
    <w:rsid w:val="00B00EA5"/>
    <w:rsid w:val="00B01D69"/>
    <w:rsid w:val="00B020EF"/>
    <w:rsid w:val="00B03F76"/>
    <w:rsid w:val="00B0483C"/>
    <w:rsid w:val="00B070F1"/>
    <w:rsid w:val="00B071A2"/>
    <w:rsid w:val="00B10942"/>
    <w:rsid w:val="00B10AC6"/>
    <w:rsid w:val="00B11A7B"/>
    <w:rsid w:val="00B15D11"/>
    <w:rsid w:val="00B15F8B"/>
    <w:rsid w:val="00B20115"/>
    <w:rsid w:val="00B21AC8"/>
    <w:rsid w:val="00B233FD"/>
    <w:rsid w:val="00B24323"/>
    <w:rsid w:val="00B26144"/>
    <w:rsid w:val="00B30A20"/>
    <w:rsid w:val="00B31FB2"/>
    <w:rsid w:val="00B33049"/>
    <w:rsid w:val="00B337AD"/>
    <w:rsid w:val="00B34546"/>
    <w:rsid w:val="00B348C0"/>
    <w:rsid w:val="00B34B6D"/>
    <w:rsid w:val="00B34BCC"/>
    <w:rsid w:val="00B34D24"/>
    <w:rsid w:val="00B35F07"/>
    <w:rsid w:val="00B36BF4"/>
    <w:rsid w:val="00B36F4A"/>
    <w:rsid w:val="00B36F52"/>
    <w:rsid w:val="00B40A00"/>
    <w:rsid w:val="00B4209F"/>
    <w:rsid w:val="00B435F2"/>
    <w:rsid w:val="00B455DD"/>
    <w:rsid w:val="00B45956"/>
    <w:rsid w:val="00B45EEE"/>
    <w:rsid w:val="00B46ACA"/>
    <w:rsid w:val="00B51109"/>
    <w:rsid w:val="00B51DF3"/>
    <w:rsid w:val="00B51FBB"/>
    <w:rsid w:val="00B5356A"/>
    <w:rsid w:val="00B5485C"/>
    <w:rsid w:val="00B54FE4"/>
    <w:rsid w:val="00B56FF7"/>
    <w:rsid w:val="00B57291"/>
    <w:rsid w:val="00B576A4"/>
    <w:rsid w:val="00B60801"/>
    <w:rsid w:val="00B608EC"/>
    <w:rsid w:val="00B61201"/>
    <w:rsid w:val="00B61586"/>
    <w:rsid w:val="00B61ED2"/>
    <w:rsid w:val="00B653DE"/>
    <w:rsid w:val="00B66BE5"/>
    <w:rsid w:val="00B66D54"/>
    <w:rsid w:val="00B67BE7"/>
    <w:rsid w:val="00B70A1E"/>
    <w:rsid w:val="00B71B53"/>
    <w:rsid w:val="00B71F5A"/>
    <w:rsid w:val="00B727FC"/>
    <w:rsid w:val="00B74688"/>
    <w:rsid w:val="00B756D0"/>
    <w:rsid w:val="00B75C3D"/>
    <w:rsid w:val="00B77F70"/>
    <w:rsid w:val="00B80E42"/>
    <w:rsid w:val="00B84145"/>
    <w:rsid w:val="00B84D55"/>
    <w:rsid w:val="00B87201"/>
    <w:rsid w:val="00B87F97"/>
    <w:rsid w:val="00B90005"/>
    <w:rsid w:val="00B90073"/>
    <w:rsid w:val="00B90D33"/>
    <w:rsid w:val="00B9232F"/>
    <w:rsid w:val="00B95849"/>
    <w:rsid w:val="00B95AEB"/>
    <w:rsid w:val="00B96619"/>
    <w:rsid w:val="00B9740F"/>
    <w:rsid w:val="00B97426"/>
    <w:rsid w:val="00B974A4"/>
    <w:rsid w:val="00BA008E"/>
    <w:rsid w:val="00BA529E"/>
    <w:rsid w:val="00BA52F5"/>
    <w:rsid w:val="00BA52F9"/>
    <w:rsid w:val="00BA59CD"/>
    <w:rsid w:val="00BA6D3C"/>
    <w:rsid w:val="00BA7965"/>
    <w:rsid w:val="00BB0024"/>
    <w:rsid w:val="00BB129B"/>
    <w:rsid w:val="00BB12D5"/>
    <w:rsid w:val="00BB1842"/>
    <w:rsid w:val="00BB1BC1"/>
    <w:rsid w:val="00BB4546"/>
    <w:rsid w:val="00BB49FA"/>
    <w:rsid w:val="00BB4E0B"/>
    <w:rsid w:val="00BC03C8"/>
    <w:rsid w:val="00BC06DF"/>
    <w:rsid w:val="00BC44A7"/>
    <w:rsid w:val="00BC48B7"/>
    <w:rsid w:val="00BC4A72"/>
    <w:rsid w:val="00BC60D1"/>
    <w:rsid w:val="00BC629C"/>
    <w:rsid w:val="00BD0E60"/>
    <w:rsid w:val="00BD10F1"/>
    <w:rsid w:val="00BD35D9"/>
    <w:rsid w:val="00BD3B1D"/>
    <w:rsid w:val="00BD4519"/>
    <w:rsid w:val="00BD5940"/>
    <w:rsid w:val="00BD6CE7"/>
    <w:rsid w:val="00BE06F3"/>
    <w:rsid w:val="00BE0B1C"/>
    <w:rsid w:val="00BE0C5E"/>
    <w:rsid w:val="00BE0E5D"/>
    <w:rsid w:val="00BE21F3"/>
    <w:rsid w:val="00BE3FEF"/>
    <w:rsid w:val="00BF0F44"/>
    <w:rsid w:val="00BF11C4"/>
    <w:rsid w:val="00BF2E2B"/>
    <w:rsid w:val="00BF4AE2"/>
    <w:rsid w:val="00BF7558"/>
    <w:rsid w:val="00C0088C"/>
    <w:rsid w:val="00C015BE"/>
    <w:rsid w:val="00C02564"/>
    <w:rsid w:val="00C0499B"/>
    <w:rsid w:val="00C105A7"/>
    <w:rsid w:val="00C10D29"/>
    <w:rsid w:val="00C123CC"/>
    <w:rsid w:val="00C12671"/>
    <w:rsid w:val="00C12EB5"/>
    <w:rsid w:val="00C137A6"/>
    <w:rsid w:val="00C1533E"/>
    <w:rsid w:val="00C1540A"/>
    <w:rsid w:val="00C1603C"/>
    <w:rsid w:val="00C17292"/>
    <w:rsid w:val="00C20DCF"/>
    <w:rsid w:val="00C22056"/>
    <w:rsid w:val="00C22B36"/>
    <w:rsid w:val="00C2335C"/>
    <w:rsid w:val="00C24A27"/>
    <w:rsid w:val="00C25313"/>
    <w:rsid w:val="00C27B9A"/>
    <w:rsid w:val="00C27C88"/>
    <w:rsid w:val="00C30507"/>
    <w:rsid w:val="00C31A5A"/>
    <w:rsid w:val="00C32761"/>
    <w:rsid w:val="00C32C48"/>
    <w:rsid w:val="00C32EF2"/>
    <w:rsid w:val="00C3366C"/>
    <w:rsid w:val="00C343F7"/>
    <w:rsid w:val="00C35E96"/>
    <w:rsid w:val="00C36DBD"/>
    <w:rsid w:val="00C37A2B"/>
    <w:rsid w:val="00C37D37"/>
    <w:rsid w:val="00C37FD8"/>
    <w:rsid w:val="00C41FF1"/>
    <w:rsid w:val="00C42283"/>
    <w:rsid w:val="00C45722"/>
    <w:rsid w:val="00C45EAB"/>
    <w:rsid w:val="00C46D96"/>
    <w:rsid w:val="00C47CCB"/>
    <w:rsid w:val="00C50289"/>
    <w:rsid w:val="00C50AAA"/>
    <w:rsid w:val="00C51920"/>
    <w:rsid w:val="00C531B4"/>
    <w:rsid w:val="00C53210"/>
    <w:rsid w:val="00C56D20"/>
    <w:rsid w:val="00C56E2D"/>
    <w:rsid w:val="00C571E1"/>
    <w:rsid w:val="00C5720D"/>
    <w:rsid w:val="00C614EF"/>
    <w:rsid w:val="00C630F7"/>
    <w:rsid w:val="00C63475"/>
    <w:rsid w:val="00C64D8B"/>
    <w:rsid w:val="00C656AB"/>
    <w:rsid w:val="00C65ED9"/>
    <w:rsid w:val="00C67F23"/>
    <w:rsid w:val="00C702CA"/>
    <w:rsid w:val="00C7104A"/>
    <w:rsid w:val="00C714CB"/>
    <w:rsid w:val="00C715A9"/>
    <w:rsid w:val="00C71C97"/>
    <w:rsid w:val="00C71E9E"/>
    <w:rsid w:val="00C72339"/>
    <w:rsid w:val="00C72B6D"/>
    <w:rsid w:val="00C73188"/>
    <w:rsid w:val="00C7372D"/>
    <w:rsid w:val="00C737AF"/>
    <w:rsid w:val="00C73ADC"/>
    <w:rsid w:val="00C740D8"/>
    <w:rsid w:val="00C74121"/>
    <w:rsid w:val="00C7679F"/>
    <w:rsid w:val="00C83D06"/>
    <w:rsid w:val="00C84084"/>
    <w:rsid w:val="00C84225"/>
    <w:rsid w:val="00C853D9"/>
    <w:rsid w:val="00C857F1"/>
    <w:rsid w:val="00C87E24"/>
    <w:rsid w:val="00C90CE1"/>
    <w:rsid w:val="00C90D90"/>
    <w:rsid w:val="00C91043"/>
    <w:rsid w:val="00C9139F"/>
    <w:rsid w:val="00C91A15"/>
    <w:rsid w:val="00C91F26"/>
    <w:rsid w:val="00C93194"/>
    <w:rsid w:val="00C933EE"/>
    <w:rsid w:val="00C93703"/>
    <w:rsid w:val="00C9425C"/>
    <w:rsid w:val="00C9448B"/>
    <w:rsid w:val="00C971A5"/>
    <w:rsid w:val="00CA048B"/>
    <w:rsid w:val="00CA0542"/>
    <w:rsid w:val="00CA2853"/>
    <w:rsid w:val="00CA2ABB"/>
    <w:rsid w:val="00CA4798"/>
    <w:rsid w:val="00CA4892"/>
    <w:rsid w:val="00CA4963"/>
    <w:rsid w:val="00CA4D9F"/>
    <w:rsid w:val="00CA7BB2"/>
    <w:rsid w:val="00CB069D"/>
    <w:rsid w:val="00CB1474"/>
    <w:rsid w:val="00CB1B2E"/>
    <w:rsid w:val="00CB3B6B"/>
    <w:rsid w:val="00CB40ED"/>
    <w:rsid w:val="00CB4F8D"/>
    <w:rsid w:val="00CB57B3"/>
    <w:rsid w:val="00CC32D2"/>
    <w:rsid w:val="00CC3E2C"/>
    <w:rsid w:val="00CC43EC"/>
    <w:rsid w:val="00CC4A2F"/>
    <w:rsid w:val="00CC4F03"/>
    <w:rsid w:val="00CC65AC"/>
    <w:rsid w:val="00CD2051"/>
    <w:rsid w:val="00CD22F0"/>
    <w:rsid w:val="00CD3E48"/>
    <w:rsid w:val="00CD5454"/>
    <w:rsid w:val="00CD689E"/>
    <w:rsid w:val="00CD77B0"/>
    <w:rsid w:val="00CE0B89"/>
    <w:rsid w:val="00CE22D8"/>
    <w:rsid w:val="00CE47ED"/>
    <w:rsid w:val="00CE4B7B"/>
    <w:rsid w:val="00CE564A"/>
    <w:rsid w:val="00CE5D67"/>
    <w:rsid w:val="00CE6880"/>
    <w:rsid w:val="00CF37CA"/>
    <w:rsid w:val="00CF38EA"/>
    <w:rsid w:val="00CF411B"/>
    <w:rsid w:val="00CF4689"/>
    <w:rsid w:val="00CF4BE1"/>
    <w:rsid w:val="00CF52FB"/>
    <w:rsid w:val="00CF5554"/>
    <w:rsid w:val="00CF7F16"/>
    <w:rsid w:val="00D025AA"/>
    <w:rsid w:val="00D02611"/>
    <w:rsid w:val="00D10A98"/>
    <w:rsid w:val="00D11109"/>
    <w:rsid w:val="00D11857"/>
    <w:rsid w:val="00D1377A"/>
    <w:rsid w:val="00D20425"/>
    <w:rsid w:val="00D209BA"/>
    <w:rsid w:val="00D218E9"/>
    <w:rsid w:val="00D23BAF"/>
    <w:rsid w:val="00D277E4"/>
    <w:rsid w:val="00D3136C"/>
    <w:rsid w:val="00D34848"/>
    <w:rsid w:val="00D36654"/>
    <w:rsid w:val="00D373BD"/>
    <w:rsid w:val="00D43080"/>
    <w:rsid w:val="00D43426"/>
    <w:rsid w:val="00D43FBF"/>
    <w:rsid w:val="00D456CA"/>
    <w:rsid w:val="00D4692A"/>
    <w:rsid w:val="00D46A47"/>
    <w:rsid w:val="00D470DE"/>
    <w:rsid w:val="00D47F18"/>
    <w:rsid w:val="00D508E6"/>
    <w:rsid w:val="00D511C2"/>
    <w:rsid w:val="00D51A34"/>
    <w:rsid w:val="00D52037"/>
    <w:rsid w:val="00D52A17"/>
    <w:rsid w:val="00D5540B"/>
    <w:rsid w:val="00D55506"/>
    <w:rsid w:val="00D55C93"/>
    <w:rsid w:val="00D5749C"/>
    <w:rsid w:val="00D60638"/>
    <w:rsid w:val="00D61000"/>
    <w:rsid w:val="00D647C0"/>
    <w:rsid w:val="00D65937"/>
    <w:rsid w:val="00D728E4"/>
    <w:rsid w:val="00D739B9"/>
    <w:rsid w:val="00D74361"/>
    <w:rsid w:val="00D778CD"/>
    <w:rsid w:val="00D81E5C"/>
    <w:rsid w:val="00D82DD3"/>
    <w:rsid w:val="00D830E1"/>
    <w:rsid w:val="00D83A60"/>
    <w:rsid w:val="00D83E8C"/>
    <w:rsid w:val="00D83F97"/>
    <w:rsid w:val="00D84123"/>
    <w:rsid w:val="00D85A1F"/>
    <w:rsid w:val="00D86215"/>
    <w:rsid w:val="00D875D9"/>
    <w:rsid w:val="00D920CB"/>
    <w:rsid w:val="00D936AD"/>
    <w:rsid w:val="00D93A22"/>
    <w:rsid w:val="00D94896"/>
    <w:rsid w:val="00D96609"/>
    <w:rsid w:val="00D971DC"/>
    <w:rsid w:val="00DA1226"/>
    <w:rsid w:val="00DA1586"/>
    <w:rsid w:val="00DA4522"/>
    <w:rsid w:val="00DA5381"/>
    <w:rsid w:val="00DA6848"/>
    <w:rsid w:val="00DA693C"/>
    <w:rsid w:val="00DB0228"/>
    <w:rsid w:val="00DB06ED"/>
    <w:rsid w:val="00DB1A87"/>
    <w:rsid w:val="00DB25EA"/>
    <w:rsid w:val="00DB2747"/>
    <w:rsid w:val="00DB4015"/>
    <w:rsid w:val="00DB4BA5"/>
    <w:rsid w:val="00DB68EC"/>
    <w:rsid w:val="00DB7548"/>
    <w:rsid w:val="00DB7728"/>
    <w:rsid w:val="00DC0A4C"/>
    <w:rsid w:val="00DC15AF"/>
    <w:rsid w:val="00DC23D5"/>
    <w:rsid w:val="00DC5D3A"/>
    <w:rsid w:val="00DD0CFE"/>
    <w:rsid w:val="00DD0EFD"/>
    <w:rsid w:val="00DD19B1"/>
    <w:rsid w:val="00DD1CCB"/>
    <w:rsid w:val="00DD2CBE"/>
    <w:rsid w:val="00DD3D15"/>
    <w:rsid w:val="00DD3D9A"/>
    <w:rsid w:val="00DD4BA0"/>
    <w:rsid w:val="00DD5B86"/>
    <w:rsid w:val="00DD617F"/>
    <w:rsid w:val="00DD6371"/>
    <w:rsid w:val="00DD68CA"/>
    <w:rsid w:val="00DE0297"/>
    <w:rsid w:val="00DE5BEE"/>
    <w:rsid w:val="00DE63C2"/>
    <w:rsid w:val="00DE6B62"/>
    <w:rsid w:val="00DF04F1"/>
    <w:rsid w:val="00DF0BD3"/>
    <w:rsid w:val="00DF544C"/>
    <w:rsid w:val="00DF61D9"/>
    <w:rsid w:val="00DF6E57"/>
    <w:rsid w:val="00E00617"/>
    <w:rsid w:val="00E00E77"/>
    <w:rsid w:val="00E01AAA"/>
    <w:rsid w:val="00E01C30"/>
    <w:rsid w:val="00E039B8"/>
    <w:rsid w:val="00E050B2"/>
    <w:rsid w:val="00E059FC"/>
    <w:rsid w:val="00E05D7B"/>
    <w:rsid w:val="00E06BFA"/>
    <w:rsid w:val="00E07C78"/>
    <w:rsid w:val="00E10E72"/>
    <w:rsid w:val="00E136AC"/>
    <w:rsid w:val="00E14388"/>
    <w:rsid w:val="00E14492"/>
    <w:rsid w:val="00E16427"/>
    <w:rsid w:val="00E17D0A"/>
    <w:rsid w:val="00E21513"/>
    <w:rsid w:val="00E2254B"/>
    <w:rsid w:val="00E23A76"/>
    <w:rsid w:val="00E24061"/>
    <w:rsid w:val="00E25E73"/>
    <w:rsid w:val="00E26569"/>
    <w:rsid w:val="00E27213"/>
    <w:rsid w:val="00E27439"/>
    <w:rsid w:val="00E338CC"/>
    <w:rsid w:val="00E34DBF"/>
    <w:rsid w:val="00E37339"/>
    <w:rsid w:val="00E40BCB"/>
    <w:rsid w:val="00E4150A"/>
    <w:rsid w:val="00E42F9E"/>
    <w:rsid w:val="00E44624"/>
    <w:rsid w:val="00E45A0F"/>
    <w:rsid w:val="00E50F2E"/>
    <w:rsid w:val="00E51090"/>
    <w:rsid w:val="00E528D7"/>
    <w:rsid w:val="00E56ADC"/>
    <w:rsid w:val="00E57754"/>
    <w:rsid w:val="00E57A71"/>
    <w:rsid w:val="00E60E3E"/>
    <w:rsid w:val="00E64130"/>
    <w:rsid w:val="00E64625"/>
    <w:rsid w:val="00E67761"/>
    <w:rsid w:val="00E67FF9"/>
    <w:rsid w:val="00E713FB"/>
    <w:rsid w:val="00E717FB"/>
    <w:rsid w:val="00E72521"/>
    <w:rsid w:val="00E7348C"/>
    <w:rsid w:val="00E83946"/>
    <w:rsid w:val="00E8612C"/>
    <w:rsid w:val="00E8628D"/>
    <w:rsid w:val="00E8692B"/>
    <w:rsid w:val="00E86D4A"/>
    <w:rsid w:val="00E90685"/>
    <w:rsid w:val="00E90C7D"/>
    <w:rsid w:val="00E90F61"/>
    <w:rsid w:val="00E948F5"/>
    <w:rsid w:val="00E94AEB"/>
    <w:rsid w:val="00E976A8"/>
    <w:rsid w:val="00EA03F4"/>
    <w:rsid w:val="00EA3882"/>
    <w:rsid w:val="00EA38B7"/>
    <w:rsid w:val="00EA4A71"/>
    <w:rsid w:val="00EA4A74"/>
    <w:rsid w:val="00EA610A"/>
    <w:rsid w:val="00EA6321"/>
    <w:rsid w:val="00EB0116"/>
    <w:rsid w:val="00EB0422"/>
    <w:rsid w:val="00EB0B3F"/>
    <w:rsid w:val="00EB2764"/>
    <w:rsid w:val="00EC0A8F"/>
    <w:rsid w:val="00EC2078"/>
    <w:rsid w:val="00EC41FB"/>
    <w:rsid w:val="00EC4F41"/>
    <w:rsid w:val="00EC5100"/>
    <w:rsid w:val="00EC52C3"/>
    <w:rsid w:val="00EC5D68"/>
    <w:rsid w:val="00EC6AE7"/>
    <w:rsid w:val="00EC6E76"/>
    <w:rsid w:val="00EC7E48"/>
    <w:rsid w:val="00EC7EEF"/>
    <w:rsid w:val="00ED1747"/>
    <w:rsid w:val="00ED1DB8"/>
    <w:rsid w:val="00ED39F9"/>
    <w:rsid w:val="00ED3D2C"/>
    <w:rsid w:val="00ED589A"/>
    <w:rsid w:val="00EE15CE"/>
    <w:rsid w:val="00EE47D1"/>
    <w:rsid w:val="00EE55BF"/>
    <w:rsid w:val="00EE6C76"/>
    <w:rsid w:val="00EE7304"/>
    <w:rsid w:val="00EF043D"/>
    <w:rsid w:val="00EF2324"/>
    <w:rsid w:val="00EF4BC4"/>
    <w:rsid w:val="00EF4D82"/>
    <w:rsid w:val="00EF6CFC"/>
    <w:rsid w:val="00EF7FFE"/>
    <w:rsid w:val="00F006B6"/>
    <w:rsid w:val="00F00B06"/>
    <w:rsid w:val="00F0156A"/>
    <w:rsid w:val="00F01A73"/>
    <w:rsid w:val="00F027AC"/>
    <w:rsid w:val="00F03947"/>
    <w:rsid w:val="00F06367"/>
    <w:rsid w:val="00F07894"/>
    <w:rsid w:val="00F10D84"/>
    <w:rsid w:val="00F10E86"/>
    <w:rsid w:val="00F1112B"/>
    <w:rsid w:val="00F14A93"/>
    <w:rsid w:val="00F15420"/>
    <w:rsid w:val="00F167DE"/>
    <w:rsid w:val="00F17122"/>
    <w:rsid w:val="00F1730F"/>
    <w:rsid w:val="00F17867"/>
    <w:rsid w:val="00F17B02"/>
    <w:rsid w:val="00F20263"/>
    <w:rsid w:val="00F21F19"/>
    <w:rsid w:val="00F24279"/>
    <w:rsid w:val="00F31371"/>
    <w:rsid w:val="00F3168B"/>
    <w:rsid w:val="00F31C7E"/>
    <w:rsid w:val="00F320CF"/>
    <w:rsid w:val="00F32FEA"/>
    <w:rsid w:val="00F34439"/>
    <w:rsid w:val="00F34AA1"/>
    <w:rsid w:val="00F35C5D"/>
    <w:rsid w:val="00F35F13"/>
    <w:rsid w:val="00F36160"/>
    <w:rsid w:val="00F36B27"/>
    <w:rsid w:val="00F3701C"/>
    <w:rsid w:val="00F37CA4"/>
    <w:rsid w:val="00F40E05"/>
    <w:rsid w:val="00F4221D"/>
    <w:rsid w:val="00F45665"/>
    <w:rsid w:val="00F45A06"/>
    <w:rsid w:val="00F46B3B"/>
    <w:rsid w:val="00F46E96"/>
    <w:rsid w:val="00F4709F"/>
    <w:rsid w:val="00F50511"/>
    <w:rsid w:val="00F531A9"/>
    <w:rsid w:val="00F57DC7"/>
    <w:rsid w:val="00F614EE"/>
    <w:rsid w:val="00F62F58"/>
    <w:rsid w:val="00F64C5A"/>
    <w:rsid w:val="00F7041C"/>
    <w:rsid w:val="00F70485"/>
    <w:rsid w:val="00F70EAC"/>
    <w:rsid w:val="00F738ED"/>
    <w:rsid w:val="00F73967"/>
    <w:rsid w:val="00F749EF"/>
    <w:rsid w:val="00F75821"/>
    <w:rsid w:val="00F76BE7"/>
    <w:rsid w:val="00F76F3A"/>
    <w:rsid w:val="00F80CFA"/>
    <w:rsid w:val="00F83CC5"/>
    <w:rsid w:val="00F83E23"/>
    <w:rsid w:val="00F86101"/>
    <w:rsid w:val="00F872D4"/>
    <w:rsid w:val="00F90ED1"/>
    <w:rsid w:val="00F90F8C"/>
    <w:rsid w:val="00F93F5B"/>
    <w:rsid w:val="00F945DB"/>
    <w:rsid w:val="00F948A9"/>
    <w:rsid w:val="00F94D68"/>
    <w:rsid w:val="00F95299"/>
    <w:rsid w:val="00F9656E"/>
    <w:rsid w:val="00F97F0C"/>
    <w:rsid w:val="00FA27A3"/>
    <w:rsid w:val="00FA2C37"/>
    <w:rsid w:val="00FA3211"/>
    <w:rsid w:val="00FA511E"/>
    <w:rsid w:val="00FA5CFC"/>
    <w:rsid w:val="00FA675E"/>
    <w:rsid w:val="00FA7A04"/>
    <w:rsid w:val="00FB0940"/>
    <w:rsid w:val="00FB4686"/>
    <w:rsid w:val="00FB54FC"/>
    <w:rsid w:val="00FB59EA"/>
    <w:rsid w:val="00FC103A"/>
    <w:rsid w:val="00FC3C5D"/>
    <w:rsid w:val="00FC438C"/>
    <w:rsid w:val="00FC653F"/>
    <w:rsid w:val="00FC7F70"/>
    <w:rsid w:val="00FD185D"/>
    <w:rsid w:val="00FD1A16"/>
    <w:rsid w:val="00FD25CE"/>
    <w:rsid w:val="00FD366E"/>
    <w:rsid w:val="00FD43C2"/>
    <w:rsid w:val="00FD53CB"/>
    <w:rsid w:val="00FE0705"/>
    <w:rsid w:val="00FE1D59"/>
    <w:rsid w:val="00FE340B"/>
    <w:rsid w:val="00FE46E5"/>
    <w:rsid w:val="00FE63B8"/>
    <w:rsid w:val="00FE7D6E"/>
    <w:rsid w:val="00FF1BC3"/>
    <w:rsid w:val="00FF1D4A"/>
    <w:rsid w:val="00FF1DCF"/>
    <w:rsid w:val="00FF2B4C"/>
    <w:rsid w:val="00FF2BB1"/>
    <w:rsid w:val="00FF2FF0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03E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A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/>
    <w:lsdException w:name="Emphasis" w:semiHidden="1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/>
    <w:lsdException w:name="Intense Emphasis" w:semiHidden="1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47D1"/>
  </w:style>
  <w:style w:type="paragraph" w:styleId="Heading1">
    <w:name w:val="heading 1"/>
    <w:basedOn w:val="Normal"/>
    <w:next w:val="BTBodyText"/>
    <w:link w:val="Heading1Char"/>
    <w:uiPriority w:val="33"/>
    <w:rsid w:val="00887792"/>
    <w:pPr>
      <w:keepNext/>
      <w:keepLines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basedOn w:val="Normal"/>
    <w:next w:val="BTBodyText"/>
    <w:link w:val="Heading2Char"/>
    <w:uiPriority w:val="33"/>
    <w:unhideWhenUsed/>
    <w:rsid w:val="00887792"/>
    <w:pPr>
      <w:keepNext/>
      <w:keepLines/>
      <w:outlineLvl w:val="1"/>
    </w:pPr>
    <w:rPr>
      <w:rFonts w:eastAsiaTheme="majorEastAsia" w:cstheme="majorBidi"/>
      <w:b/>
      <w:smallCaps/>
      <w:sz w:val="28"/>
      <w:szCs w:val="26"/>
    </w:rPr>
  </w:style>
  <w:style w:type="paragraph" w:styleId="Heading3">
    <w:name w:val="heading 3"/>
    <w:basedOn w:val="Normal"/>
    <w:next w:val="BTBodyText"/>
    <w:link w:val="Heading3Char"/>
    <w:uiPriority w:val="33"/>
    <w:unhideWhenUsed/>
    <w:rsid w:val="00887792"/>
    <w:pPr>
      <w:keepNext/>
      <w:keepLines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BTBodyText"/>
    <w:link w:val="Heading4Char"/>
    <w:uiPriority w:val="33"/>
    <w:unhideWhenUsed/>
    <w:rsid w:val="00887792"/>
    <w:pPr>
      <w:keepNext/>
      <w:keepLines/>
      <w:outlineLvl w:val="3"/>
    </w:pPr>
    <w:rPr>
      <w:rFonts w:eastAsiaTheme="majorEastAsia" w:cstheme="majorBidi"/>
      <w:iCs/>
      <w:u w:val="single"/>
    </w:rPr>
  </w:style>
  <w:style w:type="paragraph" w:styleId="Heading5">
    <w:name w:val="heading 5"/>
    <w:basedOn w:val="Normal"/>
    <w:next w:val="BTBodyText"/>
    <w:link w:val="Heading5Char"/>
    <w:uiPriority w:val="33"/>
    <w:unhideWhenUsed/>
    <w:rsid w:val="00887792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BTBodyText"/>
    <w:link w:val="Heading6Char"/>
    <w:uiPriority w:val="33"/>
    <w:unhideWhenUsed/>
    <w:rsid w:val="00887792"/>
    <w:pPr>
      <w:keepNext/>
      <w:keepLines/>
      <w:outlineLvl w:val="5"/>
    </w:pPr>
    <w:rPr>
      <w:rFonts w:eastAsiaTheme="majorEastAsia" w:cstheme="majorBidi"/>
      <w:u w:val="single"/>
    </w:rPr>
  </w:style>
  <w:style w:type="paragraph" w:styleId="Heading7">
    <w:name w:val="heading 7"/>
    <w:basedOn w:val="Normal"/>
    <w:next w:val="BTBodyText"/>
    <w:link w:val="Heading7Char"/>
    <w:uiPriority w:val="33"/>
    <w:unhideWhenUsed/>
    <w:rsid w:val="00887792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BTBodyText"/>
    <w:link w:val="Heading8Char"/>
    <w:uiPriority w:val="33"/>
    <w:unhideWhenUsed/>
    <w:rsid w:val="00887792"/>
    <w:pPr>
      <w:keepNext/>
      <w:keepLines/>
      <w:outlineLvl w:val="7"/>
    </w:pPr>
    <w:rPr>
      <w:rFonts w:eastAsiaTheme="majorEastAsia" w:cstheme="majorBidi"/>
      <w:szCs w:val="21"/>
      <w:u w:val="single"/>
    </w:rPr>
  </w:style>
  <w:style w:type="paragraph" w:styleId="Heading9">
    <w:name w:val="heading 9"/>
    <w:basedOn w:val="Normal"/>
    <w:next w:val="BTBodyText"/>
    <w:link w:val="Heading9Char"/>
    <w:uiPriority w:val="33"/>
    <w:unhideWhenUsed/>
    <w:rsid w:val="00887792"/>
    <w:pPr>
      <w:keepNext/>
      <w:keepLines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06"/>
    <w:rPr>
      <w:rFonts w:ascii="Segoe UI" w:hAnsi="Segoe UI" w:cs="Segoe UI"/>
      <w:sz w:val="18"/>
      <w:szCs w:val="18"/>
    </w:rPr>
  </w:style>
  <w:style w:type="paragraph" w:customStyle="1" w:styleId="BTBodyText">
    <w:name w:val="[BT] Body Text"/>
    <w:basedOn w:val="Normal"/>
    <w:link w:val="BTBodyTextChar"/>
    <w:uiPriority w:val="2"/>
    <w:qFormat/>
    <w:rsid w:val="00354A06"/>
  </w:style>
  <w:style w:type="paragraph" w:customStyle="1" w:styleId="BTIBodyTextIndented">
    <w:name w:val="[BTI] Body Text Indented"/>
    <w:basedOn w:val="BTBodyText"/>
    <w:link w:val="BTIBodyTextIndentedChar"/>
    <w:uiPriority w:val="2"/>
    <w:qFormat/>
    <w:rsid w:val="00354A06"/>
    <w:pPr>
      <w:ind w:left="851"/>
    </w:pPr>
  </w:style>
  <w:style w:type="character" w:customStyle="1" w:styleId="BTBodyTextChar">
    <w:name w:val="[BT] Body Text Char"/>
    <w:basedOn w:val="DefaultParagraphFont"/>
    <w:link w:val="BTBodyText"/>
    <w:uiPriority w:val="2"/>
    <w:rsid w:val="00AD0459"/>
  </w:style>
  <w:style w:type="paragraph" w:customStyle="1" w:styleId="BTIIBodyTextTwiceIndented">
    <w:name w:val="[BTII] Body Text Twice Indented"/>
    <w:basedOn w:val="BTBodyText"/>
    <w:link w:val="BTIIBodyTextTwiceIndentedChar"/>
    <w:uiPriority w:val="2"/>
    <w:qFormat/>
    <w:rsid w:val="00354A06"/>
    <w:pPr>
      <w:ind w:left="1702"/>
    </w:pPr>
  </w:style>
  <w:style w:type="character" w:customStyle="1" w:styleId="BTIBodyTextIndentedChar">
    <w:name w:val="[BTI] Body Text Indented Char"/>
    <w:basedOn w:val="BTBodyTextChar"/>
    <w:link w:val="BTIBodyTextIndented"/>
    <w:uiPriority w:val="2"/>
    <w:rsid w:val="00AD0459"/>
  </w:style>
  <w:style w:type="paragraph" w:styleId="ListParagraph">
    <w:name w:val="List Paragraph"/>
    <w:basedOn w:val="Normal"/>
    <w:uiPriority w:val="34"/>
    <w:qFormat/>
    <w:rsid w:val="003A10EE"/>
    <w:pPr>
      <w:ind w:left="851"/>
    </w:pPr>
  </w:style>
  <w:style w:type="character" w:customStyle="1" w:styleId="BTIIBodyTextTwiceIndentedChar">
    <w:name w:val="[BTII] Body Text Twice Indented Char"/>
    <w:basedOn w:val="BTBodyTextChar"/>
    <w:link w:val="BTIIBodyTextTwiceIndented"/>
    <w:uiPriority w:val="2"/>
    <w:rsid w:val="00AD0459"/>
  </w:style>
  <w:style w:type="paragraph" w:styleId="NoSpacing">
    <w:name w:val="No Spacing"/>
    <w:link w:val="NoSpacingChar"/>
    <w:uiPriority w:val="1"/>
    <w:rsid w:val="001F46B7"/>
    <w:pPr>
      <w:spacing w:after="0" w:line="240" w:lineRule="auto"/>
    </w:pPr>
  </w:style>
  <w:style w:type="paragraph" w:customStyle="1" w:styleId="BTNSBodyTextNoSpacing">
    <w:name w:val="[BTNS] Body Text No Spacing"/>
    <w:basedOn w:val="NoSpacing"/>
    <w:link w:val="BTNSBodyTextNoSpacingChar"/>
    <w:uiPriority w:val="2"/>
    <w:qFormat/>
    <w:rsid w:val="001F46B7"/>
  </w:style>
  <w:style w:type="paragraph" w:customStyle="1" w:styleId="BTNSSBodyTextNoSpacingSmall">
    <w:name w:val="[BTNSS] Body Text No Spacing Small"/>
    <w:basedOn w:val="BTNSBodyTextNoSpacing"/>
    <w:link w:val="BTNSSBodyTextNoSpacingSmallChar"/>
    <w:uiPriority w:val="2"/>
    <w:rsid w:val="001F46B7"/>
    <w:rPr>
      <w:sz w:val="8"/>
      <w:szCs w:val="8"/>
    </w:rPr>
  </w:style>
  <w:style w:type="character" w:customStyle="1" w:styleId="NoSpacingChar">
    <w:name w:val="No Spacing Char"/>
    <w:basedOn w:val="DefaultParagraphFont"/>
    <w:link w:val="NoSpacing"/>
    <w:uiPriority w:val="1"/>
    <w:rsid w:val="001F46B7"/>
  </w:style>
  <w:style w:type="character" w:customStyle="1" w:styleId="BTNSBodyTextNoSpacingChar">
    <w:name w:val="[BTNS] Body Text No Spacing Char"/>
    <w:basedOn w:val="NoSpacingChar"/>
    <w:link w:val="BTNSBodyTextNoSpacing"/>
    <w:uiPriority w:val="2"/>
    <w:rsid w:val="00B10942"/>
  </w:style>
  <w:style w:type="character" w:customStyle="1" w:styleId="BTNSSBodyTextNoSpacingSmallChar">
    <w:name w:val="[BTNSS] Body Text No Spacing Small Char"/>
    <w:basedOn w:val="BTNSBodyTextNoSpacingChar"/>
    <w:link w:val="BTNSSBodyTextNoSpacingSmall"/>
    <w:uiPriority w:val="2"/>
    <w:rsid w:val="00B10942"/>
    <w:rPr>
      <w:sz w:val="8"/>
      <w:szCs w:val="8"/>
    </w:rPr>
  </w:style>
  <w:style w:type="paragraph" w:customStyle="1" w:styleId="P1-N1Paragraph1-Number1">
    <w:name w:val="[P1-N1] Paragraph 1 - Number 1"/>
    <w:basedOn w:val="BTBodyText"/>
    <w:link w:val="P1-N1Paragraph1-Number1Char"/>
    <w:uiPriority w:val="6"/>
    <w:qFormat/>
    <w:rsid w:val="006F189E"/>
    <w:pPr>
      <w:numPr>
        <w:numId w:val="1"/>
      </w:numPr>
    </w:pPr>
  </w:style>
  <w:style w:type="paragraph" w:customStyle="1" w:styleId="P2-B1Paragraph2-Bullet1">
    <w:name w:val="[P2-B1] Paragraph 2 - Bullet 1"/>
    <w:basedOn w:val="BTBodyText"/>
    <w:link w:val="P2-B1Paragraph2-Bullet1Char"/>
    <w:uiPriority w:val="6"/>
    <w:qFormat/>
    <w:rsid w:val="00C45722"/>
    <w:pPr>
      <w:numPr>
        <w:ilvl w:val="1"/>
        <w:numId w:val="1"/>
      </w:numPr>
      <w:spacing w:after="120"/>
      <w:ind w:left="1702" w:hanging="851"/>
    </w:pPr>
  </w:style>
  <w:style w:type="character" w:customStyle="1" w:styleId="P1-N1Paragraph1-Number1Char">
    <w:name w:val="[P1-N1] Paragraph 1 - Number 1 Char"/>
    <w:basedOn w:val="BTBodyTextChar"/>
    <w:link w:val="P1-N1Paragraph1-Number1"/>
    <w:uiPriority w:val="6"/>
    <w:rsid w:val="002603E6"/>
  </w:style>
  <w:style w:type="paragraph" w:customStyle="1" w:styleId="P3-B2Paragraph3-Bullet2">
    <w:name w:val="[P3-B2] Paragraph 3 - Bullet 2"/>
    <w:basedOn w:val="BTBodyText"/>
    <w:link w:val="P3-B2Paragraph3-Bullet2Char"/>
    <w:uiPriority w:val="6"/>
    <w:qFormat/>
    <w:rsid w:val="00C45722"/>
    <w:pPr>
      <w:numPr>
        <w:ilvl w:val="2"/>
        <w:numId w:val="1"/>
      </w:numPr>
      <w:spacing w:after="120"/>
    </w:pPr>
  </w:style>
  <w:style w:type="character" w:customStyle="1" w:styleId="P2-B1Paragraph2-Bullet1Char">
    <w:name w:val="[P2-B1] Paragraph 2 - Bullet 1 Char"/>
    <w:basedOn w:val="BTBodyTextChar"/>
    <w:link w:val="P2-B1Paragraph2-Bullet1"/>
    <w:uiPriority w:val="6"/>
    <w:rsid w:val="00C45722"/>
  </w:style>
  <w:style w:type="paragraph" w:customStyle="1" w:styleId="P4-B3Paragraph4-Bullet3">
    <w:name w:val="[P4-B3] Paragraph 4 - Bullet 3"/>
    <w:basedOn w:val="BTBodyText"/>
    <w:link w:val="P4-B3Paragraph4-Bullet3Char"/>
    <w:uiPriority w:val="6"/>
    <w:rsid w:val="00C45722"/>
    <w:pPr>
      <w:numPr>
        <w:ilvl w:val="3"/>
        <w:numId w:val="1"/>
      </w:numPr>
      <w:spacing w:after="120"/>
      <w:ind w:left="3403" w:hanging="851"/>
    </w:pPr>
  </w:style>
  <w:style w:type="character" w:customStyle="1" w:styleId="P3-B2Paragraph3-Bullet2Char">
    <w:name w:val="[P3-B2] Paragraph 3 - Bullet 2 Char"/>
    <w:basedOn w:val="BTBodyTextChar"/>
    <w:link w:val="P3-B2Paragraph3-Bullet2"/>
    <w:uiPriority w:val="6"/>
    <w:rsid w:val="00C45722"/>
  </w:style>
  <w:style w:type="paragraph" w:customStyle="1" w:styleId="P5-B4Paragraph5-Bullet4">
    <w:name w:val="[P5-B4] Paragraph 5 - Bullet 4"/>
    <w:basedOn w:val="BTBodyText"/>
    <w:link w:val="P5-B4Paragraph5-Bullet4Char"/>
    <w:uiPriority w:val="6"/>
    <w:rsid w:val="00C45722"/>
    <w:pPr>
      <w:numPr>
        <w:ilvl w:val="4"/>
        <w:numId w:val="1"/>
      </w:numPr>
      <w:spacing w:after="120"/>
    </w:pPr>
  </w:style>
  <w:style w:type="character" w:customStyle="1" w:styleId="P4-B3Paragraph4-Bullet3Char">
    <w:name w:val="[P4-B3] Paragraph 4 - Bullet 3 Char"/>
    <w:basedOn w:val="BTBodyTextChar"/>
    <w:link w:val="P4-B3Paragraph4-Bullet3"/>
    <w:uiPriority w:val="6"/>
    <w:rsid w:val="00C45722"/>
  </w:style>
  <w:style w:type="paragraph" w:customStyle="1" w:styleId="P6-B5Paragraph6-Bullet5">
    <w:name w:val="[P6-B5] Paragraph 6 - Bullet 5"/>
    <w:basedOn w:val="BTBodyText"/>
    <w:link w:val="P6-B5Paragraph6-Bullet5Char"/>
    <w:uiPriority w:val="6"/>
    <w:rsid w:val="00C45722"/>
    <w:pPr>
      <w:numPr>
        <w:ilvl w:val="5"/>
        <w:numId w:val="1"/>
      </w:numPr>
      <w:spacing w:after="120"/>
      <w:ind w:left="5104" w:hanging="851"/>
    </w:pPr>
  </w:style>
  <w:style w:type="character" w:customStyle="1" w:styleId="P5-B4Paragraph5-Bullet4Char">
    <w:name w:val="[P5-B4] Paragraph 5 - Bullet 4 Char"/>
    <w:basedOn w:val="BTBodyTextChar"/>
    <w:link w:val="P5-B4Paragraph5-Bullet4"/>
    <w:uiPriority w:val="6"/>
    <w:rsid w:val="00C45722"/>
  </w:style>
  <w:style w:type="paragraph" w:customStyle="1" w:styleId="P7-B6Paragraph7-Bullet6">
    <w:name w:val="[P7-B6] Paragraph 7 - Bullet 6"/>
    <w:basedOn w:val="BTBodyText"/>
    <w:link w:val="P7-B6Paragraph7-Bullet6Char"/>
    <w:uiPriority w:val="6"/>
    <w:rsid w:val="00C45722"/>
    <w:pPr>
      <w:numPr>
        <w:ilvl w:val="6"/>
        <w:numId w:val="1"/>
      </w:numPr>
      <w:spacing w:after="120"/>
    </w:pPr>
  </w:style>
  <w:style w:type="character" w:customStyle="1" w:styleId="P6-B5Paragraph6-Bullet5Char">
    <w:name w:val="[P6-B5] Paragraph 6 - Bullet 5 Char"/>
    <w:basedOn w:val="BTBodyTextChar"/>
    <w:link w:val="P6-B5Paragraph6-Bullet5"/>
    <w:uiPriority w:val="6"/>
    <w:rsid w:val="00C45722"/>
  </w:style>
  <w:style w:type="paragraph" w:customStyle="1" w:styleId="P8-B7Paragraph8-Bullet7">
    <w:name w:val="[P8-B7] Paragraph 8 - Bullet 7"/>
    <w:basedOn w:val="BTBodyText"/>
    <w:link w:val="P8-B7Paragraph8-Bullet7Char"/>
    <w:uiPriority w:val="6"/>
    <w:rsid w:val="00C45722"/>
    <w:pPr>
      <w:numPr>
        <w:ilvl w:val="7"/>
        <w:numId w:val="1"/>
      </w:numPr>
      <w:spacing w:after="120"/>
      <w:ind w:left="6805" w:hanging="851"/>
    </w:pPr>
  </w:style>
  <w:style w:type="character" w:customStyle="1" w:styleId="P7-B6Paragraph7-Bullet6Char">
    <w:name w:val="[P7-B6] Paragraph 7 - Bullet 6 Char"/>
    <w:basedOn w:val="BTBodyTextChar"/>
    <w:link w:val="P7-B6Paragraph7-Bullet6"/>
    <w:uiPriority w:val="6"/>
    <w:semiHidden/>
    <w:rsid w:val="00C45722"/>
  </w:style>
  <w:style w:type="paragraph" w:customStyle="1" w:styleId="P9-B8Paragraph9-Bullet8">
    <w:name w:val="[P9-B8] Paragraph 9 - Bullet 8"/>
    <w:basedOn w:val="BTBodyText"/>
    <w:link w:val="P9-B8Paragraph9-Bullet8Char"/>
    <w:uiPriority w:val="6"/>
    <w:rsid w:val="00C45722"/>
    <w:pPr>
      <w:numPr>
        <w:ilvl w:val="8"/>
        <w:numId w:val="1"/>
      </w:numPr>
      <w:spacing w:after="120"/>
    </w:pPr>
  </w:style>
  <w:style w:type="character" w:customStyle="1" w:styleId="P8-B7Paragraph8-Bullet7Char">
    <w:name w:val="[P8-B7] Paragraph 8 - Bullet 7 Char"/>
    <w:basedOn w:val="BTBodyTextChar"/>
    <w:link w:val="P8-B7Paragraph8-Bullet7"/>
    <w:uiPriority w:val="6"/>
    <w:semiHidden/>
    <w:rsid w:val="00C45722"/>
  </w:style>
  <w:style w:type="paragraph" w:customStyle="1" w:styleId="QQuotation">
    <w:name w:val="[Q] Quotation"/>
    <w:basedOn w:val="BTIBodyTextIndented"/>
    <w:next w:val="P1-N1Paragraph1-Number1"/>
    <w:link w:val="QQuotationChar"/>
    <w:uiPriority w:val="8"/>
    <w:qFormat/>
    <w:rsid w:val="00EF4D82"/>
    <w:pPr>
      <w:spacing w:after="240" w:line="276" w:lineRule="auto"/>
    </w:pPr>
    <w:rPr>
      <w:sz w:val="22"/>
    </w:rPr>
  </w:style>
  <w:style w:type="character" w:customStyle="1" w:styleId="P9-B8Paragraph9-Bullet8Char">
    <w:name w:val="[P9-B8] Paragraph 9 - Bullet 8 Char"/>
    <w:basedOn w:val="BTBodyTextChar"/>
    <w:link w:val="P9-B8Paragraph9-Bullet8"/>
    <w:uiPriority w:val="6"/>
    <w:semiHidden/>
    <w:rsid w:val="00C45722"/>
  </w:style>
  <w:style w:type="character" w:customStyle="1" w:styleId="Heading1Char">
    <w:name w:val="Heading 1 Char"/>
    <w:basedOn w:val="DefaultParagraphFont"/>
    <w:link w:val="Heading1"/>
    <w:uiPriority w:val="33"/>
    <w:rsid w:val="002603E6"/>
    <w:rPr>
      <w:rFonts w:eastAsiaTheme="majorEastAsia" w:cstheme="majorBidi"/>
      <w:b/>
      <w:caps/>
      <w:sz w:val="28"/>
      <w:szCs w:val="32"/>
    </w:rPr>
  </w:style>
  <w:style w:type="character" w:customStyle="1" w:styleId="QQuotationChar">
    <w:name w:val="[Q] Quotation Char"/>
    <w:basedOn w:val="BTIBodyTextIndentedChar"/>
    <w:link w:val="QQuotation"/>
    <w:uiPriority w:val="8"/>
    <w:rsid w:val="00EF4D82"/>
    <w:rPr>
      <w:sz w:val="22"/>
    </w:rPr>
  </w:style>
  <w:style w:type="character" w:customStyle="1" w:styleId="Heading2Char">
    <w:name w:val="Heading 2 Char"/>
    <w:basedOn w:val="DefaultParagraphFont"/>
    <w:link w:val="Heading2"/>
    <w:uiPriority w:val="33"/>
    <w:rsid w:val="002603E6"/>
    <w:rPr>
      <w:rFonts w:eastAsiaTheme="majorEastAsia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33"/>
    <w:rsid w:val="002603E6"/>
    <w:rPr>
      <w:rFonts w:eastAsiaTheme="majorEastAsia" w:cstheme="majorBidi"/>
      <w:b/>
    </w:rPr>
  </w:style>
  <w:style w:type="character" w:customStyle="1" w:styleId="Heading4Char">
    <w:name w:val="Heading 4 Char"/>
    <w:basedOn w:val="DefaultParagraphFont"/>
    <w:link w:val="Heading4"/>
    <w:uiPriority w:val="33"/>
    <w:rsid w:val="002603E6"/>
    <w:rPr>
      <w:rFonts w:eastAsiaTheme="majorEastAsia" w:cstheme="majorBidi"/>
      <w:iCs/>
      <w:u w:val="single"/>
    </w:rPr>
  </w:style>
  <w:style w:type="character" w:customStyle="1" w:styleId="Heading5Char">
    <w:name w:val="Heading 5 Char"/>
    <w:basedOn w:val="DefaultParagraphFont"/>
    <w:link w:val="Heading5"/>
    <w:uiPriority w:val="33"/>
    <w:rsid w:val="002603E6"/>
    <w:rPr>
      <w:rFonts w:eastAsiaTheme="majorEastAsia" w:cstheme="majorBidi"/>
      <w:i/>
    </w:rPr>
  </w:style>
  <w:style w:type="character" w:customStyle="1" w:styleId="Heading6Char">
    <w:name w:val="Heading 6 Char"/>
    <w:basedOn w:val="DefaultParagraphFont"/>
    <w:link w:val="Heading6"/>
    <w:uiPriority w:val="33"/>
    <w:rsid w:val="002603E6"/>
    <w:rPr>
      <w:rFonts w:eastAsiaTheme="majorEastAsia" w:cstheme="majorBidi"/>
      <w:u w:val="single"/>
    </w:rPr>
  </w:style>
  <w:style w:type="character" w:customStyle="1" w:styleId="Heading7Char">
    <w:name w:val="Heading 7 Char"/>
    <w:basedOn w:val="DefaultParagraphFont"/>
    <w:link w:val="Heading7"/>
    <w:uiPriority w:val="33"/>
    <w:rsid w:val="002603E6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33"/>
    <w:rsid w:val="002603E6"/>
    <w:rPr>
      <w:rFonts w:eastAsiaTheme="majorEastAsia" w:cstheme="majorBidi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33"/>
    <w:rsid w:val="002603E6"/>
    <w:rPr>
      <w:rFonts w:eastAsiaTheme="majorEastAsia" w:cstheme="majorBidi"/>
      <w:i/>
      <w:iCs/>
      <w:szCs w:val="21"/>
    </w:rPr>
  </w:style>
  <w:style w:type="paragraph" w:customStyle="1" w:styleId="HL1HeadingLevel1">
    <w:name w:val="[HL1] Heading Level 1"/>
    <w:basedOn w:val="Heading1"/>
    <w:next w:val="P1-N1Paragraph1-Number1"/>
    <w:link w:val="HL1HeadingLevel1Char"/>
    <w:uiPriority w:val="4"/>
    <w:qFormat/>
    <w:rsid w:val="00B9740F"/>
  </w:style>
  <w:style w:type="paragraph" w:customStyle="1" w:styleId="HL2HeadingLevel2">
    <w:name w:val="[HL2] Heading Level 2"/>
    <w:basedOn w:val="Heading2"/>
    <w:next w:val="P1-N1Paragraph1-Number1"/>
    <w:link w:val="HL2HeadingLevel2Char"/>
    <w:uiPriority w:val="4"/>
    <w:qFormat/>
    <w:rsid w:val="00B9740F"/>
  </w:style>
  <w:style w:type="character" w:customStyle="1" w:styleId="HL1HeadingLevel1Char">
    <w:name w:val="[HL1] Heading Level 1 Char"/>
    <w:basedOn w:val="BTBodyTextChar"/>
    <w:link w:val="HL1HeadingLevel1"/>
    <w:uiPriority w:val="4"/>
    <w:rsid w:val="002603E6"/>
    <w:rPr>
      <w:rFonts w:eastAsiaTheme="majorEastAsia" w:cstheme="majorBidi"/>
      <w:b/>
      <w:caps/>
      <w:sz w:val="28"/>
      <w:szCs w:val="32"/>
    </w:rPr>
  </w:style>
  <w:style w:type="paragraph" w:customStyle="1" w:styleId="HL3HeadingLevel3">
    <w:name w:val="[HL3] Heading Level 3"/>
    <w:basedOn w:val="Heading3"/>
    <w:next w:val="P1-N1Paragraph1-Number1"/>
    <w:link w:val="HL3HeadingLevel3Char"/>
    <w:uiPriority w:val="4"/>
    <w:qFormat/>
    <w:rsid w:val="00B9740F"/>
  </w:style>
  <w:style w:type="character" w:customStyle="1" w:styleId="HL2HeadingLevel2Char">
    <w:name w:val="[HL2] Heading Level 2 Char"/>
    <w:basedOn w:val="BTBodyTextChar"/>
    <w:link w:val="HL2HeadingLevel2"/>
    <w:uiPriority w:val="4"/>
    <w:rsid w:val="002603E6"/>
    <w:rPr>
      <w:rFonts w:eastAsiaTheme="majorEastAsia" w:cstheme="majorBidi"/>
      <w:b/>
      <w:smallCaps/>
      <w:sz w:val="28"/>
      <w:szCs w:val="26"/>
    </w:rPr>
  </w:style>
  <w:style w:type="paragraph" w:customStyle="1" w:styleId="HL4HeadingLevel4">
    <w:name w:val="[HL4] Heading Level 4"/>
    <w:basedOn w:val="Heading4"/>
    <w:next w:val="P1-N1Paragraph1-Number1"/>
    <w:link w:val="HL4HeadingLevel4Char"/>
    <w:uiPriority w:val="4"/>
    <w:qFormat/>
    <w:rsid w:val="00B9740F"/>
  </w:style>
  <w:style w:type="character" w:customStyle="1" w:styleId="HL3HeadingLevel3Char">
    <w:name w:val="[HL3] Heading Level 3 Char"/>
    <w:basedOn w:val="BTBodyTextChar"/>
    <w:link w:val="HL3HeadingLevel3"/>
    <w:uiPriority w:val="4"/>
    <w:rsid w:val="002603E6"/>
    <w:rPr>
      <w:rFonts w:eastAsiaTheme="majorEastAsia" w:cstheme="majorBidi"/>
      <w:b/>
    </w:rPr>
  </w:style>
  <w:style w:type="paragraph" w:customStyle="1" w:styleId="HL5HeadingLevel5">
    <w:name w:val="[HL5] Heading Level 5"/>
    <w:basedOn w:val="Heading5"/>
    <w:next w:val="P1-N1Paragraph1-Number1"/>
    <w:link w:val="HL5HeadingLevel5Char"/>
    <w:uiPriority w:val="4"/>
    <w:qFormat/>
    <w:rsid w:val="00B9740F"/>
  </w:style>
  <w:style w:type="character" w:customStyle="1" w:styleId="HL4HeadingLevel4Char">
    <w:name w:val="[HL4] Heading Level 4 Char"/>
    <w:basedOn w:val="BTBodyTextChar"/>
    <w:link w:val="HL4HeadingLevel4"/>
    <w:uiPriority w:val="4"/>
    <w:rsid w:val="002603E6"/>
    <w:rPr>
      <w:rFonts w:eastAsiaTheme="majorEastAsia" w:cstheme="majorBidi"/>
      <w:iCs/>
      <w:u w:val="single"/>
    </w:rPr>
  </w:style>
  <w:style w:type="paragraph" w:customStyle="1" w:styleId="HL6HeadingLevel6">
    <w:name w:val="[HL6] Heading Level 6"/>
    <w:basedOn w:val="Heading6"/>
    <w:next w:val="P1-N1Paragraph1-Number1"/>
    <w:link w:val="HL6HeadingLevel6Char"/>
    <w:uiPriority w:val="4"/>
    <w:semiHidden/>
    <w:rsid w:val="00B9740F"/>
  </w:style>
  <w:style w:type="character" w:customStyle="1" w:styleId="HL5HeadingLevel5Char">
    <w:name w:val="[HL5] Heading Level 5 Char"/>
    <w:basedOn w:val="BTBodyTextChar"/>
    <w:link w:val="HL5HeadingLevel5"/>
    <w:uiPriority w:val="4"/>
    <w:rsid w:val="002603E6"/>
    <w:rPr>
      <w:rFonts w:eastAsiaTheme="majorEastAsia" w:cstheme="majorBidi"/>
      <w:i/>
    </w:rPr>
  </w:style>
  <w:style w:type="paragraph" w:customStyle="1" w:styleId="HL7HeadingLevel7">
    <w:name w:val="[HL7] Heading Level 7"/>
    <w:basedOn w:val="Heading7"/>
    <w:next w:val="P1-N1Paragraph1-Number1"/>
    <w:link w:val="HL7HeadingLevel7Char"/>
    <w:uiPriority w:val="4"/>
    <w:semiHidden/>
    <w:rsid w:val="00B9740F"/>
  </w:style>
  <w:style w:type="character" w:customStyle="1" w:styleId="HL6HeadingLevel6Char">
    <w:name w:val="[HL6] Heading Level 6 Char"/>
    <w:basedOn w:val="BTBodyTextChar"/>
    <w:link w:val="HL6HeadingLevel6"/>
    <w:uiPriority w:val="4"/>
    <w:semiHidden/>
    <w:rsid w:val="00C74121"/>
    <w:rPr>
      <w:rFonts w:eastAsiaTheme="majorEastAsia" w:cstheme="majorBidi"/>
      <w:u w:val="single"/>
    </w:rPr>
  </w:style>
  <w:style w:type="paragraph" w:customStyle="1" w:styleId="HL8HeadingLevel8">
    <w:name w:val="[HL8] Heading Level 8"/>
    <w:basedOn w:val="Heading8"/>
    <w:next w:val="P1-N1Paragraph1-Number1"/>
    <w:link w:val="HL8HeadingLevel8Char"/>
    <w:uiPriority w:val="4"/>
    <w:semiHidden/>
    <w:rsid w:val="00B9740F"/>
  </w:style>
  <w:style w:type="character" w:customStyle="1" w:styleId="HL7HeadingLevel7Char">
    <w:name w:val="[HL7] Heading Level 7 Char"/>
    <w:basedOn w:val="BTBodyTextChar"/>
    <w:link w:val="HL7HeadingLevel7"/>
    <w:uiPriority w:val="4"/>
    <w:semiHidden/>
    <w:rsid w:val="00C74121"/>
    <w:rPr>
      <w:rFonts w:eastAsiaTheme="majorEastAsia" w:cstheme="majorBidi"/>
      <w:i/>
      <w:iCs/>
    </w:rPr>
  </w:style>
  <w:style w:type="paragraph" w:customStyle="1" w:styleId="HL9HeadingLevel9">
    <w:name w:val="[HL9] Heading Level 9"/>
    <w:basedOn w:val="Heading9"/>
    <w:next w:val="P1-N1Paragraph1-Number1"/>
    <w:link w:val="HL9HeadingLevel9Char"/>
    <w:uiPriority w:val="4"/>
    <w:semiHidden/>
    <w:rsid w:val="00B9740F"/>
  </w:style>
  <w:style w:type="character" w:customStyle="1" w:styleId="HL8HeadingLevel8Char">
    <w:name w:val="[HL8] Heading Level 8 Char"/>
    <w:basedOn w:val="BTBodyTextChar"/>
    <w:link w:val="HL8HeadingLevel8"/>
    <w:uiPriority w:val="4"/>
    <w:semiHidden/>
    <w:rsid w:val="00C74121"/>
    <w:rPr>
      <w:rFonts w:eastAsiaTheme="majorEastAsia" w:cstheme="majorBidi"/>
      <w:szCs w:val="21"/>
      <w:u w:val="single"/>
    </w:rPr>
  </w:style>
  <w:style w:type="paragraph" w:customStyle="1" w:styleId="SHSectionHeading">
    <w:name w:val="[SH] Section Heading"/>
    <w:basedOn w:val="Heading1"/>
    <w:next w:val="BTBodyText"/>
    <w:link w:val="SHSectionHeadingChar"/>
    <w:uiPriority w:val="12"/>
    <w:qFormat/>
    <w:rsid w:val="002F433F"/>
    <w:pPr>
      <w:spacing w:before="240" w:after="0"/>
      <w:jc w:val="center"/>
    </w:pPr>
    <w:rPr>
      <w:sz w:val="24"/>
    </w:rPr>
  </w:style>
  <w:style w:type="character" w:customStyle="1" w:styleId="HL9HeadingLevel9Char">
    <w:name w:val="[HL9] Heading Level 9 Char"/>
    <w:basedOn w:val="BTBodyTextChar"/>
    <w:link w:val="HL9HeadingLevel9"/>
    <w:uiPriority w:val="4"/>
    <w:semiHidden/>
    <w:rsid w:val="00C74121"/>
    <w:rPr>
      <w:rFonts w:eastAsiaTheme="majorEastAsia" w:cstheme="majorBidi"/>
      <w:i/>
      <w:iCs/>
      <w:szCs w:val="21"/>
    </w:rPr>
  </w:style>
  <w:style w:type="paragraph" w:styleId="TOCHeading">
    <w:name w:val="TOC Heading"/>
    <w:basedOn w:val="Normal"/>
    <w:next w:val="Normal"/>
    <w:uiPriority w:val="39"/>
    <w:unhideWhenUsed/>
    <w:rsid w:val="00AC4A0D"/>
    <w:pPr>
      <w:spacing w:after="0" w:line="240" w:lineRule="auto"/>
      <w:jc w:val="center"/>
    </w:pPr>
    <w:rPr>
      <w:b/>
      <w:caps/>
      <w:lang w:val="en-US"/>
    </w:rPr>
  </w:style>
  <w:style w:type="character" w:customStyle="1" w:styleId="SHSectionHeadingChar">
    <w:name w:val="[SH] Section Heading Char"/>
    <w:basedOn w:val="Heading1Char"/>
    <w:link w:val="SHSectionHeading"/>
    <w:uiPriority w:val="12"/>
    <w:rsid w:val="002F433F"/>
    <w:rPr>
      <w:rFonts w:eastAsiaTheme="majorEastAsia" w:cstheme="majorBidi"/>
      <w:b/>
      <w:caps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2041F"/>
    <w:pPr>
      <w:tabs>
        <w:tab w:val="left" w:pos="851"/>
        <w:tab w:val="right" w:leader="dot" w:pos="9060"/>
      </w:tabs>
      <w:spacing w:before="180" w:after="100" w:line="240" w:lineRule="auto"/>
      <w:ind w:left="851" w:hanging="851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380795"/>
    <w:pPr>
      <w:tabs>
        <w:tab w:val="left" w:pos="1276"/>
        <w:tab w:val="right" w:leader="dot" w:pos="9060"/>
      </w:tabs>
      <w:spacing w:before="120" w:after="100" w:line="240" w:lineRule="auto"/>
      <w:ind w:left="1276" w:hanging="851"/>
    </w:pPr>
    <w:rPr>
      <w:b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380795"/>
    <w:pPr>
      <w:tabs>
        <w:tab w:val="left" w:pos="1701"/>
        <w:tab w:val="right" w:leader="dot" w:pos="9060"/>
      </w:tabs>
      <w:spacing w:before="120" w:after="100" w:line="240" w:lineRule="auto"/>
      <w:ind w:left="1702" w:hanging="851"/>
    </w:pPr>
    <w:rPr>
      <w:b/>
    </w:rPr>
  </w:style>
  <w:style w:type="character" w:styleId="Hyperlink">
    <w:name w:val="Hyperlink"/>
    <w:basedOn w:val="DefaultParagraphFont"/>
    <w:uiPriority w:val="99"/>
    <w:unhideWhenUsed/>
    <w:rsid w:val="00D47F18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380795"/>
    <w:pPr>
      <w:tabs>
        <w:tab w:val="left" w:pos="2127"/>
        <w:tab w:val="right" w:leader="dot" w:pos="9060"/>
      </w:tabs>
      <w:spacing w:before="120" w:after="100" w:line="240" w:lineRule="auto"/>
      <w:ind w:left="2127" w:hanging="851"/>
    </w:pPr>
    <w:rPr>
      <w:u w:val="single"/>
    </w:rPr>
  </w:style>
  <w:style w:type="paragraph" w:styleId="TOC5">
    <w:name w:val="toc 5"/>
    <w:basedOn w:val="Normal"/>
    <w:next w:val="Normal"/>
    <w:autoRedefine/>
    <w:uiPriority w:val="39"/>
    <w:unhideWhenUsed/>
    <w:rsid w:val="00380795"/>
    <w:pPr>
      <w:tabs>
        <w:tab w:val="left" w:pos="2552"/>
        <w:tab w:val="right" w:leader="dot" w:pos="9060"/>
      </w:tabs>
      <w:spacing w:before="120" w:after="100" w:line="240" w:lineRule="auto"/>
      <w:ind w:left="2552" w:hanging="851"/>
    </w:pPr>
    <w:rPr>
      <w:i/>
    </w:rPr>
  </w:style>
  <w:style w:type="paragraph" w:styleId="TOC6">
    <w:name w:val="toc 6"/>
    <w:basedOn w:val="Normal"/>
    <w:next w:val="Normal"/>
    <w:autoRedefine/>
    <w:uiPriority w:val="39"/>
    <w:unhideWhenUsed/>
    <w:rsid w:val="00380795"/>
    <w:pPr>
      <w:tabs>
        <w:tab w:val="left" w:pos="2977"/>
        <w:tab w:val="right" w:leader="dot" w:pos="9060"/>
      </w:tabs>
      <w:spacing w:before="120" w:after="100" w:line="240" w:lineRule="auto"/>
      <w:ind w:left="2977" w:hanging="851"/>
    </w:pPr>
  </w:style>
  <w:style w:type="paragraph" w:styleId="TOC7">
    <w:name w:val="toc 7"/>
    <w:basedOn w:val="Normal"/>
    <w:next w:val="Normal"/>
    <w:autoRedefine/>
    <w:uiPriority w:val="39"/>
    <w:unhideWhenUsed/>
    <w:rsid w:val="00380795"/>
    <w:pPr>
      <w:spacing w:before="120" w:after="100" w:line="240" w:lineRule="auto"/>
      <w:ind w:left="3403" w:hanging="851"/>
    </w:pPr>
  </w:style>
  <w:style w:type="paragraph" w:styleId="TOC8">
    <w:name w:val="toc 8"/>
    <w:basedOn w:val="Normal"/>
    <w:next w:val="Normal"/>
    <w:autoRedefine/>
    <w:uiPriority w:val="39"/>
    <w:unhideWhenUsed/>
    <w:rsid w:val="00380795"/>
    <w:pPr>
      <w:tabs>
        <w:tab w:val="left" w:pos="1134"/>
        <w:tab w:val="right" w:leader="dot" w:pos="9060"/>
      </w:tabs>
      <w:spacing w:before="120" w:after="100" w:line="240" w:lineRule="auto"/>
      <w:ind w:left="1134" w:hanging="1134"/>
    </w:pPr>
  </w:style>
  <w:style w:type="paragraph" w:styleId="TOC9">
    <w:name w:val="toc 9"/>
    <w:basedOn w:val="Normal"/>
    <w:next w:val="Normal"/>
    <w:autoRedefine/>
    <w:uiPriority w:val="39"/>
    <w:unhideWhenUsed/>
    <w:rsid w:val="00380795"/>
    <w:pPr>
      <w:tabs>
        <w:tab w:val="left" w:pos="1134"/>
        <w:tab w:val="right" w:leader="dot" w:pos="9060"/>
      </w:tabs>
      <w:spacing w:before="120" w:after="100" w:line="240" w:lineRule="auto"/>
      <w:ind w:left="1134" w:hanging="1134"/>
    </w:pPr>
  </w:style>
  <w:style w:type="paragraph" w:customStyle="1" w:styleId="FCFigureCaption">
    <w:name w:val="[FC] Figure Caption"/>
    <w:basedOn w:val="BTBodyText"/>
    <w:next w:val="BTBodyText"/>
    <w:link w:val="FCFigureCaptionChar"/>
    <w:uiPriority w:val="10"/>
    <w:qFormat/>
    <w:rsid w:val="00EE47D1"/>
    <w:pPr>
      <w:keepNext/>
      <w:numPr>
        <w:numId w:val="4"/>
      </w:numPr>
      <w:spacing w:before="240" w:after="0"/>
      <w:jc w:val="center"/>
      <w:outlineLvl w:val="7"/>
    </w:pPr>
    <w:rPr>
      <w:b/>
    </w:rPr>
  </w:style>
  <w:style w:type="character" w:customStyle="1" w:styleId="FCFigureCaptionChar">
    <w:name w:val="[FC] Figure Caption Char"/>
    <w:basedOn w:val="BTBodyTextChar"/>
    <w:link w:val="FCFigureCaption"/>
    <w:uiPriority w:val="10"/>
    <w:rsid w:val="00EE47D1"/>
    <w:rPr>
      <w:b/>
    </w:rPr>
  </w:style>
  <w:style w:type="paragraph" w:customStyle="1" w:styleId="TCTableCaption">
    <w:name w:val="[TC] Table Caption"/>
    <w:basedOn w:val="FCFigureCaption"/>
    <w:next w:val="BTBodyText"/>
    <w:link w:val="TCTableCaptionChar"/>
    <w:uiPriority w:val="10"/>
    <w:qFormat/>
    <w:rsid w:val="00ED1747"/>
    <w:pPr>
      <w:numPr>
        <w:numId w:val="5"/>
      </w:numPr>
      <w:outlineLvl w:val="8"/>
    </w:pPr>
  </w:style>
  <w:style w:type="table" w:styleId="TableGrid">
    <w:name w:val="Table Grid"/>
    <w:basedOn w:val="TableNormal"/>
    <w:uiPriority w:val="39"/>
    <w:rsid w:val="006F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CTableCaptionChar">
    <w:name w:val="[TC] Table Caption Char"/>
    <w:basedOn w:val="BTBodyTextChar"/>
    <w:link w:val="TCTableCaption"/>
    <w:uiPriority w:val="10"/>
    <w:rsid w:val="00093175"/>
    <w:rPr>
      <w:b/>
    </w:rPr>
  </w:style>
  <w:style w:type="paragraph" w:customStyle="1" w:styleId="TTTableText">
    <w:name w:val="[TT] Table Text"/>
    <w:basedOn w:val="BTBodyText"/>
    <w:link w:val="TTTableTextChar"/>
    <w:uiPriority w:val="19"/>
    <w:qFormat/>
    <w:rsid w:val="008E0031"/>
    <w:pPr>
      <w:spacing w:before="40" w:after="40" w:line="240" w:lineRule="auto"/>
      <w:jc w:val="left"/>
    </w:pPr>
  </w:style>
  <w:style w:type="paragraph" w:customStyle="1" w:styleId="THTableHeading">
    <w:name w:val="[TH] Table Heading"/>
    <w:basedOn w:val="TTTableText"/>
    <w:link w:val="THTableHeadingChar"/>
    <w:uiPriority w:val="19"/>
    <w:qFormat/>
    <w:rsid w:val="008E0031"/>
    <w:rPr>
      <w:b/>
    </w:rPr>
  </w:style>
  <w:style w:type="character" w:customStyle="1" w:styleId="TTTableTextChar">
    <w:name w:val="[TT] Table Text Char"/>
    <w:basedOn w:val="BTBodyTextChar"/>
    <w:link w:val="TTTableText"/>
    <w:uiPriority w:val="19"/>
    <w:rsid w:val="00093175"/>
  </w:style>
  <w:style w:type="paragraph" w:customStyle="1" w:styleId="AHL1AnnexHeadingLevel1">
    <w:name w:val="[AHL1] Annex Heading Level 1"/>
    <w:basedOn w:val="Heading1"/>
    <w:next w:val="P1-N1Paragraph1-Number1"/>
    <w:link w:val="AHL1AnnexHeadingLevel1Char"/>
    <w:uiPriority w:val="15"/>
    <w:qFormat/>
    <w:rsid w:val="006C1D90"/>
    <w:pPr>
      <w:numPr>
        <w:numId w:val="6"/>
      </w:numPr>
    </w:pPr>
    <w:rPr>
      <w:caps w:val="0"/>
      <w:sz w:val="24"/>
    </w:rPr>
  </w:style>
  <w:style w:type="character" w:customStyle="1" w:styleId="THTableHeadingChar">
    <w:name w:val="[TH] Table Heading Char"/>
    <w:basedOn w:val="TTTableTextChar"/>
    <w:link w:val="THTableHeading"/>
    <w:uiPriority w:val="19"/>
    <w:rsid w:val="00093175"/>
    <w:rPr>
      <w:b/>
    </w:rPr>
  </w:style>
  <w:style w:type="paragraph" w:customStyle="1" w:styleId="AHL2AnnexHeadingLevel2">
    <w:name w:val="[AHL2] Annex Heading Level 2"/>
    <w:basedOn w:val="Heading2"/>
    <w:next w:val="P1-N1Paragraph1-Number1"/>
    <w:link w:val="AHL2AnnexHeadingLevel2Char"/>
    <w:uiPriority w:val="15"/>
    <w:qFormat/>
    <w:rsid w:val="006C1D90"/>
    <w:pPr>
      <w:numPr>
        <w:ilvl w:val="1"/>
        <w:numId w:val="6"/>
      </w:numPr>
    </w:pPr>
    <w:rPr>
      <w:sz w:val="24"/>
    </w:rPr>
  </w:style>
  <w:style w:type="character" w:customStyle="1" w:styleId="AHL1AnnexHeadingLevel1Char">
    <w:name w:val="[AHL1] Annex Heading Level 1 Char"/>
    <w:basedOn w:val="BTBodyTextChar"/>
    <w:link w:val="AHL1AnnexHeadingLevel1"/>
    <w:uiPriority w:val="15"/>
    <w:rsid w:val="00D456CA"/>
    <w:rPr>
      <w:rFonts w:eastAsiaTheme="majorEastAsia" w:cstheme="majorBidi"/>
      <w:b/>
      <w:szCs w:val="32"/>
    </w:rPr>
  </w:style>
  <w:style w:type="paragraph" w:customStyle="1" w:styleId="AHL3AnnexHeadingLevel3">
    <w:name w:val="[AHL3] Annex Heading Level 3"/>
    <w:basedOn w:val="Heading3"/>
    <w:next w:val="P1-N1Paragraph1-Number1"/>
    <w:link w:val="AHL3AnnexHeadingLevel3Char"/>
    <w:uiPriority w:val="15"/>
    <w:qFormat/>
    <w:rsid w:val="0093054A"/>
    <w:pPr>
      <w:numPr>
        <w:ilvl w:val="2"/>
        <w:numId w:val="6"/>
      </w:numPr>
    </w:pPr>
  </w:style>
  <w:style w:type="character" w:customStyle="1" w:styleId="AHL2AnnexHeadingLevel2Char">
    <w:name w:val="[AHL2] Annex Heading Level 2 Char"/>
    <w:basedOn w:val="BTBodyTextChar"/>
    <w:link w:val="AHL2AnnexHeadingLevel2"/>
    <w:uiPriority w:val="15"/>
    <w:rsid w:val="00D456CA"/>
    <w:rPr>
      <w:rFonts w:eastAsiaTheme="majorEastAsia" w:cstheme="majorBidi"/>
      <w:b/>
      <w:smallCaps/>
      <w:szCs w:val="26"/>
    </w:rPr>
  </w:style>
  <w:style w:type="paragraph" w:customStyle="1" w:styleId="AHL4AnnexHeadingLevel4">
    <w:name w:val="[AHL4] Annex Heading Level 4"/>
    <w:basedOn w:val="Heading4"/>
    <w:next w:val="P1-N1Paragraph1-Number1"/>
    <w:link w:val="AHL4AnnexHeadingLevel4Char"/>
    <w:uiPriority w:val="15"/>
    <w:semiHidden/>
    <w:rsid w:val="0093054A"/>
    <w:pPr>
      <w:numPr>
        <w:ilvl w:val="3"/>
        <w:numId w:val="6"/>
      </w:numPr>
    </w:pPr>
  </w:style>
  <w:style w:type="character" w:customStyle="1" w:styleId="AHL3AnnexHeadingLevel3Char">
    <w:name w:val="[AHL3] Annex Heading Level 3 Char"/>
    <w:basedOn w:val="BTBodyTextChar"/>
    <w:link w:val="AHL3AnnexHeadingLevel3"/>
    <w:uiPriority w:val="15"/>
    <w:rsid w:val="00D456CA"/>
    <w:rPr>
      <w:rFonts w:eastAsiaTheme="majorEastAsia" w:cstheme="majorBidi"/>
      <w:b/>
    </w:rPr>
  </w:style>
  <w:style w:type="paragraph" w:customStyle="1" w:styleId="AHL5AnnexHeadingLevel5">
    <w:name w:val="[AHL5] Annex Heading Level 5"/>
    <w:basedOn w:val="Heading5"/>
    <w:next w:val="P1-N1Paragraph1-Number1"/>
    <w:link w:val="AHL5AnnexHeadingLevel5Char"/>
    <w:uiPriority w:val="15"/>
    <w:semiHidden/>
    <w:rsid w:val="006C1D90"/>
    <w:pPr>
      <w:numPr>
        <w:ilvl w:val="4"/>
        <w:numId w:val="6"/>
      </w:numPr>
    </w:pPr>
    <w:rPr>
      <w:b/>
      <w:i w:val="0"/>
    </w:rPr>
  </w:style>
  <w:style w:type="character" w:customStyle="1" w:styleId="AHL4AnnexHeadingLevel4Char">
    <w:name w:val="[AHL4] Annex Heading Level 4 Char"/>
    <w:basedOn w:val="BTBodyTextChar"/>
    <w:link w:val="AHL4AnnexHeadingLevel4"/>
    <w:uiPriority w:val="15"/>
    <w:semiHidden/>
    <w:rsid w:val="00D456CA"/>
    <w:rPr>
      <w:rFonts w:eastAsiaTheme="majorEastAsia" w:cstheme="majorBidi"/>
      <w:iCs/>
      <w:u w:val="single"/>
    </w:rPr>
  </w:style>
  <w:style w:type="paragraph" w:customStyle="1" w:styleId="AHL6AnnexHeadingLevel6">
    <w:name w:val="[AHL6] Annex Heading Level 6"/>
    <w:basedOn w:val="Heading6"/>
    <w:next w:val="P1-N1Paragraph1-Number1"/>
    <w:link w:val="AHL6AnnexHeadingLevel6Char"/>
    <w:uiPriority w:val="15"/>
    <w:semiHidden/>
    <w:rsid w:val="0093054A"/>
    <w:pPr>
      <w:numPr>
        <w:ilvl w:val="5"/>
        <w:numId w:val="6"/>
      </w:numPr>
    </w:pPr>
  </w:style>
  <w:style w:type="character" w:customStyle="1" w:styleId="AHL5AnnexHeadingLevel5Char">
    <w:name w:val="[AHL5] Annex Heading Level 5 Char"/>
    <w:basedOn w:val="BTBodyTextChar"/>
    <w:link w:val="AHL5AnnexHeadingLevel5"/>
    <w:uiPriority w:val="15"/>
    <w:semiHidden/>
    <w:rsid w:val="00D456CA"/>
    <w:rPr>
      <w:rFonts w:eastAsiaTheme="majorEastAsia" w:cstheme="majorBidi"/>
      <w:b/>
    </w:rPr>
  </w:style>
  <w:style w:type="paragraph" w:customStyle="1" w:styleId="AHL7AnnexHeadingLevel7">
    <w:name w:val="[AHL7] Annex Heading Level 7"/>
    <w:basedOn w:val="Heading7"/>
    <w:next w:val="P1-N1Paragraph1-Number1"/>
    <w:link w:val="AHL7AnnexHeadingLevel7Char"/>
    <w:uiPriority w:val="15"/>
    <w:semiHidden/>
    <w:rsid w:val="0093054A"/>
    <w:pPr>
      <w:numPr>
        <w:ilvl w:val="6"/>
        <w:numId w:val="6"/>
      </w:numPr>
    </w:pPr>
  </w:style>
  <w:style w:type="character" w:customStyle="1" w:styleId="AHL6AnnexHeadingLevel6Char">
    <w:name w:val="[AHL6] Annex Heading Level 6 Char"/>
    <w:basedOn w:val="BTBodyTextChar"/>
    <w:link w:val="AHL6AnnexHeadingLevel6"/>
    <w:uiPriority w:val="15"/>
    <w:semiHidden/>
    <w:rsid w:val="00D456CA"/>
    <w:rPr>
      <w:rFonts w:eastAsiaTheme="majorEastAsia" w:cstheme="majorBidi"/>
      <w:u w:val="single"/>
    </w:rPr>
  </w:style>
  <w:style w:type="paragraph" w:customStyle="1" w:styleId="AHL8AnnexHeadingLevel8">
    <w:name w:val="[AHL8] Annex Heading Level 8"/>
    <w:basedOn w:val="Heading8"/>
    <w:next w:val="P1-N1Paragraph1-Number1"/>
    <w:link w:val="AHL8AnnexHeadingLevel8Char"/>
    <w:uiPriority w:val="15"/>
    <w:semiHidden/>
    <w:rsid w:val="0093054A"/>
    <w:pPr>
      <w:numPr>
        <w:ilvl w:val="7"/>
        <w:numId w:val="6"/>
      </w:numPr>
    </w:pPr>
  </w:style>
  <w:style w:type="character" w:customStyle="1" w:styleId="AHL7AnnexHeadingLevel7Char">
    <w:name w:val="[AHL7] Annex Heading Level 7 Char"/>
    <w:basedOn w:val="BTBodyTextChar"/>
    <w:link w:val="AHL7AnnexHeadingLevel7"/>
    <w:uiPriority w:val="15"/>
    <w:semiHidden/>
    <w:rsid w:val="00D456CA"/>
    <w:rPr>
      <w:rFonts w:eastAsiaTheme="majorEastAsia" w:cstheme="majorBidi"/>
      <w:i/>
      <w:iCs/>
    </w:rPr>
  </w:style>
  <w:style w:type="paragraph" w:customStyle="1" w:styleId="AHL9AnnexHeadingLevel9">
    <w:name w:val="[AHL9] Annex Heading Level 9"/>
    <w:basedOn w:val="Heading9"/>
    <w:next w:val="P1-N1Paragraph1-Number1"/>
    <w:link w:val="AHL9AnnexHeadingLevel9Char"/>
    <w:uiPriority w:val="15"/>
    <w:semiHidden/>
    <w:rsid w:val="0093054A"/>
    <w:pPr>
      <w:numPr>
        <w:ilvl w:val="8"/>
        <w:numId w:val="6"/>
      </w:numPr>
    </w:pPr>
  </w:style>
  <w:style w:type="character" w:customStyle="1" w:styleId="AHL8AnnexHeadingLevel8Char">
    <w:name w:val="[AHL8] Annex Heading Level 8 Char"/>
    <w:basedOn w:val="BTBodyTextChar"/>
    <w:link w:val="AHL8AnnexHeadingLevel8"/>
    <w:uiPriority w:val="15"/>
    <w:semiHidden/>
    <w:rsid w:val="00D456CA"/>
    <w:rPr>
      <w:rFonts w:eastAsiaTheme="majorEastAsia" w:cstheme="majorBidi"/>
      <w:szCs w:val="2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269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AHL9AnnexHeadingLevel9Char">
    <w:name w:val="[AHL9] Annex Heading Level 9 Char"/>
    <w:basedOn w:val="BTBodyTextChar"/>
    <w:link w:val="AHL9AnnexHeadingLevel9"/>
    <w:uiPriority w:val="15"/>
    <w:semiHidden/>
    <w:rsid w:val="00D456CA"/>
    <w:rPr>
      <w:rFonts w:eastAsiaTheme="majorEastAsia" w:cstheme="majorBidi"/>
      <w:i/>
      <w:iCs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06269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06269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06269"/>
    <w:rPr>
      <w:sz w:val="22"/>
    </w:rPr>
  </w:style>
  <w:style w:type="paragraph" w:styleId="FootnoteText">
    <w:name w:val="footnote text"/>
    <w:basedOn w:val="Normal"/>
    <w:link w:val="FootnoteTextChar"/>
    <w:uiPriority w:val="99"/>
    <w:rsid w:val="00EE47D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47D1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rsid w:val="00BD0E60"/>
    <w:rPr>
      <w:rFonts w:ascii="Calibri" w:hAnsi="Calibri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30A32"/>
    <w:rPr>
      <w:color w:val="605E5C"/>
      <w:shd w:val="clear" w:color="auto" w:fill="E1DFDD"/>
    </w:rPr>
  </w:style>
  <w:style w:type="paragraph" w:customStyle="1" w:styleId="WTODTWTODisputeTitle">
    <w:name w:val="[WTODT] WTO Dispute Title"/>
    <w:basedOn w:val="BTBodyText"/>
    <w:link w:val="WTODTWTODisputeTitleChar"/>
    <w:uiPriority w:val="27"/>
    <w:rsid w:val="00DA5381"/>
    <w:pPr>
      <w:spacing w:line="240" w:lineRule="auto"/>
      <w:jc w:val="center"/>
    </w:pPr>
    <w:rPr>
      <w:b/>
      <w:bCs/>
      <w:smallCaps/>
      <w:sz w:val="40"/>
      <w:szCs w:val="40"/>
    </w:rPr>
  </w:style>
  <w:style w:type="paragraph" w:customStyle="1" w:styleId="DSNDSNumber">
    <w:name w:val="[DSN] DS Number"/>
    <w:basedOn w:val="BTBodyText"/>
    <w:link w:val="DSNDSNumberChar"/>
    <w:uiPriority w:val="27"/>
    <w:rsid w:val="00DA5381"/>
    <w:pPr>
      <w:spacing w:line="240" w:lineRule="auto"/>
      <w:jc w:val="center"/>
    </w:pPr>
  </w:style>
  <w:style w:type="character" w:customStyle="1" w:styleId="WTODTWTODisputeTitleChar">
    <w:name w:val="[WTODT] WTO Dispute Title Char"/>
    <w:basedOn w:val="BTBodyTextChar"/>
    <w:link w:val="WTODTWTODisputeTitle"/>
    <w:uiPriority w:val="27"/>
    <w:rsid w:val="0026128E"/>
    <w:rPr>
      <w:b/>
      <w:bCs/>
      <w:smallCaps/>
      <w:sz w:val="40"/>
      <w:szCs w:val="40"/>
    </w:rPr>
  </w:style>
  <w:style w:type="paragraph" w:customStyle="1" w:styleId="DTDocumentTitle">
    <w:name w:val="[DT] Document Title"/>
    <w:basedOn w:val="BTBodyText"/>
    <w:link w:val="DTDocumentTitleChar"/>
    <w:uiPriority w:val="27"/>
    <w:rsid w:val="00DA5381"/>
    <w:pPr>
      <w:spacing w:line="240" w:lineRule="auto"/>
      <w:jc w:val="center"/>
    </w:pPr>
    <w:rPr>
      <w:b/>
      <w:bCs/>
      <w:smallCaps/>
      <w:sz w:val="36"/>
      <w:szCs w:val="36"/>
    </w:rPr>
  </w:style>
  <w:style w:type="character" w:customStyle="1" w:styleId="DSNDSNumberChar">
    <w:name w:val="[DSN] DS Number Char"/>
    <w:basedOn w:val="BTBodyTextChar"/>
    <w:link w:val="DSNDSNumber"/>
    <w:uiPriority w:val="27"/>
    <w:rsid w:val="0026128E"/>
  </w:style>
  <w:style w:type="paragraph" w:customStyle="1" w:styleId="DDDocumentDate">
    <w:name w:val="[DD] Document Date"/>
    <w:basedOn w:val="BTBodyText"/>
    <w:link w:val="DDDocumentDateChar"/>
    <w:uiPriority w:val="27"/>
    <w:rsid w:val="00DA5381"/>
    <w:pPr>
      <w:spacing w:line="240" w:lineRule="auto"/>
      <w:jc w:val="center"/>
    </w:pPr>
    <w:rPr>
      <w:sz w:val="32"/>
      <w:szCs w:val="32"/>
    </w:rPr>
  </w:style>
  <w:style w:type="character" w:customStyle="1" w:styleId="DTDocumentTitleChar">
    <w:name w:val="[DT] Document Title Char"/>
    <w:basedOn w:val="BTBodyTextChar"/>
    <w:link w:val="DTDocumentTitle"/>
    <w:uiPriority w:val="27"/>
    <w:rsid w:val="0026128E"/>
    <w:rPr>
      <w:b/>
      <w:bCs/>
      <w:smallCaps/>
      <w:sz w:val="36"/>
      <w:szCs w:val="36"/>
    </w:rPr>
  </w:style>
  <w:style w:type="character" w:customStyle="1" w:styleId="DDDocumentDateChar">
    <w:name w:val="[DD] Document Date Char"/>
    <w:basedOn w:val="BTBodyTextChar"/>
    <w:link w:val="DDDocumentDate"/>
    <w:uiPriority w:val="27"/>
    <w:rsid w:val="0026128E"/>
    <w:rPr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52A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C7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7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8FD"/>
    <w:rPr>
      <w:b/>
      <w:bCs/>
      <w:sz w:val="20"/>
      <w:szCs w:val="20"/>
    </w:rPr>
  </w:style>
  <w:style w:type="paragraph" w:customStyle="1" w:styleId="Default">
    <w:name w:val="Default"/>
    <w:rsid w:val="00445689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lang w:val="en-US"/>
    </w:rPr>
  </w:style>
  <w:style w:type="paragraph" w:styleId="Revision">
    <w:name w:val="Revision"/>
    <w:hidden/>
    <w:uiPriority w:val="99"/>
    <w:semiHidden/>
    <w:rsid w:val="00862E5E"/>
    <w:pPr>
      <w:spacing w:after="0" w:line="240" w:lineRule="auto"/>
      <w:jc w:val="left"/>
    </w:pPr>
  </w:style>
  <w:style w:type="paragraph" w:styleId="NormalWeb">
    <w:name w:val="Normal (Web)"/>
    <w:basedOn w:val="Normal"/>
    <w:uiPriority w:val="99"/>
    <w:semiHidden/>
    <w:unhideWhenUsed/>
    <w:rsid w:val="00B46ACA"/>
    <w:rPr>
      <w:rFonts w:ascii="Times New Roman" w:hAnsi="Times New Roman" w:cs="Times New Roman"/>
    </w:rPr>
  </w:style>
  <w:style w:type="paragraph" w:customStyle="1" w:styleId="WTONumbers">
    <w:name w:val="WTO Numbers"/>
    <w:qFormat/>
    <w:rsid w:val="009C3E62"/>
    <w:pPr>
      <w:numPr>
        <w:numId w:val="13"/>
      </w:numPr>
      <w:autoSpaceDE w:val="0"/>
      <w:autoSpaceDN w:val="0"/>
      <w:adjustRightInd w:val="0"/>
      <w:spacing w:after="240" w:line="240" w:lineRule="auto"/>
      <w:jc w:val="left"/>
    </w:pPr>
    <w:rPr>
      <w:rFonts w:ascii="Times New Roman" w:eastAsia="Times New Roman" w:hAnsi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425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wto.org/dol2fe/Pages/FE_Search/FE_S_S006.aspx?DataSource=Cat&amp;query=@Symbol=WT/DS371/R&amp;Language=English&amp;Context=ScriptedSearches&amp;languageUIChanged=true" TargetMode="External"/><Relationship Id="rId18" Type="http://schemas.openxmlformats.org/officeDocument/2006/relationships/hyperlink" Target="https://docs.wto.org/dol2fe/Pages/FE_Search/FE_S_S006.aspx?DataSource=Cat&amp;query=@Symbol=WT/DS179/R&amp;Language=English&amp;Context=ScriptedSearches&amp;languageUIChanged=tru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ocs.wto.org/dol2fe/Pages/FE_Search/FE_S_S006.aspx?DataSource=Cat&amp;query=@Symbol=WT/DS315/AB/R&amp;Language=English&amp;Context=ScriptedSearches&amp;languageUIChanged=true" TargetMode="External"/><Relationship Id="rId17" Type="http://schemas.openxmlformats.org/officeDocument/2006/relationships/hyperlink" Target="https://docs.wto.org/dol2fe/Pages/FE_Search/FE_S_S006.aspx?DataSource=Cat&amp;query=@Symbol=WT/DS264/R&amp;Language=English&amp;Context=ScriptedSearches&amp;languageUIChanged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wto.org/dol2fe/Pages/FE_Search/FE_S_S006.aspx?DataSource=Cat&amp;query=@Symbol=WT/DS244/R&amp;Language=English&amp;Context=ScriptedSearches&amp;languageUIChanged=tru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wto.org/dol2fe/Pages/FE_Search/FE_S_S006.aspx?DataSource=Cat&amp;query=@Symbol=WT/DS155/R*&amp;Language=English&amp;Context=ScriptedSearches&amp;languageUIChanged=tru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wto.org/dol2fe/Pages/FE_Search/FE_S_S006.aspx?DataSource=Cat&amp;query=@Symbol=WT/DS386/R&amp;Language=English&amp;Context=ScriptedSearches&amp;languageUIChanged=true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wto.org/dol2fe/Pages/FE_Search/FE_S_S006.aspx?DataSource=Cat&amp;query=@Symbol=WT/DS384/R%20&amp;Language=English&amp;Context=ScriptedSearches&amp;languageUIChanged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0AC2E10A2B34A86A613A4498C609D" ma:contentTypeVersion="3" ma:contentTypeDescription="Create a new document." ma:contentTypeScope="" ma:versionID="93795d7ebee9913df2db193712303f32">
  <xsd:schema xmlns:xsd="http://www.w3.org/2001/XMLSchema" xmlns:xs="http://www.w3.org/2001/XMLSchema" xmlns:p="http://schemas.microsoft.com/office/2006/metadata/properties" xmlns:ns2="d0a44250-acd7-47b7-bc6f-6107bccf164c" targetNamespace="http://schemas.microsoft.com/office/2006/metadata/properties" ma:root="true" ma:fieldsID="4ed414144b03bc0ea3ef09ddc924adb9" ns2:_="">
    <xsd:import namespace="d0a44250-acd7-47b7-bc6f-6107bccf1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44250-acd7-47b7-bc6f-6107bccf1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235A1-F96D-400C-B310-2B8106A395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C32E75-55B9-4EB1-BF11-4118B35ED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E7EB4-935A-4D44-B1B5-966AF896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44250-acd7-47b7-bc6f-6107bccf1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F69CD-395A-4F8D-809E-294B81ECB7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1572</Words>
  <Characters>8918</Characters>
  <Application>Microsoft Office Word</Application>
  <DocSecurity>0</DocSecurity>
  <Lines>201</Lines>
  <Paragraphs>78</Paragraphs>
  <ScaleCrop>false</ScaleCrop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2025-12-12T05:44:00Z</dcterms:created>
  <dcterms:modified xsi:type="dcterms:W3CDTF">2025-12-15T20:17:00Z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v=2022.1;a=SHA256;h=81E4BA908559ADE4CC01EBF9DE99D5DDD82AA805FEF7F9CBFE1415FF342D8803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2025-10-15T10:46:46Z</vt:lpwstr>
  </property>
  <property fmtid="{D5CDD505-2E9C-101B-9397-08002B2CF9AE}" pid="11" name="PM_DownTo">
    <vt:lpwstr/>
  </property>
  <property fmtid="{D5CDD505-2E9C-101B-9397-08002B2CF9AE}" pid="12" name="PM_Markers">
    <vt:lpwstr/>
  </property>
  <property fmtid="{D5CDD505-2E9C-101B-9397-08002B2CF9AE}" pid="13" name="PM_DisplayValueSecClassificationWithQualifier">
    <vt:lpwstr>OFFICIAL</vt:lpwstr>
  </property>
  <property fmtid="{D5CDD505-2E9C-101B-9397-08002B2CF9AE}" pid="14" name="PM_Expires">
    <vt:lpwstr/>
  </property>
  <property fmtid="{D5CDD505-2E9C-101B-9397-08002B2CF9AE}" pid="15" name="PM_InsertionValue">
    <vt:lpwstr>OFFICIAL</vt:lpwstr>
  </property>
  <property fmtid="{D5CDD505-2E9C-101B-9397-08002B2CF9AE}" pid="16" name="PM_Originator_Hash_SHA1">
    <vt:lpwstr>31FD3EAE4A251ABCF009A8ACCBAC4038715E6F10</vt:lpwstr>
  </property>
  <property fmtid="{D5CDD505-2E9C-101B-9397-08002B2CF9AE}" pid="17" name="PM_Originating_FileId">
    <vt:lpwstr>1D672263F6F94089AD0ABB9CF15F810D</vt:lpwstr>
  </property>
  <property fmtid="{D5CDD505-2E9C-101B-9397-08002B2CF9AE}" pid="18" name="PM_ProtectiveMarkingValue_Footer">
    <vt:lpwstr>OFFICIAL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91EA69836A306F65000D7711B40DDACB57150DAE7AC7FEFA95158BE89FCA2A6B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0876F9A8229F25AD1B271FB96B095EA4</vt:lpwstr>
  </property>
  <property fmtid="{D5CDD505-2E9C-101B-9397-08002B2CF9AE}" pid="25" name="PM_Hash_Salt">
    <vt:lpwstr>BA9ADE9E0A896AD1214197030EAE4B33</vt:lpwstr>
  </property>
  <property fmtid="{D5CDD505-2E9C-101B-9397-08002B2CF9AE}" pid="26" name="PM_Hash_SHA1">
    <vt:lpwstr>001A89BE024A571C55D85FE32634969634F8CC25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ContentTypeId">
    <vt:lpwstr>0x010100CF00AC2E10A2B34A86A613A4498C609D</vt:lpwstr>
  </property>
</Properties>
</file>