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B7E0" w14:textId="77777777" w:rsidR="00354A06" w:rsidRPr="0007327B" w:rsidRDefault="00354A06" w:rsidP="005714C3">
      <w:pPr>
        <w:pStyle w:val="BTNSSBodyTextNoSpacingSmall"/>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07327B" w14:paraId="682F57BD" w14:textId="77777777" w:rsidTr="008A4C51">
        <w:trPr>
          <w:trHeight w:val="4365"/>
        </w:trPr>
        <w:tc>
          <w:tcPr>
            <w:tcW w:w="9060" w:type="dxa"/>
          </w:tcPr>
          <w:p w14:paraId="10DEBCA2" w14:textId="77777777" w:rsidR="005714C3" w:rsidRPr="0007327B" w:rsidRDefault="005714C3" w:rsidP="005714C3">
            <w:pPr>
              <w:pStyle w:val="BTBodyText"/>
              <w:spacing w:after="240"/>
              <w:jc w:val="center"/>
              <w:rPr>
                <w:b/>
                <w:bCs/>
                <w:sz w:val="32"/>
                <w:szCs w:val="32"/>
              </w:rPr>
            </w:pPr>
            <w:r w:rsidRPr="0007327B">
              <w:rPr>
                <w:b/>
                <w:bCs/>
                <w:sz w:val="32"/>
                <w:szCs w:val="32"/>
              </w:rPr>
              <w:t>Before the World Trade Organization</w:t>
            </w:r>
          </w:p>
          <w:p w14:paraId="4BF7456E" w14:textId="77777777" w:rsidR="005714C3" w:rsidRPr="0007327B" w:rsidRDefault="005714C3" w:rsidP="005714C3">
            <w:pPr>
              <w:pStyle w:val="BTBodyText"/>
              <w:spacing w:after="240"/>
              <w:jc w:val="center"/>
              <w:rPr>
                <w:b/>
                <w:bCs/>
                <w:sz w:val="32"/>
                <w:szCs w:val="32"/>
              </w:rPr>
            </w:pPr>
            <w:r w:rsidRPr="0007327B">
              <w:rPr>
                <w:b/>
                <w:bCs/>
                <w:sz w:val="32"/>
                <w:szCs w:val="32"/>
              </w:rPr>
              <w:t>Panel Proceedings</w:t>
            </w:r>
          </w:p>
        </w:tc>
      </w:tr>
      <w:tr w:rsidR="005714C3" w:rsidRPr="0007327B" w14:paraId="409B78CF" w14:textId="77777777" w:rsidTr="00BE0B1C">
        <w:trPr>
          <w:trHeight w:val="737"/>
        </w:trPr>
        <w:tc>
          <w:tcPr>
            <w:tcW w:w="9060" w:type="dxa"/>
          </w:tcPr>
          <w:p w14:paraId="7B45D223" w14:textId="77777777" w:rsidR="005714C3" w:rsidRPr="0007327B" w:rsidRDefault="005677F2" w:rsidP="00DA5381">
            <w:pPr>
              <w:pStyle w:val="WTODTWTODisputeTitle"/>
            </w:pPr>
            <w:r w:rsidRPr="006F7B75">
              <w:rPr>
                <w:lang w:val="en-US"/>
              </w:rPr>
              <w:t>European Union — Anti-Dumping Measures on Imports of Fatty Acid from Indonesia</w:t>
            </w:r>
          </w:p>
        </w:tc>
      </w:tr>
      <w:tr w:rsidR="005714C3" w:rsidRPr="0007327B" w14:paraId="053A9DE6" w14:textId="77777777" w:rsidTr="008A4C51">
        <w:trPr>
          <w:trHeight w:val="3175"/>
        </w:trPr>
        <w:tc>
          <w:tcPr>
            <w:tcW w:w="9060" w:type="dxa"/>
          </w:tcPr>
          <w:p w14:paraId="27766CDA" w14:textId="77777777" w:rsidR="005714C3" w:rsidRPr="0007327B" w:rsidRDefault="005714C3" w:rsidP="00DA5381">
            <w:pPr>
              <w:pStyle w:val="DSNDSNumber"/>
            </w:pPr>
            <w:r w:rsidRPr="0007327B">
              <w:t>(DS</w:t>
            </w:r>
            <w:r w:rsidR="005677F2">
              <w:t>622</w:t>
            </w:r>
            <w:r w:rsidRPr="0007327B">
              <w:t>)</w:t>
            </w:r>
          </w:p>
        </w:tc>
      </w:tr>
      <w:tr w:rsidR="005714C3" w:rsidRPr="0007327B" w14:paraId="7D30C337" w14:textId="77777777" w:rsidTr="00DD4BA0">
        <w:trPr>
          <w:trHeight w:val="3798"/>
        </w:trPr>
        <w:tc>
          <w:tcPr>
            <w:tcW w:w="9060" w:type="dxa"/>
          </w:tcPr>
          <w:p w14:paraId="34C82499" w14:textId="77777777" w:rsidR="005714C3" w:rsidRPr="0007327B" w:rsidRDefault="005677F2" w:rsidP="00DA5381">
            <w:pPr>
              <w:pStyle w:val="DTDocumentTitle"/>
            </w:pPr>
            <w:r w:rsidRPr="00F468E4">
              <w:t xml:space="preserve">Australia's Responses to Questions from the Panel </w:t>
            </w:r>
            <w:r w:rsidR="006119DD">
              <w:t>f</w:t>
            </w:r>
            <w:r w:rsidRPr="00F468E4">
              <w:t xml:space="preserve">ollowing the </w:t>
            </w:r>
            <w:proofErr w:type="gramStart"/>
            <w:r w:rsidRPr="00F468E4">
              <w:t>Third Party</w:t>
            </w:r>
            <w:proofErr w:type="gramEnd"/>
            <w:r w:rsidRPr="00F468E4">
              <w:t xml:space="preserve"> Session</w:t>
            </w:r>
          </w:p>
        </w:tc>
      </w:tr>
      <w:tr w:rsidR="005714C3" w:rsidRPr="0007327B" w14:paraId="61EBF60F" w14:textId="77777777" w:rsidTr="00BE0B1C">
        <w:trPr>
          <w:trHeight w:val="624"/>
        </w:trPr>
        <w:tc>
          <w:tcPr>
            <w:tcW w:w="9060" w:type="dxa"/>
          </w:tcPr>
          <w:p w14:paraId="52BE19AD" w14:textId="77777777" w:rsidR="005714C3" w:rsidRPr="0007327B" w:rsidRDefault="005677F2" w:rsidP="00DA5381">
            <w:pPr>
              <w:pStyle w:val="DDDocumentDate"/>
            </w:pPr>
            <w:r>
              <w:t>3 November 2025</w:t>
            </w:r>
          </w:p>
        </w:tc>
      </w:tr>
    </w:tbl>
    <w:p w14:paraId="344B9316" w14:textId="77777777" w:rsidR="005714C3" w:rsidRPr="0007327B" w:rsidRDefault="005714C3" w:rsidP="00BE0B1C">
      <w:pPr>
        <w:pStyle w:val="BTNSSBodyTextNoSpacingSmall"/>
      </w:pPr>
    </w:p>
    <w:p w14:paraId="52569393" w14:textId="77777777" w:rsidR="00006269" w:rsidRPr="0007327B" w:rsidRDefault="00006269" w:rsidP="00BE0B1C">
      <w:pPr>
        <w:pStyle w:val="BTNSSBodyTextNoSpacingSmall"/>
      </w:pPr>
      <w:r w:rsidRPr="0007327B">
        <w:br w:type="page"/>
      </w:r>
    </w:p>
    <w:p w14:paraId="5E684D69" w14:textId="77777777" w:rsidR="00F01A73" w:rsidRPr="0007327B" w:rsidRDefault="00F01A73" w:rsidP="00F01A73">
      <w:pPr>
        <w:pStyle w:val="BTNSSBodyTextNoSpacingSmall"/>
        <w:rPr>
          <w:sz w:val="2"/>
          <w:szCs w:val="2"/>
        </w:rPr>
      </w:pPr>
    </w:p>
    <w:sdt>
      <w:sdtPr>
        <w:rPr>
          <w:b w:val="0"/>
          <w:caps w:val="0"/>
          <w:sz w:val="8"/>
          <w:szCs w:val="8"/>
          <w:lang w:val="en-AU"/>
        </w:rPr>
        <w:id w:val="-1730524273"/>
        <w:docPartObj>
          <w:docPartGallery w:val="Table of Contents"/>
          <w:docPartUnique/>
        </w:docPartObj>
      </w:sdtPr>
      <w:sdtEndPr>
        <w:rPr>
          <w:bCs/>
        </w:rPr>
      </w:sdtEndPr>
      <w:sdtContent>
        <w:p w14:paraId="626E9B45" w14:textId="77777777" w:rsidR="00D47F18" w:rsidRPr="0007327B" w:rsidRDefault="00D47F18">
          <w:pPr>
            <w:pStyle w:val="TOCHeading"/>
            <w:rPr>
              <w:lang w:val="en-AU"/>
            </w:rPr>
          </w:pPr>
          <w:r w:rsidRPr="0007327B">
            <w:rPr>
              <w:lang w:val="en-AU"/>
            </w:rPr>
            <w:t>Table of Contents</w:t>
          </w:r>
        </w:p>
        <w:p w14:paraId="48479602" w14:textId="36658954" w:rsidR="006119DD" w:rsidRDefault="00F945DB">
          <w:pPr>
            <w:pStyle w:val="TOC1"/>
            <w:rPr>
              <w:rFonts w:asciiTheme="minorHAnsi" w:eastAsiaTheme="minorEastAsia" w:hAnsiTheme="minorHAnsi"/>
              <w:b w:val="0"/>
              <w:caps w:val="0"/>
              <w:noProof/>
              <w:kern w:val="2"/>
              <w:lang w:val="en-US"/>
              <w14:ligatures w14:val="standardContextual"/>
            </w:rPr>
          </w:pPr>
          <w:r w:rsidRPr="0007327B">
            <w:fldChar w:fldCharType="begin"/>
          </w:r>
          <w:r w:rsidRPr="0007327B">
            <w:instrText xml:space="preserve"> TOC \o "1-5" \h \z \u </w:instrText>
          </w:r>
          <w:r w:rsidRPr="0007327B">
            <w:fldChar w:fldCharType="separate"/>
          </w:r>
          <w:hyperlink w:anchor="_Toc212474054" w:history="1">
            <w:r w:rsidR="006119DD" w:rsidRPr="00215219">
              <w:rPr>
                <w:rStyle w:val="Hyperlink"/>
                <w:noProof/>
              </w:rPr>
              <w:t>Table of Cases</w:t>
            </w:r>
            <w:r w:rsidR="006119DD">
              <w:rPr>
                <w:noProof/>
                <w:webHidden/>
              </w:rPr>
              <w:tab/>
            </w:r>
            <w:r w:rsidR="006119DD">
              <w:rPr>
                <w:noProof/>
                <w:webHidden/>
              </w:rPr>
              <w:fldChar w:fldCharType="begin"/>
            </w:r>
            <w:r w:rsidR="006119DD">
              <w:rPr>
                <w:noProof/>
                <w:webHidden/>
              </w:rPr>
              <w:instrText xml:space="preserve"> PAGEREF _Toc212474054 \h </w:instrText>
            </w:r>
            <w:r w:rsidR="006119DD">
              <w:rPr>
                <w:noProof/>
                <w:webHidden/>
              </w:rPr>
            </w:r>
            <w:r w:rsidR="006119DD">
              <w:rPr>
                <w:noProof/>
                <w:webHidden/>
              </w:rPr>
              <w:fldChar w:fldCharType="separate"/>
            </w:r>
            <w:r w:rsidR="00D0425E">
              <w:rPr>
                <w:noProof/>
                <w:webHidden/>
              </w:rPr>
              <w:t>2</w:t>
            </w:r>
            <w:r w:rsidR="006119DD">
              <w:rPr>
                <w:noProof/>
                <w:webHidden/>
              </w:rPr>
              <w:fldChar w:fldCharType="end"/>
            </w:r>
          </w:hyperlink>
        </w:p>
        <w:p w14:paraId="7D52B2CC" w14:textId="2B6F0B64" w:rsidR="006119DD" w:rsidRDefault="006119DD">
          <w:pPr>
            <w:pStyle w:val="TOC1"/>
            <w:rPr>
              <w:rFonts w:asciiTheme="minorHAnsi" w:eastAsiaTheme="minorEastAsia" w:hAnsiTheme="minorHAnsi"/>
              <w:b w:val="0"/>
              <w:caps w:val="0"/>
              <w:noProof/>
              <w:kern w:val="2"/>
              <w:lang w:val="en-US"/>
              <w14:ligatures w14:val="standardContextual"/>
            </w:rPr>
          </w:pPr>
          <w:hyperlink w:anchor="_Toc212474055" w:history="1">
            <w:r w:rsidRPr="00215219">
              <w:rPr>
                <w:rStyle w:val="Hyperlink"/>
                <w:noProof/>
              </w:rPr>
              <w:t>List of Acronyms, Abbreviations and Short Forms</w:t>
            </w:r>
            <w:r>
              <w:rPr>
                <w:noProof/>
                <w:webHidden/>
              </w:rPr>
              <w:tab/>
            </w:r>
            <w:r>
              <w:rPr>
                <w:noProof/>
                <w:webHidden/>
              </w:rPr>
              <w:fldChar w:fldCharType="begin"/>
            </w:r>
            <w:r>
              <w:rPr>
                <w:noProof/>
                <w:webHidden/>
              </w:rPr>
              <w:instrText xml:space="preserve"> PAGEREF _Toc212474055 \h </w:instrText>
            </w:r>
            <w:r>
              <w:rPr>
                <w:noProof/>
                <w:webHidden/>
              </w:rPr>
            </w:r>
            <w:r>
              <w:rPr>
                <w:noProof/>
                <w:webHidden/>
              </w:rPr>
              <w:fldChar w:fldCharType="separate"/>
            </w:r>
            <w:r w:rsidR="00D0425E">
              <w:rPr>
                <w:noProof/>
                <w:webHidden/>
              </w:rPr>
              <w:t>3</w:t>
            </w:r>
            <w:r>
              <w:rPr>
                <w:noProof/>
                <w:webHidden/>
              </w:rPr>
              <w:fldChar w:fldCharType="end"/>
            </w:r>
          </w:hyperlink>
        </w:p>
        <w:p w14:paraId="68A247C6" w14:textId="5DC760DF" w:rsidR="006119DD" w:rsidRDefault="006119DD">
          <w:pPr>
            <w:pStyle w:val="TOC1"/>
            <w:rPr>
              <w:rFonts w:asciiTheme="minorHAnsi" w:eastAsiaTheme="minorEastAsia" w:hAnsiTheme="minorHAnsi"/>
              <w:b w:val="0"/>
              <w:caps w:val="0"/>
              <w:noProof/>
              <w:kern w:val="2"/>
              <w:lang w:val="en-US"/>
              <w14:ligatures w14:val="standardContextual"/>
            </w:rPr>
          </w:pPr>
          <w:hyperlink w:anchor="_Toc212474056" w:history="1">
            <w:r w:rsidRPr="00215219">
              <w:rPr>
                <w:rStyle w:val="Hyperlink"/>
                <w:noProof/>
              </w:rPr>
              <w:t>QUESTION 1</w:t>
            </w:r>
            <w:r>
              <w:rPr>
                <w:noProof/>
                <w:webHidden/>
              </w:rPr>
              <w:tab/>
            </w:r>
            <w:r>
              <w:rPr>
                <w:noProof/>
                <w:webHidden/>
              </w:rPr>
              <w:fldChar w:fldCharType="begin"/>
            </w:r>
            <w:r>
              <w:rPr>
                <w:noProof/>
                <w:webHidden/>
              </w:rPr>
              <w:instrText xml:space="preserve"> PAGEREF _Toc212474056 \h </w:instrText>
            </w:r>
            <w:r>
              <w:rPr>
                <w:noProof/>
                <w:webHidden/>
              </w:rPr>
            </w:r>
            <w:r>
              <w:rPr>
                <w:noProof/>
                <w:webHidden/>
              </w:rPr>
              <w:fldChar w:fldCharType="separate"/>
            </w:r>
            <w:r w:rsidR="00D0425E">
              <w:rPr>
                <w:noProof/>
                <w:webHidden/>
              </w:rPr>
              <w:t>4</w:t>
            </w:r>
            <w:r>
              <w:rPr>
                <w:noProof/>
                <w:webHidden/>
              </w:rPr>
              <w:fldChar w:fldCharType="end"/>
            </w:r>
          </w:hyperlink>
        </w:p>
        <w:p w14:paraId="34A866F3" w14:textId="50AEC0A1" w:rsidR="006119DD" w:rsidRDefault="006119DD">
          <w:pPr>
            <w:pStyle w:val="TOC1"/>
            <w:rPr>
              <w:rFonts w:asciiTheme="minorHAnsi" w:eastAsiaTheme="minorEastAsia" w:hAnsiTheme="minorHAnsi"/>
              <w:b w:val="0"/>
              <w:caps w:val="0"/>
              <w:noProof/>
              <w:kern w:val="2"/>
              <w:lang w:val="en-US"/>
              <w14:ligatures w14:val="standardContextual"/>
            </w:rPr>
          </w:pPr>
          <w:hyperlink w:anchor="_Toc212474057" w:history="1">
            <w:r w:rsidRPr="00215219">
              <w:rPr>
                <w:rStyle w:val="Hyperlink"/>
                <w:noProof/>
              </w:rPr>
              <w:t>QUESTION 2</w:t>
            </w:r>
            <w:r>
              <w:rPr>
                <w:noProof/>
                <w:webHidden/>
              </w:rPr>
              <w:tab/>
            </w:r>
            <w:r>
              <w:rPr>
                <w:noProof/>
                <w:webHidden/>
              </w:rPr>
              <w:fldChar w:fldCharType="begin"/>
            </w:r>
            <w:r>
              <w:rPr>
                <w:noProof/>
                <w:webHidden/>
              </w:rPr>
              <w:instrText xml:space="preserve"> PAGEREF _Toc212474057 \h </w:instrText>
            </w:r>
            <w:r>
              <w:rPr>
                <w:noProof/>
                <w:webHidden/>
              </w:rPr>
            </w:r>
            <w:r>
              <w:rPr>
                <w:noProof/>
                <w:webHidden/>
              </w:rPr>
              <w:fldChar w:fldCharType="separate"/>
            </w:r>
            <w:r w:rsidR="00D0425E">
              <w:rPr>
                <w:noProof/>
                <w:webHidden/>
              </w:rPr>
              <w:t>5</w:t>
            </w:r>
            <w:r>
              <w:rPr>
                <w:noProof/>
                <w:webHidden/>
              </w:rPr>
              <w:fldChar w:fldCharType="end"/>
            </w:r>
          </w:hyperlink>
        </w:p>
        <w:p w14:paraId="3B8240F5" w14:textId="11231F7E" w:rsidR="006119DD" w:rsidRDefault="006119DD">
          <w:pPr>
            <w:pStyle w:val="TOC1"/>
            <w:rPr>
              <w:rFonts w:asciiTheme="minorHAnsi" w:eastAsiaTheme="minorEastAsia" w:hAnsiTheme="minorHAnsi"/>
              <w:b w:val="0"/>
              <w:caps w:val="0"/>
              <w:noProof/>
              <w:kern w:val="2"/>
              <w:lang w:val="en-US"/>
              <w14:ligatures w14:val="standardContextual"/>
            </w:rPr>
          </w:pPr>
          <w:hyperlink w:anchor="_Toc212474058" w:history="1">
            <w:r w:rsidRPr="00215219">
              <w:rPr>
                <w:rStyle w:val="Hyperlink"/>
                <w:noProof/>
              </w:rPr>
              <w:t>QUESTION 4</w:t>
            </w:r>
            <w:r>
              <w:rPr>
                <w:noProof/>
                <w:webHidden/>
              </w:rPr>
              <w:tab/>
            </w:r>
            <w:r>
              <w:rPr>
                <w:noProof/>
                <w:webHidden/>
              </w:rPr>
              <w:fldChar w:fldCharType="begin"/>
            </w:r>
            <w:r>
              <w:rPr>
                <w:noProof/>
                <w:webHidden/>
              </w:rPr>
              <w:instrText xml:space="preserve"> PAGEREF _Toc212474058 \h </w:instrText>
            </w:r>
            <w:r>
              <w:rPr>
                <w:noProof/>
                <w:webHidden/>
              </w:rPr>
            </w:r>
            <w:r>
              <w:rPr>
                <w:noProof/>
                <w:webHidden/>
              </w:rPr>
              <w:fldChar w:fldCharType="separate"/>
            </w:r>
            <w:r w:rsidR="00D0425E">
              <w:rPr>
                <w:noProof/>
                <w:webHidden/>
              </w:rPr>
              <w:t>6</w:t>
            </w:r>
            <w:r>
              <w:rPr>
                <w:noProof/>
                <w:webHidden/>
              </w:rPr>
              <w:fldChar w:fldCharType="end"/>
            </w:r>
          </w:hyperlink>
        </w:p>
        <w:p w14:paraId="0F02D830" w14:textId="77777777" w:rsidR="004D7079" w:rsidRPr="0007327B" w:rsidRDefault="00F945DB" w:rsidP="004D7079">
          <w:pPr>
            <w:pStyle w:val="BTNSSBodyTextNoSpacingSmall"/>
          </w:pPr>
          <w:r w:rsidRPr="0007327B">
            <w:rPr>
              <w:rFonts w:eastAsiaTheme="majorEastAsia" w:cstheme="majorBidi"/>
              <w:sz w:val="24"/>
              <w:szCs w:val="32"/>
            </w:rPr>
            <w:fldChar w:fldCharType="end"/>
          </w:r>
        </w:p>
      </w:sdtContent>
    </w:sdt>
    <w:p w14:paraId="7B2C7377" w14:textId="77777777" w:rsidR="00F945DB" w:rsidRPr="0007327B" w:rsidRDefault="00F945DB" w:rsidP="00C73188">
      <w:pPr>
        <w:pStyle w:val="SHSectionHeading"/>
      </w:pPr>
      <w:bookmarkStart w:id="0" w:name="_Toc212474054"/>
      <w:r w:rsidRPr="0007327B">
        <w:t>Table of Cases</w:t>
      </w:r>
      <w:bookmarkEnd w:id="0"/>
    </w:p>
    <w:tbl>
      <w:tblPr>
        <w:tblStyle w:val="TableGrid"/>
        <w:tblW w:w="5000" w:type="pct"/>
        <w:tblLook w:val="04A0" w:firstRow="1" w:lastRow="0" w:firstColumn="1" w:lastColumn="0" w:noHBand="0" w:noVBand="1"/>
      </w:tblPr>
      <w:tblGrid>
        <w:gridCol w:w="2065"/>
        <w:gridCol w:w="6995"/>
      </w:tblGrid>
      <w:tr w:rsidR="008A1191" w:rsidRPr="0007327B" w14:paraId="543D0926" w14:textId="77777777" w:rsidTr="00B5548D">
        <w:trPr>
          <w:cantSplit/>
          <w:trHeight w:val="397"/>
          <w:tblHeader/>
        </w:trPr>
        <w:tc>
          <w:tcPr>
            <w:tcW w:w="2065" w:type="dxa"/>
            <w:shd w:val="clear" w:color="auto" w:fill="D9D9D9" w:themeFill="background1" w:themeFillShade="D9"/>
          </w:tcPr>
          <w:p w14:paraId="735687C0" w14:textId="77777777" w:rsidR="008A1191" w:rsidRPr="0007327B" w:rsidRDefault="008A1191" w:rsidP="008A4C51">
            <w:pPr>
              <w:pStyle w:val="THTableHeading"/>
              <w:jc w:val="center"/>
            </w:pPr>
            <w:r w:rsidRPr="0007327B">
              <w:t>Short Title</w:t>
            </w:r>
          </w:p>
        </w:tc>
        <w:tc>
          <w:tcPr>
            <w:tcW w:w="6995" w:type="dxa"/>
            <w:shd w:val="clear" w:color="auto" w:fill="D9D9D9" w:themeFill="background1" w:themeFillShade="D9"/>
          </w:tcPr>
          <w:p w14:paraId="59A2C3C4" w14:textId="77777777" w:rsidR="008A1191" w:rsidRPr="0007327B" w:rsidRDefault="008A1191" w:rsidP="008A4C51">
            <w:pPr>
              <w:pStyle w:val="THTableHeading"/>
              <w:jc w:val="center"/>
            </w:pPr>
            <w:r w:rsidRPr="0007327B">
              <w:t>Full Case Title and Citation</w:t>
            </w:r>
          </w:p>
        </w:tc>
      </w:tr>
      <w:tr w:rsidR="00FD17C6" w:rsidRPr="0007327B" w14:paraId="3D8B5129" w14:textId="77777777" w:rsidTr="00B5548D">
        <w:trPr>
          <w:cantSplit/>
          <w:trHeight w:val="397"/>
        </w:trPr>
        <w:tc>
          <w:tcPr>
            <w:tcW w:w="2065" w:type="dxa"/>
          </w:tcPr>
          <w:p w14:paraId="4494D391" w14:textId="77777777" w:rsidR="00FD17C6" w:rsidRPr="0033388C" w:rsidRDefault="00FD17C6" w:rsidP="008A4C51">
            <w:pPr>
              <w:pStyle w:val="TTTableText"/>
              <w:rPr>
                <w:i/>
                <w:iCs/>
              </w:rPr>
            </w:pPr>
            <w:r w:rsidRPr="00EC4DDB">
              <w:rPr>
                <w:i/>
                <w:iCs/>
                <w:lang w:val="en-GB"/>
              </w:rPr>
              <w:t>Argentina – Hides and Leather</w:t>
            </w:r>
          </w:p>
        </w:tc>
        <w:tc>
          <w:tcPr>
            <w:tcW w:w="6995" w:type="dxa"/>
          </w:tcPr>
          <w:p w14:paraId="1C853692" w14:textId="77777777" w:rsidR="00FD17C6" w:rsidRPr="0007327B" w:rsidRDefault="00FD17C6" w:rsidP="008A4C51">
            <w:pPr>
              <w:pStyle w:val="TTTableText"/>
            </w:pPr>
            <w:r w:rsidRPr="00EC4DDB">
              <w:rPr>
                <w:lang w:val="en-GB"/>
              </w:rPr>
              <w:t>Panel Report,</w:t>
            </w:r>
            <w:r w:rsidRPr="00EC4DDB">
              <w:rPr>
                <w:i/>
                <w:iCs/>
                <w:lang w:val="en-GB"/>
              </w:rPr>
              <w:t xml:space="preserve"> Argentina – Measures Affecting the Export of Bovine Hides and the Import of Finished Leather,</w:t>
            </w:r>
            <w:r w:rsidRPr="00EC4DDB">
              <w:rPr>
                <w:lang w:val="en-GB"/>
              </w:rPr>
              <w:t xml:space="preserve"> </w:t>
            </w:r>
            <w:hyperlink r:id="rId11" w:history="1">
              <w:r w:rsidRPr="00EC4DDB">
                <w:rPr>
                  <w:rStyle w:val="Hyperlink"/>
                  <w:bCs/>
                  <w:lang w:val="en-GB"/>
                </w:rPr>
                <w:t>WT/DS155/R</w:t>
              </w:r>
            </w:hyperlink>
            <w:r w:rsidRPr="00EC4DDB">
              <w:rPr>
                <w:b/>
                <w:bCs/>
                <w:lang w:val="en-GB"/>
              </w:rPr>
              <w:t xml:space="preserve"> </w:t>
            </w:r>
            <w:r w:rsidRPr="00EC4DDB">
              <w:rPr>
                <w:lang w:val="en-GB"/>
              </w:rPr>
              <w:t xml:space="preserve">and </w:t>
            </w:r>
            <w:r w:rsidRPr="00EC4DDB">
              <w:rPr>
                <w:bCs/>
                <w:lang w:val="en-GB"/>
              </w:rPr>
              <w:t>Corr.1</w:t>
            </w:r>
            <w:r w:rsidRPr="00EC4DDB">
              <w:rPr>
                <w:lang w:val="en-GB"/>
              </w:rPr>
              <w:t>, adopted 16 February 2001, DSR 2001:V, p. 1779</w:t>
            </w:r>
          </w:p>
        </w:tc>
      </w:tr>
      <w:tr w:rsidR="00FD17C6" w:rsidRPr="0007327B" w14:paraId="61147B1C" w14:textId="77777777" w:rsidTr="00B5548D">
        <w:trPr>
          <w:cantSplit/>
          <w:trHeight w:val="397"/>
        </w:trPr>
        <w:tc>
          <w:tcPr>
            <w:tcW w:w="2065" w:type="dxa"/>
          </w:tcPr>
          <w:p w14:paraId="24B56EBC" w14:textId="77777777" w:rsidR="00FD17C6" w:rsidRPr="0007327B" w:rsidRDefault="00FD17C6" w:rsidP="008A4C51">
            <w:pPr>
              <w:pStyle w:val="TTTableText"/>
            </w:pPr>
            <w:r w:rsidRPr="0033388C">
              <w:rPr>
                <w:i/>
                <w:iCs/>
              </w:rPr>
              <w:t>Dominican Republic – Import and Sale of Cigarettes</w:t>
            </w:r>
          </w:p>
        </w:tc>
        <w:tc>
          <w:tcPr>
            <w:tcW w:w="6995" w:type="dxa"/>
          </w:tcPr>
          <w:p w14:paraId="5F65D7CB" w14:textId="77777777" w:rsidR="00FD17C6" w:rsidRPr="0007327B" w:rsidRDefault="00FD17C6" w:rsidP="008A4C51">
            <w:pPr>
              <w:pStyle w:val="TTTableText"/>
            </w:pPr>
            <w:r w:rsidRPr="00765AC4">
              <w:t xml:space="preserve">Panel Report, </w:t>
            </w:r>
            <w:r w:rsidRPr="000256C8">
              <w:rPr>
                <w:i/>
                <w:iCs/>
              </w:rPr>
              <w:t>Dominican Republic – Measures Affecting the Importation and Internal Sale of Cigarettes</w:t>
            </w:r>
            <w:r w:rsidRPr="00765AC4">
              <w:t xml:space="preserve">, WT/DS302/R, adopted 19 May 2005, as modified by Appellate Body Report </w:t>
            </w:r>
            <w:hyperlink r:id="rId12" w:history="1">
              <w:r w:rsidRPr="00765AC4">
                <w:rPr>
                  <w:rStyle w:val="Hyperlink"/>
                </w:rPr>
                <w:t>WT/DS302/AB/R</w:t>
              </w:r>
            </w:hyperlink>
            <w:r w:rsidRPr="00765AC4">
              <w:t>, DSR 2005:XV, p. 7425</w:t>
            </w:r>
          </w:p>
        </w:tc>
      </w:tr>
      <w:tr w:rsidR="00FD17C6" w:rsidRPr="0007327B" w14:paraId="5A31364F" w14:textId="77777777" w:rsidTr="00B5548D">
        <w:trPr>
          <w:cantSplit/>
          <w:trHeight w:val="397"/>
        </w:trPr>
        <w:tc>
          <w:tcPr>
            <w:tcW w:w="2065" w:type="dxa"/>
          </w:tcPr>
          <w:p w14:paraId="69C3BE61" w14:textId="77777777" w:rsidR="00FD17C6" w:rsidRPr="0007327B" w:rsidRDefault="00FD17C6" w:rsidP="006151B5">
            <w:pPr>
              <w:pStyle w:val="TTTableText"/>
            </w:pPr>
            <w:r>
              <w:rPr>
                <w:i/>
                <w:iCs/>
              </w:rPr>
              <w:t>EC – Selected Customs Matters</w:t>
            </w:r>
          </w:p>
        </w:tc>
        <w:tc>
          <w:tcPr>
            <w:tcW w:w="6995" w:type="dxa"/>
          </w:tcPr>
          <w:p w14:paraId="156B8DF2" w14:textId="77777777" w:rsidR="00FD17C6" w:rsidRPr="0007327B" w:rsidRDefault="00FD17C6" w:rsidP="006151B5">
            <w:pPr>
              <w:pStyle w:val="TTTableText"/>
            </w:pPr>
            <w:r w:rsidRPr="00765AC4">
              <w:t xml:space="preserve">Appellate Body Report, </w:t>
            </w:r>
            <w:r w:rsidRPr="000256C8">
              <w:rPr>
                <w:i/>
                <w:iCs/>
              </w:rPr>
              <w:t>European Communities – Selected Customs Matters</w:t>
            </w:r>
            <w:r w:rsidRPr="00765AC4">
              <w:t xml:space="preserve">, </w:t>
            </w:r>
            <w:hyperlink r:id="rId13" w:history="1">
              <w:r w:rsidRPr="00765AC4">
                <w:rPr>
                  <w:rStyle w:val="Hyperlink"/>
                </w:rPr>
                <w:t>WT/DS315/AB/R</w:t>
              </w:r>
            </w:hyperlink>
            <w:r w:rsidRPr="00765AC4">
              <w:t>, adopted 11 December 2006, DSR 2006:IX, p. 3791</w:t>
            </w:r>
          </w:p>
        </w:tc>
      </w:tr>
      <w:tr w:rsidR="00FD17C6" w:rsidRPr="0007327B" w14:paraId="1DEA0D93" w14:textId="77777777" w:rsidTr="00B5548D">
        <w:trPr>
          <w:cantSplit/>
          <w:trHeight w:val="397"/>
        </w:trPr>
        <w:tc>
          <w:tcPr>
            <w:tcW w:w="2065" w:type="dxa"/>
          </w:tcPr>
          <w:p w14:paraId="2CFD53C9" w14:textId="77777777" w:rsidR="00FD17C6" w:rsidRDefault="00FD17C6" w:rsidP="006151B5">
            <w:pPr>
              <w:pStyle w:val="TTTableText"/>
              <w:rPr>
                <w:i/>
                <w:iCs/>
              </w:rPr>
            </w:pPr>
            <w:r>
              <w:rPr>
                <w:i/>
                <w:iCs/>
              </w:rPr>
              <w:t>EC – Selected Customs Matters</w:t>
            </w:r>
          </w:p>
        </w:tc>
        <w:tc>
          <w:tcPr>
            <w:tcW w:w="6995" w:type="dxa"/>
          </w:tcPr>
          <w:p w14:paraId="0D840CC1" w14:textId="77777777" w:rsidR="00FD17C6" w:rsidRPr="00765AC4" w:rsidRDefault="00FD17C6" w:rsidP="006151B5">
            <w:pPr>
              <w:pStyle w:val="TTTableText"/>
            </w:pPr>
            <w:r w:rsidRPr="00FD17C6">
              <w:t xml:space="preserve">Panel Report, </w:t>
            </w:r>
            <w:r w:rsidRPr="000256C8">
              <w:rPr>
                <w:i/>
                <w:iCs/>
              </w:rPr>
              <w:t>European Communities – Selected Customs Matters,</w:t>
            </w:r>
            <w:r w:rsidRPr="00FD17C6">
              <w:t xml:space="preserve"> </w:t>
            </w:r>
            <w:hyperlink r:id="rId14" w:history="1">
              <w:r w:rsidRPr="00FD17C6">
                <w:rPr>
                  <w:rStyle w:val="Hyperlink"/>
                </w:rPr>
                <w:t>WT/DS315/R</w:t>
              </w:r>
            </w:hyperlink>
            <w:r w:rsidRPr="00FD17C6">
              <w:t>, adopted 11 December 2006, as modified by Appellate Body Report WT/DS315/AB/R, DSR 2006:IX, p. 3915</w:t>
            </w:r>
          </w:p>
        </w:tc>
      </w:tr>
      <w:tr w:rsidR="00FD17C6" w:rsidRPr="0007327B" w14:paraId="414D4E37" w14:textId="77777777" w:rsidTr="00B5548D">
        <w:trPr>
          <w:cantSplit/>
          <w:trHeight w:val="397"/>
        </w:trPr>
        <w:tc>
          <w:tcPr>
            <w:tcW w:w="2065" w:type="dxa"/>
          </w:tcPr>
          <w:p w14:paraId="3717827D" w14:textId="77777777" w:rsidR="00FD17C6" w:rsidRPr="0007327B" w:rsidRDefault="00FD17C6" w:rsidP="006151B5">
            <w:pPr>
              <w:pStyle w:val="TTTableText"/>
            </w:pPr>
            <w:r w:rsidRPr="001A6646">
              <w:rPr>
                <w:i/>
                <w:iCs/>
              </w:rPr>
              <w:t>Mexico — Steel Pipes and Tubes</w:t>
            </w:r>
          </w:p>
        </w:tc>
        <w:tc>
          <w:tcPr>
            <w:tcW w:w="6995" w:type="dxa"/>
          </w:tcPr>
          <w:p w14:paraId="1BF5D732" w14:textId="77777777" w:rsidR="00FD17C6" w:rsidRPr="0007327B" w:rsidRDefault="00FD17C6" w:rsidP="006151B5">
            <w:pPr>
              <w:pStyle w:val="TTTableText"/>
            </w:pPr>
            <w:r w:rsidRPr="00664BC3">
              <w:t xml:space="preserve">Panel Report, </w:t>
            </w:r>
            <w:r w:rsidRPr="000256C8">
              <w:rPr>
                <w:i/>
                <w:iCs/>
              </w:rPr>
              <w:t>Mexico – Anti-Dumping Duties on Steel Pipes and Tubes from Guatemala,</w:t>
            </w:r>
            <w:r w:rsidRPr="00664BC3">
              <w:t xml:space="preserve"> </w:t>
            </w:r>
            <w:hyperlink r:id="rId15" w:history="1">
              <w:r w:rsidRPr="00664BC3">
                <w:rPr>
                  <w:rStyle w:val="Hyperlink"/>
                  <w:iCs/>
                  <w:lang w:val="en-GB"/>
                </w:rPr>
                <w:t>WT/DS331/R</w:t>
              </w:r>
            </w:hyperlink>
            <w:r w:rsidRPr="00664BC3">
              <w:t xml:space="preserve"> adopted 24 July 2007, DSR 2007:IV, p. 1207</w:t>
            </w:r>
          </w:p>
        </w:tc>
      </w:tr>
      <w:tr w:rsidR="00FD17C6" w:rsidRPr="0007327B" w14:paraId="20FE6F10" w14:textId="77777777" w:rsidTr="00B5548D">
        <w:trPr>
          <w:cantSplit/>
          <w:trHeight w:val="397"/>
        </w:trPr>
        <w:tc>
          <w:tcPr>
            <w:tcW w:w="2065" w:type="dxa"/>
          </w:tcPr>
          <w:p w14:paraId="4DBE5E89" w14:textId="77777777" w:rsidR="00FD17C6" w:rsidRPr="0007327B" w:rsidRDefault="00FD17C6" w:rsidP="008A4C51">
            <w:pPr>
              <w:pStyle w:val="TTTableText"/>
            </w:pPr>
            <w:r w:rsidRPr="00EC4DDB">
              <w:rPr>
                <w:i/>
                <w:iCs/>
              </w:rPr>
              <w:t>Thailand – Cigarettes (Philippines)</w:t>
            </w:r>
          </w:p>
        </w:tc>
        <w:tc>
          <w:tcPr>
            <w:tcW w:w="6995" w:type="dxa"/>
          </w:tcPr>
          <w:p w14:paraId="1B3D7D59" w14:textId="77777777" w:rsidR="00FD17C6" w:rsidRPr="0007327B" w:rsidRDefault="00FD17C6" w:rsidP="008A4C51">
            <w:pPr>
              <w:pStyle w:val="TTTableText"/>
            </w:pPr>
            <w:r w:rsidRPr="00EC4DDB">
              <w:t xml:space="preserve">Panel Report, </w:t>
            </w:r>
            <w:r w:rsidRPr="00EC4DDB">
              <w:rPr>
                <w:i/>
                <w:iCs/>
              </w:rPr>
              <w:t xml:space="preserve">Thailand – Customs and Fiscal Measures on Cigarettes from the Philippines, </w:t>
            </w:r>
            <w:hyperlink r:id="rId16" w:history="1">
              <w:r w:rsidRPr="00EC4DDB">
                <w:rPr>
                  <w:rStyle w:val="Hyperlink"/>
                  <w:iCs/>
                  <w:lang w:val="en-GB"/>
                </w:rPr>
                <w:t>WT/DS371/R</w:t>
              </w:r>
            </w:hyperlink>
            <w:r w:rsidRPr="00EC4DDB">
              <w:t>, adopted 15 July 2011, as modified by Appellate Body Report WT/DS371/AB/R, DSR 2011:IV, p. 2299</w:t>
            </w:r>
          </w:p>
        </w:tc>
      </w:tr>
      <w:tr w:rsidR="00FD17C6" w:rsidRPr="0007327B" w14:paraId="748C8780" w14:textId="77777777" w:rsidTr="00B5548D">
        <w:trPr>
          <w:cantSplit/>
          <w:trHeight w:val="397"/>
        </w:trPr>
        <w:tc>
          <w:tcPr>
            <w:tcW w:w="2065" w:type="dxa"/>
          </w:tcPr>
          <w:p w14:paraId="5BF78756" w14:textId="77777777" w:rsidR="00FD17C6" w:rsidRPr="0007327B" w:rsidRDefault="00FD17C6" w:rsidP="008A4C51">
            <w:pPr>
              <w:pStyle w:val="TTTableText"/>
            </w:pPr>
            <w:r w:rsidRPr="00FF649C">
              <w:rPr>
                <w:i/>
                <w:iCs/>
              </w:rPr>
              <w:t>US – DRAMS</w:t>
            </w:r>
          </w:p>
        </w:tc>
        <w:tc>
          <w:tcPr>
            <w:tcW w:w="6995" w:type="dxa"/>
          </w:tcPr>
          <w:p w14:paraId="420FD5DE" w14:textId="77777777" w:rsidR="00FD17C6" w:rsidRPr="0007327B" w:rsidRDefault="00FD17C6" w:rsidP="008A4C51">
            <w:pPr>
              <w:pStyle w:val="TTTableText"/>
            </w:pPr>
            <w:r w:rsidRPr="00765AC4">
              <w:t xml:space="preserve">Panel Report, </w:t>
            </w:r>
            <w:r w:rsidRPr="000256C8">
              <w:rPr>
                <w:i/>
                <w:iCs/>
              </w:rPr>
              <w:t>United States – Anti-Dumping Duty on Dynamic Random Access Memory Semiconductors (DRAMS) of One Megabit or Above from Korea,</w:t>
            </w:r>
            <w:r w:rsidRPr="00765AC4">
              <w:t xml:space="preserve"> </w:t>
            </w:r>
            <w:hyperlink r:id="rId17" w:history="1">
              <w:r w:rsidRPr="00765AC4">
                <w:rPr>
                  <w:rStyle w:val="Hyperlink"/>
                </w:rPr>
                <w:t>WT/DS99/R</w:t>
              </w:r>
            </w:hyperlink>
            <w:r w:rsidRPr="00765AC4">
              <w:t>, adopted 19 March 1999, DSR 1999:II, p. 521</w:t>
            </w:r>
          </w:p>
        </w:tc>
      </w:tr>
      <w:tr w:rsidR="00FD17C6" w:rsidRPr="0007327B" w14:paraId="3174C69C" w14:textId="77777777" w:rsidTr="00B5548D">
        <w:trPr>
          <w:cantSplit/>
          <w:trHeight w:val="397"/>
        </w:trPr>
        <w:tc>
          <w:tcPr>
            <w:tcW w:w="2065" w:type="dxa"/>
          </w:tcPr>
          <w:p w14:paraId="4E37423E" w14:textId="77777777" w:rsidR="00FD17C6" w:rsidRPr="0007327B" w:rsidRDefault="00FD17C6" w:rsidP="006151B5">
            <w:pPr>
              <w:pStyle w:val="TTTableText"/>
            </w:pPr>
            <w:r w:rsidRPr="001A6646">
              <w:rPr>
                <w:i/>
                <w:iCs/>
              </w:rPr>
              <w:t>US – Lumber V</w:t>
            </w:r>
          </w:p>
        </w:tc>
        <w:tc>
          <w:tcPr>
            <w:tcW w:w="6995" w:type="dxa"/>
          </w:tcPr>
          <w:p w14:paraId="38F53165" w14:textId="77777777" w:rsidR="00FD17C6" w:rsidRPr="0007327B" w:rsidRDefault="00FD17C6" w:rsidP="006151B5">
            <w:pPr>
              <w:pStyle w:val="TTTableText"/>
            </w:pPr>
            <w:r w:rsidRPr="00765AC4">
              <w:t xml:space="preserve">Panel Report, </w:t>
            </w:r>
            <w:r w:rsidRPr="000256C8">
              <w:rPr>
                <w:i/>
                <w:iCs/>
              </w:rPr>
              <w:t>United States – Final Dumping Determination on Softwood Lumber from Canada,</w:t>
            </w:r>
            <w:r w:rsidRPr="00765AC4">
              <w:t xml:space="preserve"> </w:t>
            </w:r>
            <w:hyperlink r:id="rId18" w:history="1">
              <w:r w:rsidRPr="00765AC4">
                <w:rPr>
                  <w:rStyle w:val="Hyperlink"/>
                </w:rPr>
                <w:t>WT/DS264/R</w:t>
              </w:r>
            </w:hyperlink>
            <w:r w:rsidRPr="00765AC4">
              <w:t>, adopted 31 August 2004, as modified by Appellate Body Report WT/DS264/AB/R, DSR 2004:V, p. 1937</w:t>
            </w:r>
          </w:p>
        </w:tc>
      </w:tr>
    </w:tbl>
    <w:p w14:paraId="67F41D1F" w14:textId="77777777" w:rsidR="004D7079" w:rsidRPr="0007327B" w:rsidRDefault="004D7079" w:rsidP="004D7079">
      <w:pPr>
        <w:pStyle w:val="BTNSSBodyTextNoSpacingSmall"/>
      </w:pPr>
    </w:p>
    <w:p w14:paraId="1B0E0EEC" w14:textId="77777777" w:rsidR="008A1191" w:rsidRPr="0007327B" w:rsidRDefault="004524CE" w:rsidP="004524CE">
      <w:pPr>
        <w:pStyle w:val="SHSectionHeading"/>
      </w:pPr>
      <w:bookmarkStart w:id="1" w:name="_Toc212474055"/>
      <w:r w:rsidRPr="0007327B">
        <w:lastRenderedPageBreak/>
        <w:t>List of Acronyms, Abbreviations and Short Forms</w:t>
      </w:r>
      <w:bookmarkEnd w:id="1"/>
    </w:p>
    <w:tbl>
      <w:tblPr>
        <w:tblStyle w:val="TableGrid"/>
        <w:tblW w:w="5000" w:type="pct"/>
        <w:tblLook w:val="04A0" w:firstRow="1" w:lastRow="0" w:firstColumn="1" w:lastColumn="0" w:noHBand="0" w:noVBand="1"/>
      </w:tblPr>
      <w:tblGrid>
        <w:gridCol w:w="1696"/>
        <w:gridCol w:w="7364"/>
      </w:tblGrid>
      <w:tr w:rsidR="008A1191" w:rsidRPr="0007327B" w14:paraId="6556368F" w14:textId="77777777" w:rsidTr="008A1191">
        <w:trPr>
          <w:cantSplit/>
          <w:trHeight w:val="397"/>
          <w:tblHeader/>
        </w:trPr>
        <w:tc>
          <w:tcPr>
            <w:tcW w:w="1696" w:type="dxa"/>
            <w:shd w:val="clear" w:color="auto" w:fill="D9D9D9" w:themeFill="background1" w:themeFillShade="D9"/>
          </w:tcPr>
          <w:p w14:paraId="055F335A" w14:textId="77777777" w:rsidR="008A1191" w:rsidRPr="0007327B" w:rsidRDefault="008A1191" w:rsidP="008A4C51">
            <w:pPr>
              <w:pStyle w:val="THTableHeading"/>
              <w:jc w:val="center"/>
            </w:pPr>
            <w:r w:rsidRPr="0007327B">
              <w:t>Abbreviation</w:t>
            </w:r>
          </w:p>
        </w:tc>
        <w:tc>
          <w:tcPr>
            <w:tcW w:w="7364" w:type="dxa"/>
            <w:shd w:val="clear" w:color="auto" w:fill="D9D9D9" w:themeFill="background1" w:themeFillShade="D9"/>
          </w:tcPr>
          <w:p w14:paraId="3041BF57" w14:textId="77777777" w:rsidR="008A1191" w:rsidRPr="0007327B" w:rsidRDefault="008A1191" w:rsidP="008A4C51">
            <w:pPr>
              <w:pStyle w:val="THTableHeading"/>
              <w:jc w:val="center"/>
            </w:pPr>
            <w:r w:rsidRPr="0007327B">
              <w:t>Full Form or Description</w:t>
            </w:r>
          </w:p>
        </w:tc>
      </w:tr>
      <w:tr w:rsidR="003930AB" w:rsidRPr="0007327B" w14:paraId="64A940D7" w14:textId="77777777" w:rsidTr="008A1191">
        <w:trPr>
          <w:cantSplit/>
          <w:trHeight w:val="397"/>
        </w:trPr>
        <w:tc>
          <w:tcPr>
            <w:tcW w:w="1696" w:type="dxa"/>
          </w:tcPr>
          <w:p w14:paraId="3777F081" w14:textId="77777777" w:rsidR="003930AB" w:rsidRPr="0007327B" w:rsidRDefault="003930AB" w:rsidP="003930AB">
            <w:pPr>
              <w:pStyle w:val="TTTableText"/>
            </w:pPr>
            <w:r>
              <w:t xml:space="preserve">Anti-Dumping Agreement </w:t>
            </w:r>
          </w:p>
        </w:tc>
        <w:tc>
          <w:tcPr>
            <w:tcW w:w="7364" w:type="dxa"/>
          </w:tcPr>
          <w:p w14:paraId="0F525590" w14:textId="77777777" w:rsidR="003930AB" w:rsidRPr="0007327B" w:rsidRDefault="003930AB" w:rsidP="003930AB">
            <w:pPr>
              <w:pStyle w:val="TTTableText"/>
            </w:pPr>
            <w:r>
              <w:t>Agreement on Implementation of Article VI of the General Agreement on Tariffs and Trade 1994</w:t>
            </w:r>
          </w:p>
        </w:tc>
      </w:tr>
      <w:tr w:rsidR="003930AB" w:rsidRPr="0007327B" w14:paraId="2E8768A3" w14:textId="77777777" w:rsidTr="008A1191">
        <w:trPr>
          <w:cantSplit/>
          <w:trHeight w:val="397"/>
        </w:trPr>
        <w:tc>
          <w:tcPr>
            <w:tcW w:w="1696" w:type="dxa"/>
          </w:tcPr>
          <w:p w14:paraId="4C29558A" w14:textId="77777777" w:rsidR="003930AB" w:rsidRDefault="003930AB" w:rsidP="003930AB">
            <w:pPr>
              <w:pStyle w:val="TTTableText"/>
            </w:pPr>
            <w:r>
              <w:t>GATT</w:t>
            </w:r>
          </w:p>
        </w:tc>
        <w:tc>
          <w:tcPr>
            <w:tcW w:w="7364" w:type="dxa"/>
          </w:tcPr>
          <w:p w14:paraId="68C37C60" w14:textId="77777777" w:rsidR="003930AB" w:rsidRDefault="003930AB" w:rsidP="003930AB">
            <w:pPr>
              <w:pStyle w:val="TTTableText"/>
            </w:pPr>
            <w:r>
              <w:t>General Agreement on Tariffs and Trade 1994</w:t>
            </w:r>
          </w:p>
        </w:tc>
      </w:tr>
    </w:tbl>
    <w:p w14:paraId="1BC5EF10" w14:textId="77777777" w:rsidR="004D7079" w:rsidRPr="0007327B" w:rsidRDefault="004D7079" w:rsidP="004D7079">
      <w:pPr>
        <w:pStyle w:val="BTNSSBodyTextNoSpacingSmall"/>
      </w:pPr>
    </w:p>
    <w:p w14:paraId="1370F4FC" w14:textId="77777777" w:rsidR="00F57DC7" w:rsidRPr="0007327B" w:rsidRDefault="00F57DC7" w:rsidP="00477519">
      <w:pPr>
        <w:pStyle w:val="BTNSSBodyTextNoSpacingSmall"/>
      </w:pPr>
    </w:p>
    <w:p w14:paraId="6F73158D" w14:textId="77777777" w:rsidR="00D47F18" w:rsidRPr="0007327B" w:rsidRDefault="00D47F18" w:rsidP="00D52A17">
      <w:pPr>
        <w:pStyle w:val="BTBodyText"/>
      </w:pPr>
      <w:r w:rsidRPr="0007327B">
        <w:br w:type="page"/>
      </w:r>
    </w:p>
    <w:p w14:paraId="2D0EB04B" w14:textId="77777777" w:rsidR="005677F2" w:rsidRDefault="005677F2" w:rsidP="005677F2">
      <w:pPr>
        <w:pStyle w:val="HL1HeadingLevel1"/>
        <w:numPr>
          <w:ilvl w:val="0"/>
          <w:numId w:val="0"/>
        </w:numPr>
        <w:ind w:left="851" w:hanging="851"/>
      </w:pPr>
      <w:bookmarkStart w:id="2" w:name="_Toc212378112"/>
      <w:bookmarkStart w:id="3" w:name="_Toc212474056"/>
      <w:r>
        <w:lastRenderedPageBreak/>
        <w:t>QUESTION 1</w:t>
      </w:r>
      <w:bookmarkEnd w:id="2"/>
      <w:bookmarkEnd w:id="3"/>
    </w:p>
    <w:p w14:paraId="278E00A5" w14:textId="77777777" w:rsidR="005677F2" w:rsidRPr="001A6646" w:rsidRDefault="005677F2" w:rsidP="005677F2">
      <w:pPr>
        <w:pStyle w:val="P1-N1Paragraph1-Number1"/>
        <w:numPr>
          <w:ilvl w:val="0"/>
          <w:numId w:val="0"/>
        </w:numPr>
      </w:pPr>
      <w:r w:rsidRPr="001A6646">
        <w:t xml:space="preserve">Indonesia attaches significance to the introductory wording of Article 5.1 of the </w:t>
      </w:r>
      <w:r>
        <w:t>Anti</w:t>
      </w:r>
      <w:r>
        <w:noBreakHyphen/>
        <w:t>Dumping</w:t>
      </w:r>
      <w:r w:rsidRPr="001A6646">
        <w:t> Agreement which reads "[e]</w:t>
      </w:r>
      <w:proofErr w:type="spellStart"/>
      <w:r w:rsidRPr="001A6646">
        <w:t>xcept</w:t>
      </w:r>
      <w:proofErr w:type="spellEnd"/>
      <w:r w:rsidRPr="001A6646">
        <w:t xml:space="preserve"> as provided for in paragraph 6". </w:t>
      </w:r>
    </w:p>
    <w:p w14:paraId="0DBB73CA" w14:textId="77777777" w:rsidR="005677F2" w:rsidRPr="001A6646" w:rsidRDefault="005677F2" w:rsidP="005677F2">
      <w:pPr>
        <w:pStyle w:val="P1-N1Paragraph1-Number1"/>
        <w:numPr>
          <w:ilvl w:val="0"/>
          <w:numId w:val="8"/>
        </w:numPr>
        <w:ind w:hanging="720"/>
        <w:rPr>
          <w:lang w:val="en-GB"/>
        </w:rPr>
      </w:pPr>
      <w:r w:rsidRPr="001A6646">
        <w:rPr>
          <w:lang w:val="en-GB"/>
        </w:rPr>
        <w:t>Indonesia submits that upon withdrawal of the application, the initial basis for initiation based on a written application comes to an end. Do you agree?</w:t>
      </w:r>
    </w:p>
    <w:p w14:paraId="6B55C88C" w14:textId="77777777" w:rsidR="005677F2" w:rsidRDefault="005677F2" w:rsidP="005677F2">
      <w:pPr>
        <w:pStyle w:val="P1-N1Paragraph1-Number1"/>
        <w:numPr>
          <w:ilvl w:val="0"/>
          <w:numId w:val="8"/>
        </w:numPr>
        <w:ind w:hanging="720"/>
        <w:rPr>
          <w:lang w:val="en-GB"/>
        </w:rPr>
      </w:pPr>
      <w:r>
        <w:t xml:space="preserve">Does </w:t>
      </w:r>
      <w:r w:rsidRPr="1297DE80">
        <w:rPr>
          <w:lang w:val="en-GB"/>
        </w:rPr>
        <w:t xml:space="preserve">the </w:t>
      </w:r>
      <w:r>
        <w:t xml:space="preserve">reference to Article 5.6 in Article 5.1 suggest that when the application is withdrawn and the initial basis of initiation comes to an end, an </w:t>
      </w:r>
      <w:r w:rsidRPr="008A0152">
        <w:rPr>
          <w:lang w:val="en-GB"/>
        </w:rPr>
        <w:t>investigating</w:t>
      </w:r>
      <w:r>
        <w:t xml:space="preserve"> authority must comply with the requirements under Article 5.6 to continue with the investigation?</w:t>
      </w:r>
    </w:p>
    <w:p w14:paraId="54FB9D97" w14:textId="77777777" w:rsidR="005677F2" w:rsidRDefault="005677F2" w:rsidP="00BA08E6">
      <w:pPr>
        <w:pStyle w:val="HL2HeadingLevel2"/>
        <w:numPr>
          <w:ilvl w:val="0"/>
          <w:numId w:val="0"/>
        </w:numPr>
        <w:rPr>
          <w:lang w:val="en-GB"/>
        </w:rPr>
      </w:pPr>
      <w:r>
        <w:rPr>
          <w:lang w:val="en-GB"/>
        </w:rPr>
        <w:t>RESPONSE</w:t>
      </w:r>
    </w:p>
    <w:p w14:paraId="53D99813" w14:textId="77777777" w:rsidR="005677F2" w:rsidRPr="005677F2" w:rsidRDefault="005677F2" w:rsidP="005677F2">
      <w:pPr>
        <w:pStyle w:val="P1-N1Paragraph1-Number1"/>
        <w:tabs>
          <w:tab w:val="clear" w:pos="851"/>
        </w:tabs>
        <w:rPr>
          <w:lang w:val="en-GB"/>
        </w:rPr>
      </w:pPr>
      <w:r>
        <w:t>T</w:t>
      </w:r>
      <w:r w:rsidRPr="001A6646">
        <w:t xml:space="preserve">he mere withdrawal of support for the application – in and of itself – does not affect the state of evidence before the investigating authority and therefore does not require an investigating authority to terminate the investigation. </w:t>
      </w:r>
    </w:p>
    <w:p w14:paraId="5DABF228" w14:textId="77777777" w:rsidR="005677F2" w:rsidRDefault="005677F2" w:rsidP="005677F2">
      <w:pPr>
        <w:pStyle w:val="P1-N1Paragraph1-Number1"/>
        <w:tabs>
          <w:tab w:val="clear" w:pos="851"/>
        </w:tabs>
      </w:pPr>
      <w:r>
        <w:t>P</w:t>
      </w:r>
      <w:r w:rsidRPr="001A6646">
        <w:t xml:space="preserve">revious panels have noted there is a temporal element to initiation decisions and applications. For example, the panel in </w:t>
      </w:r>
      <w:r w:rsidRPr="001A6646">
        <w:rPr>
          <w:i/>
          <w:iCs/>
        </w:rPr>
        <w:t>Mexico — Steel Pipes and Tubes</w:t>
      </w:r>
      <w:r w:rsidRPr="001A6646">
        <w:t xml:space="preserve"> noted there is no on-going obligation to monitor domestic industry support once an investigation has been initiated under the Anti-Dumping Agreement</w:t>
      </w:r>
      <w:r>
        <w:t>.</w:t>
      </w:r>
      <w:r w:rsidRPr="00024B48">
        <w:rPr>
          <w:rStyle w:val="FootnoteReference"/>
        </w:rPr>
        <w:footnoteReference w:id="1"/>
      </w:r>
      <w:r>
        <w:t xml:space="preserve"> T</w:t>
      </w:r>
      <w:r w:rsidRPr="001A6646">
        <w:t xml:space="preserve">he panel in </w:t>
      </w:r>
      <w:r w:rsidRPr="001A6646">
        <w:rPr>
          <w:i/>
          <w:iCs/>
        </w:rPr>
        <w:t>US – Lumber V</w:t>
      </w:r>
      <w:r w:rsidRPr="001A6646">
        <w:t xml:space="preserve"> outlined that </w:t>
      </w:r>
      <w:r w:rsidR="005620E8" w:rsidRPr="0007327B">
        <w:t>"</w:t>
      </w:r>
      <w:r w:rsidRPr="001A6646">
        <w:t>once an investigation has been initiated on the basis of sufficient evidence of dumping, the application has served its purpose</w:t>
      </w:r>
      <w:r w:rsidR="005620E8" w:rsidRPr="0007327B">
        <w:t>"</w:t>
      </w:r>
      <w:r w:rsidRPr="001A6646">
        <w:t>.</w:t>
      </w:r>
      <w:r>
        <w:rPr>
          <w:rStyle w:val="FootnoteReference"/>
        </w:rPr>
        <w:footnoteReference w:id="2"/>
      </w:r>
      <w:r w:rsidRPr="001A6646">
        <w:t xml:space="preserve"> </w:t>
      </w:r>
    </w:p>
    <w:p w14:paraId="2875DFE5" w14:textId="77777777" w:rsidR="005677F2" w:rsidRDefault="005677F2" w:rsidP="005677F2">
      <w:pPr>
        <w:pStyle w:val="P1-N1Paragraph1-Number1"/>
        <w:tabs>
          <w:tab w:val="clear" w:pos="851"/>
        </w:tabs>
      </w:pPr>
      <w:r>
        <w:t xml:space="preserve">The reference to Article 5.6 in Article 5.1 of the Anti-Dumping Agreement merely suggests there is an alternative pathway available for an investigating authority to initiate an investigation. There is no obligation on an investigating authority to satisfy the requirements of Article 5.6 of the Anti-Dumping Agreement after the investigating authority has initiated the investigation </w:t>
      </w:r>
      <w:proofErr w:type="gramStart"/>
      <w:r>
        <w:t>on the basis of</w:t>
      </w:r>
      <w:proofErr w:type="gramEnd"/>
      <w:r>
        <w:t xml:space="preserve"> an application. </w:t>
      </w:r>
    </w:p>
    <w:p w14:paraId="4D1B153B" w14:textId="77777777" w:rsidR="005677F2" w:rsidRDefault="005677F2" w:rsidP="005677F2">
      <w:pPr>
        <w:pStyle w:val="P1-N1Paragraph1-Number1"/>
        <w:numPr>
          <w:ilvl w:val="0"/>
          <w:numId w:val="0"/>
        </w:numPr>
      </w:pPr>
    </w:p>
    <w:p w14:paraId="230A4563" w14:textId="77777777" w:rsidR="005677F2" w:rsidRDefault="005677F2" w:rsidP="005677F2">
      <w:pPr>
        <w:pStyle w:val="HL1HeadingLevel1"/>
        <w:numPr>
          <w:ilvl w:val="0"/>
          <w:numId w:val="0"/>
        </w:numPr>
        <w:ind w:left="851" w:hanging="851"/>
      </w:pPr>
      <w:bookmarkStart w:id="4" w:name="_Toc212474057"/>
      <w:r>
        <w:lastRenderedPageBreak/>
        <w:t>QUESTION 2</w:t>
      </w:r>
      <w:bookmarkEnd w:id="4"/>
    </w:p>
    <w:p w14:paraId="5C14AF58" w14:textId="77777777" w:rsidR="005677F2" w:rsidRDefault="005677F2" w:rsidP="005677F2">
      <w:pPr>
        <w:pStyle w:val="P1-N1Paragraph1-Number1"/>
        <w:numPr>
          <w:ilvl w:val="0"/>
          <w:numId w:val="0"/>
        </w:numPr>
      </w:pPr>
      <w:r w:rsidRPr="001A6646">
        <w:t>If Article 5.8 of the Anti</w:t>
      </w:r>
      <w:r>
        <w:t>-</w:t>
      </w:r>
      <w:r w:rsidRPr="001A6646">
        <w:t>Dumping Agreement applies to the withdrawal of an application, why is Article 5.8 not the exclusive basis upon which obligations are cast upon the investigating authority in deciding whether to continue the investigation?</w:t>
      </w:r>
    </w:p>
    <w:p w14:paraId="2097AEA5" w14:textId="77777777" w:rsidR="005677F2" w:rsidRPr="00023A55" w:rsidRDefault="005677F2" w:rsidP="00BA08E6">
      <w:pPr>
        <w:pStyle w:val="HL2HeadingLevel2"/>
        <w:numPr>
          <w:ilvl w:val="0"/>
          <w:numId w:val="0"/>
        </w:numPr>
      </w:pPr>
      <w:r>
        <w:t>RESPONSE</w:t>
      </w:r>
    </w:p>
    <w:p w14:paraId="7613A417" w14:textId="77777777" w:rsidR="005677F2" w:rsidRPr="00C11F0A" w:rsidRDefault="005677F2" w:rsidP="005677F2">
      <w:pPr>
        <w:pStyle w:val="P1-N1Paragraph1-Number1"/>
      </w:pPr>
      <w:r w:rsidRPr="00C7135C">
        <w:rPr>
          <w:lang w:val="en-US"/>
        </w:rPr>
        <w:t>Article 5.8 applies both before initiation of an investigation and after initiation of an investigation.</w:t>
      </w:r>
      <w:r>
        <w:rPr>
          <w:rStyle w:val="FootnoteReference"/>
          <w:lang w:val="en-US"/>
        </w:rPr>
        <w:footnoteReference w:id="3"/>
      </w:r>
      <w:r w:rsidRPr="00C7135C">
        <w:rPr>
          <w:lang w:val="en-US"/>
        </w:rPr>
        <w:t xml:space="preserve"> It thus casts obligations upon the investigating authority with respect to its decision whether to initiate </w:t>
      </w:r>
      <w:r>
        <w:rPr>
          <w:lang w:val="en-US"/>
        </w:rPr>
        <w:t>an</w:t>
      </w:r>
      <w:r w:rsidRPr="00C7135C">
        <w:rPr>
          <w:lang w:val="en-US"/>
        </w:rPr>
        <w:t xml:space="preserve"> investigation and – if an investigation is initiated – whether to </w:t>
      </w:r>
      <w:r w:rsidR="00AB1615">
        <w:rPr>
          <w:lang w:val="en-US"/>
        </w:rPr>
        <w:t xml:space="preserve">proceed with </w:t>
      </w:r>
      <w:r w:rsidRPr="00C7135C">
        <w:rPr>
          <w:lang w:val="en-US"/>
        </w:rPr>
        <w:t>the investigation</w:t>
      </w:r>
      <w:r w:rsidR="00AB1615">
        <w:rPr>
          <w:lang w:val="en-US"/>
        </w:rPr>
        <w:t xml:space="preserve"> based on the sufficiency of evidence of dumping </w:t>
      </w:r>
      <w:r w:rsidR="00E976F8">
        <w:rPr>
          <w:lang w:val="en-US"/>
        </w:rPr>
        <w:t>and</w:t>
      </w:r>
      <w:r w:rsidR="00AB1615">
        <w:rPr>
          <w:lang w:val="en-US"/>
        </w:rPr>
        <w:t xml:space="preserve"> injury</w:t>
      </w:r>
      <w:r w:rsidRPr="00C7135C">
        <w:rPr>
          <w:lang w:val="en-US"/>
        </w:rPr>
        <w:t>.</w:t>
      </w:r>
    </w:p>
    <w:p w14:paraId="6A8AF060" w14:textId="77777777" w:rsidR="005677F2" w:rsidRPr="00976C0C" w:rsidRDefault="005677F2" w:rsidP="005677F2">
      <w:pPr>
        <w:pStyle w:val="P1-N1Paragraph1-Number1"/>
        <w:tabs>
          <w:tab w:val="clear" w:pos="851"/>
          <w:tab w:val="num" w:pos="1135"/>
        </w:tabs>
      </w:pPr>
      <w:r>
        <w:rPr>
          <w:lang w:val="en-US"/>
        </w:rPr>
        <w:t>In this case, o</w:t>
      </w:r>
      <w:r w:rsidRPr="00CB3B6B">
        <w:rPr>
          <w:lang w:val="en-US"/>
        </w:rPr>
        <w:t xml:space="preserve">nce </w:t>
      </w:r>
      <w:r>
        <w:rPr>
          <w:lang w:val="en-US"/>
        </w:rPr>
        <w:t>the</w:t>
      </w:r>
      <w:r w:rsidRPr="00CB3B6B">
        <w:rPr>
          <w:lang w:val="en-US"/>
        </w:rPr>
        <w:t xml:space="preserve"> investigation </w:t>
      </w:r>
      <w:r>
        <w:rPr>
          <w:lang w:val="en-US"/>
        </w:rPr>
        <w:t>was</w:t>
      </w:r>
      <w:r w:rsidRPr="00CB3B6B">
        <w:rPr>
          <w:lang w:val="en-US"/>
        </w:rPr>
        <w:t xml:space="preserve"> initiated </w:t>
      </w:r>
      <w:proofErr w:type="gramStart"/>
      <w:r w:rsidRPr="00CB3B6B">
        <w:rPr>
          <w:lang w:val="en-US"/>
        </w:rPr>
        <w:t>on the basis of</w:t>
      </w:r>
      <w:proofErr w:type="gramEnd"/>
      <w:r w:rsidRPr="00CB3B6B">
        <w:rPr>
          <w:lang w:val="en-US"/>
        </w:rPr>
        <w:t xml:space="preserve"> sufficient evidence </w:t>
      </w:r>
      <w:r>
        <w:rPr>
          <w:lang w:val="en-US"/>
        </w:rPr>
        <w:t>in the application</w:t>
      </w:r>
      <w:r w:rsidRPr="00CB3B6B">
        <w:rPr>
          <w:lang w:val="en-US"/>
        </w:rPr>
        <w:t>, the application ha</w:t>
      </w:r>
      <w:r>
        <w:rPr>
          <w:lang w:val="en-US"/>
        </w:rPr>
        <w:t>d</w:t>
      </w:r>
      <w:r w:rsidRPr="00CB3B6B">
        <w:rPr>
          <w:lang w:val="en-US"/>
        </w:rPr>
        <w:t xml:space="preserve"> served its purpose.</w:t>
      </w:r>
      <w:r>
        <w:rPr>
          <w:rStyle w:val="FootnoteReference"/>
          <w:lang w:val="en-US"/>
        </w:rPr>
        <w:footnoteReference w:id="4"/>
      </w:r>
    </w:p>
    <w:p w14:paraId="6F3493F9" w14:textId="77777777" w:rsidR="005677F2" w:rsidRPr="00C11F0A" w:rsidRDefault="005677F2" w:rsidP="005677F2">
      <w:pPr>
        <w:pStyle w:val="P1-N1Paragraph1-Number1"/>
        <w:tabs>
          <w:tab w:val="clear" w:pos="851"/>
          <w:tab w:val="num" w:pos="1135"/>
        </w:tabs>
      </w:pPr>
      <w:r w:rsidRPr="005677F2">
        <w:rPr>
          <w:lang w:val="en-US"/>
        </w:rPr>
        <w:t>The</w:t>
      </w:r>
      <w:r>
        <w:t xml:space="preserve"> </w:t>
      </w:r>
      <w:r>
        <w:rPr>
          <w:lang w:val="en-US"/>
        </w:rPr>
        <w:t xml:space="preserve">mere subsequent withdrawal of the application – in and of itself – did not affect the </w:t>
      </w:r>
      <w:r w:rsidR="00634156">
        <w:rPr>
          <w:lang w:val="en-US"/>
        </w:rPr>
        <w:t xml:space="preserve">sufficiency </w:t>
      </w:r>
      <w:r>
        <w:rPr>
          <w:lang w:val="en-US"/>
        </w:rPr>
        <w:t xml:space="preserve">of evidence </w:t>
      </w:r>
      <w:r w:rsidR="00AB1615">
        <w:rPr>
          <w:lang w:val="en-US"/>
        </w:rPr>
        <w:t xml:space="preserve">of </w:t>
      </w:r>
      <w:r w:rsidR="002F0724">
        <w:rPr>
          <w:lang w:val="en-US"/>
        </w:rPr>
        <w:t xml:space="preserve">either </w:t>
      </w:r>
      <w:r w:rsidR="00AB1615">
        <w:rPr>
          <w:lang w:val="en-US"/>
        </w:rPr>
        <w:t xml:space="preserve">dumping </w:t>
      </w:r>
      <w:r w:rsidR="002F0724">
        <w:rPr>
          <w:lang w:val="en-US"/>
        </w:rPr>
        <w:t xml:space="preserve">or of </w:t>
      </w:r>
      <w:r w:rsidR="00AB1615">
        <w:rPr>
          <w:lang w:val="en-US"/>
        </w:rPr>
        <w:t xml:space="preserve">injury </w:t>
      </w:r>
      <w:r>
        <w:rPr>
          <w:lang w:val="en-US"/>
        </w:rPr>
        <w:t>before the investigating authority and therefore did not require the European Commission to terminate the investigation under Article 5.8.</w:t>
      </w:r>
      <w:r>
        <w:rPr>
          <w:rStyle w:val="FootnoteReference"/>
          <w:lang w:val="en-US"/>
        </w:rPr>
        <w:footnoteReference w:id="5"/>
      </w:r>
      <w:r>
        <w:rPr>
          <w:lang w:val="en-US"/>
        </w:rPr>
        <w:t xml:space="preserve"> In that sense, Article 5.8 did not apply to the withdrawal of the application.</w:t>
      </w:r>
    </w:p>
    <w:p w14:paraId="4F1DB663" w14:textId="77777777" w:rsidR="005677F2" w:rsidRDefault="005677F2" w:rsidP="005677F2">
      <w:pPr>
        <w:pStyle w:val="P1-N1Paragraph1-Number1"/>
        <w:numPr>
          <w:ilvl w:val="0"/>
          <w:numId w:val="0"/>
        </w:numPr>
      </w:pPr>
    </w:p>
    <w:p w14:paraId="41EAC26A" w14:textId="77777777" w:rsidR="005677F2" w:rsidRDefault="005677F2" w:rsidP="005677F2">
      <w:pPr>
        <w:pStyle w:val="P1-N1Paragraph1-Number1"/>
        <w:numPr>
          <w:ilvl w:val="0"/>
          <w:numId w:val="0"/>
        </w:numPr>
      </w:pPr>
    </w:p>
    <w:p w14:paraId="66313D2A" w14:textId="77777777" w:rsidR="005677F2" w:rsidRDefault="005677F2" w:rsidP="005677F2">
      <w:pPr>
        <w:pStyle w:val="P1-N1Paragraph1-Number1"/>
        <w:numPr>
          <w:ilvl w:val="0"/>
          <w:numId w:val="0"/>
        </w:numPr>
      </w:pPr>
    </w:p>
    <w:p w14:paraId="0A045A3D" w14:textId="77777777" w:rsidR="005677F2" w:rsidRDefault="005677F2" w:rsidP="005677F2">
      <w:pPr>
        <w:pStyle w:val="P1-N1Paragraph1-Number1"/>
        <w:numPr>
          <w:ilvl w:val="0"/>
          <w:numId w:val="0"/>
        </w:numPr>
      </w:pPr>
    </w:p>
    <w:p w14:paraId="640691CD" w14:textId="77777777" w:rsidR="005677F2" w:rsidRDefault="005677F2" w:rsidP="005677F2">
      <w:pPr>
        <w:pStyle w:val="P1-N1Paragraph1-Number1"/>
        <w:numPr>
          <w:ilvl w:val="0"/>
          <w:numId w:val="0"/>
        </w:numPr>
      </w:pPr>
    </w:p>
    <w:p w14:paraId="6B1455CA" w14:textId="77777777" w:rsidR="005677F2" w:rsidRDefault="005677F2" w:rsidP="005677F2">
      <w:pPr>
        <w:pStyle w:val="P1-N1Paragraph1-Number1"/>
        <w:numPr>
          <w:ilvl w:val="0"/>
          <w:numId w:val="0"/>
        </w:numPr>
      </w:pPr>
    </w:p>
    <w:p w14:paraId="062C0AF1" w14:textId="77777777" w:rsidR="005677F2" w:rsidRPr="005677F2" w:rsidRDefault="005677F2" w:rsidP="005677F2">
      <w:pPr>
        <w:pStyle w:val="P1-N1Paragraph1-Number1"/>
        <w:numPr>
          <w:ilvl w:val="0"/>
          <w:numId w:val="0"/>
        </w:numPr>
      </w:pPr>
    </w:p>
    <w:p w14:paraId="62AC6A09" w14:textId="77777777" w:rsidR="005677F2" w:rsidRDefault="005677F2" w:rsidP="005677F2">
      <w:pPr>
        <w:pStyle w:val="HL1HeadingLevel1"/>
        <w:numPr>
          <w:ilvl w:val="0"/>
          <w:numId w:val="0"/>
        </w:numPr>
        <w:ind w:left="851" w:hanging="851"/>
      </w:pPr>
      <w:bookmarkStart w:id="5" w:name="_Toc212474058"/>
      <w:r>
        <w:lastRenderedPageBreak/>
        <w:t>QUESTION 4</w:t>
      </w:r>
      <w:bookmarkEnd w:id="5"/>
    </w:p>
    <w:p w14:paraId="0B6CB4BD" w14:textId="77777777" w:rsidR="005677F2" w:rsidRPr="00664BC3" w:rsidRDefault="005677F2" w:rsidP="005677F2">
      <w:pPr>
        <w:spacing w:line="278" w:lineRule="auto"/>
        <w:jc w:val="left"/>
      </w:pPr>
      <w:r w:rsidRPr="00664BC3">
        <w:t>If an investigating authority has discretion under its domestic legislation to either continue or terminate the investigation upon withdrawal of the application, is the exercise of this discretion subject to the obligation under Article X:3(a) to administer the legislation in a uniform manner?</w:t>
      </w:r>
    </w:p>
    <w:p w14:paraId="645E657D" w14:textId="77777777" w:rsidR="005677F2" w:rsidRPr="001A6646" w:rsidRDefault="005677F2" w:rsidP="00300827">
      <w:pPr>
        <w:pStyle w:val="HL2HeadingLevel2"/>
        <w:numPr>
          <w:ilvl w:val="0"/>
          <w:numId w:val="0"/>
        </w:numPr>
        <w:rPr>
          <w:lang w:val="en-GB"/>
        </w:rPr>
      </w:pPr>
      <w:r>
        <w:rPr>
          <w:lang w:val="en-GB"/>
        </w:rPr>
        <w:t>RESPONSE</w:t>
      </w:r>
    </w:p>
    <w:p w14:paraId="14685A68" w14:textId="2D38DCFC" w:rsidR="005677F2" w:rsidRDefault="005677F2" w:rsidP="005677F2">
      <w:pPr>
        <w:pStyle w:val="P1-N1Paragraph1-Number1"/>
        <w:tabs>
          <w:tab w:val="clear" w:pos="851"/>
        </w:tabs>
      </w:pPr>
      <w:r>
        <w:t>Australia considers that the exercise of such statutory discretion is subject to the obligation under Article X:3(a) to administer legislation in a uniform manner if that legislation is of the kind described in Article X:1 of the GATT.</w:t>
      </w:r>
      <w:r w:rsidRPr="001123A2">
        <w:rPr>
          <w:rStyle w:val="FootnoteReference"/>
          <w:rFonts w:cstheme="minorHAnsi"/>
        </w:rPr>
        <w:footnoteReference w:id="6"/>
      </w:r>
      <w:r w:rsidRPr="00786D2C">
        <w:rPr>
          <w:rStyle w:val="FootnoteReference"/>
          <w:rFonts w:cstheme="minorHAnsi"/>
        </w:rPr>
        <w:t xml:space="preserve"> </w:t>
      </w:r>
      <w:r>
        <w:t xml:space="preserve">The scope of measures to be applied in a uniform manner include: </w:t>
      </w:r>
      <w:r w:rsidRPr="00D03562">
        <w:t>"</w:t>
      </w:r>
      <w:r>
        <w:t>l</w:t>
      </w:r>
      <w:r w:rsidRPr="00CC424D">
        <w:t>aws, regulations</w:t>
      </w:r>
      <w:r>
        <w:t>, … and</w:t>
      </w:r>
      <w:r w:rsidRPr="00CC424D">
        <w:t xml:space="preserve"> administrative rulings</w:t>
      </w:r>
      <w:r>
        <w:t>…</w:t>
      </w:r>
      <w:r w:rsidRPr="00D03562">
        <w:t>"</w:t>
      </w:r>
      <w:r>
        <w:t>.</w:t>
      </w:r>
      <w:r>
        <w:rPr>
          <w:rStyle w:val="FootnoteReference"/>
          <w:rFonts w:cstheme="minorHAnsi"/>
        </w:rPr>
        <w:footnoteReference w:id="7"/>
      </w:r>
    </w:p>
    <w:p w14:paraId="02611423" w14:textId="77777777" w:rsidR="005677F2" w:rsidRDefault="005677F2" w:rsidP="005677F2">
      <w:pPr>
        <w:pStyle w:val="P1-N1Paragraph1-Number1"/>
        <w:tabs>
          <w:tab w:val="clear" w:pos="851"/>
        </w:tabs>
      </w:pPr>
      <w:r>
        <w:t>Article X:3(a) does not prescribe how an investigating authority must achieve uniform administration</w:t>
      </w:r>
      <w:r w:rsidRPr="00460E0B">
        <w:rPr>
          <w:rStyle w:val="FootnoteReference"/>
        </w:rPr>
        <w:footnoteReference w:id="8"/>
      </w:r>
      <w:r w:rsidRPr="00460E0B">
        <w:rPr>
          <w:rStyle w:val="FootnoteReference"/>
        </w:rPr>
        <w:t xml:space="preserve"> </w:t>
      </w:r>
      <w:r>
        <w:t xml:space="preserve">or </w:t>
      </w:r>
      <w:r w:rsidRPr="00CB0972">
        <w:t>require</w:t>
      </w:r>
      <w:r>
        <w:t xml:space="preserve"> </w:t>
      </w:r>
      <w:r w:rsidRPr="00CB0972">
        <w:t>uniformity of administrative process</w:t>
      </w:r>
      <w:r>
        <w:t>es.</w:t>
      </w:r>
      <w:r w:rsidRPr="00460E0B">
        <w:rPr>
          <w:rStyle w:val="FootnoteReference"/>
        </w:rPr>
        <w:footnoteReference w:id="9"/>
      </w:r>
      <w:r w:rsidRPr="00CB0972">
        <w:t xml:space="preserve"> </w:t>
      </w:r>
      <w:r>
        <w:t xml:space="preserve">An investigating authority will therefore have some latitude when exercising statutory discretion; but that latitude is constrained by the requirements under Article X:3(a) to apply domestic legislation in a manner that is </w:t>
      </w:r>
      <w:r w:rsidRPr="00764777">
        <w:t>uniform, impartial and reasonable</w:t>
      </w:r>
      <w:r>
        <w:t>.</w:t>
      </w:r>
      <w:r w:rsidRPr="00460E0B">
        <w:rPr>
          <w:rStyle w:val="FootnoteReference"/>
        </w:rPr>
        <w:footnoteReference w:id="10"/>
      </w:r>
      <w:r>
        <w:t xml:space="preserve"> T</w:t>
      </w:r>
      <w:r w:rsidRPr="00592F81">
        <w:t>he</w:t>
      </w:r>
      <w:r>
        <w:t>se</w:t>
      </w:r>
      <w:r w:rsidRPr="00592F81">
        <w:t xml:space="preserve"> three requirements are legally independent</w:t>
      </w:r>
      <w:r>
        <w:t xml:space="preserve"> and an investigating authority must satisfy each of the three standards when implementing laws.</w:t>
      </w:r>
      <w:r>
        <w:rPr>
          <w:rStyle w:val="FootnoteReference"/>
        </w:rPr>
        <w:footnoteReference w:id="11"/>
      </w:r>
    </w:p>
    <w:p w14:paraId="614E39B6" w14:textId="77777777" w:rsidR="00D52A17" w:rsidRPr="0007327B" w:rsidRDefault="005677F2" w:rsidP="00D52A17">
      <w:pPr>
        <w:pStyle w:val="P1-N1Paragraph1-Number1"/>
        <w:tabs>
          <w:tab w:val="clear" w:pos="851"/>
        </w:tabs>
      </w:pPr>
      <w:r>
        <w:t xml:space="preserve">In Australia’s view, uniform administration </w:t>
      </w:r>
      <w:r w:rsidRPr="00A32548">
        <w:t xml:space="preserve">requires </w:t>
      </w:r>
      <w:r>
        <w:t>an investigating authority to</w:t>
      </w:r>
      <w:r w:rsidRPr="00A32548">
        <w:t xml:space="preserve"> </w:t>
      </w:r>
      <w:r>
        <w:t>apply domestic legislation</w:t>
      </w:r>
      <w:r w:rsidRPr="00A32548">
        <w:t xml:space="preserve"> consistently and predictably.</w:t>
      </w:r>
      <w:r w:rsidRPr="00460E0B">
        <w:rPr>
          <w:rStyle w:val="FootnoteReference"/>
        </w:rPr>
        <w:footnoteReference w:id="12"/>
      </w:r>
      <w:r>
        <w:t xml:space="preserve"> Australia considers that </w:t>
      </w:r>
      <w:r w:rsidRPr="00497CA0">
        <w:t xml:space="preserve">features of </w:t>
      </w:r>
      <w:r>
        <w:t xml:space="preserve">the </w:t>
      </w:r>
      <w:r w:rsidRPr="00497CA0">
        <w:t>administrative process</w:t>
      </w:r>
      <w:r>
        <w:t xml:space="preserve"> governing the </w:t>
      </w:r>
      <w:r w:rsidR="00AB1615">
        <w:t xml:space="preserve">application of </w:t>
      </w:r>
      <w:r>
        <w:t>relevant legislation</w:t>
      </w:r>
      <w:r w:rsidRPr="00497CA0">
        <w:t xml:space="preserve"> </w:t>
      </w:r>
      <w:r w:rsidRPr="00BD11CC">
        <w:t xml:space="preserve">may constitute evidence for establishing </w:t>
      </w:r>
      <w:r>
        <w:t xml:space="preserve">whether an investigating authority has applied its legislation in a </w:t>
      </w:r>
      <w:r w:rsidRPr="00BD11CC">
        <w:t xml:space="preserve">uniform or non-uniform </w:t>
      </w:r>
      <w:r>
        <w:t>manner.</w:t>
      </w:r>
      <w:r w:rsidRPr="00460E0B">
        <w:rPr>
          <w:rStyle w:val="FootnoteReference"/>
        </w:rPr>
        <w:footnoteReference w:id="13"/>
      </w:r>
      <w:r>
        <w:t xml:space="preserve"> However, the probative value of such evidence will </w:t>
      </w:r>
      <w:r w:rsidRPr="00345C93">
        <w:t>"</w:t>
      </w:r>
      <w:r w:rsidRPr="001679F5">
        <w:t>depend on the circumstances of each case and will necessarily vary from case to case</w:t>
      </w:r>
      <w:r w:rsidRPr="00345C93">
        <w:t>"</w:t>
      </w:r>
      <w:r>
        <w:t>.</w:t>
      </w:r>
      <w:r>
        <w:rPr>
          <w:rStyle w:val="FootnoteReference"/>
        </w:rPr>
        <w:footnoteReference w:id="14"/>
      </w:r>
      <w:r>
        <w:t xml:space="preserve"> </w:t>
      </w:r>
    </w:p>
    <w:sectPr w:rsidR="00D52A17" w:rsidRPr="0007327B" w:rsidSect="008F5B14">
      <w:headerReference w:type="default" r:id="rId19"/>
      <w:footerReference w:type="default" r:id="rId20"/>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C47D" w14:textId="77777777" w:rsidR="002B7AD9" w:rsidRDefault="002B7AD9" w:rsidP="00006269">
      <w:pPr>
        <w:spacing w:after="0" w:line="240" w:lineRule="auto"/>
      </w:pPr>
      <w:r>
        <w:separator/>
      </w:r>
    </w:p>
  </w:endnote>
  <w:endnote w:type="continuationSeparator" w:id="0">
    <w:p w14:paraId="6CCCAE2E" w14:textId="77777777" w:rsidR="002B7AD9" w:rsidRDefault="002B7AD9"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FF32"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252F" w14:textId="77777777" w:rsidR="002B7AD9" w:rsidRDefault="002B7AD9" w:rsidP="00006269">
      <w:pPr>
        <w:spacing w:after="0" w:line="240" w:lineRule="auto"/>
      </w:pPr>
      <w:r>
        <w:separator/>
      </w:r>
    </w:p>
  </w:footnote>
  <w:footnote w:type="continuationSeparator" w:id="0">
    <w:p w14:paraId="4FC390DF" w14:textId="77777777" w:rsidR="002B7AD9" w:rsidRDefault="002B7AD9" w:rsidP="00006269">
      <w:pPr>
        <w:spacing w:after="0" w:line="240" w:lineRule="auto"/>
      </w:pPr>
      <w:r>
        <w:continuationSeparator/>
      </w:r>
    </w:p>
  </w:footnote>
  <w:footnote w:id="1">
    <w:p w14:paraId="54C3F2A7" w14:textId="77777777" w:rsidR="005677F2" w:rsidRDefault="005677F2" w:rsidP="005677F2">
      <w:pPr>
        <w:pStyle w:val="FootnoteText"/>
      </w:pPr>
      <w:r>
        <w:rPr>
          <w:rStyle w:val="FootnoteReference"/>
        </w:rPr>
        <w:footnoteRef/>
      </w:r>
      <w:r>
        <w:t xml:space="preserve"> </w:t>
      </w:r>
      <w:r w:rsidRPr="001A6646">
        <w:t xml:space="preserve">Panel Report, </w:t>
      </w:r>
      <w:r w:rsidRPr="001A6646">
        <w:rPr>
          <w:i/>
          <w:iCs/>
        </w:rPr>
        <w:t>Mexico — Steel Pipes and Tubes</w:t>
      </w:r>
      <w:r w:rsidRPr="001A6646">
        <w:t>, para. 7.347</w:t>
      </w:r>
      <w:r>
        <w:t>.</w:t>
      </w:r>
    </w:p>
  </w:footnote>
  <w:footnote w:id="2">
    <w:p w14:paraId="7C40C3AF" w14:textId="77777777" w:rsidR="005677F2" w:rsidRDefault="005677F2" w:rsidP="005677F2">
      <w:pPr>
        <w:pStyle w:val="FootnoteText"/>
      </w:pPr>
      <w:r>
        <w:rPr>
          <w:rStyle w:val="FootnoteReference"/>
        </w:rPr>
        <w:footnoteRef/>
      </w:r>
      <w:r>
        <w:t xml:space="preserve"> </w:t>
      </w:r>
      <w:r w:rsidRPr="001A6646">
        <w:t xml:space="preserve">Panel Report, </w:t>
      </w:r>
      <w:r w:rsidRPr="001A6646">
        <w:rPr>
          <w:i/>
          <w:iCs/>
        </w:rPr>
        <w:t>US –</w:t>
      </w:r>
      <w:r w:rsidR="00765AC4">
        <w:rPr>
          <w:i/>
          <w:iCs/>
        </w:rPr>
        <w:t xml:space="preserve"> Softwood</w:t>
      </w:r>
      <w:r w:rsidRPr="001A6646">
        <w:rPr>
          <w:i/>
          <w:iCs/>
        </w:rPr>
        <w:t xml:space="preserve"> Lumber V</w:t>
      </w:r>
      <w:r w:rsidRPr="001A6646">
        <w:t>, para. 7.137</w:t>
      </w:r>
      <w:r>
        <w:t>.</w:t>
      </w:r>
    </w:p>
  </w:footnote>
  <w:footnote w:id="3">
    <w:p w14:paraId="5BA01AAA" w14:textId="77777777" w:rsidR="005677F2" w:rsidRPr="00FF649C" w:rsidRDefault="005677F2" w:rsidP="005677F2">
      <w:pPr>
        <w:pStyle w:val="FootnoteText"/>
        <w:rPr>
          <w:lang w:val="en-US"/>
        </w:rPr>
      </w:pPr>
      <w:r>
        <w:rPr>
          <w:rStyle w:val="FootnoteReference"/>
        </w:rPr>
        <w:footnoteRef/>
      </w:r>
      <w:r>
        <w:t xml:space="preserve"> </w:t>
      </w:r>
      <w:r w:rsidRPr="00FF649C">
        <w:t xml:space="preserve">Panel Report, </w:t>
      </w:r>
      <w:r w:rsidRPr="00FF649C">
        <w:rPr>
          <w:i/>
          <w:iCs/>
        </w:rPr>
        <w:t>US – DRAMS</w:t>
      </w:r>
      <w:r w:rsidRPr="00FF649C">
        <w:t>, para. 6.87.</w:t>
      </w:r>
      <w:r w:rsidR="003F19F0">
        <w:t xml:space="preserve"> </w:t>
      </w:r>
    </w:p>
  </w:footnote>
  <w:footnote w:id="4">
    <w:p w14:paraId="282BE2F8" w14:textId="77777777" w:rsidR="005677F2" w:rsidRPr="00C11F0A" w:rsidRDefault="005677F2" w:rsidP="005677F2">
      <w:pPr>
        <w:pStyle w:val="FootnoteText"/>
        <w:rPr>
          <w:lang w:val="en-US"/>
        </w:rPr>
      </w:pPr>
      <w:r>
        <w:rPr>
          <w:rStyle w:val="FootnoteReference"/>
        </w:rPr>
        <w:footnoteRef/>
      </w:r>
      <w:r>
        <w:t xml:space="preserve"> </w:t>
      </w:r>
      <w:r w:rsidRPr="00FF649C">
        <w:t xml:space="preserve">Panel Report, </w:t>
      </w:r>
      <w:r w:rsidRPr="00FF649C">
        <w:rPr>
          <w:i/>
          <w:iCs/>
        </w:rPr>
        <w:t>US – Softwood Lumber V</w:t>
      </w:r>
      <w:r w:rsidRPr="00FF649C">
        <w:t>, para. 7.137</w:t>
      </w:r>
    </w:p>
  </w:footnote>
  <w:footnote w:id="5">
    <w:p w14:paraId="36AF1D8F" w14:textId="77777777" w:rsidR="005677F2" w:rsidRPr="00C11F0A" w:rsidRDefault="005677F2" w:rsidP="005677F2">
      <w:pPr>
        <w:pStyle w:val="FootnoteText"/>
        <w:rPr>
          <w:lang w:val="en-US"/>
        </w:rPr>
      </w:pPr>
      <w:r>
        <w:rPr>
          <w:rStyle w:val="FootnoteReference"/>
        </w:rPr>
        <w:footnoteRef/>
      </w:r>
      <w:r>
        <w:t xml:space="preserve"> </w:t>
      </w:r>
      <w:r w:rsidRPr="00FF649C">
        <w:t xml:space="preserve">Panel Report, </w:t>
      </w:r>
      <w:r w:rsidRPr="00FF649C">
        <w:rPr>
          <w:i/>
          <w:iCs/>
        </w:rPr>
        <w:t>US – Softwood Lumber V</w:t>
      </w:r>
      <w:r w:rsidRPr="00FF649C">
        <w:t>, para. 7.137</w:t>
      </w:r>
    </w:p>
  </w:footnote>
  <w:footnote w:id="6">
    <w:p w14:paraId="770DCC24" w14:textId="77777777" w:rsidR="005677F2" w:rsidRDefault="005677F2" w:rsidP="005677F2">
      <w:pPr>
        <w:pStyle w:val="FootnoteText"/>
      </w:pPr>
      <w:r>
        <w:rPr>
          <w:rStyle w:val="FootnoteReference"/>
        </w:rPr>
        <w:footnoteRef/>
      </w:r>
      <w:r>
        <w:t xml:space="preserve"> Appellate Body report, </w:t>
      </w:r>
      <w:r>
        <w:rPr>
          <w:i/>
          <w:iCs/>
        </w:rPr>
        <w:t xml:space="preserve">EC – Selected Customs, </w:t>
      </w:r>
      <w:r>
        <w:t>para 224.</w:t>
      </w:r>
    </w:p>
  </w:footnote>
  <w:footnote w:id="7">
    <w:p w14:paraId="675D6F12" w14:textId="77777777" w:rsidR="005677F2" w:rsidRPr="00FE4E2B" w:rsidRDefault="005677F2" w:rsidP="005677F2">
      <w:pPr>
        <w:pStyle w:val="FootnoteText"/>
      </w:pPr>
      <w:r>
        <w:rPr>
          <w:rStyle w:val="FootnoteReference"/>
        </w:rPr>
        <w:footnoteRef/>
      </w:r>
      <w:r>
        <w:t xml:space="preserve"> </w:t>
      </w:r>
      <w:r w:rsidRPr="0033388C">
        <w:t>GATT 1994, art. X:1(1).</w:t>
      </w:r>
    </w:p>
  </w:footnote>
  <w:footnote w:id="8">
    <w:p w14:paraId="067AF842" w14:textId="77777777" w:rsidR="005677F2" w:rsidRPr="0001730D" w:rsidRDefault="005677F2" w:rsidP="005677F2">
      <w:pPr>
        <w:pStyle w:val="FootnoteText"/>
        <w:rPr>
          <w:lang w:val="en-US"/>
        </w:rPr>
      </w:pPr>
      <w:r>
        <w:rPr>
          <w:rStyle w:val="FootnoteReference"/>
        </w:rPr>
        <w:footnoteRef/>
      </w:r>
      <w:r>
        <w:t xml:space="preserve"> </w:t>
      </w:r>
      <w:r w:rsidRPr="0001730D">
        <w:t xml:space="preserve">Panel Report, </w:t>
      </w:r>
      <w:r w:rsidRPr="0033388C">
        <w:rPr>
          <w:i/>
          <w:iCs/>
        </w:rPr>
        <w:t xml:space="preserve">EC – Selected Customs Matters, </w:t>
      </w:r>
      <w:r w:rsidRPr="0001730D">
        <w:t>para. 7.141.</w:t>
      </w:r>
    </w:p>
  </w:footnote>
  <w:footnote w:id="9">
    <w:p w14:paraId="3692B2FA" w14:textId="77777777" w:rsidR="005677F2" w:rsidRPr="0007314D" w:rsidRDefault="005677F2" w:rsidP="005677F2">
      <w:pPr>
        <w:pStyle w:val="FootnoteText"/>
      </w:pPr>
      <w:r>
        <w:rPr>
          <w:rStyle w:val="FootnoteReference"/>
        </w:rPr>
        <w:footnoteRef/>
      </w:r>
      <w:r>
        <w:t xml:space="preserve"> Appellate Body report, </w:t>
      </w:r>
      <w:r>
        <w:rPr>
          <w:i/>
          <w:iCs/>
        </w:rPr>
        <w:t xml:space="preserve">EC – Selected Customs, </w:t>
      </w:r>
      <w:r>
        <w:t>para 227.</w:t>
      </w:r>
    </w:p>
  </w:footnote>
  <w:footnote w:id="10">
    <w:p w14:paraId="34E8E0BC" w14:textId="77777777" w:rsidR="005677F2" w:rsidRDefault="005677F2" w:rsidP="005677F2">
      <w:pPr>
        <w:pStyle w:val="FootnoteText"/>
      </w:pPr>
      <w:r>
        <w:rPr>
          <w:rStyle w:val="FootnoteReference"/>
        </w:rPr>
        <w:footnoteRef/>
      </w:r>
      <w:r>
        <w:t xml:space="preserve"> </w:t>
      </w:r>
      <w:r w:rsidRPr="00764777">
        <w:t>Panel Report</w:t>
      </w:r>
      <w:r>
        <w:t xml:space="preserve">s, </w:t>
      </w:r>
      <w:r w:rsidRPr="0033388C">
        <w:rPr>
          <w:i/>
          <w:iCs/>
        </w:rPr>
        <w:t>Dominican Republic – Import and Sale of Cigarettes</w:t>
      </w:r>
      <w:r w:rsidRPr="00764777">
        <w:t>, para. 7.383</w:t>
      </w:r>
      <w:r>
        <w:t xml:space="preserve">, </w:t>
      </w:r>
      <w:r w:rsidRPr="0033388C">
        <w:rPr>
          <w:i/>
          <w:iCs/>
        </w:rPr>
        <w:t>Thailand –Cigarettes (Philippines)</w:t>
      </w:r>
      <w:r w:rsidRPr="00764777">
        <w:t>, para. 7.873</w:t>
      </w:r>
      <w:r>
        <w:t>.</w:t>
      </w:r>
    </w:p>
  </w:footnote>
  <w:footnote w:id="11">
    <w:p w14:paraId="650263D0" w14:textId="77777777" w:rsidR="005677F2" w:rsidRPr="00592F81" w:rsidRDefault="005677F2" w:rsidP="005677F2">
      <w:pPr>
        <w:pStyle w:val="FootnoteText"/>
      </w:pPr>
      <w:r>
        <w:rPr>
          <w:rStyle w:val="FootnoteReference"/>
        </w:rPr>
        <w:footnoteRef/>
      </w:r>
      <w:r>
        <w:t xml:space="preserve"> </w:t>
      </w:r>
      <w:r w:rsidRPr="00411B41">
        <w:t>Panel Report</w:t>
      </w:r>
      <w:r>
        <w:t>s</w:t>
      </w:r>
      <w:r w:rsidRPr="00411B41">
        <w:t xml:space="preserve">, </w:t>
      </w:r>
      <w:r w:rsidRPr="0033388C">
        <w:rPr>
          <w:i/>
          <w:iCs/>
        </w:rPr>
        <w:t>Argentina – Hides and Leather</w:t>
      </w:r>
      <w:r w:rsidRPr="0097434F">
        <w:t>, para 11.8</w:t>
      </w:r>
      <w:r>
        <w:t xml:space="preserve">6, </w:t>
      </w:r>
      <w:r w:rsidRPr="0033388C">
        <w:rPr>
          <w:i/>
          <w:iCs/>
        </w:rPr>
        <w:t>Dominican Republic – Import and Sale of Cigarettes</w:t>
      </w:r>
      <w:r w:rsidRPr="00764777">
        <w:t>, para. 7.383</w:t>
      </w:r>
      <w:r w:rsidRPr="0097434F">
        <w:t>.</w:t>
      </w:r>
    </w:p>
  </w:footnote>
  <w:footnote w:id="12">
    <w:p w14:paraId="27BC0266" w14:textId="77777777" w:rsidR="005677F2" w:rsidRPr="00C22F26" w:rsidRDefault="005677F2" w:rsidP="005677F2">
      <w:pPr>
        <w:pStyle w:val="FootnoteText"/>
      </w:pPr>
      <w:r>
        <w:rPr>
          <w:rStyle w:val="FootnoteReference"/>
        </w:rPr>
        <w:footnoteRef/>
      </w:r>
      <w:r>
        <w:t xml:space="preserve"> </w:t>
      </w:r>
      <w:r w:rsidRPr="00411B41">
        <w:t xml:space="preserve">Panel Report, </w:t>
      </w:r>
      <w:r w:rsidRPr="0033388C">
        <w:rPr>
          <w:i/>
          <w:iCs/>
        </w:rPr>
        <w:t>Argentina – Hides and Leather</w:t>
      </w:r>
      <w:r w:rsidRPr="0097434F">
        <w:t>, para 11.83.</w:t>
      </w:r>
    </w:p>
  </w:footnote>
  <w:footnote w:id="13">
    <w:p w14:paraId="72B4C2BE" w14:textId="77777777" w:rsidR="005677F2" w:rsidRPr="00E97519" w:rsidRDefault="005677F2" w:rsidP="005677F2">
      <w:pPr>
        <w:pStyle w:val="FootnoteText"/>
        <w:rPr>
          <w:lang w:val="en-US"/>
        </w:rPr>
      </w:pPr>
      <w:r>
        <w:rPr>
          <w:rStyle w:val="FootnoteReference"/>
        </w:rPr>
        <w:footnoteRef/>
      </w:r>
      <w:r>
        <w:t xml:space="preserve"> </w:t>
      </w:r>
      <w:r w:rsidRPr="00D65E16">
        <w:t xml:space="preserve">Appellate Body Report, </w:t>
      </w:r>
      <w:r w:rsidRPr="0033388C">
        <w:rPr>
          <w:i/>
          <w:iCs/>
        </w:rPr>
        <w:t>EC – Selected Customs Matters</w:t>
      </w:r>
      <w:r w:rsidRPr="00D65E16">
        <w:t>, para</w:t>
      </w:r>
      <w:r>
        <w:t xml:space="preserve"> </w:t>
      </w:r>
      <w:r w:rsidRPr="00D65E16">
        <w:t>225</w:t>
      </w:r>
      <w:r>
        <w:t>.</w:t>
      </w:r>
    </w:p>
  </w:footnote>
  <w:footnote w:id="14">
    <w:p w14:paraId="1B9FDC00" w14:textId="77777777" w:rsidR="005677F2" w:rsidRPr="001679F5" w:rsidRDefault="005677F2" w:rsidP="005677F2">
      <w:pPr>
        <w:pStyle w:val="FootnoteText"/>
      </w:pPr>
      <w:r>
        <w:rPr>
          <w:rStyle w:val="FootnoteReference"/>
        </w:rPr>
        <w:footnoteRef/>
      </w:r>
      <w:r>
        <w:t xml:space="preserve"> </w:t>
      </w:r>
      <w:r w:rsidRPr="00D65E16">
        <w:t xml:space="preserve">Appellate Body Report, </w:t>
      </w:r>
      <w:r w:rsidRPr="0033388C">
        <w:rPr>
          <w:i/>
          <w:iCs/>
        </w:rPr>
        <w:t xml:space="preserve">EC – Selected Customs </w:t>
      </w:r>
      <w:r w:rsidRPr="00D65E16">
        <w:t>Matters, para</w:t>
      </w:r>
      <w:r>
        <w:t xml:space="preserve"> </w:t>
      </w:r>
      <w:r w:rsidRPr="00D65E16">
        <w:t>225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8C3F" w14:textId="77777777" w:rsidR="006119DD" w:rsidRPr="006119DD" w:rsidRDefault="005677F2" w:rsidP="005677F2">
    <w:pPr>
      <w:pStyle w:val="Header"/>
      <w:jc w:val="left"/>
      <w:rPr>
        <w:i/>
        <w:iCs/>
      </w:rPr>
    </w:pPr>
    <w:r>
      <w:rPr>
        <w:i/>
        <w:iCs/>
      </w:rPr>
      <w:t xml:space="preserve">EU – AD on Fatty Acid (Indonesia) </w:t>
    </w:r>
    <w:r>
      <w:rPr>
        <w:i/>
        <w:iCs/>
      </w:rPr>
      <w:tab/>
    </w:r>
    <w:r w:rsidR="00380795" w:rsidRPr="006119DD">
      <w:rPr>
        <w:i/>
        <w:iCs/>
      </w:rPr>
      <w:ptab w:relativeTo="margin" w:alignment="right" w:leader="none"/>
    </w:r>
    <w:r w:rsidRPr="006119DD">
      <w:rPr>
        <w:i/>
        <w:iCs/>
      </w:rPr>
      <w:t xml:space="preserve">Australia's Responses to </w:t>
    </w:r>
    <w:r w:rsidR="00B24F9F" w:rsidRPr="006119DD">
      <w:rPr>
        <w:i/>
        <w:iCs/>
      </w:rPr>
      <w:t xml:space="preserve">Questions from </w:t>
    </w:r>
    <w:r w:rsidRPr="006119DD">
      <w:rPr>
        <w:i/>
        <w:iCs/>
      </w:rPr>
      <w:t xml:space="preserve">the                  DS622                                                                                                     </w:t>
    </w:r>
    <w:r w:rsidR="006119DD">
      <w:rPr>
        <w:i/>
        <w:iCs/>
      </w:rPr>
      <w:t xml:space="preserve">Panel </w:t>
    </w:r>
    <w:r w:rsidR="006119DD" w:rsidRPr="006119DD">
      <w:rPr>
        <w:i/>
        <w:iCs/>
      </w:rPr>
      <w:t>f</w:t>
    </w:r>
    <w:r w:rsidRPr="006119DD">
      <w:rPr>
        <w:i/>
        <w:iCs/>
      </w:rPr>
      <w:t xml:space="preserve">ollowing the </w:t>
    </w:r>
    <w:proofErr w:type="gramStart"/>
    <w:r w:rsidRPr="006119DD">
      <w:rPr>
        <w:i/>
        <w:iCs/>
      </w:rPr>
      <w:t>Third Party</w:t>
    </w:r>
    <w:proofErr w:type="gramEnd"/>
    <w:r w:rsidRPr="006119DD">
      <w:rPr>
        <w:i/>
        <w:iCs/>
      </w:rPr>
      <w:t xml:space="preserve"> Session</w:t>
    </w:r>
  </w:p>
  <w:p w14:paraId="444B2EAB" w14:textId="77777777" w:rsidR="00380795" w:rsidRDefault="006119DD" w:rsidP="006119DD">
    <w:pPr>
      <w:pStyle w:val="Header"/>
    </w:pPr>
    <w:r>
      <w:t xml:space="preserve">                                                                                                                                                      3 November 2025</w:t>
    </w:r>
    <w:r w:rsidR="005677F2">
      <w:t xml:space="preserve">                                          </w:t>
    </w:r>
    <w:r w:rsidR="005677F2">
      <w:tab/>
    </w:r>
    <w:r w:rsidR="005677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4596"/>
    <w:multiLevelType w:val="multilevel"/>
    <w:tmpl w:val="3EF6F766"/>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1702"/>
        </w:tabs>
        <w:ind w:left="1702" w:hanging="851"/>
      </w:pPr>
      <w:rPr>
        <w:rFonts w:hint="default"/>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2" w15:restartNumberingAfterBreak="0">
    <w:nsid w:val="0CEF6E8A"/>
    <w:multiLevelType w:val="hybridMultilevel"/>
    <w:tmpl w:val="0B9A8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4"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5"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9144169">
    <w:abstractNumId w:val="3"/>
  </w:num>
  <w:num w:numId="2" w16cid:durableId="1006907516">
    <w:abstractNumId w:val="1"/>
  </w:num>
  <w:num w:numId="3" w16cid:durableId="1790927957">
    <w:abstractNumId w:val="3"/>
    <w:lvlOverride w:ilvl="0">
      <w:startOverride w:val="1"/>
    </w:lvlOverride>
  </w:num>
  <w:num w:numId="4" w16cid:durableId="1621452661">
    <w:abstractNumId w:val="0"/>
  </w:num>
  <w:num w:numId="5" w16cid:durableId="60763098">
    <w:abstractNumId w:val="5"/>
  </w:num>
  <w:num w:numId="6" w16cid:durableId="1100832526">
    <w:abstractNumId w:val="4"/>
  </w:num>
  <w:num w:numId="7" w16cid:durableId="873884077">
    <w:abstractNumId w:val="4"/>
  </w:num>
  <w:num w:numId="8" w16cid:durableId="2038389215">
    <w:abstractNumId w:val="2"/>
  </w:num>
  <w:num w:numId="9" w16cid:durableId="664674497">
    <w:abstractNumId w:val="3"/>
  </w:num>
  <w:num w:numId="10" w16cid:durableId="85810627">
    <w:abstractNumId w:val="3"/>
  </w:num>
  <w:num w:numId="11" w16cid:durableId="1147623568">
    <w:abstractNumId w:val="1"/>
  </w:num>
  <w:num w:numId="12" w16cid:durableId="1133135063">
    <w:abstractNumId w:val="3"/>
  </w:num>
  <w:num w:numId="13" w16cid:durableId="2130011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6C"/>
    <w:rsid w:val="00004009"/>
    <w:rsid w:val="00006269"/>
    <w:rsid w:val="00013F6E"/>
    <w:rsid w:val="00023C47"/>
    <w:rsid w:val="00025483"/>
    <w:rsid w:val="000256C8"/>
    <w:rsid w:val="00030A32"/>
    <w:rsid w:val="00031577"/>
    <w:rsid w:val="00040482"/>
    <w:rsid w:val="000453F8"/>
    <w:rsid w:val="00046BAF"/>
    <w:rsid w:val="000662B0"/>
    <w:rsid w:val="000716BD"/>
    <w:rsid w:val="0007327B"/>
    <w:rsid w:val="00081602"/>
    <w:rsid w:val="00082549"/>
    <w:rsid w:val="00093175"/>
    <w:rsid w:val="00093F12"/>
    <w:rsid w:val="000950D2"/>
    <w:rsid w:val="000C14F5"/>
    <w:rsid w:val="000C69EE"/>
    <w:rsid w:val="000E4C65"/>
    <w:rsid w:val="00106182"/>
    <w:rsid w:val="0011547E"/>
    <w:rsid w:val="0012151F"/>
    <w:rsid w:val="001570CB"/>
    <w:rsid w:val="00165108"/>
    <w:rsid w:val="0017192E"/>
    <w:rsid w:val="00182727"/>
    <w:rsid w:val="001A41B7"/>
    <w:rsid w:val="001E5FEA"/>
    <w:rsid w:val="001F46B7"/>
    <w:rsid w:val="002070FA"/>
    <w:rsid w:val="002074D5"/>
    <w:rsid w:val="00212CBA"/>
    <w:rsid w:val="00230197"/>
    <w:rsid w:val="0023272D"/>
    <w:rsid w:val="00245FA1"/>
    <w:rsid w:val="002603E6"/>
    <w:rsid w:val="0026128E"/>
    <w:rsid w:val="00264EA4"/>
    <w:rsid w:val="002774D9"/>
    <w:rsid w:val="00283DB2"/>
    <w:rsid w:val="002B7AD9"/>
    <w:rsid w:val="002F0724"/>
    <w:rsid w:val="002F1025"/>
    <w:rsid w:val="002F433F"/>
    <w:rsid w:val="002F7684"/>
    <w:rsid w:val="003005A3"/>
    <w:rsid w:val="00300827"/>
    <w:rsid w:val="0031054B"/>
    <w:rsid w:val="00311BF5"/>
    <w:rsid w:val="00323D58"/>
    <w:rsid w:val="0032538C"/>
    <w:rsid w:val="00326FAB"/>
    <w:rsid w:val="00330582"/>
    <w:rsid w:val="0034182B"/>
    <w:rsid w:val="00343C7D"/>
    <w:rsid w:val="00354A06"/>
    <w:rsid w:val="00355394"/>
    <w:rsid w:val="00380306"/>
    <w:rsid w:val="00380454"/>
    <w:rsid w:val="00380795"/>
    <w:rsid w:val="00392964"/>
    <w:rsid w:val="003930AB"/>
    <w:rsid w:val="00396B82"/>
    <w:rsid w:val="003A10EE"/>
    <w:rsid w:val="003A3B89"/>
    <w:rsid w:val="003A3FC8"/>
    <w:rsid w:val="003A56A4"/>
    <w:rsid w:val="003A5EE8"/>
    <w:rsid w:val="003E145C"/>
    <w:rsid w:val="003F19F0"/>
    <w:rsid w:val="003F2C72"/>
    <w:rsid w:val="0040108F"/>
    <w:rsid w:val="00405FF2"/>
    <w:rsid w:val="00420443"/>
    <w:rsid w:val="004342E7"/>
    <w:rsid w:val="004524CE"/>
    <w:rsid w:val="00453C6C"/>
    <w:rsid w:val="00454A8F"/>
    <w:rsid w:val="00477519"/>
    <w:rsid w:val="00477E28"/>
    <w:rsid w:val="004A3C11"/>
    <w:rsid w:val="004C0D8E"/>
    <w:rsid w:val="004C335E"/>
    <w:rsid w:val="004D6BFA"/>
    <w:rsid w:val="004D7079"/>
    <w:rsid w:val="004D7C3F"/>
    <w:rsid w:val="0050080F"/>
    <w:rsid w:val="00505CB1"/>
    <w:rsid w:val="00513A57"/>
    <w:rsid w:val="00525CB3"/>
    <w:rsid w:val="0054720A"/>
    <w:rsid w:val="00547F08"/>
    <w:rsid w:val="005620E8"/>
    <w:rsid w:val="005677F2"/>
    <w:rsid w:val="005714C3"/>
    <w:rsid w:val="0058590A"/>
    <w:rsid w:val="0059268E"/>
    <w:rsid w:val="005B6710"/>
    <w:rsid w:val="005C0E21"/>
    <w:rsid w:val="005D0800"/>
    <w:rsid w:val="005D0D16"/>
    <w:rsid w:val="005E065F"/>
    <w:rsid w:val="005E2B67"/>
    <w:rsid w:val="005E4300"/>
    <w:rsid w:val="005E66D1"/>
    <w:rsid w:val="005E6A4E"/>
    <w:rsid w:val="005E7CD7"/>
    <w:rsid w:val="005F0DD5"/>
    <w:rsid w:val="005F4454"/>
    <w:rsid w:val="006119DD"/>
    <w:rsid w:val="006151B5"/>
    <w:rsid w:val="0062041F"/>
    <w:rsid w:val="006220E2"/>
    <w:rsid w:val="00626DD2"/>
    <w:rsid w:val="00631C3B"/>
    <w:rsid w:val="00634156"/>
    <w:rsid w:val="006550D0"/>
    <w:rsid w:val="00664BC3"/>
    <w:rsid w:val="006667C2"/>
    <w:rsid w:val="00670656"/>
    <w:rsid w:val="00675218"/>
    <w:rsid w:val="00675D3A"/>
    <w:rsid w:val="006778A5"/>
    <w:rsid w:val="00695D05"/>
    <w:rsid w:val="006B1C9A"/>
    <w:rsid w:val="006B4C90"/>
    <w:rsid w:val="006C1D90"/>
    <w:rsid w:val="006C6AB3"/>
    <w:rsid w:val="006E2F9F"/>
    <w:rsid w:val="006E314A"/>
    <w:rsid w:val="006F189E"/>
    <w:rsid w:val="006F1CC8"/>
    <w:rsid w:val="00701992"/>
    <w:rsid w:val="00701EB8"/>
    <w:rsid w:val="00706CC5"/>
    <w:rsid w:val="00706E5D"/>
    <w:rsid w:val="00752167"/>
    <w:rsid w:val="007630FC"/>
    <w:rsid w:val="00763FA0"/>
    <w:rsid w:val="0076488C"/>
    <w:rsid w:val="00765AC4"/>
    <w:rsid w:val="00785050"/>
    <w:rsid w:val="00791E95"/>
    <w:rsid w:val="00795605"/>
    <w:rsid w:val="007A3EF1"/>
    <w:rsid w:val="007A50A6"/>
    <w:rsid w:val="007A6638"/>
    <w:rsid w:val="007B4AFE"/>
    <w:rsid w:val="007C5A23"/>
    <w:rsid w:val="007D1A40"/>
    <w:rsid w:val="007D77DD"/>
    <w:rsid w:val="007E7DB4"/>
    <w:rsid w:val="007F0619"/>
    <w:rsid w:val="00800159"/>
    <w:rsid w:val="008023C9"/>
    <w:rsid w:val="00876A03"/>
    <w:rsid w:val="0088439F"/>
    <w:rsid w:val="00887792"/>
    <w:rsid w:val="008929A5"/>
    <w:rsid w:val="008A1191"/>
    <w:rsid w:val="008A3F4A"/>
    <w:rsid w:val="008A4C51"/>
    <w:rsid w:val="008C1917"/>
    <w:rsid w:val="008C302F"/>
    <w:rsid w:val="008E0031"/>
    <w:rsid w:val="008E0CB0"/>
    <w:rsid w:val="008F5ACF"/>
    <w:rsid w:val="008F5B14"/>
    <w:rsid w:val="008F7779"/>
    <w:rsid w:val="0093054A"/>
    <w:rsid w:val="009410A9"/>
    <w:rsid w:val="009441C2"/>
    <w:rsid w:val="009442A5"/>
    <w:rsid w:val="00962C06"/>
    <w:rsid w:val="00973DB2"/>
    <w:rsid w:val="00982909"/>
    <w:rsid w:val="00991E72"/>
    <w:rsid w:val="009950B3"/>
    <w:rsid w:val="009E004D"/>
    <w:rsid w:val="009F736B"/>
    <w:rsid w:val="00A137E6"/>
    <w:rsid w:val="00A24CA2"/>
    <w:rsid w:val="00A261D8"/>
    <w:rsid w:val="00A31E82"/>
    <w:rsid w:val="00A351B1"/>
    <w:rsid w:val="00A35F65"/>
    <w:rsid w:val="00A5375A"/>
    <w:rsid w:val="00A54F00"/>
    <w:rsid w:val="00A62B63"/>
    <w:rsid w:val="00A73834"/>
    <w:rsid w:val="00A900B6"/>
    <w:rsid w:val="00A93E9E"/>
    <w:rsid w:val="00A977A6"/>
    <w:rsid w:val="00AA0A64"/>
    <w:rsid w:val="00AB1615"/>
    <w:rsid w:val="00AC4A0D"/>
    <w:rsid w:val="00AD0459"/>
    <w:rsid w:val="00AD31C4"/>
    <w:rsid w:val="00AD52FF"/>
    <w:rsid w:val="00AF4DE4"/>
    <w:rsid w:val="00B03F76"/>
    <w:rsid w:val="00B10942"/>
    <w:rsid w:val="00B15D11"/>
    <w:rsid w:val="00B20115"/>
    <w:rsid w:val="00B201E8"/>
    <w:rsid w:val="00B24F9F"/>
    <w:rsid w:val="00B36BF4"/>
    <w:rsid w:val="00B36F52"/>
    <w:rsid w:val="00B455DD"/>
    <w:rsid w:val="00B5548D"/>
    <w:rsid w:val="00B61586"/>
    <w:rsid w:val="00B61ED2"/>
    <w:rsid w:val="00B70D54"/>
    <w:rsid w:val="00B80E42"/>
    <w:rsid w:val="00B90D33"/>
    <w:rsid w:val="00B96619"/>
    <w:rsid w:val="00B9740F"/>
    <w:rsid w:val="00BA08E6"/>
    <w:rsid w:val="00BA7965"/>
    <w:rsid w:val="00BD0E60"/>
    <w:rsid w:val="00BE0B1C"/>
    <w:rsid w:val="00BF2E2B"/>
    <w:rsid w:val="00BF4AE2"/>
    <w:rsid w:val="00C105A7"/>
    <w:rsid w:val="00C10D29"/>
    <w:rsid w:val="00C22056"/>
    <w:rsid w:val="00C24A27"/>
    <w:rsid w:val="00C45722"/>
    <w:rsid w:val="00C45EAB"/>
    <w:rsid w:val="00C715A9"/>
    <w:rsid w:val="00C73188"/>
    <w:rsid w:val="00C7372D"/>
    <w:rsid w:val="00C737AF"/>
    <w:rsid w:val="00C740D8"/>
    <w:rsid w:val="00C74121"/>
    <w:rsid w:val="00C83D06"/>
    <w:rsid w:val="00C84084"/>
    <w:rsid w:val="00C90D90"/>
    <w:rsid w:val="00C93194"/>
    <w:rsid w:val="00C971A5"/>
    <w:rsid w:val="00CB069D"/>
    <w:rsid w:val="00CC4A2F"/>
    <w:rsid w:val="00CD5454"/>
    <w:rsid w:val="00D0425E"/>
    <w:rsid w:val="00D277E4"/>
    <w:rsid w:val="00D36654"/>
    <w:rsid w:val="00D373BD"/>
    <w:rsid w:val="00D456CA"/>
    <w:rsid w:val="00D47F18"/>
    <w:rsid w:val="00D52037"/>
    <w:rsid w:val="00D52A17"/>
    <w:rsid w:val="00D55C93"/>
    <w:rsid w:val="00D81E5C"/>
    <w:rsid w:val="00D83F97"/>
    <w:rsid w:val="00D875D9"/>
    <w:rsid w:val="00D94896"/>
    <w:rsid w:val="00DA5381"/>
    <w:rsid w:val="00DB0228"/>
    <w:rsid w:val="00DB12AA"/>
    <w:rsid w:val="00DB68EC"/>
    <w:rsid w:val="00DB7728"/>
    <w:rsid w:val="00DC15AF"/>
    <w:rsid w:val="00DD4BA0"/>
    <w:rsid w:val="00DD5FCF"/>
    <w:rsid w:val="00DF544C"/>
    <w:rsid w:val="00DF61D9"/>
    <w:rsid w:val="00E21513"/>
    <w:rsid w:val="00E25E73"/>
    <w:rsid w:val="00E717FB"/>
    <w:rsid w:val="00E8692B"/>
    <w:rsid w:val="00E90685"/>
    <w:rsid w:val="00E976F8"/>
    <w:rsid w:val="00EC4DDB"/>
    <w:rsid w:val="00ED1747"/>
    <w:rsid w:val="00ED3D2C"/>
    <w:rsid w:val="00EE417C"/>
    <w:rsid w:val="00EE47D1"/>
    <w:rsid w:val="00EE6C76"/>
    <w:rsid w:val="00EF043D"/>
    <w:rsid w:val="00EF4D82"/>
    <w:rsid w:val="00F01A73"/>
    <w:rsid w:val="00F10E86"/>
    <w:rsid w:val="00F17867"/>
    <w:rsid w:val="00F20263"/>
    <w:rsid w:val="00F21CA0"/>
    <w:rsid w:val="00F24279"/>
    <w:rsid w:val="00F4221D"/>
    <w:rsid w:val="00F43FD9"/>
    <w:rsid w:val="00F57DC7"/>
    <w:rsid w:val="00F72898"/>
    <w:rsid w:val="00F93F5B"/>
    <w:rsid w:val="00F945DB"/>
    <w:rsid w:val="00FA3211"/>
    <w:rsid w:val="00FB59EA"/>
    <w:rsid w:val="00FC103A"/>
    <w:rsid w:val="00FD17C6"/>
    <w:rsid w:val="00FD25CE"/>
    <w:rsid w:val="00FE146C"/>
    <w:rsid w:val="00FF1BC3"/>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8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pPr>
      <w:numPr>
        <w:numId w:val="2"/>
      </w:numPr>
    </w:pPr>
  </w:style>
  <w:style w:type="paragraph" w:customStyle="1" w:styleId="HL2HeadingLevel2">
    <w:name w:val="[HL2] Heading Level 2"/>
    <w:basedOn w:val="Heading2"/>
    <w:next w:val="P1-N1Paragraph1-Number1"/>
    <w:link w:val="HL2HeadingLevel2Char"/>
    <w:uiPriority w:val="4"/>
    <w:qFormat/>
    <w:rsid w:val="00B9740F"/>
    <w:pPr>
      <w:numPr>
        <w:ilvl w:val="1"/>
        <w:numId w:val="2"/>
      </w:numPr>
    </w:pPr>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pPr>
      <w:numPr>
        <w:ilvl w:val="2"/>
        <w:numId w:val="2"/>
      </w:numPr>
    </w:pPr>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pPr>
      <w:numPr>
        <w:ilvl w:val="3"/>
        <w:numId w:val="2"/>
      </w:numPr>
    </w:pPr>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pPr>
      <w:numPr>
        <w:ilvl w:val="4"/>
        <w:numId w:val="2"/>
      </w:numPr>
    </w:pPr>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pPr>
      <w:numPr>
        <w:ilvl w:val="5"/>
        <w:numId w:val="2"/>
      </w:numPr>
    </w:pPr>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pPr>
      <w:numPr>
        <w:ilvl w:val="6"/>
        <w:numId w:val="2"/>
      </w:numPr>
    </w:pPr>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pPr>
      <w:numPr>
        <w:ilvl w:val="7"/>
        <w:numId w:val="2"/>
      </w:numPr>
    </w:pPr>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pPr>
      <w:numPr>
        <w:ilvl w:val="8"/>
        <w:numId w:val="2"/>
      </w:numPr>
    </w:pPr>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character" w:styleId="FollowedHyperlink">
    <w:name w:val="FollowedHyperlink"/>
    <w:basedOn w:val="DefaultParagraphFont"/>
    <w:uiPriority w:val="99"/>
    <w:semiHidden/>
    <w:unhideWhenUsed/>
    <w:rsid w:val="00664BC3"/>
    <w:rPr>
      <w:color w:val="954F72" w:themeColor="followedHyperlink"/>
      <w:u w:val="single"/>
    </w:rPr>
  </w:style>
  <w:style w:type="paragraph" w:styleId="Revision">
    <w:name w:val="Revision"/>
    <w:hidden/>
    <w:uiPriority w:val="99"/>
    <w:semiHidden/>
    <w:rsid w:val="003F19F0"/>
    <w:pPr>
      <w:spacing w:after="0" w:line="240" w:lineRule="auto"/>
      <w:jc w:val="left"/>
    </w:pPr>
  </w:style>
  <w:style w:type="character" w:styleId="CommentReference">
    <w:name w:val="annotation reference"/>
    <w:basedOn w:val="DefaultParagraphFont"/>
    <w:uiPriority w:val="99"/>
    <w:semiHidden/>
    <w:unhideWhenUsed/>
    <w:rsid w:val="00AB1615"/>
    <w:rPr>
      <w:sz w:val="16"/>
      <w:szCs w:val="16"/>
    </w:rPr>
  </w:style>
  <w:style w:type="paragraph" w:styleId="CommentText">
    <w:name w:val="annotation text"/>
    <w:basedOn w:val="Normal"/>
    <w:link w:val="CommentTextChar"/>
    <w:uiPriority w:val="99"/>
    <w:unhideWhenUsed/>
    <w:rsid w:val="00AB1615"/>
    <w:pPr>
      <w:spacing w:line="240" w:lineRule="auto"/>
    </w:pPr>
    <w:rPr>
      <w:sz w:val="20"/>
      <w:szCs w:val="20"/>
    </w:rPr>
  </w:style>
  <w:style w:type="character" w:customStyle="1" w:styleId="CommentTextChar">
    <w:name w:val="Comment Text Char"/>
    <w:basedOn w:val="DefaultParagraphFont"/>
    <w:link w:val="CommentText"/>
    <w:uiPriority w:val="99"/>
    <w:rsid w:val="00AB1615"/>
    <w:rPr>
      <w:sz w:val="20"/>
      <w:szCs w:val="20"/>
    </w:rPr>
  </w:style>
  <w:style w:type="paragraph" w:styleId="CommentSubject">
    <w:name w:val="annotation subject"/>
    <w:basedOn w:val="CommentText"/>
    <w:next w:val="CommentText"/>
    <w:link w:val="CommentSubjectChar"/>
    <w:uiPriority w:val="99"/>
    <w:semiHidden/>
    <w:unhideWhenUsed/>
    <w:rsid w:val="00AB1615"/>
    <w:rPr>
      <w:b/>
      <w:bCs/>
    </w:rPr>
  </w:style>
  <w:style w:type="character" w:customStyle="1" w:styleId="CommentSubjectChar">
    <w:name w:val="Comment Subject Char"/>
    <w:basedOn w:val="CommentTextChar"/>
    <w:link w:val="CommentSubject"/>
    <w:uiPriority w:val="99"/>
    <w:semiHidden/>
    <w:rsid w:val="00AB1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wto.org/dol2fe/Pages/FE_Search/FE_S_S006.aspx?DataSource=Cat&amp;query=@Symbol=WT/DS315/AB/R&amp;Language=English&amp;Context=ScriptedSearches&amp;languageUIChanged=true" TargetMode="External"/><Relationship Id="rId18" Type="http://schemas.openxmlformats.org/officeDocument/2006/relationships/hyperlink" Target="https://docs.wto.org/dol2fe/Pages/FE_Search/FE_S_S006.aspx?DataSource=Cat&amp;query=@Symbol=WT/DS264/R&amp;Language=English&amp;Context=ScriptedSearches&amp;languageUIChanged=tru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wto.org/dol2fe/Pages/FE_Search/FE_S_S006.aspx?DataSource=Cat&amp;query=@Symbol=WT/DS302/R&amp;Language=English&amp;Context=ScriptedSearches&amp;languageUIChanged=true" TargetMode="External"/><Relationship Id="rId17" Type="http://schemas.openxmlformats.org/officeDocument/2006/relationships/hyperlink" Target="https://docs.wto.org/dol2fe/Pages/SS/directdoc.aspx?filename=Q:/WT/DS/99r.pdf&amp;Open=True" TargetMode="External"/><Relationship Id="rId2" Type="http://schemas.openxmlformats.org/officeDocument/2006/relationships/customXml" Target="../customXml/item2.xml"/><Relationship Id="rId16" Type="http://schemas.openxmlformats.org/officeDocument/2006/relationships/hyperlink" Target="https://docs.wto.org/dol2fe/Pages/FE_Search/FE_S_S006.aspx?DataSource=Cat&amp;query=@Symbol=WT/DS371/R&amp;Language=English&amp;Context=ScriptedSearches&amp;languageUIChanged=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wto.org/dol2fe/Pages/FE_Search/FE_S_S006.aspx?DataSource=Cat&amp;query=@Symbol=WT/DS155/R*&amp;Language=English&amp;Context=ScriptedSearches&amp;languageUIChanged=true" TargetMode="External"/><Relationship Id="rId5" Type="http://schemas.openxmlformats.org/officeDocument/2006/relationships/numbering" Target="numbering.xml"/><Relationship Id="rId15" Type="http://schemas.openxmlformats.org/officeDocument/2006/relationships/hyperlink" Target="https://docs.wto.org/dol2fe/Pages/FE_Search/FE_S_S006.aspx?DataSource=Cat&amp;query=@Symbol=WT/DS331/R&amp;Language=English&amp;Context=ScriptedSearches&amp;languageUIChanged=tru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to.org/dol2fe/Pages/FE_Search/FE_S_S006.aspx?DataSource=Cat&amp;query=@Symbol=WT/DS315/R&amp;Language=English&amp;Context=ScriptedSearches&amp;languageUIChanged=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7C46-9E6B-45D3-AFBF-169607593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3.xml><?xml version="1.0" encoding="utf-8"?>
<ds:datastoreItem xmlns:ds="http://schemas.openxmlformats.org/officeDocument/2006/customXml" ds:itemID="{E5D099E4-975A-452A-8325-A6F63239A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027D30-FFA0-4154-BDE6-99FEE4ED1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Words>
  <Characters>5943</Characters>
  <Application>Microsoft Office Word</Application>
  <DocSecurity>0</DocSecurity>
  <Lines>150</Lines>
  <Paragraphs>58</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2025-11-03T04:11:00Z</dcterms:created>
  <dcterms:modified xsi:type="dcterms:W3CDTF">2025-12-15T20:15:00Z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0x010100CF00AC2E10A2B34A86A613A4498C609D</vt:lpwstr>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v=2022.1;a=SHA256;h=A5D22D955CBD464ACCB3FDAC68A63B609D529EE718229D5D17E3F87D962E6936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2025-12-15T20:05:00Z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Originator_Hash_SHA1">
    <vt:lpwstr>31FD3EAE4A251ABCF009A8ACCBAC4038715E6F10</vt:lpwstr>
  </property>
  <property fmtid="{D5CDD505-2E9C-101B-9397-08002B2CF9AE}" pid="18" name="PM_Originating_FileId">
    <vt:lpwstr>3B7B6E09DF44456E96322B4CE697AE84</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91EA69836A306F65000D7711B40DDACB57150DAE7AC7FEFA95158BE89FCA2A6B</vt:lpwstr>
  </property>
  <property fmtid="{D5CDD505-2E9C-101B-9397-08002B2CF9AE}" pid="22" name="PM_OriginatorDomainName_SHA256">
    <vt:lpwstr>6F3591835F3B2A8A025B00B5BA6418010DA3A17C9C26EA9C049FFD28039489A2</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C9194823DDF662FBDB10048ADC941AAB</vt:lpwstr>
  </property>
  <property fmtid="{D5CDD505-2E9C-101B-9397-08002B2CF9AE}" pid="26" name="PM_Hash_Salt">
    <vt:lpwstr>CE7F27440147C35924737EDB915B5306</vt:lpwstr>
  </property>
  <property fmtid="{D5CDD505-2E9C-101B-9397-08002B2CF9AE}" pid="27" name="PM_Hash_SHA1">
    <vt:lpwstr>74580EF91D304FA678327936722C33C9B33EC63C</vt:lpwstr>
  </property>
</Properties>
</file>