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DAF7" w14:textId="77777777" w:rsidR="00354A06" w:rsidRPr="0007327B" w:rsidRDefault="00354A06" w:rsidP="005714C3">
      <w:pPr>
        <w:pStyle w:val="BTNSSBodyTextNoSpacingSmall"/>
        <w:rPr>
          <w:sz w:val="2"/>
          <w:szCs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5714C3" w:rsidRPr="0007327B" w14:paraId="571534AA" w14:textId="77777777" w:rsidTr="008A4C51">
        <w:trPr>
          <w:trHeight w:val="4365"/>
        </w:trPr>
        <w:tc>
          <w:tcPr>
            <w:tcW w:w="9060" w:type="dxa"/>
          </w:tcPr>
          <w:p w14:paraId="2095F56C" w14:textId="77777777" w:rsidR="005714C3" w:rsidRPr="0007327B" w:rsidRDefault="005714C3" w:rsidP="005714C3">
            <w:pPr>
              <w:pStyle w:val="BTBodyText"/>
              <w:spacing w:after="240"/>
              <w:jc w:val="center"/>
              <w:rPr>
                <w:b/>
                <w:bCs/>
                <w:sz w:val="32"/>
                <w:szCs w:val="32"/>
              </w:rPr>
            </w:pPr>
            <w:r w:rsidRPr="0007327B">
              <w:rPr>
                <w:b/>
                <w:bCs/>
                <w:sz w:val="32"/>
                <w:szCs w:val="32"/>
              </w:rPr>
              <w:t>Before the World Trade Organization</w:t>
            </w:r>
          </w:p>
          <w:p w14:paraId="33F4F2D9" w14:textId="77777777" w:rsidR="005714C3" w:rsidRPr="0007327B" w:rsidRDefault="005714C3" w:rsidP="005714C3">
            <w:pPr>
              <w:pStyle w:val="BTBodyText"/>
              <w:spacing w:after="240"/>
              <w:jc w:val="center"/>
              <w:rPr>
                <w:b/>
                <w:bCs/>
                <w:sz w:val="32"/>
                <w:szCs w:val="32"/>
              </w:rPr>
            </w:pPr>
            <w:r w:rsidRPr="0007327B">
              <w:rPr>
                <w:b/>
                <w:bCs/>
                <w:sz w:val="32"/>
                <w:szCs w:val="32"/>
              </w:rPr>
              <w:t>Panel Proceedings</w:t>
            </w:r>
          </w:p>
        </w:tc>
      </w:tr>
      <w:tr w:rsidR="005714C3" w:rsidRPr="0007327B" w14:paraId="7D15271C" w14:textId="77777777" w:rsidTr="00BE0B1C">
        <w:trPr>
          <w:trHeight w:val="737"/>
        </w:trPr>
        <w:tc>
          <w:tcPr>
            <w:tcW w:w="9060" w:type="dxa"/>
          </w:tcPr>
          <w:p w14:paraId="639242AF" w14:textId="77777777" w:rsidR="005714C3" w:rsidRPr="0007327B" w:rsidRDefault="00A32E86" w:rsidP="00DA5381">
            <w:pPr>
              <w:pStyle w:val="WTODTWTODisputeTitle"/>
            </w:pPr>
            <w:r w:rsidRPr="00A32E86">
              <w:t>EUROPEAN UNION — ANTI-DUMPING MEASURES ON IMPORTS OF FATTY ACID FROM INDONESIA</w:t>
            </w:r>
          </w:p>
        </w:tc>
      </w:tr>
      <w:tr w:rsidR="005714C3" w:rsidRPr="0007327B" w14:paraId="6AB137AC" w14:textId="77777777" w:rsidTr="008A4C51">
        <w:trPr>
          <w:trHeight w:val="3175"/>
        </w:trPr>
        <w:tc>
          <w:tcPr>
            <w:tcW w:w="9060" w:type="dxa"/>
          </w:tcPr>
          <w:p w14:paraId="2F8A60D2" w14:textId="77777777" w:rsidR="005714C3" w:rsidRPr="0007327B" w:rsidRDefault="005714C3" w:rsidP="00DA5381">
            <w:pPr>
              <w:pStyle w:val="DSNDSNumber"/>
            </w:pPr>
            <w:r w:rsidRPr="0007327B">
              <w:t>(DS</w:t>
            </w:r>
            <w:r w:rsidR="00A32E86">
              <w:t>622)</w:t>
            </w:r>
          </w:p>
        </w:tc>
      </w:tr>
      <w:tr w:rsidR="005714C3" w:rsidRPr="00192E51" w14:paraId="58F0E1B1" w14:textId="77777777" w:rsidTr="00DD4BA0">
        <w:trPr>
          <w:trHeight w:val="3798"/>
        </w:trPr>
        <w:tc>
          <w:tcPr>
            <w:tcW w:w="9060" w:type="dxa"/>
          </w:tcPr>
          <w:p w14:paraId="2BB1A417" w14:textId="6097ECD8" w:rsidR="005714C3" w:rsidRPr="0001011C" w:rsidRDefault="00A32E86" w:rsidP="00DA5381">
            <w:pPr>
              <w:pStyle w:val="DTDocumentTitle"/>
            </w:pPr>
            <w:r w:rsidRPr="0001011C">
              <w:t>AUSTRALIA'S EXECUTIVE SUMMARY</w:t>
            </w:r>
          </w:p>
        </w:tc>
      </w:tr>
      <w:tr w:rsidR="005714C3" w:rsidRPr="0007327B" w14:paraId="5D47C3F2" w14:textId="77777777" w:rsidTr="00BE0B1C">
        <w:trPr>
          <w:trHeight w:val="624"/>
        </w:trPr>
        <w:tc>
          <w:tcPr>
            <w:tcW w:w="9060" w:type="dxa"/>
          </w:tcPr>
          <w:p w14:paraId="2C0F2D40" w14:textId="7808E279" w:rsidR="005714C3" w:rsidRPr="0007327B" w:rsidRDefault="004618A2" w:rsidP="00DA5381">
            <w:pPr>
              <w:pStyle w:val="DDDocumentDate"/>
            </w:pPr>
            <w:r>
              <w:t>10</w:t>
            </w:r>
            <w:r w:rsidR="00A32E86">
              <w:t xml:space="preserve"> November 2025</w:t>
            </w:r>
          </w:p>
        </w:tc>
      </w:tr>
    </w:tbl>
    <w:p w14:paraId="2534F0A2" w14:textId="77777777" w:rsidR="005714C3" w:rsidRPr="0007327B" w:rsidRDefault="005714C3" w:rsidP="00BE0B1C">
      <w:pPr>
        <w:pStyle w:val="BTNSSBodyTextNoSpacingSmall"/>
      </w:pPr>
    </w:p>
    <w:p w14:paraId="7B0048E5" w14:textId="77777777" w:rsidR="00006269" w:rsidRPr="0007327B" w:rsidRDefault="00006269" w:rsidP="00BE0B1C">
      <w:pPr>
        <w:pStyle w:val="BTNSSBodyTextNoSpacingSmall"/>
      </w:pPr>
      <w:r w:rsidRPr="0007327B">
        <w:br w:type="page"/>
      </w:r>
    </w:p>
    <w:p w14:paraId="54F9756C" w14:textId="77777777" w:rsidR="00F01A73" w:rsidRPr="0007327B" w:rsidRDefault="00F01A73" w:rsidP="00F01A73">
      <w:pPr>
        <w:pStyle w:val="BTNSSBodyTextNoSpacingSmall"/>
        <w:rPr>
          <w:sz w:val="2"/>
          <w:szCs w:val="2"/>
        </w:rPr>
      </w:pPr>
    </w:p>
    <w:p w14:paraId="011A905F" w14:textId="77777777" w:rsidR="004D7079" w:rsidRPr="0007327B" w:rsidRDefault="004D7079" w:rsidP="004D7079">
      <w:pPr>
        <w:pStyle w:val="BTNSSBodyTextNoSpacingSmall"/>
      </w:pPr>
    </w:p>
    <w:p w14:paraId="732141B5" w14:textId="77777777" w:rsidR="00F945DB" w:rsidRPr="0007327B" w:rsidRDefault="00F945DB" w:rsidP="00C0501D">
      <w:pPr>
        <w:pStyle w:val="SHSectionHeading"/>
        <w:spacing w:before="0"/>
      </w:pPr>
      <w:bookmarkStart w:id="0" w:name="_Toc35598006"/>
      <w:r w:rsidRPr="0007327B">
        <w:t>Table of Cases</w:t>
      </w:r>
      <w:bookmarkEnd w:id="0"/>
    </w:p>
    <w:tbl>
      <w:tblPr>
        <w:tblStyle w:val="TableGrid"/>
        <w:tblW w:w="5081" w:type="pct"/>
        <w:tblInd w:w="-147" w:type="dxa"/>
        <w:tblLook w:val="04A0" w:firstRow="1" w:lastRow="0" w:firstColumn="1" w:lastColumn="0" w:noHBand="0" w:noVBand="1"/>
      </w:tblPr>
      <w:tblGrid>
        <w:gridCol w:w="2412"/>
        <w:gridCol w:w="6795"/>
      </w:tblGrid>
      <w:tr w:rsidR="008A1191" w:rsidRPr="0007327B" w14:paraId="76F0E428" w14:textId="77777777" w:rsidTr="00B23AC6">
        <w:trPr>
          <w:cantSplit/>
          <w:trHeight w:val="397"/>
          <w:tblHeader/>
        </w:trPr>
        <w:tc>
          <w:tcPr>
            <w:tcW w:w="2412" w:type="dxa"/>
            <w:shd w:val="clear" w:color="auto" w:fill="D9D9D9" w:themeFill="background1" w:themeFillShade="D9"/>
          </w:tcPr>
          <w:p w14:paraId="5DE2BB9B" w14:textId="77777777" w:rsidR="008A1191" w:rsidRPr="0007327B" w:rsidRDefault="008A1191" w:rsidP="008A4C51">
            <w:pPr>
              <w:pStyle w:val="THTableHeading"/>
              <w:jc w:val="center"/>
            </w:pPr>
            <w:r w:rsidRPr="0007327B">
              <w:t>Short Title</w:t>
            </w:r>
          </w:p>
        </w:tc>
        <w:tc>
          <w:tcPr>
            <w:tcW w:w="6795" w:type="dxa"/>
            <w:shd w:val="clear" w:color="auto" w:fill="D9D9D9" w:themeFill="background1" w:themeFillShade="D9"/>
          </w:tcPr>
          <w:p w14:paraId="5E44229E" w14:textId="77777777" w:rsidR="008A1191" w:rsidRPr="0007327B" w:rsidRDefault="008A1191" w:rsidP="008A4C51">
            <w:pPr>
              <w:pStyle w:val="THTableHeading"/>
              <w:jc w:val="center"/>
            </w:pPr>
            <w:r w:rsidRPr="0007327B">
              <w:t>Full Case Title and Citation</w:t>
            </w:r>
          </w:p>
        </w:tc>
      </w:tr>
    </w:tbl>
    <w:tbl>
      <w:tblPr>
        <w:tblStyle w:val="TableGrid0"/>
        <w:tblW w:w="9211" w:type="dxa"/>
        <w:tblInd w:w="-147" w:type="dxa"/>
        <w:tblCellMar>
          <w:top w:w="91" w:type="dxa"/>
          <w:left w:w="107" w:type="dxa"/>
          <w:right w:w="54" w:type="dxa"/>
        </w:tblCellMar>
        <w:tblLook w:val="04A0" w:firstRow="1" w:lastRow="0" w:firstColumn="1" w:lastColumn="0" w:noHBand="0" w:noVBand="1"/>
      </w:tblPr>
      <w:tblGrid>
        <w:gridCol w:w="2417"/>
        <w:gridCol w:w="6794"/>
      </w:tblGrid>
      <w:tr w:rsidR="00B23AC6" w14:paraId="5AC36192" w14:textId="77777777" w:rsidTr="006F4527">
        <w:trPr>
          <w:trHeight w:val="971"/>
        </w:trPr>
        <w:tc>
          <w:tcPr>
            <w:tcW w:w="2417" w:type="dxa"/>
            <w:tcBorders>
              <w:top w:val="single" w:sz="4" w:space="0" w:color="000000"/>
              <w:left w:val="single" w:sz="4" w:space="0" w:color="000000"/>
              <w:bottom w:val="single" w:sz="4" w:space="0" w:color="000000"/>
              <w:right w:val="single" w:sz="4" w:space="0" w:color="000000"/>
            </w:tcBorders>
          </w:tcPr>
          <w:p w14:paraId="126DCDCB" w14:textId="77777777" w:rsidR="00B23AC6" w:rsidRPr="0097056B" w:rsidRDefault="00B23AC6" w:rsidP="000737A2">
            <w:pPr>
              <w:spacing w:line="259" w:lineRule="auto"/>
              <w:rPr>
                <w:rFonts w:cstheme="minorHAnsi"/>
              </w:rPr>
            </w:pPr>
            <w:r w:rsidRPr="0097056B">
              <w:rPr>
                <w:rFonts w:eastAsia="Calibri" w:cstheme="minorHAnsi"/>
                <w:i/>
              </w:rPr>
              <w:t xml:space="preserve">Argentina – Import Measures </w:t>
            </w:r>
          </w:p>
        </w:tc>
        <w:tc>
          <w:tcPr>
            <w:tcW w:w="6794" w:type="dxa"/>
            <w:tcBorders>
              <w:top w:val="single" w:sz="4" w:space="0" w:color="000000"/>
              <w:left w:val="single" w:sz="4" w:space="0" w:color="000000"/>
              <w:bottom w:val="single" w:sz="4" w:space="0" w:color="000000"/>
              <w:right w:val="single" w:sz="4" w:space="0" w:color="000000"/>
            </w:tcBorders>
          </w:tcPr>
          <w:p w14:paraId="197C9095" w14:textId="07E528C2" w:rsidR="00B23AC6" w:rsidRPr="0097056B" w:rsidRDefault="0097056B" w:rsidP="000737A2">
            <w:pPr>
              <w:spacing w:line="259" w:lineRule="auto"/>
              <w:ind w:left="1"/>
              <w:rPr>
                <w:rFonts w:cstheme="minorHAnsi"/>
              </w:rPr>
            </w:pPr>
            <w:r w:rsidRPr="0097056B">
              <w:rPr>
                <w:rFonts w:cstheme="minorHAnsi"/>
                <w:color w:val="000000"/>
              </w:rPr>
              <w:t xml:space="preserve">Appellate Body Reports, </w:t>
            </w:r>
            <w:r w:rsidRPr="0097056B">
              <w:rPr>
                <w:rFonts w:cstheme="minorHAnsi"/>
                <w:i/>
                <w:iCs/>
                <w:color w:val="000000"/>
              </w:rPr>
              <w:t>Argentina – Measures Affecting the Importation of Goods</w:t>
            </w:r>
            <w:r w:rsidRPr="0097056B">
              <w:rPr>
                <w:rFonts w:cstheme="minorHAnsi"/>
                <w:color w:val="000000"/>
              </w:rPr>
              <w:t xml:space="preserve">, </w:t>
            </w:r>
            <w:hyperlink r:id="rId11" w:history="1">
              <w:r w:rsidRPr="0097056B">
                <w:rPr>
                  <w:rStyle w:val="Hyperlink"/>
                  <w:rFonts w:cstheme="minorHAnsi"/>
                </w:rPr>
                <w:t>WT/DS438/AB/R</w:t>
              </w:r>
            </w:hyperlink>
            <w:r w:rsidRPr="0097056B">
              <w:rPr>
                <w:rFonts w:cstheme="minorHAnsi"/>
                <w:color w:val="000000"/>
              </w:rPr>
              <w:t xml:space="preserve"> / </w:t>
            </w:r>
            <w:hyperlink r:id="rId12" w:history="1">
              <w:r w:rsidRPr="0097056B">
                <w:rPr>
                  <w:rStyle w:val="Hyperlink"/>
                  <w:rFonts w:cstheme="minorHAnsi"/>
                </w:rPr>
                <w:t>WT/DS444/AB/R</w:t>
              </w:r>
            </w:hyperlink>
            <w:r w:rsidRPr="0097056B">
              <w:rPr>
                <w:rFonts w:cstheme="minorHAnsi"/>
                <w:color w:val="000000"/>
              </w:rPr>
              <w:t xml:space="preserve"> / </w:t>
            </w:r>
            <w:hyperlink r:id="rId13" w:history="1">
              <w:r w:rsidRPr="0097056B">
                <w:rPr>
                  <w:rStyle w:val="Hyperlink"/>
                  <w:rFonts w:cstheme="minorHAnsi"/>
                </w:rPr>
                <w:t>WT/DS445/AB/R</w:t>
              </w:r>
            </w:hyperlink>
            <w:r w:rsidRPr="0097056B">
              <w:rPr>
                <w:rFonts w:cstheme="minorHAnsi"/>
                <w:color w:val="000000"/>
              </w:rPr>
              <w:t>, adopted 26 January 2015, DSR 2015:II, p. 579</w:t>
            </w:r>
          </w:p>
        </w:tc>
      </w:tr>
      <w:tr w:rsidR="00B23AC6" w:rsidRPr="0030542C" w14:paraId="3D96DF63" w14:textId="77777777" w:rsidTr="006F4527">
        <w:trPr>
          <w:trHeight w:val="1848"/>
        </w:trPr>
        <w:tc>
          <w:tcPr>
            <w:tcW w:w="2417" w:type="dxa"/>
            <w:tcBorders>
              <w:top w:val="single" w:sz="4" w:space="0" w:color="000000"/>
              <w:left w:val="single" w:sz="4" w:space="0" w:color="000000"/>
              <w:bottom w:val="single" w:sz="4" w:space="0" w:color="000000"/>
              <w:right w:val="single" w:sz="4" w:space="0" w:color="000000"/>
            </w:tcBorders>
          </w:tcPr>
          <w:p w14:paraId="1482F5C8" w14:textId="77777777" w:rsidR="00B23AC6" w:rsidRPr="0097056B" w:rsidRDefault="00B23AC6" w:rsidP="000737A2">
            <w:pPr>
              <w:spacing w:line="259" w:lineRule="auto"/>
              <w:rPr>
                <w:rFonts w:cstheme="minorHAnsi"/>
              </w:rPr>
            </w:pPr>
            <w:r w:rsidRPr="0097056B">
              <w:rPr>
                <w:rFonts w:eastAsia="Calibri" w:cstheme="minorHAnsi"/>
                <w:i/>
              </w:rPr>
              <w:t xml:space="preserve">Argentina – Import Measures </w:t>
            </w:r>
          </w:p>
        </w:tc>
        <w:tc>
          <w:tcPr>
            <w:tcW w:w="6794" w:type="dxa"/>
            <w:tcBorders>
              <w:top w:val="single" w:sz="4" w:space="0" w:color="000000"/>
              <w:left w:val="single" w:sz="4" w:space="0" w:color="000000"/>
              <w:bottom w:val="single" w:sz="4" w:space="0" w:color="000000"/>
              <w:right w:val="single" w:sz="4" w:space="0" w:color="000000"/>
            </w:tcBorders>
          </w:tcPr>
          <w:p w14:paraId="7F1BC807" w14:textId="77777777" w:rsidR="00B23AC6" w:rsidRPr="0097056B" w:rsidRDefault="00B23AC6" w:rsidP="000737A2">
            <w:pPr>
              <w:spacing w:line="259" w:lineRule="auto"/>
              <w:ind w:left="1"/>
              <w:rPr>
                <w:rFonts w:cstheme="minorHAnsi"/>
                <w:i/>
              </w:rPr>
            </w:pPr>
            <w:r w:rsidRPr="0097056B">
              <w:rPr>
                <w:rFonts w:eastAsia="Calibri" w:cstheme="minorHAnsi"/>
                <w:iCs/>
              </w:rPr>
              <w:t xml:space="preserve">Panel Reports, </w:t>
            </w:r>
            <w:r w:rsidRPr="0097056B">
              <w:rPr>
                <w:rFonts w:eastAsia="Calibri" w:cstheme="minorHAnsi"/>
                <w:i/>
              </w:rPr>
              <w:t xml:space="preserve">Argentina – Measures Affecting the Importation of </w:t>
            </w:r>
          </w:p>
          <w:p w14:paraId="67D5B498" w14:textId="0563CCAF" w:rsidR="00B23AC6" w:rsidRPr="00F51EA5" w:rsidRDefault="00B23AC6" w:rsidP="000737A2">
            <w:pPr>
              <w:spacing w:line="259" w:lineRule="auto"/>
              <w:ind w:left="1"/>
              <w:rPr>
                <w:rFonts w:cstheme="minorHAnsi"/>
                <w:iCs/>
              </w:rPr>
            </w:pPr>
            <w:r w:rsidRPr="0097056B">
              <w:rPr>
                <w:rFonts w:eastAsia="Calibri" w:cstheme="minorHAnsi"/>
                <w:i/>
              </w:rPr>
              <w:t>Goods</w:t>
            </w:r>
            <w:r w:rsidRPr="0097056B">
              <w:rPr>
                <w:rFonts w:eastAsia="Calibri" w:cstheme="minorHAnsi"/>
                <w:iCs/>
              </w:rPr>
              <w:t xml:space="preserve">, </w:t>
            </w:r>
            <w:hyperlink r:id="rId14" w:history="1">
              <w:r w:rsidRPr="00F51EA5">
                <w:rPr>
                  <w:rStyle w:val="Hyperlink"/>
                  <w:rFonts w:eastAsia="Calibri" w:cstheme="minorHAnsi"/>
                  <w:iCs/>
                </w:rPr>
                <w:t>WT/DS438/R</w:t>
              </w:r>
            </w:hyperlink>
            <w:r w:rsidRPr="0097056B">
              <w:rPr>
                <w:rFonts w:eastAsia="Calibri" w:cstheme="minorHAnsi"/>
                <w:iCs/>
              </w:rPr>
              <w:t xml:space="preserve"> and </w:t>
            </w:r>
            <w:r w:rsidRPr="00F51EA5">
              <w:rPr>
                <w:rFonts w:eastAsia="Calibri" w:cstheme="minorHAnsi"/>
                <w:iCs/>
              </w:rPr>
              <w:t xml:space="preserve">Add.1 </w:t>
            </w:r>
            <w:r w:rsidR="00F51EA5" w:rsidRPr="00F51EA5">
              <w:rPr>
                <w:color w:val="000000"/>
              </w:rPr>
              <w:t xml:space="preserve">/ </w:t>
            </w:r>
            <w:hyperlink r:id="rId15" w:history="1">
              <w:r w:rsidR="00F51EA5" w:rsidRPr="00F51EA5">
                <w:rPr>
                  <w:rStyle w:val="Hyperlink"/>
                </w:rPr>
                <w:t>WT/DS444/R</w:t>
              </w:r>
            </w:hyperlink>
            <w:r w:rsidRPr="00F51EA5">
              <w:rPr>
                <w:rFonts w:eastAsia="Calibri" w:cstheme="minorHAnsi"/>
                <w:iCs/>
              </w:rPr>
              <w:t xml:space="preserve"> and Add.1 / </w:t>
            </w:r>
          </w:p>
          <w:p w14:paraId="0C7E1565" w14:textId="028B3956" w:rsidR="00B23AC6" w:rsidRPr="00F51EA5" w:rsidRDefault="00B23AC6" w:rsidP="000737A2">
            <w:pPr>
              <w:spacing w:line="259" w:lineRule="auto"/>
              <w:ind w:left="1"/>
              <w:rPr>
                <w:rFonts w:cstheme="minorHAnsi"/>
                <w:iCs/>
              </w:rPr>
            </w:pPr>
            <w:r w:rsidRPr="00F51EA5">
              <w:rPr>
                <w:rFonts w:eastAsia="Calibri" w:cstheme="minorHAnsi"/>
                <w:iCs/>
              </w:rPr>
              <w:t xml:space="preserve">and Add.1, adopted 26 January 2015, as modified </w:t>
            </w:r>
          </w:p>
          <w:p w14:paraId="5C0785ED" w14:textId="77777777" w:rsidR="00B23AC6" w:rsidRPr="00F51EA5" w:rsidRDefault="00B23AC6" w:rsidP="000737A2">
            <w:pPr>
              <w:spacing w:line="259" w:lineRule="auto"/>
              <w:ind w:left="1"/>
              <w:rPr>
                <w:rFonts w:cstheme="minorHAnsi"/>
                <w:iCs/>
              </w:rPr>
            </w:pPr>
            <w:r w:rsidRPr="00F51EA5">
              <w:rPr>
                <w:rFonts w:eastAsia="Calibri" w:cstheme="minorHAnsi"/>
                <w:iCs/>
              </w:rPr>
              <w:t xml:space="preserve">(WT/DS438/R) and upheld (WT/DS444/R / WT/DS445/R) by </w:t>
            </w:r>
          </w:p>
          <w:p w14:paraId="27A9C4D1" w14:textId="77777777" w:rsidR="00B23AC6" w:rsidRPr="00523BE6" w:rsidRDefault="00B23AC6" w:rsidP="000737A2">
            <w:pPr>
              <w:spacing w:line="259" w:lineRule="auto"/>
              <w:ind w:left="1"/>
              <w:rPr>
                <w:rFonts w:cstheme="minorHAnsi"/>
                <w:iCs/>
                <w:lang w:val="de-DE"/>
              </w:rPr>
            </w:pPr>
            <w:r w:rsidRPr="00523BE6">
              <w:rPr>
                <w:rFonts w:eastAsia="Calibri" w:cstheme="minorHAnsi"/>
                <w:iCs/>
                <w:lang w:val="de-DE"/>
              </w:rPr>
              <w:t xml:space="preserve">Appellate Body Reports WT/DS438/AB/R / WT/DS444/AB/R / </w:t>
            </w:r>
          </w:p>
          <w:p w14:paraId="36F05919" w14:textId="77777777" w:rsidR="00B23AC6" w:rsidRPr="00523BE6" w:rsidRDefault="00B23AC6" w:rsidP="000737A2">
            <w:pPr>
              <w:spacing w:line="259" w:lineRule="auto"/>
              <w:ind w:left="1"/>
              <w:rPr>
                <w:rFonts w:cstheme="minorHAnsi"/>
                <w:lang w:val="de-DE"/>
              </w:rPr>
            </w:pPr>
            <w:r w:rsidRPr="00523BE6">
              <w:rPr>
                <w:rFonts w:eastAsia="Calibri" w:cstheme="minorHAnsi"/>
                <w:iCs/>
                <w:lang w:val="de-DE"/>
              </w:rPr>
              <w:t>WT/DS445/AB/R, DSR 2015:II, p. 783</w:t>
            </w:r>
            <w:r w:rsidRPr="00523BE6">
              <w:rPr>
                <w:rFonts w:eastAsia="Calibri" w:cstheme="minorHAnsi"/>
                <w:i/>
                <w:lang w:val="de-DE"/>
              </w:rPr>
              <w:t xml:space="preserve"> </w:t>
            </w:r>
          </w:p>
        </w:tc>
      </w:tr>
      <w:tr w:rsidR="00C0501D" w14:paraId="1DAF79E0" w14:textId="77777777" w:rsidTr="006F4527">
        <w:trPr>
          <w:trHeight w:val="970"/>
        </w:trPr>
        <w:tc>
          <w:tcPr>
            <w:tcW w:w="2417" w:type="dxa"/>
            <w:tcBorders>
              <w:top w:val="single" w:sz="4" w:space="0" w:color="000000"/>
              <w:left w:val="single" w:sz="4" w:space="0" w:color="000000"/>
              <w:bottom w:val="single" w:sz="4" w:space="0" w:color="000000"/>
              <w:right w:val="single" w:sz="4" w:space="0" w:color="000000"/>
            </w:tcBorders>
          </w:tcPr>
          <w:p w14:paraId="6004A17E" w14:textId="77777777" w:rsidR="00C0501D" w:rsidRPr="0097056B" w:rsidRDefault="00C0501D" w:rsidP="00C0501D">
            <w:pPr>
              <w:spacing w:line="259" w:lineRule="auto"/>
              <w:rPr>
                <w:rFonts w:eastAsia="Calibri" w:cstheme="minorHAnsi"/>
                <w:i/>
              </w:rPr>
            </w:pPr>
            <w:r w:rsidRPr="0097056B">
              <w:rPr>
                <w:rFonts w:cstheme="minorHAnsi"/>
                <w:i/>
                <w:iCs/>
                <w:lang w:val="en-GB"/>
              </w:rPr>
              <w:t>Argentina – Hides and Leather</w:t>
            </w:r>
          </w:p>
        </w:tc>
        <w:tc>
          <w:tcPr>
            <w:tcW w:w="6794" w:type="dxa"/>
            <w:tcBorders>
              <w:top w:val="single" w:sz="4" w:space="0" w:color="000000"/>
              <w:left w:val="single" w:sz="4" w:space="0" w:color="000000"/>
              <w:bottom w:val="single" w:sz="4" w:space="0" w:color="000000"/>
              <w:right w:val="single" w:sz="4" w:space="0" w:color="000000"/>
            </w:tcBorders>
          </w:tcPr>
          <w:p w14:paraId="2CB45862" w14:textId="77777777" w:rsidR="00C0501D" w:rsidRPr="0097056B" w:rsidRDefault="00C0501D" w:rsidP="00C0501D">
            <w:pPr>
              <w:spacing w:line="259" w:lineRule="auto"/>
              <w:ind w:left="1"/>
              <w:rPr>
                <w:rFonts w:eastAsia="Calibri" w:cstheme="minorHAnsi"/>
                <w:i/>
              </w:rPr>
            </w:pPr>
            <w:r w:rsidRPr="0097056B">
              <w:rPr>
                <w:rFonts w:cstheme="minorHAnsi"/>
                <w:color w:val="000000"/>
                <w:lang w:val="en-GB"/>
              </w:rPr>
              <w:t>Panel Report,</w:t>
            </w:r>
            <w:r w:rsidRPr="0097056B">
              <w:rPr>
                <w:rFonts w:cstheme="minorHAnsi"/>
                <w:i/>
                <w:iCs/>
                <w:color w:val="000000"/>
                <w:lang w:val="en-GB"/>
              </w:rPr>
              <w:t xml:space="preserve"> Argentina – Measures Affecting the Export of Bovine Hides and the Import of Finished Leather,</w:t>
            </w:r>
            <w:r w:rsidRPr="0097056B">
              <w:rPr>
                <w:rFonts w:cstheme="minorHAnsi"/>
                <w:color w:val="000000"/>
                <w:lang w:val="en-GB"/>
              </w:rPr>
              <w:t xml:space="preserve"> </w:t>
            </w:r>
            <w:hyperlink r:id="rId16" w:history="1">
              <w:r w:rsidRPr="0097056B">
                <w:rPr>
                  <w:rStyle w:val="Hyperlink"/>
                  <w:rFonts w:cstheme="minorHAnsi"/>
                  <w:bCs/>
                  <w:lang w:val="en-GB"/>
                </w:rPr>
                <w:t>WT/DS155/R</w:t>
              </w:r>
            </w:hyperlink>
            <w:r w:rsidRPr="0097056B">
              <w:rPr>
                <w:rFonts w:cstheme="minorHAnsi"/>
                <w:b/>
                <w:bCs/>
                <w:color w:val="000000"/>
                <w:lang w:val="en-GB"/>
              </w:rPr>
              <w:t xml:space="preserve"> </w:t>
            </w:r>
            <w:r w:rsidRPr="0097056B">
              <w:rPr>
                <w:rFonts w:cstheme="minorHAnsi"/>
                <w:color w:val="000000"/>
                <w:lang w:val="en-GB"/>
              </w:rPr>
              <w:t xml:space="preserve">and </w:t>
            </w:r>
            <w:r w:rsidRPr="0097056B">
              <w:rPr>
                <w:rFonts w:cstheme="minorHAnsi"/>
                <w:bCs/>
                <w:color w:val="000000"/>
                <w:lang w:val="en-GB"/>
              </w:rPr>
              <w:t>Corr.1</w:t>
            </w:r>
            <w:r w:rsidRPr="0097056B">
              <w:rPr>
                <w:rFonts w:cstheme="minorHAnsi"/>
                <w:color w:val="000000"/>
                <w:lang w:val="en-GB"/>
              </w:rPr>
              <w:t>, adopted 16 February 2001, DSR 2001:V, p. 1779</w:t>
            </w:r>
          </w:p>
        </w:tc>
      </w:tr>
      <w:tr w:rsidR="00C0501D" w14:paraId="55EE1692" w14:textId="77777777" w:rsidTr="006F4527">
        <w:trPr>
          <w:trHeight w:val="970"/>
        </w:trPr>
        <w:tc>
          <w:tcPr>
            <w:tcW w:w="2417" w:type="dxa"/>
            <w:tcBorders>
              <w:top w:val="single" w:sz="4" w:space="0" w:color="000000"/>
              <w:left w:val="single" w:sz="4" w:space="0" w:color="000000"/>
              <w:bottom w:val="single" w:sz="4" w:space="0" w:color="000000"/>
              <w:right w:val="single" w:sz="4" w:space="0" w:color="000000"/>
            </w:tcBorders>
          </w:tcPr>
          <w:p w14:paraId="6FE34AC8" w14:textId="77777777" w:rsidR="00C0501D" w:rsidRPr="0097056B" w:rsidRDefault="00C0501D" w:rsidP="00C0501D">
            <w:pPr>
              <w:spacing w:line="259" w:lineRule="auto"/>
              <w:rPr>
                <w:rFonts w:cstheme="minorHAnsi"/>
              </w:rPr>
            </w:pPr>
            <w:r w:rsidRPr="0097056B">
              <w:rPr>
                <w:rFonts w:eastAsia="Calibri" w:cstheme="minorHAnsi"/>
                <w:i/>
              </w:rPr>
              <w:t xml:space="preserve">China – IPRs </w:t>
            </w:r>
          </w:p>
          <w:p w14:paraId="7DB8D4A3" w14:textId="77777777" w:rsidR="00C0501D" w:rsidRPr="0097056B" w:rsidRDefault="00C0501D" w:rsidP="00C0501D">
            <w:pPr>
              <w:spacing w:line="259" w:lineRule="auto"/>
              <w:rPr>
                <w:rFonts w:cstheme="minorHAnsi"/>
              </w:rPr>
            </w:pPr>
            <w:r w:rsidRPr="0097056B">
              <w:rPr>
                <w:rFonts w:eastAsia="Calibri" w:cstheme="minorHAnsi"/>
                <w:i/>
              </w:rPr>
              <w:t xml:space="preserve">Enforcement (EU) </w:t>
            </w:r>
          </w:p>
        </w:tc>
        <w:tc>
          <w:tcPr>
            <w:tcW w:w="6794" w:type="dxa"/>
            <w:tcBorders>
              <w:top w:val="single" w:sz="4" w:space="0" w:color="000000"/>
              <w:left w:val="single" w:sz="4" w:space="0" w:color="000000"/>
              <w:bottom w:val="single" w:sz="4" w:space="0" w:color="000000"/>
              <w:right w:val="single" w:sz="4" w:space="0" w:color="000000"/>
            </w:tcBorders>
          </w:tcPr>
          <w:p w14:paraId="36C26654" w14:textId="77777777" w:rsidR="00C0501D" w:rsidRPr="0097056B" w:rsidRDefault="00C0501D" w:rsidP="00C0501D">
            <w:pPr>
              <w:spacing w:line="259" w:lineRule="auto"/>
              <w:ind w:left="1"/>
              <w:rPr>
                <w:rFonts w:cstheme="minorHAnsi"/>
              </w:rPr>
            </w:pPr>
            <w:r w:rsidRPr="0097056B">
              <w:rPr>
                <w:rFonts w:eastAsia="Calibri" w:cstheme="minorHAnsi"/>
                <w:iCs/>
              </w:rPr>
              <w:t>Award of the Arbitrators,</w:t>
            </w:r>
            <w:r w:rsidRPr="0097056B">
              <w:rPr>
                <w:rFonts w:eastAsia="Calibri" w:cstheme="minorHAnsi"/>
                <w:i/>
              </w:rPr>
              <w:t xml:space="preserve"> China – Enforcement of Intellectual </w:t>
            </w:r>
          </w:p>
          <w:p w14:paraId="5ADC7AC2" w14:textId="77777777" w:rsidR="00C0501D" w:rsidRPr="0097056B" w:rsidRDefault="00C0501D" w:rsidP="00C0501D">
            <w:pPr>
              <w:spacing w:line="259" w:lineRule="auto"/>
              <w:ind w:left="1"/>
              <w:rPr>
                <w:rFonts w:cstheme="minorHAnsi"/>
              </w:rPr>
            </w:pPr>
            <w:r w:rsidRPr="0097056B">
              <w:rPr>
                <w:rFonts w:eastAsia="Calibri" w:cstheme="minorHAnsi"/>
                <w:i/>
              </w:rPr>
              <w:t xml:space="preserve">Property Rights – Arbitration under Article 25 of the DSU, </w:t>
            </w:r>
          </w:p>
          <w:p w14:paraId="575E40F0" w14:textId="7D59440F" w:rsidR="00C0501D" w:rsidRPr="0097056B" w:rsidRDefault="00C0501D" w:rsidP="00C0501D">
            <w:pPr>
              <w:spacing w:line="259" w:lineRule="auto"/>
              <w:ind w:left="1"/>
              <w:rPr>
                <w:rFonts w:cstheme="minorHAnsi"/>
                <w:iCs/>
              </w:rPr>
            </w:pPr>
            <w:hyperlink r:id="rId17" w:history="1">
              <w:r w:rsidRPr="0097056B">
                <w:rPr>
                  <w:rStyle w:val="Hyperlink"/>
                  <w:rFonts w:eastAsia="Calibri" w:cstheme="minorHAnsi"/>
                  <w:iCs/>
                </w:rPr>
                <w:t>WT/DS611/ARB25</w:t>
              </w:r>
            </w:hyperlink>
            <w:r w:rsidRPr="0097056B">
              <w:rPr>
                <w:rFonts w:eastAsia="Calibri" w:cstheme="minorHAnsi"/>
                <w:iCs/>
              </w:rPr>
              <w:t xml:space="preserve"> and Add.1, 21 July 2025 </w:t>
            </w:r>
          </w:p>
        </w:tc>
      </w:tr>
      <w:tr w:rsidR="00C0501D" w14:paraId="51F537BE" w14:textId="77777777" w:rsidTr="006F4527">
        <w:trPr>
          <w:trHeight w:val="980"/>
        </w:trPr>
        <w:tc>
          <w:tcPr>
            <w:tcW w:w="2417" w:type="dxa"/>
            <w:tcBorders>
              <w:top w:val="single" w:sz="4" w:space="0" w:color="000000"/>
              <w:left w:val="single" w:sz="4" w:space="0" w:color="000000"/>
              <w:bottom w:val="single" w:sz="4" w:space="0" w:color="000000"/>
              <w:right w:val="single" w:sz="4" w:space="0" w:color="000000"/>
            </w:tcBorders>
          </w:tcPr>
          <w:p w14:paraId="29E4C1A5" w14:textId="77777777" w:rsidR="00C0501D" w:rsidRPr="0097056B" w:rsidRDefault="00C0501D" w:rsidP="00C0501D">
            <w:pPr>
              <w:spacing w:line="259" w:lineRule="auto"/>
              <w:rPr>
                <w:rFonts w:eastAsia="Calibri" w:cstheme="minorHAnsi"/>
                <w:i/>
              </w:rPr>
            </w:pPr>
            <w:r w:rsidRPr="0097056B">
              <w:rPr>
                <w:rFonts w:cstheme="minorHAnsi"/>
                <w:i/>
                <w:iCs/>
              </w:rPr>
              <w:t>EC – Selected Customs Matters</w:t>
            </w:r>
          </w:p>
        </w:tc>
        <w:tc>
          <w:tcPr>
            <w:tcW w:w="6794" w:type="dxa"/>
            <w:tcBorders>
              <w:top w:val="single" w:sz="4" w:space="0" w:color="000000"/>
              <w:left w:val="single" w:sz="4" w:space="0" w:color="000000"/>
              <w:bottom w:val="single" w:sz="4" w:space="0" w:color="000000"/>
              <w:right w:val="single" w:sz="4" w:space="0" w:color="000000"/>
            </w:tcBorders>
          </w:tcPr>
          <w:p w14:paraId="47E5B247" w14:textId="77777777" w:rsidR="00C0501D" w:rsidRPr="0097056B" w:rsidRDefault="00C0501D" w:rsidP="00C0501D">
            <w:pPr>
              <w:spacing w:line="259" w:lineRule="auto"/>
              <w:ind w:left="1"/>
              <w:rPr>
                <w:rFonts w:eastAsia="Calibri" w:cstheme="minorHAnsi"/>
                <w:i/>
              </w:rPr>
            </w:pPr>
            <w:r w:rsidRPr="0097056B">
              <w:rPr>
                <w:rFonts w:cstheme="minorHAnsi"/>
                <w:color w:val="000000"/>
              </w:rPr>
              <w:t>Appellate Body Report,</w:t>
            </w:r>
            <w:r w:rsidRPr="0097056B">
              <w:rPr>
                <w:rFonts w:cstheme="minorHAnsi"/>
                <w:i/>
                <w:iCs/>
                <w:color w:val="000000"/>
              </w:rPr>
              <w:t xml:space="preserve"> European Communities – Selected Customs Matters, </w:t>
            </w:r>
            <w:hyperlink r:id="rId18" w:history="1">
              <w:r w:rsidRPr="0097056B">
                <w:rPr>
                  <w:rStyle w:val="Hyperlink"/>
                  <w:rFonts w:cstheme="minorHAnsi"/>
                  <w:lang w:val="en-GB"/>
                </w:rPr>
                <w:t>WT/DS315/AB/R</w:t>
              </w:r>
            </w:hyperlink>
            <w:r w:rsidRPr="0097056B">
              <w:rPr>
                <w:rFonts w:cstheme="minorHAnsi"/>
                <w:color w:val="000000"/>
              </w:rPr>
              <w:t>, adopted 11 December 2006, DSR 2006:IX, p. 3791</w:t>
            </w:r>
          </w:p>
        </w:tc>
      </w:tr>
      <w:tr w:rsidR="00242D2B" w14:paraId="462AC7E1" w14:textId="77777777" w:rsidTr="00742FA9">
        <w:trPr>
          <w:trHeight w:val="989"/>
        </w:trPr>
        <w:tc>
          <w:tcPr>
            <w:tcW w:w="2417" w:type="dxa"/>
            <w:tcBorders>
              <w:top w:val="single" w:sz="4" w:space="0" w:color="000000"/>
              <w:left w:val="single" w:sz="4" w:space="0" w:color="000000"/>
              <w:bottom w:val="single" w:sz="4" w:space="0" w:color="000000"/>
              <w:right w:val="single" w:sz="4" w:space="0" w:color="000000"/>
            </w:tcBorders>
          </w:tcPr>
          <w:p w14:paraId="27BFEDA5" w14:textId="54CD5025" w:rsidR="00242D2B" w:rsidRPr="00E42749" w:rsidRDefault="007333DD" w:rsidP="00C0501D">
            <w:pPr>
              <w:spacing w:line="259" w:lineRule="auto"/>
              <w:rPr>
                <w:rFonts w:cstheme="minorHAnsi"/>
                <w:i/>
                <w:iCs/>
              </w:rPr>
            </w:pPr>
            <w:r w:rsidRPr="00742FA9">
              <w:rPr>
                <w:i/>
                <w:iCs/>
              </w:rPr>
              <w:t>Mexico – Steel Pipes and Tubes</w:t>
            </w:r>
          </w:p>
        </w:tc>
        <w:tc>
          <w:tcPr>
            <w:tcW w:w="6794" w:type="dxa"/>
            <w:tcBorders>
              <w:top w:val="single" w:sz="4" w:space="0" w:color="000000"/>
              <w:left w:val="single" w:sz="4" w:space="0" w:color="000000"/>
              <w:bottom w:val="single" w:sz="4" w:space="0" w:color="000000"/>
              <w:right w:val="single" w:sz="4" w:space="0" w:color="000000"/>
            </w:tcBorders>
          </w:tcPr>
          <w:p w14:paraId="090CABE3" w14:textId="72C448BE" w:rsidR="00242D2B" w:rsidRPr="0097056B" w:rsidRDefault="001A6910" w:rsidP="00C0501D">
            <w:pPr>
              <w:spacing w:line="259" w:lineRule="auto"/>
              <w:ind w:left="1"/>
              <w:rPr>
                <w:rFonts w:cstheme="minorHAnsi"/>
                <w:color w:val="000000"/>
              </w:rPr>
            </w:pPr>
            <w:r>
              <w:t xml:space="preserve">Panel Report, </w:t>
            </w:r>
            <w:r w:rsidRPr="00742FA9">
              <w:rPr>
                <w:i/>
                <w:iCs/>
              </w:rPr>
              <w:t>Mexico – Anti-Dumping Duties on Steel Pipes and Tubes from Guatemala</w:t>
            </w:r>
            <w:r>
              <w:t xml:space="preserve">, </w:t>
            </w:r>
            <w:hyperlink r:id="rId19" w:history="1">
              <w:r w:rsidRPr="004B517C">
                <w:rPr>
                  <w:rStyle w:val="Hyperlink"/>
                  <w:rFonts w:ascii="Calibri" w:eastAsiaTheme="minorHAnsi" w:hAnsi="Calibri"/>
                  <w:kern w:val="0"/>
                  <w:lang w:eastAsia="en-US"/>
                  <w14:ligatures w14:val="none"/>
                </w:rPr>
                <w:t>WT/DS331/R</w:t>
              </w:r>
            </w:hyperlink>
            <w:r>
              <w:t>, adopted 24 July 2007, DSR 2007:IV, p. 1207</w:t>
            </w:r>
          </w:p>
        </w:tc>
      </w:tr>
      <w:tr w:rsidR="00C0501D" w14:paraId="7E8AED5B" w14:textId="77777777" w:rsidTr="006F4527">
        <w:trPr>
          <w:trHeight w:val="1262"/>
        </w:trPr>
        <w:tc>
          <w:tcPr>
            <w:tcW w:w="2417" w:type="dxa"/>
            <w:tcBorders>
              <w:top w:val="single" w:sz="4" w:space="0" w:color="000000"/>
              <w:left w:val="single" w:sz="4" w:space="0" w:color="000000"/>
              <w:bottom w:val="single" w:sz="4" w:space="0" w:color="000000"/>
              <w:right w:val="single" w:sz="4" w:space="0" w:color="000000"/>
            </w:tcBorders>
          </w:tcPr>
          <w:p w14:paraId="476847B8" w14:textId="77777777" w:rsidR="00C0501D" w:rsidRPr="0097056B" w:rsidRDefault="00C0501D" w:rsidP="00C0501D">
            <w:pPr>
              <w:spacing w:line="259" w:lineRule="auto"/>
              <w:rPr>
                <w:rFonts w:eastAsia="Calibri" w:cstheme="minorHAnsi"/>
                <w:i/>
              </w:rPr>
            </w:pPr>
            <w:r w:rsidRPr="0097056B">
              <w:rPr>
                <w:rFonts w:cstheme="minorHAnsi"/>
                <w:i/>
                <w:iCs/>
              </w:rPr>
              <w:t>Thailand – Cigarettes (Philippines)</w:t>
            </w:r>
          </w:p>
        </w:tc>
        <w:tc>
          <w:tcPr>
            <w:tcW w:w="6794" w:type="dxa"/>
            <w:tcBorders>
              <w:top w:val="single" w:sz="4" w:space="0" w:color="000000"/>
              <w:left w:val="single" w:sz="4" w:space="0" w:color="000000"/>
              <w:bottom w:val="single" w:sz="4" w:space="0" w:color="000000"/>
              <w:right w:val="single" w:sz="4" w:space="0" w:color="000000"/>
            </w:tcBorders>
          </w:tcPr>
          <w:p w14:paraId="06943391" w14:textId="77777777" w:rsidR="00C0501D" w:rsidRPr="0097056B" w:rsidRDefault="00C0501D" w:rsidP="00C0501D">
            <w:pPr>
              <w:spacing w:line="259" w:lineRule="auto"/>
              <w:ind w:left="1"/>
              <w:rPr>
                <w:rFonts w:eastAsia="Calibri" w:cstheme="minorHAnsi"/>
                <w:i/>
              </w:rPr>
            </w:pPr>
            <w:r w:rsidRPr="0097056B">
              <w:rPr>
                <w:rFonts w:cstheme="minorHAnsi"/>
                <w:color w:val="000000"/>
              </w:rPr>
              <w:t xml:space="preserve">Panel Report, </w:t>
            </w:r>
            <w:r w:rsidRPr="0097056B">
              <w:rPr>
                <w:rFonts w:cstheme="minorHAnsi"/>
                <w:i/>
                <w:iCs/>
                <w:color w:val="000000"/>
              </w:rPr>
              <w:t xml:space="preserve">Thailand – Customs and Fiscal Measures on Cigarettes from the Philippines, </w:t>
            </w:r>
            <w:hyperlink r:id="rId20" w:history="1">
              <w:r w:rsidRPr="0097056B">
                <w:rPr>
                  <w:rStyle w:val="Hyperlink"/>
                  <w:rFonts w:cstheme="minorHAnsi"/>
                  <w:iCs/>
                  <w:lang w:val="en-GB"/>
                </w:rPr>
                <w:t>WT/DS371/R</w:t>
              </w:r>
            </w:hyperlink>
            <w:r w:rsidRPr="0097056B">
              <w:rPr>
                <w:rFonts w:cstheme="minorHAnsi"/>
                <w:color w:val="000000"/>
              </w:rPr>
              <w:t>, adopted 15 July 2011, as modified by Appellate Body Report WT/DS371/AB/R, DSR 2011:IV, p. 2299</w:t>
            </w:r>
          </w:p>
        </w:tc>
      </w:tr>
      <w:tr w:rsidR="00C0501D" w14:paraId="3499003F" w14:textId="77777777" w:rsidTr="006F4527">
        <w:trPr>
          <w:trHeight w:val="1262"/>
        </w:trPr>
        <w:tc>
          <w:tcPr>
            <w:tcW w:w="2417" w:type="dxa"/>
            <w:tcBorders>
              <w:top w:val="single" w:sz="4" w:space="0" w:color="000000"/>
              <w:left w:val="single" w:sz="4" w:space="0" w:color="000000"/>
              <w:bottom w:val="single" w:sz="4" w:space="0" w:color="000000"/>
              <w:right w:val="single" w:sz="4" w:space="0" w:color="000000"/>
            </w:tcBorders>
          </w:tcPr>
          <w:p w14:paraId="32C0B84A" w14:textId="77777777" w:rsidR="00C0501D" w:rsidRPr="0097056B" w:rsidRDefault="00C0501D" w:rsidP="00C0501D">
            <w:pPr>
              <w:spacing w:line="259" w:lineRule="auto"/>
              <w:rPr>
                <w:rFonts w:cstheme="minorHAnsi"/>
              </w:rPr>
            </w:pPr>
            <w:r w:rsidRPr="0097056B">
              <w:rPr>
                <w:rFonts w:eastAsia="Calibri" w:cstheme="minorHAnsi"/>
                <w:i/>
              </w:rPr>
              <w:t xml:space="preserve">US – Anti-Dumping </w:t>
            </w:r>
          </w:p>
          <w:p w14:paraId="266ACF05" w14:textId="77777777" w:rsidR="00C0501D" w:rsidRPr="0097056B" w:rsidRDefault="00C0501D" w:rsidP="00C0501D">
            <w:pPr>
              <w:spacing w:line="259" w:lineRule="auto"/>
              <w:rPr>
                <w:rFonts w:cstheme="minorHAnsi"/>
              </w:rPr>
            </w:pPr>
            <w:r w:rsidRPr="0097056B">
              <w:rPr>
                <w:rFonts w:eastAsia="Calibri" w:cstheme="minorHAnsi"/>
                <w:i/>
              </w:rPr>
              <w:t xml:space="preserve">Methodologies </w:t>
            </w:r>
          </w:p>
          <w:p w14:paraId="6A94A803" w14:textId="77777777" w:rsidR="00C0501D" w:rsidRPr="0097056B" w:rsidRDefault="00C0501D" w:rsidP="00C0501D">
            <w:pPr>
              <w:spacing w:line="259" w:lineRule="auto"/>
              <w:rPr>
                <w:rFonts w:cstheme="minorHAnsi"/>
              </w:rPr>
            </w:pPr>
            <w:r w:rsidRPr="0097056B">
              <w:rPr>
                <w:rFonts w:eastAsia="Calibri" w:cstheme="minorHAnsi"/>
                <w:i/>
              </w:rPr>
              <w:t xml:space="preserve">(China) </w:t>
            </w:r>
          </w:p>
        </w:tc>
        <w:tc>
          <w:tcPr>
            <w:tcW w:w="6794" w:type="dxa"/>
            <w:tcBorders>
              <w:top w:val="single" w:sz="4" w:space="0" w:color="000000"/>
              <w:left w:val="single" w:sz="4" w:space="0" w:color="000000"/>
              <w:bottom w:val="single" w:sz="4" w:space="0" w:color="000000"/>
              <w:right w:val="single" w:sz="4" w:space="0" w:color="000000"/>
            </w:tcBorders>
          </w:tcPr>
          <w:p w14:paraId="7D9045E5" w14:textId="77777777" w:rsidR="00076753" w:rsidRDefault="00C0501D" w:rsidP="00C0501D">
            <w:pPr>
              <w:spacing w:line="259" w:lineRule="auto"/>
              <w:ind w:left="1"/>
              <w:rPr>
                <w:rFonts w:eastAsia="Calibri" w:cstheme="minorHAnsi"/>
                <w:iCs/>
              </w:rPr>
            </w:pPr>
            <w:r w:rsidRPr="0097056B">
              <w:rPr>
                <w:rFonts w:eastAsia="Calibri" w:cstheme="minorHAnsi"/>
                <w:iCs/>
              </w:rPr>
              <w:t>Appellate Body Report,</w:t>
            </w:r>
            <w:r w:rsidRPr="0097056B">
              <w:rPr>
                <w:rFonts w:eastAsia="Calibri" w:cstheme="minorHAnsi"/>
                <w:i/>
              </w:rPr>
              <w:t xml:space="preserve"> United States – Certain Methodologies and Their Application to Anti-Dumping Proceedings Involving China, </w:t>
            </w:r>
            <w:hyperlink r:id="rId21" w:history="1">
              <w:r w:rsidRPr="0097056B">
                <w:rPr>
                  <w:rStyle w:val="Hyperlink"/>
                  <w:rFonts w:eastAsia="Calibri" w:cstheme="minorHAnsi"/>
                  <w:iCs/>
                </w:rPr>
                <w:t>WT/DS471/AB/R</w:t>
              </w:r>
            </w:hyperlink>
            <w:r w:rsidRPr="0097056B">
              <w:rPr>
                <w:rFonts w:eastAsia="Calibri" w:cstheme="minorHAnsi"/>
                <w:iCs/>
              </w:rPr>
              <w:t xml:space="preserve"> and Add.1, adopted 22 May 2017, DSR 2017:III, </w:t>
            </w:r>
          </w:p>
          <w:p w14:paraId="63FE79F1" w14:textId="4A8F7BE1" w:rsidR="00C0501D" w:rsidRPr="0097056B" w:rsidRDefault="00C0501D" w:rsidP="00C0501D">
            <w:pPr>
              <w:spacing w:line="259" w:lineRule="auto"/>
              <w:ind w:left="1"/>
              <w:rPr>
                <w:rFonts w:cstheme="minorHAnsi"/>
              </w:rPr>
            </w:pPr>
            <w:r w:rsidRPr="0097056B">
              <w:rPr>
                <w:rFonts w:eastAsia="Calibri" w:cstheme="minorHAnsi"/>
                <w:iCs/>
              </w:rPr>
              <w:t>p. 1423</w:t>
            </w:r>
            <w:r w:rsidRPr="0097056B">
              <w:rPr>
                <w:rFonts w:eastAsia="Calibri" w:cstheme="minorHAnsi"/>
                <w:i/>
              </w:rPr>
              <w:t xml:space="preserve"> </w:t>
            </w:r>
          </w:p>
        </w:tc>
      </w:tr>
      <w:tr w:rsidR="00C0501D" w14:paraId="11EA63CE" w14:textId="77777777" w:rsidTr="006F4527">
        <w:trPr>
          <w:trHeight w:val="1260"/>
        </w:trPr>
        <w:tc>
          <w:tcPr>
            <w:tcW w:w="2417" w:type="dxa"/>
            <w:tcBorders>
              <w:top w:val="single" w:sz="4" w:space="0" w:color="000000"/>
              <w:left w:val="single" w:sz="4" w:space="0" w:color="000000"/>
              <w:bottom w:val="single" w:sz="4" w:space="0" w:color="000000"/>
              <w:right w:val="single" w:sz="4" w:space="0" w:color="000000"/>
            </w:tcBorders>
          </w:tcPr>
          <w:p w14:paraId="6CAB47BA" w14:textId="77777777" w:rsidR="00C0501D" w:rsidRPr="0097056B" w:rsidRDefault="00C0501D" w:rsidP="00C0501D">
            <w:pPr>
              <w:spacing w:line="259" w:lineRule="auto"/>
              <w:rPr>
                <w:rFonts w:cstheme="minorHAnsi"/>
              </w:rPr>
            </w:pPr>
            <w:r w:rsidRPr="0097056B">
              <w:rPr>
                <w:rFonts w:eastAsia="Calibri" w:cstheme="minorHAnsi"/>
                <w:i/>
              </w:rPr>
              <w:t xml:space="preserve">US – Anti-Dumping </w:t>
            </w:r>
          </w:p>
          <w:p w14:paraId="01EB986B" w14:textId="77777777" w:rsidR="00C0501D" w:rsidRPr="0097056B" w:rsidRDefault="00C0501D" w:rsidP="00C0501D">
            <w:pPr>
              <w:spacing w:line="259" w:lineRule="auto"/>
              <w:rPr>
                <w:rFonts w:cstheme="minorHAnsi"/>
              </w:rPr>
            </w:pPr>
            <w:r w:rsidRPr="0097056B">
              <w:rPr>
                <w:rFonts w:eastAsia="Calibri" w:cstheme="minorHAnsi"/>
                <w:i/>
              </w:rPr>
              <w:t xml:space="preserve">Methodologies </w:t>
            </w:r>
          </w:p>
          <w:p w14:paraId="4642FF70" w14:textId="77777777" w:rsidR="00C0501D" w:rsidRPr="0097056B" w:rsidRDefault="00C0501D" w:rsidP="00C0501D">
            <w:pPr>
              <w:spacing w:line="259" w:lineRule="auto"/>
              <w:rPr>
                <w:rFonts w:cstheme="minorHAnsi"/>
              </w:rPr>
            </w:pPr>
            <w:r w:rsidRPr="0097056B">
              <w:rPr>
                <w:rFonts w:eastAsia="Calibri" w:cstheme="minorHAnsi"/>
                <w:i/>
              </w:rPr>
              <w:t xml:space="preserve">(China) </w:t>
            </w:r>
          </w:p>
        </w:tc>
        <w:tc>
          <w:tcPr>
            <w:tcW w:w="6794" w:type="dxa"/>
            <w:tcBorders>
              <w:top w:val="single" w:sz="4" w:space="0" w:color="000000"/>
              <w:left w:val="single" w:sz="4" w:space="0" w:color="000000"/>
              <w:bottom w:val="single" w:sz="4" w:space="0" w:color="000000"/>
              <w:right w:val="single" w:sz="4" w:space="0" w:color="000000"/>
            </w:tcBorders>
          </w:tcPr>
          <w:p w14:paraId="134E38DE" w14:textId="77777777" w:rsidR="00C0501D" w:rsidRPr="0097056B" w:rsidRDefault="00C0501D" w:rsidP="00C0501D">
            <w:pPr>
              <w:spacing w:line="259" w:lineRule="auto"/>
              <w:ind w:left="1"/>
              <w:rPr>
                <w:rFonts w:cstheme="minorHAnsi"/>
              </w:rPr>
            </w:pPr>
            <w:r w:rsidRPr="0097056B">
              <w:rPr>
                <w:rFonts w:eastAsia="Calibri" w:cstheme="minorHAnsi"/>
                <w:iCs/>
              </w:rPr>
              <w:t>Panel Report</w:t>
            </w:r>
            <w:r w:rsidRPr="0097056B">
              <w:rPr>
                <w:rFonts w:eastAsia="Calibri" w:cstheme="minorHAnsi"/>
                <w:i/>
              </w:rPr>
              <w:t xml:space="preserve">, United States – Certain Methodologies and Their </w:t>
            </w:r>
          </w:p>
          <w:p w14:paraId="3AE86A93" w14:textId="77777777" w:rsidR="00C0501D" w:rsidRPr="0097056B" w:rsidRDefault="00C0501D" w:rsidP="00C0501D">
            <w:pPr>
              <w:spacing w:line="259" w:lineRule="auto"/>
              <w:ind w:left="1"/>
              <w:rPr>
                <w:rFonts w:cstheme="minorHAnsi"/>
              </w:rPr>
            </w:pPr>
            <w:r w:rsidRPr="0097056B">
              <w:rPr>
                <w:rFonts w:eastAsia="Calibri" w:cstheme="minorHAnsi"/>
                <w:i/>
              </w:rPr>
              <w:t xml:space="preserve">Application to Anti-Dumping Proceedings Involving China, </w:t>
            </w:r>
          </w:p>
          <w:p w14:paraId="014D5FA6" w14:textId="77777777" w:rsidR="00C0501D" w:rsidRPr="0097056B" w:rsidRDefault="00C0501D" w:rsidP="00C0501D">
            <w:pPr>
              <w:spacing w:line="259" w:lineRule="auto"/>
              <w:ind w:left="1"/>
              <w:rPr>
                <w:rFonts w:cstheme="minorHAnsi"/>
                <w:iCs/>
              </w:rPr>
            </w:pPr>
            <w:hyperlink r:id="rId22" w:history="1">
              <w:r w:rsidRPr="0097056B">
                <w:rPr>
                  <w:rStyle w:val="Hyperlink"/>
                  <w:rFonts w:eastAsia="Calibri" w:cstheme="minorHAnsi"/>
                  <w:iCs/>
                </w:rPr>
                <w:t>WT/DS471/R</w:t>
              </w:r>
            </w:hyperlink>
            <w:r w:rsidRPr="0097056B">
              <w:rPr>
                <w:rFonts w:eastAsia="Calibri" w:cstheme="minorHAnsi"/>
                <w:iCs/>
              </w:rPr>
              <w:t xml:space="preserve"> and Add.1, adopted 22 May 2017, as modified by </w:t>
            </w:r>
          </w:p>
          <w:p w14:paraId="105B1968" w14:textId="77777777" w:rsidR="00C0501D" w:rsidRPr="0097056B" w:rsidRDefault="00C0501D" w:rsidP="00C0501D">
            <w:pPr>
              <w:spacing w:line="259" w:lineRule="auto"/>
              <w:ind w:left="1"/>
              <w:rPr>
                <w:rFonts w:cstheme="minorHAnsi"/>
              </w:rPr>
            </w:pPr>
            <w:r w:rsidRPr="0097056B">
              <w:rPr>
                <w:rFonts w:eastAsia="Calibri" w:cstheme="minorHAnsi"/>
                <w:iCs/>
              </w:rPr>
              <w:t>Appellate Body Report WT/DS471/AB/R, DSR 2017:IV, p. 1589</w:t>
            </w:r>
            <w:r w:rsidRPr="0097056B">
              <w:rPr>
                <w:rFonts w:eastAsia="Calibri" w:cstheme="minorHAnsi"/>
                <w:i/>
              </w:rPr>
              <w:t xml:space="preserve"> </w:t>
            </w:r>
          </w:p>
        </w:tc>
      </w:tr>
      <w:tr w:rsidR="00C0501D" w14:paraId="25125026" w14:textId="77777777" w:rsidTr="006F4527">
        <w:trPr>
          <w:trHeight w:val="1262"/>
        </w:trPr>
        <w:tc>
          <w:tcPr>
            <w:tcW w:w="2417" w:type="dxa"/>
            <w:tcBorders>
              <w:top w:val="single" w:sz="4" w:space="0" w:color="000000"/>
              <w:left w:val="single" w:sz="4" w:space="0" w:color="000000"/>
              <w:bottom w:val="single" w:sz="4" w:space="0" w:color="000000"/>
              <w:right w:val="single" w:sz="4" w:space="0" w:color="000000"/>
            </w:tcBorders>
          </w:tcPr>
          <w:p w14:paraId="68039D94" w14:textId="77777777" w:rsidR="00C0501D" w:rsidRPr="0097056B" w:rsidRDefault="00C0501D" w:rsidP="00C0501D">
            <w:pPr>
              <w:spacing w:line="259" w:lineRule="auto"/>
              <w:rPr>
                <w:rFonts w:eastAsia="Calibri" w:cstheme="minorHAnsi"/>
                <w:i/>
              </w:rPr>
            </w:pPr>
            <w:r w:rsidRPr="0097056B">
              <w:rPr>
                <w:rFonts w:cstheme="minorHAnsi"/>
                <w:i/>
                <w:iCs/>
              </w:rPr>
              <w:t>US – COOL</w:t>
            </w:r>
          </w:p>
        </w:tc>
        <w:tc>
          <w:tcPr>
            <w:tcW w:w="6794" w:type="dxa"/>
            <w:tcBorders>
              <w:top w:val="single" w:sz="4" w:space="0" w:color="000000"/>
              <w:left w:val="single" w:sz="4" w:space="0" w:color="000000"/>
              <w:bottom w:val="single" w:sz="4" w:space="0" w:color="000000"/>
              <w:right w:val="single" w:sz="4" w:space="0" w:color="000000"/>
            </w:tcBorders>
          </w:tcPr>
          <w:p w14:paraId="6DC120C0" w14:textId="77777777" w:rsidR="00C0501D" w:rsidRPr="0097056B" w:rsidRDefault="00C0501D" w:rsidP="00C0501D">
            <w:pPr>
              <w:spacing w:line="259" w:lineRule="auto"/>
              <w:ind w:left="1"/>
              <w:rPr>
                <w:rFonts w:eastAsia="Calibri" w:cstheme="minorHAnsi"/>
                <w:i/>
              </w:rPr>
            </w:pPr>
            <w:r w:rsidRPr="0097056B">
              <w:rPr>
                <w:rFonts w:cstheme="minorHAnsi"/>
                <w:color w:val="000000"/>
              </w:rPr>
              <w:t>Panel Reports,</w:t>
            </w:r>
            <w:r w:rsidRPr="0097056B">
              <w:rPr>
                <w:rFonts w:cstheme="minorHAnsi"/>
                <w:i/>
                <w:iCs/>
                <w:color w:val="000000"/>
              </w:rPr>
              <w:t xml:space="preserve"> United States – Certain Country of Origin Labelling (COOL) Requirements, </w:t>
            </w:r>
            <w:hyperlink r:id="rId23" w:history="1">
              <w:r w:rsidRPr="0097056B">
                <w:rPr>
                  <w:rStyle w:val="Hyperlink"/>
                  <w:rFonts w:cstheme="minorHAnsi"/>
                  <w:lang w:val="en-GB"/>
                </w:rPr>
                <w:t>WT/DS384/R</w:t>
              </w:r>
            </w:hyperlink>
            <w:r w:rsidRPr="0097056B">
              <w:rPr>
                <w:rFonts w:cstheme="minorHAnsi"/>
                <w:color w:val="000000"/>
              </w:rPr>
              <w:t xml:space="preserve">/ </w:t>
            </w:r>
            <w:hyperlink r:id="rId24" w:history="1">
              <w:r w:rsidRPr="0097056B">
                <w:rPr>
                  <w:rStyle w:val="Hyperlink"/>
                  <w:rFonts w:cstheme="minorHAnsi"/>
                  <w:lang w:val="en-GB"/>
                </w:rPr>
                <w:t>WT/DS386/R</w:t>
              </w:r>
            </w:hyperlink>
            <w:r w:rsidRPr="0097056B">
              <w:rPr>
                <w:rFonts w:cstheme="minorHAnsi"/>
                <w:color w:val="000000"/>
              </w:rPr>
              <w:t>, adopted 23 July 2012, as modified by Appellate Body Reports WT/DS384/AB/R / WT/DS386/AB/R, DSR 2012:VI, p. 2745</w:t>
            </w:r>
          </w:p>
        </w:tc>
      </w:tr>
      <w:tr w:rsidR="00C0501D" w14:paraId="278CAE5D" w14:textId="77777777" w:rsidTr="006F4527">
        <w:trPr>
          <w:trHeight w:val="1262"/>
        </w:trPr>
        <w:tc>
          <w:tcPr>
            <w:tcW w:w="2417" w:type="dxa"/>
            <w:tcBorders>
              <w:top w:val="single" w:sz="4" w:space="0" w:color="000000"/>
              <w:left w:val="single" w:sz="4" w:space="0" w:color="000000"/>
              <w:bottom w:val="single" w:sz="4" w:space="0" w:color="000000"/>
              <w:right w:val="single" w:sz="4" w:space="0" w:color="000000"/>
            </w:tcBorders>
          </w:tcPr>
          <w:p w14:paraId="4A9998F2" w14:textId="77777777" w:rsidR="00C0501D" w:rsidRPr="0097056B" w:rsidRDefault="00C0501D" w:rsidP="00C0501D">
            <w:pPr>
              <w:spacing w:line="259" w:lineRule="auto"/>
              <w:rPr>
                <w:rFonts w:eastAsia="Calibri" w:cstheme="minorHAnsi"/>
                <w:i/>
              </w:rPr>
            </w:pPr>
            <w:r w:rsidRPr="0097056B">
              <w:rPr>
                <w:rFonts w:cstheme="minorHAnsi"/>
                <w:i/>
                <w:iCs/>
              </w:rPr>
              <w:lastRenderedPageBreak/>
              <w:t>US – Corrosion-Resistant Steel Sunset Review</w:t>
            </w:r>
          </w:p>
        </w:tc>
        <w:tc>
          <w:tcPr>
            <w:tcW w:w="6794" w:type="dxa"/>
            <w:tcBorders>
              <w:top w:val="single" w:sz="4" w:space="0" w:color="000000"/>
              <w:left w:val="single" w:sz="4" w:space="0" w:color="000000"/>
              <w:bottom w:val="single" w:sz="4" w:space="0" w:color="000000"/>
              <w:right w:val="single" w:sz="4" w:space="0" w:color="000000"/>
            </w:tcBorders>
          </w:tcPr>
          <w:p w14:paraId="018D5F46" w14:textId="77777777" w:rsidR="00C0501D" w:rsidRPr="0097056B" w:rsidRDefault="00C0501D" w:rsidP="00C0501D">
            <w:pPr>
              <w:spacing w:line="259" w:lineRule="auto"/>
              <w:ind w:left="1"/>
              <w:rPr>
                <w:rFonts w:eastAsia="Calibri" w:cstheme="minorHAnsi"/>
                <w:i/>
              </w:rPr>
            </w:pPr>
            <w:r w:rsidRPr="0097056B">
              <w:rPr>
                <w:rFonts w:cstheme="minorHAnsi"/>
                <w:color w:val="000000"/>
                <w:lang w:val="en-GB"/>
              </w:rPr>
              <w:t>Panel Report,</w:t>
            </w:r>
            <w:r w:rsidRPr="0097056B">
              <w:rPr>
                <w:rFonts w:cstheme="minorHAnsi"/>
                <w:i/>
                <w:iCs/>
                <w:color w:val="000000"/>
                <w:lang w:val="en-GB"/>
              </w:rPr>
              <w:t xml:space="preserve"> United States – Sunset Review of Anti</w:t>
            </w:r>
            <w:r w:rsidRPr="0097056B">
              <w:rPr>
                <w:rFonts w:cstheme="minorHAnsi"/>
                <w:i/>
                <w:iCs/>
                <w:color w:val="000000"/>
                <w:lang w:val="en-GB"/>
              </w:rPr>
              <w:noBreakHyphen/>
              <w:t xml:space="preserve">Dumping Duties on Corrosion-Resistant Carbon Steel Flat Products from Japan, </w:t>
            </w:r>
            <w:hyperlink r:id="rId25" w:history="1">
              <w:r w:rsidRPr="0097056B">
                <w:rPr>
                  <w:rStyle w:val="Hyperlink"/>
                  <w:rFonts w:cstheme="minorHAnsi"/>
                  <w:lang w:val="en-GB"/>
                </w:rPr>
                <w:t>WT/DS244/R</w:t>
              </w:r>
            </w:hyperlink>
            <w:r w:rsidRPr="0097056B">
              <w:rPr>
                <w:rFonts w:cstheme="minorHAnsi"/>
                <w:color w:val="000000"/>
                <w:lang w:val="en-GB"/>
              </w:rPr>
              <w:t>,</w:t>
            </w:r>
            <w:r w:rsidRPr="0097056B">
              <w:rPr>
                <w:rFonts w:cstheme="minorHAnsi"/>
                <w:i/>
                <w:iCs/>
                <w:color w:val="000000"/>
                <w:lang w:val="en-GB"/>
              </w:rPr>
              <w:t xml:space="preserve"> </w:t>
            </w:r>
            <w:r w:rsidRPr="0097056B">
              <w:rPr>
                <w:rFonts w:cstheme="minorHAnsi"/>
                <w:color w:val="000000"/>
                <w:lang w:val="en-GB"/>
              </w:rPr>
              <w:t>adopted 9 January 2004, as modified by Appellate Body Report WT/DS244/AB/R, DSR 2004:I, p. 85</w:t>
            </w:r>
          </w:p>
        </w:tc>
      </w:tr>
      <w:tr w:rsidR="00C0501D" w:rsidRPr="0030542C" w14:paraId="5A1914F4" w14:textId="77777777" w:rsidTr="006F4527">
        <w:trPr>
          <w:trHeight w:val="1262"/>
        </w:trPr>
        <w:tc>
          <w:tcPr>
            <w:tcW w:w="2417" w:type="dxa"/>
            <w:tcBorders>
              <w:top w:val="single" w:sz="4" w:space="0" w:color="000000"/>
              <w:left w:val="single" w:sz="4" w:space="0" w:color="000000"/>
              <w:bottom w:val="single" w:sz="4" w:space="0" w:color="000000"/>
              <w:right w:val="single" w:sz="4" w:space="0" w:color="000000"/>
            </w:tcBorders>
          </w:tcPr>
          <w:p w14:paraId="5B09E686" w14:textId="77777777" w:rsidR="00C0501D" w:rsidRPr="0097056B" w:rsidRDefault="00C0501D" w:rsidP="00C0501D">
            <w:pPr>
              <w:spacing w:line="259" w:lineRule="auto"/>
              <w:rPr>
                <w:rFonts w:cstheme="minorHAnsi"/>
              </w:rPr>
            </w:pPr>
            <w:r w:rsidRPr="0097056B">
              <w:rPr>
                <w:rFonts w:eastAsia="Calibri" w:cstheme="minorHAnsi"/>
                <w:i/>
              </w:rPr>
              <w:t xml:space="preserve">US – Offset Act (Byrd </w:t>
            </w:r>
          </w:p>
          <w:p w14:paraId="25DD85A0" w14:textId="77777777" w:rsidR="00C0501D" w:rsidRPr="0097056B" w:rsidRDefault="00C0501D" w:rsidP="00C0501D">
            <w:pPr>
              <w:spacing w:line="259" w:lineRule="auto"/>
              <w:rPr>
                <w:rFonts w:cstheme="minorHAnsi"/>
              </w:rPr>
            </w:pPr>
            <w:r w:rsidRPr="0097056B">
              <w:rPr>
                <w:rFonts w:eastAsia="Calibri" w:cstheme="minorHAnsi"/>
                <w:i/>
              </w:rPr>
              <w:t xml:space="preserve">Amendment) </w:t>
            </w:r>
          </w:p>
        </w:tc>
        <w:tc>
          <w:tcPr>
            <w:tcW w:w="6794" w:type="dxa"/>
            <w:tcBorders>
              <w:top w:val="single" w:sz="4" w:space="0" w:color="000000"/>
              <w:left w:val="single" w:sz="4" w:space="0" w:color="000000"/>
              <w:bottom w:val="single" w:sz="4" w:space="0" w:color="000000"/>
              <w:right w:val="single" w:sz="4" w:space="0" w:color="000000"/>
            </w:tcBorders>
          </w:tcPr>
          <w:p w14:paraId="3E5C0C50" w14:textId="77777777" w:rsidR="00C0501D" w:rsidRPr="0097056B" w:rsidRDefault="00C0501D" w:rsidP="00C0501D">
            <w:pPr>
              <w:spacing w:line="259" w:lineRule="auto"/>
              <w:ind w:left="1"/>
              <w:rPr>
                <w:rFonts w:cstheme="minorHAnsi"/>
              </w:rPr>
            </w:pPr>
            <w:r w:rsidRPr="0097056B">
              <w:rPr>
                <w:rFonts w:eastAsia="Calibri" w:cstheme="minorHAnsi"/>
                <w:iCs/>
              </w:rPr>
              <w:t>Panel Report,</w:t>
            </w:r>
            <w:r w:rsidRPr="0097056B">
              <w:rPr>
                <w:rFonts w:eastAsia="Calibri" w:cstheme="minorHAnsi"/>
                <w:i/>
              </w:rPr>
              <w:t xml:space="preserve"> United States – Continued Dumping and Subsidy </w:t>
            </w:r>
          </w:p>
          <w:p w14:paraId="6C5133F3" w14:textId="77777777" w:rsidR="00C0501D" w:rsidRPr="0097056B" w:rsidRDefault="00C0501D" w:rsidP="00C0501D">
            <w:pPr>
              <w:spacing w:line="259" w:lineRule="auto"/>
              <w:ind w:left="1"/>
              <w:rPr>
                <w:rFonts w:cstheme="minorHAnsi"/>
                <w:iCs/>
              </w:rPr>
            </w:pPr>
            <w:r w:rsidRPr="0097056B">
              <w:rPr>
                <w:rFonts w:eastAsia="Calibri" w:cstheme="minorHAnsi"/>
                <w:i/>
              </w:rPr>
              <w:t xml:space="preserve">Offset Act of 2000, </w:t>
            </w:r>
            <w:hyperlink r:id="rId26" w:history="1">
              <w:r w:rsidRPr="0097056B">
                <w:rPr>
                  <w:rStyle w:val="Hyperlink"/>
                  <w:rFonts w:eastAsia="Calibri" w:cstheme="minorHAnsi"/>
                  <w:iCs/>
                </w:rPr>
                <w:t>WT/DS217/R</w:t>
              </w:r>
            </w:hyperlink>
            <w:r w:rsidRPr="0097056B">
              <w:rPr>
                <w:rFonts w:eastAsia="Calibri" w:cstheme="minorHAnsi"/>
                <w:iCs/>
              </w:rPr>
              <w:t xml:space="preserve">, </w:t>
            </w:r>
            <w:hyperlink r:id="rId27" w:history="1">
              <w:r w:rsidRPr="0097056B">
                <w:rPr>
                  <w:rStyle w:val="Hyperlink"/>
                  <w:rFonts w:eastAsia="Calibri" w:cstheme="minorHAnsi"/>
                  <w:iCs/>
                </w:rPr>
                <w:t>WT/DS234/R</w:t>
              </w:r>
            </w:hyperlink>
            <w:r w:rsidRPr="0097056B">
              <w:rPr>
                <w:rFonts w:eastAsia="Calibri" w:cstheme="minorHAnsi"/>
                <w:iCs/>
              </w:rPr>
              <w:t xml:space="preserve">, adopted 27 January </w:t>
            </w:r>
          </w:p>
          <w:p w14:paraId="0242D7C9" w14:textId="77777777" w:rsidR="00C0501D" w:rsidRPr="0097056B" w:rsidRDefault="00C0501D" w:rsidP="00C0501D">
            <w:pPr>
              <w:spacing w:line="259" w:lineRule="auto"/>
              <w:ind w:left="1"/>
              <w:rPr>
                <w:rFonts w:cstheme="minorHAnsi"/>
                <w:iCs/>
              </w:rPr>
            </w:pPr>
            <w:r w:rsidRPr="0097056B">
              <w:rPr>
                <w:rFonts w:eastAsia="Calibri" w:cstheme="minorHAnsi"/>
                <w:iCs/>
              </w:rPr>
              <w:t xml:space="preserve">2003, as modified by Appellate Body Report WT/DS217/AB/R, </w:t>
            </w:r>
          </w:p>
          <w:p w14:paraId="595CD9B7" w14:textId="77777777" w:rsidR="00C0501D" w:rsidRPr="00523BE6" w:rsidRDefault="00C0501D" w:rsidP="00C0501D">
            <w:pPr>
              <w:spacing w:line="259" w:lineRule="auto"/>
              <w:ind w:left="1"/>
              <w:rPr>
                <w:rFonts w:cstheme="minorHAnsi"/>
                <w:lang w:val="de-DE"/>
              </w:rPr>
            </w:pPr>
            <w:r w:rsidRPr="00523BE6">
              <w:rPr>
                <w:rFonts w:eastAsia="Calibri" w:cstheme="minorHAnsi"/>
                <w:iCs/>
                <w:lang w:val="de-DE"/>
              </w:rPr>
              <w:t>WT/DS234/AB/R, DSR 2003:II, p. 489</w:t>
            </w:r>
            <w:r w:rsidRPr="00523BE6">
              <w:rPr>
                <w:rFonts w:eastAsia="Calibri" w:cstheme="minorHAnsi"/>
                <w:i/>
                <w:lang w:val="de-DE"/>
              </w:rPr>
              <w:t xml:space="preserve"> </w:t>
            </w:r>
          </w:p>
        </w:tc>
      </w:tr>
      <w:tr w:rsidR="00C0501D" w14:paraId="035A46E6" w14:textId="77777777" w:rsidTr="006F4527">
        <w:trPr>
          <w:trHeight w:val="1262"/>
        </w:trPr>
        <w:tc>
          <w:tcPr>
            <w:tcW w:w="2417" w:type="dxa"/>
            <w:tcBorders>
              <w:top w:val="single" w:sz="4" w:space="0" w:color="000000"/>
              <w:left w:val="single" w:sz="4" w:space="0" w:color="000000"/>
              <w:bottom w:val="single" w:sz="4" w:space="0" w:color="000000"/>
              <w:right w:val="single" w:sz="4" w:space="0" w:color="000000"/>
            </w:tcBorders>
          </w:tcPr>
          <w:p w14:paraId="0F45AC76" w14:textId="77777777" w:rsidR="00C0501D" w:rsidRPr="0097056B" w:rsidRDefault="00900247" w:rsidP="00C0501D">
            <w:pPr>
              <w:spacing w:line="259" w:lineRule="auto"/>
              <w:rPr>
                <w:rFonts w:cstheme="minorHAnsi"/>
              </w:rPr>
            </w:pPr>
            <w:r w:rsidRPr="0097056B">
              <w:rPr>
                <w:rFonts w:eastAsia="Calibri" w:cstheme="minorHAnsi"/>
                <w:i/>
              </w:rPr>
              <w:t>US – Shrimp II (Viet Nam)</w:t>
            </w:r>
          </w:p>
        </w:tc>
        <w:tc>
          <w:tcPr>
            <w:tcW w:w="6794" w:type="dxa"/>
            <w:tcBorders>
              <w:top w:val="single" w:sz="4" w:space="0" w:color="000000"/>
              <w:left w:val="single" w:sz="4" w:space="0" w:color="000000"/>
              <w:bottom w:val="single" w:sz="4" w:space="0" w:color="000000"/>
              <w:right w:val="single" w:sz="4" w:space="0" w:color="000000"/>
            </w:tcBorders>
          </w:tcPr>
          <w:p w14:paraId="7EF5D9D8" w14:textId="77777777" w:rsidR="00C0501D" w:rsidRPr="0097056B" w:rsidRDefault="00C0501D" w:rsidP="00C0501D">
            <w:pPr>
              <w:spacing w:line="259" w:lineRule="auto"/>
              <w:ind w:left="1"/>
              <w:rPr>
                <w:rFonts w:cstheme="minorHAnsi"/>
              </w:rPr>
            </w:pPr>
            <w:r w:rsidRPr="0097056B">
              <w:rPr>
                <w:rFonts w:eastAsia="Calibri" w:cstheme="minorHAnsi"/>
                <w:iCs/>
              </w:rPr>
              <w:t>Panel Report,</w:t>
            </w:r>
            <w:r w:rsidRPr="0097056B">
              <w:rPr>
                <w:rFonts w:eastAsia="Calibri" w:cstheme="minorHAnsi"/>
                <w:i/>
              </w:rPr>
              <w:t xml:space="preserve"> United States – Anti-Dumping Measures on Certain </w:t>
            </w:r>
          </w:p>
          <w:p w14:paraId="38B32F67" w14:textId="77777777" w:rsidR="00C0501D" w:rsidRPr="0097056B" w:rsidRDefault="00C0501D" w:rsidP="00C0501D">
            <w:pPr>
              <w:spacing w:line="259" w:lineRule="auto"/>
              <w:ind w:left="1"/>
              <w:rPr>
                <w:rFonts w:cstheme="minorHAnsi"/>
                <w:iCs/>
              </w:rPr>
            </w:pPr>
            <w:r w:rsidRPr="0097056B">
              <w:rPr>
                <w:rFonts w:eastAsia="Calibri" w:cstheme="minorHAnsi"/>
                <w:i/>
              </w:rPr>
              <w:t xml:space="preserve">Shrimp from Viet Nam, </w:t>
            </w:r>
            <w:hyperlink r:id="rId28" w:history="1">
              <w:r w:rsidRPr="0097056B">
                <w:rPr>
                  <w:rStyle w:val="Hyperlink"/>
                  <w:rFonts w:eastAsia="Calibri" w:cstheme="minorHAnsi"/>
                  <w:iCs/>
                </w:rPr>
                <w:t>WT/DS429/R</w:t>
              </w:r>
            </w:hyperlink>
            <w:r w:rsidRPr="0097056B">
              <w:rPr>
                <w:rFonts w:eastAsia="Calibri" w:cstheme="minorHAnsi"/>
                <w:iCs/>
              </w:rPr>
              <w:t xml:space="preserve"> and Add.1, adopted 22 April </w:t>
            </w:r>
          </w:p>
          <w:p w14:paraId="4D2E46AD" w14:textId="77777777" w:rsidR="00C0501D" w:rsidRPr="0097056B" w:rsidRDefault="00C0501D" w:rsidP="00C0501D">
            <w:pPr>
              <w:spacing w:line="259" w:lineRule="auto"/>
              <w:ind w:left="1"/>
              <w:rPr>
                <w:rFonts w:cstheme="minorHAnsi"/>
              </w:rPr>
            </w:pPr>
            <w:r w:rsidRPr="0097056B">
              <w:rPr>
                <w:rFonts w:eastAsia="Calibri" w:cstheme="minorHAnsi"/>
                <w:iCs/>
              </w:rPr>
              <w:t>2015, upheld by Appellate Body Report WT/DS429/AB/R, DSR 2015:III, p. 1341</w:t>
            </w:r>
            <w:r w:rsidRPr="0097056B">
              <w:rPr>
                <w:rFonts w:eastAsia="Calibri" w:cstheme="minorHAnsi"/>
                <w:i/>
              </w:rPr>
              <w:t xml:space="preserve"> </w:t>
            </w:r>
          </w:p>
        </w:tc>
      </w:tr>
      <w:tr w:rsidR="00C0501D" w14:paraId="2E99E450" w14:textId="77777777" w:rsidTr="006F4527">
        <w:trPr>
          <w:trHeight w:val="1262"/>
        </w:trPr>
        <w:tc>
          <w:tcPr>
            <w:tcW w:w="2417" w:type="dxa"/>
            <w:tcBorders>
              <w:top w:val="single" w:sz="4" w:space="0" w:color="000000"/>
              <w:left w:val="single" w:sz="4" w:space="0" w:color="000000"/>
              <w:bottom w:val="single" w:sz="4" w:space="0" w:color="000000"/>
              <w:right w:val="single" w:sz="4" w:space="0" w:color="000000"/>
            </w:tcBorders>
          </w:tcPr>
          <w:p w14:paraId="395E962F" w14:textId="77777777" w:rsidR="00C0501D" w:rsidRPr="0097056B" w:rsidRDefault="00C0501D" w:rsidP="00C0501D">
            <w:pPr>
              <w:spacing w:line="259" w:lineRule="auto"/>
              <w:rPr>
                <w:rFonts w:eastAsia="Calibri" w:cstheme="minorHAnsi"/>
                <w:i/>
              </w:rPr>
            </w:pPr>
            <w:r w:rsidRPr="0097056B">
              <w:rPr>
                <w:rFonts w:cstheme="minorHAnsi"/>
                <w:i/>
                <w:iCs/>
                <w:lang w:val="en-US"/>
              </w:rPr>
              <w:t>US – Softwood Lumber V</w:t>
            </w:r>
          </w:p>
        </w:tc>
        <w:tc>
          <w:tcPr>
            <w:tcW w:w="6794" w:type="dxa"/>
            <w:tcBorders>
              <w:top w:val="single" w:sz="4" w:space="0" w:color="000000"/>
              <w:left w:val="single" w:sz="4" w:space="0" w:color="000000"/>
              <w:bottom w:val="single" w:sz="4" w:space="0" w:color="000000"/>
              <w:right w:val="single" w:sz="4" w:space="0" w:color="000000"/>
            </w:tcBorders>
          </w:tcPr>
          <w:p w14:paraId="7CB45E7D" w14:textId="77777777" w:rsidR="00C0501D" w:rsidRPr="0097056B" w:rsidRDefault="00C0501D" w:rsidP="00C0501D">
            <w:pPr>
              <w:spacing w:line="259" w:lineRule="auto"/>
              <w:ind w:left="1"/>
              <w:rPr>
                <w:rFonts w:eastAsia="Calibri" w:cstheme="minorHAnsi"/>
                <w:i/>
              </w:rPr>
            </w:pPr>
            <w:r w:rsidRPr="0097056B">
              <w:rPr>
                <w:rFonts w:cstheme="minorHAnsi"/>
                <w:color w:val="000000"/>
              </w:rPr>
              <w:t>Panel Report,</w:t>
            </w:r>
            <w:r w:rsidRPr="0097056B">
              <w:rPr>
                <w:rFonts w:cstheme="minorHAnsi"/>
                <w:i/>
                <w:iCs/>
                <w:color w:val="000000"/>
              </w:rPr>
              <w:t xml:space="preserve"> United States – Final Dumping Determination on Softwood Lumber from Canada, </w:t>
            </w:r>
            <w:hyperlink r:id="rId29" w:history="1">
              <w:r w:rsidRPr="0097056B">
                <w:rPr>
                  <w:rStyle w:val="Hyperlink"/>
                  <w:rFonts w:cstheme="minorHAnsi"/>
                  <w:lang w:val="en-GB"/>
                </w:rPr>
                <w:t>WT/DS264/R</w:t>
              </w:r>
            </w:hyperlink>
            <w:r w:rsidRPr="0097056B">
              <w:rPr>
                <w:rFonts w:cstheme="minorHAnsi"/>
                <w:color w:val="000000"/>
              </w:rPr>
              <w:t>, adopted 31 August 2004, as modified by Appellate Body Report WT/DS264/AB/R, DSR 2004:V, p. 1937</w:t>
            </w:r>
          </w:p>
        </w:tc>
      </w:tr>
      <w:tr w:rsidR="00C0501D" w14:paraId="2CD9FCDC" w14:textId="77777777" w:rsidTr="006F4527">
        <w:trPr>
          <w:trHeight w:val="916"/>
        </w:trPr>
        <w:tc>
          <w:tcPr>
            <w:tcW w:w="2417" w:type="dxa"/>
            <w:tcBorders>
              <w:top w:val="single" w:sz="4" w:space="0" w:color="000000"/>
              <w:left w:val="single" w:sz="4" w:space="0" w:color="000000"/>
              <w:bottom w:val="single" w:sz="4" w:space="0" w:color="000000"/>
              <w:right w:val="single" w:sz="4" w:space="0" w:color="000000"/>
            </w:tcBorders>
          </w:tcPr>
          <w:p w14:paraId="60D89120" w14:textId="77777777" w:rsidR="00C0501D" w:rsidRPr="0097056B" w:rsidRDefault="00C0501D" w:rsidP="00C0501D">
            <w:pPr>
              <w:spacing w:line="259" w:lineRule="auto"/>
              <w:rPr>
                <w:rFonts w:cstheme="minorHAnsi"/>
                <w:i/>
                <w:iCs/>
                <w:lang w:val="en-US"/>
              </w:rPr>
            </w:pPr>
            <w:r w:rsidRPr="0097056B">
              <w:rPr>
                <w:rFonts w:cstheme="minorHAnsi"/>
                <w:i/>
                <w:iCs/>
              </w:rPr>
              <w:t>US – Stainless Steel (Korea)</w:t>
            </w:r>
          </w:p>
        </w:tc>
        <w:tc>
          <w:tcPr>
            <w:tcW w:w="6794" w:type="dxa"/>
            <w:tcBorders>
              <w:top w:val="single" w:sz="4" w:space="0" w:color="000000"/>
              <w:left w:val="single" w:sz="4" w:space="0" w:color="000000"/>
              <w:bottom w:val="single" w:sz="4" w:space="0" w:color="000000"/>
              <w:right w:val="single" w:sz="4" w:space="0" w:color="000000"/>
            </w:tcBorders>
          </w:tcPr>
          <w:p w14:paraId="6F445E13" w14:textId="77777777" w:rsidR="00C0501D" w:rsidRPr="0097056B" w:rsidRDefault="00C0501D" w:rsidP="00C0501D">
            <w:pPr>
              <w:spacing w:line="259" w:lineRule="auto"/>
              <w:ind w:left="1"/>
              <w:rPr>
                <w:rFonts w:cstheme="minorHAnsi"/>
                <w:color w:val="000000"/>
              </w:rPr>
            </w:pPr>
            <w:r w:rsidRPr="0097056B">
              <w:rPr>
                <w:rFonts w:cstheme="minorHAnsi"/>
                <w:color w:val="000000"/>
              </w:rPr>
              <w:t>Panel Report,</w:t>
            </w:r>
            <w:r w:rsidRPr="0097056B">
              <w:rPr>
                <w:rFonts w:cstheme="minorHAnsi"/>
                <w:i/>
                <w:iCs/>
                <w:color w:val="000000"/>
              </w:rPr>
              <w:t xml:space="preserve"> United States – Anti-Dumping Measures on Stainless Steel Plate in Coils and Stainless Steel Sheet and Strip from Korea, </w:t>
            </w:r>
            <w:hyperlink r:id="rId30" w:history="1">
              <w:r w:rsidRPr="0097056B">
                <w:rPr>
                  <w:rStyle w:val="Hyperlink"/>
                  <w:rFonts w:cstheme="minorHAnsi"/>
                  <w:lang w:val="en-GB"/>
                </w:rPr>
                <w:t>WT/DS179/R</w:t>
              </w:r>
            </w:hyperlink>
            <w:r w:rsidRPr="0097056B">
              <w:rPr>
                <w:rFonts w:cstheme="minorHAnsi"/>
                <w:color w:val="000000"/>
              </w:rPr>
              <w:t>, adopted 1 February 2001, DSR 2001:IV, p. 1295</w:t>
            </w:r>
          </w:p>
        </w:tc>
      </w:tr>
      <w:tr w:rsidR="00C0501D" w14:paraId="03A80A0D" w14:textId="77777777" w:rsidTr="006F4527">
        <w:trPr>
          <w:trHeight w:val="1262"/>
        </w:trPr>
        <w:tc>
          <w:tcPr>
            <w:tcW w:w="2417" w:type="dxa"/>
            <w:tcBorders>
              <w:top w:val="single" w:sz="4" w:space="0" w:color="000000"/>
              <w:left w:val="single" w:sz="4" w:space="0" w:color="000000"/>
              <w:bottom w:val="single" w:sz="4" w:space="0" w:color="000000"/>
              <w:right w:val="single" w:sz="4" w:space="0" w:color="000000"/>
            </w:tcBorders>
          </w:tcPr>
          <w:p w14:paraId="41C6446F" w14:textId="77777777" w:rsidR="00C0501D" w:rsidRPr="0097056B" w:rsidRDefault="00C0501D" w:rsidP="00C0501D">
            <w:pPr>
              <w:spacing w:line="259" w:lineRule="auto"/>
              <w:rPr>
                <w:rFonts w:cstheme="minorHAnsi"/>
              </w:rPr>
            </w:pPr>
            <w:r w:rsidRPr="0097056B">
              <w:rPr>
                <w:rFonts w:eastAsia="Calibri" w:cstheme="minorHAnsi"/>
                <w:i/>
              </w:rPr>
              <w:t xml:space="preserve">US – Zeroing (EC) </w:t>
            </w:r>
          </w:p>
        </w:tc>
        <w:tc>
          <w:tcPr>
            <w:tcW w:w="6794" w:type="dxa"/>
            <w:tcBorders>
              <w:top w:val="single" w:sz="4" w:space="0" w:color="000000"/>
              <w:left w:val="single" w:sz="4" w:space="0" w:color="000000"/>
              <w:bottom w:val="single" w:sz="4" w:space="0" w:color="000000"/>
              <w:right w:val="single" w:sz="4" w:space="0" w:color="000000"/>
            </w:tcBorders>
          </w:tcPr>
          <w:p w14:paraId="6E3C3F39" w14:textId="77777777" w:rsidR="00C0501D" w:rsidRPr="0097056B" w:rsidRDefault="00C0501D" w:rsidP="00C0501D">
            <w:pPr>
              <w:spacing w:line="259" w:lineRule="auto"/>
              <w:ind w:left="1"/>
              <w:rPr>
                <w:rFonts w:cstheme="minorHAnsi"/>
              </w:rPr>
            </w:pPr>
            <w:r w:rsidRPr="0097056B">
              <w:rPr>
                <w:rFonts w:eastAsia="Calibri" w:cstheme="minorHAnsi"/>
                <w:iCs/>
              </w:rPr>
              <w:t>Appellate Body Report,</w:t>
            </w:r>
            <w:r w:rsidRPr="0097056B">
              <w:rPr>
                <w:rFonts w:eastAsia="Calibri" w:cstheme="minorHAnsi"/>
                <w:i/>
              </w:rPr>
              <w:t xml:space="preserve"> United States – Laws, Regulations and </w:t>
            </w:r>
          </w:p>
          <w:p w14:paraId="185252F0" w14:textId="77777777" w:rsidR="00C0501D" w:rsidRPr="0097056B" w:rsidRDefault="00C0501D" w:rsidP="00C0501D">
            <w:pPr>
              <w:spacing w:line="259" w:lineRule="auto"/>
              <w:ind w:left="1"/>
              <w:rPr>
                <w:rFonts w:cstheme="minorHAnsi"/>
              </w:rPr>
            </w:pPr>
            <w:r w:rsidRPr="0097056B">
              <w:rPr>
                <w:rFonts w:eastAsia="Calibri" w:cstheme="minorHAnsi"/>
                <w:i/>
              </w:rPr>
              <w:t xml:space="preserve">Methodology for Calculating Dumping Margins ("Zeroing"), </w:t>
            </w:r>
          </w:p>
          <w:p w14:paraId="294483F3" w14:textId="77777777" w:rsidR="00C0501D" w:rsidRPr="0097056B" w:rsidRDefault="00C0501D" w:rsidP="00C0501D">
            <w:pPr>
              <w:spacing w:line="259" w:lineRule="auto"/>
              <w:ind w:left="1"/>
              <w:rPr>
                <w:rFonts w:cstheme="minorHAnsi"/>
                <w:iCs/>
              </w:rPr>
            </w:pPr>
            <w:hyperlink r:id="rId31" w:history="1">
              <w:r w:rsidRPr="0097056B">
                <w:rPr>
                  <w:rStyle w:val="Hyperlink"/>
                  <w:rFonts w:eastAsia="Calibri" w:cstheme="minorHAnsi"/>
                  <w:iCs/>
                </w:rPr>
                <w:t>WT/DS294/AB/R</w:t>
              </w:r>
            </w:hyperlink>
            <w:r w:rsidRPr="0097056B">
              <w:rPr>
                <w:rFonts w:eastAsia="Calibri" w:cstheme="minorHAnsi"/>
                <w:iCs/>
              </w:rPr>
              <w:t xml:space="preserve">, adopted 9 May 2006, and Corr.1, DSR 2006:II, p. </w:t>
            </w:r>
          </w:p>
          <w:p w14:paraId="4486D50C" w14:textId="77777777" w:rsidR="00C0501D" w:rsidRPr="0097056B" w:rsidRDefault="00C0501D" w:rsidP="00C0501D">
            <w:pPr>
              <w:spacing w:line="259" w:lineRule="auto"/>
              <w:ind w:left="1"/>
              <w:rPr>
                <w:rFonts w:cstheme="minorHAnsi"/>
              </w:rPr>
            </w:pPr>
            <w:r w:rsidRPr="0097056B">
              <w:rPr>
                <w:rFonts w:eastAsia="Calibri" w:cstheme="minorHAnsi"/>
                <w:iCs/>
              </w:rPr>
              <w:t>417</w:t>
            </w:r>
            <w:r w:rsidRPr="0097056B">
              <w:rPr>
                <w:rFonts w:eastAsia="Calibri" w:cstheme="minorHAnsi"/>
                <w:i/>
              </w:rPr>
              <w:t xml:space="preserve"> </w:t>
            </w:r>
          </w:p>
        </w:tc>
      </w:tr>
    </w:tbl>
    <w:p w14:paraId="60963C48" w14:textId="77777777" w:rsidR="004D7079" w:rsidRPr="0007327B" w:rsidRDefault="004D7079" w:rsidP="004D7079">
      <w:pPr>
        <w:pStyle w:val="BTNSSBodyTextNoSpacingSmall"/>
      </w:pPr>
    </w:p>
    <w:p w14:paraId="7E9392C2" w14:textId="77777777" w:rsidR="008A1191" w:rsidRPr="0007327B" w:rsidRDefault="004524CE" w:rsidP="004524CE">
      <w:pPr>
        <w:pStyle w:val="SHSectionHeading"/>
      </w:pPr>
      <w:bookmarkStart w:id="1" w:name="_Toc35598007"/>
      <w:r w:rsidRPr="0007327B">
        <w:t>List of Acronyms, Abbreviations and Short Forms</w:t>
      </w:r>
      <w:bookmarkEnd w:id="1"/>
    </w:p>
    <w:tbl>
      <w:tblPr>
        <w:tblStyle w:val="TableGrid"/>
        <w:tblW w:w="5081" w:type="pct"/>
        <w:tblInd w:w="-147" w:type="dxa"/>
        <w:tblLook w:val="04A0" w:firstRow="1" w:lastRow="0" w:firstColumn="1" w:lastColumn="0" w:noHBand="0" w:noVBand="1"/>
      </w:tblPr>
      <w:tblGrid>
        <w:gridCol w:w="2410"/>
        <w:gridCol w:w="6797"/>
      </w:tblGrid>
      <w:tr w:rsidR="008A1191" w:rsidRPr="0007327B" w14:paraId="3C11C17B" w14:textId="77777777" w:rsidTr="00EF7568">
        <w:trPr>
          <w:cantSplit/>
          <w:trHeight w:val="397"/>
          <w:tblHeader/>
        </w:trPr>
        <w:tc>
          <w:tcPr>
            <w:tcW w:w="2410" w:type="dxa"/>
            <w:shd w:val="clear" w:color="auto" w:fill="D9D9D9" w:themeFill="background1" w:themeFillShade="D9"/>
          </w:tcPr>
          <w:p w14:paraId="7E721F4C" w14:textId="77777777" w:rsidR="008A1191" w:rsidRPr="0007327B" w:rsidRDefault="008A1191" w:rsidP="008A4C51">
            <w:pPr>
              <w:pStyle w:val="THTableHeading"/>
              <w:jc w:val="center"/>
            </w:pPr>
            <w:r w:rsidRPr="0007327B">
              <w:t>Abbreviation</w:t>
            </w:r>
          </w:p>
        </w:tc>
        <w:tc>
          <w:tcPr>
            <w:tcW w:w="6797" w:type="dxa"/>
            <w:shd w:val="clear" w:color="auto" w:fill="D9D9D9" w:themeFill="background1" w:themeFillShade="D9"/>
          </w:tcPr>
          <w:p w14:paraId="7B27AC81" w14:textId="77777777" w:rsidR="008A1191" w:rsidRPr="0007327B" w:rsidRDefault="008A1191" w:rsidP="008A4C51">
            <w:pPr>
              <w:pStyle w:val="THTableHeading"/>
              <w:jc w:val="center"/>
            </w:pPr>
            <w:r w:rsidRPr="0007327B">
              <w:t>Full Form or Description</w:t>
            </w:r>
          </w:p>
        </w:tc>
      </w:tr>
    </w:tbl>
    <w:tbl>
      <w:tblPr>
        <w:tblStyle w:val="TableGrid0"/>
        <w:tblW w:w="9211" w:type="dxa"/>
        <w:tblInd w:w="-147" w:type="dxa"/>
        <w:tblCellMar>
          <w:top w:w="92" w:type="dxa"/>
          <w:left w:w="107" w:type="dxa"/>
          <w:right w:w="115" w:type="dxa"/>
        </w:tblCellMar>
        <w:tblLook w:val="04A0" w:firstRow="1" w:lastRow="0" w:firstColumn="1" w:lastColumn="0" w:noHBand="0" w:noVBand="1"/>
      </w:tblPr>
      <w:tblGrid>
        <w:gridCol w:w="2410"/>
        <w:gridCol w:w="6801"/>
      </w:tblGrid>
      <w:tr w:rsidR="00B23AC6" w14:paraId="4B23D8A6" w14:textId="77777777" w:rsidTr="00EF7568">
        <w:trPr>
          <w:trHeight w:val="678"/>
        </w:trPr>
        <w:tc>
          <w:tcPr>
            <w:tcW w:w="2410" w:type="dxa"/>
            <w:tcBorders>
              <w:top w:val="single" w:sz="4" w:space="0" w:color="000000"/>
              <w:left w:val="single" w:sz="4" w:space="0" w:color="000000"/>
              <w:bottom w:val="single" w:sz="4" w:space="0" w:color="000000"/>
              <w:right w:val="single" w:sz="4" w:space="0" w:color="000000"/>
            </w:tcBorders>
          </w:tcPr>
          <w:p w14:paraId="103865D3" w14:textId="77777777" w:rsidR="00B23AC6" w:rsidRDefault="00B23AC6" w:rsidP="000737A2">
            <w:pPr>
              <w:spacing w:line="259" w:lineRule="auto"/>
            </w:pPr>
            <w:r>
              <w:t xml:space="preserve">Anti-Dumping Agreement </w:t>
            </w:r>
          </w:p>
        </w:tc>
        <w:tc>
          <w:tcPr>
            <w:tcW w:w="6801" w:type="dxa"/>
            <w:tcBorders>
              <w:top w:val="single" w:sz="4" w:space="0" w:color="000000"/>
              <w:left w:val="single" w:sz="4" w:space="0" w:color="000000"/>
              <w:bottom w:val="single" w:sz="4" w:space="0" w:color="000000"/>
              <w:right w:val="single" w:sz="4" w:space="0" w:color="000000"/>
            </w:tcBorders>
          </w:tcPr>
          <w:p w14:paraId="5EA716D5" w14:textId="77777777" w:rsidR="00B23AC6" w:rsidRDefault="00B23AC6" w:rsidP="000737A2">
            <w:pPr>
              <w:spacing w:line="259" w:lineRule="auto"/>
              <w:ind w:left="2"/>
            </w:pPr>
            <w:r>
              <w:t xml:space="preserve">Agreement on Implementation of Article VI of GATT 1994 </w:t>
            </w:r>
          </w:p>
        </w:tc>
      </w:tr>
      <w:tr w:rsidR="0034420D" w14:paraId="74CD65AF" w14:textId="77777777" w:rsidTr="00EF7568">
        <w:trPr>
          <w:trHeight w:val="408"/>
        </w:trPr>
        <w:tc>
          <w:tcPr>
            <w:tcW w:w="2410" w:type="dxa"/>
            <w:tcBorders>
              <w:top w:val="single" w:sz="4" w:space="0" w:color="000000"/>
              <w:left w:val="single" w:sz="4" w:space="0" w:color="000000"/>
              <w:bottom w:val="single" w:sz="4" w:space="0" w:color="000000"/>
              <w:right w:val="single" w:sz="4" w:space="0" w:color="000000"/>
            </w:tcBorders>
          </w:tcPr>
          <w:p w14:paraId="393B2807" w14:textId="77777777" w:rsidR="0034420D" w:rsidRDefault="0034420D" w:rsidP="0034420D">
            <w:pPr>
              <w:spacing w:line="259" w:lineRule="auto"/>
            </w:pPr>
            <w:r w:rsidRPr="0076316A">
              <w:t>Commission</w:t>
            </w:r>
          </w:p>
        </w:tc>
        <w:tc>
          <w:tcPr>
            <w:tcW w:w="6801" w:type="dxa"/>
            <w:tcBorders>
              <w:top w:val="single" w:sz="4" w:space="0" w:color="000000"/>
              <w:left w:val="single" w:sz="4" w:space="0" w:color="000000"/>
              <w:bottom w:val="single" w:sz="4" w:space="0" w:color="000000"/>
              <w:right w:val="single" w:sz="4" w:space="0" w:color="000000"/>
            </w:tcBorders>
          </w:tcPr>
          <w:p w14:paraId="2D7B7893" w14:textId="77777777" w:rsidR="0034420D" w:rsidRDefault="0034420D" w:rsidP="0034420D">
            <w:pPr>
              <w:spacing w:line="259" w:lineRule="auto"/>
              <w:ind w:left="2"/>
            </w:pPr>
            <w:r w:rsidRPr="00F95299">
              <w:t>European Commission</w:t>
            </w:r>
          </w:p>
        </w:tc>
      </w:tr>
      <w:tr w:rsidR="0034420D" w14:paraId="1E3824C3" w14:textId="77777777" w:rsidTr="00EF7568">
        <w:trPr>
          <w:trHeight w:val="408"/>
        </w:trPr>
        <w:tc>
          <w:tcPr>
            <w:tcW w:w="2410" w:type="dxa"/>
            <w:tcBorders>
              <w:top w:val="single" w:sz="4" w:space="0" w:color="000000"/>
              <w:left w:val="single" w:sz="4" w:space="0" w:color="000000"/>
              <w:bottom w:val="single" w:sz="4" w:space="0" w:color="000000"/>
              <w:right w:val="single" w:sz="4" w:space="0" w:color="000000"/>
            </w:tcBorders>
          </w:tcPr>
          <w:p w14:paraId="06C2D2F4" w14:textId="77777777" w:rsidR="0034420D" w:rsidRDefault="0034420D" w:rsidP="0034420D">
            <w:pPr>
              <w:spacing w:line="259" w:lineRule="auto"/>
            </w:pPr>
            <w:r w:rsidRPr="0076316A">
              <w:t>GATT</w:t>
            </w:r>
          </w:p>
        </w:tc>
        <w:tc>
          <w:tcPr>
            <w:tcW w:w="6801" w:type="dxa"/>
            <w:tcBorders>
              <w:top w:val="single" w:sz="4" w:space="0" w:color="000000"/>
              <w:left w:val="single" w:sz="4" w:space="0" w:color="000000"/>
              <w:bottom w:val="single" w:sz="4" w:space="0" w:color="000000"/>
              <w:right w:val="single" w:sz="4" w:space="0" w:color="000000"/>
            </w:tcBorders>
          </w:tcPr>
          <w:p w14:paraId="7B238F29" w14:textId="77777777" w:rsidR="0034420D" w:rsidRDefault="0034420D" w:rsidP="0034420D">
            <w:pPr>
              <w:spacing w:line="259" w:lineRule="auto"/>
              <w:ind w:left="2"/>
            </w:pPr>
            <w:r w:rsidRPr="00F95299">
              <w:t>General Agreement on Tariffs and Trade 1994</w:t>
            </w:r>
          </w:p>
        </w:tc>
      </w:tr>
      <w:tr w:rsidR="0034420D" w14:paraId="76152E81" w14:textId="77777777" w:rsidTr="00EF7568">
        <w:trPr>
          <w:trHeight w:val="408"/>
        </w:trPr>
        <w:tc>
          <w:tcPr>
            <w:tcW w:w="2410" w:type="dxa"/>
            <w:tcBorders>
              <w:top w:val="single" w:sz="4" w:space="0" w:color="000000"/>
              <w:left w:val="single" w:sz="4" w:space="0" w:color="000000"/>
              <w:bottom w:val="single" w:sz="4" w:space="0" w:color="000000"/>
              <w:right w:val="single" w:sz="4" w:space="0" w:color="000000"/>
            </w:tcBorders>
          </w:tcPr>
          <w:p w14:paraId="6AE712E5" w14:textId="77777777" w:rsidR="0034420D" w:rsidRDefault="0034420D" w:rsidP="0034420D">
            <w:pPr>
              <w:spacing w:line="259" w:lineRule="auto"/>
            </w:pPr>
            <w:r>
              <w:t xml:space="preserve">Member </w:t>
            </w:r>
          </w:p>
        </w:tc>
        <w:tc>
          <w:tcPr>
            <w:tcW w:w="6801" w:type="dxa"/>
            <w:tcBorders>
              <w:top w:val="single" w:sz="4" w:space="0" w:color="000000"/>
              <w:left w:val="single" w:sz="4" w:space="0" w:color="000000"/>
              <w:bottom w:val="single" w:sz="4" w:space="0" w:color="000000"/>
              <w:right w:val="single" w:sz="4" w:space="0" w:color="000000"/>
            </w:tcBorders>
          </w:tcPr>
          <w:p w14:paraId="3DCCD506" w14:textId="77777777" w:rsidR="0034420D" w:rsidRDefault="0034420D" w:rsidP="0034420D">
            <w:pPr>
              <w:spacing w:line="259" w:lineRule="auto"/>
              <w:ind w:left="2"/>
            </w:pPr>
            <w:r>
              <w:t xml:space="preserve">Member of the World Trade Organization </w:t>
            </w:r>
          </w:p>
        </w:tc>
      </w:tr>
      <w:tr w:rsidR="0034420D" w14:paraId="6B2FECEF" w14:textId="77777777" w:rsidTr="00EF7568">
        <w:trPr>
          <w:trHeight w:val="406"/>
        </w:trPr>
        <w:tc>
          <w:tcPr>
            <w:tcW w:w="2410" w:type="dxa"/>
            <w:tcBorders>
              <w:top w:val="single" w:sz="4" w:space="0" w:color="000000"/>
              <w:left w:val="single" w:sz="4" w:space="0" w:color="000000"/>
              <w:bottom w:val="single" w:sz="4" w:space="0" w:color="000000"/>
              <w:right w:val="single" w:sz="4" w:space="0" w:color="000000"/>
            </w:tcBorders>
          </w:tcPr>
          <w:p w14:paraId="25A5F736" w14:textId="77777777" w:rsidR="0034420D" w:rsidRDefault="0034420D" w:rsidP="0034420D">
            <w:pPr>
              <w:spacing w:line="259" w:lineRule="auto"/>
            </w:pPr>
            <w:r>
              <w:t xml:space="preserve">WTO </w:t>
            </w:r>
          </w:p>
        </w:tc>
        <w:tc>
          <w:tcPr>
            <w:tcW w:w="6801" w:type="dxa"/>
            <w:tcBorders>
              <w:top w:val="single" w:sz="4" w:space="0" w:color="000000"/>
              <w:left w:val="single" w:sz="4" w:space="0" w:color="000000"/>
              <w:bottom w:val="single" w:sz="4" w:space="0" w:color="000000"/>
              <w:right w:val="single" w:sz="4" w:space="0" w:color="000000"/>
            </w:tcBorders>
          </w:tcPr>
          <w:p w14:paraId="6B099F44" w14:textId="77777777" w:rsidR="0034420D" w:rsidRDefault="0034420D" w:rsidP="0034420D">
            <w:pPr>
              <w:spacing w:line="259" w:lineRule="auto"/>
              <w:ind w:left="2"/>
            </w:pPr>
            <w:r>
              <w:t xml:space="preserve">World Trade Organization </w:t>
            </w:r>
          </w:p>
        </w:tc>
      </w:tr>
    </w:tbl>
    <w:p w14:paraId="28A18922" w14:textId="77777777" w:rsidR="0023272D" w:rsidRPr="0007327B" w:rsidRDefault="0023272D" w:rsidP="0023272D">
      <w:pPr>
        <w:pStyle w:val="BTNSSBodyTextNoSpacingSmall"/>
      </w:pPr>
    </w:p>
    <w:p w14:paraId="58169E03" w14:textId="77777777" w:rsidR="00D47F18" w:rsidRPr="0007327B" w:rsidRDefault="00D47F18" w:rsidP="00D52A17">
      <w:pPr>
        <w:pStyle w:val="BTBodyText"/>
      </w:pPr>
      <w:r w:rsidRPr="0007327B">
        <w:br w:type="page"/>
      </w:r>
    </w:p>
    <w:p w14:paraId="76B8CFEC" w14:textId="1992B1E6" w:rsidR="0034420D" w:rsidRDefault="0034420D" w:rsidP="0034420D">
      <w:pPr>
        <w:pStyle w:val="HL1HeadingLevel1"/>
      </w:pPr>
      <w:bookmarkStart w:id="2" w:name="_Toc211356581"/>
      <w:bookmarkStart w:id="3" w:name="_Toc9205"/>
      <w:r>
        <w:lastRenderedPageBreak/>
        <w:t>EXECUTIVE SUMMARY OF AUSTRALIA’S WRITTEN SUBMISSION</w:t>
      </w:r>
      <w:bookmarkEnd w:id="2"/>
    </w:p>
    <w:p w14:paraId="754822B1" w14:textId="77777777" w:rsidR="0034420D" w:rsidRPr="00F22D22" w:rsidRDefault="0034420D" w:rsidP="0034420D">
      <w:pPr>
        <w:pStyle w:val="HL2HeadingLevel2"/>
        <w:numPr>
          <w:ilvl w:val="1"/>
          <w:numId w:val="2"/>
        </w:numPr>
      </w:pPr>
      <w:bookmarkStart w:id="4" w:name="_Toc9206"/>
      <w:bookmarkEnd w:id="3"/>
      <w:r w:rsidRPr="00F22D22">
        <w:t xml:space="preserve">"As Such" Challenges of Unwritten Measures </w:t>
      </w:r>
    </w:p>
    <w:p w14:paraId="0EA47339" w14:textId="0FE36198" w:rsidR="0030542C" w:rsidRDefault="0030542C" w:rsidP="0030542C">
      <w:pPr>
        <w:pStyle w:val="ListParagraph"/>
        <w:numPr>
          <w:ilvl w:val="0"/>
          <w:numId w:val="9"/>
        </w:numPr>
        <w:spacing w:after="188" w:line="361" w:lineRule="auto"/>
      </w:pPr>
      <w:r>
        <w:t>"</w:t>
      </w:r>
      <w:r w:rsidR="00464B94">
        <w:t xml:space="preserve">As </w:t>
      </w:r>
      <w:r>
        <w:t>such" challenges against an unwritten measure are serious.</w:t>
      </w:r>
      <w:r w:rsidR="003255B8">
        <w:rPr>
          <w:rStyle w:val="FootnoteReference"/>
        </w:rPr>
        <w:footnoteReference w:id="1"/>
      </w:r>
      <w:r>
        <w:t xml:space="preserve"> </w:t>
      </w:r>
      <w:bookmarkEnd w:id="4"/>
      <w:r w:rsidR="00582EA7">
        <w:t xml:space="preserve">In satisfying a Panel as to whether </w:t>
      </w:r>
      <w:r w:rsidR="00B23AC6">
        <w:t>an unwritten measure can be subject to an "as such" challenge, "a complaining party must clearly establish, through arguments and supporting evidence, at least that the alleged "rule or norm" is attributable to the responding Member; its precise content; and indeed, that it does have general and prospective application."</w:t>
      </w:r>
      <w:r w:rsidR="00B23AC6">
        <w:rPr>
          <w:vertAlign w:val="superscript"/>
        </w:rPr>
        <w:footnoteReference w:id="2"/>
      </w:r>
      <w:r w:rsidR="00B23AC6">
        <w:t xml:space="preserve"> This is a "high threshold"</w:t>
      </w:r>
      <w:r>
        <w:rPr>
          <w:vertAlign w:val="superscript"/>
        </w:rPr>
        <w:footnoteReference w:id="3"/>
      </w:r>
      <w:r>
        <w:t xml:space="preserve"> </w:t>
      </w:r>
      <w:r w:rsidR="00B23AC6">
        <w:t>in that each element must be sufficiently demonstrated by the evidence.</w:t>
      </w:r>
    </w:p>
    <w:p w14:paraId="0A8CBE55" w14:textId="030ACB78" w:rsidR="00B23AC6" w:rsidRDefault="00B23AC6" w:rsidP="0030542C">
      <w:pPr>
        <w:pStyle w:val="ListParagraph"/>
        <w:numPr>
          <w:ilvl w:val="0"/>
          <w:numId w:val="9"/>
        </w:numPr>
        <w:spacing w:after="188" w:line="361" w:lineRule="auto"/>
      </w:pPr>
      <w:r>
        <w:t xml:space="preserve">Previous </w:t>
      </w:r>
      <w:r w:rsidR="00582EA7">
        <w:t>Panels</w:t>
      </w:r>
      <w:r>
        <w:t xml:space="preserve"> have found that an unwritten measure can be determined from secondary sources of evidence.</w:t>
      </w:r>
      <w:r>
        <w:rPr>
          <w:vertAlign w:val="superscript"/>
        </w:rPr>
        <w:footnoteReference w:id="4"/>
      </w:r>
      <w:r>
        <w:t xml:space="preserve"> </w:t>
      </w:r>
      <w:r w:rsidR="0030542C">
        <w:t>I</w:t>
      </w:r>
      <w:r>
        <w:t xml:space="preserve">t is open to </w:t>
      </w:r>
      <w:r w:rsidR="007E57FB">
        <w:t xml:space="preserve">a panel </w:t>
      </w:r>
      <w:r>
        <w:t xml:space="preserve">to consider the collective weight of a complainant’s evidence in establishing the existence and content of the unwritten measure. </w:t>
      </w:r>
    </w:p>
    <w:p w14:paraId="465EF6FA" w14:textId="10F5DA2C" w:rsidR="0030542C" w:rsidRDefault="00B23AC6" w:rsidP="00B23AC6">
      <w:pPr>
        <w:numPr>
          <w:ilvl w:val="0"/>
          <w:numId w:val="9"/>
        </w:numPr>
        <w:spacing w:after="188" w:line="361" w:lineRule="auto"/>
        <w:ind w:hanging="10"/>
      </w:pPr>
      <w:r>
        <w:t xml:space="preserve">Turning to whether </w:t>
      </w:r>
      <w:r w:rsidR="00464B94">
        <w:t xml:space="preserve">an </w:t>
      </w:r>
      <w:r>
        <w:t>alleged unwritten measure has "general and prospective application", this may be found if the measure reflects a deliberate policy, going beyond the mere repetition of the application of the measure in specific instances.</w:t>
      </w:r>
      <w:r>
        <w:rPr>
          <w:vertAlign w:val="superscript"/>
        </w:rPr>
        <w:footnoteReference w:id="5"/>
      </w:r>
      <w:r>
        <w:t xml:space="preserve"> </w:t>
      </w:r>
      <w:r w:rsidR="00E95EE4">
        <w:t>R</w:t>
      </w:r>
      <w:r>
        <w:t xml:space="preserve">elevant evidence may include proof of the measure’s </w:t>
      </w:r>
      <w:r w:rsidR="00D81B35">
        <w:t>"</w:t>
      </w:r>
      <w:r>
        <w:t>systematic application</w:t>
      </w:r>
      <w:r w:rsidR="00D81B35">
        <w:t>"</w:t>
      </w:r>
      <w:r>
        <w:t>.</w:t>
      </w:r>
      <w:r>
        <w:rPr>
          <w:vertAlign w:val="superscript"/>
        </w:rPr>
        <w:footnoteReference w:id="6"/>
      </w:r>
      <w:r>
        <w:t xml:space="preserve"> </w:t>
      </w:r>
    </w:p>
    <w:p w14:paraId="71123DDA" w14:textId="42BF7C69" w:rsidR="00464B94" w:rsidRDefault="00464B94" w:rsidP="0030542C">
      <w:pPr>
        <w:numPr>
          <w:ilvl w:val="0"/>
          <w:numId w:val="9"/>
        </w:numPr>
        <w:spacing w:after="188" w:line="361" w:lineRule="auto"/>
        <w:ind w:hanging="10"/>
      </w:pPr>
      <w:r>
        <w:t>As t</w:t>
      </w:r>
      <w:r w:rsidR="00B23AC6">
        <w:t>he Appellate Body has identified, "the extent to which a particular rule or norm provides administrative guidance for future conduct and the expectations it creates among economic operators that it will be applied in the future, are also relevant in establishing the prospective nature of that rule or norm."</w:t>
      </w:r>
      <w:r w:rsidR="00B23AC6">
        <w:rPr>
          <w:vertAlign w:val="superscript"/>
        </w:rPr>
        <w:footnoteReference w:id="7"/>
      </w:r>
      <w:r w:rsidR="00B23AC6">
        <w:t xml:space="preserve"> </w:t>
      </w:r>
    </w:p>
    <w:p w14:paraId="691C8400" w14:textId="666CA567" w:rsidR="00B23AC6" w:rsidRDefault="00B23AC6" w:rsidP="0030542C">
      <w:pPr>
        <w:numPr>
          <w:ilvl w:val="0"/>
          <w:numId w:val="9"/>
        </w:numPr>
        <w:spacing w:after="188" w:line="361" w:lineRule="auto"/>
        <w:ind w:hanging="10"/>
      </w:pPr>
      <w:r>
        <w:t>The Panel could consider whether the instances identified by Indonesia have the required frequency, consistency and extended repetition.</w:t>
      </w:r>
      <w:r>
        <w:rPr>
          <w:vertAlign w:val="superscript"/>
        </w:rPr>
        <w:footnoteReference w:id="8"/>
      </w:r>
      <w:r>
        <w:t xml:space="preserve"> </w:t>
      </w:r>
    </w:p>
    <w:p w14:paraId="0600D76F" w14:textId="4714AB59" w:rsidR="00B23AC6" w:rsidRDefault="00B23AC6" w:rsidP="00900FED">
      <w:pPr>
        <w:numPr>
          <w:ilvl w:val="0"/>
          <w:numId w:val="9"/>
        </w:numPr>
        <w:spacing w:after="188" w:line="361" w:lineRule="auto"/>
        <w:ind w:hanging="10"/>
      </w:pPr>
      <w:r>
        <w:lastRenderedPageBreak/>
        <w:t>A limited number of specific applications may not have sufficient probative value to demonstrate either the precise content of a measure, or that it has general and prospective application.</w:t>
      </w:r>
      <w:r>
        <w:rPr>
          <w:vertAlign w:val="superscript"/>
        </w:rPr>
        <w:footnoteReference w:id="9"/>
      </w:r>
    </w:p>
    <w:p w14:paraId="69557239" w14:textId="736F24EF" w:rsidR="00B23AC6" w:rsidRDefault="00BE446D" w:rsidP="00900FED">
      <w:pPr>
        <w:pStyle w:val="HL2HeadingLevel2"/>
        <w:numPr>
          <w:ilvl w:val="1"/>
          <w:numId w:val="2"/>
        </w:numPr>
      </w:pPr>
      <w:bookmarkStart w:id="5" w:name="_Toc9207"/>
      <w:r>
        <w:t>Standing</w:t>
      </w:r>
      <w:bookmarkEnd w:id="5"/>
    </w:p>
    <w:p w14:paraId="64CBB8DB" w14:textId="29A47406" w:rsidR="009F70DA" w:rsidRDefault="00464B94" w:rsidP="0008701E">
      <w:pPr>
        <w:numPr>
          <w:ilvl w:val="0"/>
          <w:numId w:val="9"/>
        </w:numPr>
        <w:spacing w:after="188" w:line="361" w:lineRule="auto"/>
        <w:ind w:hanging="10"/>
      </w:pPr>
      <w:r>
        <w:t>O</w:t>
      </w:r>
      <w:r w:rsidR="00B23AC6">
        <w:t>nce an investigating authority is satisfied of the adequacy and accuracy</w:t>
      </w:r>
      <w:r w:rsidR="00B23AC6">
        <w:rPr>
          <w:vertAlign w:val="superscript"/>
        </w:rPr>
        <w:footnoteReference w:id="10"/>
      </w:r>
      <w:r w:rsidR="00B23AC6">
        <w:t xml:space="preserve"> of the information forming the basis for the standing determination, the investigation should proceed without reconsideration of </w:t>
      </w:r>
      <w:r w:rsidR="007E57FB">
        <w:t xml:space="preserve">the </w:t>
      </w:r>
      <w:r w:rsidR="00B23AC6">
        <w:t>determination – even if the support justifying the initiation subsequently falls below the requisite numerical benchmark.</w:t>
      </w:r>
    </w:p>
    <w:p w14:paraId="1AFE40DB" w14:textId="0F67DA4D" w:rsidR="002B295E" w:rsidRPr="002B295E" w:rsidRDefault="00B23AC6" w:rsidP="0008701E">
      <w:pPr>
        <w:numPr>
          <w:ilvl w:val="0"/>
          <w:numId w:val="9"/>
        </w:numPr>
        <w:spacing w:after="188" w:line="361" w:lineRule="auto"/>
        <w:ind w:hanging="10"/>
      </w:pPr>
      <w:r>
        <w:t xml:space="preserve">Article 5.4 </w:t>
      </w:r>
      <w:r w:rsidR="00464B94">
        <w:t xml:space="preserve">of the Anti-Dumping Agreement </w:t>
      </w:r>
      <w:r>
        <w:t xml:space="preserve">pertains exclusively to initiation </w:t>
      </w:r>
      <w:r w:rsidR="00464B94">
        <w:t xml:space="preserve">– </w:t>
      </w:r>
      <w:r>
        <w:t>there is</w:t>
      </w:r>
      <w:r w:rsidRPr="009F70DA">
        <w:rPr>
          <w:rFonts w:eastAsia="Calibri" w:cs="Calibri"/>
          <w:i/>
        </w:rPr>
        <w:t xml:space="preserve"> </w:t>
      </w:r>
      <w:r>
        <w:t>no on-going obligation to monitor domestic industry support once an investigation has been initiated under the Anti-Dumping Agreement.</w:t>
      </w:r>
      <w:r w:rsidR="007142FB">
        <w:rPr>
          <w:rStyle w:val="FootnoteReference"/>
        </w:rPr>
        <w:footnoteReference w:id="11"/>
      </w:r>
      <w:r>
        <w:t xml:space="preserve"> </w:t>
      </w:r>
      <w:r w:rsidR="009F70DA">
        <w:t>T</w:t>
      </w:r>
      <w:r>
        <w:t xml:space="preserve">o impose an obligation on the investigating authority to revisit standing after initiation of the investigation would undermine </w:t>
      </w:r>
      <w:r w:rsidR="009F70DA">
        <w:t>its</w:t>
      </w:r>
      <w:r>
        <w:t xml:space="preserve"> ability to focus on completing a proper investigation without unnecessary delay. </w:t>
      </w:r>
    </w:p>
    <w:p w14:paraId="34F72504" w14:textId="195465CA" w:rsidR="0034420D" w:rsidRDefault="00A215A1" w:rsidP="0034420D">
      <w:pPr>
        <w:pStyle w:val="HL1HeadingLevel1"/>
      </w:pPr>
      <w:r>
        <w:rPr>
          <w:caps w:val="0"/>
        </w:rPr>
        <w:t xml:space="preserve">EXECUTIVE SUMMARY OF AUSTRALIA'S ORAL STATEMENT </w:t>
      </w:r>
    </w:p>
    <w:p w14:paraId="070853A5" w14:textId="6ABC8C11" w:rsidR="00C72FCB" w:rsidRPr="00C72FCB" w:rsidRDefault="004D5501" w:rsidP="00C72FCB">
      <w:pPr>
        <w:pStyle w:val="HL2HeadingLevel2"/>
        <w:numPr>
          <w:ilvl w:val="1"/>
          <w:numId w:val="2"/>
        </w:numPr>
        <w:rPr>
          <w:caps/>
          <w:szCs w:val="32"/>
        </w:rPr>
      </w:pPr>
      <w:bookmarkStart w:id="6" w:name="_Toc210748986"/>
      <w:bookmarkStart w:id="7" w:name="_Toc211353380"/>
      <w:r>
        <w:t>Article X:3(</w:t>
      </w:r>
      <w:r w:rsidR="00E00779">
        <w:t>a</w:t>
      </w:r>
      <w:r>
        <w:t>) of the GATT</w:t>
      </w:r>
      <w:bookmarkEnd w:id="6"/>
      <w:bookmarkEnd w:id="7"/>
      <w:r w:rsidR="00C72FCB" w:rsidRPr="00C72FCB">
        <w:rPr>
          <w:caps/>
          <w:szCs w:val="32"/>
        </w:rPr>
        <w:t xml:space="preserve"> </w:t>
      </w:r>
    </w:p>
    <w:p w14:paraId="79107B6E" w14:textId="2503E2D2" w:rsidR="00C72FCB" w:rsidRPr="00C72FCB" w:rsidRDefault="00C72FCB" w:rsidP="0008701E">
      <w:pPr>
        <w:numPr>
          <w:ilvl w:val="0"/>
          <w:numId w:val="9"/>
        </w:numPr>
        <w:spacing w:after="188" w:line="361" w:lineRule="auto"/>
        <w:ind w:hanging="10"/>
      </w:pPr>
      <w:r w:rsidRPr="00C72FCB">
        <w:t>Article X</w:t>
      </w:r>
      <w:r>
        <w:t>:3(a)</w:t>
      </w:r>
      <w:r w:rsidRPr="00C72FCB">
        <w:t xml:space="preserve"> </w:t>
      </w:r>
      <w:r w:rsidRPr="00C72FCB">
        <w:rPr>
          <w:rFonts w:asciiTheme="minorHAnsi" w:hAnsiTheme="minorHAnsi" w:cstheme="minorHAnsi"/>
          <w:lang w:val="en-US"/>
        </w:rPr>
        <w:t>of the GATT</w:t>
      </w:r>
      <w:r w:rsidRPr="00C72FCB">
        <w:rPr>
          <w:rFonts w:asciiTheme="minorHAnsi" w:hAnsiTheme="minorHAnsi"/>
          <w:lang w:val="en-US"/>
        </w:rPr>
        <w:t xml:space="preserve"> </w:t>
      </w:r>
      <w:r w:rsidRPr="00C72FCB">
        <w:t>requires the Panel to exercise a balanced judgment between the fundamental right of traders to procedural fairness and the sovereign right afforded to Members to manage how they administer their laws and regulations.</w:t>
      </w:r>
      <w:r w:rsidRPr="00C72FCB">
        <w:rPr>
          <w:vertAlign w:val="superscript"/>
        </w:rPr>
        <w:footnoteReference w:id="12"/>
      </w:r>
      <w:r w:rsidRPr="00C72FCB">
        <w:t xml:space="preserve"> </w:t>
      </w:r>
      <w:r w:rsidR="00464B94">
        <w:t>N</w:t>
      </w:r>
      <w:r w:rsidRPr="00C72FCB">
        <w:t>on</w:t>
      </w:r>
      <w:r w:rsidR="007E57FB">
        <w:noBreakHyphen/>
      </w:r>
      <w:r w:rsidRPr="00C72FCB">
        <w:t>uniformity or differences in administrative processes do not, by themselves, constitute a violation of Article X</w:t>
      </w:r>
      <w:r>
        <w:t>:3(a)</w:t>
      </w:r>
      <w:r w:rsidR="009F70DA">
        <w:t xml:space="preserve"> of the GATT</w:t>
      </w:r>
      <w:r w:rsidRPr="00C72FCB">
        <w:t>.</w:t>
      </w:r>
      <w:r w:rsidRPr="00C72FCB">
        <w:rPr>
          <w:vertAlign w:val="superscript"/>
        </w:rPr>
        <w:footnoteReference w:id="13"/>
      </w:r>
    </w:p>
    <w:p w14:paraId="51516B81" w14:textId="6A3ACC07" w:rsidR="00847EDC" w:rsidRDefault="00C72FCB" w:rsidP="003C1BE8">
      <w:pPr>
        <w:numPr>
          <w:ilvl w:val="0"/>
          <w:numId w:val="9"/>
        </w:numPr>
        <w:spacing w:after="188" w:line="361" w:lineRule="auto"/>
        <w:ind w:hanging="10"/>
      </w:pPr>
      <w:r w:rsidRPr="00C72FCB">
        <w:rPr>
          <w:rFonts w:asciiTheme="minorHAnsi" w:hAnsiTheme="minorHAnsi" w:cstheme="minorHAnsi"/>
        </w:rPr>
        <w:t xml:space="preserve">The requirement of uniform administration of laws and regulations has been understood to mean </w:t>
      </w:r>
      <w:r w:rsidRPr="00C72FCB">
        <w:rPr>
          <w:lang w:val="en-US"/>
        </w:rPr>
        <w:t>"</w:t>
      </w:r>
      <w:r w:rsidRPr="00C72FCB">
        <w:rPr>
          <w:rFonts w:asciiTheme="minorHAnsi" w:hAnsiTheme="minorHAnsi" w:cstheme="minorHAnsi"/>
        </w:rPr>
        <w:t>uniformity of treatment in respect of persons similarly situated</w:t>
      </w:r>
      <w:r w:rsidRPr="00C72FCB">
        <w:t>"</w:t>
      </w:r>
      <w:r w:rsidRPr="00C72FCB">
        <w:rPr>
          <w:rFonts w:asciiTheme="minorHAnsi" w:hAnsiTheme="minorHAnsi" w:cstheme="minorHAnsi"/>
        </w:rPr>
        <w:t>.</w:t>
      </w:r>
      <w:r w:rsidRPr="00C72FCB">
        <w:rPr>
          <w:rFonts w:asciiTheme="minorHAnsi" w:hAnsiTheme="minorHAnsi" w:cstheme="minorHAnsi"/>
          <w:vertAlign w:val="superscript"/>
        </w:rPr>
        <w:footnoteReference w:id="14"/>
      </w:r>
      <w:r>
        <w:rPr>
          <w:rFonts w:asciiTheme="minorHAnsi" w:hAnsiTheme="minorHAnsi" w:cstheme="minorHAnsi"/>
        </w:rPr>
        <w:t xml:space="preserve"> </w:t>
      </w:r>
      <w:r w:rsidRPr="00C72FCB">
        <w:t>"</w:t>
      </w:r>
      <w:r>
        <w:rPr>
          <w:rFonts w:asciiTheme="minorHAnsi" w:hAnsiTheme="minorHAnsi" w:cstheme="minorHAnsi"/>
          <w:lang w:val="en-US"/>
        </w:rPr>
        <w:t>U</w:t>
      </w:r>
      <w:r w:rsidRPr="00C72FCB">
        <w:rPr>
          <w:rFonts w:asciiTheme="minorHAnsi" w:hAnsiTheme="minorHAnsi" w:cstheme="minorHAnsi"/>
          <w:lang w:val="en-US"/>
        </w:rPr>
        <w:t>niform</w:t>
      </w:r>
      <w:r w:rsidRPr="00C72FCB">
        <w:t>"</w:t>
      </w:r>
      <w:r w:rsidRPr="00C72FCB">
        <w:rPr>
          <w:rFonts w:asciiTheme="minorHAnsi" w:hAnsiTheme="minorHAnsi" w:cstheme="minorHAnsi"/>
          <w:lang w:val="en-US"/>
        </w:rPr>
        <w:t xml:space="preserve"> administration under Article X</w:t>
      </w:r>
      <w:r>
        <w:rPr>
          <w:rFonts w:asciiTheme="minorHAnsi" w:hAnsiTheme="minorHAnsi" w:cstheme="minorHAnsi"/>
          <w:lang w:val="en-US"/>
        </w:rPr>
        <w:t>:3(a)</w:t>
      </w:r>
      <w:r w:rsidRPr="00C72FCB">
        <w:rPr>
          <w:rFonts w:asciiTheme="minorHAnsi" w:hAnsiTheme="minorHAnsi" w:cstheme="minorHAnsi"/>
          <w:lang w:val="en-US"/>
        </w:rPr>
        <w:t xml:space="preserve"> requires that laws be applied in a consistent and predictable manner.</w:t>
      </w:r>
      <w:r w:rsidRPr="00C72FCB">
        <w:rPr>
          <w:rFonts w:cstheme="minorHAnsi"/>
          <w:vertAlign w:val="superscript"/>
          <w:lang w:val="en-US"/>
        </w:rPr>
        <w:footnoteReference w:id="15"/>
      </w:r>
      <w:r w:rsidRPr="00C72FCB">
        <w:rPr>
          <w:rFonts w:cstheme="minorHAnsi"/>
          <w:vertAlign w:val="superscript"/>
          <w:lang w:val="en-US"/>
        </w:rPr>
        <w:t xml:space="preserve"> </w:t>
      </w:r>
      <w:r w:rsidRPr="00C72FCB">
        <w:t>"</w:t>
      </w:r>
      <w:r w:rsidRPr="00847EDC">
        <w:rPr>
          <w:rFonts w:asciiTheme="minorHAnsi" w:hAnsiTheme="minorHAnsi" w:cstheme="minorHAnsi"/>
        </w:rPr>
        <w:t>Reasonable</w:t>
      </w:r>
      <w:r w:rsidRPr="00C72FCB">
        <w:t>"</w:t>
      </w:r>
      <w:r w:rsidRPr="00847EDC">
        <w:rPr>
          <w:rFonts w:asciiTheme="minorHAnsi" w:hAnsiTheme="minorHAnsi" w:cstheme="minorHAnsi"/>
        </w:rPr>
        <w:t xml:space="preserve"> has been interpreted to mean </w:t>
      </w:r>
      <w:r w:rsidRPr="00C72FCB">
        <w:t>"</w:t>
      </w:r>
      <w:r w:rsidRPr="00847EDC">
        <w:rPr>
          <w:rFonts w:asciiTheme="minorHAnsi" w:hAnsiTheme="minorHAnsi" w:cstheme="minorHAnsi"/>
        </w:rPr>
        <w:t>not irrational or absurd</w:t>
      </w:r>
      <w:r w:rsidRPr="00C72FCB">
        <w:t>"</w:t>
      </w:r>
      <w:r w:rsidRPr="00847EDC">
        <w:rPr>
          <w:rFonts w:asciiTheme="minorHAnsi" w:hAnsiTheme="minorHAnsi" w:cstheme="minorHAnsi"/>
        </w:rPr>
        <w:t xml:space="preserve">, </w:t>
      </w:r>
      <w:r w:rsidRPr="00C72FCB">
        <w:lastRenderedPageBreak/>
        <w:t>"</w:t>
      </w:r>
      <w:r w:rsidRPr="00847EDC">
        <w:rPr>
          <w:rFonts w:asciiTheme="minorHAnsi" w:hAnsiTheme="minorHAnsi" w:cstheme="minorHAnsi"/>
        </w:rPr>
        <w:t>proportionate</w:t>
      </w:r>
      <w:r w:rsidRPr="00C72FCB">
        <w:t>"</w:t>
      </w:r>
      <w:r w:rsidRPr="00847EDC">
        <w:rPr>
          <w:rFonts w:asciiTheme="minorHAnsi" w:hAnsiTheme="minorHAnsi" w:cstheme="minorHAnsi"/>
        </w:rPr>
        <w:t xml:space="preserve">, and </w:t>
      </w:r>
      <w:r w:rsidRPr="00C72FCB">
        <w:t>"</w:t>
      </w:r>
      <w:r w:rsidRPr="00847EDC">
        <w:rPr>
          <w:rFonts w:asciiTheme="minorHAnsi" w:hAnsiTheme="minorHAnsi" w:cstheme="minorHAnsi"/>
        </w:rPr>
        <w:t>within the limits of reason</w:t>
      </w:r>
      <w:r w:rsidRPr="00C72FCB">
        <w:t>, not greatly less or more than might be thought likely or appropriate".</w:t>
      </w:r>
      <w:r w:rsidRPr="00C72FCB">
        <w:rPr>
          <w:vertAlign w:val="superscript"/>
        </w:rPr>
        <w:footnoteReference w:id="16"/>
      </w:r>
      <w:r w:rsidRPr="00C72FCB">
        <w:t xml:space="preserve"> </w:t>
      </w:r>
    </w:p>
    <w:p w14:paraId="46EB3B6A" w14:textId="33184D51" w:rsidR="00C72FCB" w:rsidRPr="00C72FCB" w:rsidRDefault="00C72FCB" w:rsidP="003C1BE8">
      <w:pPr>
        <w:numPr>
          <w:ilvl w:val="0"/>
          <w:numId w:val="9"/>
        </w:numPr>
        <w:spacing w:after="188" w:line="361" w:lineRule="auto"/>
        <w:ind w:hanging="10"/>
      </w:pPr>
      <w:r>
        <w:t>W</w:t>
      </w:r>
      <w:r w:rsidRPr="00C72FCB">
        <w:t>hether an act of administration can be considered reasonable within the meaning of Article X</w:t>
      </w:r>
      <w:r>
        <w:t>:3(a)</w:t>
      </w:r>
      <w:r w:rsidRPr="00C72FCB">
        <w:t xml:space="preserve"> </w:t>
      </w:r>
      <w:r w:rsidR="007476F1" w:rsidRPr="00C72FCB">
        <w:t>entail</w:t>
      </w:r>
      <w:r w:rsidR="007476F1">
        <w:t>s</w:t>
      </w:r>
      <w:r w:rsidR="007476F1" w:rsidRPr="00C72FCB">
        <w:t xml:space="preserve"> </w:t>
      </w:r>
      <w:r w:rsidRPr="00C72FCB">
        <w:t>"a consideration of factual circumstances specific to each case".</w:t>
      </w:r>
      <w:r w:rsidRPr="00C72FCB">
        <w:rPr>
          <w:vertAlign w:val="superscript"/>
        </w:rPr>
        <w:footnoteReference w:id="17"/>
      </w:r>
      <w:r w:rsidRPr="00C72FCB">
        <w:t xml:space="preserve"> </w:t>
      </w:r>
      <w:r w:rsidR="00847EDC">
        <w:t>However</w:t>
      </w:r>
      <w:r w:rsidRPr="00C72FCB">
        <w:t>, uniform and reasonable administration</w:t>
      </w:r>
      <w:r w:rsidR="00847EDC">
        <w:t xml:space="preserve"> </w:t>
      </w:r>
      <w:r w:rsidRPr="00C72FCB">
        <w:t>does not require an investigating authority to reach identical results where the circumstances are different.</w:t>
      </w:r>
      <w:r w:rsidRPr="00C72FCB">
        <w:rPr>
          <w:vertAlign w:val="superscript"/>
        </w:rPr>
        <w:footnoteReference w:id="18"/>
      </w:r>
    </w:p>
    <w:p w14:paraId="5178FF3D" w14:textId="04D0072D" w:rsidR="00C72FCB" w:rsidRPr="00C72FCB" w:rsidRDefault="00E00779" w:rsidP="00847EDC">
      <w:pPr>
        <w:pStyle w:val="HL2HeadingLevel2"/>
        <w:numPr>
          <w:ilvl w:val="1"/>
          <w:numId w:val="2"/>
        </w:numPr>
        <w:rPr>
          <w:caps/>
          <w:szCs w:val="32"/>
        </w:rPr>
      </w:pPr>
      <w:r>
        <w:t xml:space="preserve">Withdrawal of a </w:t>
      </w:r>
      <w:r w:rsidR="009F4397">
        <w:t>c</w:t>
      </w:r>
      <w:r>
        <w:t xml:space="preserve">omplaint </w:t>
      </w:r>
    </w:p>
    <w:p w14:paraId="5F53FE48" w14:textId="4B69DEFA" w:rsidR="00C72FCB" w:rsidRPr="00C72FCB" w:rsidRDefault="00C72FCB" w:rsidP="0008701E">
      <w:pPr>
        <w:numPr>
          <w:ilvl w:val="0"/>
          <w:numId w:val="9"/>
        </w:numPr>
        <w:spacing w:after="188" w:line="361" w:lineRule="auto"/>
        <w:ind w:hanging="10"/>
      </w:pPr>
      <w:r w:rsidRPr="00C72FCB">
        <w:t xml:space="preserve">Article 5.6 </w:t>
      </w:r>
      <w:r w:rsidR="00464B94">
        <w:t xml:space="preserve">of the Anti-Dumping Agreement </w:t>
      </w:r>
      <w:r w:rsidRPr="00C72FCB">
        <w:t>gives no indication that its evidentiary standards apply to anything but self-initiation of investigations.</w:t>
      </w:r>
      <w:r w:rsidR="00035AE1">
        <w:rPr>
          <w:rStyle w:val="FootnoteReference"/>
        </w:rPr>
        <w:footnoteReference w:id="19"/>
      </w:r>
      <w:r w:rsidRPr="00C72FCB">
        <w:t xml:space="preserve"> </w:t>
      </w:r>
    </w:p>
    <w:p w14:paraId="555F0BAF" w14:textId="3F4F9855" w:rsidR="00C72FCB" w:rsidRPr="00C72FCB" w:rsidRDefault="00C72FCB" w:rsidP="0008701E">
      <w:pPr>
        <w:numPr>
          <w:ilvl w:val="0"/>
          <w:numId w:val="9"/>
        </w:numPr>
        <w:spacing w:after="188" w:line="361" w:lineRule="auto"/>
        <w:ind w:hanging="10"/>
      </w:pPr>
      <w:r w:rsidRPr="00C72FCB">
        <w:rPr>
          <w:lang w:val="en-US"/>
        </w:rPr>
        <w:t xml:space="preserve">Once an investigation has been initiated </w:t>
      </w:r>
      <w:r w:rsidR="00847EDC">
        <w:rPr>
          <w:lang w:val="en-US"/>
        </w:rPr>
        <w:t>based on</w:t>
      </w:r>
      <w:r w:rsidRPr="00C72FCB">
        <w:rPr>
          <w:lang w:val="en-US"/>
        </w:rPr>
        <w:t xml:space="preserve"> sufficient evidence, the application has served its purpose. While there is a continuing obligation to terminate an investigation under Article 5.8 where an investigating authority is satisfied that there is not sufficient evidence of dumping and injury to justify proceeding, that must be based on an assessment of the overall state of the evidence.</w:t>
      </w:r>
      <w:r w:rsidRPr="00C72FCB">
        <w:rPr>
          <w:vertAlign w:val="superscript"/>
          <w:lang w:val="en-US"/>
        </w:rPr>
        <w:footnoteReference w:id="20"/>
      </w:r>
    </w:p>
    <w:p w14:paraId="0FCD6CDD" w14:textId="2EF72814" w:rsidR="00767BD6" w:rsidRPr="00C72FCB" w:rsidRDefault="00C72FCB" w:rsidP="0008701E">
      <w:pPr>
        <w:numPr>
          <w:ilvl w:val="0"/>
          <w:numId w:val="9"/>
        </w:numPr>
        <w:spacing w:after="188" w:line="361" w:lineRule="auto"/>
        <w:ind w:hanging="10"/>
      </w:pPr>
      <w:r w:rsidRPr="00C72FCB">
        <w:rPr>
          <w:lang w:val="en-US"/>
        </w:rPr>
        <w:t xml:space="preserve">In Australia’s view, the mere withdrawal of the complaint – in and of itself – did not affect the state of evidence before the investigating authority and therefore did not require the Commission to terminate the investigation under Article 5.8. </w:t>
      </w:r>
    </w:p>
    <w:p w14:paraId="2D357A4D" w14:textId="77777777" w:rsidR="00C72FCB" w:rsidRPr="00C72FCB" w:rsidRDefault="00C72FCB" w:rsidP="0008701E">
      <w:pPr>
        <w:numPr>
          <w:ilvl w:val="0"/>
          <w:numId w:val="9"/>
        </w:numPr>
        <w:spacing w:after="188" w:line="361" w:lineRule="auto"/>
        <w:ind w:hanging="10"/>
      </w:pPr>
      <w:r w:rsidRPr="00C72FCB">
        <w:t>There is no obligation on an investigating authority to satisfy the requirements of Article 5.6 of the Anti-Dumping Agreement after it has already satisfied the requirements to initiate the investigation based on an application by or on behalf of domestic industry under Articles 5.2, 5.3 and 5.4. That remains the case even if the application is withdrawn.</w:t>
      </w:r>
    </w:p>
    <w:p w14:paraId="2C353A75" w14:textId="77777777" w:rsidR="00C72FCB" w:rsidRPr="00C72FCB" w:rsidRDefault="00C72FCB" w:rsidP="006F4527"/>
    <w:p w14:paraId="11107013" w14:textId="77777777" w:rsidR="00D52A17" w:rsidRPr="00C72FCB" w:rsidRDefault="00D52A17" w:rsidP="00C72FCB">
      <w:pPr>
        <w:rPr>
          <w:rFonts w:eastAsiaTheme="majorEastAsia" w:cstheme="majorBidi"/>
          <w:b/>
          <w:caps/>
          <w:smallCaps/>
          <w:sz w:val="28"/>
          <w:szCs w:val="32"/>
        </w:rPr>
      </w:pPr>
    </w:p>
    <w:sectPr w:rsidR="00D52A17" w:rsidRPr="00C72FCB" w:rsidSect="008F5B14">
      <w:headerReference w:type="default" r:id="rId32"/>
      <w:footerReference w:type="default" r:id="rId33"/>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05EF" w14:textId="77777777" w:rsidR="00274096" w:rsidRDefault="00274096" w:rsidP="00006269">
      <w:pPr>
        <w:spacing w:after="0" w:line="240" w:lineRule="auto"/>
      </w:pPr>
      <w:r>
        <w:separator/>
      </w:r>
    </w:p>
  </w:endnote>
  <w:endnote w:type="continuationSeparator" w:id="0">
    <w:p w14:paraId="4E1FDB73" w14:textId="77777777" w:rsidR="00274096" w:rsidRDefault="00274096" w:rsidP="0000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3AE1" w14:textId="77777777" w:rsidR="00380795" w:rsidRDefault="00380795">
    <w:pPr>
      <w:pStyle w:val="Footer"/>
    </w:pPr>
    <w:r>
      <w:ptab w:relativeTo="margin" w:alignment="right" w:leader="none"/>
    </w:r>
    <w:r w:rsidRPr="00006269">
      <w:fldChar w:fldCharType="begin"/>
    </w:r>
    <w:r w:rsidRPr="00006269">
      <w:instrText xml:space="preserve"> PAGE   \* MERGEFORMAT </w:instrText>
    </w:r>
    <w:r w:rsidRPr="00006269">
      <w:fldChar w:fldCharType="separate"/>
    </w:r>
    <w:r w:rsidRPr="00006269">
      <w:rPr>
        <w:noProof/>
      </w:rPr>
      <w:t>1</w:t>
    </w:r>
    <w:r w:rsidRPr="000062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3658" w14:textId="77777777" w:rsidR="00274096" w:rsidRDefault="00274096" w:rsidP="00006269">
      <w:pPr>
        <w:spacing w:after="0" w:line="240" w:lineRule="auto"/>
      </w:pPr>
      <w:r>
        <w:separator/>
      </w:r>
    </w:p>
  </w:footnote>
  <w:footnote w:type="continuationSeparator" w:id="0">
    <w:p w14:paraId="6C73ECBC" w14:textId="77777777" w:rsidR="00274096" w:rsidRDefault="00274096" w:rsidP="00006269">
      <w:pPr>
        <w:spacing w:after="0" w:line="240" w:lineRule="auto"/>
      </w:pPr>
      <w:r>
        <w:continuationSeparator/>
      </w:r>
    </w:p>
  </w:footnote>
  <w:footnote w:id="1">
    <w:p w14:paraId="1AB1247F" w14:textId="64D41009" w:rsidR="003255B8" w:rsidRPr="007558E0" w:rsidRDefault="003255B8">
      <w:pPr>
        <w:pStyle w:val="FootnoteText"/>
      </w:pPr>
      <w:r>
        <w:rPr>
          <w:rStyle w:val="FootnoteReference"/>
        </w:rPr>
        <w:footnoteRef/>
      </w:r>
      <w:r>
        <w:t xml:space="preserve"> </w:t>
      </w:r>
      <w:r w:rsidRPr="00F93FDE">
        <w:t>European Union’s first written submission, para</w:t>
      </w:r>
      <w:r w:rsidR="00207C8E" w:rsidRPr="00F93FDE">
        <w:t>.</w:t>
      </w:r>
      <w:r w:rsidRPr="00F93FDE">
        <w:t xml:space="preserve"> 36</w:t>
      </w:r>
      <w:r>
        <w:t xml:space="preserve">; Appellate Body Report, </w:t>
      </w:r>
      <w:r w:rsidR="007558E0">
        <w:rPr>
          <w:i/>
          <w:iCs/>
        </w:rPr>
        <w:t>US – Oil Country Tubular Goods Sunset Reviews</w:t>
      </w:r>
      <w:r w:rsidR="007558E0">
        <w:t xml:space="preserve">, </w:t>
      </w:r>
      <w:r w:rsidR="00DF4EFD">
        <w:t xml:space="preserve">para. </w:t>
      </w:r>
      <w:r w:rsidR="007558E0">
        <w:t xml:space="preserve">172. </w:t>
      </w:r>
    </w:p>
  </w:footnote>
  <w:footnote w:id="2">
    <w:p w14:paraId="0A492A81" w14:textId="26A314B7" w:rsidR="00B23AC6" w:rsidRPr="00D65A96" w:rsidRDefault="00B23AC6" w:rsidP="006F4527">
      <w:pPr>
        <w:pStyle w:val="footnotedescription"/>
        <w:spacing w:after="2" w:line="248" w:lineRule="auto"/>
        <w:ind w:right="-2"/>
      </w:pPr>
      <w:r w:rsidRPr="00D65A96">
        <w:rPr>
          <w:rStyle w:val="footnotemark"/>
        </w:rPr>
        <w:footnoteRef/>
      </w:r>
      <w:r w:rsidRPr="00D65A96">
        <w:t xml:space="preserve"> Appellate Body Report, </w:t>
      </w:r>
      <w:r w:rsidRPr="00D65A96">
        <w:rPr>
          <w:i/>
        </w:rPr>
        <w:t>US – Zeroing</w:t>
      </w:r>
      <w:r w:rsidR="00172DB5" w:rsidRPr="00D65A96">
        <w:rPr>
          <w:i/>
        </w:rPr>
        <w:t xml:space="preserve"> (EC)</w:t>
      </w:r>
      <w:r w:rsidR="00B81E12" w:rsidRPr="00D65A96">
        <w:rPr>
          <w:iCs/>
        </w:rPr>
        <w:t>, para</w:t>
      </w:r>
      <w:r w:rsidR="00207C8E" w:rsidRPr="00D65A96">
        <w:rPr>
          <w:iCs/>
        </w:rPr>
        <w:t>.</w:t>
      </w:r>
      <w:r w:rsidR="00B81E12" w:rsidRPr="00D65A96">
        <w:rPr>
          <w:iCs/>
        </w:rPr>
        <w:t xml:space="preserve"> 198.</w:t>
      </w:r>
      <w:r w:rsidR="00B81E12" w:rsidRPr="00D65A96">
        <w:rPr>
          <w:i/>
        </w:rPr>
        <w:t xml:space="preserve"> </w:t>
      </w:r>
    </w:p>
  </w:footnote>
  <w:footnote w:id="3">
    <w:p w14:paraId="672397A0" w14:textId="6688FF27" w:rsidR="0030542C" w:rsidRPr="00D65A96" w:rsidRDefault="0030542C" w:rsidP="0030542C">
      <w:pPr>
        <w:pStyle w:val="footnotedescription"/>
        <w:spacing w:after="2" w:line="248" w:lineRule="auto"/>
        <w:ind w:right="-2"/>
      </w:pPr>
      <w:r w:rsidRPr="00D65A96">
        <w:rPr>
          <w:rStyle w:val="footnotemark"/>
        </w:rPr>
        <w:footnoteRef/>
      </w:r>
      <w:r w:rsidRPr="00D65A96">
        <w:t xml:space="preserve"> Appellate Body Report, </w:t>
      </w:r>
      <w:r w:rsidRPr="00D65A96">
        <w:rPr>
          <w:i/>
        </w:rPr>
        <w:t>US – Zeroing</w:t>
      </w:r>
      <w:r w:rsidR="00172DB5" w:rsidRPr="00D65A96">
        <w:rPr>
          <w:i/>
        </w:rPr>
        <w:t xml:space="preserve"> (EC)</w:t>
      </w:r>
      <w:r w:rsidRPr="00D65A96">
        <w:rPr>
          <w:i/>
        </w:rPr>
        <w:t>,</w:t>
      </w:r>
      <w:r w:rsidRPr="00D65A96">
        <w:t xml:space="preserve"> para.</w:t>
      </w:r>
      <w:r w:rsidR="00E2408B" w:rsidRPr="00D65A96">
        <w:t xml:space="preserve"> </w:t>
      </w:r>
      <w:r w:rsidRPr="00D65A96">
        <w:t xml:space="preserve">198. </w:t>
      </w:r>
    </w:p>
  </w:footnote>
  <w:footnote w:id="4">
    <w:p w14:paraId="2588CFF5" w14:textId="403D4C09" w:rsidR="00B23AC6" w:rsidRPr="00D65A96" w:rsidRDefault="00B23AC6" w:rsidP="001A1E82">
      <w:pPr>
        <w:pStyle w:val="footnotedescription"/>
        <w:spacing w:line="248" w:lineRule="auto"/>
        <w:jc w:val="both"/>
      </w:pPr>
      <w:r w:rsidRPr="00D65A96">
        <w:rPr>
          <w:rStyle w:val="footnotemark"/>
        </w:rPr>
        <w:footnoteRef/>
      </w:r>
      <w:r w:rsidRPr="00D65A96">
        <w:t xml:space="preserve"> Panel Report, </w:t>
      </w:r>
      <w:r w:rsidRPr="00D65A96">
        <w:rPr>
          <w:i/>
        </w:rPr>
        <w:t>Argentina – Import Measures</w:t>
      </w:r>
      <w:r w:rsidRPr="00D65A96">
        <w:t xml:space="preserve">, para. </w:t>
      </w:r>
      <w:r w:rsidR="004F3B7D" w:rsidRPr="00D65A96">
        <w:t xml:space="preserve">6.43 </w:t>
      </w:r>
      <w:r w:rsidRPr="00D65A96">
        <w:t xml:space="preserve">; </w:t>
      </w:r>
      <w:r w:rsidR="006F4527" w:rsidRPr="00D65A96">
        <w:t>s</w:t>
      </w:r>
      <w:r w:rsidRPr="00D65A96">
        <w:t xml:space="preserve">ee also Appellate Body Report, </w:t>
      </w:r>
      <w:r w:rsidRPr="00D65A96">
        <w:rPr>
          <w:i/>
        </w:rPr>
        <w:t>Argentina – Import Measures,</w:t>
      </w:r>
      <w:r w:rsidRPr="00D65A96">
        <w:t xml:space="preserve"> paras. 5.51</w:t>
      </w:r>
      <w:r w:rsidRPr="00FF5055">
        <w:t xml:space="preserve">-5.52; Appellate Body Report, </w:t>
      </w:r>
      <w:r w:rsidRPr="00FF5055">
        <w:rPr>
          <w:i/>
        </w:rPr>
        <w:t>US – Zeroing (EC),</w:t>
      </w:r>
      <w:r w:rsidRPr="00FF5055">
        <w:t xml:space="preserve"> para. 202; Panel</w:t>
      </w:r>
      <w:r w:rsidRPr="00D65A96">
        <w:t xml:space="preserve"> Report, </w:t>
      </w:r>
      <w:r w:rsidRPr="00D65A96">
        <w:rPr>
          <w:i/>
        </w:rPr>
        <w:t>US – Anti-Dumping Methodologies (China)</w:t>
      </w:r>
      <w:r w:rsidRPr="00D65A96">
        <w:t>, para</w:t>
      </w:r>
      <w:r w:rsidR="00900247" w:rsidRPr="00D65A96">
        <w:t>s</w:t>
      </w:r>
      <w:r w:rsidRPr="00D65A96">
        <w:t xml:space="preserve">. </w:t>
      </w:r>
      <w:r w:rsidR="00900247" w:rsidRPr="00D65A96">
        <w:t>7.309-7.311.</w:t>
      </w:r>
    </w:p>
  </w:footnote>
  <w:footnote w:id="5">
    <w:p w14:paraId="0C9EC0ED" w14:textId="77777777" w:rsidR="00B23AC6" w:rsidRPr="00D65A96" w:rsidRDefault="00B23AC6" w:rsidP="00B23AC6">
      <w:pPr>
        <w:pStyle w:val="footnotedescription"/>
      </w:pPr>
      <w:r w:rsidRPr="00D65A96">
        <w:rPr>
          <w:rStyle w:val="footnotemark"/>
        </w:rPr>
        <w:footnoteRef/>
      </w:r>
      <w:r w:rsidRPr="00D65A96">
        <w:t xml:space="preserve"> Panel Report, </w:t>
      </w:r>
      <w:r w:rsidRPr="00D65A96">
        <w:rPr>
          <w:i/>
        </w:rPr>
        <w:t>US – Shrimp II (Viet Nam)</w:t>
      </w:r>
      <w:r w:rsidRPr="00D65A96">
        <w:t xml:space="preserve">, para. 7.34. </w:t>
      </w:r>
    </w:p>
  </w:footnote>
  <w:footnote w:id="6">
    <w:p w14:paraId="415BEC2F" w14:textId="77777777" w:rsidR="00B23AC6" w:rsidRPr="00D65A96" w:rsidRDefault="00B23AC6" w:rsidP="00B23AC6">
      <w:pPr>
        <w:pStyle w:val="footnotedescription"/>
        <w:spacing w:line="253" w:lineRule="auto"/>
        <w:jc w:val="both"/>
      </w:pPr>
      <w:r w:rsidRPr="00D65A96">
        <w:rPr>
          <w:rStyle w:val="footnotemark"/>
        </w:rPr>
        <w:footnoteRef/>
      </w:r>
      <w:r w:rsidRPr="00D65A96">
        <w:t xml:space="preserve"> Appellate Body Report, </w:t>
      </w:r>
      <w:r w:rsidRPr="00D65A96">
        <w:rPr>
          <w:i/>
        </w:rPr>
        <w:t>US – Anti-Dumping Methodologies (China),</w:t>
      </w:r>
      <w:r w:rsidRPr="00D65A96">
        <w:t xml:space="preserve"> para. 5.132 citing Appellate Body Report, US – Zeroing (EC), para. 198. </w:t>
      </w:r>
    </w:p>
  </w:footnote>
  <w:footnote w:id="7">
    <w:p w14:paraId="7E80A7BA" w14:textId="77777777" w:rsidR="00B23AC6" w:rsidRPr="00D65A96" w:rsidRDefault="00B23AC6" w:rsidP="00B23AC6">
      <w:pPr>
        <w:pStyle w:val="footnotedescription"/>
        <w:spacing w:line="250" w:lineRule="auto"/>
        <w:jc w:val="both"/>
      </w:pPr>
      <w:r w:rsidRPr="00D65A96">
        <w:rPr>
          <w:rStyle w:val="footnotemark"/>
        </w:rPr>
        <w:footnoteRef/>
      </w:r>
      <w:r w:rsidRPr="00D65A96">
        <w:t xml:space="preserve"> Appellate Body Report, </w:t>
      </w:r>
      <w:r w:rsidRPr="00D65A96">
        <w:rPr>
          <w:i/>
        </w:rPr>
        <w:t>US – Anti-Dumping Methodologies (China),</w:t>
      </w:r>
      <w:r w:rsidRPr="00D65A96">
        <w:t xml:space="preserve"> para. 5.132 citing Appellate Body Report, </w:t>
      </w:r>
      <w:r w:rsidRPr="00D65A96">
        <w:rPr>
          <w:i/>
        </w:rPr>
        <w:t>US – Oil Country Tubular Goods Sunset Reviews</w:t>
      </w:r>
      <w:r w:rsidRPr="00D65A96">
        <w:t xml:space="preserve">, para. 187. </w:t>
      </w:r>
    </w:p>
  </w:footnote>
  <w:footnote w:id="8">
    <w:p w14:paraId="733D4AB9" w14:textId="77777777" w:rsidR="00B23AC6" w:rsidRDefault="00B23AC6" w:rsidP="00B23AC6">
      <w:pPr>
        <w:pStyle w:val="footnotedescription"/>
      </w:pPr>
      <w:r w:rsidRPr="00D65A96">
        <w:rPr>
          <w:rStyle w:val="footnotemark"/>
        </w:rPr>
        <w:footnoteRef/>
      </w:r>
      <w:r w:rsidRPr="00D65A96">
        <w:t xml:space="preserve"> See Appellate Body Report, </w:t>
      </w:r>
      <w:r w:rsidRPr="00D65A96">
        <w:rPr>
          <w:i/>
        </w:rPr>
        <w:t>US – Anti-Dumping Methodologies (China),</w:t>
      </w:r>
      <w:r w:rsidRPr="00D65A96">
        <w:t xml:space="preserve"> para. 5.132.</w:t>
      </w:r>
      <w:r>
        <w:t xml:space="preserve"> </w:t>
      </w:r>
    </w:p>
  </w:footnote>
  <w:footnote w:id="9">
    <w:p w14:paraId="61B404AB" w14:textId="77777777" w:rsidR="00B23AC6" w:rsidRPr="00D65A96" w:rsidRDefault="00B23AC6" w:rsidP="00B23AC6">
      <w:pPr>
        <w:pStyle w:val="footnotedescription"/>
      </w:pPr>
      <w:r w:rsidRPr="00D65A96">
        <w:rPr>
          <w:rStyle w:val="footnotemark"/>
        </w:rPr>
        <w:footnoteRef/>
      </w:r>
      <w:r w:rsidRPr="00D65A96">
        <w:t xml:space="preserve"> See Award of the Arbitrators, </w:t>
      </w:r>
      <w:r w:rsidRPr="00D65A96">
        <w:rPr>
          <w:i/>
        </w:rPr>
        <w:t xml:space="preserve">China – IPRs Enforcement (EU), </w:t>
      </w:r>
      <w:r w:rsidRPr="00D65A96">
        <w:t>para. 4.41</w:t>
      </w:r>
      <w:r w:rsidR="006F4527" w:rsidRPr="00D65A96">
        <w:t>.</w:t>
      </w:r>
      <w:r w:rsidRPr="00D65A96">
        <w:t xml:space="preserve"> </w:t>
      </w:r>
    </w:p>
  </w:footnote>
  <w:footnote w:id="10">
    <w:p w14:paraId="413EF11C" w14:textId="77777777" w:rsidR="00B23AC6" w:rsidRPr="00D65A96" w:rsidRDefault="00B23AC6" w:rsidP="00B23AC6">
      <w:pPr>
        <w:pStyle w:val="footnotedescription"/>
      </w:pPr>
      <w:r w:rsidRPr="00D65A96">
        <w:rPr>
          <w:rStyle w:val="footnotemark"/>
        </w:rPr>
        <w:footnoteRef/>
      </w:r>
      <w:r w:rsidRPr="00D65A96">
        <w:t xml:space="preserve"> See Article 5.3 of the Anti-Dumping Agreement. </w:t>
      </w:r>
    </w:p>
  </w:footnote>
  <w:footnote w:id="11">
    <w:p w14:paraId="037F82C3" w14:textId="0A9AC658" w:rsidR="007142FB" w:rsidRPr="00D65A96" w:rsidRDefault="007142FB">
      <w:pPr>
        <w:pStyle w:val="FootnoteText"/>
      </w:pPr>
      <w:r w:rsidRPr="00D65A96">
        <w:rPr>
          <w:rStyle w:val="FootnoteReference"/>
        </w:rPr>
        <w:footnoteRef/>
      </w:r>
      <w:r w:rsidRPr="00D65A96">
        <w:t xml:space="preserve"> </w:t>
      </w:r>
      <w:r w:rsidR="00B9165C" w:rsidRPr="00D65A96">
        <w:t xml:space="preserve">Panel Report, </w:t>
      </w:r>
      <w:r w:rsidR="00B9165C" w:rsidRPr="00D65A96">
        <w:rPr>
          <w:i/>
          <w:iCs/>
        </w:rPr>
        <w:t>Mexico –Steel Pipes and Tubes</w:t>
      </w:r>
      <w:r w:rsidR="00B9165C" w:rsidRPr="00D65A96">
        <w:t>, para. 7.347.</w:t>
      </w:r>
    </w:p>
  </w:footnote>
  <w:footnote w:id="12">
    <w:p w14:paraId="228FE006" w14:textId="32C10AD5" w:rsidR="00C72FCB" w:rsidRPr="00D65A96" w:rsidRDefault="00C72FCB" w:rsidP="00C72FCB">
      <w:pPr>
        <w:pStyle w:val="FootnoteText"/>
      </w:pPr>
      <w:r w:rsidRPr="00D65A96">
        <w:rPr>
          <w:rStyle w:val="FootnoteReference"/>
        </w:rPr>
        <w:footnoteRef/>
      </w:r>
      <w:r w:rsidRPr="00D65A96">
        <w:t xml:space="preserve"> Panel Report, </w:t>
      </w:r>
      <w:r w:rsidRPr="00D65A96">
        <w:rPr>
          <w:i/>
          <w:iCs/>
        </w:rPr>
        <w:t>Thailand – Cigarettes (Philippines)</w:t>
      </w:r>
      <w:r w:rsidRPr="00D65A96">
        <w:t xml:space="preserve"> para. 7.874.</w:t>
      </w:r>
    </w:p>
  </w:footnote>
  <w:footnote w:id="13">
    <w:p w14:paraId="04921B9A" w14:textId="77777777" w:rsidR="00C72FCB" w:rsidRPr="00D65A96" w:rsidRDefault="00C72FCB" w:rsidP="00C72FCB">
      <w:pPr>
        <w:pStyle w:val="FootnoteText"/>
        <w:rPr>
          <w:lang w:val="en-US"/>
        </w:rPr>
      </w:pPr>
      <w:r w:rsidRPr="00D65A96">
        <w:rPr>
          <w:rStyle w:val="FootnoteReference"/>
        </w:rPr>
        <w:footnoteRef/>
      </w:r>
      <w:r w:rsidRPr="00D65A96">
        <w:t xml:space="preserve"> Appellate Body Report, </w:t>
      </w:r>
      <w:r w:rsidRPr="00D65A96">
        <w:rPr>
          <w:i/>
          <w:iCs/>
        </w:rPr>
        <w:t>EC – Selected Customs Matters</w:t>
      </w:r>
      <w:r w:rsidRPr="00D65A96">
        <w:t>, para. 224.</w:t>
      </w:r>
    </w:p>
  </w:footnote>
  <w:footnote w:id="14">
    <w:p w14:paraId="60B3FA40" w14:textId="6F14745B" w:rsidR="00C72FCB" w:rsidRPr="00D65A96" w:rsidRDefault="00C72FCB" w:rsidP="00C72FCB">
      <w:pPr>
        <w:pStyle w:val="FootnoteText"/>
        <w:rPr>
          <w:lang w:val="en-US"/>
        </w:rPr>
      </w:pPr>
      <w:r w:rsidRPr="00D65A96">
        <w:rPr>
          <w:rStyle w:val="FootnoteReference"/>
        </w:rPr>
        <w:footnoteRef/>
      </w:r>
      <w:r w:rsidRPr="00D65A96">
        <w:t xml:space="preserve"> Panel Report, </w:t>
      </w:r>
      <w:r w:rsidRPr="00D65A96">
        <w:rPr>
          <w:i/>
          <w:iCs/>
        </w:rPr>
        <w:t>US – Stainless Steel (Korea)</w:t>
      </w:r>
      <w:r w:rsidRPr="00D65A96">
        <w:t>, para. 6.5</w:t>
      </w:r>
      <w:r w:rsidR="003C5E5B" w:rsidRPr="00D65A96">
        <w:t>1</w:t>
      </w:r>
      <w:r w:rsidRPr="00D65A96">
        <w:t>.</w:t>
      </w:r>
    </w:p>
  </w:footnote>
  <w:footnote w:id="15">
    <w:p w14:paraId="739447E2" w14:textId="77777777" w:rsidR="00C72FCB" w:rsidRPr="00182DD5" w:rsidRDefault="00C72FCB" w:rsidP="00C72FCB">
      <w:pPr>
        <w:pStyle w:val="FootnoteText"/>
      </w:pPr>
      <w:r w:rsidRPr="00D65A96">
        <w:rPr>
          <w:rStyle w:val="FootnoteReference"/>
        </w:rPr>
        <w:footnoteRef/>
      </w:r>
      <w:r w:rsidRPr="00D65A96">
        <w:t xml:space="preserve"> </w:t>
      </w:r>
      <w:r w:rsidRPr="00D65A96">
        <w:rPr>
          <w:rFonts w:asciiTheme="minorHAnsi" w:hAnsiTheme="minorHAnsi" w:cstheme="minorHAnsi"/>
          <w:szCs w:val="18"/>
          <w:lang w:val="en-US"/>
        </w:rPr>
        <w:t xml:space="preserve">Panel Reports, </w:t>
      </w:r>
      <w:r w:rsidRPr="00D65A96">
        <w:rPr>
          <w:rFonts w:asciiTheme="minorHAnsi" w:hAnsiTheme="minorHAnsi" w:cstheme="minorHAnsi"/>
          <w:i/>
          <w:iCs/>
          <w:szCs w:val="18"/>
          <w:lang w:val="en-US"/>
        </w:rPr>
        <w:t>US – COOL</w:t>
      </w:r>
      <w:r w:rsidRPr="00D65A96">
        <w:rPr>
          <w:rFonts w:asciiTheme="minorHAnsi" w:hAnsiTheme="minorHAnsi" w:cstheme="minorHAnsi"/>
          <w:szCs w:val="18"/>
          <w:lang w:val="en-US"/>
        </w:rPr>
        <w:t xml:space="preserve">, para. </w:t>
      </w:r>
      <w:r w:rsidRPr="00D65A96">
        <w:rPr>
          <w:rFonts w:asciiTheme="minorHAnsi" w:hAnsiTheme="minorHAnsi" w:cstheme="minorHAnsi"/>
          <w:szCs w:val="18"/>
        </w:rPr>
        <w:t xml:space="preserve">7.876; </w:t>
      </w:r>
      <w:r w:rsidRPr="00D65A96">
        <w:rPr>
          <w:i/>
          <w:iCs/>
        </w:rPr>
        <w:t>Argentina – Hides and Leather</w:t>
      </w:r>
      <w:r w:rsidRPr="00D65A96">
        <w:t>, para. 11.83.</w:t>
      </w:r>
    </w:p>
  </w:footnote>
  <w:footnote w:id="16">
    <w:p w14:paraId="1A9692C1" w14:textId="428F9F32" w:rsidR="00C72FCB" w:rsidRPr="00D65A96" w:rsidRDefault="00C72FCB" w:rsidP="00C72FCB">
      <w:pPr>
        <w:pStyle w:val="FootnoteText"/>
        <w:rPr>
          <w:lang w:val="en-US"/>
        </w:rPr>
      </w:pPr>
      <w:r w:rsidRPr="00D65A96">
        <w:rPr>
          <w:rStyle w:val="FootnoteReference"/>
        </w:rPr>
        <w:footnoteRef/>
      </w:r>
      <w:r w:rsidRPr="00D65A96">
        <w:t xml:space="preserve"> Panel Report, </w:t>
      </w:r>
      <w:r w:rsidRPr="00D65A96">
        <w:rPr>
          <w:i/>
          <w:iCs/>
        </w:rPr>
        <w:t>US – COOL</w:t>
      </w:r>
      <w:r w:rsidRPr="00D65A96">
        <w:t>, para. 7.850.</w:t>
      </w:r>
    </w:p>
  </w:footnote>
  <w:footnote w:id="17">
    <w:p w14:paraId="1D88AE16" w14:textId="56696FBD" w:rsidR="00C72FCB" w:rsidRPr="00D65A96" w:rsidRDefault="00C72FCB" w:rsidP="00C72FCB">
      <w:pPr>
        <w:pStyle w:val="FootnoteText"/>
        <w:rPr>
          <w:lang w:val="en-US"/>
        </w:rPr>
      </w:pPr>
      <w:r w:rsidRPr="00D65A96">
        <w:rPr>
          <w:rStyle w:val="FootnoteReference"/>
        </w:rPr>
        <w:footnoteRef/>
      </w:r>
      <w:r w:rsidRPr="00D65A96">
        <w:t xml:space="preserve"> Panel Report, </w:t>
      </w:r>
      <w:r w:rsidRPr="00D65A96">
        <w:rPr>
          <w:i/>
          <w:iCs/>
        </w:rPr>
        <w:t>US – COOL</w:t>
      </w:r>
      <w:r w:rsidRPr="00D65A96">
        <w:t>, para.</w:t>
      </w:r>
      <w:r w:rsidR="00CE169E" w:rsidRPr="00D65A96">
        <w:t xml:space="preserve"> </w:t>
      </w:r>
      <w:r w:rsidRPr="00D65A96">
        <w:t>7.851.</w:t>
      </w:r>
    </w:p>
  </w:footnote>
  <w:footnote w:id="18">
    <w:p w14:paraId="1F8B4FC5" w14:textId="77777777" w:rsidR="00C72FCB" w:rsidRPr="00D65A96" w:rsidRDefault="00C72FCB" w:rsidP="00C72FCB">
      <w:pPr>
        <w:pStyle w:val="FootnoteText"/>
      </w:pPr>
      <w:r w:rsidRPr="00D65A96">
        <w:rPr>
          <w:rStyle w:val="FootnoteReference"/>
        </w:rPr>
        <w:footnoteRef/>
      </w:r>
      <w:r w:rsidRPr="00D65A96">
        <w:t xml:space="preserve"> Panel Report, </w:t>
      </w:r>
      <w:r w:rsidRPr="00D65A96">
        <w:rPr>
          <w:i/>
          <w:iCs/>
        </w:rPr>
        <w:t>US – Stainless Steel (Korea)</w:t>
      </w:r>
      <w:r w:rsidRPr="00D65A96">
        <w:t>, para. 6.51</w:t>
      </w:r>
      <w:r w:rsidR="003C5E5B" w:rsidRPr="00D65A96">
        <w:t>.</w:t>
      </w:r>
    </w:p>
  </w:footnote>
  <w:footnote w:id="19">
    <w:p w14:paraId="3CBD6953" w14:textId="576684DC" w:rsidR="00035AE1" w:rsidRPr="00D65A96" w:rsidRDefault="00035AE1">
      <w:pPr>
        <w:pStyle w:val="FootnoteText"/>
      </w:pPr>
      <w:r w:rsidRPr="00D65A96">
        <w:rPr>
          <w:rStyle w:val="FootnoteReference"/>
        </w:rPr>
        <w:footnoteRef/>
      </w:r>
      <w:r w:rsidRPr="00D65A96">
        <w:t xml:space="preserve"> Panel Report, </w:t>
      </w:r>
      <w:r w:rsidRPr="00D65A96">
        <w:rPr>
          <w:i/>
          <w:iCs/>
        </w:rPr>
        <w:t>US – Corrosion-Resistant Steel Sunset Review</w:t>
      </w:r>
      <w:r w:rsidRPr="00D65A96">
        <w:t>, para. 7.36.</w:t>
      </w:r>
    </w:p>
  </w:footnote>
  <w:footnote w:id="20">
    <w:p w14:paraId="6D2EBF88" w14:textId="0DB12531" w:rsidR="00C72FCB" w:rsidRPr="00C56D20" w:rsidRDefault="00C72FCB" w:rsidP="00C72FCB">
      <w:pPr>
        <w:pStyle w:val="FootnoteText"/>
        <w:rPr>
          <w:lang w:val="en-US"/>
        </w:rPr>
      </w:pPr>
      <w:r w:rsidRPr="00D65A96">
        <w:rPr>
          <w:rStyle w:val="FootnoteReference"/>
        </w:rPr>
        <w:footnoteRef/>
      </w:r>
      <w:r w:rsidRPr="00D65A96">
        <w:t xml:space="preserve"> </w:t>
      </w:r>
      <w:r w:rsidRPr="00D65A96">
        <w:rPr>
          <w:lang w:val="en-US"/>
        </w:rPr>
        <w:t xml:space="preserve">Panel Report, </w:t>
      </w:r>
      <w:r w:rsidRPr="00D65A96">
        <w:rPr>
          <w:i/>
          <w:iCs/>
          <w:lang w:val="en-US"/>
        </w:rPr>
        <w:t>US – Softwood Lumber V</w:t>
      </w:r>
      <w:r w:rsidRPr="00D65A96">
        <w:rPr>
          <w:lang w:val="en-US"/>
        </w:rPr>
        <w:t>, para</w:t>
      </w:r>
      <w:r w:rsidR="003C5E5B" w:rsidRPr="00D65A96">
        <w:t xml:space="preserve">. </w:t>
      </w:r>
      <w:r w:rsidRPr="00D65A96">
        <w:rPr>
          <w:lang w:val="en-US"/>
        </w:rPr>
        <w:t>7.137.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B155" w14:textId="613E65E2" w:rsidR="00380795" w:rsidRDefault="009272EB">
    <w:pPr>
      <w:pStyle w:val="Header"/>
    </w:pPr>
    <w:r>
      <w:rPr>
        <w:i/>
        <w:iCs/>
      </w:rPr>
      <w:t>EU – AD on Fatty Acid (Indonesia)</w:t>
    </w:r>
    <w:r w:rsidR="005F33A1">
      <w:ptab w:relativeTo="margin" w:alignment="right" w:leader="none"/>
    </w:r>
    <w:r w:rsidR="005F33A1">
      <w:t>Australia’s Executive Summary</w:t>
    </w:r>
  </w:p>
  <w:p w14:paraId="5273D029" w14:textId="11F3C08B" w:rsidR="00380795" w:rsidRDefault="006E4D50">
    <w:pPr>
      <w:pStyle w:val="Header"/>
    </w:pPr>
    <w:fldSimple w:instr=" STYLEREF  &quot;[DSN] DS Number&quot;  \* MERGEFORMAT ">
      <w:r w:rsidR="00A215A1">
        <w:rPr>
          <w:noProof/>
        </w:rPr>
        <w:t>(DS622)</w:t>
      </w:r>
    </w:fldSimple>
    <w:r w:rsidR="00380795">
      <w:ptab w:relativeTo="margin" w:alignment="right" w:leader="none"/>
    </w:r>
    <w:r w:rsidR="004618A2">
      <w:rPr>
        <w:noProof/>
      </w:rPr>
      <w:t>10 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259A"/>
    <w:multiLevelType w:val="hybridMultilevel"/>
    <w:tmpl w:val="C0784592"/>
    <w:lvl w:ilvl="0" w:tplc="AE1A8D56">
      <w:start w:val="1"/>
      <w:numFmt w:val="decimal"/>
      <w:pStyle w:val="FCFigureCaption"/>
      <w:lvlText w:val="Figure %1"/>
      <w:lvlJc w:val="left"/>
      <w:pPr>
        <w:tabs>
          <w:tab w:val="num" w:pos="1134"/>
        </w:tabs>
        <w:ind w:left="1134" w:hanging="1134"/>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4596"/>
    <w:multiLevelType w:val="multilevel"/>
    <w:tmpl w:val="3EF6F766"/>
    <w:lvl w:ilvl="0">
      <w:start w:val="1"/>
      <w:numFmt w:val="upperRoman"/>
      <w:pStyle w:val="HL1HeadingLevel1"/>
      <w:lvlText w:val="%1."/>
      <w:lvlJc w:val="left"/>
      <w:pPr>
        <w:tabs>
          <w:tab w:val="num" w:pos="851"/>
        </w:tabs>
        <w:ind w:left="851" w:hanging="851"/>
      </w:pPr>
      <w:rPr>
        <w:rFonts w:hint="default"/>
      </w:rPr>
    </w:lvl>
    <w:lvl w:ilvl="1">
      <w:start w:val="1"/>
      <w:numFmt w:val="upperLetter"/>
      <w:lvlText w:val="%2."/>
      <w:lvlJc w:val="left"/>
      <w:pPr>
        <w:tabs>
          <w:tab w:val="num" w:pos="1702"/>
        </w:tabs>
        <w:ind w:left="1702" w:hanging="851"/>
      </w:pPr>
      <w:rPr>
        <w:rFonts w:hint="default"/>
      </w:rPr>
    </w:lvl>
    <w:lvl w:ilvl="2">
      <w:start w:val="1"/>
      <w:numFmt w:val="decimal"/>
      <w:pStyle w:val="HL3HeadingLevel3"/>
      <w:lvlText w:val="%3."/>
      <w:lvlJc w:val="left"/>
      <w:pPr>
        <w:tabs>
          <w:tab w:val="num" w:pos="2553"/>
        </w:tabs>
        <w:ind w:left="2553" w:hanging="851"/>
      </w:pPr>
      <w:rPr>
        <w:rFonts w:hint="default"/>
      </w:rPr>
    </w:lvl>
    <w:lvl w:ilvl="3">
      <w:start w:val="1"/>
      <w:numFmt w:val="lowerLetter"/>
      <w:pStyle w:val="HL4HeadingLevel4"/>
      <w:lvlText w:val="(%4)"/>
      <w:lvlJc w:val="left"/>
      <w:pPr>
        <w:tabs>
          <w:tab w:val="num" w:pos="3404"/>
        </w:tabs>
        <w:ind w:left="3404" w:hanging="851"/>
      </w:pPr>
      <w:rPr>
        <w:rFonts w:hint="default"/>
        <w:u w:val="single"/>
      </w:rPr>
    </w:lvl>
    <w:lvl w:ilvl="4">
      <w:start w:val="1"/>
      <w:numFmt w:val="lowerRoman"/>
      <w:pStyle w:val="HL5HeadingLevel5"/>
      <w:lvlText w:val="%5."/>
      <w:lvlJc w:val="left"/>
      <w:pPr>
        <w:tabs>
          <w:tab w:val="num" w:pos="4255"/>
        </w:tabs>
        <w:ind w:left="4255" w:hanging="851"/>
      </w:pPr>
      <w:rPr>
        <w:rFonts w:hint="default"/>
      </w:rPr>
    </w:lvl>
    <w:lvl w:ilvl="5">
      <w:start w:val="1"/>
      <w:numFmt w:val="upperLetter"/>
      <w:pStyle w:val="HL6HeadingLevel6"/>
      <w:lvlText w:val="(%6)"/>
      <w:lvlJc w:val="left"/>
      <w:pPr>
        <w:tabs>
          <w:tab w:val="num" w:pos="5103"/>
        </w:tabs>
        <w:ind w:left="5103" w:hanging="848"/>
      </w:pPr>
      <w:rPr>
        <w:rFonts w:hint="default"/>
      </w:rPr>
    </w:lvl>
    <w:lvl w:ilvl="6">
      <w:start w:val="1"/>
      <w:numFmt w:val="decimal"/>
      <w:pStyle w:val="HL7HeadingLevel7"/>
      <w:lvlText w:val="(%7)"/>
      <w:lvlJc w:val="left"/>
      <w:pPr>
        <w:tabs>
          <w:tab w:val="num" w:pos="5954"/>
        </w:tabs>
        <w:ind w:left="5954" w:hanging="851"/>
      </w:pPr>
      <w:rPr>
        <w:rFonts w:hint="default"/>
      </w:rPr>
    </w:lvl>
    <w:lvl w:ilvl="7">
      <w:start w:val="1"/>
      <w:numFmt w:val="lowerLetter"/>
      <w:pStyle w:val="HL8HeadingLevel8"/>
      <w:lvlText w:val="%8."/>
      <w:lvlJc w:val="left"/>
      <w:pPr>
        <w:tabs>
          <w:tab w:val="num" w:pos="6804"/>
        </w:tabs>
        <w:ind w:left="6804" w:hanging="850"/>
      </w:pPr>
      <w:rPr>
        <w:rFonts w:hint="default"/>
      </w:rPr>
    </w:lvl>
    <w:lvl w:ilvl="8">
      <w:start w:val="1"/>
      <w:numFmt w:val="lowerRoman"/>
      <w:pStyle w:val="HL9HeadingLevel9"/>
      <w:lvlText w:val="%9)"/>
      <w:lvlJc w:val="left"/>
      <w:pPr>
        <w:tabs>
          <w:tab w:val="num" w:pos="7655"/>
        </w:tabs>
        <w:ind w:left="7655" w:hanging="851"/>
      </w:pPr>
      <w:rPr>
        <w:rFonts w:hint="default"/>
      </w:rPr>
    </w:lvl>
  </w:abstractNum>
  <w:abstractNum w:abstractNumId="2" w15:restartNumberingAfterBreak="0">
    <w:nsid w:val="11F775FA"/>
    <w:multiLevelType w:val="hybridMultilevel"/>
    <w:tmpl w:val="B7B2C7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06975"/>
    <w:multiLevelType w:val="hybridMultilevel"/>
    <w:tmpl w:val="F0103A6C"/>
    <w:lvl w:ilvl="0" w:tplc="9E103E62">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66AD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54AF0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F642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DAF1F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06BA8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9CD23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0AD5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DA181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AC2712"/>
    <w:multiLevelType w:val="hybridMultilevel"/>
    <w:tmpl w:val="15084D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243105"/>
    <w:multiLevelType w:val="hybridMultilevel"/>
    <w:tmpl w:val="8E56E39C"/>
    <w:lvl w:ilvl="0" w:tplc="ECDA052A">
      <w:start w:val="1"/>
      <w:numFmt w:val="decimal"/>
      <w:pStyle w:val="P1-N1Paragraph1-Number1"/>
      <w:lvlText w:val="%1."/>
      <w:lvlJc w:val="left"/>
      <w:pPr>
        <w:tabs>
          <w:tab w:val="num" w:pos="851"/>
        </w:tabs>
        <w:ind w:left="0" w:firstLine="0"/>
      </w:pPr>
      <w:rPr>
        <w:rFonts w:hint="default"/>
      </w:rPr>
    </w:lvl>
    <w:lvl w:ilvl="1" w:tplc="35D2146C">
      <w:start w:val="1"/>
      <w:numFmt w:val="bullet"/>
      <w:pStyle w:val="P2-B1Paragraph2-Bullet1"/>
      <w:lvlText w:val=""/>
      <w:lvlJc w:val="left"/>
      <w:pPr>
        <w:tabs>
          <w:tab w:val="num" w:pos="1701"/>
        </w:tabs>
        <w:ind w:left="1701" w:hanging="850"/>
      </w:pPr>
      <w:rPr>
        <w:rFonts w:ascii="Symbol" w:hAnsi="Symbol" w:hint="default"/>
      </w:rPr>
    </w:lvl>
    <w:lvl w:ilvl="2" w:tplc="9F3EA8EE">
      <w:start w:val="1"/>
      <w:numFmt w:val="bullet"/>
      <w:pStyle w:val="P3-B2Paragraph3-Bullet2"/>
      <w:lvlText w:val="–"/>
      <w:lvlJc w:val="left"/>
      <w:pPr>
        <w:tabs>
          <w:tab w:val="num" w:pos="2552"/>
        </w:tabs>
        <w:ind w:left="2552" w:hanging="851"/>
      </w:pPr>
      <w:rPr>
        <w:rFonts w:ascii="Calibri" w:eastAsiaTheme="minorHAnsi" w:hAnsi="Calibri" w:cs="Calibri" w:hint="default"/>
      </w:rPr>
    </w:lvl>
    <w:lvl w:ilvl="3" w:tplc="0C20942A">
      <w:start w:val="1"/>
      <w:numFmt w:val="bullet"/>
      <w:pStyle w:val="P4-B3Paragraph4-Bullet3"/>
      <w:lvlText w:val="o"/>
      <w:lvlJc w:val="left"/>
      <w:pPr>
        <w:tabs>
          <w:tab w:val="num" w:pos="3402"/>
        </w:tabs>
        <w:ind w:left="3402" w:hanging="850"/>
      </w:pPr>
      <w:rPr>
        <w:rFonts w:ascii="Courier New" w:hAnsi="Courier New" w:hint="default"/>
      </w:rPr>
    </w:lvl>
    <w:lvl w:ilvl="4" w:tplc="B388F3E6">
      <w:start w:val="1"/>
      <w:numFmt w:val="bullet"/>
      <w:pStyle w:val="P5-B4Paragraph5-Bullet4"/>
      <w:lvlText w:val=""/>
      <w:lvlJc w:val="left"/>
      <w:pPr>
        <w:tabs>
          <w:tab w:val="num" w:pos="4253"/>
        </w:tabs>
        <w:ind w:left="4253" w:hanging="851"/>
      </w:pPr>
      <w:rPr>
        <w:rFonts w:ascii="Wingdings" w:hAnsi="Wingdings" w:hint="default"/>
      </w:rPr>
    </w:lvl>
    <w:lvl w:ilvl="5" w:tplc="041E423A">
      <w:start w:val="1"/>
      <w:numFmt w:val="bullet"/>
      <w:pStyle w:val="P6-B5Paragraph6-Bullet5"/>
      <w:lvlText w:val=""/>
      <w:lvlJc w:val="left"/>
      <w:pPr>
        <w:tabs>
          <w:tab w:val="num" w:pos="5103"/>
        </w:tabs>
        <w:ind w:left="5103" w:hanging="850"/>
      </w:pPr>
      <w:rPr>
        <w:rFonts w:ascii="Wingdings" w:hAnsi="Wingdings" w:hint="default"/>
      </w:rPr>
    </w:lvl>
    <w:lvl w:ilvl="6" w:tplc="B914B13C">
      <w:start w:val="1"/>
      <w:numFmt w:val="bullet"/>
      <w:pStyle w:val="P7-B6Paragraph7-Bullet6"/>
      <w:lvlText w:val=""/>
      <w:lvlJc w:val="left"/>
      <w:pPr>
        <w:tabs>
          <w:tab w:val="num" w:pos="5954"/>
        </w:tabs>
        <w:ind w:left="5954" w:hanging="851"/>
      </w:pPr>
      <w:rPr>
        <w:rFonts w:ascii="Symbol" w:hAnsi="Symbol" w:hint="default"/>
      </w:rPr>
    </w:lvl>
    <w:lvl w:ilvl="7" w:tplc="B136EC4E">
      <w:start w:val="1"/>
      <w:numFmt w:val="bullet"/>
      <w:pStyle w:val="P8-B7Paragraph8-Bullet7"/>
      <w:lvlText w:val="–"/>
      <w:lvlJc w:val="left"/>
      <w:pPr>
        <w:tabs>
          <w:tab w:val="num" w:pos="6804"/>
        </w:tabs>
        <w:ind w:left="6804" w:hanging="850"/>
      </w:pPr>
      <w:rPr>
        <w:rFonts w:ascii="Calibri" w:eastAsiaTheme="minorHAnsi" w:hAnsi="Calibri" w:cs="Calibri" w:hint="default"/>
      </w:rPr>
    </w:lvl>
    <w:lvl w:ilvl="8" w:tplc="7B3C086C">
      <w:start w:val="1"/>
      <w:numFmt w:val="bullet"/>
      <w:pStyle w:val="P9-B8Paragraph9-Bullet8"/>
      <w:lvlText w:val="o"/>
      <w:lvlJc w:val="left"/>
      <w:pPr>
        <w:tabs>
          <w:tab w:val="num" w:pos="7655"/>
        </w:tabs>
        <w:ind w:left="7655" w:hanging="851"/>
      </w:pPr>
      <w:rPr>
        <w:rFonts w:ascii="Courier New" w:hAnsi="Courier New" w:hint="default"/>
      </w:rPr>
    </w:lvl>
  </w:abstractNum>
  <w:abstractNum w:abstractNumId="6" w15:restartNumberingAfterBreak="0">
    <w:nsid w:val="3FE04801"/>
    <w:multiLevelType w:val="hybridMultilevel"/>
    <w:tmpl w:val="E9ECA516"/>
    <w:lvl w:ilvl="0" w:tplc="4216D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D1099"/>
    <w:multiLevelType w:val="multilevel"/>
    <w:tmpl w:val="79A4006C"/>
    <w:lvl w:ilvl="0">
      <w:start w:val="1"/>
      <w:numFmt w:val="upperLetter"/>
      <w:pStyle w:val="AHL1AnnexHeadingLevel1"/>
      <w:lvlText w:val="ANNEX %1"/>
      <w:lvlJc w:val="left"/>
      <w:pPr>
        <w:tabs>
          <w:tab w:val="num" w:pos="1418"/>
        </w:tabs>
        <w:ind w:left="1418" w:hanging="1418"/>
      </w:pPr>
      <w:rPr>
        <w:rFonts w:hint="default"/>
      </w:rPr>
    </w:lvl>
    <w:lvl w:ilvl="1">
      <w:start w:val="1"/>
      <w:numFmt w:val="decimal"/>
      <w:pStyle w:val="AHL2AnnexHeadingLevel2"/>
      <w:lvlText w:val="%1.%2"/>
      <w:lvlJc w:val="left"/>
      <w:pPr>
        <w:tabs>
          <w:tab w:val="num" w:pos="851"/>
        </w:tabs>
        <w:ind w:left="851" w:hanging="851"/>
      </w:pPr>
      <w:rPr>
        <w:rFonts w:hint="default"/>
      </w:rPr>
    </w:lvl>
    <w:lvl w:ilvl="2">
      <w:start w:val="1"/>
      <w:numFmt w:val="decimal"/>
      <w:pStyle w:val="AHL3AnnexHeadingLevel3"/>
      <w:lvlText w:val="%1.%2.%3"/>
      <w:lvlJc w:val="left"/>
      <w:pPr>
        <w:tabs>
          <w:tab w:val="num" w:pos="1701"/>
        </w:tabs>
        <w:ind w:left="1701" w:hanging="850"/>
      </w:pPr>
      <w:rPr>
        <w:rFonts w:hint="default"/>
      </w:rPr>
    </w:lvl>
    <w:lvl w:ilvl="3">
      <w:start w:val="1"/>
      <w:numFmt w:val="decimal"/>
      <w:pStyle w:val="AHL4AnnexHeadingLevel4"/>
      <w:lvlText w:val="%1.%2.%3.%4"/>
      <w:lvlJc w:val="left"/>
      <w:pPr>
        <w:tabs>
          <w:tab w:val="num" w:pos="2835"/>
        </w:tabs>
        <w:ind w:left="2835" w:hanging="1134"/>
      </w:pPr>
      <w:rPr>
        <w:rFonts w:hint="default"/>
        <w:u w:val="single"/>
      </w:rPr>
    </w:lvl>
    <w:lvl w:ilvl="4">
      <w:start w:val="1"/>
      <w:numFmt w:val="none"/>
      <w:pStyle w:val="AHL5AnnexHeadingLevel5"/>
      <w:lvlText w:val=""/>
      <w:lvlJc w:val="left"/>
      <w:pPr>
        <w:ind w:left="2552" w:firstLine="0"/>
      </w:pPr>
      <w:rPr>
        <w:rFonts w:hint="default"/>
      </w:rPr>
    </w:lvl>
    <w:lvl w:ilvl="5">
      <w:start w:val="1"/>
      <w:numFmt w:val="none"/>
      <w:pStyle w:val="AHL6AnnexHeadingLevel6"/>
      <w:lvlText w:val=""/>
      <w:lvlJc w:val="left"/>
      <w:pPr>
        <w:ind w:left="3402" w:firstLine="0"/>
      </w:pPr>
      <w:rPr>
        <w:rFonts w:hint="default"/>
      </w:rPr>
    </w:lvl>
    <w:lvl w:ilvl="6">
      <w:start w:val="1"/>
      <w:numFmt w:val="none"/>
      <w:pStyle w:val="AHL7AnnexHeadingLevel7"/>
      <w:lvlText w:val=""/>
      <w:lvlJc w:val="left"/>
      <w:pPr>
        <w:ind w:left="4253" w:firstLine="0"/>
      </w:pPr>
      <w:rPr>
        <w:rFonts w:hint="default"/>
      </w:rPr>
    </w:lvl>
    <w:lvl w:ilvl="7">
      <w:start w:val="1"/>
      <w:numFmt w:val="none"/>
      <w:pStyle w:val="AHL8AnnexHeadingLevel8"/>
      <w:lvlText w:val=""/>
      <w:lvlJc w:val="left"/>
      <w:pPr>
        <w:ind w:left="5103" w:firstLine="0"/>
      </w:pPr>
      <w:rPr>
        <w:rFonts w:hint="default"/>
      </w:rPr>
    </w:lvl>
    <w:lvl w:ilvl="8">
      <w:start w:val="1"/>
      <w:numFmt w:val="none"/>
      <w:pStyle w:val="AHL9AnnexHeadingLevel9"/>
      <w:lvlText w:val=""/>
      <w:lvlJc w:val="left"/>
      <w:pPr>
        <w:ind w:left="5954" w:firstLine="0"/>
      </w:pPr>
      <w:rPr>
        <w:rFonts w:hint="default"/>
      </w:rPr>
    </w:lvl>
  </w:abstractNum>
  <w:abstractNum w:abstractNumId="8" w15:restartNumberingAfterBreak="0">
    <w:nsid w:val="5E2B6E73"/>
    <w:multiLevelType w:val="hybridMultilevel"/>
    <w:tmpl w:val="2764852C"/>
    <w:lvl w:ilvl="0" w:tplc="85AECD76">
      <w:start w:val="12"/>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9EF7F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4CC8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C046F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7C2C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C0C0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C2AF3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AE1B5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08F3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D648D2"/>
    <w:multiLevelType w:val="hybridMultilevel"/>
    <w:tmpl w:val="A118C2BA"/>
    <w:lvl w:ilvl="0" w:tplc="0BFACBF8">
      <w:start w:val="1"/>
      <w:numFmt w:val="decimal"/>
      <w:lvlText w:val="%1."/>
      <w:lvlJc w:val="left"/>
      <w:pPr>
        <w:ind w:left="10"/>
      </w:pPr>
      <w:rPr>
        <w:rFonts w:ascii="Calibri" w:eastAsiaTheme="minorHAnsi" w:hAnsi="Calibri" w:cstheme="minorBidi"/>
        <w:b w:val="0"/>
        <w:i w:val="0"/>
        <w:strike w:val="0"/>
        <w:dstrike w:val="0"/>
        <w:color w:val="000000"/>
        <w:sz w:val="24"/>
        <w:szCs w:val="24"/>
        <w:u w:val="none" w:color="000000"/>
        <w:bdr w:val="none" w:sz="0" w:space="0" w:color="auto"/>
        <w:shd w:val="clear" w:color="auto" w:fill="auto"/>
        <w:vertAlign w:val="baseline"/>
      </w:rPr>
    </w:lvl>
    <w:lvl w:ilvl="1" w:tplc="F288EA66">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9ADCE6">
      <w:start w:val="1"/>
      <w:numFmt w:val="bullet"/>
      <w:lvlText w:val="▪"/>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CEE7BC">
      <w:start w:val="1"/>
      <w:numFmt w:val="bullet"/>
      <w:lvlText w:val="•"/>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C64B96">
      <w:start w:val="1"/>
      <w:numFmt w:val="bullet"/>
      <w:lvlText w:val="o"/>
      <w:lvlJc w:val="left"/>
      <w:pPr>
        <w:ind w:left="3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AE96FA">
      <w:start w:val="1"/>
      <w:numFmt w:val="bullet"/>
      <w:lvlText w:val="▪"/>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26E0B6">
      <w:start w:val="1"/>
      <w:numFmt w:val="bullet"/>
      <w:lvlText w:val="•"/>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12DC80">
      <w:start w:val="1"/>
      <w:numFmt w:val="bullet"/>
      <w:lvlText w:val="o"/>
      <w:lvlJc w:val="left"/>
      <w:pPr>
        <w:ind w:left="5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9A49B8">
      <w:start w:val="1"/>
      <w:numFmt w:val="bullet"/>
      <w:lvlText w:val="▪"/>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7CE0D86"/>
    <w:multiLevelType w:val="hybridMultilevel"/>
    <w:tmpl w:val="48F8E010"/>
    <w:lvl w:ilvl="0" w:tplc="15ACE29E">
      <w:start w:val="1"/>
      <w:numFmt w:val="decimal"/>
      <w:pStyle w:val="TCTableCaption"/>
      <w:lvlText w:val="Table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3661875">
    <w:abstractNumId w:val="5"/>
  </w:num>
  <w:num w:numId="2" w16cid:durableId="1869836067">
    <w:abstractNumId w:val="1"/>
  </w:num>
  <w:num w:numId="3" w16cid:durableId="309751590">
    <w:abstractNumId w:val="5"/>
    <w:lvlOverride w:ilvl="0">
      <w:startOverride w:val="1"/>
    </w:lvlOverride>
  </w:num>
  <w:num w:numId="4" w16cid:durableId="1114179299">
    <w:abstractNumId w:val="0"/>
  </w:num>
  <w:num w:numId="5" w16cid:durableId="1506478503">
    <w:abstractNumId w:val="10"/>
  </w:num>
  <w:num w:numId="6" w16cid:durableId="1475219473">
    <w:abstractNumId w:val="7"/>
  </w:num>
  <w:num w:numId="7" w16cid:durableId="1985691567">
    <w:abstractNumId w:val="7"/>
  </w:num>
  <w:num w:numId="8" w16cid:durableId="1106580727">
    <w:abstractNumId w:val="3"/>
  </w:num>
  <w:num w:numId="9" w16cid:durableId="353071475">
    <w:abstractNumId w:val="9"/>
  </w:num>
  <w:num w:numId="10" w16cid:durableId="1637489416">
    <w:abstractNumId w:val="8"/>
  </w:num>
  <w:num w:numId="11" w16cid:durableId="142966506">
    <w:abstractNumId w:val="4"/>
  </w:num>
  <w:num w:numId="12" w16cid:durableId="137889398">
    <w:abstractNumId w:val="2"/>
  </w:num>
  <w:num w:numId="13" w16cid:durableId="2036495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A5"/>
    <w:rsid w:val="00004009"/>
    <w:rsid w:val="00005C0C"/>
    <w:rsid w:val="00006269"/>
    <w:rsid w:val="0001011C"/>
    <w:rsid w:val="000101A1"/>
    <w:rsid w:val="000102CA"/>
    <w:rsid w:val="00013F6E"/>
    <w:rsid w:val="00023C47"/>
    <w:rsid w:val="00025483"/>
    <w:rsid w:val="00030A32"/>
    <w:rsid w:val="00031577"/>
    <w:rsid w:val="00035AE1"/>
    <w:rsid w:val="00040482"/>
    <w:rsid w:val="0004326D"/>
    <w:rsid w:val="000453F8"/>
    <w:rsid w:val="00046BAF"/>
    <w:rsid w:val="0006438B"/>
    <w:rsid w:val="000662B0"/>
    <w:rsid w:val="000716BD"/>
    <w:rsid w:val="0007327B"/>
    <w:rsid w:val="00076753"/>
    <w:rsid w:val="00081602"/>
    <w:rsid w:val="00082549"/>
    <w:rsid w:val="0008701E"/>
    <w:rsid w:val="00087729"/>
    <w:rsid w:val="00093175"/>
    <w:rsid w:val="000950D2"/>
    <w:rsid w:val="000C14F5"/>
    <w:rsid w:val="000C35C4"/>
    <w:rsid w:val="000C69EE"/>
    <w:rsid w:val="000E4C65"/>
    <w:rsid w:val="000F17F9"/>
    <w:rsid w:val="0011547E"/>
    <w:rsid w:val="0012151F"/>
    <w:rsid w:val="001229DB"/>
    <w:rsid w:val="0015674F"/>
    <w:rsid w:val="001570CB"/>
    <w:rsid w:val="00165108"/>
    <w:rsid w:val="0017192E"/>
    <w:rsid w:val="00172DB5"/>
    <w:rsid w:val="00182727"/>
    <w:rsid w:val="0018667F"/>
    <w:rsid w:val="00192E51"/>
    <w:rsid w:val="001943F9"/>
    <w:rsid w:val="001A1E82"/>
    <w:rsid w:val="001A41B7"/>
    <w:rsid w:val="001A6910"/>
    <w:rsid w:val="001B2095"/>
    <w:rsid w:val="001B7AD2"/>
    <w:rsid w:val="001C1130"/>
    <w:rsid w:val="001D29D6"/>
    <w:rsid w:val="001F46B7"/>
    <w:rsid w:val="00200A72"/>
    <w:rsid w:val="002064E0"/>
    <w:rsid w:val="002070FA"/>
    <w:rsid w:val="002074D5"/>
    <w:rsid w:val="00207C8E"/>
    <w:rsid w:val="00212CBA"/>
    <w:rsid w:val="0022187F"/>
    <w:rsid w:val="00230197"/>
    <w:rsid w:val="0023272D"/>
    <w:rsid w:val="0023283F"/>
    <w:rsid w:val="0023744E"/>
    <w:rsid w:val="002426D8"/>
    <w:rsid w:val="00242D2B"/>
    <w:rsid w:val="00245FA1"/>
    <w:rsid w:val="002603E6"/>
    <w:rsid w:val="0026128E"/>
    <w:rsid w:val="00264EA4"/>
    <w:rsid w:val="00274096"/>
    <w:rsid w:val="002774D9"/>
    <w:rsid w:val="00283DB2"/>
    <w:rsid w:val="002949DE"/>
    <w:rsid w:val="00294FFA"/>
    <w:rsid w:val="002A3F58"/>
    <w:rsid w:val="002B1406"/>
    <w:rsid w:val="002B295E"/>
    <w:rsid w:val="002E536A"/>
    <w:rsid w:val="002F1025"/>
    <w:rsid w:val="002F433F"/>
    <w:rsid w:val="003005A3"/>
    <w:rsid w:val="0030542C"/>
    <w:rsid w:val="0031054B"/>
    <w:rsid w:val="00323D58"/>
    <w:rsid w:val="003255B8"/>
    <w:rsid w:val="00326A5A"/>
    <w:rsid w:val="00330582"/>
    <w:rsid w:val="0034182B"/>
    <w:rsid w:val="00343C7D"/>
    <w:rsid w:val="0034420D"/>
    <w:rsid w:val="00354A06"/>
    <w:rsid w:val="00355394"/>
    <w:rsid w:val="00355646"/>
    <w:rsid w:val="003612D2"/>
    <w:rsid w:val="00373653"/>
    <w:rsid w:val="00380306"/>
    <w:rsid w:val="00380454"/>
    <w:rsid w:val="00380795"/>
    <w:rsid w:val="00395304"/>
    <w:rsid w:val="00396B82"/>
    <w:rsid w:val="003A0071"/>
    <w:rsid w:val="003A10EE"/>
    <w:rsid w:val="003A3FC8"/>
    <w:rsid w:val="003A56A4"/>
    <w:rsid w:val="003A5EE8"/>
    <w:rsid w:val="003A6036"/>
    <w:rsid w:val="003C1BE8"/>
    <w:rsid w:val="003C5E5B"/>
    <w:rsid w:val="003D2B18"/>
    <w:rsid w:val="003F2C72"/>
    <w:rsid w:val="003F4497"/>
    <w:rsid w:val="003F5E48"/>
    <w:rsid w:val="003F611D"/>
    <w:rsid w:val="0040108F"/>
    <w:rsid w:val="00415B37"/>
    <w:rsid w:val="00420362"/>
    <w:rsid w:val="00420443"/>
    <w:rsid w:val="004342E7"/>
    <w:rsid w:val="004524CE"/>
    <w:rsid w:val="004527A9"/>
    <w:rsid w:val="00453C6C"/>
    <w:rsid w:val="00454A8F"/>
    <w:rsid w:val="004618A2"/>
    <w:rsid w:val="00464B94"/>
    <w:rsid w:val="00474A3B"/>
    <w:rsid w:val="00477519"/>
    <w:rsid w:val="004778E2"/>
    <w:rsid w:val="004A427A"/>
    <w:rsid w:val="004A7678"/>
    <w:rsid w:val="004B1E82"/>
    <w:rsid w:val="004B517C"/>
    <w:rsid w:val="004B74E3"/>
    <w:rsid w:val="004C0D8E"/>
    <w:rsid w:val="004C335E"/>
    <w:rsid w:val="004D5501"/>
    <w:rsid w:val="004D6BFA"/>
    <w:rsid w:val="004D7079"/>
    <w:rsid w:val="004D7C3F"/>
    <w:rsid w:val="004E692A"/>
    <w:rsid w:val="004F3B7D"/>
    <w:rsid w:val="0050080F"/>
    <w:rsid w:val="00501B6E"/>
    <w:rsid w:val="00505CB1"/>
    <w:rsid w:val="00506CBC"/>
    <w:rsid w:val="00513A57"/>
    <w:rsid w:val="00523BE6"/>
    <w:rsid w:val="00525CB3"/>
    <w:rsid w:val="005354E2"/>
    <w:rsid w:val="0054720A"/>
    <w:rsid w:val="00547F08"/>
    <w:rsid w:val="0055015D"/>
    <w:rsid w:val="005652A5"/>
    <w:rsid w:val="0057042C"/>
    <w:rsid w:val="005714C3"/>
    <w:rsid w:val="00582EA7"/>
    <w:rsid w:val="0058590A"/>
    <w:rsid w:val="0059032C"/>
    <w:rsid w:val="005A1C07"/>
    <w:rsid w:val="005A6907"/>
    <w:rsid w:val="005B3A40"/>
    <w:rsid w:val="005B6710"/>
    <w:rsid w:val="005C0E21"/>
    <w:rsid w:val="005D0800"/>
    <w:rsid w:val="005D1532"/>
    <w:rsid w:val="005E065F"/>
    <w:rsid w:val="005E4300"/>
    <w:rsid w:val="005E66D1"/>
    <w:rsid w:val="005E6A4E"/>
    <w:rsid w:val="005E7CD7"/>
    <w:rsid w:val="005F0DD5"/>
    <w:rsid w:val="005F33A1"/>
    <w:rsid w:val="005F4454"/>
    <w:rsid w:val="005F5A56"/>
    <w:rsid w:val="00602416"/>
    <w:rsid w:val="00604BAF"/>
    <w:rsid w:val="00604E15"/>
    <w:rsid w:val="0062041F"/>
    <w:rsid w:val="006220E2"/>
    <w:rsid w:val="00622A55"/>
    <w:rsid w:val="00631C3B"/>
    <w:rsid w:val="00644F23"/>
    <w:rsid w:val="00651283"/>
    <w:rsid w:val="006550D0"/>
    <w:rsid w:val="006667C2"/>
    <w:rsid w:val="00670656"/>
    <w:rsid w:val="00674852"/>
    <w:rsid w:val="00675218"/>
    <w:rsid w:val="006778A5"/>
    <w:rsid w:val="00695A18"/>
    <w:rsid w:val="00695D05"/>
    <w:rsid w:val="0069617F"/>
    <w:rsid w:val="006B1C9A"/>
    <w:rsid w:val="006C1D90"/>
    <w:rsid w:val="006D3553"/>
    <w:rsid w:val="006E2F9F"/>
    <w:rsid w:val="006E314A"/>
    <w:rsid w:val="006E4D50"/>
    <w:rsid w:val="006F04D1"/>
    <w:rsid w:val="006F189E"/>
    <w:rsid w:val="006F1CC8"/>
    <w:rsid w:val="006F4527"/>
    <w:rsid w:val="00701992"/>
    <w:rsid w:val="00701EB8"/>
    <w:rsid w:val="00706CC5"/>
    <w:rsid w:val="00706E5D"/>
    <w:rsid w:val="007142FB"/>
    <w:rsid w:val="007333DD"/>
    <w:rsid w:val="0073515B"/>
    <w:rsid w:val="00742FA9"/>
    <w:rsid w:val="007476F1"/>
    <w:rsid w:val="00752167"/>
    <w:rsid w:val="007558E0"/>
    <w:rsid w:val="007630FC"/>
    <w:rsid w:val="0076488C"/>
    <w:rsid w:val="00767BD6"/>
    <w:rsid w:val="007813A2"/>
    <w:rsid w:val="00785050"/>
    <w:rsid w:val="00791E95"/>
    <w:rsid w:val="00795605"/>
    <w:rsid w:val="007A3EF1"/>
    <w:rsid w:val="007A50A6"/>
    <w:rsid w:val="007B4AFE"/>
    <w:rsid w:val="007C5A23"/>
    <w:rsid w:val="007D1A40"/>
    <w:rsid w:val="007D77DD"/>
    <w:rsid w:val="007E57FB"/>
    <w:rsid w:val="007E7DB4"/>
    <w:rsid w:val="007F0619"/>
    <w:rsid w:val="00800159"/>
    <w:rsid w:val="00803EE5"/>
    <w:rsid w:val="0083096E"/>
    <w:rsid w:val="00847EDC"/>
    <w:rsid w:val="00855ED7"/>
    <w:rsid w:val="00876A03"/>
    <w:rsid w:val="00880381"/>
    <w:rsid w:val="0088439F"/>
    <w:rsid w:val="00887792"/>
    <w:rsid w:val="008929A5"/>
    <w:rsid w:val="008A1191"/>
    <w:rsid w:val="008A3F4A"/>
    <w:rsid w:val="008A4C51"/>
    <w:rsid w:val="008B3898"/>
    <w:rsid w:val="008B684B"/>
    <w:rsid w:val="008C1917"/>
    <w:rsid w:val="008C302F"/>
    <w:rsid w:val="008D3856"/>
    <w:rsid w:val="008D68FE"/>
    <w:rsid w:val="008D7A70"/>
    <w:rsid w:val="008E0031"/>
    <w:rsid w:val="008E0CB0"/>
    <w:rsid w:val="008F5ACF"/>
    <w:rsid w:val="008F5B14"/>
    <w:rsid w:val="008F7779"/>
    <w:rsid w:val="00900247"/>
    <w:rsid w:val="00900FED"/>
    <w:rsid w:val="0091698D"/>
    <w:rsid w:val="009218DE"/>
    <w:rsid w:val="009272EB"/>
    <w:rsid w:val="0093054A"/>
    <w:rsid w:val="00936ABE"/>
    <w:rsid w:val="009410A9"/>
    <w:rsid w:val="009441C2"/>
    <w:rsid w:val="009442A5"/>
    <w:rsid w:val="00962C06"/>
    <w:rsid w:val="009631EE"/>
    <w:rsid w:val="00964533"/>
    <w:rsid w:val="0097056B"/>
    <w:rsid w:val="00982909"/>
    <w:rsid w:val="00991E72"/>
    <w:rsid w:val="009950B3"/>
    <w:rsid w:val="00997060"/>
    <w:rsid w:val="009A5E65"/>
    <w:rsid w:val="009D7087"/>
    <w:rsid w:val="009E004D"/>
    <w:rsid w:val="009E56D2"/>
    <w:rsid w:val="009E7B06"/>
    <w:rsid w:val="009F37B5"/>
    <w:rsid w:val="009F4397"/>
    <w:rsid w:val="009F70DA"/>
    <w:rsid w:val="009F736B"/>
    <w:rsid w:val="00A04ABE"/>
    <w:rsid w:val="00A05C5F"/>
    <w:rsid w:val="00A0632C"/>
    <w:rsid w:val="00A137E6"/>
    <w:rsid w:val="00A15817"/>
    <w:rsid w:val="00A20897"/>
    <w:rsid w:val="00A215A1"/>
    <w:rsid w:val="00A24CA2"/>
    <w:rsid w:val="00A261D8"/>
    <w:rsid w:val="00A31E82"/>
    <w:rsid w:val="00A32E86"/>
    <w:rsid w:val="00A351B1"/>
    <w:rsid w:val="00A35F65"/>
    <w:rsid w:val="00A40BC6"/>
    <w:rsid w:val="00A5375A"/>
    <w:rsid w:val="00A54F00"/>
    <w:rsid w:val="00A62B63"/>
    <w:rsid w:val="00A62E4D"/>
    <w:rsid w:val="00A7135F"/>
    <w:rsid w:val="00A8102E"/>
    <w:rsid w:val="00A900B6"/>
    <w:rsid w:val="00A977A6"/>
    <w:rsid w:val="00AA0A64"/>
    <w:rsid w:val="00AC3889"/>
    <w:rsid w:val="00AC4A0D"/>
    <w:rsid w:val="00AC4E48"/>
    <w:rsid w:val="00AD0459"/>
    <w:rsid w:val="00AD31C4"/>
    <w:rsid w:val="00AD3786"/>
    <w:rsid w:val="00AD3A98"/>
    <w:rsid w:val="00AD52FF"/>
    <w:rsid w:val="00AE5A49"/>
    <w:rsid w:val="00AF4DE4"/>
    <w:rsid w:val="00B03F76"/>
    <w:rsid w:val="00B10942"/>
    <w:rsid w:val="00B15D11"/>
    <w:rsid w:val="00B20115"/>
    <w:rsid w:val="00B23AC6"/>
    <w:rsid w:val="00B36BF4"/>
    <w:rsid w:val="00B36F52"/>
    <w:rsid w:val="00B435B8"/>
    <w:rsid w:val="00B455DD"/>
    <w:rsid w:val="00B61586"/>
    <w:rsid w:val="00B61ED2"/>
    <w:rsid w:val="00B706C7"/>
    <w:rsid w:val="00B80E42"/>
    <w:rsid w:val="00B81E12"/>
    <w:rsid w:val="00B90D33"/>
    <w:rsid w:val="00B9165C"/>
    <w:rsid w:val="00B96619"/>
    <w:rsid w:val="00B9740F"/>
    <w:rsid w:val="00BA7965"/>
    <w:rsid w:val="00BB47B7"/>
    <w:rsid w:val="00BD0E60"/>
    <w:rsid w:val="00BE0B1C"/>
    <w:rsid w:val="00BE446D"/>
    <w:rsid w:val="00BF2E2B"/>
    <w:rsid w:val="00BF4AE2"/>
    <w:rsid w:val="00BF6C07"/>
    <w:rsid w:val="00C0079A"/>
    <w:rsid w:val="00C0501D"/>
    <w:rsid w:val="00C105A7"/>
    <w:rsid w:val="00C10D29"/>
    <w:rsid w:val="00C13A94"/>
    <w:rsid w:val="00C15965"/>
    <w:rsid w:val="00C22056"/>
    <w:rsid w:val="00C24A27"/>
    <w:rsid w:val="00C45722"/>
    <w:rsid w:val="00C45EAB"/>
    <w:rsid w:val="00C51915"/>
    <w:rsid w:val="00C559F6"/>
    <w:rsid w:val="00C715A9"/>
    <w:rsid w:val="00C72FCB"/>
    <w:rsid w:val="00C73188"/>
    <w:rsid w:val="00C7372D"/>
    <w:rsid w:val="00C737AF"/>
    <w:rsid w:val="00C740D8"/>
    <w:rsid w:val="00C74121"/>
    <w:rsid w:val="00C83D06"/>
    <w:rsid w:val="00C84084"/>
    <w:rsid w:val="00C90D90"/>
    <w:rsid w:val="00C93194"/>
    <w:rsid w:val="00C971A5"/>
    <w:rsid w:val="00CA67B9"/>
    <w:rsid w:val="00CB069D"/>
    <w:rsid w:val="00CB2C25"/>
    <w:rsid w:val="00CB49D2"/>
    <w:rsid w:val="00CB6291"/>
    <w:rsid w:val="00CC4A2F"/>
    <w:rsid w:val="00CC5F97"/>
    <w:rsid w:val="00CD5454"/>
    <w:rsid w:val="00CE169E"/>
    <w:rsid w:val="00CE30E6"/>
    <w:rsid w:val="00CF7258"/>
    <w:rsid w:val="00D00C9E"/>
    <w:rsid w:val="00D06973"/>
    <w:rsid w:val="00D22333"/>
    <w:rsid w:val="00D277E4"/>
    <w:rsid w:val="00D36654"/>
    <w:rsid w:val="00D373BD"/>
    <w:rsid w:val="00D456CA"/>
    <w:rsid w:val="00D47F18"/>
    <w:rsid w:val="00D52037"/>
    <w:rsid w:val="00D52A17"/>
    <w:rsid w:val="00D55C93"/>
    <w:rsid w:val="00D65A96"/>
    <w:rsid w:val="00D81B35"/>
    <w:rsid w:val="00D81E5C"/>
    <w:rsid w:val="00D8255C"/>
    <w:rsid w:val="00D83F97"/>
    <w:rsid w:val="00D875D9"/>
    <w:rsid w:val="00D94896"/>
    <w:rsid w:val="00D94A73"/>
    <w:rsid w:val="00DA5381"/>
    <w:rsid w:val="00DB014C"/>
    <w:rsid w:val="00DB0228"/>
    <w:rsid w:val="00DB0DC6"/>
    <w:rsid w:val="00DB68EC"/>
    <w:rsid w:val="00DB6983"/>
    <w:rsid w:val="00DB7728"/>
    <w:rsid w:val="00DC15AF"/>
    <w:rsid w:val="00DD4BA0"/>
    <w:rsid w:val="00DE7B91"/>
    <w:rsid w:val="00DF32C3"/>
    <w:rsid w:val="00DF4EFD"/>
    <w:rsid w:val="00DF544C"/>
    <w:rsid w:val="00DF61D9"/>
    <w:rsid w:val="00E00779"/>
    <w:rsid w:val="00E16922"/>
    <w:rsid w:val="00E21513"/>
    <w:rsid w:val="00E237FA"/>
    <w:rsid w:val="00E2408B"/>
    <w:rsid w:val="00E25E73"/>
    <w:rsid w:val="00E42749"/>
    <w:rsid w:val="00E4298E"/>
    <w:rsid w:val="00E50EFA"/>
    <w:rsid w:val="00E5196C"/>
    <w:rsid w:val="00E56397"/>
    <w:rsid w:val="00E60158"/>
    <w:rsid w:val="00E62065"/>
    <w:rsid w:val="00E717FB"/>
    <w:rsid w:val="00E7420A"/>
    <w:rsid w:val="00E8692B"/>
    <w:rsid w:val="00E90685"/>
    <w:rsid w:val="00E93AE3"/>
    <w:rsid w:val="00E95EE4"/>
    <w:rsid w:val="00EA549F"/>
    <w:rsid w:val="00EB1904"/>
    <w:rsid w:val="00ED1747"/>
    <w:rsid w:val="00ED3D2C"/>
    <w:rsid w:val="00EE47D1"/>
    <w:rsid w:val="00EE6C76"/>
    <w:rsid w:val="00EF043D"/>
    <w:rsid w:val="00EF4D82"/>
    <w:rsid w:val="00EF7568"/>
    <w:rsid w:val="00F01A73"/>
    <w:rsid w:val="00F10E86"/>
    <w:rsid w:val="00F17867"/>
    <w:rsid w:val="00F20263"/>
    <w:rsid w:val="00F24279"/>
    <w:rsid w:val="00F4221D"/>
    <w:rsid w:val="00F51EA5"/>
    <w:rsid w:val="00F57DC7"/>
    <w:rsid w:val="00F614C4"/>
    <w:rsid w:val="00F66D72"/>
    <w:rsid w:val="00F93F5B"/>
    <w:rsid w:val="00F93FDE"/>
    <w:rsid w:val="00F945DB"/>
    <w:rsid w:val="00FA3211"/>
    <w:rsid w:val="00FB59EA"/>
    <w:rsid w:val="00FC103A"/>
    <w:rsid w:val="00FC1627"/>
    <w:rsid w:val="00FD25CE"/>
    <w:rsid w:val="00FF1BC3"/>
    <w:rsid w:val="00FF2BB1"/>
    <w:rsid w:val="00FF50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411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AU"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47D1"/>
  </w:style>
  <w:style w:type="paragraph" w:styleId="Heading1">
    <w:name w:val="heading 1"/>
    <w:basedOn w:val="Normal"/>
    <w:next w:val="BTBodyText"/>
    <w:link w:val="Heading1Char"/>
    <w:uiPriority w:val="33"/>
    <w:rsid w:val="00887792"/>
    <w:pPr>
      <w:keepNext/>
      <w:keepLines/>
      <w:outlineLvl w:val="0"/>
    </w:pPr>
    <w:rPr>
      <w:rFonts w:eastAsiaTheme="majorEastAsia" w:cstheme="majorBidi"/>
      <w:b/>
      <w:caps/>
      <w:sz w:val="28"/>
      <w:szCs w:val="32"/>
    </w:rPr>
  </w:style>
  <w:style w:type="paragraph" w:styleId="Heading2">
    <w:name w:val="heading 2"/>
    <w:basedOn w:val="Normal"/>
    <w:next w:val="BTBodyText"/>
    <w:link w:val="Heading2Char"/>
    <w:uiPriority w:val="33"/>
    <w:unhideWhenUsed/>
    <w:rsid w:val="00887792"/>
    <w:pPr>
      <w:keepNext/>
      <w:keepLines/>
      <w:outlineLvl w:val="1"/>
    </w:pPr>
    <w:rPr>
      <w:rFonts w:eastAsiaTheme="majorEastAsia" w:cstheme="majorBidi"/>
      <w:b/>
      <w:smallCaps/>
      <w:sz w:val="28"/>
      <w:szCs w:val="26"/>
    </w:rPr>
  </w:style>
  <w:style w:type="paragraph" w:styleId="Heading3">
    <w:name w:val="heading 3"/>
    <w:basedOn w:val="Normal"/>
    <w:next w:val="BTBodyText"/>
    <w:link w:val="Heading3Char"/>
    <w:uiPriority w:val="33"/>
    <w:unhideWhenUsed/>
    <w:rsid w:val="00887792"/>
    <w:pPr>
      <w:keepNext/>
      <w:keepLines/>
      <w:outlineLvl w:val="2"/>
    </w:pPr>
    <w:rPr>
      <w:rFonts w:eastAsiaTheme="majorEastAsia" w:cstheme="majorBidi"/>
      <w:b/>
    </w:rPr>
  </w:style>
  <w:style w:type="paragraph" w:styleId="Heading4">
    <w:name w:val="heading 4"/>
    <w:basedOn w:val="Normal"/>
    <w:next w:val="BTBodyText"/>
    <w:link w:val="Heading4Char"/>
    <w:uiPriority w:val="33"/>
    <w:unhideWhenUsed/>
    <w:rsid w:val="00887792"/>
    <w:pPr>
      <w:keepNext/>
      <w:keepLines/>
      <w:outlineLvl w:val="3"/>
    </w:pPr>
    <w:rPr>
      <w:rFonts w:eastAsiaTheme="majorEastAsia" w:cstheme="majorBidi"/>
      <w:iCs/>
      <w:u w:val="single"/>
    </w:rPr>
  </w:style>
  <w:style w:type="paragraph" w:styleId="Heading5">
    <w:name w:val="heading 5"/>
    <w:basedOn w:val="Normal"/>
    <w:next w:val="BTBodyText"/>
    <w:link w:val="Heading5Char"/>
    <w:uiPriority w:val="33"/>
    <w:unhideWhenUsed/>
    <w:rsid w:val="00887792"/>
    <w:pPr>
      <w:keepNext/>
      <w:keepLines/>
      <w:outlineLvl w:val="4"/>
    </w:pPr>
    <w:rPr>
      <w:rFonts w:eastAsiaTheme="majorEastAsia" w:cstheme="majorBidi"/>
      <w:i/>
    </w:rPr>
  </w:style>
  <w:style w:type="paragraph" w:styleId="Heading6">
    <w:name w:val="heading 6"/>
    <w:basedOn w:val="Normal"/>
    <w:next w:val="BTBodyText"/>
    <w:link w:val="Heading6Char"/>
    <w:uiPriority w:val="33"/>
    <w:unhideWhenUsed/>
    <w:rsid w:val="00887792"/>
    <w:pPr>
      <w:keepNext/>
      <w:keepLines/>
      <w:outlineLvl w:val="5"/>
    </w:pPr>
    <w:rPr>
      <w:rFonts w:eastAsiaTheme="majorEastAsia" w:cstheme="majorBidi"/>
      <w:u w:val="single"/>
    </w:rPr>
  </w:style>
  <w:style w:type="paragraph" w:styleId="Heading7">
    <w:name w:val="heading 7"/>
    <w:basedOn w:val="Normal"/>
    <w:next w:val="BTBodyText"/>
    <w:link w:val="Heading7Char"/>
    <w:uiPriority w:val="33"/>
    <w:unhideWhenUsed/>
    <w:rsid w:val="00887792"/>
    <w:pPr>
      <w:keepNext/>
      <w:keepLines/>
      <w:outlineLvl w:val="6"/>
    </w:pPr>
    <w:rPr>
      <w:rFonts w:eastAsiaTheme="majorEastAsia" w:cstheme="majorBidi"/>
      <w:i/>
      <w:iCs/>
    </w:rPr>
  </w:style>
  <w:style w:type="paragraph" w:styleId="Heading8">
    <w:name w:val="heading 8"/>
    <w:basedOn w:val="Normal"/>
    <w:next w:val="BTBodyText"/>
    <w:link w:val="Heading8Char"/>
    <w:uiPriority w:val="33"/>
    <w:unhideWhenUsed/>
    <w:rsid w:val="00887792"/>
    <w:pPr>
      <w:keepNext/>
      <w:keepLines/>
      <w:outlineLvl w:val="7"/>
    </w:pPr>
    <w:rPr>
      <w:rFonts w:eastAsiaTheme="majorEastAsia" w:cstheme="majorBidi"/>
      <w:szCs w:val="21"/>
      <w:u w:val="single"/>
    </w:rPr>
  </w:style>
  <w:style w:type="paragraph" w:styleId="Heading9">
    <w:name w:val="heading 9"/>
    <w:basedOn w:val="Normal"/>
    <w:next w:val="BTBodyText"/>
    <w:link w:val="Heading9Char"/>
    <w:uiPriority w:val="33"/>
    <w:unhideWhenUsed/>
    <w:rsid w:val="00887792"/>
    <w:pPr>
      <w:keepNext/>
      <w:keepLines/>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06"/>
    <w:rPr>
      <w:rFonts w:ascii="Segoe UI" w:hAnsi="Segoe UI" w:cs="Segoe UI"/>
      <w:sz w:val="18"/>
      <w:szCs w:val="18"/>
    </w:rPr>
  </w:style>
  <w:style w:type="paragraph" w:customStyle="1" w:styleId="BTBodyText">
    <w:name w:val="[BT] Body Text"/>
    <w:basedOn w:val="Normal"/>
    <w:link w:val="BTBodyTextChar"/>
    <w:uiPriority w:val="2"/>
    <w:qFormat/>
    <w:rsid w:val="00354A06"/>
  </w:style>
  <w:style w:type="paragraph" w:customStyle="1" w:styleId="BTIBodyTextIndented">
    <w:name w:val="[BTI] Body Text Indented"/>
    <w:basedOn w:val="BTBodyText"/>
    <w:link w:val="BTIBodyTextIndentedChar"/>
    <w:uiPriority w:val="2"/>
    <w:qFormat/>
    <w:rsid w:val="00354A06"/>
    <w:pPr>
      <w:ind w:left="851"/>
    </w:pPr>
  </w:style>
  <w:style w:type="character" w:customStyle="1" w:styleId="BTBodyTextChar">
    <w:name w:val="[BT] Body Text Char"/>
    <w:basedOn w:val="DefaultParagraphFont"/>
    <w:link w:val="BTBodyText"/>
    <w:uiPriority w:val="2"/>
    <w:rsid w:val="00AD0459"/>
  </w:style>
  <w:style w:type="paragraph" w:customStyle="1" w:styleId="BTIIBodyTextTwiceIndented">
    <w:name w:val="[BTII] Body Text Twice Indented"/>
    <w:basedOn w:val="BTBodyText"/>
    <w:link w:val="BTIIBodyTextTwiceIndentedChar"/>
    <w:uiPriority w:val="2"/>
    <w:qFormat/>
    <w:rsid w:val="00354A06"/>
    <w:pPr>
      <w:ind w:left="1702"/>
    </w:pPr>
  </w:style>
  <w:style w:type="character" w:customStyle="1" w:styleId="BTIBodyTextIndentedChar">
    <w:name w:val="[BTI] Body Text Indented Char"/>
    <w:basedOn w:val="BTBodyTextChar"/>
    <w:link w:val="BTIBodyTextIndented"/>
    <w:uiPriority w:val="2"/>
    <w:rsid w:val="00AD0459"/>
  </w:style>
  <w:style w:type="paragraph" w:styleId="ListParagraph">
    <w:name w:val="List Paragraph"/>
    <w:basedOn w:val="Normal"/>
    <w:uiPriority w:val="34"/>
    <w:rsid w:val="003A10EE"/>
    <w:pPr>
      <w:ind w:left="851"/>
    </w:pPr>
  </w:style>
  <w:style w:type="character" w:customStyle="1" w:styleId="BTIIBodyTextTwiceIndentedChar">
    <w:name w:val="[BTII] Body Text Twice Indented Char"/>
    <w:basedOn w:val="BTBodyTextChar"/>
    <w:link w:val="BTIIBodyTextTwiceIndented"/>
    <w:uiPriority w:val="2"/>
    <w:rsid w:val="00AD0459"/>
  </w:style>
  <w:style w:type="paragraph" w:styleId="NoSpacing">
    <w:name w:val="No Spacing"/>
    <w:link w:val="NoSpacingChar"/>
    <w:uiPriority w:val="1"/>
    <w:rsid w:val="001F46B7"/>
    <w:pPr>
      <w:spacing w:after="0" w:line="240" w:lineRule="auto"/>
    </w:pPr>
  </w:style>
  <w:style w:type="paragraph" w:customStyle="1" w:styleId="BTNSBodyTextNoSpacing">
    <w:name w:val="[BTNS] Body Text No Spacing"/>
    <w:basedOn w:val="NoSpacing"/>
    <w:link w:val="BTNSBodyTextNoSpacingChar"/>
    <w:uiPriority w:val="2"/>
    <w:qFormat/>
    <w:rsid w:val="001F46B7"/>
  </w:style>
  <w:style w:type="paragraph" w:customStyle="1" w:styleId="BTNSSBodyTextNoSpacingSmall">
    <w:name w:val="[BTNSS] Body Text No Spacing Small"/>
    <w:basedOn w:val="BTNSBodyTextNoSpacing"/>
    <w:link w:val="BTNSSBodyTextNoSpacingSmallChar"/>
    <w:uiPriority w:val="2"/>
    <w:rsid w:val="001F46B7"/>
    <w:rPr>
      <w:sz w:val="8"/>
      <w:szCs w:val="8"/>
    </w:rPr>
  </w:style>
  <w:style w:type="character" w:customStyle="1" w:styleId="NoSpacingChar">
    <w:name w:val="No Spacing Char"/>
    <w:basedOn w:val="DefaultParagraphFont"/>
    <w:link w:val="NoSpacing"/>
    <w:uiPriority w:val="1"/>
    <w:rsid w:val="001F46B7"/>
  </w:style>
  <w:style w:type="character" w:customStyle="1" w:styleId="BTNSBodyTextNoSpacingChar">
    <w:name w:val="[BTNS] Body Text No Spacing Char"/>
    <w:basedOn w:val="NoSpacingChar"/>
    <w:link w:val="BTNSBodyTextNoSpacing"/>
    <w:uiPriority w:val="2"/>
    <w:rsid w:val="00B10942"/>
  </w:style>
  <w:style w:type="character" w:customStyle="1" w:styleId="BTNSSBodyTextNoSpacingSmallChar">
    <w:name w:val="[BTNSS] Body Text No Spacing Small Char"/>
    <w:basedOn w:val="BTNSBodyTextNoSpacingChar"/>
    <w:link w:val="BTNSSBodyTextNoSpacingSmall"/>
    <w:uiPriority w:val="2"/>
    <w:rsid w:val="00B10942"/>
    <w:rPr>
      <w:sz w:val="8"/>
      <w:szCs w:val="8"/>
    </w:rPr>
  </w:style>
  <w:style w:type="paragraph" w:customStyle="1" w:styleId="P1-N1Paragraph1-Number1">
    <w:name w:val="[P1-N1] Paragraph 1 - Number 1"/>
    <w:basedOn w:val="BTBodyText"/>
    <w:link w:val="P1-N1Paragraph1-Number1Char"/>
    <w:uiPriority w:val="6"/>
    <w:qFormat/>
    <w:rsid w:val="006F189E"/>
    <w:pPr>
      <w:numPr>
        <w:numId w:val="1"/>
      </w:numPr>
    </w:pPr>
  </w:style>
  <w:style w:type="paragraph" w:customStyle="1" w:styleId="P2-B1Paragraph2-Bullet1">
    <w:name w:val="[P2-B1] Paragraph 2 - Bullet 1"/>
    <w:basedOn w:val="BTBodyText"/>
    <w:link w:val="P2-B1Paragraph2-Bullet1Char"/>
    <w:uiPriority w:val="6"/>
    <w:qFormat/>
    <w:rsid w:val="00C45722"/>
    <w:pPr>
      <w:numPr>
        <w:ilvl w:val="1"/>
        <w:numId w:val="1"/>
      </w:numPr>
      <w:spacing w:after="120"/>
      <w:ind w:left="1702" w:hanging="851"/>
    </w:pPr>
  </w:style>
  <w:style w:type="character" w:customStyle="1" w:styleId="P1-N1Paragraph1-Number1Char">
    <w:name w:val="[P1-N1] Paragraph 1 - Number 1 Char"/>
    <w:basedOn w:val="BTBodyTextChar"/>
    <w:link w:val="P1-N1Paragraph1-Number1"/>
    <w:uiPriority w:val="6"/>
    <w:rsid w:val="002603E6"/>
  </w:style>
  <w:style w:type="paragraph" w:customStyle="1" w:styleId="P3-B2Paragraph3-Bullet2">
    <w:name w:val="[P3-B2] Paragraph 3 - Bullet 2"/>
    <w:basedOn w:val="BTBodyText"/>
    <w:link w:val="P3-B2Paragraph3-Bullet2Char"/>
    <w:uiPriority w:val="6"/>
    <w:qFormat/>
    <w:rsid w:val="00C45722"/>
    <w:pPr>
      <w:numPr>
        <w:ilvl w:val="2"/>
        <w:numId w:val="1"/>
      </w:numPr>
      <w:spacing w:after="120"/>
    </w:pPr>
  </w:style>
  <w:style w:type="character" w:customStyle="1" w:styleId="P2-B1Paragraph2-Bullet1Char">
    <w:name w:val="[P2-B1] Paragraph 2 - Bullet 1 Char"/>
    <w:basedOn w:val="BTBodyTextChar"/>
    <w:link w:val="P2-B1Paragraph2-Bullet1"/>
    <w:uiPriority w:val="6"/>
    <w:rsid w:val="00C45722"/>
  </w:style>
  <w:style w:type="paragraph" w:customStyle="1" w:styleId="P4-B3Paragraph4-Bullet3">
    <w:name w:val="[P4-B3] Paragraph 4 - Bullet 3"/>
    <w:basedOn w:val="BTBodyText"/>
    <w:link w:val="P4-B3Paragraph4-Bullet3Char"/>
    <w:uiPriority w:val="6"/>
    <w:rsid w:val="00C45722"/>
    <w:pPr>
      <w:numPr>
        <w:ilvl w:val="3"/>
        <w:numId w:val="1"/>
      </w:numPr>
      <w:spacing w:after="120"/>
      <w:ind w:left="3403" w:hanging="851"/>
    </w:pPr>
  </w:style>
  <w:style w:type="character" w:customStyle="1" w:styleId="P3-B2Paragraph3-Bullet2Char">
    <w:name w:val="[P3-B2] Paragraph 3 - Bullet 2 Char"/>
    <w:basedOn w:val="BTBodyTextChar"/>
    <w:link w:val="P3-B2Paragraph3-Bullet2"/>
    <w:uiPriority w:val="6"/>
    <w:rsid w:val="00C45722"/>
  </w:style>
  <w:style w:type="paragraph" w:customStyle="1" w:styleId="P5-B4Paragraph5-Bullet4">
    <w:name w:val="[P5-B4] Paragraph 5 - Bullet 4"/>
    <w:basedOn w:val="BTBodyText"/>
    <w:link w:val="P5-B4Paragraph5-Bullet4Char"/>
    <w:uiPriority w:val="6"/>
    <w:rsid w:val="00C45722"/>
    <w:pPr>
      <w:numPr>
        <w:ilvl w:val="4"/>
        <w:numId w:val="1"/>
      </w:numPr>
      <w:spacing w:after="120"/>
    </w:pPr>
  </w:style>
  <w:style w:type="character" w:customStyle="1" w:styleId="P4-B3Paragraph4-Bullet3Char">
    <w:name w:val="[P4-B3] Paragraph 4 - Bullet 3 Char"/>
    <w:basedOn w:val="BTBodyTextChar"/>
    <w:link w:val="P4-B3Paragraph4-Bullet3"/>
    <w:uiPriority w:val="6"/>
    <w:rsid w:val="00C45722"/>
  </w:style>
  <w:style w:type="paragraph" w:customStyle="1" w:styleId="P6-B5Paragraph6-Bullet5">
    <w:name w:val="[P6-B5] Paragraph 6 - Bullet 5"/>
    <w:basedOn w:val="BTBodyText"/>
    <w:link w:val="P6-B5Paragraph6-Bullet5Char"/>
    <w:uiPriority w:val="6"/>
    <w:rsid w:val="00C45722"/>
    <w:pPr>
      <w:numPr>
        <w:ilvl w:val="5"/>
        <w:numId w:val="1"/>
      </w:numPr>
      <w:spacing w:after="120"/>
      <w:ind w:left="5104" w:hanging="851"/>
    </w:pPr>
  </w:style>
  <w:style w:type="character" w:customStyle="1" w:styleId="P5-B4Paragraph5-Bullet4Char">
    <w:name w:val="[P5-B4] Paragraph 5 - Bullet 4 Char"/>
    <w:basedOn w:val="BTBodyTextChar"/>
    <w:link w:val="P5-B4Paragraph5-Bullet4"/>
    <w:uiPriority w:val="6"/>
    <w:rsid w:val="00C45722"/>
  </w:style>
  <w:style w:type="paragraph" w:customStyle="1" w:styleId="P7-B6Paragraph7-Bullet6">
    <w:name w:val="[P7-B6] Paragraph 7 - Bullet 6"/>
    <w:basedOn w:val="BTBodyText"/>
    <w:link w:val="P7-B6Paragraph7-Bullet6Char"/>
    <w:uiPriority w:val="6"/>
    <w:rsid w:val="00C45722"/>
    <w:pPr>
      <w:numPr>
        <w:ilvl w:val="6"/>
        <w:numId w:val="1"/>
      </w:numPr>
      <w:spacing w:after="120"/>
    </w:pPr>
  </w:style>
  <w:style w:type="character" w:customStyle="1" w:styleId="P6-B5Paragraph6-Bullet5Char">
    <w:name w:val="[P6-B5] Paragraph 6 - Bullet 5 Char"/>
    <w:basedOn w:val="BTBodyTextChar"/>
    <w:link w:val="P6-B5Paragraph6-Bullet5"/>
    <w:uiPriority w:val="6"/>
    <w:rsid w:val="00C45722"/>
  </w:style>
  <w:style w:type="paragraph" w:customStyle="1" w:styleId="P8-B7Paragraph8-Bullet7">
    <w:name w:val="[P8-B7] Paragraph 8 - Bullet 7"/>
    <w:basedOn w:val="BTBodyText"/>
    <w:link w:val="P8-B7Paragraph8-Bullet7Char"/>
    <w:uiPriority w:val="6"/>
    <w:rsid w:val="00C45722"/>
    <w:pPr>
      <w:numPr>
        <w:ilvl w:val="7"/>
        <w:numId w:val="1"/>
      </w:numPr>
      <w:spacing w:after="120"/>
      <w:ind w:left="6805" w:hanging="851"/>
    </w:pPr>
  </w:style>
  <w:style w:type="character" w:customStyle="1" w:styleId="P7-B6Paragraph7-Bullet6Char">
    <w:name w:val="[P7-B6] Paragraph 7 - Bullet 6 Char"/>
    <w:basedOn w:val="BTBodyTextChar"/>
    <w:link w:val="P7-B6Paragraph7-Bullet6"/>
    <w:uiPriority w:val="6"/>
    <w:semiHidden/>
    <w:rsid w:val="00C45722"/>
  </w:style>
  <w:style w:type="paragraph" w:customStyle="1" w:styleId="P9-B8Paragraph9-Bullet8">
    <w:name w:val="[P9-B8] Paragraph 9 - Bullet 8"/>
    <w:basedOn w:val="BTBodyText"/>
    <w:link w:val="P9-B8Paragraph9-Bullet8Char"/>
    <w:uiPriority w:val="6"/>
    <w:rsid w:val="00C45722"/>
    <w:pPr>
      <w:numPr>
        <w:ilvl w:val="8"/>
        <w:numId w:val="1"/>
      </w:numPr>
      <w:spacing w:after="120"/>
    </w:pPr>
  </w:style>
  <w:style w:type="character" w:customStyle="1" w:styleId="P8-B7Paragraph8-Bullet7Char">
    <w:name w:val="[P8-B7] Paragraph 8 - Bullet 7 Char"/>
    <w:basedOn w:val="BTBodyTextChar"/>
    <w:link w:val="P8-B7Paragraph8-Bullet7"/>
    <w:uiPriority w:val="6"/>
    <w:semiHidden/>
    <w:rsid w:val="00C45722"/>
  </w:style>
  <w:style w:type="paragraph" w:customStyle="1" w:styleId="QQuotation">
    <w:name w:val="[Q] Quotation"/>
    <w:basedOn w:val="BTIBodyTextIndented"/>
    <w:next w:val="P1-N1Paragraph1-Number1"/>
    <w:link w:val="QQuotationChar"/>
    <w:uiPriority w:val="8"/>
    <w:qFormat/>
    <w:rsid w:val="00EF4D82"/>
    <w:pPr>
      <w:spacing w:after="240" w:line="276" w:lineRule="auto"/>
    </w:pPr>
    <w:rPr>
      <w:sz w:val="22"/>
    </w:rPr>
  </w:style>
  <w:style w:type="character" w:customStyle="1" w:styleId="P9-B8Paragraph9-Bullet8Char">
    <w:name w:val="[P9-B8] Paragraph 9 - Bullet 8 Char"/>
    <w:basedOn w:val="BTBodyTextChar"/>
    <w:link w:val="P9-B8Paragraph9-Bullet8"/>
    <w:uiPriority w:val="6"/>
    <w:semiHidden/>
    <w:rsid w:val="00C45722"/>
  </w:style>
  <w:style w:type="character" w:customStyle="1" w:styleId="Heading1Char">
    <w:name w:val="Heading 1 Char"/>
    <w:basedOn w:val="DefaultParagraphFont"/>
    <w:link w:val="Heading1"/>
    <w:uiPriority w:val="33"/>
    <w:rsid w:val="002603E6"/>
    <w:rPr>
      <w:rFonts w:eastAsiaTheme="majorEastAsia" w:cstheme="majorBidi"/>
      <w:b/>
      <w:caps/>
      <w:sz w:val="28"/>
      <w:szCs w:val="32"/>
    </w:rPr>
  </w:style>
  <w:style w:type="character" w:customStyle="1" w:styleId="QQuotationChar">
    <w:name w:val="[Q] Quotation Char"/>
    <w:basedOn w:val="BTIBodyTextIndentedChar"/>
    <w:link w:val="QQuotation"/>
    <w:uiPriority w:val="8"/>
    <w:rsid w:val="00EF4D82"/>
    <w:rPr>
      <w:sz w:val="22"/>
    </w:rPr>
  </w:style>
  <w:style w:type="character" w:customStyle="1" w:styleId="Heading2Char">
    <w:name w:val="Heading 2 Char"/>
    <w:basedOn w:val="DefaultParagraphFont"/>
    <w:link w:val="Heading2"/>
    <w:uiPriority w:val="33"/>
    <w:rsid w:val="002603E6"/>
    <w:rPr>
      <w:rFonts w:eastAsiaTheme="majorEastAsia" w:cstheme="majorBidi"/>
      <w:b/>
      <w:smallCaps/>
      <w:sz w:val="28"/>
      <w:szCs w:val="26"/>
    </w:rPr>
  </w:style>
  <w:style w:type="character" w:customStyle="1" w:styleId="Heading3Char">
    <w:name w:val="Heading 3 Char"/>
    <w:basedOn w:val="DefaultParagraphFont"/>
    <w:link w:val="Heading3"/>
    <w:uiPriority w:val="33"/>
    <w:rsid w:val="002603E6"/>
    <w:rPr>
      <w:rFonts w:eastAsiaTheme="majorEastAsia" w:cstheme="majorBidi"/>
      <w:b/>
    </w:rPr>
  </w:style>
  <w:style w:type="character" w:customStyle="1" w:styleId="Heading4Char">
    <w:name w:val="Heading 4 Char"/>
    <w:basedOn w:val="DefaultParagraphFont"/>
    <w:link w:val="Heading4"/>
    <w:uiPriority w:val="33"/>
    <w:rsid w:val="002603E6"/>
    <w:rPr>
      <w:rFonts w:eastAsiaTheme="majorEastAsia" w:cstheme="majorBidi"/>
      <w:iCs/>
      <w:u w:val="single"/>
    </w:rPr>
  </w:style>
  <w:style w:type="character" w:customStyle="1" w:styleId="Heading5Char">
    <w:name w:val="Heading 5 Char"/>
    <w:basedOn w:val="DefaultParagraphFont"/>
    <w:link w:val="Heading5"/>
    <w:uiPriority w:val="33"/>
    <w:rsid w:val="002603E6"/>
    <w:rPr>
      <w:rFonts w:eastAsiaTheme="majorEastAsia" w:cstheme="majorBidi"/>
      <w:i/>
    </w:rPr>
  </w:style>
  <w:style w:type="character" w:customStyle="1" w:styleId="Heading6Char">
    <w:name w:val="Heading 6 Char"/>
    <w:basedOn w:val="DefaultParagraphFont"/>
    <w:link w:val="Heading6"/>
    <w:uiPriority w:val="33"/>
    <w:rsid w:val="002603E6"/>
    <w:rPr>
      <w:rFonts w:eastAsiaTheme="majorEastAsia" w:cstheme="majorBidi"/>
      <w:u w:val="single"/>
    </w:rPr>
  </w:style>
  <w:style w:type="character" w:customStyle="1" w:styleId="Heading7Char">
    <w:name w:val="Heading 7 Char"/>
    <w:basedOn w:val="DefaultParagraphFont"/>
    <w:link w:val="Heading7"/>
    <w:uiPriority w:val="33"/>
    <w:rsid w:val="002603E6"/>
    <w:rPr>
      <w:rFonts w:eastAsiaTheme="majorEastAsia" w:cstheme="majorBidi"/>
      <w:i/>
      <w:iCs/>
    </w:rPr>
  </w:style>
  <w:style w:type="character" w:customStyle="1" w:styleId="Heading8Char">
    <w:name w:val="Heading 8 Char"/>
    <w:basedOn w:val="DefaultParagraphFont"/>
    <w:link w:val="Heading8"/>
    <w:uiPriority w:val="33"/>
    <w:rsid w:val="002603E6"/>
    <w:rPr>
      <w:rFonts w:eastAsiaTheme="majorEastAsia" w:cstheme="majorBidi"/>
      <w:szCs w:val="21"/>
      <w:u w:val="single"/>
    </w:rPr>
  </w:style>
  <w:style w:type="character" w:customStyle="1" w:styleId="Heading9Char">
    <w:name w:val="Heading 9 Char"/>
    <w:basedOn w:val="DefaultParagraphFont"/>
    <w:link w:val="Heading9"/>
    <w:uiPriority w:val="33"/>
    <w:rsid w:val="002603E6"/>
    <w:rPr>
      <w:rFonts w:eastAsiaTheme="majorEastAsia" w:cstheme="majorBidi"/>
      <w:i/>
      <w:iCs/>
      <w:szCs w:val="21"/>
    </w:rPr>
  </w:style>
  <w:style w:type="paragraph" w:customStyle="1" w:styleId="HL1HeadingLevel1">
    <w:name w:val="[HL1] Heading Level 1"/>
    <w:basedOn w:val="Heading1"/>
    <w:next w:val="P1-N1Paragraph1-Number1"/>
    <w:link w:val="HL1HeadingLevel1Char"/>
    <w:uiPriority w:val="4"/>
    <w:qFormat/>
    <w:rsid w:val="00B9740F"/>
    <w:pPr>
      <w:numPr>
        <w:numId w:val="2"/>
      </w:numPr>
    </w:pPr>
  </w:style>
  <w:style w:type="paragraph" w:customStyle="1" w:styleId="HL2HeadingLevel2">
    <w:name w:val="[HL2] Heading Level 2"/>
    <w:basedOn w:val="Heading2"/>
    <w:next w:val="P1-N1Paragraph1-Number1"/>
    <w:link w:val="HL2HeadingLevel2Char"/>
    <w:uiPriority w:val="4"/>
    <w:qFormat/>
    <w:rsid w:val="00B9740F"/>
  </w:style>
  <w:style w:type="character" w:customStyle="1" w:styleId="HL1HeadingLevel1Char">
    <w:name w:val="[HL1] Heading Level 1 Char"/>
    <w:basedOn w:val="BTBodyTextChar"/>
    <w:link w:val="HL1HeadingLevel1"/>
    <w:uiPriority w:val="4"/>
    <w:rsid w:val="002603E6"/>
    <w:rPr>
      <w:rFonts w:eastAsiaTheme="majorEastAsia" w:cstheme="majorBidi"/>
      <w:b/>
      <w:caps/>
      <w:sz w:val="28"/>
      <w:szCs w:val="32"/>
    </w:rPr>
  </w:style>
  <w:style w:type="paragraph" w:customStyle="1" w:styleId="HL3HeadingLevel3">
    <w:name w:val="[HL3] Heading Level 3"/>
    <w:basedOn w:val="Heading3"/>
    <w:next w:val="P1-N1Paragraph1-Number1"/>
    <w:link w:val="HL3HeadingLevel3Char"/>
    <w:uiPriority w:val="4"/>
    <w:qFormat/>
    <w:rsid w:val="00B9740F"/>
    <w:pPr>
      <w:numPr>
        <w:ilvl w:val="2"/>
        <w:numId w:val="2"/>
      </w:numPr>
    </w:pPr>
  </w:style>
  <w:style w:type="character" w:customStyle="1" w:styleId="HL2HeadingLevel2Char">
    <w:name w:val="[HL2] Heading Level 2 Char"/>
    <w:basedOn w:val="BTBodyTextChar"/>
    <w:link w:val="HL2HeadingLevel2"/>
    <w:uiPriority w:val="4"/>
    <w:rsid w:val="002603E6"/>
    <w:rPr>
      <w:rFonts w:eastAsiaTheme="majorEastAsia" w:cstheme="majorBidi"/>
      <w:b/>
      <w:smallCaps/>
      <w:sz w:val="28"/>
      <w:szCs w:val="26"/>
    </w:rPr>
  </w:style>
  <w:style w:type="paragraph" w:customStyle="1" w:styleId="HL4HeadingLevel4">
    <w:name w:val="[HL4] Heading Level 4"/>
    <w:basedOn w:val="Heading4"/>
    <w:next w:val="P1-N1Paragraph1-Number1"/>
    <w:link w:val="HL4HeadingLevel4Char"/>
    <w:uiPriority w:val="4"/>
    <w:qFormat/>
    <w:rsid w:val="00B9740F"/>
    <w:pPr>
      <w:numPr>
        <w:ilvl w:val="3"/>
        <w:numId w:val="2"/>
      </w:numPr>
    </w:pPr>
  </w:style>
  <w:style w:type="character" w:customStyle="1" w:styleId="HL3HeadingLevel3Char">
    <w:name w:val="[HL3] Heading Level 3 Char"/>
    <w:basedOn w:val="BTBodyTextChar"/>
    <w:link w:val="HL3HeadingLevel3"/>
    <w:uiPriority w:val="4"/>
    <w:rsid w:val="002603E6"/>
    <w:rPr>
      <w:rFonts w:eastAsiaTheme="majorEastAsia" w:cstheme="majorBidi"/>
      <w:b/>
    </w:rPr>
  </w:style>
  <w:style w:type="paragraph" w:customStyle="1" w:styleId="HL5HeadingLevel5">
    <w:name w:val="[HL5] Heading Level 5"/>
    <w:basedOn w:val="Heading5"/>
    <w:next w:val="P1-N1Paragraph1-Number1"/>
    <w:link w:val="HL5HeadingLevel5Char"/>
    <w:uiPriority w:val="4"/>
    <w:qFormat/>
    <w:rsid w:val="00B9740F"/>
    <w:pPr>
      <w:numPr>
        <w:ilvl w:val="4"/>
        <w:numId w:val="2"/>
      </w:numPr>
    </w:pPr>
  </w:style>
  <w:style w:type="character" w:customStyle="1" w:styleId="HL4HeadingLevel4Char">
    <w:name w:val="[HL4] Heading Level 4 Char"/>
    <w:basedOn w:val="BTBodyTextChar"/>
    <w:link w:val="HL4HeadingLevel4"/>
    <w:uiPriority w:val="4"/>
    <w:rsid w:val="002603E6"/>
    <w:rPr>
      <w:rFonts w:eastAsiaTheme="majorEastAsia" w:cstheme="majorBidi"/>
      <w:iCs/>
      <w:u w:val="single"/>
    </w:rPr>
  </w:style>
  <w:style w:type="paragraph" w:customStyle="1" w:styleId="HL6HeadingLevel6">
    <w:name w:val="[HL6] Heading Level 6"/>
    <w:basedOn w:val="Heading6"/>
    <w:next w:val="P1-N1Paragraph1-Number1"/>
    <w:link w:val="HL6HeadingLevel6Char"/>
    <w:uiPriority w:val="4"/>
    <w:semiHidden/>
    <w:rsid w:val="00B9740F"/>
    <w:pPr>
      <w:numPr>
        <w:ilvl w:val="5"/>
        <w:numId w:val="2"/>
      </w:numPr>
    </w:pPr>
  </w:style>
  <w:style w:type="character" w:customStyle="1" w:styleId="HL5HeadingLevel5Char">
    <w:name w:val="[HL5] Heading Level 5 Char"/>
    <w:basedOn w:val="BTBodyTextChar"/>
    <w:link w:val="HL5HeadingLevel5"/>
    <w:uiPriority w:val="4"/>
    <w:rsid w:val="002603E6"/>
    <w:rPr>
      <w:rFonts w:eastAsiaTheme="majorEastAsia" w:cstheme="majorBidi"/>
      <w:i/>
    </w:rPr>
  </w:style>
  <w:style w:type="paragraph" w:customStyle="1" w:styleId="HL7HeadingLevel7">
    <w:name w:val="[HL7] Heading Level 7"/>
    <w:basedOn w:val="Heading7"/>
    <w:next w:val="P1-N1Paragraph1-Number1"/>
    <w:link w:val="HL7HeadingLevel7Char"/>
    <w:uiPriority w:val="4"/>
    <w:semiHidden/>
    <w:rsid w:val="00B9740F"/>
    <w:pPr>
      <w:numPr>
        <w:ilvl w:val="6"/>
        <w:numId w:val="2"/>
      </w:numPr>
    </w:pPr>
  </w:style>
  <w:style w:type="character" w:customStyle="1" w:styleId="HL6HeadingLevel6Char">
    <w:name w:val="[HL6] Heading Level 6 Char"/>
    <w:basedOn w:val="BTBodyTextChar"/>
    <w:link w:val="HL6HeadingLevel6"/>
    <w:uiPriority w:val="4"/>
    <w:semiHidden/>
    <w:rsid w:val="00C74121"/>
    <w:rPr>
      <w:rFonts w:eastAsiaTheme="majorEastAsia" w:cstheme="majorBidi"/>
      <w:u w:val="single"/>
    </w:rPr>
  </w:style>
  <w:style w:type="paragraph" w:customStyle="1" w:styleId="HL8HeadingLevel8">
    <w:name w:val="[HL8] Heading Level 8"/>
    <w:basedOn w:val="Heading8"/>
    <w:next w:val="P1-N1Paragraph1-Number1"/>
    <w:link w:val="HL8HeadingLevel8Char"/>
    <w:uiPriority w:val="4"/>
    <w:semiHidden/>
    <w:rsid w:val="00B9740F"/>
    <w:pPr>
      <w:numPr>
        <w:ilvl w:val="7"/>
        <w:numId w:val="2"/>
      </w:numPr>
    </w:pPr>
  </w:style>
  <w:style w:type="character" w:customStyle="1" w:styleId="HL7HeadingLevel7Char">
    <w:name w:val="[HL7] Heading Level 7 Char"/>
    <w:basedOn w:val="BTBodyTextChar"/>
    <w:link w:val="HL7HeadingLevel7"/>
    <w:uiPriority w:val="4"/>
    <w:semiHidden/>
    <w:rsid w:val="00C74121"/>
    <w:rPr>
      <w:rFonts w:eastAsiaTheme="majorEastAsia" w:cstheme="majorBidi"/>
      <w:i/>
      <w:iCs/>
    </w:rPr>
  </w:style>
  <w:style w:type="paragraph" w:customStyle="1" w:styleId="HL9HeadingLevel9">
    <w:name w:val="[HL9] Heading Level 9"/>
    <w:basedOn w:val="Heading9"/>
    <w:next w:val="P1-N1Paragraph1-Number1"/>
    <w:link w:val="HL9HeadingLevel9Char"/>
    <w:uiPriority w:val="4"/>
    <w:semiHidden/>
    <w:rsid w:val="00B9740F"/>
    <w:pPr>
      <w:numPr>
        <w:ilvl w:val="8"/>
        <w:numId w:val="2"/>
      </w:numPr>
    </w:pPr>
  </w:style>
  <w:style w:type="character" w:customStyle="1" w:styleId="HL8HeadingLevel8Char">
    <w:name w:val="[HL8] Heading Level 8 Char"/>
    <w:basedOn w:val="BTBodyTextChar"/>
    <w:link w:val="HL8HeadingLevel8"/>
    <w:uiPriority w:val="4"/>
    <w:semiHidden/>
    <w:rsid w:val="00C74121"/>
    <w:rPr>
      <w:rFonts w:eastAsiaTheme="majorEastAsia" w:cstheme="majorBidi"/>
      <w:szCs w:val="21"/>
      <w:u w:val="single"/>
    </w:rPr>
  </w:style>
  <w:style w:type="paragraph" w:customStyle="1" w:styleId="SHSectionHeading">
    <w:name w:val="[SH] Section Heading"/>
    <w:basedOn w:val="Heading1"/>
    <w:next w:val="BTBodyText"/>
    <w:link w:val="SHSectionHeadingChar"/>
    <w:uiPriority w:val="12"/>
    <w:qFormat/>
    <w:rsid w:val="002F433F"/>
    <w:pPr>
      <w:spacing w:before="240" w:after="0"/>
      <w:jc w:val="center"/>
    </w:pPr>
    <w:rPr>
      <w:sz w:val="24"/>
    </w:rPr>
  </w:style>
  <w:style w:type="character" w:customStyle="1" w:styleId="HL9HeadingLevel9Char">
    <w:name w:val="[HL9] Heading Level 9 Char"/>
    <w:basedOn w:val="BTBodyTextChar"/>
    <w:link w:val="HL9HeadingLevel9"/>
    <w:uiPriority w:val="4"/>
    <w:semiHidden/>
    <w:rsid w:val="00C74121"/>
    <w:rPr>
      <w:rFonts w:eastAsiaTheme="majorEastAsia" w:cstheme="majorBidi"/>
      <w:i/>
      <w:iCs/>
      <w:szCs w:val="21"/>
    </w:rPr>
  </w:style>
  <w:style w:type="paragraph" w:styleId="TOCHeading">
    <w:name w:val="TOC Heading"/>
    <w:basedOn w:val="Normal"/>
    <w:next w:val="Normal"/>
    <w:uiPriority w:val="39"/>
    <w:unhideWhenUsed/>
    <w:rsid w:val="00AC4A0D"/>
    <w:pPr>
      <w:spacing w:after="0" w:line="240" w:lineRule="auto"/>
      <w:jc w:val="center"/>
    </w:pPr>
    <w:rPr>
      <w:b/>
      <w:caps/>
      <w:lang w:val="en-US"/>
    </w:rPr>
  </w:style>
  <w:style w:type="character" w:customStyle="1" w:styleId="SHSectionHeadingChar">
    <w:name w:val="[SH] Section Heading Char"/>
    <w:basedOn w:val="Heading1Char"/>
    <w:link w:val="SHSectionHeading"/>
    <w:uiPriority w:val="12"/>
    <w:rsid w:val="002F433F"/>
    <w:rPr>
      <w:rFonts w:eastAsiaTheme="majorEastAsia" w:cstheme="majorBidi"/>
      <w:b/>
      <w:caps/>
      <w:sz w:val="28"/>
      <w:szCs w:val="32"/>
    </w:rPr>
  </w:style>
  <w:style w:type="paragraph" w:styleId="TOC1">
    <w:name w:val="toc 1"/>
    <w:basedOn w:val="Normal"/>
    <w:next w:val="Normal"/>
    <w:autoRedefine/>
    <w:uiPriority w:val="39"/>
    <w:unhideWhenUsed/>
    <w:rsid w:val="0062041F"/>
    <w:pPr>
      <w:tabs>
        <w:tab w:val="left" w:pos="851"/>
        <w:tab w:val="right" w:leader="dot" w:pos="9060"/>
      </w:tabs>
      <w:spacing w:before="180" w:after="100" w:line="240" w:lineRule="auto"/>
      <w:ind w:left="851" w:hanging="851"/>
    </w:pPr>
    <w:rPr>
      <w:b/>
      <w:caps/>
    </w:rPr>
  </w:style>
  <w:style w:type="paragraph" w:styleId="TOC2">
    <w:name w:val="toc 2"/>
    <w:basedOn w:val="Normal"/>
    <w:next w:val="Normal"/>
    <w:autoRedefine/>
    <w:uiPriority w:val="39"/>
    <w:unhideWhenUsed/>
    <w:rsid w:val="00380795"/>
    <w:pPr>
      <w:tabs>
        <w:tab w:val="left" w:pos="1276"/>
        <w:tab w:val="right" w:leader="dot" w:pos="9060"/>
      </w:tabs>
      <w:spacing w:before="120" w:after="100" w:line="240" w:lineRule="auto"/>
      <w:ind w:left="1276" w:hanging="851"/>
    </w:pPr>
    <w:rPr>
      <w:b/>
      <w:smallCaps/>
    </w:rPr>
  </w:style>
  <w:style w:type="paragraph" w:styleId="TOC3">
    <w:name w:val="toc 3"/>
    <w:basedOn w:val="Normal"/>
    <w:next w:val="Normal"/>
    <w:autoRedefine/>
    <w:uiPriority w:val="39"/>
    <w:unhideWhenUsed/>
    <w:rsid w:val="00380795"/>
    <w:pPr>
      <w:tabs>
        <w:tab w:val="left" w:pos="1701"/>
        <w:tab w:val="right" w:leader="dot" w:pos="9060"/>
      </w:tabs>
      <w:spacing w:before="120" w:after="100" w:line="240" w:lineRule="auto"/>
      <w:ind w:left="1702" w:hanging="851"/>
    </w:pPr>
    <w:rPr>
      <w:b/>
    </w:rPr>
  </w:style>
  <w:style w:type="character" w:styleId="Hyperlink">
    <w:name w:val="Hyperlink"/>
    <w:basedOn w:val="DefaultParagraphFont"/>
    <w:uiPriority w:val="99"/>
    <w:unhideWhenUsed/>
    <w:rsid w:val="00D47F18"/>
    <w:rPr>
      <w:color w:val="0563C1" w:themeColor="hyperlink"/>
      <w:u w:val="single"/>
    </w:rPr>
  </w:style>
  <w:style w:type="paragraph" w:styleId="TOC4">
    <w:name w:val="toc 4"/>
    <w:basedOn w:val="Normal"/>
    <w:next w:val="Normal"/>
    <w:autoRedefine/>
    <w:uiPriority w:val="39"/>
    <w:unhideWhenUsed/>
    <w:rsid w:val="00380795"/>
    <w:pPr>
      <w:tabs>
        <w:tab w:val="left" w:pos="2127"/>
        <w:tab w:val="right" w:leader="dot" w:pos="9060"/>
      </w:tabs>
      <w:spacing w:before="120" w:after="100" w:line="240" w:lineRule="auto"/>
      <w:ind w:left="2127" w:hanging="851"/>
    </w:pPr>
    <w:rPr>
      <w:u w:val="single"/>
    </w:rPr>
  </w:style>
  <w:style w:type="paragraph" w:styleId="TOC5">
    <w:name w:val="toc 5"/>
    <w:basedOn w:val="Normal"/>
    <w:next w:val="Normal"/>
    <w:autoRedefine/>
    <w:uiPriority w:val="39"/>
    <w:unhideWhenUsed/>
    <w:rsid w:val="00380795"/>
    <w:pPr>
      <w:tabs>
        <w:tab w:val="left" w:pos="2552"/>
        <w:tab w:val="right" w:leader="dot" w:pos="9060"/>
      </w:tabs>
      <w:spacing w:before="120" w:after="100" w:line="240" w:lineRule="auto"/>
      <w:ind w:left="2552" w:hanging="851"/>
    </w:pPr>
    <w:rPr>
      <w:i/>
    </w:rPr>
  </w:style>
  <w:style w:type="paragraph" w:styleId="TOC6">
    <w:name w:val="toc 6"/>
    <w:basedOn w:val="Normal"/>
    <w:next w:val="Normal"/>
    <w:autoRedefine/>
    <w:uiPriority w:val="39"/>
    <w:unhideWhenUsed/>
    <w:rsid w:val="00380795"/>
    <w:pPr>
      <w:tabs>
        <w:tab w:val="left" w:pos="2977"/>
        <w:tab w:val="right" w:leader="dot" w:pos="9060"/>
      </w:tabs>
      <w:spacing w:before="120" w:after="100" w:line="240" w:lineRule="auto"/>
      <w:ind w:left="2977" w:hanging="851"/>
    </w:pPr>
  </w:style>
  <w:style w:type="paragraph" w:styleId="TOC7">
    <w:name w:val="toc 7"/>
    <w:basedOn w:val="Normal"/>
    <w:next w:val="Normal"/>
    <w:autoRedefine/>
    <w:uiPriority w:val="39"/>
    <w:unhideWhenUsed/>
    <w:rsid w:val="00380795"/>
    <w:pPr>
      <w:spacing w:before="120" w:after="100" w:line="240" w:lineRule="auto"/>
      <w:ind w:left="3403" w:hanging="851"/>
    </w:pPr>
  </w:style>
  <w:style w:type="paragraph" w:styleId="TOC8">
    <w:name w:val="toc 8"/>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styleId="TOC9">
    <w:name w:val="toc 9"/>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customStyle="1" w:styleId="FCFigureCaption">
    <w:name w:val="[FC] Figure Caption"/>
    <w:basedOn w:val="BTBodyText"/>
    <w:next w:val="BTBodyText"/>
    <w:link w:val="FCFigureCaptionChar"/>
    <w:uiPriority w:val="10"/>
    <w:qFormat/>
    <w:rsid w:val="00EE47D1"/>
    <w:pPr>
      <w:keepNext/>
      <w:numPr>
        <w:numId w:val="4"/>
      </w:numPr>
      <w:spacing w:before="240" w:after="0"/>
      <w:jc w:val="center"/>
      <w:outlineLvl w:val="7"/>
    </w:pPr>
    <w:rPr>
      <w:b/>
    </w:rPr>
  </w:style>
  <w:style w:type="character" w:customStyle="1" w:styleId="FCFigureCaptionChar">
    <w:name w:val="[FC] Figure Caption Char"/>
    <w:basedOn w:val="BTBodyTextChar"/>
    <w:link w:val="FCFigureCaption"/>
    <w:uiPriority w:val="10"/>
    <w:rsid w:val="00EE47D1"/>
    <w:rPr>
      <w:b/>
    </w:rPr>
  </w:style>
  <w:style w:type="paragraph" w:customStyle="1" w:styleId="TCTableCaption">
    <w:name w:val="[TC] Table Caption"/>
    <w:basedOn w:val="FCFigureCaption"/>
    <w:next w:val="BTBodyText"/>
    <w:link w:val="TCTableCaptionChar"/>
    <w:uiPriority w:val="10"/>
    <w:qFormat/>
    <w:rsid w:val="00ED1747"/>
    <w:pPr>
      <w:numPr>
        <w:numId w:val="5"/>
      </w:numPr>
      <w:outlineLvl w:val="8"/>
    </w:pPr>
  </w:style>
  <w:style w:type="table" w:styleId="TableGrid">
    <w:name w:val="Table Grid"/>
    <w:basedOn w:val="TableNormal"/>
    <w:uiPriority w:val="39"/>
    <w:rsid w:val="006F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CTableCaptionChar">
    <w:name w:val="[TC] Table Caption Char"/>
    <w:basedOn w:val="BTBodyTextChar"/>
    <w:link w:val="TCTableCaption"/>
    <w:uiPriority w:val="10"/>
    <w:rsid w:val="00093175"/>
    <w:rPr>
      <w:b/>
    </w:rPr>
  </w:style>
  <w:style w:type="paragraph" w:customStyle="1" w:styleId="TTTableText">
    <w:name w:val="[TT] Table Text"/>
    <w:basedOn w:val="BTBodyText"/>
    <w:link w:val="TTTableTextChar"/>
    <w:uiPriority w:val="19"/>
    <w:qFormat/>
    <w:rsid w:val="008E0031"/>
    <w:pPr>
      <w:spacing w:before="40" w:after="40" w:line="240" w:lineRule="auto"/>
      <w:jc w:val="left"/>
    </w:pPr>
  </w:style>
  <w:style w:type="paragraph" w:customStyle="1" w:styleId="THTableHeading">
    <w:name w:val="[TH] Table Heading"/>
    <w:basedOn w:val="TTTableText"/>
    <w:link w:val="THTableHeadingChar"/>
    <w:uiPriority w:val="19"/>
    <w:qFormat/>
    <w:rsid w:val="008E0031"/>
    <w:rPr>
      <w:b/>
    </w:rPr>
  </w:style>
  <w:style w:type="character" w:customStyle="1" w:styleId="TTTableTextChar">
    <w:name w:val="[TT] Table Text Char"/>
    <w:basedOn w:val="BTBodyTextChar"/>
    <w:link w:val="TTTableText"/>
    <w:uiPriority w:val="19"/>
    <w:rsid w:val="00093175"/>
  </w:style>
  <w:style w:type="paragraph" w:customStyle="1" w:styleId="AHL1AnnexHeadingLevel1">
    <w:name w:val="[AHL1] Annex Heading Level 1"/>
    <w:basedOn w:val="Heading1"/>
    <w:next w:val="P1-N1Paragraph1-Number1"/>
    <w:link w:val="AHL1AnnexHeadingLevel1Char"/>
    <w:uiPriority w:val="15"/>
    <w:qFormat/>
    <w:rsid w:val="006C1D90"/>
    <w:pPr>
      <w:numPr>
        <w:numId w:val="6"/>
      </w:numPr>
    </w:pPr>
    <w:rPr>
      <w:caps w:val="0"/>
      <w:sz w:val="24"/>
    </w:rPr>
  </w:style>
  <w:style w:type="character" w:customStyle="1" w:styleId="THTableHeadingChar">
    <w:name w:val="[TH] Table Heading Char"/>
    <w:basedOn w:val="TTTableTextChar"/>
    <w:link w:val="THTableHeading"/>
    <w:uiPriority w:val="19"/>
    <w:rsid w:val="00093175"/>
    <w:rPr>
      <w:b/>
    </w:rPr>
  </w:style>
  <w:style w:type="paragraph" w:customStyle="1" w:styleId="AHL2AnnexHeadingLevel2">
    <w:name w:val="[AHL2] Annex Heading Level 2"/>
    <w:basedOn w:val="Heading2"/>
    <w:next w:val="P1-N1Paragraph1-Number1"/>
    <w:link w:val="AHL2AnnexHeadingLevel2Char"/>
    <w:uiPriority w:val="15"/>
    <w:qFormat/>
    <w:rsid w:val="006C1D90"/>
    <w:pPr>
      <w:numPr>
        <w:ilvl w:val="1"/>
        <w:numId w:val="6"/>
      </w:numPr>
    </w:pPr>
    <w:rPr>
      <w:sz w:val="24"/>
    </w:rPr>
  </w:style>
  <w:style w:type="character" w:customStyle="1" w:styleId="AHL1AnnexHeadingLevel1Char">
    <w:name w:val="[AHL1] Annex Heading Level 1 Char"/>
    <w:basedOn w:val="BTBodyTextChar"/>
    <w:link w:val="AHL1AnnexHeadingLevel1"/>
    <w:uiPriority w:val="15"/>
    <w:rsid w:val="00D456CA"/>
    <w:rPr>
      <w:rFonts w:eastAsiaTheme="majorEastAsia" w:cstheme="majorBidi"/>
      <w:b/>
      <w:szCs w:val="32"/>
    </w:rPr>
  </w:style>
  <w:style w:type="paragraph" w:customStyle="1" w:styleId="AHL3AnnexHeadingLevel3">
    <w:name w:val="[AHL3] Annex Heading Level 3"/>
    <w:basedOn w:val="Heading3"/>
    <w:next w:val="P1-N1Paragraph1-Number1"/>
    <w:link w:val="AHL3AnnexHeadingLevel3Char"/>
    <w:uiPriority w:val="15"/>
    <w:qFormat/>
    <w:rsid w:val="0093054A"/>
    <w:pPr>
      <w:numPr>
        <w:ilvl w:val="2"/>
        <w:numId w:val="6"/>
      </w:numPr>
    </w:pPr>
  </w:style>
  <w:style w:type="character" w:customStyle="1" w:styleId="AHL2AnnexHeadingLevel2Char">
    <w:name w:val="[AHL2] Annex Heading Level 2 Char"/>
    <w:basedOn w:val="BTBodyTextChar"/>
    <w:link w:val="AHL2AnnexHeadingLevel2"/>
    <w:uiPriority w:val="15"/>
    <w:rsid w:val="00D456CA"/>
    <w:rPr>
      <w:rFonts w:eastAsiaTheme="majorEastAsia" w:cstheme="majorBidi"/>
      <w:b/>
      <w:smallCaps/>
      <w:szCs w:val="26"/>
    </w:rPr>
  </w:style>
  <w:style w:type="paragraph" w:customStyle="1" w:styleId="AHL4AnnexHeadingLevel4">
    <w:name w:val="[AHL4] Annex Heading Level 4"/>
    <w:basedOn w:val="Heading4"/>
    <w:next w:val="P1-N1Paragraph1-Number1"/>
    <w:link w:val="AHL4AnnexHeadingLevel4Char"/>
    <w:uiPriority w:val="15"/>
    <w:semiHidden/>
    <w:rsid w:val="0093054A"/>
    <w:pPr>
      <w:numPr>
        <w:ilvl w:val="3"/>
        <w:numId w:val="6"/>
      </w:numPr>
    </w:pPr>
  </w:style>
  <w:style w:type="character" w:customStyle="1" w:styleId="AHL3AnnexHeadingLevel3Char">
    <w:name w:val="[AHL3] Annex Heading Level 3 Char"/>
    <w:basedOn w:val="BTBodyTextChar"/>
    <w:link w:val="AHL3AnnexHeadingLevel3"/>
    <w:uiPriority w:val="15"/>
    <w:rsid w:val="00D456CA"/>
    <w:rPr>
      <w:rFonts w:eastAsiaTheme="majorEastAsia" w:cstheme="majorBidi"/>
      <w:b/>
    </w:rPr>
  </w:style>
  <w:style w:type="paragraph" w:customStyle="1" w:styleId="AHL5AnnexHeadingLevel5">
    <w:name w:val="[AHL5] Annex Heading Level 5"/>
    <w:basedOn w:val="Heading5"/>
    <w:next w:val="P1-N1Paragraph1-Number1"/>
    <w:link w:val="AHL5AnnexHeadingLevel5Char"/>
    <w:uiPriority w:val="15"/>
    <w:semiHidden/>
    <w:rsid w:val="006C1D90"/>
    <w:pPr>
      <w:numPr>
        <w:ilvl w:val="4"/>
        <w:numId w:val="6"/>
      </w:numPr>
    </w:pPr>
    <w:rPr>
      <w:b/>
      <w:i w:val="0"/>
    </w:rPr>
  </w:style>
  <w:style w:type="character" w:customStyle="1" w:styleId="AHL4AnnexHeadingLevel4Char">
    <w:name w:val="[AHL4] Annex Heading Level 4 Char"/>
    <w:basedOn w:val="BTBodyTextChar"/>
    <w:link w:val="AHL4AnnexHeadingLevel4"/>
    <w:uiPriority w:val="15"/>
    <w:semiHidden/>
    <w:rsid w:val="00D456CA"/>
    <w:rPr>
      <w:rFonts w:eastAsiaTheme="majorEastAsia" w:cstheme="majorBidi"/>
      <w:iCs/>
      <w:u w:val="single"/>
    </w:rPr>
  </w:style>
  <w:style w:type="paragraph" w:customStyle="1" w:styleId="AHL6AnnexHeadingLevel6">
    <w:name w:val="[AHL6] Annex Heading Level 6"/>
    <w:basedOn w:val="Heading6"/>
    <w:next w:val="P1-N1Paragraph1-Number1"/>
    <w:link w:val="AHL6AnnexHeadingLevel6Char"/>
    <w:uiPriority w:val="15"/>
    <w:semiHidden/>
    <w:rsid w:val="0093054A"/>
    <w:pPr>
      <w:numPr>
        <w:ilvl w:val="5"/>
        <w:numId w:val="6"/>
      </w:numPr>
    </w:pPr>
  </w:style>
  <w:style w:type="character" w:customStyle="1" w:styleId="AHL5AnnexHeadingLevel5Char">
    <w:name w:val="[AHL5] Annex Heading Level 5 Char"/>
    <w:basedOn w:val="BTBodyTextChar"/>
    <w:link w:val="AHL5AnnexHeadingLevel5"/>
    <w:uiPriority w:val="15"/>
    <w:semiHidden/>
    <w:rsid w:val="00D456CA"/>
    <w:rPr>
      <w:rFonts w:eastAsiaTheme="majorEastAsia" w:cstheme="majorBidi"/>
      <w:b/>
    </w:rPr>
  </w:style>
  <w:style w:type="paragraph" w:customStyle="1" w:styleId="AHL7AnnexHeadingLevel7">
    <w:name w:val="[AHL7] Annex Heading Level 7"/>
    <w:basedOn w:val="Heading7"/>
    <w:next w:val="P1-N1Paragraph1-Number1"/>
    <w:link w:val="AHL7AnnexHeadingLevel7Char"/>
    <w:uiPriority w:val="15"/>
    <w:semiHidden/>
    <w:rsid w:val="0093054A"/>
    <w:pPr>
      <w:numPr>
        <w:ilvl w:val="6"/>
        <w:numId w:val="6"/>
      </w:numPr>
    </w:pPr>
  </w:style>
  <w:style w:type="character" w:customStyle="1" w:styleId="AHL6AnnexHeadingLevel6Char">
    <w:name w:val="[AHL6] Annex Heading Level 6 Char"/>
    <w:basedOn w:val="BTBodyTextChar"/>
    <w:link w:val="AHL6AnnexHeadingLevel6"/>
    <w:uiPriority w:val="15"/>
    <w:semiHidden/>
    <w:rsid w:val="00D456CA"/>
    <w:rPr>
      <w:rFonts w:eastAsiaTheme="majorEastAsia" w:cstheme="majorBidi"/>
      <w:u w:val="single"/>
    </w:rPr>
  </w:style>
  <w:style w:type="paragraph" w:customStyle="1" w:styleId="AHL8AnnexHeadingLevel8">
    <w:name w:val="[AHL8] Annex Heading Level 8"/>
    <w:basedOn w:val="Heading8"/>
    <w:next w:val="P1-N1Paragraph1-Number1"/>
    <w:link w:val="AHL8AnnexHeadingLevel8Char"/>
    <w:uiPriority w:val="15"/>
    <w:semiHidden/>
    <w:rsid w:val="0093054A"/>
    <w:pPr>
      <w:numPr>
        <w:ilvl w:val="7"/>
        <w:numId w:val="6"/>
      </w:numPr>
    </w:pPr>
  </w:style>
  <w:style w:type="character" w:customStyle="1" w:styleId="AHL7AnnexHeadingLevel7Char">
    <w:name w:val="[AHL7] Annex Heading Level 7 Char"/>
    <w:basedOn w:val="BTBodyTextChar"/>
    <w:link w:val="AHL7AnnexHeadingLevel7"/>
    <w:uiPriority w:val="15"/>
    <w:semiHidden/>
    <w:rsid w:val="00D456CA"/>
    <w:rPr>
      <w:rFonts w:eastAsiaTheme="majorEastAsia" w:cstheme="majorBidi"/>
      <w:i/>
      <w:iCs/>
    </w:rPr>
  </w:style>
  <w:style w:type="paragraph" w:customStyle="1" w:styleId="AHL9AnnexHeadingLevel9">
    <w:name w:val="[AHL9] Annex Heading Level 9"/>
    <w:basedOn w:val="Heading9"/>
    <w:next w:val="P1-N1Paragraph1-Number1"/>
    <w:link w:val="AHL9AnnexHeadingLevel9Char"/>
    <w:uiPriority w:val="15"/>
    <w:semiHidden/>
    <w:rsid w:val="0093054A"/>
    <w:pPr>
      <w:numPr>
        <w:ilvl w:val="8"/>
        <w:numId w:val="6"/>
      </w:numPr>
    </w:pPr>
  </w:style>
  <w:style w:type="character" w:customStyle="1" w:styleId="AHL8AnnexHeadingLevel8Char">
    <w:name w:val="[AHL8] Annex Heading Level 8 Char"/>
    <w:basedOn w:val="BTBodyTextChar"/>
    <w:link w:val="AHL8AnnexHeadingLevel8"/>
    <w:uiPriority w:val="15"/>
    <w:semiHidden/>
    <w:rsid w:val="00D456CA"/>
    <w:rPr>
      <w:rFonts w:eastAsiaTheme="majorEastAsia" w:cstheme="majorBidi"/>
      <w:szCs w:val="21"/>
      <w:u w:val="single"/>
    </w:rPr>
  </w:style>
  <w:style w:type="paragraph" w:styleId="Header">
    <w:name w:val="header"/>
    <w:basedOn w:val="Normal"/>
    <w:link w:val="HeaderChar"/>
    <w:uiPriority w:val="99"/>
    <w:unhideWhenUsed/>
    <w:rsid w:val="00006269"/>
    <w:pPr>
      <w:tabs>
        <w:tab w:val="center" w:pos="4536"/>
        <w:tab w:val="right" w:pos="9072"/>
      </w:tabs>
      <w:spacing w:after="0" w:line="240" w:lineRule="auto"/>
    </w:pPr>
    <w:rPr>
      <w:sz w:val="22"/>
    </w:rPr>
  </w:style>
  <w:style w:type="character" w:customStyle="1" w:styleId="AHL9AnnexHeadingLevel9Char">
    <w:name w:val="[AHL9] Annex Heading Level 9 Char"/>
    <w:basedOn w:val="BTBodyTextChar"/>
    <w:link w:val="AHL9AnnexHeadingLevel9"/>
    <w:uiPriority w:val="15"/>
    <w:semiHidden/>
    <w:rsid w:val="00D456CA"/>
    <w:rPr>
      <w:rFonts w:eastAsiaTheme="majorEastAsia" w:cstheme="majorBidi"/>
      <w:i/>
      <w:iCs/>
      <w:szCs w:val="21"/>
    </w:rPr>
  </w:style>
  <w:style w:type="character" w:customStyle="1" w:styleId="HeaderChar">
    <w:name w:val="Header Char"/>
    <w:basedOn w:val="DefaultParagraphFont"/>
    <w:link w:val="Header"/>
    <w:uiPriority w:val="99"/>
    <w:rsid w:val="00006269"/>
    <w:rPr>
      <w:sz w:val="22"/>
    </w:rPr>
  </w:style>
  <w:style w:type="paragraph" w:styleId="Footer">
    <w:name w:val="footer"/>
    <w:basedOn w:val="Normal"/>
    <w:link w:val="FooterChar"/>
    <w:uiPriority w:val="99"/>
    <w:unhideWhenUsed/>
    <w:rsid w:val="00006269"/>
    <w:pPr>
      <w:tabs>
        <w:tab w:val="center" w:pos="4536"/>
        <w:tab w:val="right" w:pos="9072"/>
      </w:tabs>
      <w:spacing w:after="0" w:line="240" w:lineRule="auto"/>
    </w:pPr>
    <w:rPr>
      <w:sz w:val="22"/>
    </w:rPr>
  </w:style>
  <w:style w:type="character" w:customStyle="1" w:styleId="FooterChar">
    <w:name w:val="Footer Char"/>
    <w:basedOn w:val="DefaultParagraphFont"/>
    <w:link w:val="Footer"/>
    <w:uiPriority w:val="99"/>
    <w:rsid w:val="00006269"/>
    <w:rPr>
      <w:sz w:val="22"/>
    </w:rPr>
  </w:style>
  <w:style w:type="paragraph" w:styleId="FootnoteText">
    <w:name w:val="footnote text"/>
    <w:basedOn w:val="Normal"/>
    <w:link w:val="FootnoteTextChar"/>
    <w:uiPriority w:val="99"/>
    <w:rsid w:val="00EE47D1"/>
    <w:pPr>
      <w:spacing w:after="0" w:line="240" w:lineRule="auto"/>
    </w:pPr>
    <w:rPr>
      <w:sz w:val="18"/>
      <w:szCs w:val="20"/>
    </w:rPr>
  </w:style>
  <w:style w:type="character" w:customStyle="1" w:styleId="FootnoteTextChar">
    <w:name w:val="Footnote Text Char"/>
    <w:basedOn w:val="DefaultParagraphFont"/>
    <w:link w:val="FootnoteText"/>
    <w:uiPriority w:val="99"/>
    <w:rsid w:val="00EE47D1"/>
    <w:rPr>
      <w:sz w:val="18"/>
      <w:szCs w:val="20"/>
    </w:rPr>
  </w:style>
  <w:style w:type="character" w:styleId="FootnoteReference">
    <w:name w:val="footnote reference"/>
    <w:basedOn w:val="DefaultParagraphFont"/>
    <w:uiPriority w:val="99"/>
    <w:rsid w:val="00BD0E60"/>
    <w:rPr>
      <w:rFonts w:ascii="Calibri" w:hAnsi="Calibri"/>
      <w:vertAlign w:val="superscript"/>
    </w:rPr>
  </w:style>
  <w:style w:type="character" w:styleId="UnresolvedMention">
    <w:name w:val="Unresolved Mention"/>
    <w:basedOn w:val="DefaultParagraphFont"/>
    <w:uiPriority w:val="99"/>
    <w:semiHidden/>
    <w:unhideWhenUsed/>
    <w:rsid w:val="00030A32"/>
    <w:rPr>
      <w:color w:val="605E5C"/>
      <w:shd w:val="clear" w:color="auto" w:fill="E1DFDD"/>
    </w:rPr>
  </w:style>
  <w:style w:type="paragraph" w:customStyle="1" w:styleId="WTODTWTODisputeTitle">
    <w:name w:val="[WTODT] WTO Dispute Title"/>
    <w:basedOn w:val="BTBodyText"/>
    <w:link w:val="WTODTWTODisputeTitleChar"/>
    <w:uiPriority w:val="27"/>
    <w:rsid w:val="00DA5381"/>
    <w:pPr>
      <w:spacing w:line="240" w:lineRule="auto"/>
      <w:jc w:val="center"/>
    </w:pPr>
    <w:rPr>
      <w:b/>
      <w:bCs/>
      <w:smallCaps/>
      <w:sz w:val="40"/>
      <w:szCs w:val="40"/>
    </w:rPr>
  </w:style>
  <w:style w:type="paragraph" w:customStyle="1" w:styleId="DSNDSNumber">
    <w:name w:val="[DSN] DS Number"/>
    <w:basedOn w:val="BTBodyText"/>
    <w:link w:val="DSNDSNumberChar"/>
    <w:uiPriority w:val="27"/>
    <w:rsid w:val="00DA5381"/>
    <w:pPr>
      <w:spacing w:line="240" w:lineRule="auto"/>
      <w:jc w:val="center"/>
    </w:pPr>
  </w:style>
  <w:style w:type="character" w:customStyle="1" w:styleId="WTODTWTODisputeTitleChar">
    <w:name w:val="[WTODT] WTO Dispute Title Char"/>
    <w:basedOn w:val="BTBodyTextChar"/>
    <w:link w:val="WTODTWTODisputeTitle"/>
    <w:uiPriority w:val="27"/>
    <w:rsid w:val="0026128E"/>
    <w:rPr>
      <w:b/>
      <w:bCs/>
      <w:smallCaps/>
      <w:sz w:val="40"/>
      <w:szCs w:val="40"/>
    </w:rPr>
  </w:style>
  <w:style w:type="paragraph" w:customStyle="1" w:styleId="DTDocumentTitle">
    <w:name w:val="[DT] Document Title"/>
    <w:basedOn w:val="BTBodyText"/>
    <w:link w:val="DTDocumentTitleChar"/>
    <w:uiPriority w:val="27"/>
    <w:rsid w:val="00DA5381"/>
    <w:pPr>
      <w:spacing w:line="240" w:lineRule="auto"/>
      <w:jc w:val="center"/>
    </w:pPr>
    <w:rPr>
      <w:b/>
      <w:bCs/>
      <w:smallCaps/>
      <w:sz w:val="36"/>
      <w:szCs w:val="36"/>
    </w:rPr>
  </w:style>
  <w:style w:type="character" w:customStyle="1" w:styleId="DSNDSNumberChar">
    <w:name w:val="[DSN] DS Number Char"/>
    <w:basedOn w:val="BTBodyTextChar"/>
    <w:link w:val="DSNDSNumber"/>
    <w:uiPriority w:val="27"/>
    <w:rsid w:val="0026128E"/>
  </w:style>
  <w:style w:type="paragraph" w:customStyle="1" w:styleId="DDDocumentDate">
    <w:name w:val="[DD] Document Date"/>
    <w:basedOn w:val="BTBodyText"/>
    <w:link w:val="DDDocumentDateChar"/>
    <w:uiPriority w:val="27"/>
    <w:rsid w:val="00DA5381"/>
    <w:pPr>
      <w:spacing w:line="240" w:lineRule="auto"/>
      <w:jc w:val="center"/>
    </w:pPr>
    <w:rPr>
      <w:sz w:val="32"/>
      <w:szCs w:val="32"/>
    </w:rPr>
  </w:style>
  <w:style w:type="character" w:customStyle="1" w:styleId="DTDocumentTitleChar">
    <w:name w:val="[DT] Document Title Char"/>
    <w:basedOn w:val="BTBodyTextChar"/>
    <w:link w:val="DTDocumentTitle"/>
    <w:uiPriority w:val="27"/>
    <w:rsid w:val="0026128E"/>
    <w:rPr>
      <w:b/>
      <w:bCs/>
      <w:smallCaps/>
      <w:sz w:val="36"/>
      <w:szCs w:val="36"/>
    </w:rPr>
  </w:style>
  <w:style w:type="character" w:customStyle="1" w:styleId="DDDocumentDateChar">
    <w:name w:val="[DD] Document Date Char"/>
    <w:basedOn w:val="BTBodyTextChar"/>
    <w:link w:val="DDDocumentDate"/>
    <w:uiPriority w:val="27"/>
    <w:rsid w:val="0026128E"/>
    <w:rPr>
      <w:sz w:val="32"/>
      <w:szCs w:val="32"/>
    </w:rPr>
  </w:style>
  <w:style w:type="character" w:styleId="PlaceholderText">
    <w:name w:val="Placeholder Text"/>
    <w:basedOn w:val="DefaultParagraphFont"/>
    <w:uiPriority w:val="99"/>
    <w:semiHidden/>
    <w:rsid w:val="00D52A17"/>
    <w:rPr>
      <w:color w:val="808080"/>
    </w:rPr>
  </w:style>
  <w:style w:type="paragraph" w:styleId="Revision">
    <w:name w:val="Revision"/>
    <w:hidden/>
    <w:uiPriority w:val="99"/>
    <w:semiHidden/>
    <w:rsid w:val="00B23AC6"/>
    <w:pPr>
      <w:spacing w:after="0" w:line="240" w:lineRule="auto"/>
      <w:jc w:val="left"/>
    </w:pPr>
  </w:style>
  <w:style w:type="table" w:customStyle="1" w:styleId="TableGrid0">
    <w:name w:val="TableGrid"/>
    <w:rsid w:val="00B23AC6"/>
    <w:pPr>
      <w:spacing w:after="0" w:line="240" w:lineRule="auto"/>
      <w:jc w:val="left"/>
    </w:pPr>
    <w:rPr>
      <w:rFonts w:asciiTheme="minorHAnsi" w:eastAsiaTheme="minorEastAsia" w:hAnsiTheme="minorHAnsi"/>
      <w:kern w:val="2"/>
      <w:lang w:eastAsia="en-AU"/>
      <w14:ligatures w14:val="standardContextual"/>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B23AC6"/>
    <w:pPr>
      <w:spacing w:after="0" w:line="259" w:lineRule="auto"/>
      <w:jc w:val="left"/>
    </w:pPr>
    <w:rPr>
      <w:rFonts w:eastAsia="Calibri" w:cs="Calibri"/>
      <w:color w:val="000000"/>
      <w:kern w:val="2"/>
      <w:sz w:val="18"/>
      <w:lang w:eastAsia="en-AU"/>
      <w14:ligatures w14:val="standardContextual"/>
    </w:rPr>
  </w:style>
  <w:style w:type="character" w:customStyle="1" w:styleId="footnotedescriptionChar">
    <w:name w:val="footnote description Char"/>
    <w:link w:val="footnotedescription"/>
    <w:rsid w:val="00B23AC6"/>
    <w:rPr>
      <w:rFonts w:eastAsia="Calibri" w:cs="Calibri"/>
      <w:color w:val="000000"/>
      <w:kern w:val="2"/>
      <w:sz w:val="18"/>
      <w:lang w:eastAsia="en-AU"/>
      <w14:ligatures w14:val="standardContextual"/>
    </w:rPr>
  </w:style>
  <w:style w:type="character" w:customStyle="1" w:styleId="footnotemark">
    <w:name w:val="footnote mark"/>
    <w:hidden/>
    <w:rsid w:val="00B23AC6"/>
    <w:rPr>
      <w:rFonts w:ascii="Calibri" w:eastAsia="Calibri" w:hAnsi="Calibri" w:cs="Calibri"/>
      <w:color w:val="000000"/>
      <w:sz w:val="18"/>
      <w:vertAlign w:val="superscript"/>
    </w:rPr>
  </w:style>
  <w:style w:type="character" w:styleId="CommentReference">
    <w:name w:val="annotation reference"/>
    <w:basedOn w:val="DefaultParagraphFont"/>
    <w:uiPriority w:val="99"/>
    <w:semiHidden/>
    <w:unhideWhenUsed/>
    <w:rsid w:val="000F17F9"/>
    <w:rPr>
      <w:sz w:val="16"/>
      <w:szCs w:val="16"/>
    </w:rPr>
  </w:style>
  <w:style w:type="paragraph" w:styleId="CommentText">
    <w:name w:val="annotation text"/>
    <w:basedOn w:val="Normal"/>
    <w:link w:val="CommentTextChar"/>
    <w:uiPriority w:val="99"/>
    <w:unhideWhenUsed/>
    <w:rsid w:val="000F17F9"/>
    <w:pPr>
      <w:spacing w:line="240" w:lineRule="auto"/>
    </w:pPr>
    <w:rPr>
      <w:sz w:val="20"/>
      <w:szCs w:val="20"/>
      <w:lang w:val="en-US"/>
    </w:rPr>
  </w:style>
  <w:style w:type="character" w:customStyle="1" w:styleId="CommentTextChar">
    <w:name w:val="Comment Text Char"/>
    <w:basedOn w:val="DefaultParagraphFont"/>
    <w:link w:val="CommentText"/>
    <w:uiPriority w:val="99"/>
    <w:rsid w:val="000F17F9"/>
    <w:rPr>
      <w:sz w:val="20"/>
      <w:szCs w:val="20"/>
      <w:lang w:val="en-US"/>
    </w:rPr>
  </w:style>
  <w:style w:type="paragraph" w:styleId="CommentSubject">
    <w:name w:val="annotation subject"/>
    <w:basedOn w:val="CommentText"/>
    <w:next w:val="CommentText"/>
    <w:link w:val="CommentSubjectChar"/>
    <w:uiPriority w:val="99"/>
    <w:semiHidden/>
    <w:unhideWhenUsed/>
    <w:rsid w:val="000F17F9"/>
    <w:rPr>
      <w:b/>
      <w:bCs/>
      <w:lang w:val="en-AU"/>
    </w:rPr>
  </w:style>
  <w:style w:type="character" w:customStyle="1" w:styleId="CommentSubjectChar">
    <w:name w:val="Comment Subject Char"/>
    <w:basedOn w:val="CommentTextChar"/>
    <w:link w:val="CommentSubject"/>
    <w:uiPriority w:val="99"/>
    <w:semiHidden/>
    <w:rsid w:val="000F17F9"/>
    <w:rPr>
      <w:b/>
      <w:bCs/>
      <w:sz w:val="20"/>
      <w:szCs w:val="20"/>
      <w:lang w:val="en-US"/>
    </w:rPr>
  </w:style>
  <w:style w:type="character" w:styleId="FollowedHyperlink">
    <w:name w:val="FollowedHyperlink"/>
    <w:basedOn w:val="DefaultParagraphFont"/>
    <w:uiPriority w:val="99"/>
    <w:semiHidden/>
    <w:unhideWhenUsed/>
    <w:rsid w:val="003C5E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wto.org/dol2fe/Pages/FE_Search/FE_S_S006.aspx?DataSource=Cat&amp;query=@Symbol=WT/DS445/AB/R&amp;Language=English&amp;Context=ScriptedSearches&amp;languageUIChanged=true" TargetMode="External"/><Relationship Id="rId18" Type="http://schemas.openxmlformats.org/officeDocument/2006/relationships/hyperlink" Target="https://docs.wto.org/dol2fe/Pages/FE_Search/FE_S_S006.aspx?DataSource=Cat&amp;query=@Symbol=WT/DS315/AB/R&amp;Language=English&amp;Context=ScriptedSearches&amp;languageUIChanged=true" TargetMode="External"/><Relationship Id="rId26" Type="http://schemas.openxmlformats.org/officeDocument/2006/relationships/hyperlink" Target="https://docs.wto.org/dol2fe/Pages/FE_Search/FE_S_S006.aspx?DataSource=Cat&amp;query=@Symbol=WT/DS217/R&amp;Language=English&amp;Context=ScriptedSearches&amp;languageUIChanged=true" TargetMode="External"/><Relationship Id="rId3" Type="http://schemas.openxmlformats.org/officeDocument/2006/relationships/customXml" Target="../customXml/item3.xml"/><Relationship Id="rId21" Type="http://schemas.openxmlformats.org/officeDocument/2006/relationships/hyperlink" Target="https://docs.wto.org/dol2fe/Pages/FE_Search/FE_S_S006.aspx?DataSource=Cat&amp;query=@Symbol=WT/DS471/AB/R*&amp;Language=English&amp;Context=ScriptedSearches&amp;languageUIChanged=tru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cs.wto.org/dol2fe/Pages/FE_Search/FE_S_S006.aspx?DataSource=Cat&amp;query=@Symbol=WT/DS444/AB/R%20&amp;Language=English&amp;Context=ScriptedSearches&amp;languageUIChanged=true" TargetMode="External"/><Relationship Id="rId17" Type="http://schemas.openxmlformats.org/officeDocument/2006/relationships/hyperlink" Target="https://docs.wto.org/dol2fe/Pages/FE_Search/FE_S_S006.aspx?Query=(@Symbol=%20wt/ds611/arb25*)%20and%20(@Title=%20((arbitration%20under%20article%2025)%20and%20((award%20of%20the%20arbitrator)%20or%20(report%20of%20the%20arbitrator))))&amp;Language=ENGLISH&amp;Context=FomerScriptedSearch&amp;languageUIChanged=true" TargetMode="External"/><Relationship Id="rId25" Type="http://schemas.openxmlformats.org/officeDocument/2006/relationships/hyperlink" Target="https://docs.wto.org/dol2fe/Pages/FE_Search/FE_S_S006.aspx?DataSource=Cat&amp;query=@Symbol=WT/DS244/R&amp;Language=English&amp;Context=ScriptedSearches&amp;languageUIChanged=tru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cs.wto.org/dol2fe/Pages/FE_Search/FE_S_S006.aspx?DataSource=Cat&amp;query=@Symbol=WT/DS155/R*&amp;Language=English&amp;Context=ScriptedSearches&amp;languageUIChanged=true" TargetMode="External"/><Relationship Id="rId20" Type="http://schemas.openxmlformats.org/officeDocument/2006/relationships/hyperlink" Target="https://docs.wto.org/dol2fe/Pages/FE_Search/FE_S_S006.aspx?DataSource=Cat&amp;query=@Symbol=WT/DS371/R&amp;Language=English&amp;Context=ScriptedSearches&amp;languageUIChanged=true" TargetMode="External"/><Relationship Id="rId29" Type="http://schemas.openxmlformats.org/officeDocument/2006/relationships/hyperlink" Target="https://docs.wto.org/dol2fe/Pages/FE_Search/FE_S_S006.aspx?DataSource=Cat&amp;query=@Symbol=WT/DS264/R&amp;Language=English&amp;Context=ScriptedSearches&amp;languageUIChanged=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wto.org/dol2fe/Pages/FE_Search/FE_S_S006.aspx?DataSource=Cat&amp;query=@Symbol=WT/DS445/AB/R&amp;Language=English&amp;Context=ScriptedSearches&amp;languageUIChanged=true" TargetMode="External"/><Relationship Id="rId24" Type="http://schemas.openxmlformats.org/officeDocument/2006/relationships/hyperlink" Target="https://docs.wto.org/dol2fe/Pages/FE_Search/FE_S_S006.aspx?DataSource=Cat&amp;query=@Symbol=WT/DS386/R&amp;Language=English&amp;Context=ScriptedSearches&amp;languageUIChanged=true"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cs.wto.org/dol2fe/Pages/FE_Search/FE_S_S006.aspx?DataSource=Cat&amp;query=@Symbol=WT/DS444/AB/R%20&amp;Language=English&amp;Context=ScriptedSearches&amp;languageUIChanged=true" TargetMode="External"/><Relationship Id="rId23" Type="http://schemas.openxmlformats.org/officeDocument/2006/relationships/hyperlink" Target="https://docs.wto.org/dol2fe/Pages/FE_Search/FE_S_S006.aspx?DataSource=Cat&amp;query=@Symbol=WT/DS384/R%20&amp;Language=English&amp;Context=ScriptedSearches&amp;languageUIChanged=true" TargetMode="External"/><Relationship Id="rId28" Type="http://schemas.openxmlformats.org/officeDocument/2006/relationships/hyperlink" Target="https://docs.wto.org/dol2fe/Pages/FE_Search/FE_S_S006.aspx?DataSource=Cat&amp;query=@Symbol=WT/DS429/R*&amp;Language=English&amp;Context=ScriptedSearches&amp;languageUIChanged=true" TargetMode="External"/><Relationship Id="rId10" Type="http://schemas.openxmlformats.org/officeDocument/2006/relationships/endnotes" Target="endnotes.xml"/><Relationship Id="rId19" Type="http://schemas.openxmlformats.org/officeDocument/2006/relationships/hyperlink" Target="https://docs.wto.org/dol2fe/Pages/FE_Search/FE_S_S006.aspx?Query=(@Symbol=%20wt/ds331/r*%20not%20rw*)&amp;Language=ENGLISH&amp;Context=FomerScriptedSearch&amp;languageUIChanged=true" TargetMode="External"/><Relationship Id="rId31" Type="http://schemas.openxmlformats.org/officeDocument/2006/relationships/hyperlink" Target="https://docs.wto.org/dol2fe/Pages/FE_Search/FE_S_S006.aspx?DataSource=Cat&amp;query=@Symbol=WT/DS294/AB/R*&amp;Language=English&amp;Context=ScriptedSearches&amp;languageUIChanged=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wto.org/dol2fe/Pages/FE_Search/FE_S_S006.aspx?DataSource=Cat&amp;query=@Symbol=WT/DS438/R*&amp;Language=English&amp;Context=ScriptedSearches&amp;languageUIChanged=true" TargetMode="External"/><Relationship Id="rId22" Type="http://schemas.openxmlformats.org/officeDocument/2006/relationships/hyperlink" Target="https://docs.wto.org/dol2fe/Pages/FE_Search/FE_S_S006.aspx?DataSource=Cat&amp;query=@Symbol=WT/DS471/R*&amp;Language=English&amp;Context=ScriptedSearches&amp;languageUIChanged=true" TargetMode="External"/><Relationship Id="rId27" Type="http://schemas.openxmlformats.org/officeDocument/2006/relationships/hyperlink" Target="https://docs.wto.org/dol2fe/Pages/FE_Search/FE_S_S006.aspx?DataSource=Cat&amp;query=@Symbol=WT/DS234/R&amp;Language=English&amp;Context=ScriptedSearches&amp;languageUIChanged=true" TargetMode="External"/><Relationship Id="rId30" Type="http://schemas.openxmlformats.org/officeDocument/2006/relationships/hyperlink" Target="https://docs.wto.org/dol2fe/Pages/FE_Search/FE_S_S006.aspx?DataSource=Cat&amp;query=@Symbol=WT/DS179/R&amp;Language=English&amp;Context=ScriptedSearches&amp;languageUIChanged=true"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00AC2E10A2B34A86A613A4498C609D" ma:contentTypeVersion="3" ma:contentTypeDescription="Create a new document." ma:contentTypeScope="" ma:versionID="93795d7ebee9913df2db193712303f32">
  <xsd:schema xmlns:xsd="http://www.w3.org/2001/XMLSchema" xmlns:xs="http://www.w3.org/2001/XMLSchema" xmlns:p="http://schemas.microsoft.com/office/2006/metadata/properties" xmlns:ns2="d0a44250-acd7-47b7-bc6f-6107bccf164c" targetNamespace="http://schemas.microsoft.com/office/2006/metadata/properties" ma:root="true" ma:fieldsID="4ed414144b03bc0ea3ef09ddc924adb9" ns2:_="">
    <xsd:import namespace="d0a44250-acd7-47b7-bc6f-6107bccf16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44250-acd7-47b7-bc6f-6107bccf1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90C33-298A-43DF-ABCA-11C5559BEE3C}">
  <ds:schemaRefs>
    <ds:schemaRef ds:uri="http://schemas.microsoft.com/sharepoint/v3/contenttype/forms"/>
  </ds:schemaRefs>
</ds:datastoreItem>
</file>

<file path=customXml/itemProps2.xml><?xml version="1.0" encoding="utf-8"?>
<ds:datastoreItem xmlns:ds="http://schemas.openxmlformats.org/officeDocument/2006/customXml" ds:itemID="{0959086A-8EA5-4539-A149-0A8872B57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44250-acd7-47b7-bc6f-6107bccf1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F69CD-395A-4F8D-809E-294B81ECB76C}">
  <ds:schemaRefs>
    <ds:schemaRef ds:uri="http://schemas.openxmlformats.org/officeDocument/2006/bibliography"/>
  </ds:schemaRefs>
</ds:datastoreItem>
</file>

<file path=customXml/itemProps4.xml><?xml version="1.0" encoding="utf-8"?>
<ds:datastoreItem xmlns:ds="http://schemas.openxmlformats.org/officeDocument/2006/customXml" ds:itemID="{92016979-2A91-48DB-AEEF-E5D248C9A2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1353</Words>
  <Characters>7955</Characters>
  <Application>Microsoft Office Word</Application>
  <DocSecurity>0</DocSecurity>
  <Lines>192</Lines>
  <Paragraphs>100</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2025-11-10T06:47:00Z</dcterms:created>
  <dcterms:modified xsi:type="dcterms:W3CDTF">2025-12-15T20:16:00Z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2025-10-28T07:13:00Z</vt:lpwstr>
  </property>
  <property fmtid="{D5CDD505-2E9C-101B-9397-08002B2CF9AE}" pid="3" name="PM_ProtectiveMarkingValue_Header">
    <vt:lpwstr>OFFICIAL</vt:lpwstr>
  </property>
  <property fmtid="{D5CDD505-2E9C-101B-9397-08002B2CF9AE}" pid="4" name="PM_Expires">
    <vt:lpwstr/>
  </property>
  <property fmtid="{D5CDD505-2E9C-101B-9397-08002B2CF9AE}" pid="5" name="PM_DisplayValueSecClassificationWithQualifier">
    <vt:lpwstr>OFFICIAL</vt:lpwstr>
  </property>
  <property fmtid="{D5CDD505-2E9C-101B-9397-08002B2CF9AE}" pid="6" name="PM_InsertionValue">
    <vt:lpwstr>OFFICIAL</vt:lpwstr>
  </property>
  <property fmtid="{D5CDD505-2E9C-101B-9397-08002B2CF9AE}" pid="7" name="PM_Originator_Hash_SHA1">
    <vt:lpwstr>31FD3EAE4A251ABCF009A8ACCBAC4038715E6F10</vt:lpwstr>
  </property>
  <property fmtid="{D5CDD505-2E9C-101B-9397-08002B2CF9AE}" pid="8" name="PM_ProtectiveMarkingValue_Footer">
    <vt:lpwstr>OFFICIAL</vt:lpwstr>
  </property>
  <property fmtid="{D5CDD505-2E9C-101B-9397-08002B2CF9AE}" pid="9" name="PM_Originating_FileId">
    <vt:lpwstr>378E2778F77747309947451ACD0F9695</vt:lpwstr>
  </property>
  <property fmtid="{D5CDD505-2E9C-101B-9397-08002B2CF9AE}" pid="10" name="PM_Display">
    <vt:lpwstr>OFFICIAL</vt:lpwstr>
  </property>
  <property fmtid="{D5CDD505-2E9C-101B-9397-08002B2CF9AE}" pid="11" name="PM_OriginatorUserAccountName_SHA256">
    <vt:lpwstr>91EA69836A306F65000D7711B40DDACB57150DAE7AC7FEFA95158BE89FCA2A6B</vt:lpwstr>
  </property>
  <property fmtid="{D5CDD505-2E9C-101B-9397-08002B2CF9AE}" pid="12" name="PM_OriginatorDomainName_SHA256">
    <vt:lpwstr>6F3591835F3B2A8A025B00B5BA6418010DA3A17C9C26EA9C049FFD28039489A2</vt:lpwstr>
  </property>
  <property fmtid="{D5CDD505-2E9C-101B-9397-08002B2CF9AE}" pid="13" name="PMUuid">
    <vt:lpwstr>v=2022.2;d=gov.au;g=46DD6D7C-8107-577B-BC6E-F348953B2E44</vt:lpwstr>
  </property>
  <property fmtid="{D5CDD505-2E9C-101B-9397-08002B2CF9AE}" pid="14" name="PM_Hash_Version">
    <vt:lpwstr>2022.1</vt:lpwstr>
  </property>
  <property fmtid="{D5CDD505-2E9C-101B-9397-08002B2CF9AE}" pid="15" name="PM_Hash_Salt_Prev">
    <vt:lpwstr>8D69C331C663A63D2AD4229512FBBA80</vt:lpwstr>
  </property>
  <property fmtid="{D5CDD505-2E9C-101B-9397-08002B2CF9AE}" pid="16" name="PM_Hash_Salt">
    <vt:lpwstr>DD80997AB0F913E1C5B6A0CCD3E00051</vt:lpwstr>
  </property>
  <property fmtid="{D5CDD505-2E9C-101B-9397-08002B2CF9AE}" pid="17" name="PM_Hash_SHA1">
    <vt:lpwstr>D680781316C6F7EAB321C180BD1AC906441E99AF</vt:lpwstr>
  </property>
  <property fmtid="{D5CDD505-2E9C-101B-9397-08002B2CF9AE}" pid="18" name="PM_SecurityClassification_Prev">
    <vt:lpwstr>OFFICIAL</vt:lpwstr>
  </property>
  <property fmtid="{D5CDD505-2E9C-101B-9397-08002B2CF9AE}" pid="19" name="PM_Qualifier_Prev">
    <vt:lpwstr/>
  </property>
  <property fmtid="{D5CDD505-2E9C-101B-9397-08002B2CF9AE}" pid="20" name="PM_Qualifier">
    <vt:lpwstr/>
  </property>
  <property fmtid="{D5CDD505-2E9C-101B-9397-08002B2CF9AE}" pid="21" name="PMHMAC">
    <vt:lpwstr>v=2022.1;a=SHA256;h=193CAB6EC3637CD978EF96694290714A8B6FA1EC0CFD84DE07A7FCE99FE66F06</vt:lpwstr>
  </property>
  <property fmtid="{D5CDD505-2E9C-101B-9397-08002B2CF9AE}" pid="22" name="PM_Namespace">
    <vt:lpwstr>gov.au</vt:lpwstr>
  </property>
  <property fmtid="{D5CDD505-2E9C-101B-9397-08002B2CF9AE}" pid="23" name="PM_Version">
    <vt:lpwstr>2018.4</vt:lpwstr>
  </property>
  <property fmtid="{D5CDD505-2E9C-101B-9397-08002B2CF9AE}" pid="24" name="PM_SecurityClassification">
    <vt:lpwstr>OFFICIAL</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y fmtid="{D5CDD505-2E9C-101B-9397-08002B2CF9AE}" pid="29" name="ContentTypeId">
    <vt:lpwstr>0x010100CF00AC2E10A2B34A86A613A4498C609D</vt:lpwstr>
  </property>
</Properties>
</file>