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8905" w14:textId="77777777" w:rsidR="00477E7B" w:rsidRDefault="00477E7B" w:rsidP="00477E7B">
      <w:pPr>
        <w:spacing w:line="360" w:lineRule="auto"/>
      </w:pPr>
    </w:p>
    <w:p w14:paraId="6C9B53CA" w14:textId="77777777" w:rsidR="00477E7B" w:rsidRDefault="00477E7B" w:rsidP="00477E7B">
      <w:pPr>
        <w:spacing w:line="360" w:lineRule="auto"/>
        <w:jc w:val="center"/>
        <w:rPr>
          <w:b/>
          <w:sz w:val="28"/>
          <w:szCs w:val="28"/>
        </w:rPr>
      </w:pPr>
    </w:p>
    <w:p w14:paraId="1DEA5775" w14:textId="77777777" w:rsidR="00477E7B" w:rsidRPr="0055307F" w:rsidRDefault="00477E7B" w:rsidP="00477E7B">
      <w:pPr>
        <w:spacing w:line="360" w:lineRule="auto"/>
        <w:jc w:val="center"/>
        <w:rPr>
          <w:b/>
          <w:bCs/>
          <w:iCs/>
        </w:rPr>
      </w:pPr>
      <w:r w:rsidRPr="0055307F">
        <w:rPr>
          <w:b/>
          <w:bCs/>
          <w:iCs/>
        </w:rPr>
        <w:t>Before the World Trade Organization</w:t>
      </w:r>
    </w:p>
    <w:p w14:paraId="4229ECB6" w14:textId="77777777" w:rsidR="00477E7B" w:rsidRDefault="00477E7B" w:rsidP="00477E7B">
      <w:pPr>
        <w:spacing w:line="360" w:lineRule="auto"/>
        <w:jc w:val="center"/>
        <w:rPr>
          <w:b/>
          <w:bCs/>
          <w:i/>
          <w:iCs/>
          <w:sz w:val="28"/>
          <w:szCs w:val="28"/>
        </w:rPr>
      </w:pPr>
    </w:p>
    <w:p w14:paraId="5D6AC759" w14:textId="77777777" w:rsidR="00477E7B" w:rsidRDefault="00477E7B" w:rsidP="00477E7B">
      <w:pPr>
        <w:spacing w:line="360" w:lineRule="auto"/>
        <w:jc w:val="center"/>
        <w:rPr>
          <w:b/>
          <w:bCs/>
          <w:i/>
          <w:iCs/>
          <w:sz w:val="28"/>
          <w:szCs w:val="28"/>
        </w:rPr>
      </w:pPr>
    </w:p>
    <w:p w14:paraId="646E9B3D" w14:textId="77777777" w:rsidR="00477E7B" w:rsidRDefault="00477E7B" w:rsidP="00477E7B">
      <w:pPr>
        <w:spacing w:line="360" w:lineRule="auto"/>
        <w:jc w:val="center"/>
        <w:rPr>
          <w:b/>
          <w:bCs/>
          <w:i/>
          <w:iCs/>
          <w:sz w:val="28"/>
          <w:szCs w:val="28"/>
        </w:rPr>
      </w:pPr>
    </w:p>
    <w:p w14:paraId="0246614F" w14:textId="77777777" w:rsidR="00477E7B" w:rsidRDefault="00477E7B" w:rsidP="00477E7B">
      <w:pPr>
        <w:spacing w:line="360" w:lineRule="auto"/>
        <w:jc w:val="center"/>
        <w:rPr>
          <w:b/>
          <w:bCs/>
          <w:i/>
          <w:iCs/>
          <w:sz w:val="28"/>
          <w:szCs w:val="28"/>
        </w:rPr>
      </w:pPr>
    </w:p>
    <w:p w14:paraId="610FC79F" w14:textId="77777777" w:rsidR="00477E7B" w:rsidRDefault="00477E7B" w:rsidP="00477E7B">
      <w:pPr>
        <w:spacing w:line="360" w:lineRule="auto"/>
        <w:jc w:val="center"/>
        <w:rPr>
          <w:b/>
          <w:bCs/>
          <w:i/>
          <w:iCs/>
          <w:sz w:val="28"/>
          <w:szCs w:val="28"/>
        </w:rPr>
      </w:pPr>
    </w:p>
    <w:p w14:paraId="356A1A3F" w14:textId="77777777" w:rsidR="00477E7B" w:rsidRDefault="00477E7B" w:rsidP="00477E7B">
      <w:pPr>
        <w:spacing w:line="360" w:lineRule="auto"/>
        <w:jc w:val="center"/>
        <w:rPr>
          <w:b/>
          <w:bCs/>
          <w:i/>
          <w:iCs/>
          <w:sz w:val="28"/>
          <w:szCs w:val="28"/>
        </w:rPr>
      </w:pPr>
    </w:p>
    <w:p w14:paraId="6C6AA0FD" w14:textId="13E8ED00" w:rsidR="00477E7B" w:rsidRPr="004D51EE" w:rsidRDefault="00F20A25" w:rsidP="00477E7B">
      <w:pPr>
        <w:spacing w:line="360" w:lineRule="auto"/>
        <w:jc w:val="center"/>
        <w:rPr>
          <w:b/>
          <w:i/>
          <w:sz w:val="28"/>
          <w:szCs w:val="28"/>
        </w:rPr>
      </w:pPr>
      <w:r>
        <w:rPr>
          <w:b/>
          <w:i/>
          <w:sz w:val="28"/>
          <w:szCs w:val="28"/>
        </w:rPr>
        <w:t>European</w:t>
      </w:r>
      <w:r w:rsidR="009B6DBE">
        <w:rPr>
          <w:b/>
          <w:i/>
          <w:sz w:val="28"/>
          <w:szCs w:val="28"/>
        </w:rPr>
        <w:t xml:space="preserve"> </w:t>
      </w:r>
      <w:r w:rsidR="007A65FD">
        <w:rPr>
          <w:b/>
          <w:i/>
          <w:sz w:val="28"/>
          <w:szCs w:val="28"/>
        </w:rPr>
        <w:t xml:space="preserve">Union </w:t>
      </w:r>
      <w:r w:rsidR="009B6DBE">
        <w:rPr>
          <w:b/>
          <w:i/>
          <w:sz w:val="28"/>
          <w:szCs w:val="28"/>
        </w:rPr>
        <w:t xml:space="preserve">– </w:t>
      </w:r>
      <w:r>
        <w:rPr>
          <w:b/>
          <w:i/>
          <w:sz w:val="28"/>
          <w:szCs w:val="28"/>
        </w:rPr>
        <w:t>Certain Measures Concerning Palm Oil and Oil Palm Crop-Based Biofuels (Indonesia)</w:t>
      </w:r>
      <w:r w:rsidR="00D018BC">
        <w:rPr>
          <w:b/>
          <w:i/>
          <w:sz w:val="28"/>
          <w:szCs w:val="28"/>
        </w:rPr>
        <w:t xml:space="preserve"> </w:t>
      </w:r>
      <w:r>
        <w:rPr>
          <w:b/>
          <w:i/>
          <w:sz w:val="28"/>
          <w:szCs w:val="28"/>
        </w:rPr>
        <w:t>(</w:t>
      </w:r>
      <w:bookmarkStart w:id="0" w:name="_Toc305666123"/>
      <w:r w:rsidRPr="00F20A25">
        <w:rPr>
          <w:b/>
          <w:iCs/>
          <w:sz w:val="28"/>
          <w:szCs w:val="28"/>
        </w:rPr>
        <w:t>WT/</w:t>
      </w:r>
      <w:r w:rsidR="009B6DBE" w:rsidRPr="00F20A25">
        <w:rPr>
          <w:b/>
          <w:iCs/>
          <w:sz w:val="28"/>
          <w:szCs w:val="28"/>
        </w:rPr>
        <w:t>DS5</w:t>
      </w:r>
      <w:r w:rsidRPr="00F20A25">
        <w:rPr>
          <w:b/>
          <w:iCs/>
          <w:sz w:val="28"/>
          <w:szCs w:val="28"/>
        </w:rPr>
        <w:t>93</w:t>
      </w:r>
      <w:r w:rsidR="00477E7B" w:rsidRPr="004D51EE">
        <w:rPr>
          <w:b/>
          <w:i/>
          <w:sz w:val="28"/>
          <w:szCs w:val="28"/>
        </w:rPr>
        <w:t>)</w:t>
      </w:r>
      <w:bookmarkEnd w:id="0"/>
    </w:p>
    <w:p w14:paraId="51AF0E15" w14:textId="77777777" w:rsidR="00477E7B" w:rsidRPr="004D51EE" w:rsidRDefault="00477E7B" w:rsidP="00477E7B">
      <w:pPr>
        <w:spacing w:line="360" w:lineRule="auto"/>
        <w:jc w:val="center"/>
        <w:rPr>
          <w:b/>
          <w:i/>
          <w:sz w:val="28"/>
          <w:szCs w:val="28"/>
        </w:rPr>
      </w:pPr>
    </w:p>
    <w:p w14:paraId="43BC255A" w14:textId="77777777" w:rsidR="00477E7B" w:rsidRPr="004D51EE" w:rsidRDefault="00477E7B" w:rsidP="00477E7B">
      <w:pPr>
        <w:spacing w:line="360" w:lineRule="auto"/>
        <w:jc w:val="center"/>
        <w:rPr>
          <w:b/>
          <w:i/>
          <w:sz w:val="28"/>
          <w:szCs w:val="28"/>
        </w:rPr>
      </w:pPr>
    </w:p>
    <w:p w14:paraId="23F1D2DA" w14:textId="77777777" w:rsidR="00477E7B" w:rsidRPr="004D51EE" w:rsidRDefault="00477E7B" w:rsidP="00477E7B">
      <w:pPr>
        <w:spacing w:line="360" w:lineRule="auto"/>
        <w:jc w:val="center"/>
        <w:rPr>
          <w:b/>
          <w:i/>
          <w:sz w:val="28"/>
          <w:szCs w:val="28"/>
        </w:rPr>
      </w:pPr>
    </w:p>
    <w:p w14:paraId="0F32B0EB" w14:textId="77777777" w:rsidR="00477E7B" w:rsidRPr="004D51EE" w:rsidRDefault="00477E7B" w:rsidP="00477E7B">
      <w:pPr>
        <w:spacing w:line="360" w:lineRule="auto"/>
        <w:jc w:val="center"/>
        <w:rPr>
          <w:b/>
          <w:i/>
          <w:sz w:val="28"/>
          <w:szCs w:val="28"/>
        </w:rPr>
      </w:pPr>
    </w:p>
    <w:p w14:paraId="26B9D1EF" w14:textId="77777777" w:rsidR="00477E7B" w:rsidRPr="004D51EE" w:rsidRDefault="00477E7B" w:rsidP="00477E7B">
      <w:pPr>
        <w:spacing w:line="360" w:lineRule="auto"/>
        <w:jc w:val="center"/>
        <w:rPr>
          <w:b/>
          <w:i/>
          <w:sz w:val="28"/>
          <w:szCs w:val="28"/>
        </w:rPr>
      </w:pPr>
    </w:p>
    <w:p w14:paraId="41B777E5" w14:textId="77777777" w:rsidR="00477E7B" w:rsidRPr="004D51EE" w:rsidRDefault="00477E7B" w:rsidP="00477E7B">
      <w:pPr>
        <w:spacing w:line="360" w:lineRule="auto"/>
        <w:jc w:val="center"/>
        <w:rPr>
          <w:b/>
          <w:i/>
          <w:sz w:val="28"/>
          <w:szCs w:val="28"/>
        </w:rPr>
      </w:pPr>
    </w:p>
    <w:p w14:paraId="367F5D44" w14:textId="77777777" w:rsidR="00477E7B" w:rsidRPr="004D51EE" w:rsidRDefault="00477E7B" w:rsidP="00477E7B">
      <w:pPr>
        <w:spacing w:line="360" w:lineRule="auto"/>
        <w:jc w:val="center"/>
        <w:rPr>
          <w:b/>
          <w:i/>
          <w:sz w:val="28"/>
          <w:szCs w:val="28"/>
        </w:rPr>
      </w:pPr>
    </w:p>
    <w:p w14:paraId="4F29C1B5" w14:textId="77777777" w:rsidR="00477E7B" w:rsidRPr="004D51EE" w:rsidRDefault="00477E7B" w:rsidP="00477E7B">
      <w:pPr>
        <w:spacing w:line="360" w:lineRule="auto"/>
        <w:jc w:val="center"/>
        <w:rPr>
          <w:b/>
          <w:i/>
          <w:sz w:val="28"/>
          <w:szCs w:val="28"/>
        </w:rPr>
      </w:pPr>
    </w:p>
    <w:p w14:paraId="0FF92BF3" w14:textId="77777777" w:rsidR="00477E7B" w:rsidRPr="004D51EE" w:rsidRDefault="00477E7B" w:rsidP="00477E7B">
      <w:pPr>
        <w:spacing w:line="360" w:lineRule="auto"/>
        <w:jc w:val="center"/>
        <w:rPr>
          <w:b/>
          <w:i/>
          <w:sz w:val="28"/>
          <w:szCs w:val="28"/>
        </w:rPr>
      </w:pPr>
    </w:p>
    <w:p w14:paraId="6517D208" w14:textId="77777777" w:rsidR="00477E7B" w:rsidRPr="004D51EE" w:rsidRDefault="00477E7B" w:rsidP="00477E7B">
      <w:pPr>
        <w:spacing w:line="360" w:lineRule="auto"/>
        <w:jc w:val="center"/>
        <w:rPr>
          <w:b/>
          <w:sz w:val="28"/>
          <w:szCs w:val="28"/>
        </w:rPr>
      </w:pPr>
      <w:bookmarkStart w:id="1" w:name="_Toc269726911"/>
      <w:bookmarkStart w:id="2" w:name="_Toc269823222"/>
      <w:bookmarkStart w:id="3" w:name="_Toc269823313"/>
      <w:r>
        <w:rPr>
          <w:b/>
          <w:sz w:val="28"/>
          <w:szCs w:val="28"/>
        </w:rPr>
        <w:t xml:space="preserve">Responses </w:t>
      </w:r>
      <w:r w:rsidRPr="004D51EE">
        <w:rPr>
          <w:b/>
          <w:sz w:val="28"/>
          <w:szCs w:val="28"/>
        </w:rPr>
        <w:t>of Australia</w:t>
      </w:r>
      <w:bookmarkEnd w:id="1"/>
      <w:bookmarkEnd w:id="2"/>
      <w:bookmarkEnd w:id="3"/>
      <w:r>
        <w:rPr>
          <w:b/>
          <w:sz w:val="28"/>
          <w:szCs w:val="28"/>
        </w:rPr>
        <w:t xml:space="preserve"> to the Panel’</w:t>
      </w:r>
      <w:r w:rsidR="009B6DBE">
        <w:rPr>
          <w:b/>
          <w:sz w:val="28"/>
          <w:szCs w:val="28"/>
        </w:rPr>
        <w:t>s Questions</w:t>
      </w:r>
    </w:p>
    <w:p w14:paraId="5DE1650E" w14:textId="77777777" w:rsidR="00477E7B" w:rsidRDefault="00477E7B" w:rsidP="00477E7B">
      <w:pPr>
        <w:pStyle w:val="MinuteHeading"/>
        <w:framePr w:w="0" w:hSpace="0" w:vSpace="0" w:wrap="auto" w:vAnchor="margin" w:hAnchor="text" w:xAlign="left" w:yAlign="inline"/>
        <w:spacing w:after="0" w:line="360" w:lineRule="auto"/>
        <w:rPr>
          <w:sz w:val="24"/>
          <w:szCs w:val="24"/>
          <w:lang w:val="en-AU"/>
        </w:rPr>
      </w:pPr>
    </w:p>
    <w:p w14:paraId="2AEEB65C" w14:textId="77777777" w:rsidR="00477E7B" w:rsidRDefault="00477E7B" w:rsidP="00477E7B">
      <w:pPr>
        <w:pStyle w:val="MinuteHeading"/>
        <w:framePr w:w="0" w:hSpace="0" w:vSpace="0" w:wrap="auto" w:vAnchor="margin" w:hAnchor="text" w:xAlign="left" w:yAlign="inline"/>
        <w:spacing w:after="0" w:line="360" w:lineRule="auto"/>
        <w:rPr>
          <w:sz w:val="24"/>
          <w:szCs w:val="24"/>
          <w:lang w:val="en-AU"/>
        </w:rPr>
      </w:pPr>
    </w:p>
    <w:p w14:paraId="22D6ACF5" w14:textId="77777777" w:rsidR="00477E7B" w:rsidRDefault="00477E7B" w:rsidP="00477E7B">
      <w:pPr>
        <w:pStyle w:val="MinuteHeading"/>
        <w:framePr w:w="0" w:hSpace="0" w:vSpace="0" w:wrap="auto" w:vAnchor="margin" w:hAnchor="text" w:xAlign="left" w:yAlign="inline"/>
        <w:spacing w:after="0" w:line="360" w:lineRule="auto"/>
        <w:rPr>
          <w:sz w:val="24"/>
          <w:szCs w:val="24"/>
          <w:lang w:val="en-AU"/>
        </w:rPr>
      </w:pPr>
    </w:p>
    <w:p w14:paraId="20B5FC10" w14:textId="2DD4FBC9" w:rsidR="00477E7B" w:rsidRDefault="009B6DBE" w:rsidP="00477E7B">
      <w:pPr>
        <w:pStyle w:val="MinuteHeading"/>
        <w:framePr w:w="0" w:hSpace="0" w:vSpace="0" w:wrap="auto" w:vAnchor="margin" w:hAnchor="text" w:xAlign="left" w:yAlign="inline"/>
        <w:spacing w:after="0" w:line="360" w:lineRule="auto"/>
        <w:rPr>
          <w:rFonts w:ascii="Arial" w:hAnsi="Arial" w:cs="Arial"/>
          <w:b w:val="0"/>
        </w:rPr>
      </w:pPr>
      <w:r>
        <w:rPr>
          <w:sz w:val="24"/>
          <w:szCs w:val="24"/>
          <w:lang w:val="en-AU"/>
        </w:rPr>
        <w:t>2</w:t>
      </w:r>
      <w:r w:rsidR="00F20A25">
        <w:rPr>
          <w:sz w:val="24"/>
          <w:szCs w:val="24"/>
          <w:lang w:val="en-AU"/>
        </w:rPr>
        <w:t>7</w:t>
      </w:r>
      <w:r w:rsidR="00D018BC">
        <w:rPr>
          <w:sz w:val="24"/>
          <w:szCs w:val="24"/>
          <w:lang w:val="en-AU"/>
        </w:rPr>
        <w:t xml:space="preserve"> </w:t>
      </w:r>
      <w:r w:rsidR="00F20A25">
        <w:rPr>
          <w:sz w:val="24"/>
          <w:szCs w:val="24"/>
          <w:lang w:val="en-AU"/>
        </w:rPr>
        <w:t>May</w:t>
      </w:r>
      <w:r w:rsidR="00D018BC">
        <w:rPr>
          <w:sz w:val="24"/>
          <w:szCs w:val="24"/>
          <w:lang w:val="en-AU"/>
        </w:rPr>
        <w:t xml:space="preserve"> 20</w:t>
      </w:r>
      <w:r w:rsidR="00F20A25">
        <w:rPr>
          <w:sz w:val="24"/>
          <w:szCs w:val="24"/>
          <w:lang w:val="en-AU"/>
        </w:rPr>
        <w:t>21</w:t>
      </w:r>
      <w:r w:rsidR="00477E7B" w:rsidRPr="00DF6EB1">
        <w:rPr>
          <w:sz w:val="24"/>
          <w:szCs w:val="24"/>
          <w:lang w:val="en-AU"/>
        </w:rPr>
        <w:br/>
      </w:r>
    </w:p>
    <w:p w14:paraId="0093A91D" w14:textId="5C7A0453" w:rsidR="009B6DBE" w:rsidRPr="00474FBF" w:rsidRDefault="00477E7B" w:rsidP="009B6DBE">
      <w:pPr>
        <w:rPr>
          <w:b/>
        </w:rPr>
      </w:pPr>
      <w:r>
        <w:rPr>
          <w:rFonts w:ascii="Arial" w:hAnsi="Arial" w:cs="Arial"/>
          <w:b/>
        </w:rPr>
        <w:br w:type="page"/>
      </w:r>
      <w:r w:rsidR="009B6DBE" w:rsidRPr="00474FBF">
        <w:rPr>
          <w:b/>
        </w:rPr>
        <w:lastRenderedPageBreak/>
        <w:t>Q</w:t>
      </w:r>
      <w:r w:rsidR="00A97998">
        <w:rPr>
          <w:b/>
        </w:rPr>
        <w:t>4</w:t>
      </w:r>
      <w:r w:rsidR="009B6DBE" w:rsidRPr="00474FBF">
        <w:rPr>
          <w:b/>
        </w:rPr>
        <w:t xml:space="preserve">. </w:t>
      </w:r>
      <w:r w:rsidR="00A97998">
        <w:rPr>
          <w:b/>
        </w:rPr>
        <w:t>Do you</w:t>
      </w:r>
      <w:r w:rsidR="009D726C">
        <w:rPr>
          <w:b/>
        </w:rPr>
        <w:t xml:space="preserve"> agree with the European Union’s description of the applicable standard of review at paragraph 309 of its first written submission?</w:t>
      </w:r>
    </w:p>
    <w:p w14:paraId="3BCB72F6" w14:textId="77777777" w:rsidR="009B6DBE" w:rsidRPr="00474FBF" w:rsidRDefault="009B6DBE" w:rsidP="009B6DBE">
      <w:pPr>
        <w:pStyle w:val="ListParagraph"/>
        <w:spacing w:line="312" w:lineRule="auto"/>
        <w:ind w:left="0"/>
        <w:contextualSpacing w:val="0"/>
      </w:pPr>
    </w:p>
    <w:p w14:paraId="08C7039B" w14:textId="501ADF5F" w:rsidR="00B93692" w:rsidRDefault="00B93692" w:rsidP="00CD3E67">
      <w:pPr>
        <w:pStyle w:val="ListParagraph"/>
        <w:numPr>
          <w:ilvl w:val="0"/>
          <w:numId w:val="32"/>
        </w:numPr>
        <w:spacing w:line="312" w:lineRule="auto"/>
        <w:ind w:left="0" w:hanging="567"/>
        <w:contextualSpacing w:val="0"/>
      </w:pPr>
      <w:r>
        <w:t>In relation to the standard of review, Australia agrees with the E</w:t>
      </w:r>
      <w:r w:rsidR="009749B4">
        <w:t xml:space="preserve">uropean </w:t>
      </w:r>
      <w:r>
        <w:t>U</w:t>
      </w:r>
      <w:r w:rsidR="009749B4">
        <w:t>nion</w:t>
      </w:r>
      <w:r>
        <w:t xml:space="preserve"> at paragraph 309 that it would not be appropriate for the Panel to substitute various reports or opinions with its own scientific judgment.</w:t>
      </w:r>
      <w:r w:rsidDel="00B93692">
        <w:t xml:space="preserve"> </w:t>
      </w:r>
      <w:r>
        <w:t xml:space="preserve">However, </w:t>
      </w:r>
      <w:r w:rsidR="00E41C4B">
        <w:t xml:space="preserve">Australia </w:t>
      </w:r>
      <w:r>
        <w:t>has concerns</w:t>
      </w:r>
      <w:r w:rsidR="00E41C4B">
        <w:t xml:space="preserve"> with the E</w:t>
      </w:r>
      <w:r w:rsidR="0077159B">
        <w:t xml:space="preserve">uropean </w:t>
      </w:r>
      <w:r w:rsidR="00E41C4B">
        <w:t>U</w:t>
      </w:r>
      <w:r w:rsidR="0077159B">
        <w:t>nion</w:t>
      </w:r>
      <w:r w:rsidR="00E41C4B">
        <w:t>’s</w:t>
      </w:r>
      <w:r>
        <w:t xml:space="preserve"> further</w:t>
      </w:r>
      <w:r w:rsidR="00E41C4B">
        <w:t xml:space="preserve"> characterisation of the limited role for the Panel in examining scientific evidence</w:t>
      </w:r>
      <w:r>
        <w:t xml:space="preserve"> – which suggests a passive role for the Panel</w:t>
      </w:r>
      <w:r w:rsidR="00E41C4B">
        <w:t>.</w:t>
      </w:r>
    </w:p>
    <w:p w14:paraId="5946370E" w14:textId="77777777" w:rsidR="00B93692" w:rsidRDefault="00B93692" w:rsidP="00B93692">
      <w:pPr>
        <w:pStyle w:val="ListParagraph"/>
        <w:spacing w:line="312" w:lineRule="auto"/>
        <w:ind w:left="0"/>
        <w:contextualSpacing w:val="0"/>
      </w:pPr>
    </w:p>
    <w:p w14:paraId="6BE40777" w14:textId="20AADEBC" w:rsidR="00E41C4B" w:rsidRDefault="00E41C4B" w:rsidP="00CD3E67">
      <w:pPr>
        <w:pStyle w:val="ListParagraph"/>
        <w:numPr>
          <w:ilvl w:val="0"/>
          <w:numId w:val="32"/>
        </w:numPr>
        <w:spacing w:line="312" w:lineRule="auto"/>
        <w:ind w:left="0" w:hanging="567"/>
        <w:contextualSpacing w:val="0"/>
      </w:pPr>
      <w:r>
        <w:t xml:space="preserve">Australia recalls that the function of a panel is to: </w:t>
      </w:r>
    </w:p>
    <w:p w14:paraId="25FF5259" w14:textId="77777777" w:rsidR="00E41C4B" w:rsidRDefault="00E41C4B" w:rsidP="00E41C4B">
      <w:pPr>
        <w:pStyle w:val="ListParagraph"/>
      </w:pPr>
    </w:p>
    <w:p w14:paraId="07060E67" w14:textId="60678CA7" w:rsidR="009B6DBE" w:rsidRPr="00E41C4B" w:rsidRDefault="00E41C4B" w:rsidP="00E41C4B">
      <w:pPr>
        <w:pStyle w:val="ListParagraph"/>
        <w:spacing w:line="312" w:lineRule="auto"/>
        <w:contextualSpacing w:val="0"/>
        <w:rPr>
          <w:sz w:val="22"/>
          <w:szCs w:val="22"/>
        </w:rPr>
      </w:pPr>
      <w:r w:rsidRPr="00E41C4B">
        <w:rPr>
          <w:sz w:val="22"/>
          <w:szCs w:val="22"/>
        </w:rPr>
        <w:t>make an objective assessment of the matter before it, including an objective assessment of the facts of the case and the applicability of and conformity with the relevant covered agreements, and make such other findings as will assist the DSB in making the recommendations or in giving the rulings provided for in the covered agreements.</w:t>
      </w:r>
      <w:r>
        <w:rPr>
          <w:rStyle w:val="FootnoteReference"/>
          <w:sz w:val="22"/>
          <w:szCs w:val="22"/>
        </w:rPr>
        <w:footnoteReference w:id="1"/>
      </w:r>
    </w:p>
    <w:p w14:paraId="0E634BDB" w14:textId="77777777" w:rsidR="009B6DBE" w:rsidRPr="002671AF" w:rsidRDefault="009B6DBE" w:rsidP="009B6DBE"/>
    <w:p w14:paraId="1261BA26" w14:textId="040E083F" w:rsidR="009B6DBE" w:rsidRPr="002657EE" w:rsidRDefault="00E41C4B" w:rsidP="009B6DBE">
      <w:pPr>
        <w:pStyle w:val="ListParagraph"/>
        <w:numPr>
          <w:ilvl w:val="0"/>
          <w:numId w:val="32"/>
        </w:numPr>
        <w:spacing w:line="312" w:lineRule="auto"/>
        <w:ind w:left="0" w:hanging="567"/>
        <w:contextualSpacing w:val="0"/>
        <w:rPr>
          <w:rFonts w:eastAsiaTheme="minorHAnsi"/>
        </w:rPr>
      </w:pPr>
      <w:r>
        <w:t>In fulfilling this obligation, it is appropriate for a panel to</w:t>
      </w:r>
      <w:r w:rsidR="00B93692">
        <w:t xml:space="preserve"> actively</w:t>
      </w:r>
      <w:r>
        <w:t xml:space="preserve"> consider the extent to which the body of evidence before it, as a whole, provides a reasonable basis in support of the proposition for which it is being invoked.</w:t>
      </w:r>
      <w:r>
        <w:rPr>
          <w:rStyle w:val="FootnoteReference"/>
        </w:rPr>
        <w:footnoteReference w:id="2"/>
      </w:r>
      <w:r>
        <w:t xml:space="preserve"> In this assessment, to the extent that scientific evidence is being relied upon, a panel should have regard to whether such evidence “comes from a qualified and respected source”, whether it has the “necessary scientific and methodological rigor to be considered reputable science” or reflects “legitimate science according to the standards of the relevant scientific community”, and “whether the reasoning articulated on the basis of the scientific evidence is objective and coherent.”</w:t>
      </w:r>
      <w:r>
        <w:rPr>
          <w:rStyle w:val="FootnoteReference"/>
        </w:rPr>
        <w:footnoteReference w:id="3"/>
      </w:r>
      <w:r>
        <w:t xml:space="preserve"> Australia submits that these factors are relevant to the Panel’s role in</w:t>
      </w:r>
      <w:r w:rsidR="0077159B">
        <w:t xml:space="preserve"> actively</w:t>
      </w:r>
      <w:r>
        <w:t xml:space="preserve"> </w:t>
      </w:r>
      <w:r w:rsidR="005D7822">
        <w:t xml:space="preserve">examining scientific evidence in </w:t>
      </w:r>
      <w:r>
        <w:t>the current case</w:t>
      </w:r>
      <w:r w:rsidR="009B6DBE" w:rsidRPr="002657EE">
        <w:rPr>
          <w:rFonts w:eastAsiaTheme="minorHAnsi"/>
        </w:rPr>
        <w:t xml:space="preserve">. </w:t>
      </w:r>
    </w:p>
    <w:p w14:paraId="4A2EF003" w14:textId="77777777" w:rsidR="009B6DBE" w:rsidRDefault="009B6DBE" w:rsidP="009B6DBE">
      <w:pPr>
        <w:tabs>
          <w:tab w:val="left" w:pos="1815"/>
        </w:tabs>
        <w:spacing w:line="312" w:lineRule="auto"/>
      </w:pPr>
    </w:p>
    <w:p w14:paraId="61AA30E7" w14:textId="73DE622C" w:rsidR="00E41C4B" w:rsidRDefault="00E41C4B" w:rsidP="009B6DBE">
      <w:pPr>
        <w:numPr>
          <w:ilvl w:val="0"/>
          <w:numId w:val="32"/>
        </w:numPr>
        <w:tabs>
          <w:tab w:val="left" w:pos="1815"/>
        </w:tabs>
        <w:spacing w:line="312" w:lineRule="auto"/>
        <w:ind w:left="0" w:hanging="567"/>
      </w:pPr>
      <w:r>
        <w:t xml:space="preserve">Further to this, Australia submits that limitations or the lack of available evidence </w:t>
      </w:r>
      <w:r w:rsidR="00C97F20">
        <w:t xml:space="preserve">also </w:t>
      </w:r>
      <w:r>
        <w:t xml:space="preserve">has probative value and should be </w:t>
      </w:r>
      <w:proofErr w:type="gramStart"/>
      <w:r>
        <w:t>taken into account</w:t>
      </w:r>
      <w:proofErr w:type="gramEnd"/>
      <w:r>
        <w:t xml:space="preserve"> by the Panel. Indeed Australia recalls that in </w:t>
      </w:r>
      <w:r w:rsidRPr="00BD7375">
        <w:rPr>
          <w:i/>
          <w:iCs/>
        </w:rPr>
        <w:t>Australia – Tobacco Plain Packaging</w:t>
      </w:r>
      <w:r>
        <w:t xml:space="preserve"> the panel explicitly stated that the available evidence, as well as possible limitations in, or unavailability of, certain evidence, can have an impact on the nature and extent of the conclusions that may be drawn.</w:t>
      </w:r>
      <w:r>
        <w:rPr>
          <w:rStyle w:val="FootnoteReference"/>
        </w:rPr>
        <w:footnoteReference w:id="4"/>
      </w:r>
    </w:p>
    <w:p w14:paraId="292928C6" w14:textId="2AE2927F" w:rsidR="009B6DBE" w:rsidRDefault="009B6DBE" w:rsidP="009B6DBE">
      <w:pPr>
        <w:rPr>
          <w:b/>
        </w:rPr>
      </w:pPr>
    </w:p>
    <w:p w14:paraId="511ACB62" w14:textId="0BF93FC1" w:rsidR="00BA096B" w:rsidRDefault="00BA096B" w:rsidP="009B6DBE">
      <w:pPr>
        <w:rPr>
          <w:b/>
        </w:rPr>
      </w:pPr>
    </w:p>
    <w:p w14:paraId="2B0DF651" w14:textId="581CFD8E" w:rsidR="009B6DBE" w:rsidRPr="009D726C" w:rsidRDefault="009B6DBE" w:rsidP="009B6DBE">
      <w:pPr>
        <w:rPr>
          <w:b/>
        </w:rPr>
      </w:pPr>
      <w:r w:rsidRPr="00DD75E6">
        <w:rPr>
          <w:b/>
        </w:rPr>
        <w:lastRenderedPageBreak/>
        <w:t>Q</w:t>
      </w:r>
      <w:r w:rsidR="009D726C">
        <w:rPr>
          <w:b/>
        </w:rPr>
        <w:t>5</w:t>
      </w:r>
      <w:r w:rsidRPr="00DD75E6">
        <w:rPr>
          <w:b/>
        </w:rPr>
        <w:t>.</w:t>
      </w:r>
      <w:r w:rsidR="009D726C">
        <w:rPr>
          <w:b/>
        </w:rPr>
        <w:t xml:space="preserve"> At paragraph 814 of its first written submission, the European Union submits that its “conservative threshold of 10% . . .  is in line with the precautionary principle”. In your view, how, if at all, is the “precautionary principle” relevant to the TBT Agreement, </w:t>
      </w:r>
      <w:proofErr w:type="gramStart"/>
      <w:r w:rsidR="009D726C">
        <w:rPr>
          <w:b/>
        </w:rPr>
        <w:t>taking into account</w:t>
      </w:r>
      <w:proofErr w:type="gramEnd"/>
      <w:r w:rsidR="009D726C">
        <w:rPr>
          <w:b/>
        </w:rPr>
        <w:t xml:space="preserve"> </w:t>
      </w:r>
      <w:r w:rsidR="009D726C">
        <w:rPr>
          <w:b/>
          <w:i/>
          <w:iCs/>
        </w:rPr>
        <w:t xml:space="preserve">inter alia, </w:t>
      </w:r>
      <w:r w:rsidR="009D726C">
        <w:rPr>
          <w:b/>
        </w:rPr>
        <w:t>Articles 2.2, 2.3, 2.4, 2.10, 2.12, 5.2.7, 5.7, 5.9 and Annex 3.L of the TBT Agreement.</w:t>
      </w:r>
    </w:p>
    <w:p w14:paraId="51AF58B7" w14:textId="77777777" w:rsidR="009B6DBE" w:rsidRPr="00DD75E6" w:rsidRDefault="009B6DBE" w:rsidP="009B6DBE">
      <w:pPr>
        <w:rPr>
          <w:b/>
        </w:rPr>
      </w:pPr>
    </w:p>
    <w:p w14:paraId="4750C0EB" w14:textId="7AC68801" w:rsidR="0077159B" w:rsidRDefault="00E6345E" w:rsidP="009B6DBE">
      <w:pPr>
        <w:pStyle w:val="ListParagraph"/>
        <w:numPr>
          <w:ilvl w:val="0"/>
          <w:numId w:val="32"/>
        </w:numPr>
        <w:spacing w:line="312" w:lineRule="auto"/>
        <w:ind w:left="0" w:hanging="567"/>
        <w:contextualSpacing w:val="0"/>
      </w:pPr>
      <w:r>
        <w:t>Australia</w:t>
      </w:r>
      <w:r w:rsidR="0077159B">
        <w:t xml:space="preserve"> understands from the European Union’s first written submission at paragraph 814, that it seeks to rely upon the “precautionary approach” to demonstrate that its measures pursue a legitimate objective. In Australia</w:t>
      </w:r>
      <w:r>
        <w:t>’s view</w:t>
      </w:r>
      <w:r w:rsidR="00EB3B70">
        <w:t xml:space="preserve">, consideration of the “precautionary approach” </w:t>
      </w:r>
      <w:r w:rsidR="000D2A46">
        <w:t>can</w:t>
      </w:r>
      <w:r w:rsidR="00EB3B70">
        <w:t xml:space="preserve"> only be relevant to the Panel’s </w:t>
      </w:r>
      <w:r w:rsidR="00EB3B70" w:rsidRPr="009749B4">
        <w:rPr>
          <w:b/>
          <w:bCs/>
        </w:rPr>
        <w:t>factual findings</w:t>
      </w:r>
      <w:r w:rsidR="00EB3B70">
        <w:t xml:space="preserve"> in this regard.   </w:t>
      </w:r>
    </w:p>
    <w:p w14:paraId="790CE3BC" w14:textId="77777777" w:rsidR="0077159B" w:rsidRDefault="0077159B" w:rsidP="0077159B">
      <w:pPr>
        <w:pStyle w:val="ListParagraph"/>
        <w:spacing w:line="312" w:lineRule="auto"/>
        <w:ind w:left="0"/>
        <w:contextualSpacing w:val="0"/>
      </w:pPr>
    </w:p>
    <w:p w14:paraId="7599749F" w14:textId="16092CE6" w:rsidR="00A81D8E" w:rsidRDefault="00EB3B70" w:rsidP="009B6DBE">
      <w:pPr>
        <w:pStyle w:val="ListParagraph"/>
        <w:numPr>
          <w:ilvl w:val="0"/>
          <w:numId w:val="32"/>
        </w:numPr>
        <w:spacing w:line="312" w:lineRule="auto"/>
        <w:ind w:left="0" w:hanging="567"/>
        <w:contextualSpacing w:val="0"/>
      </w:pPr>
      <w:r>
        <w:t xml:space="preserve">Turning to the interpretation of the TBT Agreement obligations, Australia submits that </w:t>
      </w:r>
      <w:r w:rsidR="00E6345E">
        <w:t xml:space="preserve">it would be </w:t>
      </w:r>
      <w:r w:rsidR="006B28B7">
        <w:t>improper</w:t>
      </w:r>
      <w:r w:rsidR="00E6345E">
        <w:t xml:space="preserve"> for </w:t>
      </w:r>
      <w:r w:rsidR="001E0F71">
        <w:t>the</w:t>
      </w:r>
      <w:r w:rsidR="00E6345E">
        <w:t xml:space="preserve"> </w:t>
      </w:r>
      <w:r w:rsidR="001E0F71">
        <w:t>P</w:t>
      </w:r>
      <w:r w:rsidR="00E6345E">
        <w:t xml:space="preserve">anel to interpret </w:t>
      </w:r>
      <w:r>
        <w:t xml:space="preserve">these </w:t>
      </w:r>
      <w:r w:rsidR="00957504">
        <w:t>obligations</w:t>
      </w:r>
      <w:r w:rsidR="00E6345E">
        <w:t xml:space="preserve"> </w:t>
      </w:r>
      <w:proofErr w:type="gramStart"/>
      <w:r w:rsidR="00E6345E">
        <w:t>in light of</w:t>
      </w:r>
      <w:proofErr w:type="gramEnd"/>
      <w:r w:rsidR="00E6345E">
        <w:t xml:space="preserve"> the </w:t>
      </w:r>
      <w:r w:rsidR="00A81D8E">
        <w:t xml:space="preserve">“precautionary </w:t>
      </w:r>
      <w:r w:rsidR="00AE298A">
        <w:t>approach</w:t>
      </w:r>
      <w:r w:rsidR="00A81D8E">
        <w:t>.”</w:t>
      </w:r>
      <w:r w:rsidR="000D2A46">
        <w:t xml:space="preserve"> In particular, </w:t>
      </w:r>
      <w:r>
        <w:t xml:space="preserve">Australia notes that there </w:t>
      </w:r>
      <w:r w:rsidR="000D2A46">
        <w:t>is no textual basis in</w:t>
      </w:r>
      <w:r>
        <w:t xml:space="preserve"> the TBT Agreement </w:t>
      </w:r>
      <w:r w:rsidR="000D2A46">
        <w:t>to</w:t>
      </w:r>
      <w:r>
        <w:t xml:space="preserve"> </w:t>
      </w:r>
      <w:r w:rsidR="00EC0CC7">
        <w:t>support</w:t>
      </w:r>
      <w:r w:rsidR="000D2A46">
        <w:t xml:space="preserve"> a ‘reading in’ </w:t>
      </w:r>
      <w:proofErr w:type="gramStart"/>
      <w:r w:rsidR="000D2A46">
        <w:t>of  the</w:t>
      </w:r>
      <w:proofErr w:type="gramEnd"/>
      <w:r w:rsidR="000D2A46">
        <w:t xml:space="preserve"> “precautionary approach” to the obligations for technical regulations, conformity assessment procedures or standards.</w:t>
      </w:r>
    </w:p>
    <w:p w14:paraId="477FD8A8" w14:textId="77777777" w:rsidR="00A81D8E" w:rsidRDefault="00A81D8E" w:rsidP="00A81D8E">
      <w:pPr>
        <w:pStyle w:val="ListParagraph"/>
      </w:pPr>
    </w:p>
    <w:p w14:paraId="0C3A9C82" w14:textId="1BC30661" w:rsidR="00FB5B0A" w:rsidRDefault="00FB5B0A" w:rsidP="00A81D8E">
      <w:pPr>
        <w:pStyle w:val="ListParagraph"/>
        <w:numPr>
          <w:ilvl w:val="0"/>
          <w:numId w:val="32"/>
        </w:numPr>
        <w:spacing w:line="312" w:lineRule="auto"/>
        <w:ind w:left="0" w:hanging="567"/>
        <w:contextualSpacing w:val="0"/>
      </w:pPr>
      <w:r>
        <w:t xml:space="preserve">Australia </w:t>
      </w:r>
      <w:r w:rsidR="00EB3B70">
        <w:t xml:space="preserve">further </w:t>
      </w:r>
      <w:r>
        <w:t>notes that</w:t>
      </w:r>
      <w:r w:rsidR="00CB6778">
        <w:t xml:space="preserve"> the Appellate Body has developed specific legal tests in relation to</w:t>
      </w:r>
      <w:r w:rsidR="00C41CFE">
        <w:t xml:space="preserve"> the</w:t>
      </w:r>
      <w:r w:rsidR="00CB6778">
        <w:t xml:space="preserve"> key TBT obligations</w:t>
      </w:r>
      <w:r w:rsidR="005C02DB">
        <w:t xml:space="preserve"> that </w:t>
      </w:r>
      <w:r w:rsidR="00420B5C">
        <w:t xml:space="preserve">are </w:t>
      </w:r>
      <w:r w:rsidR="00831815">
        <w:t xml:space="preserve">contested </w:t>
      </w:r>
      <w:r w:rsidR="00420B5C">
        <w:t xml:space="preserve">in this </w:t>
      </w:r>
      <w:r w:rsidR="00C41CFE">
        <w:t>dispute</w:t>
      </w:r>
      <w:r w:rsidR="00CB6778">
        <w:t xml:space="preserve">. </w:t>
      </w:r>
      <w:r w:rsidR="008C41B1">
        <w:t>For instance, in</w:t>
      </w:r>
      <w:r w:rsidR="00CB6778">
        <w:t xml:space="preserve"> relation to Article 2.</w:t>
      </w:r>
      <w:r w:rsidR="00556DFA">
        <w:t xml:space="preserve">2, the Appellate Body has held that the assessment of ‘necessity’ involves consideration of a range of factors, including </w:t>
      </w:r>
      <w:r w:rsidR="00556DFA">
        <w:rPr>
          <w:b/>
          <w:bCs/>
        </w:rPr>
        <w:t>the degree of contribution that the technical regulation makes to the achievement of a legitimate objective.</w:t>
      </w:r>
      <w:r w:rsidR="008C41B1" w:rsidRPr="008C41B1">
        <w:rPr>
          <w:rStyle w:val="FootnoteReference"/>
        </w:rPr>
        <w:footnoteReference w:id="5"/>
      </w:r>
      <w:r w:rsidR="004330DA">
        <w:t xml:space="preserve"> </w:t>
      </w:r>
      <w:r w:rsidR="008C41B1">
        <w:t>Australia recalls that the Appellate Body has established that the degree of achievement of a particular objective can be discerned from the design, structure, and operation of the technical regulation, as well as from evidence relating to the application of the measure.</w:t>
      </w:r>
      <w:r w:rsidR="008C41B1">
        <w:rPr>
          <w:rStyle w:val="FootnoteReference"/>
        </w:rPr>
        <w:footnoteReference w:id="6"/>
      </w:r>
      <w:r w:rsidR="006F0586">
        <w:t xml:space="preserve"> </w:t>
      </w:r>
      <w:r w:rsidR="000D2A46">
        <w:t>Limitations in, or unavailability of, certain evidence can also be taken into account by a panel in reaching its conclusions.</w:t>
      </w:r>
      <w:r w:rsidR="000D2A46">
        <w:rPr>
          <w:rStyle w:val="FootnoteReference"/>
        </w:rPr>
        <w:footnoteReference w:id="7"/>
      </w:r>
      <w:r w:rsidR="000D2A46">
        <w:t xml:space="preserve"> Most i</w:t>
      </w:r>
      <w:r w:rsidR="006F0586">
        <w:t>mportantly, it</w:t>
      </w:r>
      <w:r w:rsidR="008C41B1">
        <w:t xml:space="preserve"> is the role of </w:t>
      </w:r>
      <w:r w:rsidR="009749B4">
        <w:t>a</w:t>
      </w:r>
      <w:r w:rsidR="008C41B1">
        <w:t xml:space="preserve"> </w:t>
      </w:r>
      <w:r w:rsidR="009749B4">
        <w:t>p</w:t>
      </w:r>
      <w:r w:rsidR="008C41B1">
        <w:t>anel to</w:t>
      </w:r>
      <w:r w:rsidR="005C02DB">
        <w:t>,</w:t>
      </w:r>
      <w:r w:rsidR="008C41B1">
        <w:t xml:space="preserve"> as precisely as possible</w:t>
      </w:r>
      <w:r w:rsidR="005C02DB">
        <w:t>,</w:t>
      </w:r>
      <w:r w:rsidR="008C41B1">
        <w:t xml:space="preserve"> ascertain the actual contribution of the measures, as written and applied, to the objective.</w:t>
      </w:r>
      <w:r w:rsidR="008C41B1">
        <w:rPr>
          <w:rStyle w:val="FootnoteReference"/>
        </w:rPr>
        <w:footnoteReference w:id="8"/>
      </w:r>
      <w:r w:rsidR="008C41B1">
        <w:t xml:space="preserve"> </w:t>
      </w:r>
    </w:p>
    <w:p w14:paraId="262B4B3B" w14:textId="77777777" w:rsidR="008C41B1" w:rsidRDefault="008C41B1" w:rsidP="008C41B1">
      <w:pPr>
        <w:pStyle w:val="ListParagraph"/>
      </w:pPr>
    </w:p>
    <w:p w14:paraId="35C628F3" w14:textId="01339474" w:rsidR="00A81D8E" w:rsidRPr="00A81D8E" w:rsidRDefault="005C02DB" w:rsidP="00A81D8E">
      <w:pPr>
        <w:pStyle w:val="ListParagraph"/>
        <w:numPr>
          <w:ilvl w:val="0"/>
          <w:numId w:val="32"/>
        </w:numPr>
        <w:spacing w:line="312" w:lineRule="auto"/>
        <w:ind w:left="0" w:hanging="567"/>
        <w:contextualSpacing w:val="0"/>
      </w:pPr>
      <w:r>
        <w:t>Accordingly</w:t>
      </w:r>
      <w:r w:rsidR="006F0586">
        <w:t xml:space="preserve">, </w:t>
      </w:r>
      <w:r>
        <w:t xml:space="preserve">Australia strongly cautions </w:t>
      </w:r>
      <w:r w:rsidR="00C97F20">
        <w:t>the</w:t>
      </w:r>
      <w:r>
        <w:t xml:space="preserve"> Panel from introducing</w:t>
      </w:r>
      <w:r w:rsidR="006F0586">
        <w:t xml:space="preserve"> the “precautionary approach” </w:t>
      </w:r>
      <w:r w:rsidR="00650258">
        <w:t>into the interpretation of Article 2.2, or any other obligations under the</w:t>
      </w:r>
      <w:r w:rsidR="006F0586">
        <w:t xml:space="preserve"> TBT Agreement.</w:t>
      </w:r>
      <w:r w:rsidR="00A81D8E" w:rsidRPr="00A81D8E">
        <w:rPr>
          <w:rFonts w:cs="Arial"/>
        </w:rPr>
        <w:t xml:space="preserve"> </w:t>
      </w:r>
      <w:r w:rsidR="00420B5C">
        <w:rPr>
          <w:rFonts w:cs="Arial"/>
        </w:rPr>
        <w:t>The</w:t>
      </w:r>
      <w:r w:rsidR="000D2A46">
        <w:rPr>
          <w:rFonts w:cs="Arial"/>
        </w:rPr>
        <w:t xml:space="preserve">re is no textual support for this </w:t>
      </w:r>
      <w:r w:rsidR="00E449E2">
        <w:rPr>
          <w:rFonts w:cs="Arial"/>
        </w:rPr>
        <w:t>interpretation</w:t>
      </w:r>
      <w:r w:rsidR="000D2A46">
        <w:rPr>
          <w:rFonts w:cs="Arial"/>
        </w:rPr>
        <w:t xml:space="preserve"> within the TBT Agreement. Further,</w:t>
      </w:r>
      <w:r w:rsidR="00E449E2">
        <w:rPr>
          <w:rFonts w:cs="Arial"/>
        </w:rPr>
        <w:t xml:space="preserve"> </w:t>
      </w:r>
      <w:proofErr w:type="gramStart"/>
      <w:r>
        <w:rPr>
          <w:rFonts w:cs="Arial"/>
        </w:rPr>
        <w:t>appropriate</w:t>
      </w:r>
      <w:proofErr w:type="gramEnd"/>
      <w:r w:rsidR="00420B5C">
        <w:rPr>
          <w:rFonts w:cs="Arial"/>
        </w:rPr>
        <w:t xml:space="preserve"> and well-established</w:t>
      </w:r>
      <w:r>
        <w:rPr>
          <w:rFonts w:cs="Arial"/>
        </w:rPr>
        <w:t xml:space="preserve"> </w:t>
      </w:r>
      <w:r>
        <w:rPr>
          <w:rFonts w:cs="Arial"/>
        </w:rPr>
        <w:lastRenderedPageBreak/>
        <w:t xml:space="preserve">legal </w:t>
      </w:r>
      <w:r w:rsidR="00420B5C">
        <w:rPr>
          <w:rFonts w:cs="Arial"/>
        </w:rPr>
        <w:t xml:space="preserve">tests that have been developed by the Appellate Body should be applied. With regards to </w:t>
      </w:r>
      <w:r>
        <w:rPr>
          <w:rFonts w:cs="Arial"/>
        </w:rPr>
        <w:t xml:space="preserve">Article 2.2, </w:t>
      </w:r>
      <w:r w:rsidR="00420B5C">
        <w:t>‘contribution’ should be discerned from the</w:t>
      </w:r>
      <w:r w:rsidR="00420B5C" w:rsidRPr="00420B5C">
        <w:t xml:space="preserve"> </w:t>
      </w:r>
      <w:r w:rsidR="00420B5C">
        <w:t xml:space="preserve">design, structure, and operation of the technical regulation, evidence relating to the application of the measure, </w:t>
      </w:r>
      <w:r w:rsidR="00C41CFE">
        <w:t>as well as</w:t>
      </w:r>
      <w:r w:rsidR="00420B5C">
        <w:t xml:space="preserve"> </w:t>
      </w:r>
      <w:r w:rsidR="001B11A2">
        <w:t>any limitations in</w:t>
      </w:r>
      <w:r w:rsidR="00831815">
        <w:t xml:space="preserve"> the</w:t>
      </w:r>
      <w:r w:rsidR="001B11A2">
        <w:t xml:space="preserve"> evidenc</w:t>
      </w:r>
      <w:r w:rsidR="00831815">
        <w:t xml:space="preserve">e. </w:t>
      </w:r>
      <w:r w:rsidR="00C41CFE">
        <w:t>‘Contribution’</w:t>
      </w:r>
      <w:r w:rsidR="00831815">
        <w:t xml:space="preserve"> should not </w:t>
      </w:r>
      <w:r w:rsidR="00C97F20">
        <w:t xml:space="preserve">be </w:t>
      </w:r>
      <w:r w:rsidR="00C41CFE">
        <w:t>merely assumed or</w:t>
      </w:r>
      <w:r w:rsidR="00831815">
        <w:t xml:space="preserve"> ‘deemed’ to exist through the invocation of the “precautionary approach”. </w:t>
      </w:r>
      <w:r>
        <w:t xml:space="preserve">To do so would </w:t>
      </w:r>
      <w:r w:rsidR="00831815">
        <w:t>undermine</w:t>
      </w:r>
      <w:r w:rsidR="00420B5C">
        <w:t xml:space="preserve"> the</w:t>
      </w:r>
      <w:r>
        <w:t xml:space="preserve"> legal standard for </w:t>
      </w:r>
      <w:r w:rsidR="00831815">
        <w:t xml:space="preserve">key </w:t>
      </w:r>
      <w:r>
        <w:t>TBT obligations</w:t>
      </w:r>
      <w:r w:rsidR="00420B5C">
        <w:t xml:space="preserve"> </w:t>
      </w:r>
      <w:r w:rsidR="00831815">
        <w:t xml:space="preserve">and have systemic implications for the rights and obligations of every WTO Member. </w:t>
      </w:r>
    </w:p>
    <w:p w14:paraId="2A4CBBBE" w14:textId="77777777" w:rsidR="00EB3B70" w:rsidRDefault="00EB3B70" w:rsidP="009D726C">
      <w:pPr>
        <w:rPr>
          <w:b/>
        </w:rPr>
      </w:pPr>
    </w:p>
    <w:p w14:paraId="77974769" w14:textId="77777777" w:rsidR="00EB3B70" w:rsidRDefault="00EB3B70" w:rsidP="009D726C">
      <w:pPr>
        <w:rPr>
          <w:b/>
        </w:rPr>
      </w:pPr>
    </w:p>
    <w:p w14:paraId="39EF6D71" w14:textId="5CCB1FFE" w:rsidR="009D726C" w:rsidRPr="009D726C" w:rsidRDefault="009D726C" w:rsidP="009D726C">
      <w:pPr>
        <w:rPr>
          <w:b/>
        </w:rPr>
      </w:pPr>
      <w:r w:rsidRPr="00DD75E6">
        <w:rPr>
          <w:b/>
        </w:rPr>
        <w:t>Q</w:t>
      </w:r>
      <w:r>
        <w:rPr>
          <w:b/>
        </w:rPr>
        <w:t>7</w:t>
      </w:r>
      <w:r w:rsidRPr="00DD75E6">
        <w:rPr>
          <w:b/>
        </w:rPr>
        <w:t>.</w:t>
      </w:r>
      <w:r>
        <w:rPr>
          <w:b/>
        </w:rPr>
        <w:t xml:space="preserve"> Please comment on the statements by Canada, at paragraphs 27 to 32 of its oral statement, concerning the importance of maintaining distinct legal tests for Articles XX(a), (b) and (g) in the GATT 1994.</w:t>
      </w:r>
    </w:p>
    <w:p w14:paraId="5DA323B4" w14:textId="569D9DEF" w:rsidR="009D726C" w:rsidRDefault="009D726C" w:rsidP="009B6DBE">
      <w:pPr>
        <w:pStyle w:val="ListParagraph"/>
        <w:spacing w:line="312" w:lineRule="auto"/>
        <w:ind w:left="0" w:hanging="567"/>
        <w:contextualSpacing w:val="0"/>
      </w:pPr>
    </w:p>
    <w:p w14:paraId="3D57287E" w14:textId="7F84086D" w:rsidR="00D62351" w:rsidRPr="00D62351" w:rsidRDefault="007967EB" w:rsidP="009B6DBE">
      <w:pPr>
        <w:pStyle w:val="ListParagraph"/>
        <w:numPr>
          <w:ilvl w:val="0"/>
          <w:numId w:val="32"/>
        </w:numPr>
        <w:spacing w:line="312" w:lineRule="auto"/>
        <w:ind w:left="0" w:hanging="567"/>
        <w:contextualSpacing w:val="0"/>
      </w:pPr>
      <w:r>
        <w:t>Australia agrees with the statements by Canada that the tests that have been developed under each paragraph of Article XX of the GATT 1994 are distinct, are based on the different language used in each paragraph and require that different elements be proven.</w:t>
      </w:r>
      <w:r w:rsidR="00BD7375">
        <w:t xml:space="preserve"> </w:t>
      </w:r>
    </w:p>
    <w:p w14:paraId="0595FD7C" w14:textId="77777777" w:rsidR="00D62351" w:rsidRPr="00D62351" w:rsidRDefault="00D62351" w:rsidP="00D62351">
      <w:pPr>
        <w:pStyle w:val="ListParagraph"/>
        <w:spacing w:line="312" w:lineRule="auto"/>
        <w:ind w:left="0"/>
        <w:contextualSpacing w:val="0"/>
      </w:pPr>
    </w:p>
    <w:p w14:paraId="7AD0C8A5" w14:textId="7BC8D451" w:rsidR="007967EB" w:rsidRDefault="007967EB" w:rsidP="009B6DBE">
      <w:pPr>
        <w:pStyle w:val="ListParagraph"/>
        <w:numPr>
          <w:ilvl w:val="0"/>
          <w:numId w:val="32"/>
        </w:numPr>
        <w:spacing w:line="312" w:lineRule="auto"/>
        <w:ind w:left="0" w:hanging="567"/>
        <w:contextualSpacing w:val="0"/>
      </w:pPr>
      <w:r>
        <w:t>As outlined in Australia’s written submission, paragraphs (a) and (b) of Article XX require that the measures at issue are “necessary”. The Appellate Body has found in numerous cases that an analysis of ‘necessity’ in the context of Article XX involves a holistic weighing and balancing</w:t>
      </w:r>
      <w:r w:rsidR="001E0F71">
        <w:t xml:space="preserve"> of</w:t>
      </w:r>
      <w:r>
        <w:t xml:space="preserve"> a number of distinct factors, such as: the relative importance of the interests or values furthered by the challenged measure; the contribution of the measure to the objectives pursued by it; and the trade restrictiveness of the measure at issue.</w:t>
      </w:r>
      <w:r>
        <w:rPr>
          <w:rStyle w:val="FootnoteReference"/>
        </w:rPr>
        <w:footnoteReference w:id="9"/>
      </w:r>
      <w:r>
        <w:t xml:space="preserve"> Further, in most cases, a panel must then compare the challenged measure and possible alternative measures that achieve the same level of protection while being less trade restrictive.</w:t>
      </w:r>
      <w:r>
        <w:rPr>
          <w:rStyle w:val="FootnoteReference"/>
        </w:rPr>
        <w:footnoteReference w:id="10"/>
      </w:r>
    </w:p>
    <w:p w14:paraId="36AE6298" w14:textId="77777777" w:rsidR="007967EB" w:rsidRDefault="007967EB" w:rsidP="007967EB">
      <w:pPr>
        <w:pStyle w:val="ListParagraph"/>
      </w:pPr>
    </w:p>
    <w:p w14:paraId="1A633AA2" w14:textId="1FED60B2" w:rsidR="009B6DBE" w:rsidRDefault="00E46C71" w:rsidP="009B6DBE">
      <w:pPr>
        <w:pStyle w:val="ListParagraph"/>
        <w:numPr>
          <w:ilvl w:val="0"/>
          <w:numId w:val="32"/>
        </w:numPr>
        <w:spacing w:line="312" w:lineRule="auto"/>
        <w:ind w:left="0" w:hanging="567"/>
        <w:contextualSpacing w:val="0"/>
      </w:pPr>
      <w:r>
        <w:t xml:space="preserve">By contrast, the standard under paragraph (g) of Article XX, requires that the measures at issue ‘relate to’ the conservation of exhaustible natural resources. In </w:t>
      </w:r>
      <w:r w:rsidRPr="00761EC7">
        <w:rPr>
          <w:i/>
          <w:iCs/>
        </w:rPr>
        <w:t>China – Rare Earths</w:t>
      </w:r>
      <w:r>
        <w:t xml:space="preserve"> the Appellate Body held that this standard required “a close and genuine relationship of ends and means” between the measure at issue and the conservation objective.</w:t>
      </w:r>
      <w:r w:rsidR="00761EC7">
        <w:rPr>
          <w:rStyle w:val="FootnoteReference"/>
        </w:rPr>
        <w:footnoteReference w:id="11"/>
      </w:r>
      <w:r>
        <w:t xml:space="preserve"> In particular, it would not be sufficient for the GATT-inconsistent measure to be “merely incidentally or inadvertently aimed at a conservation objective”</w:t>
      </w:r>
      <w:r w:rsidR="00761EC7">
        <w:rPr>
          <w:rStyle w:val="FootnoteReference"/>
        </w:rPr>
        <w:footnoteReference w:id="12"/>
      </w:r>
      <w:r>
        <w:t xml:space="preserve">. The Appellate Body further highlighted that the absence of </w:t>
      </w:r>
      <w:r>
        <w:lastRenderedPageBreak/>
        <w:t>a domestic restriction, or the way in which a challenged measure applies to domestic production or consumption, could be relevant to the assessment of whether the challenged measure ‘relates to’ conservation</w:t>
      </w:r>
      <w:r w:rsidR="00B7681C">
        <w:t>.</w:t>
      </w:r>
      <w:r w:rsidR="00761EC7">
        <w:rPr>
          <w:rStyle w:val="FootnoteReference"/>
        </w:rPr>
        <w:footnoteReference w:id="13"/>
      </w:r>
    </w:p>
    <w:p w14:paraId="44337BFB" w14:textId="77777777" w:rsidR="00761EC7" w:rsidRDefault="00761EC7" w:rsidP="00761EC7">
      <w:pPr>
        <w:pStyle w:val="ListParagraph"/>
      </w:pPr>
    </w:p>
    <w:p w14:paraId="70A34FA6" w14:textId="26B2564C" w:rsidR="00761EC7" w:rsidRPr="00474FBF" w:rsidRDefault="00761EC7" w:rsidP="009B6DBE">
      <w:pPr>
        <w:pStyle w:val="ListParagraph"/>
        <w:numPr>
          <w:ilvl w:val="0"/>
          <w:numId w:val="32"/>
        </w:numPr>
        <w:spacing w:line="312" w:lineRule="auto"/>
        <w:ind w:left="0" w:hanging="567"/>
        <w:contextualSpacing w:val="0"/>
      </w:pPr>
      <w:r>
        <w:t>Accordingly, the different text used in Articles XX(a) and (b) (i</w:t>
      </w:r>
      <w:r w:rsidR="00E659AC">
        <w:t>.</w:t>
      </w:r>
      <w:r>
        <w:t>e. “necessary”) and Article XX(g) (“relating to”) sets considerably different legal standards. Reliance upon Articles XX(a) and (b) requires more than the mere establishment of a “close and genuine relationship of ends and means” between the measure at issue and the legitimate policy objectives. It requires the weighing and balancing of a range of factors, and often a comparison with less trade restrictive alternatives, to determine that the measure is actually “necessary”</w:t>
      </w:r>
      <w:r w:rsidR="006B28B7">
        <w:t xml:space="preserve"> to achieve that objective</w:t>
      </w:r>
      <w:r>
        <w:t xml:space="preserve">. In Australia’s view, the legal standards for “necessity” and “relates to” </w:t>
      </w:r>
      <w:r w:rsidR="00C97F20">
        <w:t xml:space="preserve">are distinct and </w:t>
      </w:r>
      <w:r>
        <w:t>should not be conflated.</w:t>
      </w:r>
    </w:p>
    <w:sectPr w:rsidR="00761EC7" w:rsidRPr="00474FBF" w:rsidSect="002570F3">
      <w:headerReference w:type="default" r:id="rId11"/>
      <w:footerReference w:type="default" r:id="rId12"/>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3368D" w14:textId="77777777" w:rsidR="003F7263" w:rsidRDefault="003F7263" w:rsidP="00692A7E">
      <w:r>
        <w:separator/>
      </w:r>
    </w:p>
  </w:endnote>
  <w:endnote w:type="continuationSeparator" w:id="0">
    <w:p w14:paraId="74E90A8F" w14:textId="77777777" w:rsidR="003F7263" w:rsidRDefault="003F7263" w:rsidP="0069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84331"/>
      <w:docPartObj>
        <w:docPartGallery w:val="Page Numbers (Bottom of Page)"/>
        <w:docPartUnique/>
      </w:docPartObj>
    </w:sdtPr>
    <w:sdtEndPr>
      <w:rPr>
        <w:noProof/>
      </w:rPr>
    </w:sdtEndPr>
    <w:sdtContent>
      <w:p w14:paraId="16EEF87B" w14:textId="77777777" w:rsidR="00A137B4" w:rsidRDefault="00A137B4">
        <w:pPr>
          <w:pStyle w:val="Footer"/>
          <w:jc w:val="right"/>
        </w:pPr>
        <w:r>
          <w:fldChar w:fldCharType="begin"/>
        </w:r>
        <w:r>
          <w:instrText xml:space="preserve"> PAGE   \* MERGEFORMAT </w:instrText>
        </w:r>
        <w:r>
          <w:fldChar w:fldCharType="separate"/>
        </w:r>
        <w:r w:rsidR="00324CE3">
          <w:rPr>
            <w:noProof/>
          </w:rPr>
          <w:t>2</w:t>
        </w:r>
        <w:r>
          <w:rPr>
            <w:noProof/>
          </w:rPr>
          <w:fldChar w:fldCharType="end"/>
        </w:r>
      </w:p>
    </w:sdtContent>
  </w:sdt>
  <w:p w14:paraId="68BF488B" w14:textId="77777777" w:rsidR="00A137B4" w:rsidRDefault="00A1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EF173" w14:textId="77777777" w:rsidR="003F7263" w:rsidRDefault="003F7263" w:rsidP="00692A7E">
      <w:r>
        <w:separator/>
      </w:r>
    </w:p>
  </w:footnote>
  <w:footnote w:type="continuationSeparator" w:id="0">
    <w:p w14:paraId="3DE917AA" w14:textId="77777777" w:rsidR="003F7263" w:rsidRDefault="003F7263" w:rsidP="00692A7E">
      <w:r>
        <w:continuationSeparator/>
      </w:r>
    </w:p>
  </w:footnote>
  <w:footnote w:id="1">
    <w:p w14:paraId="7F8BBB28" w14:textId="53399856" w:rsidR="00E41C4B" w:rsidRDefault="00E41C4B">
      <w:pPr>
        <w:pStyle w:val="FootnoteText"/>
      </w:pPr>
      <w:r>
        <w:rPr>
          <w:rStyle w:val="FootnoteReference"/>
        </w:rPr>
        <w:footnoteRef/>
      </w:r>
      <w:r>
        <w:t xml:space="preserve"> Article 11 of the Understanding on Rules and Procedures Governing the Settlement of Disputes.</w:t>
      </w:r>
    </w:p>
  </w:footnote>
  <w:footnote w:id="2">
    <w:p w14:paraId="7F508786" w14:textId="0B9B16A3" w:rsidR="00E41C4B" w:rsidRDefault="00E41C4B">
      <w:pPr>
        <w:pStyle w:val="FootnoteText"/>
      </w:pPr>
      <w:r>
        <w:rPr>
          <w:rStyle w:val="FootnoteReference"/>
        </w:rPr>
        <w:footnoteRef/>
      </w:r>
      <w:r>
        <w:t xml:space="preserve"> Panel Reports, </w:t>
      </w:r>
      <w:r w:rsidRPr="00E41C4B">
        <w:rPr>
          <w:i/>
          <w:iCs/>
        </w:rPr>
        <w:t>Australia – Tobacco Plain Packaging</w:t>
      </w:r>
      <w:r>
        <w:t>, para. 7.627.</w:t>
      </w:r>
    </w:p>
  </w:footnote>
  <w:footnote w:id="3">
    <w:p w14:paraId="1216433D" w14:textId="739E56A6" w:rsidR="00E41C4B" w:rsidRDefault="00E41C4B">
      <w:pPr>
        <w:pStyle w:val="FootnoteText"/>
      </w:pPr>
      <w:r>
        <w:rPr>
          <w:rStyle w:val="FootnoteReference"/>
        </w:rPr>
        <w:footnoteRef/>
      </w:r>
      <w:r>
        <w:t xml:space="preserve"> Panel Reports, </w:t>
      </w:r>
      <w:r w:rsidRPr="00E41C4B">
        <w:rPr>
          <w:i/>
          <w:iCs/>
        </w:rPr>
        <w:t>Australia – Tobacco Plain Packaging</w:t>
      </w:r>
      <w:r>
        <w:t>, para. 7.516.</w:t>
      </w:r>
    </w:p>
  </w:footnote>
  <w:footnote w:id="4">
    <w:p w14:paraId="55352E91" w14:textId="4F29047F" w:rsidR="00E41C4B" w:rsidRDefault="00E41C4B">
      <w:pPr>
        <w:pStyle w:val="FootnoteText"/>
      </w:pPr>
      <w:r>
        <w:rPr>
          <w:rStyle w:val="FootnoteReference"/>
        </w:rPr>
        <w:footnoteRef/>
      </w:r>
      <w:r>
        <w:t xml:space="preserve"> Panel Reports, </w:t>
      </w:r>
      <w:r w:rsidRPr="00E41C4B">
        <w:rPr>
          <w:i/>
          <w:iCs/>
        </w:rPr>
        <w:t>Australia – Tobacco Plain Packaging</w:t>
      </w:r>
      <w:r>
        <w:t>, paras 7.938 - 7.943.</w:t>
      </w:r>
    </w:p>
  </w:footnote>
  <w:footnote w:id="5">
    <w:p w14:paraId="7F2FCDF5" w14:textId="1D6A87FC" w:rsidR="008C41B1" w:rsidRDefault="008C41B1">
      <w:pPr>
        <w:pStyle w:val="FootnoteText"/>
      </w:pPr>
      <w:r>
        <w:rPr>
          <w:rStyle w:val="FootnoteReference"/>
        </w:rPr>
        <w:footnoteRef/>
      </w:r>
      <w:r>
        <w:t xml:space="preserve"> See e</w:t>
      </w:r>
      <w:r w:rsidR="00E659AC">
        <w:t>.</w:t>
      </w:r>
      <w:r>
        <w:t>g</w:t>
      </w:r>
      <w:r w:rsidR="00E659AC">
        <w:t>.,</w:t>
      </w:r>
      <w:r>
        <w:t xml:space="preserve"> Panel Reports, </w:t>
      </w:r>
      <w:r w:rsidRPr="008C41B1">
        <w:rPr>
          <w:i/>
          <w:iCs/>
        </w:rPr>
        <w:t>Australia – Tobacco Plain Packaging</w:t>
      </w:r>
      <w:r>
        <w:t xml:space="preserve">, para. 7.484 (quoting Appellate Body Reports, </w:t>
      </w:r>
      <w:r w:rsidRPr="008C41B1">
        <w:rPr>
          <w:i/>
          <w:iCs/>
        </w:rPr>
        <w:t>US – COOL (Article 21.5 – Canada and Mexico)</w:t>
      </w:r>
      <w:r>
        <w:t>, para. 5.210).</w:t>
      </w:r>
    </w:p>
  </w:footnote>
  <w:footnote w:id="6">
    <w:p w14:paraId="5112F489" w14:textId="6D05C4B9" w:rsidR="008C41B1" w:rsidRDefault="008C41B1">
      <w:pPr>
        <w:pStyle w:val="FootnoteText"/>
      </w:pPr>
      <w:r>
        <w:rPr>
          <w:rStyle w:val="FootnoteReference"/>
        </w:rPr>
        <w:footnoteRef/>
      </w:r>
      <w:r>
        <w:t xml:space="preserve"> Ibid.</w:t>
      </w:r>
    </w:p>
  </w:footnote>
  <w:footnote w:id="7">
    <w:p w14:paraId="1ADEB977" w14:textId="77777777" w:rsidR="000D2A46" w:rsidRDefault="000D2A46" w:rsidP="000D2A46">
      <w:pPr>
        <w:pStyle w:val="FootnoteText"/>
      </w:pPr>
      <w:r>
        <w:rPr>
          <w:rStyle w:val="FootnoteReference"/>
        </w:rPr>
        <w:footnoteRef/>
      </w:r>
      <w:r>
        <w:t xml:space="preserve"> Panel Reports, </w:t>
      </w:r>
      <w:r w:rsidRPr="006F0586">
        <w:rPr>
          <w:i/>
          <w:iCs/>
        </w:rPr>
        <w:t>Australia – Tobacco Plain Packaging</w:t>
      </w:r>
      <w:r>
        <w:t>, paras 7.938 - 7.943</w:t>
      </w:r>
    </w:p>
  </w:footnote>
  <w:footnote w:id="8">
    <w:p w14:paraId="326CAF8E" w14:textId="2166578C" w:rsidR="008C41B1" w:rsidRDefault="008C41B1">
      <w:pPr>
        <w:pStyle w:val="FootnoteText"/>
      </w:pPr>
      <w:r>
        <w:rPr>
          <w:rStyle w:val="FootnoteReference"/>
        </w:rPr>
        <w:footnoteRef/>
      </w:r>
      <w:r>
        <w:t xml:space="preserve"> Panel Reports, </w:t>
      </w:r>
      <w:r w:rsidRPr="006F0586">
        <w:rPr>
          <w:i/>
          <w:iCs/>
        </w:rPr>
        <w:t>Australia – Tobacco Plain Packaging</w:t>
      </w:r>
      <w:r>
        <w:t>, para. 7.483.</w:t>
      </w:r>
    </w:p>
  </w:footnote>
  <w:footnote w:id="9">
    <w:p w14:paraId="2F4388FC" w14:textId="47CD89E8" w:rsidR="007967EB" w:rsidRDefault="007967EB">
      <w:pPr>
        <w:pStyle w:val="FootnoteText"/>
      </w:pPr>
      <w:r>
        <w:rPr>
          <w:rStyle w:val="FootnoteReference"/>
        </w:rPr>
        <w:footnoteRef/>
      </w:r>
      <w:r>
        <w:t xml:space="preserve"> Appellate Body Report</w:t>
      </w:r>
      <w:r w:rsidRPr="007967EB">
        <w:rPr>
          <w:i/>
          <w:iCs/>
        </w:rPr>
        <w:t>, Brazil – Retreaded Tyres</w:t>
      </w:r>
      <w:r>
        <w:t xml:space="preserve">, para 178 - 182; Appellate Body Report, </w:t>
      </w:r>
      <w:r w:rsidRPr="007967EB">
        <w:rPr>
          <w:i/>
          <w:iCs/>
        </w:rPr>
        <w:t>US – Gambling</w:t>
      </w:r>
      <w:r>
        <w:t xml:space="preserve">, para. 307; Appellate Body Report, </w:t>
      </w:r>
      <w:r w:rsidRPr="007967EB">
        <w:rPr>
          <w:i/>
          <w:iCs/>
        </w:rPr>
        <w:t>Korea – Various Measures on Beef</w:t>
      </w:r>
      <w:r>
        <w:t xml:space="preserve">, para. 164; Appellate Body Report, </w:t>
      </w:r>
      <w:r w:rsidRPr="007967EB">
        <w:rPr>
          <w:i/>
          <w:iCs/>
        </w:rPr>
        <w:t>Colombia – Textiles</w:t>
      </w:r>
      <w:r>
        <w:t>, paras. 5.71-5.74.</w:t>
      </w:r>
    </w:p>
  </w:footnote>
  <w:footnote w:id="10">
    <w:p w14:paraId="4626AA83" w14:textId="68CD5B03" w:rsidR="007967EB" w:rsidRDefault="007967EB">
      <w:pPr>
        <w:pStyle w:val="FootnoteText"/>
      </w:pPr>
      <w:r>
        <w:rPr>
          <w:rStyle w:val="FootnoteReference"/>
        </w:rPr>
        <w:footnoteRef/>
      </w:r>
      <w:r>
        <w:t xml:space="preserve"> Ibid.</w:t>
      </w:r>
    </w:p>
  </w:footnote>
  <w:footnote w:id="11">
    <w:p w14:paraId="0E7B8541" w14:textId="2B01D527" w:rsidR="00761EC7" w:rsidRDefault="00761EC7">
      <w:pPr>
        <w:pStyle w:val="FootnoteText"/>
      </w:pPr>
      <w:r>
        <w:rPr>
          <w:rStyle w:val="FootnoteReference"/>
        </w:rPr>
        <w:footnoteRef/>
      </w:r>
      <w:r>
        <w:t xml:space="preserve"> Appellate Body Reports, </w:t>
      </w:r>
      <w:r w:rsidRPr="00761EC7">
        <w:rPr>
          <w:i/>
          <w:iCs/>
        </w:rPr>
        <w:t>China – Rare Earths</w:t>
      </w:r>
      <w:r>
        <w:t>, para. 5.90.</w:t>
      </w:r>
    </w:p>
  </w:footnote>
  <w:footnote w:id="12">
    <w:p w14:paraId="5DE29B08" w14:textId="556A1A5C" w:rsidR="00761EC7" w:rsidRDefault="00761EC7">
      <w:pPr>
        <w:pStyle w:val="FootnoteText"/>
      </w:pPr>
      <w:r>
        <w:rPr>
          <w:rStyle w:val="FootnoteReference"/>
        </w:rPr>
        <w:footnoteRef/>
      </w:r>
      <w:r>
        <w:t xml:space="preserve"> Ibid.</w:t>
      </w:r>
    </w:p>
  </w:footnote>
  <w:footnote w:id="13">
    <w:p w14:paraId="35DBC6BA" w14:textId="1AAAA7A0" w:rsidR="00761EC7" w:rsidRDefault="00761EC7">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5811E" w14:textId="2A0BE260" w:rsidR="009B6DBE" w:rsidRPr="009B6DBE" w:rsidRDefault="00A97998">
    <w:pPr>
      <w:pStyle w:val="Header"/>
      <w:rPr>
        <w:i/>
        <w:sz w:val="20"/>
        <w:szCs w:val="20"/>
      </w:rPr>
    </w:pPr>
    <w:r>
      <w:rPr>
        <w:i/>
        <w:sz w:val="20"/>
        <w:szCs w:val="20"/>
      </w:rPr>
      <w:t>E</w:t>
    </w:r>
    <w:r w:rsidR="007A65FD">
      <w:rPr>
        <w:i/>
        <w:sz w:val="20"/>
        <w:szCs w:val="20"/>
      </w:rPr>
      <w:t xml:space="preserve">uropean </w:t>
    </w:r>
    <w:r>
      <w:rPr>
        <w:i/>
        <w:sz w:val="20"/>
        <w:szCs w:val="20"/>
      </w:rPr>
      <w:t>U</w:t>
    </w:r>
    <w:r w:rsidR="007A65FD">
      <w:rPr>
        <w:i/>
        <w:sz w:val="20"/>
        <w:szCs w:val="20"/>
      </w:rPr>
      <w:t>nion</w:t>
    </w:r>
    <w:r w:rsidR="009B6DBE" w:rsidRPr="009B6DBE">
      <w:rPr>
        <w:i/>
        <w:sz w:val="20"/>
        <w:szCs w:val="20"/>
      </w:rPr>
      <w:t xml:space="preserve"> – </w:t>
    </w:r>
    <w:r w:rsidR="007A65FD">
      <w:rPr>
        <w:i/>
        <w:sz w:val="20"/>
        <w:szCs w:val="20"/>
      </w:rPr>
      <w:t xml:space="preserve">Certain Measures Concerning </w:t>
    </w:r>
    <w:r w:rsidR="007A65FD">
      <w:rPr>
        <w:i/>
        <w:sz w:val="20"/>
        <w:szCs w:val="20"/>
      </w:rPr>
      <w:tab/>
    </w:r>
    <w:r w:rsidR="007A65FD">
      <w:rPr>
        <w:i/>
        <w:sz w:val="20"/>
        <w:szCs w:val="20"/>
      </w:rPr>
      <w:tab/>
      <w:t xml:space="preserve">  </w:t>
    </w:r>
    <w:r w:rsidR="009D726C">
      <w:rPr>
        <w:i/>
        <w:sz w:val="20"/>
        <w:szCs w:val="20"/>
      </w:rPr>
      <w:t xml:space="preserve"> </w:t>
    </w:r>
    <w:r w:rsidR="009B6DBE">
      <w:rPr>
        <w:i/>
        <w:sz w:val="20"/>
        <w:szCs w:val="20"/>
      </w:rPr>
      <w:t xml:space="preserve">      </w:t>
    </w:r>
    <w:r w:rsidR="009B6DBE" w:rsidRPr="009B6DBE">
      <w:rPr>
        <w:i/>
        <w:sz w:val="20"/>
        <w:szCs w:val="20"/>
      </w:rPr>
      <w:t>Australia's Responses to Panel Questions</w:t>
    </w:r>
  </w:p>
  <w:p w14:paraId="2DB740E7" w14:textId="348B968F" w:rsidR="009B6DBE" w:rsidRDefault="007A65FD">
    <w:pPr>
      <w:pStyle w:val="Header"/>
      <w:rPr>
        <w:i/>
        <w:sz w:val="20"/>
        <w:szCs w:val="20"/>
      </w:rPr>
    </w:pPr>
    <w:r>
      <w:rPr>
        <w:i/>
        <w:sz w:val="20"/>
        <w:szCs w:val="20"/>
      </w:rPr>
      <w:t xml:space="preserve">Palm Oil and Oil Palm Crop-Based Biofuels </w:t>
    </w:r>
    <w:r w:rsidR="009B6DBE" w:rsidRPr="009B6DBE">
      <w:rPr>
        <w:i/>
        <w:sz w:val="20"/>
        <w:szCs w:val="20"/>
      </w:rPr>
      <w:t>(DS5</w:t>
    </w:r>
    <w:r w:rsidR="009D726C">
      <w:rPr>
        <w:i/>
        <w:sz w:val="20"/>
        <w:szCs w:val="20"/>
      </w:rPr>
      <w:t>93</w:t>
    </w:r>
    <w:r w:rsidR="009B6DBE" w:rsidRPr="009B6DBE">
      <w:rPr>
        <w:i/>
        <w:sz w:val="20"/>
        <w:szCs w:val="20"/>
      </w:rPr>
      <w:t xml:space="preserve">)             </w:t>
    </w:r>
    <w:r w:rsidR="009D726C">
      <w:rPr>
        <w:i/>
        <w:sz w:val="20"/>
        <w:szCs w:val="20"/>
      </w:rPr>
      <w:t xml:space="preserve">                              </w:t>
    </w:r>
    <w:r w:rsidR="009B6DBE">
      <w:rPr>
        <w:i/>
        <w:sz w:val="20"/>
        <w:szCs w:val="20"/>
      </w:rPr>
      <w:t xml:space="preserve">     </w:t>
    </w:r>
    <w:r w:rsidR="009B6DBE" w:rsidRPr="009B6DBE">
      <w:rPr>
        <w:i/>
        <w:sz w:val="20"/>
        <w:szCs w:val="20"/>
      </w:rPr>
      <w:t xml:space="preserve">          2</w:t>
    </w:r>
    <w:r w:rsidR="009D726C">
      <w:rPr>
        <w:i/>
        <w:sz w:val="20"/>
        <w:szCs w:val="20"/>
      </w:rPr>
      <w:t>7</w:t>
    </w:r>
    <w:r w:rsidR="009B6DBE" w:rsidRPr="009B6DBE">
      <w:rPr>
        <w:i/>
        <w:sz w:val="20"/>
        <w:szCs w:val="20"/>
      </w:rPr>
      <w:t xml:space="preserve"> </w:t>
    </w:r>
    <w:r w:rsidR="009D726C">
      <w:rPr>
        <w:i/>
        <w:sz w:val="20"/>
        <w:szCs w:val="20"/>
      </w:rPr>
      <w:t>Ma</w:t>
    </w:r>
    <w:r w:rsidR="009B6DBE" w:rsidRPr="009B6DBE">
      <w:rPr>
        <w:i/>
        <w:sz w:val="20"/>
        <w:szCs w:val="20"/>
      </w:rPr>
      <w:t>y 20</w:t>
    </w:r>
    <w:r w:rsidR="009D726C">
      <w:rPr>
        <w:i/>
        <w:sz w:val="20"/>
        <w:szCs w:val="20"/>
      </w:rPr>
      <w:t>21</w:t>
    </w:r>
  </w:p>
  <w:p w14:paraId="6A41B20F" w14:textId="77777777" w:rsidR="002570F3" w:rsidRDefault="002570F3">
    <w:pPr>
      <w:pStyle w:val="Header"/>
      <w:rPr>
        <w:i/>
        <w:sz w:val="20"/>
        <w:szCs w:val="20"/>
      </w:rPr>
    </w:pPr>
  </w:p>
  <w:p w14:paraId="7558E8F9" w14:textId="77777777" w:rsidR="002570F3" w:rsidRPr="009B6DBE" w:rsidRDefault="002570F3">
    <w:pPr>
      <w:pStyle w:val="Head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47065"/>
    <w:multiLevelType w:val="hybridMultilevel"/>
    <w:tmpl w:val="6712764A"/>
    <w:lvl w:ilvl="0" w:tplc="15AE2050">
      <w:start w:val="17"/>
      <w:numFmt w:val="decimal"/>
      <w:lvlText w:val="%1."/>
      <w:lvlJc w:val="left"/>
      <w:pPr>
        <w:tabs>
          <w:tab w:val="num" w:pos="360"/>
        </w:tabs>
        <w:ind w:left="360" w:hanging="360"/>
      </w:pPr>
      <w:rPr>
        <w:rFonts w:hint="default"/>
        <w:b w:val="0"/>
        <w:i w:val="0"/>
        <w:strike w:val="0"/>
        <w:d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73F3C"/>
    <w:multiLevelType w:val="hybridMultilevel"/>
    <w:tmpl w:val="23DC32D2"/>
    <w:lvl w:ilvl="0" w:tplc="F5CE7BA0">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0A5F1512"/>
    <w:multiLevelType w:val="multilevel"/>
    <w:tmpl w:val="7444E79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0AB57EF4"/>
    <w:multiLevelType w:val="hybridMultilevel"/>
    <w:tmpl w:val="95DEEC6A"/>
    <w:lvl w:ilvl="0" w:tplc="98101448">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542FF"/>
    <w:multiLevelType w:val="hybridMultilevel"/>
    <w:tmpl w:val="87D47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971B09"/>
    <w:multiLevelType w:val="hybridMultilevel"/>
    <w:tmpl w:val="B86EE9BC"/>
    <w:lvl w:ilvl="0" w:tplc="3E9AF3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A96168"/>
    <w:multiLevelType w:val="hybridMultilevel"/>
    <w:tmpl w:val="5BECF5DC"/>
    <w:lvl w:ilvl="0" w:tplc="EC6EB6C6">
      <w:start w:val="1"/>
      <w:numFmt w:val="decimal"/>
      <w:lvlText w:val="%1)"/>
      <w:lvlJc w:val="left"/>
      <w:pPr>
        <w:ind w:left="1356" w:hanging="360"/>
      </w:pPr>
      <w:rPr>
        <w:rFonts w:hint="default"/>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8" w15:restartNumberingAfterBreak="0">
    <w:nsid w:val="25030E9E"/>
    <w:multiLevelType w:val="hybridMultilevel"/>
    <w:tmpl w:val="B2B8D0EE"/>
    <w:lvl w:ilvl="0" w:tplc="A32AFD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097C1D"/>
    <w:multiLevelType w:val="hybridMultilevel"/>
    <w:tmpl w:val="F45ADE0E"/>
    <w:lvl w:ilvl="0" w:tplc="06AC4EF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AF1A6B"/>
    <w:multiLevelType w:val="hybridMultilevel"/>
    <w:tmpl w:val="8E642F4E"/>
    <w:lvl w:ilvl="0" w:tplc="324AB580">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2FBA2CE2"/>
    <w:multiLevelType w:val="hybridMultilevel"/>
    <w:tmpl w:val="A5EAB2B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2C900D8"/>
    <w:multiLevelType w:val="multilevel"/>
    <w:tmpl w:val="C81C5874"/>
    <w:lvl w:ilvl="0">
      <w:start w:val="1"/>
      <w:numFmt w:val="upperRoman"/>
      <w:lvlText w:val="%1."/>
      <w:lvlJc w:val="left"/>
      <w:pPr>
        <w:tabs>
          <w:tab w:val="num" w:pos="720"/>
        </w:tabs>
        <w:ind w:left="0" w:firstLine="0"/>
      </w:pPr>
    </w:lvl>
    <w:lvl w:ilvl="1">
      <w:start w:val="1"/>
      <w:numFmt w:val="upperLetter"/>
      <w:pStyle w:val="Heading2"/>
      <w:lvlText w:val="%2."/>
      <w:lvlJc w:val="left"/>
      <w:pPr>
        <w:tabs>
          <w:tab w:val="num" w:pos="786"/>
        </w:tabs>
        <w:ind w:left="426" w:firstLine="0"/>
      </w:pPr>
    </w:lvl>
    <w:lvl w:ilvl="2">
      <w:start w:val="1"/>
      <w:numFmt w:val="decimal"/>
      <w:pStyle w:val="Heading3"/>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pStyle w:val="Heading5"/>
      <w:lvlText w:val="(%5)"/>
      <w:lvlJc w:val="left"/>
      <w:pPr>
        <w:tabs>
          <w:tab w:val="num" w:pos="720"/>
        </w:tabs>
        <w:ind w:left="0" w:firstLine="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pStyle w:val="BodyText4"/>
      <w:lvlText w:val="-"/>
      <w:lvlJc w:val="left"/>
      <w:pPr>
        <w:tabs>
          <w:tab w:val="num" w:pos="2104"/>
        </w:tabs>
        <w:ind w:left="2104" w:hanging="664"/>
      </w:pPr>
    </w:lvl>
  </w:abstractNum>
  <w:abstractNum w:abstractNumId="13" w15:restartNumberingAfterBreak="0">
    <w:nsid w:val="38F66D48"/>
    <w:multiLevelType w:val="multilevel"/>
    <w:tmpl w:val="69D694E2"/>
    <w:lvl w:ilvl="0">
      <w:start w:val="1"/>
      <w:numFmt w:val="upperRoman"/>
      <w:lvlText w:val="%1."/>
      <w:lvlJc w:val="left"/>
      <w:pPr>
        <w:tabs>
          <w:tab w:val="num" w:pos="720"/>
        </w:tabs>
        <w:ind w:left="0" w:firstLine="0"/>
      </w:pPr>
    </w:lvl>
    <w:lvl w:ilvl="1">
      <w:start w:val="1"/>
      <w:numFmt w:val="upperLetter"/>
      <w:lvlText w:val="%2."/>
      <w:lvlJc w:val="left"/>
      <w:pPr>
        <w:tabs>
          <w:tab w:val="num" w:pos="786"/>
        </w:tabs>
        <w:ind w:left="426" w:firstLine="0"/>
      </w:pPr>
    </w:lvl>
    <w:lvl w:ilvl="2">
      <w:start w:val="1"/>
      <w:numFmt w:val="decimal"/>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lowerRoman"/>
      <w:lvlText w:val="%9."/>
      <w:lvlJc w:val="right"/>
      <w:pPr>
        <w:tabs>
          <w:tab w:val="num" w:pos="2104"/>
        </w:tabs>
        <w:ind w:left="2104" w:hanging="664"/>
      </w:pPr>
    </w:lvl>
  </w:abstractNum>
  <w:abstractNum w:abstractNumId="14" w15:restartNumberingAfterBreak="0">
    <w:nsid w:val="3A9E0F1F"/>
    <w:multiLevelType w:val="hybridMultilevel"/>
    <w:tmpl w:val="B3F08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D9162B"/>
    <w:multiLevelType w:val="hybridMultilevel"/>
    <w:tmpl w:val="A5EAB2B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340302A"/>
    <w:multiLevelType w:val="multilevel"/>
    <w:tmpl w:val="0F0A434E"/>
    <w:lvl w:ilvl="0">
      <w:start w:val="1"/>
      <w:numFmt w:val="decimal"/>
      <w:lvlText w:val="%1."/>
      <w:lvlJc w:val="left"/>
      <w:pPr>
        <w:tabs>
          <w:tab w:val="num" w:pos="720"/>
        </w:tabs>
        <w:ind w:left="0" w:firstLine="0"/>
      </w:pPr>
    </w:lvl>
    <w:lvl w:ilvl="1">
      <w:start w:val="1"/>
      <w:numFmt w:val="upperLetter"/>
      <w:lvlText w:val="%2."/>
      <w:lvlJc w:val="left"/>
      <w:pPr>
        <w:tabs>
          <w:tab w:val="num" w:pos="786"/>
        </w:tabs>
        <w:ind w:left="426" w:firstLine="0"/>
      </w:pPr>
    </w:lvl>
    <w:lvl w:ilvl="2">
      <w:start w:val="1"/>
      <w:numFmt w:val="decimal"/>
      <w:lvlText w:val="%3."/>
      <w:lvlJc w:val="left"/>
      <w:pPr>
        <w:tabs>
          <w:tab w:val="num" w:pos="786"/>
        </w:tabs>
        <w:ind w:left="426"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Restart w:val="0"/>
      <w:lvlText w:val="%6."/>
      <w:lvlJc w:val="left"/>
      <w:pPr>
        <w:tabs>
          <w:tab w:val="num" w:pos="360"/>
        </w:tabs>
        <w:ind w:left="0" w:firstLine="0"/>
      </w:pPr>
    </w:lvl>
    <w:lvl w:ilvl="6">
      <w:start w:val="1"/>
      <w:numFmt w:val="lowerLetter"/>
      <w:lvlText w:val="(%7)"/>
      <w:lvlJc w:val="left"/>
      <w:pPr>
        <w:tabs>
          <w:tab w:val="num" w:pos="1440"/>
        </w:tabs>
        <w:ind w:left="1440" w:hanging="720"/>
      </w:pPr>
    </w:lvl>
    <w:lvl w:ilvl="7">
      <w:start w:val="1"/>
      <w:numFmt w:val="lowerRoman"/>
      <w:lvlText w:val="(%8)"/>
      <w:lvlJc w:val="left"/>
      <w:pPr>
        <w:tabs>
          <w:tab w:val="num" w:pos="1440"/>
        </w:tabs>
        <w:ind w:left="1440" w:hanging="720"/>
      </w:pPr>
    </w:lvl>
    <w:lvl w:ilvl="8">
      <w:start w:val="1"/>
      <w:numFmt w:val="none"/>
      <w:lvlText w:val="-"/>
      <w:lvlJc w:val="left"/>
      <w:pPr>
        <w:tabs>
          <w:tab w:val="num" w:pos="2104"/>
        </w:tabs>
        <w:ind w:left="2104" w:hanging="664"/>
      </w:pPr>
    </w:lvl>
  </w:abstractNum>
  <w:abstractNum w:abstractNumId="17" w15:restartNumberingAfterBreak="0">
    <w:nsid w:val="559752ED"/>
    <w:multiLevelType w:val="hybridMultilevel"/>
    <w:tmpl w:val="1EBA0D4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DE02BCC"/>
    <w:multiLevelType w:val="hybridMultilevel"/>
    <w:tmpl w:val="D3E6B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3D526BA"/>
    <w:multiLevelType w:val="multilevel"/>
    <w:tmpl w:val="DDB4DFBC"/>
    <w:lvl w:ilvl="0">
      <w:start w:val="1"/>
      <w:numFmt w:val="decimal"/>
      <w:pStyle w:val="SummaryText"/>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4BD6090"/>
    <w:multiLevelType w:val="hybridMultilevel"/>
    <w:tmpl w:val="4F7229C0"/>
    <w:lvl w:ilvl="0" w:tplc="F1CCDB0E">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7EAB3592"/>
    <w:multiLevelType w:val="hybridMultilevel"/>
    <w:tmpl w:val="0276DF26"/>
    <w:lvl w:ilvl="0" w:tplc="72583E5E">
      <w:start w:val="1"/>
      <w:numFmt w:val="decimal"/>
      <w:lvlText w:val="%1."/>
      <w:lvlJc w:val="left"/>
      <w:pPr>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15"/>
  </w:num>
  <w:num w:numId="5">
    <w:abstractNumId w:val="1"/>
  </w:num>
  <w:num w:numId="6">
    <w:abstractNumId w:val="12"/>
  </w:num>
  <w:num w:numId="7">
    <w:abstractNumId w:val="0"/>
  </w:num>
  <w:num w:numId="8">
    <w:abstractNumId w:val="19"/>
  </w:num>
  <w:num w:numId="9">
    <w:abstractNumId w:val="13"/>
  </w:num>
  <w:num w:numId="10">
    <w:abstractNumId w:val="16"/>
  </w:num>
  <w:num w:numId="11">
    <w:abstractNumId w:val="6"/>
  </w:num>
  <w:num w:numId="12">
    <w:abstractNumId w:val="14"/>
  </w:num>
  <w:num w:numId="13">
    <w:abstractNumId w:val="5"/>
  </w:num>
  <w:num w:numId="14">
    <w:abstractNumId w:val="4"/>
  </w:num>
  <w:num w:numId="15">
    <w:abstractNumId w:val="9"/>
  </w:num>
  <w:num w:numId="16">
    <w:abstractNumId w:val="19"/>
  </w:num>
  <w:num w:numId="17">
    <w:abstractNumId w:val="19"/>
  </w:num>
  <w:num w:numId="18">
    <w:abstractNumId w:val="19"/>
  </w:num>
  <w:num w:numId="19">
    <w:abstractNumId w:val="17"/>
  </w:num>
  <w:num w:numId="20">
    <w:abstractNumId w:val="19"/>
  </w:num>
  <w:num w:numId="21">
    <w:abstractNumId w:val="19"/>
  </w:num>
  <w:num w:numId="22">
    <w:abstractNumId w:val="18"/>
  </w:num>
  <w:num w:numId="23">
    <w:abstractNumId w:val="19"/>
  </w:num>
  <w:num w:numId="24">
    <w:abstractNumId w:val="7"/>
  </w:num>
  <w:num w:numId="25">
    <w:abstractNumId w:val="20"/>
  </w:num>
  <w:num w:numId="26">
    <w:abstractNumId w:val="2"/>
  </w:num>
  <w:num w:numId="27">
    <w:abstractNumId w:val="19"/>
  </w:num>
  <w:num w:numId="28">
    <w:abstractNumId w:val="19"/>
  </w:num>
  <w:num w:numId="29">
    <w:abstractNumId w:val="10"/>
  </w:num>
  <w:num w:numId="30">
    <w:abstractNumId w:val="19"/>
  </w:num>
  <w:num w:numId="31">
    <w:abstractNumId w:val="19"/>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GB" w:vendorID="64" w:dllVersion="6" w:nlCheck="1" w:checkStyle="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65"/>
    <w:rsid w:val="000023D6"/>
    <w:rsid w:val="00004C8F"/>
    <w:rsid w:val="00006D4A"/>
    <w:rsid w:val="00013CF7"/>
    <w:rsid w:val="00031B44"/>
    <w:rsid w:val="00035280"/>
    <w:rsid w:val="00041743"/>
    <w:rsid w:val="00042A20"/>
    <w:rsid w:val="00057416"/>
    <w:rsid w:val="000642F3"/>
    <w:rsid w:val="000666E4"/>
    <w:rsid w:val="0006767D"/>
    <w:rsid w:val="000868D2"/>
    <w:rsid w:val="00090457"/>
    <w:rsid w:val="00091B2E"/>
    <w:rsid w:val="000A195B"/>
    <w:rsid w:val="000B7765"/>
    <w:rsid w:val="000D2A46"/>
    <w:rsid w:val="000E62AB"/>
    <w:rsid w:val="000E7AD0"/>
    <w:rsid w:val="000F06A1"/>
    <w:rsid w:val="000F176D"/>
    <w:rsid w:val="000F2E6C"/>
    <w:rsid w:val="000F5CB5"/>
    <w:rsid w:val="00116022"/>
    <w:rsid w:val="00120765"/>
    <w:rsid w:val="00127568"/>
    <w:rsid w:val="00133732"/>
    <w:rsid w:val="001360E4"/>
    <w:rsid w:val="00143A3D"/>
    <w:rsid w:val="0016537C"/>
    <w:rsid w:val="0017419F"/>
    <w:rsid w:val="00176F24"/>
    <w:rsid w:val="00177950"/>
    <w:rsid w:val="001820EE"/>
    <w:rsid w:val="0019661A"/>
    <w:rsid w:val="001A1A59"/>
    <w:rsid w:val="001A6EB8"/>
    <w:rsid w:val="001B05F8"/>
    <w:rsid w:val="001B11A2"/>
    <w:rsid w:val="001C24C1"/>
    <w:rsid w:val="001E0F71"/>
    <w:rsid w:val="00200BF5"/>
    <w:rsid w:val="00206856"/>
    <w:rsid w:val="00217636"/>
    <w:rsid w:val="00220A72"/>
    <w:rsid w:val="00226CA3"/>
    <w:rsid w:val="0024166C"/>
    <w:rsid w:val="00241736"/>
    <w:rsid w:val="002534F0"/>
    <w:rsid w:val="002570F3"/>
    <w:rsid w:val="0026740C"/>
    <w:rsid w:val="00272D19"/>
    <w:rsid w:val="002822B6"/>
    <w:rsid w:val="00291C0A"/>
    <w:rsid w:val="002B0FD7"/>
    <w:rsid w:val="002B5670"/>
    <w:rsid w:val="002C5E95"/>
    <w:rsid w:val="002D3C68"/>
    <w:rsid w:val="002E1996"/>
    <w:rsid w:val="002E48EE"/>
    <w:rsid w:val="003103DA"/>
    <w:rsid w:val="0031744C"/>
    <w:rsid w:val="00324CE3"/>
    <w:rsid w:val="00325D08"/>
    <w:rsid w:val="003317A0"/>
    <w:rsid w:val="0033762C"/>
    <w:rsid w:val="0034292B"/>
    <w:rsid w:val="00344A74"/>
    <w:rsid w:val="00360F34"/>
    <w:rsid w:val="00362313"/>
    <w:rsid w:val="00385016"/>
    <w:rsid w:val="00390F0B"/>
    <w:rsid w:val="00392474"/>
    <w:rsid w:val="0039512E"/>
    <w:rsid w:val="00395AA0"/>
    <w:rsid w:val="003B5829"/>
    <w:rsid w:val="003C2C51"/>
    <w:rsid w:val="003C7289"/>
    <w:rsid w:val="003D14DF"/>
    <w:rsid w:val="003F7263"/>
    <w:rsid w:val="00403A61"/>
    <w:rsid w:val="00420B5C"/>
    <w:rsid w:val="00420F59"/>
    <w:rsid w:val="004213DA"/>
    <w:rsid w:val="004330DA"/>
    <w:rsid w:val="00466E62"/>
    <w:rsid w:val="0047352C"/>
    <w:rsid w:val="00477E7B"/>
    <w:rsid w:val="004871B2"/>
    <w:rsid w:val="00494DF9"/>
    <w:rsid w:val="004A2DB0"/>
    <w:rsid w:val="004A631A"/>
    <w:rsid w:val="004A6D92"/>
    <w:rsid w:val="004B10BD"/>
    <w:rsid w:val="004B5287"/>
    <w:rsid w:val="004F121D"/>
    <w:rsid w:val="004F2A07"/>
    <w:rsid w:val="00536998"/>
    <w:rsid w:val="005470EA"/>
    <w:rsid w:val="00550972"/>
    <w:rsid w:val="0055307F"/>
    <w:rsid w:val="00556DFA"/>
    <w:rsid w:val="00577EB3"/>
    <w:rsid w:val="005B1B9B"/>
    <w:rsid w:val="005C02DB"/>
    <w:rsid w:val="005C3D38"/>
    <w:rsid w:val="005C6751"/>
    <w:rsid w:val="005D7822"/>
    <w:rsid w:val="005D788D"/>
    <w:rsid w:val="005E5B68"/>
    <w:rsid w:val="005E6678"/>
    <w:rsid w:val="005E7810"/>
    <w:rsid w:val="005F1A59"/>
    <w:rsid w:val="00601888"/>
    <w:rsid w:val="006022E1"/>
    <w:rsid w:val="00613FB7"/>
    <w:rsid w:val="00614E2E"/>
    <w:rsid w:val="00616063"/>
    <w:rsid w:val="006405C0"/>
    <w:rsid w:val="00650258"/>
    <w:rsid w:val="006526BE"/>
    <w:rsid w:val="00652B54"/>
    <w:rsid w:val="00656D99"/>
    <w:rsid w:val="006626F9"/>
    <w:rsid w:val="006705CB"/>
    <w:rsid w:val="006820EE"/>
    <w:rsid w:val="00692A7E"/>
    <w:rsid w:val="006A55E0"/>
    <w:rsid w:val="006B1F7C"/>
    <w:rsid w:val="006B28B7"/>
    <w:rsid w:val="006B651B"/>
    <w:rsid w:val="006B6DBC"/>
    <w:rsid w:val="006C152D"/>
    <w:rsid w:val="006C1943"/>
    <w:rsid w:val="006D42D2"/>
    <w:rsid w:val="006F0586"/>
    <w:rsid w:val="006F2381"/>
    <w:rsid w:val="006F3170"/>
    <w:rsid w:val="006F7904"/>
    <w:rsid w:val="00703B6E"/>
    <w:rsid w:val="007129DD"/>
    <w:rsid w:val="0071545A"/>
    <w:rsid w:val="00720D4B"/>
    <w:rsid w:val="0074409A"/>
    <w:rsid w:val="00747607"/>
    <w:rsid w:val="00755992"/>
    <w:rsid w:val="007607ED"/>
    <w:rsid w:val="00760F2A"/>
    <w:rsid w:val="00761EC7"/>
    <w:rsid w:val="0077159B"/>
    <w:rsid w:val="0079321A"/>
    <w:rsid w:val="007967EB"/>
    <w:rsid w:val="00797D34"/>
    <w:rsid w:val="007A65FD"/>
    <w:rsid w:val="007B783A"/>
    <w:rsid w:val="007D2B64"/>
    <w:rsid w:val="007E53F0"/>
    <w:rsid w:val="007F1D5B"/>
    <w:rsid w:val="007F5ADA"/>
    <w:rsid w:val="0080273C"/>
    <w:rsid w:val="008129B2"/>
    <w:rsid w:val="00817F36"/>
    <w:rsid w:val="00824BFB"/>
    <w:rsid w:val="00830361"/>
    <w:rsid w:val="00831815"/>
    <w:rsid w:val="00831FF9"/>
    <w:rsid w:val="008361A5"/>
    <w:rsid w:val="00840073"/>
    <w:rsid w:val="0084263D"/>
    <w:rsid w:val="00851397"/>
    <w:rsid w:val="008532E8"/>
    <w:rsid w:val="008552DA"/>
    <w:rsid w:val="00867168"/>
    <w:rsid w:val="008732F9"/>
    <w:rsid w:val="00880BCA"/>
    <w:rsid w:val="0089649C"/>
    <w:rsid w:val="00897C0A"/>
    <w:rsid w:val="008A1AA0"/>
    <w:rsid w:val="008A3F31"/>
    <w:rsid w:val="008C41B1"/>
    <w:rsid w:val="008E0806"/>
    <w:rsid w:val="008E5B6B"/>
    <w:rsid w:val="008E69FA"/>
    <w:rsid w:val="008F047C"/>
    <w:rsid w:val="0091164D"/>
    <w:rsid w:val="00911D03"/>
    <w:rsid w:val="00913F38"/>
    <w:rsid w:val="00952ED4"/>
    <w:rsid w:val="00957504"/>
    <w:rsid w:val="00961129"/>
    <w:rsid w:val="0097096B"/>
    <w:rsid w:val="00971425"/>
    <w:rsid w:val="009749B4"/>
    <w:rsid w:val="00983E53"/>
    <w:rsid w:val="009B6DBE"/>
    <w:rsid w:val="009B71DF"/>
    <w:rsid w:val="009D726C"/>
    <w:rsid w:val="009E7970"/>
    <w:rsid w:val="00A01F46"/>
    <w:rsid w:val="00A137B4"/>
    <w:rsid w:val="00A14383"/>
    <w:rsid w:val="00A32D41"/>
    <w:rsid w:val="00A420BC"/>
    <w:rsid w:val="00A4638D"/>
    <w:rsid w:val="00A5094A"/>
    <w:rsid w:val="00A5355E"/>
    <w:rsid w:val="00A55CE6"/>
    <w:rsid w:val="00A63BFB"/>
    <w:rsid w:val="00A64F28"/>
    <w:rsid w:val="00A714C4"/>
    <w:rsid w:val="00A81D8E"/>
    <w:rsid w:val="00A96DC4"/>
    <w:rsid w:val="00A97998"/>
    <w:rsid w:val="00A97EE1"/>
    <w:rsid w:val="00AA632F"/>
    <w:rsid w:val="00AB4FF2"/>
    <w:rsid w:val="00AE298A"/>
    <w:rsid w:val="00AE5EB9"/>
    <w:rsid w:val="00B00A76"/>
    <w:rsid w:val="00B15969"/>
    <w:rsid w:val="00B22461"/>
    <w:rsid w:val="00B32A1A"/>
    <w:rsid w:val="00B364AA"/>
    <w:rsid w:val="00B369C6"/>
    <w:rsid w:val="00B43F57"/>
    <w:rsid w:val="00B51BFC"/>
    <w:rsid w:val="00B62778"/>
    <w:rsid w:val="00B7681C"/>
    <w:rsid w:val="00B93692"/>
    <w:rsid w:val="00B97C72"/>
    <w:rsid w:val="00BA096B"/>
    <w:rsid w:val="00BD7375"/>
    <w:rsid w:val="00BE5E5B"/>
    <w:rsid w:val="00BF0641"/>
    <w:rsid w:val="00BF1F6C"/>
    <w:rsid w:val="00BF41DE"/>
    <w:rsid w:val="00C034A3"/>
    <w:rsid w:val="00C17DEB"/>
    <w:rsid w:val="00C26905"/>
    <w:rsid w:val="00C272F1"/>
    <w:rsid w:val="00C41CFE"/>
    <w:rsid w:val="00C42ED7"/>
    <w:rsid w:val="00C451D6"/>
    <w:rsid w:val="00C52D97"/>
    <w:rsid w:val="00C5592D"/>
    <w:rsid w:val="00C63A5F"/>
    <w:rsid w:val="00C810E6"/>
    <w:rsid w:val="00C97F20"/>
    <w:rsid w:val="00CB3997"/>
    <w:rsid w:val="00CB4E6F"/>
    <w:rsid w:val="00CB6778"/>
    <w:rsid w:val="00D018BC"/>
    <w:rsid w:val="00D0306A"/>
    <w:rsid w:val="00D03DA8"/>
    <w:rsid w:val="00D0518C"/>
    <w:rsid w:val="00D06462"/>
    <w:rsid w:val="00D20180"/>
    <w:rsid w:val="00D23D29"/>
    <w:rsid w:val="00D26BEF"/>
    <w:rsid w:val="00D5518A"/>
    <w:rsid w:val="00D62351"/>
    <w:rsid w:val="00D64185"/>
    <w:rsid w:val="00D72A49"/>
    <w:rsid w:val="00DA3E3C"/>
    <w:rsid w:val="00DC35D2"/>
    <w:rsid w:val="00DC58D1"/>
    <w:rsid w:val="00E03FE1"/>
    <w:rsid w:val="00E24559"/>
    <w:rsid w:val="00E41C4B"/>
    <w:rsid w:val="00E449E2"/>
    <w:rsid w:val="00E46C71"/>
    <w:rsid w:val="00E516DE"/>
    <w:rsid w:val="00E548EC"/>
    <w:rsid w:val="00E54BBD"/>
    <w:rsid w:val="00E570E3"/>
    <w:rsid w:val="00E6345E"/>
    <w:rsid w:val="00E659AC"/>
    <w:rsid w:val="00E74513"/>
    <w:rsid w:val="00E817CA"/>
    <w:rsid w:val="00E913A2"/>
    <w:rsid w:val="00E922F8"/>
    <w:rsid w:val="00EB3B70"/>
    <w:rsid w:val="00EC0CC7"/>
    <w:rsid w:val="00EC7B79"/>
    <w:rsid w:val="00ED4763"/>
    <w:rsid w:val="00ED4C38"/>
    <w:rsid w:val="00ED4E8A"/>
    <w:rsid w:val="00EF6AD5"/>
    <w:rsid w:val="00F05144"/>
    <w:rsid w:val="00F1592E"/>
    <w:rsid w:val="00F20826"/>
    <w:rsid w:val="00F20A25"/>
    <w:rsid w:val="00F3093F"/>
    <w:rsid w:val="00F46D07"/>
    <w:rsid w:val="00F50E71"/>
    <w:rsid w:val="00F6211A"/>
    <w:rsid w:val="00FA3C3D"/>
    <w:rsid w:val="00FB5B0A"/>
    <w:rsid w:val="00FB67F3"/>
    <w:rsid w:val="00FB73A3"/>
    <w:rsid w:val="00FE6816"/>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D2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65"/>
    <w:rPr>
      <w:sz w:val="24"/>
      <w:szCs w:val="24"/>
      <w:lang w:eastAsia="en-US"/>
    </w:rPr>
  </w:style>
  <w:style w:type="paragraph" w:styleId="Heading1">
    <w:name w:val="heading 1"/>
    <w:basedOn w:val="Normal"/>
    <w:next w:val="Heading2"/>
    <w:link w:val="Heading1Char"/>
    <w:qFormat/>
    <w:rsid w:val="00692A7E"/>
    <w:pPr>
      <w:keepNext/>
      <w:spacing w:after="240"/>
      <w:jc w:val="both"/>
      <w:outlineLvl w:val="0"/>
    </w:pPr>
    <w:rPr>
      <w:b/>
      <w:caps/>
      <w:sz w:val="22"/>
      <w:szCs w:val="20"/>
      <w:lang w:val="en-GB"/>
    </w:rPr>
  </w:style>
  <w:style w:type="paragraph" w:styleId="Heading2">
    <w:name w:val="heading 2"/>
    <w:basedOn w:val="Normal"/>
    <w:next w:val="Heading3"/>
    <w:link w:val="Heading2Char"/>
    <w:qFormat/>
    <w:rsid w:val="00692A7E"/>
    <w:pPr>
      <w:keepNext/>
      <w:numPr>
        <w:ilvl w:val="1"/>
        <w:numId w:val="1"/>
      </w:numPr>
      <w:tabs>
        <w:tab w:val="clear" w:pos="786"/>
        <w:tab w:val="num" w:pos="360"/>
      </w:tabs>
      <w:spacing w:after="240"/>
      <w:ind w:left="0"/>
      <w:jc w:val="both"/>
      <w:outlineLvl w:val="1"/>
    </w:pPr>
    <w:rPr>
      <w:b/>
      <w:smallCaps/>
      <w:sz w:val="22"/>
      <w:szCs w:val="20"/>
      <w:lang w:val="en-GB"/>
    </w:rPr>
  </w:style>
  <w:style w:type="paragraph" w:styleId="Heading3">
    <w:name w:val="heading 3"/>
    <w:basedOn w:val="Normal"/>
    <w:next w:val="Heading4"/>
    <w:link w:val="Heading3Char"/>
    <w:qFormat/>
    <w:rsid w:val="00692A7E"/>
    <w:pPr>
      <w:keepNext/>
      <w:numPr>
        <w:ilvl w:val="2"/>
        <w:numId w:val="1"/>
      </w:numPr>
      <w:spacing w:after="240"/>
      <w:jc w:val="both"/>
      <w:outlineLvl w:val="2"/>
    </w:pPr>
    <w:rPr>
      <w:b/>
      <w:sz w:val="22"/>
      <w:szCs w:val="20"/>
      <w:lang w:val="en-GB"/>
    </w:rPr>
  </w:style>
  <w:style w:type="paragraph" w:styleId="Heading4">
    <w:name w:val="heading 4"/>
    <w:basedOn w:val="Normal"/>
    <w:next w:val="Normal"/>
    <w:link w:val="Heading4Char"/>
    <w:semiHidden/>
    <w:unhideWhenUsed/>
    <w:qFormat/>
    <w:rsid w:val="00692A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qFormat/>
    <w:rsid w:val="00692A7E"/>
    <w:pPr>
      <w:numPr>
        <w:ilvl w:val="4"/>
        <w:numId w:val="1"/>
      </w:numPr>
      <w:spacing w:after="240"/>
      <w:jc w:val="both"/>
      <w:outlineLvl w:val="4"/>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A7E"/>
    <w:rPr>
      <w:b/>
      <w:caps/>
      <w:sz w:val="22"/>
      <w:lang w:val="en-GB" w:eastAsia="en-US"/>
    </w:rPr>
  </w:style>
  <w:style w:type="character" w:customStyle="1" w:styleId="Heading2Char">
    <w:name w:val="Heading 2 Char"/>
    <w:basedOn w:val="DefaultParagraphFont"/>
    <w:link w:val="Heading2"/>
    <w:rsid w:val="00692A7E"/>
    <w:rPr>
      <w:b/>
      <w:smallCaps/>
      <w:sz w:val="22"/>
      <w:lang w:val="en-GB" w:eastAsia="en-US"/>
    </w:rPr>
  </w:style>
  <w:style w:type="character" w:customStyle="1" w:styleId="Heading3Char">
    <w:name w:val="Heading 3 Char"/>
    <w:basedOn w:val="DefaultParagraphFont"/>
    <w:link w:val="Heading3"/>
    <w:rsid w:val="00692A7E"/>
    <w:rPr>
      <w:b/>
      <w:sz w:val="22"/>
      <w:lang w:val="en-GB" w:eastAsia="en-US"/>
    </w:rPr>
  </w:style>
  <w:style w:type="character" w:customStyle="1" w:styleId="Heading5Char">
    <w:name w:val="Heading 5 Char"/>
    <w:basedOn w:val="DefaultParagraphFont"/>
    <w:link w:val="Heading5"/>
    <w:rsid w:val="00692A7E"/>
    <w:rPr>
      <w:i/>
      <w:sz w:val="22"/>
      <w:lang w:val="en-GB" w:eastAsia="en-US"/>
    </w:rPr>
  </w:style>
  <w:style w:type="paragraph" w:customStyle="1" w:styleId="MinuteHeading">
    <w:name w:val="Minute Heading"/>
    <w:basedOn w:val="Normal"/>
    <w:next w:val="Normal"/>
    <w:rsid w:val="00692A7E"/>
    <w:pPr>
      <w:framePr w:w="7200" w:hSpace="187" w:vSpace="187" w:wrap="auto" w:vAnchor="page" w:hAnchor="page" w:x="2113" w:y="1056"/>
      <w:spacing w:after="240" w:line="360" w:lineRule="atLeast"/>
      <w:jc w:val="center"/>
    </w:pPr>
    <w:rPr>
      <w:b/>
      <w:bCs/>
      <w:sz w:val="36"/>
      <w:szCs w:val="36"/>
      <w:lang w:val="en-GB" w:eastAsia="zh-CN"/>
    </w:rPr>
  </w:style>
  <w:style w:type="paragraph" w:styleId="FootnoteText">
    <w:name w:val="footnote text"/>
    <w:aliases w:val="fn,footnote text,Footnote Text 2,Footnotes,ft,fn cafc,Footnote ak,Footnotes Char,Footnote ak Char,footnote citation,Footnotes Char Char,Footnote Text Char Char,fn Char Char,footnote text Char Char Char Ch,Ca,C,f,VBB Footnote Text"/>
    <w:basedOn w:val="Normal"/>
    <w:link w:val="FootnoteTextChar"/>
    <w:uiPriority w:val="99"/>
    <w:qFormat/>
    <w:rsid w:val="00692A7E"/>
    <w:rPr>
      <w:sz w:val="20"/>
      <w:szCs w:val="20"/>
      <w:lang w:eastAsia="en-AU"/>
    </w:rPr>
  </w:style>
  <w:style w:type="character" w:customStyle="1" w:styleId="FootnoteTextChar">
    <w:name w:val="Footnote Text Char"/>
    <w:aliases w:val="fn Char,footnote text Char,Footnote Text 2 Char,Footnotes Char1,ft Char,fn cafc Char,Footnote ak Char1,Footnotes Char Char1,Footnote ak Char Char,footnote citation Char,Footnotes Char Char Char,Footnote Text Char Char Char,Ca Char"/>
    <w:basedOn w:val="DefaultParagraphFont"/>
    <w:link w:val="FootnoteText"/>
    <w:uiPriority w:val="99"/>
    <w:rsid w:val="00692A7E"/>
  </w:style>
  <w:style w:type="character" w:styleId="FootnoteReference">
    <w:name w:val="footnote reference"/>
    <w:aliases w:val="Ref,de nota al pie,註腳內容,Footnote Reference1,Ref1,de nota al pie1,de nota al pie + (Asian) MS Mincho,11 pt,註?腳Ò®é»,11 p,註?腳內—e,????,-E Fußnotenzeichen,16 Point,Superscript 6 Point,註??腳內—e,11,-E Fuﬂnotenzeichen,註?腳內Ñe,-E Fu§notenzeichen"/>
    <w:uiPriority w:val="99"/>
    <w:rsid w:val="00692A7E"/>
    <w:rPr>
      <w:vertAlign w:val="superscript"/>
    </w:rPr>
  </w:style>
  <w:style w:type="paragraph" w:styleId="BodyText">
    <w:name w:val="Body Text"/>
    <w:basedOn w:val="Normal"/>
    <w:link w:val="BodyTextChar"/>
    <w:rsid w:val="00692A7E"/>
    <w:pPr>
      <w:numPr>
        <w:ilvl w:val="5"/>
        <w:numId w:val="1"/>
      </w:numPr>
      <w:spacing w:after="240"/>
      <w:jc w:val="both"/>
    </w:pPr>
    <w:rPr>
      <w:sz w:val="22"/>
      <w:szCs w:val="20"/>
      <w:lang w:val="en-GB"/>
    </w:rPr>
  </w:style>
  <w:style w:type="character" w:customStyle="1" w:styleId="BodyTextChar">
    <w:name w:val="Body Text Char"/>
    <w:basedOn w:val="DefaultParagraphFont"/>
    <w:link w:val="BodyText"/>
    <w:rsid w:val="00692A7E"/>
    <w:rPr>
      <w:sz w:val="22"/>
      <w:lang w:val="en-GB" w:eastAsia="en-US"/>
    </w:rPr>
  </w:style>
  <w:style w:type="paragraph" w:styleId="BodyText2">
    <w:name w:val="Body Text 2"/>
    <w:basedOn w:val="Normal"/>
    <w:link w:val="BodyText2Char"/>
    <w:rsid w:val="00692A7E"/>
    <w:pPr>
      <w:numPr>
        <w:ilvl w:val="6"/>
        <w:numId w:val="1"/>
      </w:numPr>
      <w:spacing w:after="240"/>
      <w:jc w:val="both"/>
    </w:pPr>
    <w:rPr>
      <w:sz w:val="22"/>
      <w:szCs w:val="20"/>
      <w:lang w:val="en-GB"/>
    </w:rPr>
  </w:style>
  <w:style w:type="character" w:customStyle="1" w:styleId="BodyText2Char">
    <w:name w:val="Body Text 2 Char"/>
    <w:basedOn w:val="DefaultParagraphFont"/>
    <w:link w:val="BodyText2"/>
    <w:rsid w:val="00692A7E"/>
    <w:rPr>
      <w:sz w:val="22"/>
      <w:lang w:val="en-GB" w:eastAsia="en-US"/>
    </w:rPr>
  </w:style>
  <w:style w:type="paragraph" w:styleId="BodyText3">
    <w:name w:val="Body Text 3"/>
    <w:basedOn w:val="Normal"/>
    <w:link w:val="BodyText3Char"/>
    <w:qFormat/>
    <w:rsid w:val="00692A7E"/>
    <w:pPr>
      <w:spacing w:after="240"/>
      <w:jc w:val="both"/>
    </w:pPr>
    <w:rPr>
      <w:sz w:val="22"/>
      <w:szCs w:val="20"/>
      <w:lang w:val="en-GB"/>
    </w:rPr>
  </w:style>
  <w:style w:type="character" w:customStyle="1" w:styleId="BodyText3Char">
    <w:name w:val="Body Text 3 Char"/>
    <w:basedOn w:val="DefaultParagraphFont"/>
    <w:link w:val="BodyText3"/>
    <w:rsid w:val="00692A7E"/>
    <w:rPr>
      <w:sz w:val="22"/>
      <w:lang w:val="en-GB" w:eastAsia="en-US"/>
    </w:rPr>
  </w:style>
  <w:style w:type="paragraph" w:customStyle="1" w:styleId="BodyText4">
    <w:name w:val="Body Text 4"/>
    <w:basedOn w:val="Normal"/>
    <w:rsid w:val="00692A7E"/>
    <w:pPr>
      <w:numPr>
        <w:ilvl w:val="8"/>
        <w:numId w:val="1"/>
      </w:numPr>
      <w:tabs>
        <w:tab w:val="left" w:pos="2160"/>
      </w:tabs>
      <w:spacing w:after="240"/>
      <w:jc w:val="both"/>
    </w:pPr>
    <w:rPr>
      <w:sz w:val="22"/>
      <w:szCs w:val="20"/>
      <w:lang w:val="en-GB"/>
    </w:rPr>
  </w:style>
  <w:style w:type="paragraph" w:styleId="ListParagraph">
    <w:name w:val="List Paragraph"/>
    <w:basedOn w:val="Normal"/>
    <w:uiPriority w:val="34"/>
    <w:qFormat/>
    <w:rsid w:val="00692A7E"/>
    <w:pPr>
      <w:ind w:left="720"/>
      <w:contextualSpacing/>
    </w:pPr>
  </w:style>
  <w:style w:type="character" w:styleId="Hyperlink">
    <w:name w:val="Hyperlink"/>
    <w:uiPriority w:val="99"/>
    <w:unhideWhenUsed/>
    <w:rsid w:val="00692A7E"/>
    <w:rPr>
      <w:color w:val="0000FF"/>
      <w:u w:val="single"/>
    </w:rPr>
  </w:style>
  <w:style w:type="character" w:customStyle="1" w:styleId="Heading4Char">
    <w:name w:val="Heading 4 Char"/>
    <w:basedOn w:val="DefaultParagraphFont"/>
    <w:link w:val="Heading4"/>
    <w:semiHidden/>
    <w:rsid w:val="00692A7E"/>
    <w:rPr>
      <w:rFonts w:asciiTheme="majorHAnsi" w:eastAsiaTheme="majorEastAsia" w:hAnsiTheme="majorHAnsi" w:cstheme="majorBidi"/>
      <w:b/>
      <w:bCs/>
      <w:i/>
      <w:iCs/>
      <w:color w:val="4F81BD" w:themeColor="accent1"/>
      <w:sz w:val="24"/>
      <w:szCs w:val="24"/>
      <w:lang w:eastAsia="en-US"/>
    </w:rPr>
  </w:style>
  <w:style w:type="character" w:styleId="FollowedHyperlink">
    <w:name w:val="FollowedHyperlink"/>
    <w:basedOn w:val="DefaultParagraphFont"/>
    <w:rsid w:val="003317A0"/>
    <w:rPr>
      <w:color w:val="800080" w:themeColor="followedHyperlink"/>
      <w:u w:val="single"/>
    </w:rPr>
  </w:style>
  <w:style w:type="paragraph" w:styleId="BalloonText">
    <w:name w:val="Balloon Text"/>
    <w:basedOn w:val="Normal"/>
    <w:link w:val="BalloonTextChar"/>
    <w:rsid w:val="003C7289"/>
    <w:rPr>
      <w:rFonts w:ascii="Tahoma" w:hAnsi="Tahoma" w:cs="Tahoma"/>
      <w:sz w:val="16"/>
      <w:szCs w:val="16"/>
    </w:rPr>
  </w:style>
  <w:style w:type="character" w:customStyle="1" w:styleId="BalloonTextChar">
    <w:name w:val="Balloon Text Char"/>
    <w:basedOn w:val="DefaultParagraphFont"/>
    <w:link w:val="BalloonText"/>
    <w:rsid w:val="003C7289"/>
    <w:rPr>
      <w:rFonts w:ascii="Tahoma" w:hAnsi="Tahoma" w:cs="Tahoma"/>
      <w:sz w:val="16"/>
      <w:szCs w:val="16"/>
      <w:lang w:eastAsia="en-US"/>
    </w:rPr>
  </w:style>
  <w:style w:type="paragraph" w:customStyle="1" w:styleId="SummaryText">
    <w:name w:val="SummaryText"/>
    <w:basedOn w:val="Normal"/>
    <w:uiPriority w:val="4"/>
    <w:qFormat/>
    <w:rsid w:val="007B783A"/>
    <w:pPr>
      <w:numPr>
        <w:numId w:val="8"/>
      </w:numPr>
      <w:spacing w:after="240"/>
      <w:jc w:val="both"/>
    </w:pPr>
    <w:rPr>
      <w:rFonts w:ascii="Verdana" w:eastAsia="Calibri" w:hAnsi="Verdana"/>
      <w:sz w:val="18"/>
      <w:szCs w:val="22"/>
      <w:lang w:val="en-GB"/>
    </w:rPr>
  </w:style>
  <w:style w:type="character" w:styleId="CommentReference">
    <w:name w:val="annotation reference"/>
    <w:basedOn w:val="DefaultParagraphFont"/>
    <w:uiPriority w:val="99"/>
    <w:semiHidden/>
    <w:unhideWhenUsed/>
    <w:rsid w:val="006526BE"/>
    <w:rPr>
      <w:sz w:val="16"/>
      <w:szCs w:val="16"/>
    </w:rPr>
  </w:style>
  <w:style w:type="paragraph" w:styleId="CommentText">
    <w:name w:val="annotation text"/>
    <w:basedOn w:val="Normal"/>
    <w:link w:val="CommentTextChar"/>
    <w:uiPriority w:val="99"/>
    <w:unhideWhenUsed/>
    <w:rsid w:val="006526BE"/>
    <w:rPr>
      <w:sz w:val="20"/>
      <w:szCs w:val="20"/>
    </w:rPr>
  </w:style>
  <w:style w:type="character" w:customStyle="1" w:styleId="CommentTextChar">
    <w:name w:val="Comment Text Char"/>
    <w:basedOn w:val="DefaultParagraphFont"/>
    <w:link w:val="CommentText"/>
    <w:uiPriority w:val="99"/>
    <w:rsid w:val="006526BE"/>
    <w:rPr>
      <w:lang w:eastAsia="en-US"/>
    </w:rPr>
  </w:style>
  <w:style w:type="paragraph" w:styleId="CommentSubject">
    <w:name w:val="annotation subject"/>
    <w:basedOn w:val="CommentText"/>
    <w:next w:val="CommentText"/>
    <w:link w:val="CommentSubjectChar"/>
    <w:semiHidden/>
    <w:unhideWhenUsed/>
    <w:rsid w:val="006526BE"/>
    <w:rPr>
      <w:b/>
      <w:bCs/>
    </w:rPr>
  </w:style>
  <w:style w:type="character" w:customStyle="1" w:styleId="CommentSubjectChar">
    <w:name w:val="Comment Subject Char"/>
    <w:basedOn w:val="CommentTextChar"/>
    <w:link w:val="CommentSubject"/>
    <w:semiHidden/>
    <w:rsid w:val="006526BE"/>
    <w:rPr>
      <w:b/>
      <w:bCs/>
      <w:lang w:eastAsia="en-US"/>
    </w:rPr>
  </w:style>
  <w:style w:type="paragraph" w:customStyle="1" w:styleId="ColorfulList-Accent11">
    <w:name w:val="Colorful List - Accent 11"/>
    <w:basedOn w:val="Normal"/>
    <w:uiPriority w:val="34"/>
    <w:qFormat/>
    <w:rsid w:val="00B51BFC"/>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A137B4"/>
    <w:pPr>
      <w:tabs>
        <w:tab w:val="center" w:pos="4513"/>
        <w:tab w:val="right" w:pos="9026"/>
      </w:tabs>
    </w:pPr>
  </w:style>
  <w:style w:type="character" w:customStyle="1" w:styleId="HeaderChar">
    <w:name w:val="Header Char"/>
    <w:basedOn w:val="DefaultParagraphFont"/>
    <w:link w:val="Header"/>
    <w:rsid w:val="00A137B4"/>
    <w:rPr>
      <w:sz w:val="24"/>
      <w:szCs w:val="24"/>
      <w:lang w:eastAsia="en-US"/>
    </w:rPr>
  </w:style>
  <w:style w:type="paragraph" w:styleId="Footer">
    <w:name w:val="footer"/>
    <w:basedOn w:val="Normal"/>
    <w:link w:val="FooterChar"/>
    <w:uiPriority w:val="99"/>
    <w:unhideWhenUsed/>
    <w:rsid w:val="00A137B4"/>
    <w:pPr>
      <w:tabs>
        <w:tab w:val="center" w:pos="4513"/>
        <w:tab w:val="right" w:pos="9026"/>
      </w:tabs>
    </w:pPr>
  </w:style>
  <w:style w:type="character" w:customStyle="1" w:styleId="FooterChar">
    <w:name w:val="Footer Char"/>
    <w:basedOn w:val="DefaultParagraphFont"/>
    <w:link w:val="Footer"/>
    <w:uiPriority w:val="99"/>
    <w:rsid w:val="00A137B4"/>
    <w:rPr>
      <w:sz w:val="24"/>
      <w:szCs w:val="24"/>
      <w:lang w:eastAsia="en-US"/>
    </w:rPr>
  </w:style>
  <w:style w:type="paragraph" w:styleId="BodyTextIndent">
    <w:name w:val="Body Text Indent"/>
    <w:basedOn w:val="Normal"/>
    <w:link w:val="BodyTextIndentChar"/>
    <w:semiHidden/>
    <w:unhideWhenUsed/>
    <w:rsid w:val="00A81D8E"/>
    <w:pPr>
      <w:spacing w:after="120"/>
      <w:ind w:left="283"/>
    </w:pPr>
  </w:style>
  <w:style w:type="character" w:customStyle="1" w:styleId="BodyTextIndentChar">
    <w:name w:val="Body Text Indent Char"/>
    <w:basedOn w:val="DefaultParagraphFont"/>
    <w:link w:val="BodyTextIndent"/>
    <w:semiHidden/>
    <w:rsid w:val="00A81D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2326">
      <w:bodyDiv w:val="1"/>
      <w:marLeft w:val="0"/>
      <w:marRight w:val="0"/>
      <w:marTop w:val="0"/>
      <w:marBottom w:val="0"/>
      <w:divBdr>
        <w:top w:val="none" w:sz="0" w:space="0" w:color="auto"/>
        <w:left w:val="none" w:sz="0" w:space="0" w:color="auto"/>
        <w:bottom w:val="none" w:sz="0" w:space="0" w:color="auto"/>
        <w:right w:val="none" w:sz="0" w:space="0" w:color="auto"/>
      </w:divBdr>
    </w:div>
    <w:div w:id="673843785">
      <w:bodyDiv w:val="1"/>
      <w:marLeft w:val="0"/>
      <w:marRight w:val="0"/>
      <w:marTop w:val="0"/>
      <w:marBottom w:val="0"/>
      <w:divBdr>
        <w:top w:val="none" w:sz="0" w:space="0" w:color="auto"/>
        <w:left w:val="none" w:sz="0" w:space="0" w:color="auto"/>
        <w:bottom w:val="none" w:sz="0" w:space="0" w:color="auto"/>
        <w:right w:val="none" w:sz="0" w:space="0" w:color="auto"/>
      </w:divBdr>
    </w:div>
    <w:div w:id="8945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F7604E26285C429F22B1400DD34621" ma:contentTypeVersion="1" ma:contentTypeDescription="Create a new document." ma:contentTypeScope="" ma:versionID="76d212fe83a5057847ac599ac1969aa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20079C-FF05-4033-B8D3-951419A2DBCD}">
  <ds:schemaRefs>
    <ds:schemaRef ds:uri="http://schemas.openxmlformats.org/officeDocument/2006/bibliography"/>
  </ds:schemaRefs>
</ds:datastoreItem>
</file>

<file path=customXml/itemProps2.xml><?xml version="1.0" encoding="utf-8"?>
<ds:datastoreItem xmlns:ds="http://schemas.openxmlformats.org/officeDocument/2006/customXml" ds:itemID="{C632A14E-1DB8-43CB-B171-12837B65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74BD6-16E7-4E80-95A4-E8718F41CDDA}">
  <ds:schemaRefs>
    <ds:schemaRef ds:uri="http://schemas.microsoft.com/sharepoint/v3/contenttype/forms"/>
  </ds:schemaRefs>
</ds:datastoreItem>
</file>

<file path=customXml/itemProps4.xml><?xml version="1.0" encoding="utf-8"?>
<ds:datastoreItem xmlns:ds="http://schemas.openxmlformats.org/officeDocument/2006/customXml" ds:itemID="{88776E1D-79AA-4715-ADF0-6A25ADC7FAA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6918</Characters>
  <Application>Microsoft Office Word</Application>
  <DocSecurity>0</DocSecurity>
  <Lines>147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[SEC=OFFICIAL]</cp:keywords>
  <cp:lastModifiedBy/>
  <cp:revision>1</cp:revision>
  <dcterms:created xsi:type="dcterms:W3CDTF">2021-05-27T01:26:00Z</dcterms:created>
  <dcterms:modified xsi:type="dcterms:W3CDTF">2021-05-27T06:58:00Z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d2a6cd6a-6321-4392-aeb1-51af66a8b645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0x0101007DF7604E26285C429F22B1400DD34621</vt:lpwstr>
  </property>
  <property fmtid="{D5CDD505-2E9C-101B-9397-08002B2CF9AE}" pid="6" name="Order">
    <vt:r8>14400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C08690FD2B2C4EAB9B538875BF84ABE1</vt:lpwstr>
  </property>
  <property fmtid="{D5CDD505-2E9C-101B-9397-08002B2CF9AE}" pid="17" name="PM_ProtectiveMarkingValue_Footer">
    <vt:lpwstr>OFFICIAL</vt:lpwstr>
  </property>
  <property fmtid="{D5CDD505-2E9C-101B-9397-08002B2CF9AE}" pid="18" name="PM_Originator_Hash_SHA1">
    <vt:lpwstr>AD0FA5CC0F96E4C885683EFE5F6D9CB70C9B1B64</vt:lpwstr>
  </property>
  <property fmtid="{D5CDD505-2E9C-101B-9397-08002B2CF9AE}" pid="19" name="PM_OriginationTimeStamp">
    <vt:lpwstr>2021-05-27T06:58:01Z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Hash_Version">
    <vt:lpwstr>2018.0</vt:lpwstr>
  </property>
  <property fmtid="{D5CDD505-2E9C-101B-9397-08002B2CF9AE}" pid="27" name="PM_Hash_Salt_Prev">
    <vt:lpwstr>1F42D6DAE6ABDF738EAF39B0AE77FBCA</vt:lpwstr>
  </property>
  <property fmtid="{D5CDD505-2E9C-101B-9397-08002B2CF9AE}" pid="28" name="PM_Hash_Salt">
    <vt:lpwstr>BD1A257684A66D78F7F06676A691A1B4</vt:lpwstr>
  </property>
  <property fmtid="{D5CDD505-2E9C-101B-9397-08002B2CF9AE}" pid="29" name="PM_Hash_SHA1">
    <vt:lpwstr>F2A2C4BCC49000896B04DEB8C915D200D29D231B</vt:lpwstr>
  </property>
  <property fmtid="{D5CDD505-2E9C-101B-9397-08002B2CF9AE}" pid="30" name="PM_SecurityClassification_Prev">
    <vt:lpwstr>OFFICIAL</vt:lpwstr>
  </property>
  <property fmtid="{D5CDD505-2E9C-101B-9397-08002B2CF9AE}" pid="31" name="PM_Qualifier_Prev">
    <vt:lpwstr/>
  </property>
</Properties>
</file>