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EBA27" w14:textId="77777777" w:rsidR="00B61653" w:rsidRPr="00B61653" w:rsidRDefault="00B61653" w:rsidP="00B61653">
      <w:pPr>
        <w:spacing w:after="2040"/>
        <w:jc w:val="center"/>
        <w:rPr>
          <w:rFonts w:ascii="Times New Roman" w:hAnsi="Times New Roman" w:cs="Times New Roman"/>
          <w:sz w:val="24"/>
          <w:szCs w:val="24"/>
        </w:rPr>
      </w:pPr>
      <w:r w:rsidRPr="00B61653">
        <w:rPr>
          <w:rFonts w:ascii="Times New Roman" w:hAnsi="Times New Roman" w:cs="Times New Roman"/>
          <w:sz w:val="24"/>
          <w:szCs w:val="24"/>
        </w:rPr>
        <w:t>BEFORE THE WORLD TRADE ORGANIZATION</w:t>
      </w:r>
    </w:p>
    <w:p w14:paraId="0428139B" w14:textId="77777777" w:rsidR="00B61653" w:rsidRPr="00B61653" w:rsidRDefault="00B61653" w:rsidP="00B61653">
      <w:pPr>
        <w:pStyle w:val="Heading1"/>
      </w:pPr>
      <w:r w:rsidRPr="00B61653">
        <w:t>European Union – Certain Measures Concerning Palm Oil and Oil Palm Crop-Based Biofuels (Indonesia) (WT/DS593)</w:t>
      </w:r>
    </w:p>
    <w:p w14:paraId="55764E12" w14:textId="77777777" w:rsidR="00B61653" w:rsidRPr="00B61653" w:rsidRDefault="00B61653" w:rsidP="00B61653">
      <w:pPr>
        <w:spacing w:after="4800"/>
        <w:jc w:val="center"/>
        <w:rPr>
          <w:rFonts w:ascii="Times New Roman" w:hAnsi="Times New Roman" w:cs="Times New Roman"/>
          <w:b/>
          <w:bCs/>
          <w:sz w:val="28"/>
          <w:szCs w:val="28"/>
        </w:rPr>
      </w:pPr>
      <w:r w:rsidRPr="00B61653">
        <w:rPr>
          <w:rFonts w:ascii="Times New Roman" w:hAnsi="Times New Roman" w:cs="Times New Roman"/>
          <w:b/>
          <w:bCs/>
          <w:sz w:val="28"/>
          <w:szCs w:val="28"/>
        </w:rPr>
        <w:t xml:space="preserve">Australia's </w:t>
      </w:r>
      <w:proofErr w:type="gramStart"/>
      <w:r w:rsidRPr="00B61653">
        <w:rPr>
          <w:rFonts w:ascii="Times New Roman" w:hAnsi="Times New Roman" w:cs="Times New Roman"/>
          <w:b/>
          <w:bCs/>
          <w:sz w:val="28"/>
          <w:szCs w:val="28"/>
        </w:rPr>
        <w:t>Third Party</w:t>
      </w:r>
      <w:proofErr w:type="gramEnd"/>
      <w:r w:rsidRPr="00B61653">
        <w:rPr>
          <w:rFonts w:ascii="Times New Roman" w:hAnsi="Times New Roman" w:cs="Times New Roman"/>
          <w:b/>
          <w:bCs/>
          <w:sz w:val="28"/>
          <w:szCs w:val="28"/>
        </w:rPr>
        <w:t xml:space="preserve"> Executive Summary</w:t>
      </w:r>
    </w:p>
    <w:p w14:paraId="369DD8FA" w14:textId="77777777" w:rsidR="00B61653" w:rsidRPr="00B61653" w:rsidRDefault="00B61653" w:rsidP="00B61653">
      <w:pPr>
        <w:jc w:val="right"/>
        <w:rPr>
          <w:rFonts w:ascii="Times New Roman" w:hAnsi="Times New Roman" w:cs="Times New Roman"/>
          <w:b/>
          <w:bCs/>
          <w:sz w:val="28"/>
          <w:szCs w:val="28"/>
        </w:rPr>
      </w:pPr>
      <w:r w:rsidRPr="00B61653">
        <w:rPr>
          <w:rFonts w:ascii="Times New Roman" w:hAnsi="Times New Roman" w:cs="Times New Roman"/>
          <w:b/>
          <w:bCs/>
          <w:sz w:val="28"/>
          <w:szCs w:val="28"/>
        </w:rPr>
        <w:t>3 June 2021</w:t>
      </w:r>
    </w:p>
    <w:p w14:paraId="6099B51A" w14:textId="57CCAF07" w:rsidR="00B61653" w:rsidRPr="00B61653" w:rsidRDefault="00B61653">
      <w:pPr>
        <w:rPr>
          <w:rFonts w:ascii="Times New Roman" w:hAnsi="Times New Roman" w:cs="Times New Roman"/>
          <w:sz w:val="24"/>
          <w:szCs w:val="24"/>
        </w:rPr>
      </w:pPr>
      <w:r w:rsidRPr="00B61653">
        <w:rPr>
          <w:rFonts w:ascii="Times New Roman" w:hAnsi="Times New Roman" w:cs="Times New Roman"/>
          <w:sz w:val="24"/>
          <w:szCs w:val="24"/>
        </w:rPr>
        <w:br w:type="page"/>
      </w:r>
    </w:p>
    <w:p w14:paraId="4D04E91A" w14:textId="77777777" w:rsidR="00B61653" w:rsidRPr="00B61653" w:rsidRDefault="00B61653" w:rsidP="00B61653">
      <w:pPr>
        <w:pStyle w:val="Title"/>
      </w:pPr>
      <w:r w:rsidRPr="00B61653">
        <w:lastRenderedPageBreak/>
        <w:t>TABLE OF CASES</w:t>
      </w:r>
    </w:p>
    <w:tbl>
      <w:tblPr>
        <w:tblStyle w:val="TableGrid"/>
        <w:tblW w:w="0" w:type="auto"/>
        <w:tblLook w:val="04A0" w:firstRow="1" w:lastRow="0" w:firstColumn="1" w:lastColumn="0" w:noHBand="0" w:noVBand="1"/>
      </w:tblPr>
      <w:tblGrid>
        <w:gridCol w:w="2122"/>
        <w:gridCol w:w="6894"/>
      </w:tblGrid>
      <w:tr w:rsidR="00B61653" w:rsidRPr="00B61653" w14:paraId="0800AE63" w14:textId="77777777" w:rsidTr="00B61653">
        <w:tc>
          <w:tcPr>
            <w:tcW w:w="2122" w:type="dxa"/>
          </w:tcPr>
          <w:p w14:paraId="182C7827" w14:textId="77777777" w:rsidR="00B61653" w:rsidRPr="00B61653" w:rsidRDefault="00B61653" w:rsidP="00B61653">
            <w:pPr>
              <w:jc w:val="center"/>
              <w:rPr>
                <w:rFonts w:ascii="Times New Roman" w:hAnsi="Times New Roman" w:cs="Times New Roman"/>
                <w:b/>
                <w:bCs/>
                <w:sz w:val="24"/>
                <w:szCs w:val="24"/>
              </w:rPr>
            </w:pPr>
            <w:r w:rsidRPr="00B61653">
              <w:rPr>
                <w:rFonts w:ascii="Times New Roman" w:hAnsi="Times New Roman" w:cs="Times New Roman"/>
                <w:b/>
                <w:bCs/>
                <w:sz w:val="24"/>
                <w:szCs w:val="24"/>
              </w:rPr>
              <w:t>Short Title</w:t>
            </w:r>
          </w:p>
        </w:tc>
        <w:tc>
          <w:tcPr>
            <w:tcW w:w="6894" w:type="dxa"/>
          </w:tcPr>
          <w:p w14:paraId="7D0A1CD2" w14:textId="77777777" w:rsidR="00B61653" w:rsidRPr="00B61653" w:rsidRDefault="00B61653" w:rsidP="00B61653">
            <w:pPr>
              <w:jc w:val="center"/>
              <w:rPr>
                <w:rFonts w:ascii="Times New Roman" w:hAnsi="Times New Roman" w:cs="Times New Roman"/>
                <w:b/>
                <w:bCs/>
                <w:sz w:val="24"/>
                <w:szCs w:val="24"/>
              </w:rPr>
            </w:pPr>
            <w:r w:rsidRPr="00B61653">
              <w:rPr>
                <w:rFonts w:ascii="Times New Roman" w:hAnsi="Times New Roman" w:cs="Times New Roman"/>
                <w:b/>
                <w:bCs/>
                <w:sz w:val="24"/>
                <w:szCs w:val="24"/>
              </w:rPr>
              <w:t>Full Case Title and Citation</w:t>
            </w:r>
          </w:p>
        </w:tc>
      </w:tr>
      <w:tr w:rsidR="00B61653" w:rsidRPr="00B61653" w14:paraId="1C2CA6B8" w14:textId="77777777" w:rsidTr="00B61653">
        <w:tc>
          <w:tcPr>
            <w:tcW w:w="2122" w:type="dxa"/>
          </w:tcPr>
          <w:p w14:paraId="1D2EB674"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Australia – Tobacco Plain Packaging</w:t>
            </w:r>
          </w:p>
        </w:tc>
        <w:tc>
          <w:tcPr>
            <w:tcW w:w="6894" w:type="dxa"/>
          </w:tcPr>
          <w:p w14:paraId="241A333E"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Panel Reports, Australia - Certain Measures Concerning Trademarks, Geographical Indications and Other Plain Packaging Requirements Applicable to Tobacco Products and Packaging, WT/DS435/R, WT/DS435/R/Add.1, and WT/DS435/R/Suppl.1; WT/DS441/R, WT/DS441/R/Add.1, and WT/DS441/R/Suppl.1 adopted on 29 June 2020, as modified by Appellate Body Reports WT/DS435/AB/R and WT/DS435/AB/R/Add.1, WT/DS441/AB/R and WT/DS441/AB/R/Add.1</w:t>
            </w:r>
          </w:p>
        </w:tc>
      </w:tr>
      <w:tr w:rsidR="00B61653" w:rsidRPr="00B61653" w14:paraId="1618CFEC" w14:textId="77777777" w:rsidTr="00B61653">
        <w:tc>
          <w:tcPr>
            <w:tcW w:w="2122" w:type="dxa"/>
          </w:tcPr>
          <w:p w14:paraId="7804A879"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Australia – Tobacco Plain Packaging</w:t>
            </w:r>
          </w:p>
        </w:tc>
        <w:tc>
          <w:tcPr>
            <w:tcW w:w="6894" w:type="dxa"/>
          </w:tcPr>
          <w:p w14:paraId="65C01CAC"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Appellate Body Reports, Australia - Certain Measures Concerning Trademarks, Geographical Indications and Other Plain Packaging Requirements Applicable to Tobacco Products and Packaging, WT/DS435/AB/R, WT/DS435/AB/R/Add.1 and WT/DS435/AB/R/Suppl.1; WT/DS441/R, WT/DS441/AB/R/Add.1, and WT/DS441/AB/R/Suppl.1 adopted 29 June 2020</w:t>
            </w:r>
          </w:p>
        </w:tc>
      </w:tr>
      <w:tr w:rsidR="00B61653" w:rsidRPr="00B61653" w14:paraId="0F021AF5" w14:textId="77777777" w:rsidTr="00B61653">
        <w:tc>
          <w:tcPr>
            <w:tcW w:w="2122" w:type="dxa"/>
          </w:tcPr>
          <w:p w14:paraId="50ED579E"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US – COOL</w:t>
            </w:r>
          </w:p>
        </w:tc>
        <w:tc>
          <w:tcPr>
            <w:tcW w:w="6894" w:type="dxa"/>
          </w:tcPr>
          <w:p w14:paraId="3C471BCB"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Panel Reports, United States – Certain Country of Origin Labelling (COOL) Requirements, WT/DS384/R / WT/DS386/R, adopted 23 July 2012, as modified by Appellate Body Reports WT/DS384/AB/R / WT/DS386/AB/R, DSR 2012:VI, p. 2745</w:t>
            </w:r>
          </w:p>
        </w:tc>
      </w:tr>
      <w:tr w:rsidR="00B61653" w:rsidRPr="00B61653" w14:paraId="594573C4" w14:textId="77777777" w:rsidTr="00B61653">
        <w:tc>
          <w:tcPr>
            <w:tcW w:w="2122" w:type="dxa"/>
          </w:tcPr>
          <w:p w14:paraId="5ED0E52B"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US – COOL</w:t>
            </w:r>
          </w:p>
        </w:tc>
        <w:tc>
          <w:tcPr>
            <w:tcW w:w="6894" w:type="dxa"/>
          </w:tcPr>
          <w:p w14:paraId="0EF49D5B"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 xml:space="preserve">Appellate Body Reports, United States – Certain Country of Origin Labelling (COOL) Requirements, WT/DS384/AB/R / WT/DS386/AB/R, adopted 23 July 2012, DSR </w:t>
            </w:r>
            <w:proofErr w:type="gramStart"/>
            <w:r w:rsidRPr="00B61653">
              <w:rPr>
                <w:rFonts w:ascii="Times New Roman" w:hAnsi="Times New Roman" w:cs="Times New Roman"/>
                <w:sz w:val="24"/>
                <w:szCs w:val="24"/>
              </w:rPr>
              <w:t>2012:V</w:t>
            </w:r>
            <w:proofErr w:type="gramEnd"/>
            <w:r w:rsidRPr="00B61653">
              <w:rPr>
                <w:rFonts w:ascii="Times New Roman" w:hAnsi="Times New Roman" w:cs="Times New Roman"/>
                <w:sz w:val="24"/>
                <w:szCs w:val="24"/>
              </w:rPr>
              <w:t>, p. 2449</w:t>
            </w:r>
          </w:p>
        </w:tc>
      </w:tr>
      <w:tr w:rsidR="00B61653" w:rsidRPr="00B61653" w14:paraId="6B92B805" w14:textId="77777777" w:rsidTr="00B61653">
        <w:tc>
          <w:tcPr>
            <w:tcW w:w="2122" w:type="dxa"/>
          </w:tcPr>
          <w:p w14:paraId="5876F986"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US – COOL (Article 21.5 – Canada and Mexico)</w:t>
            </w:r>
          </w:p>
        </w:tc>
        <w:tc>
          <w:tcPr>
            <w:tcW w:w="6894" w:type="dxa"/>
          </w:tcPr>
          <w:p w14:paraId="674F62EB"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Appellate Body Reports, United States – Certain Country of Origin Labelling (COOL) Requirements – Recourse to Article 21.5 of the DSU by Canada and Mexico, WT/DS384/AB/RW / WT/DS386/AB/RW, adopted 29 May 2015, DSR 2015:IV, p. 1725</w:t>
            </w:r>
          </w:p>
        </w:tc>
      </w:tr>
      <w:tr w:rsidR="00B61653" w:rsidRPr="00B61653" w14:paraId="5F4B3646" w14:textId="77777777" w:rsidTr="00B61653">
        <w:tc>
          <w:tcPr>
            <w:tcW w:w="2122" w:type="dxa"/>
          </w:tcPr>
          <w:p w14:paraId="76AA922C"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US – Gasoline</w:t>
            </w:r>
          </w:p>
        </w:tc>
        <w:tc>
          <w:tcPr>
            <w:tcW w:w="6894" w:type="dxa"/>
          </w:tcPr>
          <w:p w14:paraId="08B693A8"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 xml:space="preserve">Appellate Body Report, United States – Standards for Reformulated and Conventional Gasoline, WT/DS2/AB/R, adopted 20 May 1996, DSR </w:t>
            </w:r>
            <w:proofErr w:type="gramStart"/>
            <w:r w:rsidRPr="00B61653">
              <w:rPr>
                <w:rFonts w:ascii="Times New Roman" w:hAnsi="Times New Roman" w:cs="Times New Roman"/>
                <w:sz w:val="24"/>
                <w:szCs w:val="24"/>
              </w:rPr>
              <w:t>1996:I</w:t>
            </w:r>
            <w:proofErr w:type="gramEnd"/>
            <w:r w:rsidRPr="00B61653">
              <w:rPr>
                <w:rFonts w:ascii="Times New Roman" w:hAnsi="Times New Roman" w:cs="Times New Roman"/>
                <w:sz w:val="24"/>
                <w:szCs w:val="24"/>
              </w:rPr>
              <w:t>, p. 3</w:t>
            </w:r>
          </w:p>
        </w:tc>
      </w:tr>
      <w:tr w:rsidR="00B61653" w:rsidRPr="00B61653" w14:paraId="14192282" w14:textId="77777777" w:rsidTr="00B61653">
        <w:tc>
          <w:tcPr>
            <w:tcW w:w="2122" w:type="dxa"/>
          </w:tcPr>
          <w:p w14:paraId="636DF5A4"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US – Tuna II (Mexico)</w:t>
            </w:r>
          </w:p>
        </w:tc>
        <w:tc>
          <w:tcPr>
            <w:tcW w:w="6894" w:type="dxa"/>
          </w:tcPr>
          <w:p w14:paraId="0C758918"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 xml:space="preserve">Panel Report, United States – Measures Concerning the Importation, Marketing and Sale of Tuna and Tuna Products, WT/DS381/R adopted 13 June 2012, as modified by Appellate Body Report WT/DS381/AB/R, DSR </w:t>
            </w:r>
            <w:proofErr w:type="gramStart"/>
            <w:r w:rsidRPr="00B61653">
              <w:rPr>
                <w:rFonts w:ascii="Times New Roman" w:hAnsi="Times New Roman" w:cs="Times New Roman"/>
                <w:sz w:val="24"/>
                <w:szCs w:val="24"/>
              </w:rPr>
              <w:t>2012:IV</w:t>
            </w:r>
            <w:proofErr w:type="gramEnd"/>
            <w:r w:rsidRPr="00B61653">
              <w:rPr>
                <w:rFonts w:ascii="Times New Roman" w:hAnsi="Times New Roman" w:cs="Times New Roman"/>
                <w:sz w:val="24"/>
                <w:szCs w:val="24"/>
              </w:rPr>
              <w:t>, p.2013</w:t>
            </w:r>
          </w:p>
        </w:tc>
      </w:tr>
      <w:tr w:rsidR="00B61653" w:rsidRPr="00B61653" w14:paraId="4E2C006A" w14:textId="77777777" w:rsidTr="00B61653">
        <w:tc>
          <w:tcPr>
            <w:tcW w:w="2122" w:type="dxa"/>
          </w:tcPr>
          <w:p w14:paraId="234D7EF7"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US – Tuna II (Mexico)</w:t>
            </w:r>
          </w:p>
        </w:tc>
        <w:tc>
          <w:tcPr>
            <w:tcW w:w="6894" w:type="dxa"/>
          </w:tcPr>
          <w:p w14:paraId="6F0C83DF" w14:textId="77777777" w:rsidR="00B61653" w:rsidRPr="00B61653" w:rsidRDefault="00B61653" w:rsidP="0071444E">
            <w:pPr>
              <w:rPr>
                <w:rFonts w:ascii="Times New Roman" w:hAnsi="Times New Roman" w:cs="Times New Roman"/>
                <w:sz w:val="24"/>
                <w:szCs w:val="24"/>
              </w:rPr>
            </w:pPr>
            <w:r w:rsidRPr="00B61653">
              <w:rPr>
                <w:rFonts w:ascii="Times New Roman" w:hAnsi="Times New Roman" w:cs="Times New Roman"/>
                <w:sz w:val="24"/>
                <w:szCs w:val="24"/>
              </w:rPr>
              <w:t xml:space="preserve">Appellate Body Report, United States – Measures Concerning the Importation, Marketing and Sale of Tuna and Tuna Products, WT/DS381/AB/R, adopted 13 June 2012, DSR </w:t>
            </w:r>
            <w:proofErr w:type="gramStart"/>
            <w:r w:rsidRPr="00B61653">
              <w:rPr>
                <w:rFonts w:ascii="Times New Roman" w:hAnsi="Times New Roman" w:cs="Times New Roman"/>
                <w:sz w:val="24"/>
                <w:szCs w:val="24"/>
              </w:rPr>
              <w:t>2012:IV</w:t>
            </w:r>
            <w:proofErr w:type="gramEnd"/>
            <w:r w:rsidRPr="00B61653">
              <w:rPr>
                <w:rFonts w:ascii="Times New Roman" w:hAnsi="Times New Roman" w:cs="Times New Roman"/>
                <w:sz w:val="24"/>
                <w:szCs w:val="24"/>
              </w:rPr>
              <w:t>, p. 1837</w:t>
            </w:r>
          </w:p>
        </w:tc>
      </w:tr>
    </w:tbl>
    <w:p w14:paraId="59E2AA29" w14:textId="77777777" w:rsidR="00B61653" w:rsidRDefault="00B61653">
      <w:pPr>
        <w:rPr>
          <w:rFonts w:ascii="Times New Roman" w:hAnsi="Times New Roman" w:cs="Times New Roman"/>
          <w:sz w:val="24"/>
          <w:szCs w:val="24"/>
        </w:rPr>
      </w:pPr>
      <w:r>
        <w:rPr>
          <w:rFonts w:ascii="Times New Roman" w:hAnsi="Times New Roman" w:cs="Times New Roman"/>
          <w:sz w:val="24"/>
          <w:szCs w:val="24"/>
        </w:rPr>
        <w:br w:type="page"/>
      </w:r>
    </w:p>
    <w:p w14:paraId="0768E5BA" w14:textId="77777777" w:rsidR="00B61653" w:rsidRPr="00B61653" w:rsidRDefault="00B61653" w:rsidP="00B61653">
      <w:pPr>
        <w:pStyle w:val="Heading2"/>
      </w:pPr>
      <w:r w:rsidRPr="00B61653">
        <w:lastRenderedPageBreak/>
        <w:t>I.</w:t>
      </w:r>
      <w:r w:rsidRPr="00B61653">
        <w:tab/>
        <w:t>INTRODUCTION</w:t>
      </w:r>
    </w:p>
    <w:p w14:paraId="5E41C2EC" w14:textId="77777777" w:rsidR="00B61653" w:rsidRPr="00B61653" w:rsidRDefault="00B61653" w:rsidP="005F2FE9">
      <w:pPr>
        <w:ind w:left="709" w:hanging="709"/>
        <w:rPr>
          <w:rFonts w:ascii="Times New Roman" w:hAnsi="Times New Roman" w:cs="Times New Roman"/>
          <w:sz w:val="24"/>
          <w:szCs w:val="24"/>
        </w:rPr>
      </w:pPr>
      <w:r w:rsidRPr="00B61653">
        <w:rPr>
          <w:rFonts w:ascii="Times New Roman" w:hAnsi="Times New Roman" w:cs="Times New Roman"/>
          <w:sz w:val="24"/>
          <w:szCs w:val="24"/>
        </w:rPr>
        <w:t>1.</w:t>
      </w:r>
      <w:r w:rsidRPr="00B61653">
        <w:rPr>
          <w:rFonts w:ascii="Times New Roman" w:hAnsi="Times New Roman" w:cs="Times New Roman"/>
          <w:sz w:val="24"/>
          <w:szCs w:val="24"/>
        </w:rPr>
        <w:tab/>
        <w:t>These proceedings initiated by Indonesia raise significant issues concerning the substantive legal obligations and rights of WTO Members under the Agreement on Technical Barriers to Trade (TBT Agreement) and the General Agreement on Tariffs and Trade 1994 (the GATT 1994). The European Union’s (EU) palm oil and oil palm crop-based biofuel measures at issue in this dispute test the boundaries of those rights and obligations</w:t>
      </w:r>
    </w:p>
    <w:p w14:paraId="700821EF" w14:textId="77777777" w:rsidR="00B61653" w:rsidRPr="00B61653" w:rsidRDefault="00B61653" w:rsidP="005F2FE9">
      <w:pPr>
        <w:ind w:left="709" w:hanging="709"/>
        <w:rPr>
          <w:rFonts w:ascii="Times New Roman" w:hAnsi="Times New Roman" w:cs="Times New Roman"/>
          <w:sz w:val="24"/>
          <w:szCs w:val="24"/>
        </w:rPr>
      </w:pPr>
      <w:r w:rsidRPr="00B61653">
        <w:rPr>
          <w:rFonts w:ascii="Times New Roman" w:hAnsi="Times New Roman" w:cs="Times New Roman"/>
          <w:sz w:val="24"/>
          <w:szCs w:val="24"/>
        </w:rPr>
        <w:t>2.</w:t>
      </w:r>
      <w:r w:rsidRPr="00B61653">
        <w:rPr>
          <w:rFonts w:ascii="Times New Roman" w:hAnsi="Times New Roman" w:cs="Times New Roman"/>
          <w:sz w:val="24"/>
          <w:szCs w:val="24"/>
        </w:rPr>
        <w:tab/>
        <w:t xml:space="preserve">Australia’s submissions in this dispute have focussed on the proper legal analysis that should be applied under the TBT Agreement and Article XX of the GATT 1994.  </w:t>
      </w:r>
      <w:proofErr w:type="gramStart"/>
      <w:r w:rsidRPr="00B61653">
        <w:rPr>
          <w:rFonts w:ascii="Times New Roman" w:hAnsi="Times New Roman" w:cs="Times New Roman"/>
          <w:sz w:val="24"/>
          <w:szCs w:val="24"/>
        </w:rPr>
        <w:t>In particular, Australia</w:t>
      </w:r>
      <w:proofErr w:type="gramEnd"/>
      <w:r w:rsidRPr="00B61653">
        <w:rPr>
          <w:rFonts w:ascii="Times New Roman" w:hAnsi="Times New Roman" w:cs="Times New Roman"/>
          <w:sz w:val="24"/>
          <w:szCs w:val="24"/>
        </w:rPr>
        <w:t xml:space="preserve"> has:</w:t>
      </w:r>
    </w:p>
    <w:p w14:paraId="4DF99209" w14:textId="77777777" w:rsidR="00B61653" w:rsidRPr="00B61653" w:rsidRDefault="00B61653" w:rsidP="00B61653">
      <w:pPr>
        <w:rPr>
          <w:rFonts w:ascii="Times New Roman" w:hAnsi="Times New Roman" w:cs="Times New Roman"/>
          <w:sz w:val="24"/>
          <w:szCs w:val="24"/>
        </w:rPr>
      </w:pPr>
      <w:r w:rsidRPr="00B61653">
        <w:rPr>
          <w:rFonts w:ascii="Times New Roman" w:hAnsi="Times New Roman" w:cs="Times New Roman"/>
          <w:sz w:val="24"/>
          <w:szCs w:val="24"/>
        </w:rPr>
        <w:t>•</w:t>
      </w:r>
      <w:r w:rsidRPr="00B61653">
        <w:rPr>
          <w:rFonts w:ascii="Times New Roman" w:hAnsi="Times New Roman" w:cs="Times New Roman"/>
          <w:sz w:val="24"/>
          <w:szCs w:val="24"/>
        </w:rPr>
        <w:tab/>
        <w:t>outlined the Panel’s active role in examining scientific evidence in the context of the TBT Agreement, and in accordance with its obligations under Article 11 of the Understanding on Rules and Procedures Governing the Settlement of Disputes (DSU</w:t>
      </w:r>
      <w:proofErr w:type="gramStart"/>
      <w:r w:rsidRPr="00B61653">
        <w:rPr>
          <w:rFonts w:ascii="Times New Roman" w:hAnsi="Times New Roman" w:cs="Times New Roman"/>
          <w:sz w:val="24"/>
          <w:szCs w:val="24"/>
        </w:rPr>
        <w:t>);</w:t>
      </w:r>
      <w:proofErr w:type="gramEnd"/>
      <w:r w:rsidRPr="00B61653">
        <w:rPr>
          <w:rFonts w:ascii="Times New Roman" w:hAnsi="Times New Roman" w:cs="Times New Roman"/>
          <w:sz w:val="24"/>
          <w:szCs w:val="24"/>
        </w:rPr>
        <w:t xml:space="preserve"> </w:t>
      </w:r>
    </w:p>
    <w:p w14:paraId="7A643863" w14:textId="77777777" w:rsidR="00B61653" w:rsidRPr="00B61653" w:rsidRDefault="00B61653" w:rsidP="005F2FE9">
      <w:pPr>
        <w:ind w:left="1418" w:hanging="698"/>
        <w:rPr>
          <w:rFonts w:ascii="Times New Roman" w:hAnsi="Times New Roman" w:cs="Times New Roman"/>
          <w:sz w:val="24"/>
          <w:szCs w:val="24"/>
        </w:rPr>
      </w:pPr>
      <w:r w:rsidRPr="00B61653">
        <w:rPr>
          <w:rFonts w:ascii="Times New Roman" w:hAnsi="Times New Roman" w:cs="Times New Roman"/>
          <w:sz w:val="24"/>
          <w:szCs w:val="24"/>
        </w:rPr>
        <w:t>•</w:t>
      </w:r>
      <w:r w:rsidRPr="00B61653">
        <w:rPr>
          <w:rFonts w:ascii="Times New Roman" w:hAnsi="Times New Roman" w:cs="Times New Roman"/>
          <w:sz w:val="24"/>
          <w:szCs w:val="24"/>
        </w:rPr>
        <w:tab/>
        <w:t>demonstrated that the obligations under the TBT Agreement should not be interpreted in light of the “precautionary approach</w:t>
      </w:r>
      <w:proofErr w:type="gramStart"/>
      <w:r w:rsidRPr="00B61653">
        <w:rPr>
          <w:rFonts w:ascii="Times New Roman" w:hAnsi="Times New Roman" w:cs="Times New Roman"/>
          <w:sz w:val="24"/>
          <w:szCs w:val="24"/>
        </w:rPr>
        <w:t>”;</w:t>
      </w:r>
      <w:proofErr w:type="gramEnd"/>
      <w:r w:rsidRPr="00B61653">
        <w:rPr>
          <w:rFonts w:ascii="Times New Roman" w:hAnsi="Times New Roman" w:cs="Times New Roman"/>
          <w:sz w:val="24"/>
          <w:szCs w:val="24"/>
        </w:rPr>
        <w:t xml:space="preserve"> </w:t>
      </w:r>
    </w:p>
    <w:p w14:paraId="71D42BFE" w14:textId="77777777" w:rsidR="00B61653" w:rsidRPr="00B61653" w:rsidRDefault="00B61653" w:rsidP="005F2FE9">
      <w:pPr>
        <w:ind w:left="1418" w:hanging="698"/>
        <w:rPr>
          <w:rFonts w:ascii="Times New Roman" w:hAnsi="Times New Roman" w:cs="Times New Roman"/>
          <w:sz w:val="24"/>
          <w:szCs w:val="24"/>
        </w:rPr>
      </w:pPr>
      <w:r w:rsidRPr="00B61653">
        <w:rPr>
          <w:rFonts w:ascii="Times New Roman" w:hAnsi="Times New Roman" w:cs="Times New Roman"/>
          <w:sz w:val="24"/>
          <w:szCs w:val="24"/>
        </w:rPr>
        <w:t>•</w:t>
      </w:r>
      <w:r w:rsidRPr="00B61653">
        <w:rPr>
          <w:rFonts w:ascii="Times New Roman" w:hAnsi="Times New Roman" w:cs="Times New Roman"/>
          <w:sz w:val="24"/>
          <w:szCs w:val="24"/>
        </w:rPr>
        <w:tab/>
        <w:t>set out the correct legal standard for ‘trade restrictiveness’, ‘contribution’ and ‘less trade restrictive alternatives’ under Article 2.2 of the TBT Agreement; and</w:t>
      </w:r>
    </w:p>
    <w:p w14:paraId="73A89D31" w14:textId="77777777" w:rsidR="00B61653" w:rsidRPr="00B61653" w:rsidRDefault="00B61653" w:rsidP="005F2FE9">
      <w:pPr>
        <w:ind w:left="1418" w:hanging="698"/>
        <w:rPr>
          <w:rFonts w:ascii="Times New Roman" w:hAnsi="Times New Roman" w:cs="Times New Roman"/>
          <w:sz w:val="24"/>
          <w:szCs w:val="24"/>
        </w:rPr>
      </w:pPr>
      <w:r w:rsidRPr="00B61653">
        <w:rPr>
          <w:rFonts w:ascii="Times New Roman" w:hAnsi="Times New Roman" w:cs="Times New Roman"/>
          <w:sz w:val="24"/>
          <w:szCs w:val="24"/>
        </w:rPr>
        <w:t>•</w:t>
      </w:r>
      <w:r w:rsidRPr="00B61653">
        <w:rPr>
          <w:rFonts w:ascii="Times New Roman" w:hAnsi="Times New Roman" w:cs="Times New Roman"/>
          <w:sz w:val="24"/>
          <w:szCs w:val="24"/>
        </w:rPr>
        <w:tab/>
        <w:t xml:space="preserve">highlighted the distinct legal tests for ‘necessity’ under Articles XX(a) and (b), and ‘relates to’ under Article XX(g) of the GATT 1994. </w:t>
      </w:r>
    </w:p>
    <w:p w14:paraId="61BF5849" w14:textId="77777777" w:rsidR="00B61653" w:rsidRPr="00B61653" w:rsidRDefault="00B61653" w:rsidP="00B61653">
      <w:pPr>
        <w:pStyle w:val="Heading2"/>
      </w:pPr>
      <w:r w:rsidRPr="00B61653">
        <w:t>II.</w:t>
      </w:r>
      <w:r w:rsidRPr="00B61653">
        <w:tab/>
        <w:t>Evaluation of Scientific Evidence Within the Context of the TBT Agreement</w:t>
      </w:r>
    </w:p>
    <w:p w14:paraId="04AAD146" w14:textId="77777777" w:rsidR="00B61653" w:rsidRPr="00B61653" w:rsidRDefault="00B61653" w:rsidP="00B61653">
      <w:pPr>
        <w:rPr>
          <w:rFonts w:ascii="Times New Roman" w:hAnsi="Times New Roman" w:cs="Times New Roman"/>
          <w:sz w:val="24"/>
          <w:szCs w:val="24"/>
        </w:rPr>
      </w:pPr>
      <w:r w:rsidRPr="00B61653">
        <w:rPr>
          <w:rFonts w:ascii="Times New Roman" w:hAnsi="Times New Roman" w:cs="Times New Roman"/>
          <w:sz w:val="24"/>
          <w:szCs w:val="24"/>
        </w:rPr>
        <w:t>3.</w:t>
      </w:r>
      <w:r w:rsidRPr="00B61653">
        <w:rPr>
          <w:rFonts w:ascii="Times New Roman" w:hAnsi="Times New Roman" w:cs="Times New Roman"/>
          <w:sz w:val="24"/>
          <w:szCs w:val="24"/>
        </w:rPr>
        <w:tab/>
        <w:t>Article 11 of the DSU provides, in relevant part, that the role of the Panel is to:</w:t>
      </w:r>
    </w:p>
    <w:p w14:paraId="18C5635A" w14:textId="77777777" w:rsidR="00B61653" w:rsidRPr="00F564B4" w:rsidRDefault="00B61653" w:rsidP="00F564B4">
      <w:pPr>
        <w:ind w:left="1440"/>
        <w:rPr>
          <w:rFonts w:ascii="Times New Roman" w:hAnsi="Times New Roman" w:cs="Times New Roman"/>
        </w:rPr>
      </w:pPr>
      <w:r w:rsidRPr="00F564B4">
        <w:rPr>
          <w:rFonts w:ascii="Times New Roman" w:hAnsi="Times New Roman" w:cs="Times New Roman"/>
        </w:rPr>
        <w:t>make an objective assessment of the matter before it, including an objective assessment of the facts of the case and the applicability of and conformity with the relevant covered agreements, and make such other findings as will assist the DSB in making the recommendations or in giving the rulings provided for in the covered agreements</w:t>
      </w:r>
    </w:p>
    <w:p w14:paraId="21D1CCED" w14:textId="77777777" w:rsidR="00F564B4" w:rsidRDefault="00B61653" w:rsidP="005F2FE9">
      <w:pPr>
        <w:ind w:left="709" w:hanging="709"/>
        <w:rPr>
          <w:rFonts w:ascii="Times New Roman" w:hAnsi="Times New Roman" w:cs="Times New Roman"/>
          <w:sz w:val="24"/>
          <w:szCs w:val="24"/>
        </w:rPr>
      </w:pPr>
      <w:r w:rsidRPr="00B61653">
        <w:rPr>
          <w:rFonts w:ascii="Times New Roman" w:hAnsi="Times New Roman" w:cs="Times New Roman"/>
          <w:sz w:val="24"/>
          <w:szCs w:val="24"/>
        </w:rPr>
        <w:t>4.</w:t>
      </w:r>
      <w:r w:rsidRPr="00B61653">
        <w:rPr>
          <w:rFonts w:ascii="Times New Roman" w:hAnsi="Times New Roman" w:cs="Times New Roman"/>
          <w:sz w:val="24"/>
          <w:szCs w:val="24"/>
        </w:rPr>
        <w:tab/>
        <w:t>Australia submits that in fulfilling this obligation, it is appropriate for a panel to actively consider the extent to which the body of evidence before it, as a whole, provides a reasonable basis in support of the proposition for which it is being invoked</w:t>
      </w:r>
      <w:r w:rsidR="00F564B4">
        <w:rPr>
          <w:rStyle w:val="FootnoteReference"/>
          <w:rFonts w:ascii="Times New Roman" w:hAnsi="Times New Roman" w:cs="Times New Roman"/>
          <w:sz w:val="24"/>
          <w:szCs w:val="24"/>
        </w:rPr>
        <w:footnoteReference w:id="1"/>
      </w:r>
      <w:r w:rsidRPr="00B61653">
        <w:rPr>
          <w:rFonts w:ascii="Times New Roman" w:hAnsi="Times New Roman" w:cs="Times New Roman"/>
          <w:sz w:val="24"/>
          <w:szCs w:val="24"/>
        </w:rPr>
        <w:t>.  In this assessment, to the extent that scientific evidence is being relied upon, a panel should have regard to whether such evidence “comes from a qualified and respected source”, whether it has the “necessary scientific and methodological rigor to be considered reputable science” or reflects “legitimate science according to the standards of the relevant scientific community”, and “whether the reasoning articulated on the basis of the scientific evidence is objective and coherent.”</w:t>
      </w:r>
      <w:r w:rsidR="00F564B4">
        <w:rPr>
          <w:rStyle w:val="FootnoteReference"/>
          <w:rFonts w:ascii="Times New Roman" w:hAnsi="Times New Roman" w:cs="Times New Roman"/>
          <w:sz w:val="24"/>
          <w:szCs w:val="24"/>
        </w:rPr>
        <w:footnoteReference w:id="2"/>
      </w:r>
      <w:r w:rsidRPr="00B61653">
        <w:rPr>
          <w:rFonts w:ascii="Times New Roman" w:hAnsi="Times New Roman" w:cs="Times New Roman"/>
          <w:sz w:val="24"/>
          <w:szCs w:val="24"/>
        </w:rPr>
        <w:t xml:space="preserve">  </w:t>
      </w:r>
    </w:p>
    <w:p w14:paraId="555821F7" w14:textId="6C054916" w:rsidR="00B61653" w:rsidRPr="00B61653" w:rsidRDefault="00B61653" w:rsidP="005F2FE9">
      <w:pPr>
        <w:ind w:left="709" w:hanging="709"/>
        <w:rPr>
          <w:rFonts w:ascii="Times New Roman" w:hAnsi="Times New Roman" w:cs="Times New Roman"/>
          <w:sz w:val="24"/>
          <w:szCs w:val="24"/>
        </w:rPr>
      </w:pPr>
      <w:r w:rsidRPr="00B61653">
        <w:rPr>
          <w:rFonts w:ascii="Times New Roman" w:hAnsi="Times New Roman" w:cs="Times New Roman"/>
          <w:sz w:val="24"/>
          <w:szCs w:val="24"/>
        </w:rPr>
        <w:t>5.</w:t>
      </w:r>
      <w:r w:rsidRPr="00B61653">
        <w:rPr>
          <w:rFonts w:ascii="Times New Roman" w:hAnsi="Times New Roman" w:cs="Times New Roman"/>
          <w:sz w:val="24"/>
          <w:szCs w:val="24"/>
        </w:rPr>
        <w:tab/>
        <w:t xml:space="preserve">Australia further submits that limitations or the lack of available evidence also has probative value and should be </w:t>
      </w:r>
      <w:proofErr w:type="gramStart"/>
      <w:r w:rsidRPr="00B61653">
        <w:rPr>
          <w:rFonts w:ascii="Times New Roman" w:hAnsi="Times New Roman" w:cs="Times New Roman"/>
          <w:sz w:val="24"/>
          <w:szCs w:val="24"/>
        </w:rPr>
        <w:t>taken into account</w:t>
      </w:r>
      <w:proofErr w:type="gramEnd"/>
      <w:r w:rsidRPr="00B61653">
        <w:rPr>
          <w:rFonts w:ascii="Times New Roman" w:hAnsi="Times New Roman" w:cs="Times New Roman"/>
          <w:sz w:val="24"/>
          <w:szCs w:val="24"/>
        </w:rPr>
        <w:t xml:space="preserve"> by a panel. </w:t>
      </w:r>
      <w:r w:rsidR="00F564B4">
        <w:rPr>
          <w:rStyle w:val="FootnoteReference"/>
          <w:rFonts w:ascii="Times New Roman" w:hAnsi="Times New Roman" w:cs="Times New Roman"/>
          <w:sz w:val="24"/>
          <w:szCs w:val="24"/>
        </w:rPr>
        <w:footnoteReference w:id="3"/>
      </w:r>
    </w:p>
    <w:p w14:paraId="179F420E" w14:textId="77777777" w:rsidR="00B61653" w:rsidRPr="00B61653" w:rsidRDefault="00B61653" w:rsidP="00B61653">
      <w:pPr>
        <w:pStyle w:val="Heading2"/>
      </w:pPr>
      <w:r w:rsidRPr="00B61653">
        <w:lastRenderedPageBreak/>
        <w:t>III.</w:t>
      </w:r>
      <w:r w:rsidRPr="00B61653">
        <w:tab/>
        <w:t xml:space="preserve">interpretation of THE TBT Agreement  </w:t>
      </w:r>
    </w:p>
    <w:p w14:paraId="53B5CE34" w14:textId="77777777" w:rsidR="00B61653" w:rsidRPr="00B61653" w:rsidRDefault="00B61653" w:rsidP="00B61653">
      <w:pPr>
        <w:pStyle w:val="Heading3"/>
      </w:pPr>
      <w:r w:rsidRPr="00B61653">
        <w:t xml:space="preserve">The “Precautionary Approach” </w:t>
      </w:r>
    </w:p>
    <w:p w14:paraId="00B486CC" w14:textId="5CBBCC51" w:rsidR="00B61653" w:rsidRPr="00B61653" w:rsidRDefault="00B61653" w:rsidP="005F2FE9">
      <w:pPr>
        <w:ind w:left="709" w:hanging="709"/>
        <w:rPr>
          <w:rFonts w:ascii="Times New Roman" w:hAnsi="Times New Roman" w:cs="Times New Roman"/>
          <w:sz w:val="24"/>
          <w:szCs w:val="24"/>
        </w:rPr>
      </w:pPr>
      <w:r w:rsidRPr="00B61653">
        <w:rPr>
          <w:rFonts w:ascii="Times New Roman" w:hAnsi="Times New Roman" w:cs="Times New Roman"/>
          <w:sz w:val="24"/>
          <w:szCs w:val="24"/>
        </w:rPr>
        <w:t>6.</w:t>
      </w:r>
      <w:r w:rsidRPr="00B61653">
        <w:rPr>
          <w:rFonts w:ascii="Times New Roman" w:hAnsi="Times New Roman" w:cs="Times New Roman"/>
          <w:sz w:val="24"/>
          <w:szCs w:val="24"/>
        </w:rPr>
        <w:tab/>
        <w:t xml:space="preserve">Australia submits that there is no textual basis in the TBT Agreement to support a ‘reading in’ of  the “precautionary approach” to the obligations for technical regulations, conformity assessment procedures or standards, nor is it necessary to do so to properly decide this dispute. The Appellate Body has set out the correct legal tests in relation to the key TBT obligations that are contested in this dispute. As noted below, in relation to Article 2.2, the Appellate Body has held that the assessment of ‘necessity’ involves consideration of a range of factors, including the </w:t>
      </w:r>
      <w:r w:rsidRPr="00B61653">
        <w:rPr>
          <w:rFonts w:ascii="Times New Roman" w:hAnsi="Times New Roman" w:cs="Times New Roman"/>
          <w:b/>
          <w:bCs/>
          <w:sz w:val="24"/>
          <w:szCs w:val="24"/>
        </w:rPr>
        <w:t>degree of contribution that the technical regulation makes to the achievement of a legitimate objective</w:t>
      </w:r>
      <w:r w:rsidRPr="00B61653">
        <w:rPr>
          <w:rFonts w:ascii="Times New Roman" w:hAnsi="Times New Roman" w:cs="Times New Roman"/>
          <w:sz w:val="24"/>
          <w:szCs w:val="24"/>
        </w:rPr>
        <w:t>.</w:t>
      </w:r>
      <w:r w:rsidR="00F564B4">
        <w:rPr>
          <w:rStyle w:val="FootnoteReference"/>
          <w:rFonts w:ascii="Times New Roman" w:hAnsi="Times New Roman" w:cs="Times New Roman"/>
          <w:sz w:val="24"/>
          <w:szCs w:val="24"/>
        </w:rPr>
        <w:footnoteReference w:id="4"/>
      </w:r>
      <w:r w:rsidR="00F564B4">
        <w:rPr>
          <w:rFonts w:ascii="Times New Roman" w:hAnsi="Times New Roman" w:cs="Times New Roman"/>
          <w:sz w:val="24"/>
          <w:szCs w:val="24"/>
        </w:rPr>
        <w:t xml:space="preserve"> </w:t>
      </w:r>
      <w:r w:rsidRPr="00B61653">
        <w:rPr>
          <w:rFonts w:ascii="Times New Roman" w:hAnsi="Times New Roman" w:cs="Times New Roman"/>
          <w:sz w:val="24"/>
          <w:szCs w:val="24"/>
        </w:rPr>
        <w:t>‘Contribution’ should be discerned from the design, structure, and operation of the technical regulation, evidence relating to the application of the measure, as well as any limitations in the evidence.</w:t>
      </w:r>
      <w:r w:rsidR="00F564B4">
        <w:rPr>
          <w:rStyle w:val="FootnoteReference"/>
          <w:rFonts w:ascii="Times New Roman" w:hAnsi="Times New Roman" w:cs="Times New Roman"/>
          <w:sz w:val="24"/>
          <w:szCs w:val="24"/>
        </w:rPr>
        <w:footnoteReference w:id="5"/>
      </w:r>
      <w:r w:rsidRPr="00B61653">
        <w:rPr>
          <w:rFonts w:ascii="Times New Roman" w:hAnsi="Times New Roman" w:cs="Times New Roman"/>
          <w:sz w:val="24"/>
          <w:szCs w:val="24"/>
        </w:rPr>
        <w:t xml:space="preserve">  It should not be merely assumed or ‘deemed’ to exist through the invocation of the “precautionary approach”. To do so would undermine the basic legal standards for a key TBT obligation. This would have systemic implications for the rights and obligations of every WTO Member.</w:t>
      </w:r>
      <w:r w:rsidR="00F564B4">
        <w:rPr>
          <w:rStyle w:val="FootnoteReference"/>
          <w:rFonts w:ascii="Times New Roman" w:hAnsi="Times New Roman" w:cs="Times New Roman"/>
          <w:sz w:val="24"/>
          <w:szCs w:val="24"/>
        </w:rPr>
        <w:footnoteReference w:id="6"/>
      </w:r>
    </w:p>
    <w:p w14:paraId="34F29119" w14:textId="77777777" w:rsidR="00B61653" w:rsidRPr="00B61653" w:rsidRDefault="00B61653" w:rsidP="00B61653">
      <w:pPr>
        <w:pStyle w:val="Heading3"/>
      </w:pPr>
      <w:r w:rsidRPr="00B61653">
        <w:t xml:space="preserve">Article 2.2 of the TBT Agreement  </w:t>
      </w:r>
    </w:p>
    <w:p w14:paraId="58B53566" w14:textId="77777777" w:rsidR="00B61653" w:rsidRPr="00B61653" w:rsidRDefault="00B61653" w:rsidP="00B61653">
      <w:pPr>
        <w:rPr>
          <w:rFonts w:ascii="Times New Roman" w:hAnsi="Times New Roman" w:cs="Times New Roman"/>
          <w:sz w:val="24"/>
          <w:szCs w:val="24"/>
        </w:rPr>
      </w:pPr>
      <w:r w:rsidRPr="00B61653">
        <w:rPr>
          <w:rFonts w:ascii="Times New Roman" w:hAnsi="Times New Roman" w:cs="Times New Roman"/>
          <w:sz w:val="24"/>
          <w:szCs w:val="24"/>
        </w:rPr>
        <w:t>7.</w:t>
      </w:r>
      <w:r w:rsidRPr="00B61653">
        <w:rPr>
          <w:rFonts w:ascii="Times New Roman" w:hAnsi="Times New Roman" w:cs="Times New Roman"/>
          <w:sz w:val="24"/>
          <w:szCs w:val="24"/>
        </w:rPr>
        <w:tab/>
        <w:t>Article 2.2 of the TBT Agreement provides:</w:t>
      </w:r>
    </w:p>
    <w:p w14:paraId="1C357A3F" w14:textId="77777777" w:rsidR="00B61653" w:rsidRPr="00F564B4" w:rsidRDefault="00B61653" w:rsidP="00F564B4">
      <w:pPr>
        <w:ind w:left="1440"/>
        <w:rPr>
          <w:rFonts w:ascii="Times New Roman" w:hAnsi="Times New Roman" w:cs="Times New Roman"/>
          <w:sz w:val="20"/>
          <w:szCs w:val="20"/>
        </w:rPr>
      </w:pPr>
      <w:r w:rsidRPr="00F564B4">
        <w:rPr>
          <w:rFonts w:ascii="Times New Roman" w:hAnsi="Times New Roman" w:cs="Times New Roman"/>
          <w:sz w:val="20"/>
          <w:szCs w:val="20"/>
        </w:rPr>
        <w:t xml:space="preserve">Members shall ensure that technical regulations are not prepared, </w:t>
      </w:r>
      <w:proofErr w:type="gramStart"/>
      <w:r w:rsidRPr="00F564B4">
        <w:rPr>
          <w:rFonts w:ascii="Times New Roman" w:hAnsi="Times New Roman" w:cs="Times New Roman"/>
          <w:sz w:val="20"/>
          <w:szCs w:val="20"/>
        </w:rPr>
        <w:t>adopted</w:t>
      </w:r>
      <w:proofErr w:type="gramEnd"/>
      <w:r w:rsidRPr="00F564B4">
        <w:rPr>
          <w:rFonts w:ascii="Times New Roman" w:hAnsi="Times New Roman" w:cs="Times New Roman"/>
          <w:sz w:val="20"/>
          <w:szCs w:val="20"/>
        </w:rPr>
        <w:t xml:space="preserve"> or applied with a view to or with the effect of creating unnecessary obstacles to international trade. For this purpose, technical regulations shall not be more trade-restrictive than necessary to fulfil a legitimate objective, taking account of the risks non-fulfilment would create. Such legitimate objectives are, inter alia: national security requirements; the prevention of deceptive practices; protection of human health or safety, animal or plant life or health, or the environment. In assessing such risks, relevant elements of consideration are, inter alia: available scientific and technical information, related processing technology or intended end-uses of products</w:t>
      </w:r>
    </w:p>
    <w:p w14:paraId="6247A28F" w14:textId="301FDB99" w:rsidR="00F564B4" w:rsidRDefault="00B61653" w:rsidP="005F2FE9">
      <w:pPr>
        <w:ind w:left="709" w:hanging="709"/>
        <w:rPr>
          <w:rFonts w:ascii="Times New Roman" w:hAnsi="Times New Roman" w:cs="Times New Roman"/>
          <w:sz w:val="24"/>
          <w:szCs w:val="24"/>
        </w:rPr>
      </w:pPr>
      <w:r w:rsidRPr="00B61653">
        <w:rPr>
          <w:rFonts w:ascii="Times New Roman" w:hAnsi="Times New Roman" w:cs="Times New Roman"/>
          <w:sz w:val="24"/>
          <w:szCs w:val="24"/>
        </w:rPr>
        <w:t>8.</w:t>
      </w:r>
      <w:r w:rsidRPr="00B61653">
        <w:rPr>
          <w:rFonts w:ascii="Times New Roman" w:hAnsi="Times New Roman" w:cs="Times New Roman"/>
          <w:sz w:val="24"/>
          <w:szCs w:val="24"/>
        </w:rPr>
        <w:tab/>
        <w:t>The assessment of ‘necessity’ in the context of Article 2.2, involves a ‘relational analysis’ of the following factors: (</w:t>
      </w:r>
      <w:proofErr w:type="spellStart"/>
      <w:r w:rsidRPr="00B61653">
        <w:rPr>
          <w:rFonts w:ascii="Times New Roman" w:hAnsi="Times New Roman" w:cs="Times New Roman"/>
          <w:sz w:val="24"/>
          <w:szCs w:val="24"/>
        </w:rPr>
        <w:t>i</w:t>
      </w:r>
      <w:proofErr w:type="spellEnd"/>
      <w:r w:rsidRPr="00B61653">
        <w:rPr>
          <w:rFonts w:ascii="Times New Roman" w:hAnsi="Times New Roman" w:cs="Times New Roman"/>
          <w:sz w:val="24"/>
          <w:szCs w:val="24"/>
        </w:rPr>
        <w:t>) the trade restrictiveness of the technical regulation; (ii) the degree of contribution that the technical regulation makes to the achievement of a legitimate objective; and (iii) the risks non-fulfilment would create.</w:t>
      </w:r>
      <w:r w:rsidR="00F564B4">
        <w:rPr>
          <w:rStyle w:val="FootnoteReference"/>
          <w:rFonts w:ascii="Times New Roman" w:hAnsi="Times New Roman" w:cs="Times New Roman"/>
          <w:sz w:val="24"/>
          <w:szCs w:val="24"/>
        </w:rPr>
        <w:footnoteReference w:id="7"/>
      </w:r>
      <w:r w:rsidRPr="00B61653">
        <w:rPr>
          <w:rFonts w:ascii="Times New Roman" w:hAnsi="Times New Roman" w:cs="Times New Roman"/>
          <w:sz w:val="24"/>
          <w:szCs w:val="24"/>
        </w:rPr>
        <w:t xml:space="preserve">  In most cases, when considering whether a technical regulation is “more trade-restrictive than necessary”, a comparison of the challenged measure and possible alternative measures should also be undertaken.</w:t>
      </w:r>
      <w:r w:rsidR="00F564B4">
        <w:rPr>
          <w:rStyle w:val="FootnoteReference"/>
          <w:rFonts w:ascii="Times New Roman" w:hAnsi="Times New Roman" w:cs="Times New Roman"/>
          <w:sz w:val="24"/>
          <w:szCs w:val="24"/>
        </w:rPr>
        <w:footnoteReference w:id="8"/>
      </w:r>
    </w:p>
    <w:p w14:paraId="51383EBE" w14:textId="77777777" w:rsidR="00F564B4" w:rsidRDefault="00F564B4">
      <w:pPr>
        <w:rPr>
          <w:rFonts w:ascii="Times New Roman" w:hAnsi="Times New Roman" w:cs="Times New Roman"/>
          <w:sz w:val="24"/>
          <w:szCs w:val="24"/>
        </w:rPr>
      </w:pPr>
      <w:r>
        <w:rPr>
          <w:rFonts w:ascii="Times New Roman" w:hAnsi="Times New Roman" w:cs="Times New Roman"/>
          <w:sz w:val="24"/>
          <w:szCs w:val="24"/>
        </w:rPr>
        <w:br w:type="page"/>
      </w:r>
    </w:p>
    <w:p w14:paraId="7B42AE8C" w14:textId="6C302238" w:rsidR="00B61653" w:rsidRPr="00B61653" w:rsidRDefault="00B61653" w:rsidP="005F2FE9">
      <w:pPr>
        <w:ind w:left="709" w:hanging="709"/>
        <w:rPr>
          <w:rFonts w:ascii="Times New Roman" w:hAnsi="Times New Roman" w:cs="Times New Roman"/>
          <w:sz w:val="24"/>
          <w:szCs w:val="24"/>
        </w:rPr>
      </w:pPr>
      <w:r w:rsidRPr="00B61653">
        <w:rPr>
          <w:rFonts w:ascii="Times New Roman" w:hAnsi="Times New Roman" w:cs="Times New Roman"/>
          <w:sz w:val="24"/>
          <w:szCs w:val="24"/>
        </w:rPr>
        <w:lastRenderedPageBreak/>
        <w:t>9.</w:t>
      </w:r>
      <w:r w:rsidRPr="00B61653">
        <w:rPr>
          <w:rFonts w:ascii="Times New Roman" w:hAnsi="Times New Roman" w:cs="Times New Roman"/>
          <w:sz w:val="24"/>
          <w:szCs w:val="24"/>
        </w:rPr>
        <w:tab/>
        <w:t>The Appellate Body has confirmed that a technical regulation is ‘trade restrictive’ when it has a limiting effect on international trade.</w:t>
      </w:r>
      <w:r w:rsidR="00F564B4">
        <w:rPr>
          <w:rStyle w:val="FootnoteReference"/>
          <w:rFonts w:ascii="Times New Roman" w:hAnsi="Times New Roman" w:cs="Times New Roman"/>
          <w:sz w:val="24"/>
          <w:szCs w:val="24"/>
        </w:rPr>
        <w:footnoteReference w:id="9"/>
      </w:r>
      <w:r w:rsidRPr="00B61653">
        <w:rPr>
          <w:rFonts w:ascii="Times New Roman" w:hAnsi="Times New Roman" w:cs="Times New Roman"/>
          <w:sz w:val="24"/>
          <w:szCs w:val="24"/>
        </w:rPr>
        <w:t xml:space="preserve"> To determine the extent of ‘trade restrictiveness’ a panel should examine the structure, design and operation of the measure, as well as take into account all relevant evidence adduced by the parties.</w:t>
      </w:r>
      <w:r w:rsidR="00F564B4">
        <w:rPr>
          <w:rStyle w:val="FootnoteReference"/>
          <w:rFonts w:ascii="Times New Roman" w:hAnsi="Times New Roman" w:cs="Times New Roman"/>
          <w:sz w:val="24"/>
          <w:szCs w:val="24"/>
        </w:rPr>
        <w:footnoteReference w:id="10"/>
      </w:r>
      <w:r w:rsidR="00F564B4">
        <w:rPr>
          <w:rFonts w:ascii="Times New Roman" w:hAnsi="Times New Roman" w:cs="Times New Roman"/>
          <w:sz w:val="24"/>
          <w:szCs w:val="24"/>
        </w:rPr>
        <w:t xml:space="preserve"> </w:t>
      </w:r>
      <w:r w:rsidRPr="00B61653">
        <w:rPr>
          <w:rFonts w:ascii="Times New Roman" w:hAnsi="Times New Roman" w:cs="Times New Roman"/>
          <w:sz w:val="24"/>
          <w:szCs w:val="24"/>
        </w:rPr>
        <w:t>Australia does not agree with the EU’s suggestion, that in the absence of a complete prevention of market access, the trade restrictiveness of a measure will necessarily be “minimal.”</w:t>
      </w:r>
      <w:r w:rsidR="00F564B4">
        <w:rPr>
          <w:rStyle w:val="FootnoteReference"/>
          <w:rFonts w:ascii="Times New Roman" w:hAnsi="Times New Roman" w:cs="Times New Roman"/>
          <w:sz w:val="24"/>
          <w:szCs w:val="24"/>
        </w:rPr>
        <w:footnoteReference w:id="11"/>
      </w:r>
      <w:r w:rsidR="00F564B4">
        <w:rPr>
          <w:rFonts w:ascii="Times New Roman" w:hAnsi="Times New Roman" w:cs="Times New Roman"/>
          <w:sz w:val="24"/>
          <w:szCs w:val="24"/>
        </w:rPr>
        <w:t xml:space="preserve"> </w:t>
      </w:r>
      <w:r w:rsidRPr="00B61653">
        <w:rPr>
          <w:rFonts w:ascii="Times New Roman" w:hAnsi="Times New Roman" w:cs="Times New Roman"/>
          <w:sz w:val="24"/>
          <w:szCs w:val="24"/>
        </w:rPr>
        <w:t>Further, Australia recalls that the existence of discrimination (in a finding under Article 2.1 of the TBT Agreement) may contribute to the establishment of ‘trade restrictiveness’ within the meaning of Article 2.2.</w:t>
      </w:r>
      <w:r w:rsidR="00F564B4">
        <w:rPr>
          <w:rStyle w:val="FootnoteReference"/>
          <w:rFonts w:ascii="Times New Roman" w:hAnsi="Times New Roman" w:cs="Times New Roman"/>
          <w:sz w:val="24"/>
          <w:szCs w:val="24"/>
        </w:rPr>
        <w:footnoteReference w:id="12"/>
      </w:r>
      <w:r w:rsidRPr="00B61653">
        <w:rPr>
          <w:rFonts w:ascii="Times New Roman" w:hAnsi="Times New Roman" w:cs="Times New Roman"/>
          <w:sz w:val="24"/>
          <w:szCs w:val="24"/>
        </w:rPr>
        <w:t xml:space="preserve"> </w:t>
      </w:r>
    </w:p>
    <w:p w14:paraId="54888F6C" w14:textId="0497F70C" w:rsidR="00B61653" w:rsidRPr="00B61653" w:rsidRDefault="00B61653" w:rsidP="005F2FE9">
      <w:pPr>
        <w:ind w:left="709" w:hanging="709"/>
        <w:rPr>
          <w:rFonts w:ascii="Times New Roman" w:hAnsi="Times New Roman" w:cs="Times New Roman"/>
          <w:sz w:val="24"/>
          <w:szCs w:val="24"/>
        </w:rPr>
      </w:pPr>
      <w:r w:rsidRPr="00B61653">
        <w:rPr>
          <w:rFonts w:ascii="Times New Roman" w:hAnsi="Times New Roman" w:cs="Times New Roman"/>
          <w:sz w:val="24"/>
          <w:szCs w:val="24"/>
        </w:rPr>
        <w:t>10.</w:t>
      </w:r>
      <w:r w:rsidRPr="00B61653">
        <w:rPr>
          <w:rFonts w:ascii="Times New Roman" w:hAnsi="Times New Roman" w:cs="Times New Roman"/>
          <w:sz w:val="24"/>
          <w:szCs w:val="24"/>
        </w:rPr>
        <w:tab/>
        <w:t>With regards to the degree of contribution that a technical regulation makes to the achievement of the legitimate objectives, there is no single approach that is suited to conducting this type of analysis in all cases.</w:t>
      </w:r>
      <w:r w:rsidR="00F564B4">
        <w:rPr>
          <w:rStyle w:val="FootnoteReference"/>
          <w:rFonts w:ascii="Times New Roman" w:hAnsi="Times New Roman" w:cs="Times New Roman"/>
          <w:sz w:val="24"/>
          <w:szCs w:val="24"/>
        </w:rPr>
        <w:footnoteReference w:id="13"/>
      </w:r>
      <w:r w:rsidR="00F564B4">
        <w:rPr>
          <w:rFonts w:ascii="Times New Roman" w:hAnsi="Times New Roman" w:cs="Times New Roman"/>
          <w:sz w:val="24"/>
          <w:szCs w:val="24"/>
        </w:rPr>
        <w:t xml:space="preserve"> </w:t>
      </w:r>
      <w:r w:rsidRPr="00B61653">
        <w:rPr>
          <w:rFonts w:ascii="Times New Roman" w:hAnsi="Times New Roman" w:cs="Times New Roman"/>
          <w:sz w:val="24"/>
          <w:szCs w:val="24"/>
        </w:rPr>
        <w:t>In Australia – Tobacco Plain Packaging the panel, quoting the Appellate Body in US – COOL (Article 21.5 – Canada and Mexico), observed that the degree of achievement of a particular objective may be discerned from the design, structure, and operation of the technical regulation, as well as from evidence relating to the application of the measure.</w:t>
      </w:r>
      <w:r w:rsidR="00F564B4">
        <w:rPr>
          <w:rStyle w:val="FootnoteReference"/>
          <w:rFonts w:ascii="Times New Roman" w:hAnsi="Times New Roman" w:cs="Times New Roman"/>
          <w:sz w:val="24"/>
          <w:szCs w:val="24"/>
        </w:rPr>
        <w:footnoteReference w:id="14"/>
      </w:r>
      <w:r w:rsidR="00F564B4">
        <w:rPr>
          <w:rFonts w:ascii="Times New Roman" w:hAnsi="Times New Roman" w:cs="Times New Roman"/>
          <w:sz w:val="24"/>
          <w:szCs w:val="24"/>
        </w:rPr>
        <w:t xml:space="preserve"> </w:t>
      </w:r>
      <w:r w:rsidRPr="00B61653">
        <w:rPr>
          <w:rFonts w:ascii="Times New Roman" w:hAnsi="Times New Roman" w:cs="Times New Roman"/>
          <w:sz w:val="24"/>
          <w:szCs w:val="24"/>
        </w:rPr>
        <w:t>Australia reiterates its previous statements that limitations in, or unavailability of, certain evidence, can have an impact on the nature and extent of the conclusions that may be drawn by a panel in determining a measure’s ‘degree of contribution’.</w:t>
      </w:r>
      <w:r w:rsidR="00F564B4">
        <w:rPr>
          <w:rStyle w:val="FootnoteReference"/>
          <w:rFonts w:ascii="Times New Roman" w:hAnsi="Times New Roman" w:cs="Times New Roman"/>
          <w:sz w:val="24"/>
          <w:szCs w:val="24"/>
        </w:rPr>
        <w:footnoteReference w:id="15"/>
      </w:r>
    </w:p>
    <w:p w14:paraId="26D9C9C6" w14:textId="77777777" w:rsidR="00B61653" w:rsidRPr="00B61653" w:rsidRDefault="00B61653" w:rsidP="005F2FE9">
      <w:pPr>
        <w:ind w:left="709" w:hanging="709"/>
        <w:rPr>
          <w:rFonts w:ascii="Times New Roman" w:hAnsi="Times New Roman" w:cs="Times New Roman"/>
          <w:sz w:val="24"/>
          <w:szCs w:val="24"/>
        </w:rPr>
      </w:pPr>
      <w:r w:rsidRPr="00B61653">
        <w:rPr>
          <w:rFonts w:ascii="Times New Roman" w:hAnsi="Times New Roman" w:cs="Times New Roman"/>
          <w:sz w:val="24"/>
          <w:szCs w:val="24"/>
        </w:rPr>
        <w:t>11.</w:t>
      </w:r>
      <w:r w:rsidRPr="00B61653">
        <w:rPr>
          <w:rFonts w:ascii="Times New Roman" w:hAnsi="Times New Roman" w:cs="Times New Roman"/>
          <w:sz w:val="24"/>
          <w:szCs w:val="24"/>
        </w:rPr>
        <w:tab/>
        <w:t>Lastly, in relation to the comparison of the challenged measure and possible alternative measures, Australia recalls that the Appellate Body has stated that:</w:t>
      </w:r>
    </w:p>
    <w:p w14:paraId="0707040D" w14:textId="23509813" w:rsidR="00B61653" w:rsidRPr="005F2FE9" w:rsidRDefault="00B61653" w:rsidP="005F2FE9">
      <w:pPr>
        <w:ind w:left="1440"/>
        <w:rPr>
          <w:rFonts w:ascii="Times New Roman" w:hAnsi="Times New Roman" w:cs="Times New Roman"/>
        </w:rPr>
      </w:pPr>
      <w:r w:rsidRPr="005F2FE9">
        <w:rPr>
          <w:rFonts w:ascii="Times New Roman" w:hAnsi="Times New Roman" w:cs="Times New Roman"/>
        </w:rPr>
        <w:t>It would appear incongruous to expect a complainant, under Article 2.2 of the TBT Agreement, to provide detailed information on how a proposed alternative would be implemented by the respondent in practice, and precise and comprehensive estimates of the cost that such implementation would entail.</w:t>
      </w:r>
      <w:r w:rsidR="005F2FE9">
        <w:rPr>
          <w:rStyle w:val="FootnoteReference"/>
          <w:rFonts w:ascii="Times New Roman" w:hAnsi="Times New Roman" w:cs="Times New Roman"/>
        </w:rPr>
        <w:footnoteReference w:id="16"/>
      </w:r>
    </w:p>
    <w:p w14:paraId="47E32655" w14:textId="6E416EA7" w:rsidR="00B61653" w:rsidRPr="00B61653" w:rsidRDefault="00B61653" w:rsidP="005F2FE9">
      <w:pPr>
        <w:ind w:left="709" w:hanging="709"/>
        <w:rPr>
          <w:rFonts w:ascii="Times New Roman" w:hAnsi="Times New Roman" w:cs="Times New Roman"/>
          <w:sz w:val="24"/>
          <w:szCs w:val="24"/>
        </w:rPr>
      </w:pPr>
      <w:r w:rsidRPr="00B61653">
        <w:rPr>
          <w:rFonts w:ascii="Times New Roman" w:hAnsi="Times New Roman" w:cs="Times New Roman"/>
          <w:sz w:val="24"/>
          <w:szCs w:val="24"/>
        </w:rPr>
        <w:t>12.</w:t>
      </w:r>
      <w:r w:rsidRPr="00B61653">
        <w:rPr>
          <w:rFonts w:ascii="Times New Roman" w:hAnsi="Times New Roman" w:cs="Times New Roman"/>
          <w:sz w:val="24"/>
          <w:szCs w:val="24"/>
        </w:rPr>
        <w:tab/>
        <w:t xml:space="preserve">In Australia’s view, this suggests that the complainant need not provide an extensive or complete evidence-base for establishing that a proposed alternative measure is reasonably available. Rather, it would be more appropriate for the respondent, once a complainant has made a prima facie case, to establish that a proposed alternative measure is not reasonably available. </w:t>
      </w:r>
      <w:r w:rsidR="005F2FE9">
        <w:rPr>
          <w:rStyle w:val="FootnoteReference"/>
          <w:rFonts w:ascii="Times New Roman" w:hAnsi="Times New Roman" w:cs="Times New Roman"/>
          <w:sz w:val="24"/>
          <w:szCs w:val="24"/>
        </w:rPr>
        <w:footnoteReference w:id="17"/>
      </w:r>
    </w:p>
    <w:p w14:paraId="3E38975A" w14:textId="77777777" w:rsidR="00B61653" w:rsidRPr="00B61653" w:rsidRDefault="00B61653" w:rsidP="00B61653">
      <w:pPr>
        <w:pStyle w:val="Heading3"/>
      </w:pPr>
      <w:r w:rsidRPr="00B61653">
        <w:t>Article XX of the GATT</w:t>
      </w:r>
    </w:p>
    <w:p w14:paraId="1C133270" w14:textId="77777777" w:rsidR="00B61653" w:rsidRPr="00B61653" w:rsidRDefault="00B61653" w:rsidP="005F2FE9">
      <w:pPr>
        <w:ind w:left="709" w:hanging="709"/>
        <w:rPr>
          <w:rFonts w:ascii="Times New Roman" w:hAnsi="Times New Roman" w:cs="Times New Roman"/>
          <w:sz w:val="24"/>
          <w:szCs w:val="24"/>
        </w:rPr>
      </w:pPr>
      <w:r w:rsidRPr="00B61653">
        <w:rPr>
          <w:rFonts w:ascii="Times New Roman" w:hAnsi="Times New Roman" w:cs="Times New Roman"/>
          <w:sz w:val="24"/>
          <w:szCs w:val="24"/>
        </w:rPr>
        <w:t>13.</w:t>
      </w:r>
      <w:r w:rsidRPr="00B61653">
        <w:rPr>
          <w:rFonts w:ascii="Times New Roman" w:hAnsi="Times New Roman" w:cs="Times New Roman"/>
          <w:sz w:val="24"/>
          <w:szCs w:val="24"/>
        </w:rPr>
        <w:tab/>
        <w:t>It is important to note that the specific exceptions listed in paragraphs (a) – (j) of Article XX set different standards for establishing the relationship between the measure at issue and the relevant policy objective. This key distinction was highlighted by the Appellate Body in US – Gasoline when it noted:</w:t>
      </w:r>
    </w:p>
    <w:p w14:paraId="59FC8D20" w14:textId="77777777" w:rsidR="00B61653" w:rsidRPr="00B61653" w:rsidRDefault="00B61653" w:rsidP="00CC2B2D">
      <w:pPr>
        <w:ind w:left="1560"/>
        <w:rPr>
          <w:rFonts w:ascii="Times New Roman" w:hAnsi="Times New Roman" w:cs="Times New Roman"/>
          <w:sz w:val="24"/>
          <w:szCs w:val="24"/>
        </w:rPr>
      </w:pPr>
      <w:r w:rsidRPr="00B61653">
        <w:rPr>
          <w:rFonts w:ascii="Times New Roman" w:hAnsi="Times New Roman" w:cs="Times New Roman"/>
          <w:sz w:val="24"/>
          <w:szCs w:val="24"/>
        </w:rPr>
        <w:lastRenderedPageBreak/>
        <w:t>Article XX uses different terms in respect of different categories: ‘necessary’ – in paragraphs (a), (b) and (d); ‘essential’ – in paragraph (j); ‘relating to’ – in paragraphs (c), (e) and (g); ‘for the protection of’ – in paragraph (f); ‘in pursuance of’ – in paragraph (h); and ‘involving’ – in paragraph (</w:t>
      </w:r>
      <w:proofErr w:type="spellStart"/>
      <w:r w:rsidRPr="00B61653">
        <w:rPr>
          <w:rFonts w:ascii="Times New Roman" w:hAnsi="Times New Roman" w:cs="Times New Roman"/>
          <w:sz w:val="24"/>
          <w:szCs w:val="24"/>
        </w:rPr>
        <w:t>i</w:t>
      </w:r>
      <w:proofErr w:type="spellEnd"/>
      <w:r w:rsidRPr="00B61653">
        <w:rPr>
          <w:rFonts w:ascii="Times New Roman" w:hAnsi="Times New Roman" w:cs="Times New Roman"/>
          <w:sz w:val="24"/>
          <w:szCs w:val="24"/>
        </w:rPr>
        <w:t>).</w:t>
      </w:r>
    </w:p>
    <w:p w14:paraId="6217F6F9" w14:textId="6A4DB139" w:rsidR="00B61653" w:rsidRPr="00B61653" w:rsidRDefault="00B61653" w:rsidP="00CC2B2D">
      <w:pPr>
        <w:ind w:left="1560"/>
        <w:rPr>
          <w:rFonts w:ascii="Times New Roman" w:hAnsi="Times New Roman" w:cs="Times New Roman"/>
          <w:sz w:val="24"/>
          <w:szCs w:val="24"/>
        </w:rPr>
      </w:pPr>
      <w:r w:rsidRPr="00B61653">
        <w:rPr>
          <w:rFonts w:ascii="Times New Roman" w:hAnsi="Times New Roman" w:cs="Times New Roman"/>
          <w:sz w:val="24"/>
          <w:szCs w:val="24"/>
        </w:rPr>
        <w:t>It does not seem reasonable to suppose that the WTO Members intended to require, in respect of each and every category, the same kind or degree of connection or relationship between the measure under appraisal and the state interest or policy sought to be promoted or realized.</w:t>
      </w:r>
      <w:r w:rsidR="00CC2B2D">
        <w:rPr>
          <w:rStyle w:val="FootnoteReference"/>
          <w:rFonts w:ascii="Times New Roman" w:hAnsi="Times New Roman" w:cs="Times New Roman"/>
          <w:sz w:val="24"/>
          <w:szCs w:val="24"/>
        </w:rPr>
        <w:footnoteReference w:id="18"/>
      </w:r>
      <w:r w:rsidRPr="00B61653">
        <w:rPr>
          <w:rFonts w:ascii="Times New Roman" w:hAnsi="Times New Roman" w:cs="Times New Roman"/>
          <w:sz w:val="24"/>
          <w:szCs w:val="24"/>
        </w:rPr>
        <w:t xml:space="preserve"> </w:t>
      </w:r>
    </w:p>
    <w:p w14:paraId="2F18307B" w14:textId="77777777" w:rsidR="00B61653" w:rsidRPr="00B61653" w:rsidRDefault="00B61653" w:rsidP="00CC2B2D">
      <w:pPr>
        <w:ind w:left="709" w:hanging="709"/>
        <w:rPr>
          <w:rFonts w:ascii="Times New Roman" w:hAnsi="Times New Roman" w:cs="Times New Roman"/>
          <w:sz w:val="24"/>
          <w:szCs w:val="24"/>
        </w:rPr>
      </w:pPr>
      <w:r w:rsidRPr="00B61653">
        <w:rPr>
          <w:rFonts w:ascii="Times New Roman" w:hAnsi="Times New Roman" w:cs="Times New Roman"/>
          <w:sz w:val="24"/>
          <w:szCs w:val="24"/>
        </w:rPr>
        <w:t>14.</w:t>
      </w:r>
      <w:r w:rsidRPr="00B61653">
        <w:rPr>
          <w:rFonts w:ascii="Times New Roman" w:hAnsi="Times New Roman" w:cs="Times New Roman"/>
          <w:sz w:val="24"/>
          <w:szCs w:val="24"/>
        </w:rPr>
        <w:tab/>
        <w:t>In Australia’s view, the European Union has improperly sought to combine the legal tests for Articles XX(a) and (b) (i.e. “necessary”) and Article XX(g) (“relating to”). Australia submits that the ‘necessity’ and the “relating to” tests set considerably different legal standards. Reliance upon Articles XX(a) and (b) requires more than the mere establishment of a “close and genuine relationship of ends and means” between the measure at issue and the legitimate policy objectives. It requires the weighing and balancing of a range of factors, and often a comparison with less trade restrictive alternatives, to determine that the measure is actually “necessary” to achieve that objective. In Australia’s view, such differing legal standards are distinct and should not be conflated.</w:t>
      </w:r>
    </w:p>
    <w:p w14:paraId="3BE44929" w14:textId="77777777" w:rsidR="00B61653" w:rsidRPr="00B61653" w:rsidRDefault="00B61653" w:rsidP="00B61653">
      <w:pPr>
        <w:pStyle w:val="Heading2"/>
      </w:pPr>
      <w:r w:rsidRPr="00B61653">
        <w:t>IV.</w:t>
      </w:r>
      <w:r w:rsidRPr="00B61653">
        <w:tab/>
        <w:t xml:space="preserve">CONCLUSION </w:t>
      </w:r>
    </w:p>
    <w:p w14:paraId="5E7D853A" w14:textId="6AB7998F" w:rsidR="00872DA3" w:rsidRPr="00B61653" w:rsidRDefault="00B61653" w:rsidP="00CC2B2D">
      <w:pPr>
        <w:ind w:left="709" w:hanging="709"/>
        <w:rPr>
          <w:rFonts w:ascii="Times New Roman" w:hAnsi="Times New Roman" w:cs="Times New Roman"/>
          <w:sz w:val="24"/>
          <w:szCs w:val="24"/>
        </w:rPr>
      </w:pPr>
      <w:r w:rsidRPr="00B61653">
        <w:rPr>
          <w:rFonts w:ascii="Times New Roman" w:hAnsi="Times New Roman" w:cs="Times New Roman"/>
          <w:sz w:val="24"/>
          <w:szCs w:val="24"/>
        </w:rPr>
        <w:t>15.</w:t>
      </w:r>
      <w:r w:rsidRPr="00B61653">
        <w:rPr>
          <w:rFonts w:ascii="Times New Roman" w:hAnsi="Times New Roman" w:cs="Times New Roman"/>
          <w:sz w:val="24"/>
          <w:szCs w:val="24"/>
        </w:rPr>
        <w:tab/>
        <w:t xml:space="preserve">Key considerations for the Panel in this case will relate to the ‘necessity’ of the European Union’s trade restrictive measures. For the reasons discussed above, Australia respectfully submits that the Panel follow the existing established legal analysis for ‘necessity’ that has been developed by the Appellate Body in the interpretation of the TBT Agreement and the GATT 1994.   </w:t>
      </w:r>
    </w:p>
    <w:sectPr w:rsidR="00872DA3" w:rsidRPr="00B61653" w:rsidSect="00CC2B2D">
      <w:footerReference w:type="default" r:id="rId7"/>
      <w:pgSz w:w="11906" w:h="16838"/>
      <w:pgMar w:top="1134" w:right="1440" w:bottom="1134" w:left="1440" w:header="0" w:footer="0"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9354F" w14:textId="77777777" w:rsidR="00F564B4" w:rsidRDefault="00F564B4" w:rsidP="00F564B4">
      <w:pPr>
        <w:spacing w:after="0" w:line="240" w:lineRule="auto"/>
      </w:pPr>
      <w:r>
        <w:separator/>
      </w:r>
    </w:p>
  </w:endnote>
  <w:endnote w:type="continuationSeparator" w:id="0">
    <w:p w14:paraId="2135213C" w14:textId="77777777" w:rsidR="00F564B4" w:rsidRDefault="00F564B4" w:rsidP="00F5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797383"/>
      <w:docPartObj>
        <w:docPartGallery w:val="Page Numbers (Bottom of Page)"/>
        <w:docPartUnique/>
      </w:docPartObj>
    </w:sdtPr>
    <w:sdtEndPr>
      <w:rPr>
        <w:noProof/>
      </w:rPr>
    </w:sdtEndPr>
    <w:sdtContent>
      <w:p w14:paraId="13DC8759" w14:textId="296D1ACA" w:rsidR="005F2FE9" w:rsidRDefault="005F2FE9" w:rsidP="005F2F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9E186" w14:textId="77777777" w:rsidR="00F564B4" w:rsidRDefault="00F564B4" w:rsidP="00F564B4">
      <w:pPr>
        <w:spacing w:after="0" w:line="240" w:lineRule="auto"/>
      </w:pPr>
      <w:r>
        <w:separator/>
      </w:r>
    </w:p>
  </w:footnote>
  <w:footnote w:type="continuationSeparator" w:id="0">
    <w:p w14:paraId="22A57983" w14:textId="77777777" w:rsidR="00F564B4" w:rsidRDefault="00F564B4" w:rsidP="00F564B4">
      <w:pPr>
        <w:spacing w:after="0" w:line="240" w:lineRule="auto"/>
      </w:pPr>
      <w:r>
        <w:continuationSeparator/>
      </w:r>
    </w:p>
  </w:footnote>
  <w:footnote w:id="1">
    <w:p w14:paraId="297CA4C6" w14:textId="4BA9E31B" w:rsidR="00F564B4" w:rsidRPr="00F564B4" w:rsidRDefault="00F564B4">
      <w:pPr>
        <w:pStyle w:val="FootnoteText"/>
        <w:rPr>
          <w:rFonts w:ascii="Times New Roman" w:hAnsi="Times New Roman" w:cs="Times New Roman"/>
        </w:rPr>
      </w:pPr>
      <w:r w:rsidRPr="00F564B4">
        <w:rPr>
          <w:rStyle w:val="FootnoteReference"/>
          <w:rFonts w:ascii="Times New Roman" w:hAnsi="Times New Roman" w:cs="Times New Roman"/>
        </w:rPr>
        <w:footnoteRef/>
      </w:r>
      <w:r w:rsidRPr="00F564B4">
        <w:rPr>
          <w:rFonts w:ascii="Times New Roman" w:hAnsi="Times New Roman" w:cs="Times New Roman"/>
        </w:rPr>
        <w:t xml:space="preserve"> </w:t>
      </w:r>
      <w:r w:rsidRPr="00F564B4">
        <w:rPr>
          <w:rFonts w:ascii="Times New Roman" w:hAnsi="Times New Roman" w:cs="Times New Roman"/>
        </w:rPr>
        <w:t xml:space="preserve">Panel Reports, </w:t>
      </w:r>
      <w:r w:rsidRPr="00F564B4">
        <w:rPr>
          <w:rFonts w:ascii="Times New Roman" w:hAnsi="Times New Roman" w:cs="Times New Roman"/>
          <w:i/>
          <w:iCs/>
        </w:rPr>
        <w:t>Australia – Tobacco Plain Packaging</w:t>
      </w:r>
      <w:r w:rsidRPr="00F564B4">
        <w:rPr>
          <w:rFonts w:ascii="Times New Roman" w:hAnsi="Times New Roman" w:cs="Times New Roman"/>
        </w:rPr>
        <w:t>, para. 7.627.</w:t>
      </w:r>
    </w:p>
  </w:footnote>
  <w:footnote w:id="2">
    <w:p w14:paraId="250B818E" w14:textId="3A60C433" w:rsidR="00F564B4" w:rsidRDefault="00F564B4">
      <w:pPr>
        <w:pStyle w:val="FootnoteText"/>
      </w:pPr>
      <w:r w:rsidRPr="00F564B4">
        <w:rPr>
          <w:rStyle w:val="FootnoteReference"/>
          <w:rFonts w:ascii="Times New Roman" w:hAnsi="Times New Roman" w:cs="Times New Roman"/>
        </w:rPr>
        <w:footnoteRef/>
      </w:r>
      <w:r w:rsidRPr="00F564B4">
        <w:rPr>
          <w:rFonts w:ascii="Times New Roman" w:hAnsi="Times New Roman" w:cs="Times New Roman"/>
        </w:rPr>
        <w:t xml:space="preserve"> </w:t>
      </w:r>
      <w:r w:rsidRPr="00F564B4">
        <w:rPr>
          <w:rFonts w:ascii="Times New Roman" w:hAnsi="Times New Roman" w:cs="Times New Roman"/>
        </w:rPr>
        <w:t xml:space="preserve">Panel Reports, </w:t>
      </w:r>
      <w:r w:rsidRPr="00F564B4">
        <w:rPr>
          <w:rFonts w:ascii="Times New Roman" w:hAnsi="Times New Roman" w:cs="Times New Roman"/>
          <w:i/>
          <w:iCs/>
        </w:rPr>
        <w:t>Australia – Tobacco Plain Packaging</w:t>
      </w:r>
      <w:r w:rsidRPr="00F564B4">
        <w:rPr>
          <w:rFonts w:ascii="Times New Roman" w:hAnsi="Times New Roman" w:cs="Times New Roman"/>
        </w:rPr>
        <w:t>, para. 7.516.</w:t>
      </w:r>
    </w:p>
  </w:footnote>
  <w:footnote w:id="3">
    <w:p w14:paraId="7934B717" w14:textId="1EAB5132" w:rsidR="00F564B4" w:rsidRPr="005F2FE9"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Pr="005F2FE9">
        <w:rPr>
          <w:rFonts w:ascii="Times New Roman" w:hAnsi="Times New Roman" w:cs="Times New Roman"/>
        </w:rPr>
        <w:t xml:space="preserve">Panel Reports, </w:t>
      </w:r>
      <w:r w:rsidRPr="005F2FE9">
        <w:rPr>
          <w:rFonts w:ascii="Times New Roman" w:hAnsi="Times New Roman" w:cs="Times New Roman"/>
          <w:i/>
          <w:iCs/>
        </w:rPr>
        <w:t>Australia – Tobacco Plain Packaging</w:t>
      </w:r>
      <w:r w:rsidRPr="005F2FE9">
        <w:rPr>
          <w:rFonts w:ascii="Times New Roman" w:hAnsi="Times New Roman" w:cs="Times New Roman"/>
        </w:rPr>
        <w:t>, paras 7.938 - 7.943.</w:t>
      </w:r>
    </w:p>
  </w:footnote>
  <w:footnote w:id="4">
    <w:p w14:paraId="6D858E2B" w14:textId="695F87B4" w:rsidR="00F564B4" w:rsidRPr="005F2FE9"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Pr="005F2FE9">
        <w:rPr>
          <w:rFonts w:ascii="Times New Roman" w:hAnsi="Times New Roman" w:cs="Times New Roman"/>
        </w:rPr>
        <w:t xml:space="preserve">See e.g., Panel Reports, </w:t>
      </w:r>
      <w:r w:rsidRPr="005F2FE9">
        <w:rPr>
          <w:rFonts w:ascii="Times New Roman" w:hAnsi="Times New Roman" w:cs="Times New Roman"/>
          <w:i/>
          <w:iCs/>
        </w:rPr>
        <w:t>Australia – Tobacco Plain Packaging</w:t>
      </w:r>
      <w:r w:rsidRPr="005F2FE9">
        <w:rPr>
          <w:rFonts w:ascii="Times New Roman" w:hAnsi="Times New Roman" w:cs="Times New Roman"/>
        </w:rPr>
        <w:t xml:space="preserve">, para. 7.484 (quoting Appellate Body Reports, </w:t>
      </w:r>
      <w:r w:rsidRPr="005F2FE9">
        <w:rPr>
          <w:rFonts w:ascii="Times New Roman" w:hAnsi="Times New Roman" w:cs="Times New Roman"/>
          <w:i/>
          <w:iCs/>
        </w:rPr>
        <w:t>US – COOL (Article 21.5 – Canada and Mexico)</w:t>
      </w:r>
      <w:r w:rsidRPr="005F2FE9">
        <w:rPr>
          <w:rFonts w:ascii="Times New Roman" w:hAnsi="Times New Roman" w:cs="Times New Roman"/>
        </w:rPr>
        <w:t>, para. 5.210).</w:t>
      </w:r>
    </w:p>
  </w:footnote>
  <w:footnote w:id="5">
    <w:p w14:paraId="64D725E4" w14:textId="464336AA" w:rsidR="00F564B4" w:rsidRPr="005F2FE9"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Pr="005F2FE9">
        <w:rPr>
          <w:rFonts w:ascii="Times New Roman" w:hAnsi="Times New Roman" w:cs="Times New Roman"/>
        </w:rPr>
        <w:t xml:space="preserve">See e.g., Panel Reports, </w:t>
      </w:r>
      <w:r w:rsidRPr="005F2FE9">
        <w:rPr>
          <w:rFonts w:ascii="Times New Roman" w:hAnsi="Times New Roman" w:cs="Times New Roman"/>
          <w:i/>
          <w:iCs/>
        </w:rPr>
        <w:t>Australia – Tobacco Plain Packaging</w:t>
      </w:r>
      <w:r w:rsidRPr="005F2FE9">
        <w:rPr>
          <w:rFonts w:ascii="Times New Roman" w:hAnsi="Times New Roman" w:cs="Times New Roman"/>
        </w:rPr>
        <w:t xml:space="preserve">, paras. 7.938 - 7.943 and 7.483 – 7.484 (quoting Appellate Body Reports, </w:t>
      </w:r>
      <w:r w:rsidRPr="005F2FE9">
        <w:rPr>
          <w:rFonts w:ascii="Times New Roman" w:hAnsi="Times New Roman" w:cs="Times New Roman"/>
          <w:i/>
          <w:iCs/>
        </w:rPr>
        <w:t>US – COOL (Article 21.5 – Canada and Mexico)</w:t>
      </w:r>
      <w:r w:rsidRPr="005F2FE9">
        <w:rPr>
          <w:rFonts w:ascii="Times New Roman" w:hAnsi="Times New Roman" w:cs="Times New Roman"/>
        </w:rPr>
        <w:t>, para. 5.210).</w:t>
      </w:r>
    </w:p>
  </w:footnote>
  <w:footnote w:id="6">
    <w:p w14:paraId="2B9A2E8C" w14:textId="1B94EA68" w:rsidR="00F564B4" w:rsidRPr="005F2FE9"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Pr="005F2FE9">
        <w:rPr>
          <w:rFonts w:ascii="Times New Roman" w:hAnsi="Times New Roman" w:cs="Times New Roman"/>
        </w:rPr>
        <w:t xml:space="preserve">Panel Reports, </w:t>
      </w:r>
      <w:r w:rsidRPr="005F2FE9">
        <w:rPr>
          <w:rFonts w:ascii="Times New Roman" w:hAnsi="Times New Roman" w:cs="Times New Roman"/>
          <w:i/>
          <w:iCs/>
        </w:rPr>
        <w:t>Australia – Tobacco Plain Packaging</w:t>
      </w:r>
      <w:r w:rsidRPr="005F2FE9">
        <w:rPr>
          <w:rFonts w:ascii="Times New Roman" w:hAnsi="Times New Roman" w:cs="Times New Roman"/>
        </w:rPr>
        <w:t>, paras 7.938 - 7.943</w:t>
      </w:r>
    </w:p>
  </w:footnote>
  <w:footnote w:id="7">
    <w:p w14:paraId="7DBFEBC0" w14:textId="3050E4A2" w:rsidR="00F564B4" w:rsidRPr="00F564B4"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Pr="005F2FE9">
        <w:rPr>
          <w:rFonts w:ascii="Times New Roman" w:hAnsi="Times New Roman" w:cs="Times New Roman"/>
        </w:rPr>
        <w:t xml:space="preserve">Appellate Body Reports, </w:t>
      </w:r>
      <w:r w:rsidRPr="005F2FE9">
        <w:rPr>
          <w:rFonts w:ascii="Times New Roman" w:hAnsi="Times New Roman" w:cs="Times New Roman"/>
          <w:i/>
          <w:iCs/>
        </w:rPr>
        <w:t>US – COOL</w:t>
      </w:r>
      <w:r w:rsidRPr="005F2FE9">
        <w:rPr>
          <w:rFonts w:ascii="Times New Roman" w:hAnsi="Times New Roman" w:cs="Times New Roman"/>
        </w:rPr>
        <w:t xml:space="preserve">, para. 374 (referring to Appellate Body Report, </w:t>
      </w:r>
      <w:r w:rsidRPr="005F2FE9">
        <w:rPr>
          <w:rFonts w:ascii="Times New Roman" w:hAnsi="Times New Roman" w:cs="Times New Roman"/>
          <w:i/>
          <w:iCs/>
        </w:rPr>
        <w:t>US – Tuna II (Mexico)</w:t>
      </w:r>
      <w:r w:rsidRPr="005F2FE9">
        <w:rPr>
          <w:rFonts w:ascii="Times New Roman" w:hAnsi="Times New Roman" w:cs="Times New Roman"/>
        </w:rPr>
        <w:t xml:space="preserve">, para. 318). Restated in Appellate Body Report, </w:t>
      </w:r>
      <w:r w:rsidRPr="005F2FE9">
        <w:rPr>
          <w:rFonts w:ascii="Times New Roman" w:hAnsi="Times New Roman" w:cs="Times New Roman"/>
          <w:i/>
          <w:iCs/>
        </w:rPr>
        <w:t>Australia – Tobacco Plain Packaging</w:t>
      </w:r>
      <w:r w:rsidRPr="005F2FE9">
        <w:rPr>
          <w:rFonts w:ascii="Times New Roman" w:hAnsi="Times New Roman" w:cs="Times New Roman"/>
        </w:rPr>
        <w:t>, para 6.3.</w:t>
      </w:r>
    </w:p>
  </w:footnote>
  <w:footnote w:id="8">
    <w:p w14:paraId="4A273C19" w14:textId="39E6EBBD" w:rsidR="00F564B4" w:rsidRDefault="00F564B4">
      <w:pPr>
        <w:pStyle w:val="FootnoteText"/>
      </w:pPr>
      <w:r w:rsidRPr="00F564B4">
        <w:rPr>
          <w:rStyle w:val="FootnoteReference"/>
          <w:rFonts w:ascii="Times New Roman" w:hAnsi="Times New Roman" w:cs="Times New Roman"/>
        </w:rPr>
        <w:footnoteRef/>
      </w:r>
      <w:r w:rsidRPr="00F564B4">
        <w:rPr>
          <w:rFonts w:ascii="Times New Roman" w:hAnsi="Times New Roman" w:cs="Times New Roman"/>
        </w:rPr>
        <w:t xml:space="preserve"> </w:t>
      </w:r>
      <w:r w:rsidRPr="00F564B4">
        <w:rPr>
          <w:rFonts w:ascii="Times New Roman" w:hAnsi="Times New Roman" w:cs="Times New Roman"/>
        </w:rPr>
        <w:t xml:space="preserve">Appellate Body Report, </w:t>
      </w:r>
      <w:r w:rsidRPr="00F564B4">
        <w:rPr>
          <w:rFonts w:ascii="Times New Roman" w:hAnsi="Times New Roman" w:cs="Times New Roman"/>
          <w:i/>
          <w:iCs/>
        </w:rPr>
        <w:t>US – Tuna II (Mexico)</w:t>
      </w:r>
      <w:r w:rsidRPr="00F564B4">
        <w:rPr>
          <w:rFonts w:ascii="Times New Roman" w:hAnsi="Times New Roman" w:cs="Times New Roman"/>
        </w:rPr>
        <w:t xml:space="preserve">, para. 322. See also Appellate Body Reports, </w:t>
      </w:r>
      <w:r w:rsidRPr="00F564B4">
        <w:rPr>
          <w:rFonts w:ascii="Times New Roman" w:hAnsi="Times New Roman" w:cs="Times New Roman"/>
          <w:i/>
          <w:iCs/>
        </w:rPr>
        <w:t>US – COOL</w:t>
      </w:r>
      <w:r w:rsidRPr="00F564B4">
        <w:rPr>
          <w:rFonts w:ascii="Times New Roman" w:hAnsi="Times New Roman" w:cs="Times New Roman"/>
        </w:rPr>
        <w:t xml:space="preserve">, paras. 374-378; </w:t>
      </w:r>
      <w:r w:rsidRPr="00F564B4">
        <w:rPr>
          <w:rFonts w:ascii="Times New Roman" w:hAnsi="Times New Roman" w:cs="Times New Roman"/>
          <w:i/>
          <w:iCs/>
        </w:rPr>
        <w:t>US – COOL (Article 21.5 – Canada and Mexico</w:t>
      </w:r>
      <w:r w:rsidRPr="00F564B4">
        <w:rPr>
          <w:rFonts w:ascii="Times New Roman" w:hAnsi="Times New Roman" w:cs="Times New Roman"/>
        </w:rPr>
        <w:t xml:space="preserve">), para. 5.197; and </w:t>
      </w:r>
      <w:r w:rsidRPr="00F564B4">
        <w:rPr>
          <w:rFonts w:ascii="Times New Roman" w:hAnsi="Times New Roman" w:cs="Times New Roman"/>
          <w:i/>
          <w:iCs/>
        </w:rPr>
        <w:t>Australia – Tobacco Plain Packaging</w:t>
      </w:r>
      <w:r w:rsidRPr="00F564B4">
        <w:rPr>
          <w:rFonts w:ascii="Times New Roman" w:hAnsi="Times New Roman" w:cs="Times New Roman"/>
        </w:rPr>
        <w:t>, para 6.4.</w:t>
      </w:r>
    </w:p>
  </w:footnote>
  <w:footnote w:id="9">
    <w:p w14:paraId="3F4B5DB5" w14:textId="076D9988" w:rsidR="00F564B4" w:rsidRPr="005F2FE9"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005F2FE9" w:rsidRPr="005F2FE9">
        <w:rPr>
          <w:rFonts w:ascii="Times New Roman" w:hAnsi="Times New Roman" w:cs="Times New Roman"/>
        </w:rPr>
        <w:t xml:space="preserve">Appellate Body Report, </w:t>
      </w:r>
      <w:r w:rsidR="005F2FE9" w:rsidRPr="005F2FE9">
        <w:rPr>
          <w:rFonts w:ascii="Times New Roman" w:hAnsi="Times New Roman" w:cs="Times New Roman"/>
          <w:i/>
          <w:iCs/>
        </w:rPr>
        <w:t>US – Tuna II (Mexico)</w:t>
      </w:r>
      <w:r w:rsidR="005F2FE9" w:rsidRPr="005F2FE9">
        <w:rPr>
          <w:rFonts w:ascii="Times New Roman" w:hAnsi="Times New Roman" w:cs="Times New Roman"/>
        </w:rPr>
        <w:t>, para. 319.</w:t>
      </w:r>
    </w:p>
  </w:footnote>
  <w:footnote w:id="10">
    <w:p w14:paraId="16518CCD" w14:textId="4E14D544" w:rsidR="00F564B4" w:rsidRPr="005F2FE9"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005F2FE9" w:rsidRPr="005F2FE9">
        <w:rPr>
          <w:rFonts w:ascii="Times New Roman" w:hAnsi="Times New Roman" w:cs="Times New Roman"/>
        </w:rPr>
        <w:t xml:space="preserve">Appellate Body Reports, </w:t>
      </w:r>
      <w:r w:rsidR="005F2FE9" w:rsidRPr="005F2FE9">
        <w:rPr>
          <w:rFonts w:ascii="Times New Roman" w:hAnsi="Times New Roman" w:cs="Times New Roman"/>
          <w:i/>
          <w:iCs/>
        </w:rPr>
        <w:t>Australia – Tobacco Plain Packaging</w:t>
      </w:r>
      <w:r w:rsidR="005F2FE9" w:rsidRPr="005F2FE9">
        <w:rPr>
          <w:rFonts w:ascii="Times New Roman" w:hAnsi="Times New Roman" w:cs="Times New Roman"/>
        </w:rPr>
        <w:t>, paras. 6.392-6.393.</w:t>
      </w:r>
    </w:p>
  </w:footnote>
  <w:footnote w:id="11">
    <w:p w14:paraId="4E275F5C" w14:textId="7905C040" w:rsidR="00F564B4" w:rsidRPr="005F2FE9"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005F2FE9" w:rsidRPr="005F2FE9">
        <w:rPr>
          <w:rFonts w:ascii="Times New Roman" w:hAnsi="Times New Roman" w:cs="Times New Roman"/>
        </w:rPr>
        <w:t>European Union’s First Written Submission, paras 823 - 826.</w:t>
      </w:r>
    </w:p>
  </w:footnote>
  <w:footnote w:id="12">
    <w:p w14:paraId="0D9DA4C6" w14:textId="53F2B8EE" w:rsidR="00F564B4" w:rsidRPr="005F2FE9"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005F2FE9" w:rsidRPr="005F2FE9">
        <w:rPr>
          <w:rFonts w:ascii="Times New Roman" w:hAnsi="Times New Roman" w:cs="Times New Roman"/>
        </w:rPr>
        <w:t xml:space="preserve">Appellate Body Reports, </w:t>
      </w:r>
      <w:r w:rsidR="005F2FE9" w:rsidRPr="005F2FE9">
        <w:rPr>
          <w:rFonts w:ascii="Times New Roman" w:hAnsi="Times New Roman" w:cs="Times New Roman"/>
          <w:i/>
          <w:iCs/>
        </w:rPr>
        <w:t>Australia – Tobacco Plain Packaging</w:t>
      </w:r>
      <w:r w:rsidR="005F2FE9" w:rsidRPr="005F2FE9">
        <w:rPr>
          <w:rFonts w:ascii="Times New Roman" w:hAnsi="Times New Roman" w:cs="Times New Roman"/>
        </w:rPr>
        <w:t xml:space="preserve">, paras. 6.384-6.386. See also, Appellate Body Report, </w:t>
      </w:r>
      <w:r w:rsidR="005F2FE9" w:rsidRPr="005F2FE9">
        <w:rPr>
          <w:rFonts w:ascii="Times New Roman" w:hAnsi="Times New Roman" w:cs="Times New Roman"/>
          <w:i/>
          <w:iCs/>
        </w:rPr>
        <w:t>US – COOL</w:t>
      </w:r>
      <w:r w:rsidR="005F2FE9" w:rsidRPr="005F2FE9">
        <w:rPr>
          <w:rFonts w:ascii="Times New Roman" w:hAnsi="Times New Roman" w:cs="Times New Roman"/>
        </w:rPr>
        <w:t xml:space="preserve">, para. 477 (quoting Panel Reports, </w:t>
      </w:r>
      <w:r w:rsidR="005F2FE9" w:rsidRPr="005F2FE9">
        <w:rPr>
          <w:rFonts w:ascii="Times New Roman" w:hAnsi="Times New Roman" w:cs="Times New Roman"/>
          <w:i/>
          <w:iCs/>
        </w:rPr>
        <w:t>US – COOL</w:t>
      </w:r>
      <w:r w:rsidR="005F2FE9" w:rsidRPr="005F2FE9">
        <w:rPr>
          <w:rFonts w:ascii="Times New Roman" w:hAnsi="Times New Roman" w:cs="Times New Roman"/>
        </w:rPr>
        <w:t>, para. 7.574)</w:t>
      </w:r>
    </w:p>
  </w:footnote>
  <w:footnote w:id="13">
    <w:p w14:paraId="24EAD1D7" w14:textId="12ADAA09" w:rsidR="00F564B4" w:rsidRPr="005F2FE9"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005F2FE9" w:rsidRPr="005F2FE9">
        <w:rPr>
          <w:rFonts w:ascii="Times New Roman" w:hAnsi="Times New Roman" w:cs="Times New Roman"/>
        </w:rPr>
        <w:t xml:space="preserve">Panel Reports, </w:t>
      </w:r>
      <w:r w:rsidR="005F2FE9" w:rsidRPr="005F2FE9">
        <w:rPr>
          <w:rFonts w:ascii="Times New Roman" w:hAnsi="Times New Roman" w:cs="Times New Roman"/>
          <w:i/>
          <w:iCs/>
        </w:rPr>
        <w:t>Australia – Tobacco Plain Packaging</w:t>
      </w:r>
      <w:r w:rsidR="005F2FE9" w:rsidRPr="005F2FE9">
        <w:rPr>
          <w:rFonts w:ascii="Times New Roman" w:hAnsi="Times New Roman" w:cs="Times New Roman"/>
        </w:rPr>
        <w:t>, para. 7.484</w:t>
      </w:r>
    </w:p>
  </w:footnote>
  <w:footnote w:id="14">
    <w:p w14:paraId="74F2AF20" w14:textId="507A5C4A" w:rsidR="00F564B4" w:rsidRPr="005F2FE9"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005F2FE9" w:rsidRPr="005F2FE9">
        <w:rPr>
          <w:rFonts w:ascii="Times New Roman" w:hAnsi="Times New Roman" w:cs="Times New Roman"/>
        </w:rPr>
        <w:t xml:space="preserve">Panel Reports, </w:t>
      </w:r>
      <w:r w:rsidR="005F2FE9" w:rsidRPr="005F2FE9">
        <w:rPr>
          <w:rFonts w:ascii="Times New Roman" w:hAnsi="Times New Roman" w:cs="Times New Roman"/>
          <w:i/>
          <w:iCs/>
        </w:rPr>
        <w:t>Australia – Tobacco Plain Packaging</w:t>
      </w:r>
      <w:r w:rsidR="005F2FE9" w:rsidRPr="005F2FE9">
        <w:rPr>
          <w:rFonts w:ascii="Times New Roman" w:hAnsi="Times New Roman" w:cs="Times New Roman"/>
        </w:rPr>
        <w:t xml:space="preserve">, para. 7.484 (quoting Appellate Body Reports, </w:t>
      </w:r>
      <w:r w:rsidR="005F2FE9" w:rsidRPr="005F2FE9">
        <w:rPr>
          <w:rFonts w:ascii="Times New Roman" w:hAnsi="Times New Roman" w:cs="Times New Roman"/>
          <w:i/>
          <w:iCs/>
        </w:rPr>
        <w:t>US – COOL (Article 21.5 – Canada and Mexico)</w:t>
      </w:r>
      <w:r w:rsidR="005F2FE9" w:rsidRPr="005F2FE9">
        <w:rPr>
          <w:rFonts w:ascii="Times New Roman" w:hAnsi="Times New Roman" w:cs="Times New Roman"/>
        </w:rPr>
        <w:t>, para. 5.210).</w:t>
      </w:r>
    </w:p>
  </w:footnote>
  <w:footnote w:id="15">
    <w:p w14:paraId="54ED27E1" w14:textId="2E500AA7" w:rsidR="00F564B4" w:rsidRPr="005F2FE9" w:rsidRDefault="00F564B4">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005F2FE9" w:rsidRPr="005F2FE9">
        <w:rPr>
          <w:rFonts w:ascii="Times New Roman" w:hAnsi="Times New Roman" w:cs="Times New Roman"/>
        </w:rPr>
        <w:t xml:space="preserve">Panel Reports, </w:t>
      </w:r>
      <w:r w:rsidR="005F2FE9" w:rsidRPr="005F2FE9">
        <w:rPr>
          <w:rFonts w:ascii="Times New Roman" w:hAnsi="Times New Roman" w:cs="Times New Roman"/>
          <w:i/>
          <w:iCs/>
        </w:rPr>
        <w:t>Australia – Tobacco Plain Packaging</w:t>
      </w:r>
      <w:r w:rsidR="005F2FE9" w:rsidRPr="005F2FE9">
        <w:rPr>
          <w:rFonts w:ascii="Times New Roman" w:hAnsi="Times New Roman" w:cs="Times New Roman"/>
        </w:rPr>
        <w:t>, paras 7.938 - 7.943.</w:t>
      </w:r>
    </w:p>
  </w:footnote>
  <w:footnote w:id="16">
    <w:p w14:paraId="65E6E3D9" w14:textId="0E21FD65" w:rsidR="005F2FE9" w:rsidRPr="005F2FE9" w:rsidRDefault="005F2FE9">
      <w:pPr>
        <w:pStyle w:val="FootnoteText"/>
        <w:rPr>
          <w:rFonts w:ascii="Times New Roman" w:hAnsi="Times New Roman" w:cs="Times New Roman"/>
        </w:rPr>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Pr="005F2FE9">
        <w:rPr>
          <w:rFonts w:ascii="Times New Roman" w:hAnsi="Times New Roman" w:cs="Times New Roman"/>
        </w:rPr>
        <w:t xml:space="preserve">Appellate Body Reports, </w:t>
      </w:r>
      <w:r w:rsidRPr="005F2FE9">
        <w:rPr>
          <w:rFonts w:ascii="Times New Roman" w:hAnsi="Times New Roman" w:cs="Times New Roman"/>
          <w:i/>
          <w:iCs/>
        </w:rPr>
        <w:t>US – COOL (Article 21.5 – Canada and Mexico)</w:t>
      </w:r>
      <w:r w:rsidRPr="005F2FE9">
        <w:rPr>
          <w:rFonts w:ascii="Times New Roman" w:hAnsi="Times New Roman" w:cs="Times New Roman"/>
        </w:rPr>
        <w:t>, para 5.338</w:t>
      </w:r>
    </w:p>
  </w:footnote>
  <w:footnote w:id="17">
    <w:p w14:paraId="5F3EFFDE" w14:textId="0331BE03" w:rsidR="005F2FE9" w:rsidRDefault="005F2FE9">
      <w:pPr>
        <w:pStyle w:val="FootnoteText"/>
      </w:pPr>
      <w:r w:rsidRPr="005F2FE9">
        <w:rPr>
          <w:rStyle w:val="FootnoteReference"/>
          <w:rFonts w:ascii="Times New Roman" w:hAnsi="Times New Roman" w:cs="Times New Roman"/>
        </w:rPr>
        <w:footnoteRef/>
      </w:r>
      <w:r w:rsidRPr="005F2FE9">
        <w:rPr>
          <w:rFonts w:ascii="Times New Roman" w:hAnsi="Times New Roman" w:cs="Times New Roman"/>
        </w:rPr>
        <w:t xml:space="preserve"> </w:t>
      </w:r>
      <w:r w:rsidRPr="005F2FE9">
        <w:rPr>
          <w:rFonts w:ascii="Times New Roman" w:hAnsi="Times New Roman" w:cs="Times New Roman"/>
        </w:rPr>
        <w:t xml:space="preserve">Appellate Body Reports, </w:t>
      </w:r>
      <w:r w:rsidRPr="005F2FE9">
        <w:rPr>
          <w:rFonts w:ascii="Times New Roman" w:hAnsi="Times New Roman" w:cs="Times New Roman"/>
          <w:i/>
          <w:iCs/>
        </w:rPr>
        <w:t>US – COOL (Article 21.5 – Canada and Mexico)</w:t>
      </w:r>
      <w:r w:rsidRPr="005F2FE9">
        <w:rPr>
          <w:rFonts w:ascii="Times New Roman" w:hAnsi="Times New Roman" w:cs="Times New Roman"/>
        </w:rPr>
        <w:t>, para 5.338</w:t>
      </w:r>
    </w:p>
  </w:footnote>
  <w:footnote w:id="18">
    <w:p w14:paraId="4194C88D" w14:textId="52315FE4" w:rsidR="00CC2B2D" w:rsidRPr="00CC2B2D" w:rsidRDefault="00CC2B2D">
      <w:pPr>
        <w:pStyle w:val="FootnoteText"/>
        <w:rPr>
          <w:rFonts w:ascii="Times New Roman" w:hAnsi="Times New Roman" w:cs="Times New Roman"/>
        </w:rPr>
      </w:pPr>
      <w:r w:rsidRPr="00CC2B2D">
        <w:rPr>
          <w:rStyle w:val="FootnoteReference"/>
          <w:rFonts w:ascii="Times New Roman" w:hAnsi="Times New Roman" w:cs="Times New Roman"/>
        </w:rPr>
        <w:footnoteRef/>
      </w:r>
      <w:r w:rsidRPr="00CC2B2D">
        <w:rPr>
          <w:rFonts w:ascii="Times New Roman" w:hAnsi="Times New Roman" w:cs="Times New Roman"/>
        </w:rPr>
        <w:t xml:space="preserve"> </w:t>
      </w:r>
      <w:r w:rsidRPr="00CC2B2D">
        <w:rPr>
          <w:rFonts w:ascii="Times New Roman" w:hAnsi="Times New Roman" w:cs="Times New Roman"/>
        </w:rPr>
        <w:t xml:space="preserve">Appellate Body Report, </w:t>
      </w:r>
      <w:r w:rsidRPr="00CC2B2D">
        <w:rPr>
          <w:rFonts w:ascii="Times New Roman" w:hAnsi="Times New Roman" w:cs="Times New Roman"/>
          <w:i/>
          <w:iCs/>
        </w:rPr>
        <w:t xml:space="preserve">US – Gasoline, </w:t>
      </w:r>
      <w:r w:rsidRPr="00CC2B2D">
        <w:rPr>
          <w:rFonts w:ascii="Times New Roman" w:hAnsi="Times New Roman" w:cs="Times New Roman"/>
        </w:rPr>
        <w:t>paras. 17 –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E760F"/>
    <w:multiLevelType w:val="hybridMultilevel"/>
    <w:tmpl w:val="80D25AA0"/>
    <w:lvl w:ilvl="0" w:tplc="265E49C6">
      <w:start w:val="1"/>
      <w:numFmt w:val="upperLetter"/>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53"/>
    <w:rsid w:val="00417F48"/>
    <w:rsid w:val="005F2FE9"/>
    <w:rsid w:val="00B61653"/>
    <w:rsid w:val="00BA43D7"/>
    <w:rsid w:val="00CC2B2D"/>
    <w:rsid w:val="00D2280C"/>
    <w:rsid w:val="00F56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4F2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653"/>
    <w:pPr>
      <w:spacing w:after="3240"/>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B61653"/>
    <w:pPr>
      <w:ind w:left="720"/>
      <w:outlineLvl w:val="1"/>
    </w:pPr>
    <w:rPr>
      <w:rFonts w:ascii="Times New Roman" w:hAnsi="Times New Roman" w:cs="Times New Roman"/>
      <w:b/>
      <w:bCs/>
      <w:sz w:val="28"/>
      <w:szCs w:val="28"/>
    </w:rPr>
  </w:style>
  <w:style w:type="paragraph" w:styleId="Heading3">
    <w:name w:val="heading 3"/>
    <w:basedOn w:val="ListParagraph"/>
    <w:next w:val="Normal"/>
    <w:link w:val="Heading3Char"/>
    <w:uiPriority w:val="9"/>
    <w:unhideWhenUsed/>
    <w:qFormat/>
    <w:rsid w:val="00B61653"/>
    <w:pPr>
      <w:numPr>
        <w:numId w:val="1"/>
      </w:numPr>
      <w:ind w:hanging="11"/>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1653"/>
    <w:rPr>
      <w:rFonts w:ascii="Times New Roman" w:hAnsi="Times New Roman" w:cs="Times New Roman"/>
      <w:b/>
      <w:bCs/>
      <w:sz w:val="28"/>
      <w:szCs w:val="28"/>
    </w:rPr>
  </w:style>
  <w:style w:type="paragraph" w:styleId="Title">
    <w:name w:val="Title"/>
    <w:basedOn w:val="Normal"/>
    <w:next w:val="Normal"/>
    <w:link w:val="TitleChar"/>
    <w:uiPriority w:val="10"/>
    <w:qFormat/>
    <w:rsid w:val="00B61653"/>
    <w:pPr>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B61653"/>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B61653"/>
    <w:rPr>
      <w:rFonts w:ascii="Times New Roman" w:hAnsi="Times New Roman" w:cs="Times New Roman"/>
      <w:b/>
      <w:bCs/>
      <w:sz w:val="28"/>
      <w:szCs w:val="28"/>
    </w:rPr>
  </w:style>
  <w:style w:type="paragraph" w:styleId="ListParagraph">
    <w:name w:val="List Paragraph"/>
    <w:basedOn w:val="Normal"/>
    <w:uiPriority w:val="34"/>
    <w:qFormat/>
    <w:rsid w:val="00B61653"/>
    <w:pPr>
      <w:ind w:left="720"/>
      <w:contextualSpacing/>
    </w:pPr>
  </w:style>
  <w:style w:type="character" w:customStyle="1" w:styleId="Heading3Char">
    <w:name w:val="Heading 3 Char"/>
    <w:basedOn w:val="DefaultParagraphFont"/>
    <w:link w:val="Heading3"/>
    <w:uiPriority w:val="9"/>
    <w:rsid w:val="00B61653"/>
    <w:rPr>
      <w:rFonts w:ascii="Times New Roman" w:hAnsi="Times New Roman" w:cs="Times New Roman"/>
      <w:b/>
      <w:bCs/>
      <w:sz w:val="24"/>
      <w:szCs w:val="24"/>
    </w:rPr>
  </w:style>
  <w:style w:type="paragraph" w:styleId="FootnoteText">
    <w:name w:val="footnote text"/>
    <w:aliases w:val="fn,footnote text,Footnote Text 2,Footnotes,ft,fn cafc,Footnote ak,Footnotes Char,Footnote ak Char,footnote citation,Footnotes Char Char,Footnote Text Char Char,fn Char Char,footnote text Char Char Char Ch,Ca,C,f,Footnote Text Char1"/>
    <w:basedOn w:val="Normal"/>
    <w:link w:val="FootnoteTextChar"/>
    <w:unhideWhenUsed/>
    <w:qFormat/>
    <w:rsid w:val="00F564B4"/>
    <w:pPr>
      <w:spacing w:after="0" w:line="240" w:lineRule="auto"/>
    </w:pPr>
    <w:rPr>
      <w:sz w:val="20"/>
      <w:szCs w:val="20"/>
    </w:rPr>
  </w:style>
  <w:style w:type="character" w:customStyle="1" w:styleId="FootnoteTextChar">
    <w:name w:val="Footnote Text Char"/>
    <w:aliases w:val="fn Char,footnote text Char,Footnote Text 2 Char,Footnotes Char1,ft Char,fn cafc Char,Footnote ak Char1,Footnotes Char Char1,Footnote ak Char Char,footnote citation Char,Footnotes Char Char Char,Footnote Text Char Char Char,Ca Char"/>
    <w:basedOn w:val="DefaultParagraphFont"/>
    <w:link w:val="FootnoteText"/>
    <w:uiPriority w:val="99"/>
    <w:rsid w:val="00F564B4"/>
    <w:rPr>
      <w:sz w:val="20"/>
      <w:szCs w:val="20"/>
    </w:rPr>
  </w:style>
  <w:style w:type="character" w:styleId="FootnoteReference">
    <w:name w:val="footnote reference"/>
    <w:basedOn w:val="DefaultParagraphFont"/>
    <w:uiPriority w:val="99"/>
    <w:semiHidden/>
    <w:unhideWhenUsed/>
    <w:rsid w:val="00F564B4"/>
    <w:rPr>
      <w:vertAlign w:val="superscript"/>
    </w:rPr>
  </w:style>
  <w:style w:type="paragraph" w:styleId="Header">
    <w:name w:val="header"/>
    <w:basedOn w:val="Normal"/>
    <w:link w:val="HeaderChar"/>
    <w:uiPriority w:val="99"/>
    <w:unhideWhenUsed/>
    <w:rsid w:val="00F564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4B4"/>
  </w:style>
  <w:style w:type="paragraph" w:styleId="Footer">
    <w:name w:val="footer"/>
    <w:basedOn w:val="Normal"/>
    <w:link w:val="FooterChar"/>
    <w:uiPriority w:val="99"/>
    <w:unhideWhenUsed/>
    <w:rsid w:val="00F56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1835</Words>
  <Characters>10395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Union – Certain Measures Concerning Palm Oil and Oil Palm Crop-Based Biofuels (Indonesia) (WT/DS593)</dc:title>
  <dc:subject/>
  <dc:creator/>
  <cp:keywords/>
  <dc:description/>
  <cp:lastModifiedBy/>
  <cp:revision>1</cp:revision>
  <dcterms:created xsi:type="dcterms:W3CDTF">2021-06-10T04:30:00Z</dcterms:created>
  <dcterms:modified xsi:type="dcterms:W3CDTF">2021-06-10T04:30:00Z</dcterms:modified>
  <cp:category/>
</cp:coreProperties>
</file>