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DEF14" w14:textId="77777777" w:rsidR="00354A06" w:rsidRPr="0007327B"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145D69C7" w14:textId="77777777" w:rsidTr="008A4C51">
        <w:trPr>
          <w:trHeight w:val="4365"/>
        </w:trPr>
        <w:tc>
          <w:tcPr>
            <w:tcW w:w="9060" w:type="dxa"/>
          </w:tcPr>
          <w:p w14:paraId="4059C9C7"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4F9EA644"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1775D3DE" w14:textId="77777777" w:rsidTr="00BE0B1C">
        <w:trPr>
          <w:trHeight w:val="737"/>
        </w:trPr>
        <w:tc>
          <w:tcPr>
            <w:tcW w:w="9060" w:type="dxa"/>
          </w:tcPr>
          <w:p w14:paraId="5EAFC06C" w14:textId="77777777" w:rsidR="005714C3" w:rsidRPr="0007327B" w:rsidRDefault="002A03DD" w:rsidP="00DA5381">
            <w:pPr>
              <w:pStyle w:val="WTODTWTODisputeTitle"/>
            </w:pPr>
            <w:r>
              <w:t>India – Measures Concerning Sugar and Sugarcane</w:t>
            </w:r>
          </w:p>
        </w:tc>
      </w:tr>
      <w:tr w:rsidR="005714C3" w:rsidRPr="0007327B" w14:paraId="228B040D" w14:textId="77777777" w:rsidTr="008A4C51">
        <w:trPr>
          <w:trHeight w:val="3175"/>
        </w:trPr>
        <w:tc>
          <w:tcPr>
            <w:tcW w:w="9060" w:type="dxa"/>
          </w:tcPr>
          <w:p w14:paraId="1E4D9CF4" w14:textId="77777777" w:rsidR="005714C3" w:rsidRPr="0007327B" w:rsidRDefault="005714C3" w:rsidP="00DA5381">
            <w:pPr>
              <w:pStyle w:val="DSNDSNumber"/>
            </w:pPr>
            <w:r w:rsidRPr="0007327B">
              <w:t>(DS</w:t>
            </w:r>
            <w:r w:rsidR="002A03DD">
              <w:t>580</w:t>
            </w:r>
            <w:r w:rsidRPr="0007327B">
              <w:t>)</w:t>
            </w:r>
          </w:p>
        </w:tc>
      </w:tr>
      <w:tr w:rsidR="005714C3" w:rsidRPr="0007327B" w14:paraId="59BD4158" w14:textId="77777777" w:rsidTr="00DD4BA0">
        <w:trPr>
          <w:trHeight w:val="3798"/>
        </w:trPr>
        <w:tc>
          <w:tcPr>
            <w:tcW w:w="9060" w:type="dxa"/>
          </w:tcPr>
          <w:p w14:paraId="4A271E2B" w14:textId="77777777" w:rsidR="005714C3" w:rsidRPr="0007327B" w:rsidRDefault="002A03DD" w:rsidP="00DA5381">
            <w:pPr>
              <w:pStyle w:val="DTDocumentTitle"/>
            </w:pPr>
            <w:r>
              <w:t>Australia's Second Written Submission</w:t>
            </w:r>
          </w:p>
        </w:tc>
      </w:tr>
      <w:tr w:rsidR="005714C3" w:rsidRPr="0007327B" w14:paraId="003E3159" w14:textId="77777777" w:rsidTr="00BE0B1C">
        <w:trPr>
          <w:trHeight w:val="624"/>
        </w:trPr>
        <w:tc>
          <w:tcPr>
            <w:tcW w:w="9060" w:type="dxa"/>
          </w:tcPr>
          <w:p w14:paraId="4C80B21F" w14:textId="77777777" w:rsidR="005714C3" w:rsidRPr="0007327B" w:rsidRDefault="002A03DD" w:rsidP="00DA5381">
            <w:pPr>
              <w:pStyle w:val="DDDocumentDate"/>
            </w:pPr>
            <w:r>
              <w:t>11 February 2021</w:t>
            </w:r>
          </w:p>
        </w:tc>
      </w:tr>
    </w:tbl>
    <w:p w14:paraId="6CF7CDE4" w14:textId="77777777" w:rsidR="005714C3" w:rsidRPr="0007327B" w:rsidRDefault="005714C3" w:rsidP="00BE0B1C">
      <w:pPr>
        <w:pStyle w:val="BTNSSBodyTextNoSpacingSmall"/>
      </w:pPr>
    </w:p>
    <w:p w14:paraId="79A28442" w14:textId="77777777" w:rsidR="00006269" w:rsidRPr="0007327B" w:rsidRDefault="00006269" w:rsidP="00BE0B1C">
      <w:pPr>
        <w:pStyle w:val="BTNSSBodyTextNoSpacingSmall"/>
      </w:pPr>
      <w:r w:rsidRPr="0007327B">
        <w:br w:type="page"/>
      </w:r>
    </w:p>
    <w:p w14:paraId="6AB8DDDF" w14:textId="77777777" w:rsidR="00F01A73" w:rsidRPr="0007327B" w:rsidRDefault="00F01A73" w:rsidP="00F01A73">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5124A4A1" w14:textId="77777777" w:rsidR="00D47F18" w:rsidRPr="0007327B" w:rsidRDefault="00D47F18">
          <w:pPr>
            <w:pStyle w:val="TOCHeading"/>
            <w:rPr>
              <w:lang w:val="en-AU"/>
            </w:rPr>
          </w:pPr>
          <w:r w:rsidRPr="0007327B">
            <w:rPr>
              <w:lang w:val="en-AU"/>
            </w:rPr>
            <w:t>Table of Contents</w:t>
          </w:r>
        </w:p>
        <w:p w14:paraId="62BE9C7D" w14:textId="37761A34" w:rsidR="003A74B4" w:rsidRDefault="00F945DB">
          <w:pPr>
            <w:pStyle w:val="TOC1"/>
            <w:rPr>
              <w:rFonts w:asciiTheme="minorHAnsi" w:eastAsiaTheme="minorEastAsia" w:hAnsiTheme="minorHAnsi"/>
              <w:b w:val="0"/>
              <w:caps w:val="0"/>
              <w:noProof/>
              <w:sz w:val="22"/>
              <w:szCs w:val="22"/>
              <w:lang w:eastAsia="en-AU"/>
            </w:rPr>
          </w:pPr>
          <w:r w:rsidRPr="0007327B">
            <w:fldChar w:fldCharType="begin"/>
          </w:r>
          <w:r w:rsidRPr="0007327B">
            <w:instrText xml:space="preserve"> TOC \o "1-5" \h \z \u </w:instrText>
          </w:r>
          <w:r w:rsidRPr="0007327B">
            <w:fldChar w:fldCharType="separate"/>
          </w:r>
          <w:hyperlink w:anchor="_Toc63966807" w:history="1">
            <w:r w:rsidR="003A74B4" w:rsidRPr="00A935DF">
              <w:rPr>
                <w:rStyle w:val="Hyperlink"/>
                <w:noProof/>
              </w:rPr>
              <w:t>Table of Cases</w:t>
            </w:r>
            <w:r w:rsidR="003A74B4">
              <w:rPr>
                <w:noProof/>
                <w:webHidden/>
              </w:rPr>
              <w:tab/>
            </w:r>
            <w:r w:rsidR="003A74B4">
              <w:rPr>
                <w:noProof/>
                <w:webHidden/>
              </w:rPr>
              <w:fldChar w:fldCharType="begin"/>
            </w:r>
            <w:r w:rsidR="003A74B4">
              <w:rPr>
                <w:noProof/>
                <w:webHidden/>
              </w:rPr>
              <w:instrText xml:space="preserve"> PAGEREF _Toc63966807 \h </w:instrText>
            </w:r>
            <w:r w:rsidR="003A74B4">
              <w:rPr>
                <w:noProof/>
                <w:webHidden/>
              </w:rPr>
            </w:r>
            <w:r w:rsidR="003A74B4">
              <w:rPr>
                <w:noProof/>
                <w:webHidden/>
              </w:rPr>
              <w:fldChar w:fldCharType="separate"/>
            </w:r>
            <w:r w:rsidR="00FF2871">
              <w:rPr>
                <w:noProof/>
                <w:webHidden/>
              </w:rPr>
              <w:t>5</w:t>
            </w:r>
            <w:r w:rsidR="003A74B4">
              <w:rPr>
                <w:noProof/>
                <w:webHidden/>
              </w:rPr>
              <w:fldChar w:fldCharType="end"/>
            </w:r>
          </w:hyperlink>
        </w:p>
        <w:p w14:paraId="45864EA9" w14:textId="323A917D" w:rsidR="003A74B4" w:rsidRDefault="005B64B3">
          <w:pPr>
            <w:pStyle w:val="TOC1"/>
            <w:rPr>
              <w:rFonts w:asciiTheme="minorHAnsi" w:eastAsiaTheme="minorEastAsia" w:hAnsiTheme="minorHAnsi"/>
              <w:b w:val="0"/>
              <w:caps w:val="0"/>
              <w:noProof/>
              <w:sz w:val="22"/>
              <w:szCs w:val="22"/>
              <w:lang w:eastAsia="en-AU"/>
            </w:rPr>
          </w:pPr>
          <w:hyperlink w:anchor="_Toc63966808" w:history="1">
            <w:r w:rsidR="003A74B4" w:rsidRPr="00A935DF">
              <w:rPr>
                <w:rStyle w:val="Hyperlink"/>
                <w:noProof/>
              </w:rPr>
              <w:t>List of Acronyms, Abbreviations and Short Forms</w:t>
            </w:r>
            <w:r w:rsidR="003A74B4">
              <w:rPr>
                <w:noProof/>
                <w:webHidden/>
              </w:rPr>
              <w:tab/>
            </w:r>
            <w:r w:rsidR="003A74B4">
              <w:rPr>
                <w:noProof/>
                <w:webHidden/>
              </w:rPr>
              <w:fldChar w:fldCharType="begin"/>
            </w:r>
            <w:r w:rsidR="003A74B4">
              <w:rPr>
                <w:noProof/>
                <w:webHidden/>
              </w:rPr>
              <w:instrText xml:space="preserve"> PAGEREF _Toc63966808 \h </w:instrText>
            </w:r>
            <w:r w:rsidR="003A74B4">
              <w:rPr>
                <w:noProof/>
                <w:webHidden/>
              </w:rPr>
            </w:r>
            <w:r w:rsidR="003A74B4">
              <w:rPr>
                <w:noProof/>
                <w:webHidden/>
              </w:rPr>
              <w:fldChar w:fldCharType="separate"/>
            </w:r>
            <w:r w:rsidR="00FF2871">
              <w:rPr>
                <w:noProof/>
                <w:webHidden/>
              </w:rPr>
              <w:t>7</w:t>
            </w:r>
            <w:r w:rsidR="003A74B4">
              <w:rPr>
                <w:noProof/>
                <w:webHidden/>
              </w:rPr>
              <w:fldChar w:fldCharType="end"/>
            </w:r>
          </w:hyperlink>
        </w:p>
        <w:p w14:paraId="4C848EC6" w14:textId="7DF92DFC" w:rsidR="003A74B4" w:rsidRDefault="005B64B3">
          <w:pPr>
            <w:pStyle w:val="TOC1"/>
            <w:rPr>
              <w:rFonts w:asciiTheme="minorHAnsi" w:eastAsiaTheme="minorEastAsia" w:hAnsiTheme="minorHAnsi"/>
              <w:b w:val="0"/>
              <w:caps w:val="0"/>
              <w:noProof/>
              <w:sz w:val="22"/>
              <w:szCs w:val="22"/>
              <w:lang w:eastAsia="en-AU"/>
            </w:rPr>
          </w:pPr>
          <w:hyperlink w:anchor="_Toc63966809" w:history="1">
            <w:r w:rsidR="003A74B4" w:rsidRPr="00A935DF">
              <w:rPr>
                <w:rStyle w:val="Hyperlink"/>
                <w:noProof/>
              </w:rPr>
              <w:t>List of JOINT Exhibits</w:t>
            </w:r>
            <w:r w:rsidR="003A74B4">
              <w:rPr>
                <w:noProof/>
                <w:webHidden/>
              </w:rPr>
              <w:tab/>
            </w:r>
            <w:r w:rsidR="003A74B4">
              <w:rPr>
                <w:noProof/>
                <w:webHidden/>
              </w:rPr>
              <w:fldChar w:fldCharType="begin"/>
            </w:r>
            <w:r w:rsidR="003A74B4">
              <w:rPr>
                <w:noProof/>
                <w:webHidden/>
              </w:rPr>
              <w:instrText xml:space="preserve"> PAGEREF _Toc63966809 \h </w:instrText>
            </w:r>
            <w:r w:rsidR="003A74B4">
              <w:rPr>
                <w:noProof/>
                <w:webHidden/>
              </w:rPr>
            </w:r>
            <w:r w:rsidR="003A74B4">
              <w:rPr>
                <w:noProof/>
                <w:webHidden/>
              </w:rPr>
              <w:fldChar w:fldCharType="separate"/>
            </w:r>
            <w:r w:rsidR="00FF2871">
              <w:rPr>
                <w:noProof/>
                <w:webHidden/>
              </w:rPr>
              <w:t>8</w:t>
            </w:r>
            <w:r w:rsidR="003A74B4">
              <w:rPr>
                <w:noProof/>
                <w:webHidden/>
              </w:rPr>
              <w:fldChar w:fldCharType="end"/>
            </w:r>
          </w:hyperlink>
        </w:p>
        <w:p w14:paraId="1466128E" w14:textId="76083353" w:rsidR="003A74B4" w:rsidRDefault="005B64B3">
          <w:pPr>
            <w:pStyle w:val="TOC1"/>
            <w:rPr>
              <w:rFonts w:asciiTheme="minorHAnsi" w:eastAsiaTheme="minorEastAsia" w:hAnsiTheme="minorHAnsi"/>
              <w:b w:val="0"/>
              <w:caps w:val="0"/>
              <w:noProof/>
              <w:sz w:val="22"/>
              <w:szCs w:val="22"/>
              <w:lang w:eastAsia="en-AU"/>
            </w:rPr>
          </w:pPr>
          <w:hyperlink w:anchor="_Toc63966810" w:history="1">
            <w:r w:rsidR="003A74B4" w:rsidRPr="00A935DF">
              <w:rPr>
                <w:rStyle w:val="Hyperlink"/>
                <w:noProof/>
              </w:rPr>
              <w:t>List of Australia's Exhibits</w:t>
            </w:r>
            <w:r w:rsidR="003A74B4">
              <w:rPr>
                <w:noProof/>
                <w:webHidden/>
              </w:rPr>
              <w:tab/>
            </w:r>
            <w:r w:rsidR="003A74B4">
              <w:rPr>
                <w:noProof/>
                <w:webHidden/>
              </w:rPr>
              <w:fldChar w:fldCharType="begin"/>
            </w:r>
            <w:r w:rsidR="003A74B4">
              <w:rPr>
                <w:noProof/>
                <w:webHidden/>
              </w:rPr>
              <w:instrText xml:space="preserve"> PAGEREF _Toc63966810 \h </w:instrText>
            </w:r>
            <w:r w:rsidR="003A74B4">
              <w:rPr>
                <w:noProof/>
                <w:webHidden/>
              </w:rPr>
            </w:r>
            <w:r w:rsidR="003A74B4">
              <w:rPr>
                <w:noProof/>
                <w:webHidden/>
              </w:rPr>
              <w:fldChar w:fldCharType="separate"/>
            </w:r>
            <w:r w:rsidR="00FF2871">
              <w:rPr>
                <w:noProof/>
                <w:webHidden/>
              </w:rPr>
              <w:t>9</w:t>
            </w:r>
            <w:r w:rsidR="003A74B4">
              <w:rPr>
                <w:noProof/>
                <w:webHidden/>
              </w:rPr>
              <w:fldChar w:fldCharType="end"/>
            </w:r>
          </w:hyperlink>
        </w:p>
        <w:p w14:paraId="2AE29626" w14:textId="02374290" w:rsidR="003A74B4" w:rsidRDefault="005B64B3">
          <w:pPr>
            <w:pStyle w:val="TOC1"/>
            <w:rPr>
              <w:rFonts w:asciiTheme="minorHAnsi" w:eastAsiaTheme="minorEastAsia" w:hAnsiTheme="minorHAnsi"/>
              <w:b w:val="0"/>
              <w:caps w:val="0"/>
              <w:noProof/>
              <w:sz w:val="22"/>
              <w:szCs w:val="22"/>
              <w:lang w:eastAsia="en-AU"/>
            </w:rPr>
          </w:pPr>
          <w:hyperlink w:anchor="_Toc63966811" w:history="1">
            <w:r w:rsidR="003A74B4" w:rsidRPr="00A935DF">
              <w:rPr>
                <w:rStyle w:val="Hyperlink"/>
                <w:noProof/>
              </w:rPr>
              <w:t>I.</w:t>
            </w:r>
            <w:r w:rsidR="003A74B4">
              <w:rPr>
                <w:rFonts w:asciiTheme="minorHAnsi" w:eastAsiaTheme="minorEastAsia" w:hAnsiTheme="minorHAnsi"/>
                <w:b w:val="0"/>
                <w:caps w:val="0"/>
                <w:noProof/>
                <w:sz w:val="22"/>
                <w:szCs w:val="22"/>
                <w:lang w:eastAsia="en-AU"/>
              </w:rPr>
              <w:tab/>
            </w:r>
            <w:r w:rsidR="003A74B4" w:rsidRPr="00A935DF">
              <w:rPr>
                <w:rStyle w:val="Hyperlink"/>
                <w:noProof/>
              </w:rPr>
              <w:t>introduction</w:t>
            </w:r>
            <w:r w:rsidR="003A74B4">
              <w:rPr>
                <w:noProof/>
                <w:webHidden/>
              </w:rPr>
              <w:tab/>
            </w:r>
            <w:r w:rsidR="003A74B4">
              <w:rPr>
                <w:noProof/>
                <w:webHidden/>
              </w:rPr>
              <w:fldChar w:fldCharType="begin"/>
            </w:r>
            <w:r w:rsidR="003A74B4">
              <w:rPr>
                <w:noProof/>
                <w:webHidden/>
              </w:rPr>
              <w:instrText xml:space="preserve"> PAGEREF _Toc63966811 \h </w:instrText>
            </w:r>
            <w:r w:rsidR="003A74B4">
              <w:rPr>
                <w:noProof/>
                <w:webHidden/>
              </w:rPr>
            </w:r>
            <w:r w:rsidR="003A74B4">
              <w:rPr>
                <w:noProof/>
                <w:webHidden/>
              </w:rPr>
              <w:fldChar w:fldCharType="separate"/>
            </w:r>
            <w:r w:rsidR="00FF2871">
              <w:rPr>
                <w:noProof/>
                <w:webHidden/>
              </w:rPr>
              <w:t>10</w:t>
            </w:r>
            <w:r w:rsidR="003A74B4">
              <w:rPr>
                <w:noProof/>
                <w:webHidden/>
              </w:rPr>
              <w:fldChar w:fldCharType="end"/>
            </w:r>
          </w:hyperlink>
        </w:p>
        <w:p w14:paraId="51A6EAFF" w14:textId="55EC410C" w:rsidR="003A74B4" w:rsidRDefault="005B64B3">
          <w:pPr>
            <w:pStyle w:val="TOC1"/>
            <w:rPr>
              <w:rFonts w:asciiTheme="minorHAnsi" w:eastAsiaTheme="minorEastAsia" w:hAnsiTheme="minorHAnsi"/>
              <w:b w:val="0"/>
              <w:caps w:val="0"/>
              <w:noProof/>
              <w:sz w:val="22"/>
              <w:szCs w:val="22"/>
              <w:lang w:eastAsia="en-AU"/>
            </w:rPr>
          </w:pPr>
          <w:hyperlink w:anchor="_Toc63966812" w:history="1">
            <w:r w:rsidR="003A74B4" w:rsidRPr="00A935DF">
              <w:rPr>
                <w:rStyle w:val="Hyperlink"/>
                <w:noProof/>
              </w:rPr>
              <w:t>II.</w:t>
            </w:r>
            <w:r w:rsidR="003A74B4">
              <w:rPr>
                <w:rFonts w:asciiTheme="minorHAnsi" w:eastAsiaTheme="minorEastAsia" w:hAnsiTheme="minorHAnsi"/>
                <w:b w:val="0"/>
                <w:caps w:val="0"/>
                <w:noProof/>
                <w:sz w:val="22"/>
                <w:szCs w:val="22"/>
                <w:lang w:eastAsia="en-AU"/>
              </w:rPr>
              <w:tab/>
            </w:r>
            <w:r w:rsidR="003A74B4" w:rsidRPr="00A935DF">
              <w:rPr>
                <w:rStyle w:val="Hyperlink"/>
                <w:noProof/>
              </w:rPr>
              <w:t>INDIA'S DOMESTIC SUPPORT IN FAVOUR OF SUGARCANE PRODUCERS VIOLATES ITS OBLIGATIONS UNDER THE AGREEMENT ON AGRICULTURE</w:t>
            </w:r>
            <w:r w:rsidR="003A74B4">
              <w:rPr>
                <w:noProof/>
                <w:webHidden/>
              </w:rPr>
              <w:tab/>
            </w:r>
            <w:r w:rsidR="003A74B4">
              <w:rPr>
                <w:noProof/>
                <w:webHidden/>
              </w:rPr>
              <w:fldChar w:fldCharType="begin"/>
            </w:r>
            <w:r w:rsidR="003A74B4">
              <w:rPr>
                <w:noProof/>
                <w:webHidden/>
              </w:rPr>
              <w:instrText xml:space="preserve"> PAGEREF _Toc63966812 \h </w:instrText>
            </w:r>
            <w:r w:rsidR="003A74B4">
              <w:rPr>
                <w:noProof/>
                <w:webHidden/>
              </w:rPr>
            </w:r>
            <w:r w:rsidR="003A74B4">
              <w:rPr>
                <w:noProof/>
                <w:webHidden/>
              </w:rPr>
              <w:fldChar w:fldCharType="separate"/>
            </w:r>
            <w:r w:rsidR="00FF2871">
              <w:rPr>
                <w:noProof/>
                <w:webHidden/>
              </w:rPr>
              <w:t>12</w:t>
            </w:r>
            <w:r w:rsidR="003A74B4">
              <w:rPr>
                <w:noProof/>
                <w:webHidden/>
              </w:rPr>
              <w:fldChar w:fldCharType="end"/>
            </w:r>
          </w:hyperlink>
        </w:p>
        <w:p w14:paraId="0B922583" w14:textId="7C5BDAA5" w:rsidR="003A74B4" w:rsidRDefault="005B64B3">
          <w:pPr>
            <w:pStyle w:val="TOC2"/>
            <w:rPr>
              <w:rFonts w:asciiTheme="minorHAnsi" w:eastAsiaTheme="minorEastAsia" w:hAnsiTheme="minorHAnsi"/>
              <w:b w:val="0"/>
              <w:smallCaps w:val="0"/>
              <w:noProof/>
              <w:sz w:val="22"/>
              <w:szCs w:val="22"/>
              <w:lang w:eastAsia="en-AU"/>
            </w:rPr>
          </w:pPr>
          <w:hyperlink w:anchor="_Toc63966813" w:history="1">
            <w:r w:rsidR="003A74B4" w:rsidRPr="00A935DF">
              <w:rPr>
                <w:rStyle w:val="Hyperlink"/>
                <w:noProof/>
              </w:rPr>
              <w:t>A.</w:t>
            </w:r>
            <w:r w:rsidR="003A74B4">
              <w:rPr>
                <w:rFonts w:asciiTheme="minorHAnsi" w:eastAsiaTheme="minorEastAsia" w:hAnsiTheme="minorHAnsi"/>
                <w:b w:val="0"/>
                <w:smallCaps w:val="0"/>
                <w:noProof/>
                <w:sz w:val="22"/>
                <w:szCs w:val="22"/>
                <w:lang w:eastAsia="en-AU"/>
              </w:rPr>
              <w:tab/>
            </w:r>
            <w:r w:rsidR="003A74B4" w:rsidRPr="00A935DF">
              <w:rPr>
                <w:rStyle w:val="Hyperlink"/>
                <w:noProof/>
              </w:rPr>
              <w:t>There are no significant facts in dispute with respect to Australia's domestic support claims</w:t>
            </w:r>
            <w:r w:rsidR="003A74B4">
              <w:rPr>
                <w:noProof/>
                <w:webHidden/>
              </w:rPr>
              <w:tab/>
            </w:r>
            <w:r w:rsidR="003A74B4">
              <w:rPr>
                <w:noProof/>
                <w:webHidden/>
              </w:rPr>
              <w:fldChar w:fldCharType="begin"/>
            </w:r>
            <w:r w:rsidR="003A74B4">
              <w:rPr>
                <w:noProof/>
                <w:webHidden/>
              </w:rPr>
              <w:instrText xml:space="preserve"> PAGEREF _Toc63966813 \h </w:instrText>
            </w:r>
            <w:r w:rsidR="003A74B4">
              <w:rPr>
                <w:noProof/>
                <w:webHidden/>
              </w:rPr>
            </w:r>
            <w:r w:rsidR="003A74B4">
              <w:rPr>
                <w:noProof/>
                <w:webHidden/>
              </w:rPr>
              <w:fldChar w:fldCharType="separate"/>
            </w:r>
            <w:r w:rsidR="00FF2871">
              <w:rPr>
                <w:noProof/>
                <w:webHidden/>
              </w:rPr>
              <w:t>13</w:t>
            </w:r>
            <w:r w:rsidR="003A74B4">
              <w:rPr>
                <w:noProof/>
                <w:webHidden/>
              </w:rPr>
              <w:fldChar w:fldCharType="end"/>
            </w:r>
          </w:hyperlink>
        </w:p>
        <w:p w14:paraId="00B5C326" w14:textId="2C5ECE96" w:rsidR="003A74B4" w:rsidRDefault="005B64B3">
          <w:pPr>
            <w:pStyle w:val="TOC3"/>
            <w:rPr>
              <w:rFonts w:asciiTheme="minorHAnsi" w:eastAsiaTheme="minorEastAsia" w:hAnsiTheme="minorHAnsi"/>
              <w:b w:val="0"/>
              <w:noProof/>
              <w:sz w:val="22"/>
              <w:szCs w:val="22"/>
              <w:lang w:eastAsia="en-AU"/>
            </w:rPr>
          </w:pPr>
          <w:hyperlink w:anchor="_Toc63966814" w:history="1">
            <w:r w:rsidR="003A74B4" w:rsidRPr="00A935DF">
              <w:rPr>
                <w:rStyle w:val="Hyperlink"/>
                <w:noProof/>
              </w:rPr>
              <w:t>1.</w:t>
            </w:r>
            <w:r w:rsidR="003A74B4">
              <w:rPr>
                <w:rFonts w:asciiTheme="minorHAnsi" w:eastAsiaTheme="minorEastAsia" w:hAnsiTheme="minorHAnsi"/>
                <w:b w:val="0"/>
                <w:noProof/>
                <w:sz w:val="22"/>
                <w:szCs w:val="22"/>
                <w:lang w:eastAsia="en-AU"/>
              </w:rPr>
              <w:tab/>
            </w:r>
            <w:r w:rsidR="003A74B4" w:rsidRPr="00A935DF">
              <w:rPr>
                <w:rStyle w:val="Hyperlink"/>
                <w:noProof/>
              </w:rPr>
              <w:t>Measures included in Australia's domestic support calculations</w:t>
            </w:r>
            <w:r w:rsidR="003A74B4">
              <w:rPr>
                <w:noProof/>
                <w:webHidden/>
              </w:rPr>
              <w:tab/>
            </w:r>
            <w:r w:rsidR="003A74B4">
              <w:rPr>
                <w:noProof/>
                <w:webHidden/>
              </w:rPr>
              <w:fldChar w:fldCharType="begin"/>
            </w:r>
            <w:r w:rsidR="003A74B4">
              <w:rPr>
                <w:noProof/>
                <w:webHidden/>
              </w:rPr>
              <w:instrText xml:space="preserve"> PAGEREF _Toc63966814 \h </w:instrText>
            </w:r>
            <w:r w:rsidR="003A74B4">
              <w:rPr>
                <w:noProof/>
                <w:webHidden/>
              </w:rPr>
            </w:r>
            <w:r w:rsidR="003A74B4">
              <w:rPr>
                <w:noProof/>
                <w:webHidden/>
              </w:rPr>
              <w:fldChar w:fldCharType="separate"/>
            </w:r>
            <w:r w:rsidR="00FF2871">
              <w:rPr>
                <w:noProof/>
                <w:webHidden/>
              </w:rPr>
              <w:t>13</w:t>
            </w:r>
            <w:r w:rsidR="003A74B4">
              <w:rPr>
                <w:noProof/>
                <w:webHidden/>
              </w:rPr>
              <w:fldChar w:fldCharType="end"/>
            </w:r>
          </w:hyperlink>
        </w:p>
        <w:p w14:paraId="580C30E4" w14:textId="3843BAB6" w:rsidR="003A74B4" w:rsidRDefault="005B64B3">
          <w:pPr>
            <w:pStyle w:val="TOC4"/>
            <w:rPr>
              <w:rFonts w:asciiTheme="minorHAnsi" w:eastAsiaTheme="minorEastAsia" w:hAnsiTheme="minorHAnsi"/>
              <w:noProof/>
              <w:sz w:val="22"/>
              <w:szCs w:val="22"/>
              <w:u w:val="none"/>
              <w:lang w:eastAsia="en-AU"/>
            </w:rPr>
          </w:pPr>
          <w:hyperlink w:anchor="_Toc63966815" w:history="1">
            <w:r w:rsidR="003A74B4" w:rsidRPr="00A935DF">
              <w:rPr>
                <w:rStyle w:val="Hyperlink"/>
                <w:noProof/>
              </w:rPr>
              <w:t>(a)</w:t>
            </w:r>
            <w:r w:rsidR="003A74B4">
              <w:rPr>
                <w:rFonts w:asciiTheme="minorHAnsi" w:eastAsiaTheme="minorEastAsia" w:hAnsiTheme="minorHAnsi"/>
                <w:noProof/>
                <w:sz w:val="22"/>
                <w:szCs w:val="22"/>
                <w:u w:val="none"/>
                <w:lang w:eastAsia="en-AU"/>
              </w:rPr>
              <w:tab/>
            </w:r>
            <w:r w:rsidR="003A74B4" w:rsidRPr="00A935DF">
              <w:rPr>
                <w:rStyle w:val="Hyperlink"/>
                <w:noProof/>
              </w:rPr>
              <w:t>Market price support: the FRP and SAPs</w:t>
            </w:r>
            <w:r w:rsidR="003A74B4">
              <w:rPr>
                <w:noProof/>
                <w:webHidden/>
              </w:rPr>
              <w:tab/>
            </w:r>
            <w:r w:rsidR="003A74B4">
              <w:rPr>
                <w:noProof/>
                <w:webHidden/>
              </w:rPr>
              <w:fldChar w:fldCharType="begin"/>
            </w:r>
            <w:r w:rsidR="003A74B4">
              <w:rPr>
                <w:noProof/>
                <w:webHidden/>
              </w:rPr>
              <w:instrText xml:space="preserve"> PAGEREF _Toc63966815 \h </w:instrText>
            </w:r>
            <w:r w:rsidR="003A74B4">
              <w:rPr>
                <w:noProof/>
                <w:webHidden/>
              </w:rPr>
            </w:r>
            <w:r w:rsidR="003A74B4">
              <w:rPr>
                <w:noProof/>
                <w:webHidden/>
              </w:rPr>
              <w:fldChar w:fldCharType="separate"/>
            </w:r>
            <w:r w:rsidR="00FF2871">
              <w:rPr>
                <w:noProof/>
                <w:webHidden/>
              </w:rPr>
              <w:t>14</w:t>
            </w:r>
            <w:r w:rsidR="003A74B4">
              <w:rPr>
                <w:noProof/>
                <w:webHidden/>
              </w:rPr>
              <w:fldChar w:fldCharType="end"/>
            </w:r>
          </w:hyperlink>
        </w:p>
        <w:p w14:paraId="66BC7B7C" w14:textId="60E95528" w:rsidR="003A74B4" w:rsidRDefault="005B64B3">
          <w:pPr>
            <w:pStyle w:val="TOC4"/>
            <w:rPr>
              <w:rFonts w:asciiTheme="minorHAnsi" w:eastAsiaTheme="minorEastAsia" w:hAnsiTheme="minorHAnsi"/>
              <w:noProof/>
              <w:sz w:val="22"/>
              <w:szCs w:val="22"/>
              <w:u w:val="none"/>
              <w:lang w:eastAsia="en-AU"/>
            </w:rPr>
          </w:pPr>
          <w:hyperlink w:anchor="_Toc63966816" w:history="1">
            <w:r w:rsidR="003A74B4" w:rsidRPr="00A935DF">
              <w:rPr>
                <w:rStyle w:val="Hyperlink"/>
                <w:noProof/>
              </w:rPr>
              <w:t>(b)</w:t>
            </w:r>
            <w:r w:rsidR="003A74B4">
              <w:rPr>
                <w:rFonts w:asciiTheme="minorHAnsi" w:eastAsiaTheme="minorEastAsia" w:hAnsiTheme="minorHAnsi"/>
                <w:noProof/>
                <w:sz w:val="22"/>
                <w:szCs w:val="22"/>
                <w:u w:val="none"/>
                <w:lang w:eastAsia="en-AU"/>
              </w:rPr>
              <w:tab/>
            </w:r>
            <w:r w:rsidR="003A74B4" w:rsidRPr="00A935DF">
              <w:rPr>
                <w:rStyle w:val="Hyperlink"/>
                <w:noProof/>
              </w:rPr>
              <w:t>Non-exempt direct payments and other non-exempt policies: the three state programmes</w:t>
            </w:r>
            <w:r w:rsidR="003A74B4">
              <w:rPr>
                <w:noProof/>
                <w:webHidden/>
              </w:rPr>
              <w:tab/>
            </w:r>
            <w:r w:rsidR="003A74B4">
              <w:rPr>
                <w:noProof/>
                <w:webHidden/>
              </w:rPr>
              <w:fldChar w:fldCharType="begin"/>
            </w:r>
            <w:r w:rsidR="003A74B4">
              <w:rPr>
                <w:noProof/>
                <w:webHidden/>
              </w:rPr>
              <w:instrText xml:space="preserve"> PAGEREF _Toc63966816 \h </w:instrText>
            </w:r>
            <w:r w:rsidR="003A74B4">
              <w:rPr>
                <w:noProof/>
                <w:webHidden/>
              </w:rPr>
            </w:r>
            <w:r w:rsidR="003A74B4">
              <w:rPr>
                <w:noProof/>
                <w:webHidden/>
              </w:rPr>
              <w:fldChar w:fldCharType="separate"/>
            </w:r>
            <w:r w:rsidR="00FF2871">
              <w:rPr>
                <w:noProof/>
                <w:webHidden/>
              </w:rPr>
              <w:t>15</w:t>
            </w:r>
            <w:r w:rsidR="003A74B4">
              <w:rPr>
                <w:noProof/>
                <w:webHidden/>
              </w:rPr>
              <w:fldChar w:fldCharType="end"/>
            </w:r>
          </w:hyperlink>
        </w:p>
        <w:p w14:paraId="67DA357C" w14:textId="062E5E33" w:rsidR="003A74B4" w:rsidRDefault="005B64B3">
          <w:pPr>
            <w:pStyle w:val="TOC3"/>
            <w:rPr>
              <w:rFonts w:asciiTheme="minorHAnsi" w:eastAsiaTheme="minorEastAsia" w:hAnsiTheme="minorHAnsi"/>
              <w:b w:val="0"/>
              <w:noProof/>
              <w:sz w:val="22"/>
              <w:szCs w:val="22"/>
              <w:lang w:eastAsia="en-AU"/>
            </w:rPr>
          </w:pPr>
          <w:hyperlink w:anchor="_Toc63966817" w:history="1">
            <w:r w:rsidR="003A74B4" w:rsidRPr="00A935DF">
              <w:rPr>
                <w:rStyle w:val="Hyperlink"/>
                <w:noProof/>
              </w:rPr>
              <w:t>2.</w:t>
            </w:r>
            <w:r w:rsidR="003A74B4">
              <w:rPr>
                <w:rFonts w:asciiTheme="minorHAnsi" w:eastAsiaTheme="minorEastAsia" w:hAnsiTheme="minorHAnsi"/>
                <w:b w:val="0"/>
                <w:noProof/>
                <w:sz w:val="22"/>
                <w:szCs w:val="22"/>
                <w:lang w:eastAsia="en-AU"/>
              </w:rPr>
              <w:tab/>
            </w:r>
            <w:r w:rsidR="003A74B4" w:rsidRPr="00A935DF">
              <w:rPr>
                <w:rStyle w:val="Hyperlink"/>
                <w:noProof/>
              </w:rPr>
              <w:t>Measures not included in Australia's domestic support calculations: budgetary payments made to maintain the "gap"</w:t>
            </w:r>
            <w:r w:rsidR="003A74B4">
              <w:rPr>
                <w:noProof/>
                <w:webHidden/>
              </w:rPr>
              <w:tab/>
            </w:r>
            <w:r w:rsidR="003A74B4">
              <w:rPr>
                <w:noProof/>
                <w:webHidden/>
              </w:rPr>
              <w:fldChar w:fldCharType="begin"/>
            </w:r>
            <w:r w:rsidR="003A74B4">
              <w:rPr>
                <w:noProof/>
                <w:webHidden/>
              </w:rPr>
              <w:instrText xml:space="preserve"> PAGEREF _Toc63966817 \h </w:instrText>
            </w:r>
            <w:r w:rsidR="003A74B4">
              <w:rPr>
                <w:noProof/>
                <w:webHidden/>
              </w:rPr>
            </w:r>
            <w:r w:rsidR="003A74B4">
              <w:rPr>
                <w:noProof/>
                <w:webHidden/>
              </w:rPr>
              <w:fldChar w:fldCharType="separate"/>
            </w:r>
            <w:r w:rsidR="00FF2871">
              <w:rPr>
                <w:noProof/>
                <w:webHidden/>
              </w:rPr>
              <w:t>15</w:t>
            </w:r>
            <w:r w:rsidR="003A74B4">
              <w:rPr>
                <w:noProof/>
                <w:webHidden/>
              </w:rPr>
              <w:fldChar w:fldCharType="end"/>
            </w:r>
          </w:hyperlink>
        </w:p>
        <w:p w14:paraId="3942D666" w14:textId="2FD5AC73" w:rsidR="003A74B4" w:rsidRDefault="005B64B3">
          <w:pPr>
            <w:pStyle w:val="TOC2"/>
            <w:rPr>
              <w:rFonts w:asciiTheme="minorHAnsi" w:eastAsiaTheme="minorEastAsia" w:hAnsiTheme="minorHAnsi"/>
              <w:b w:val="0"/>
              <w:smallCaps w:val="0"/>
              <w:noProof/>
              <w:sz w:val="22"/>
              <w:szCs w:val="22"/>
              <w:lang w:eastAsia="en-AU"/>
            </w:rPr>
          </w:pPr>
          <w:hyperlink w:anchor="_Toc63966818" w:history="1">
            <w:r w:rsidR="003A74B4" w:rsidRPr="00A935DF">
              <w:rPr>
                <w:rStyle w:val="Hyperlink"/>
                <w:noProof/>
              </w:rPr>
              <w:t>B.</w:t>
            </w:r>
            <w:r w:rsidR="003A74B4">
              <w:rPr>
                <w:rFonts w:asciiTheme="minorHAnsi" w:eastAsiaTheme="minorEastAsia" w:hAnsiTheme="minorHAnsi"/>
                <w:b w:val="0"/>
                <w:smallCaps w:val="0"/>
                <w:noProof/>
                <w:sz w:val="22"/>
                <w:szCs w:val="22"/>
                <w:lang w:eastAsia="en-AU"/>
              </w:rPr>
              <w:tab/>
            </w:r>
            <w:r w:rsidR="003A74B4" w:rsidRPr="00A935DF">
              <w:rPr>
                <w:rStyle w:val="Hyperlink"/>
                <w:noProof/>
              </w:rPr>
              <w:t>India's FRP and SAP measures constitute market price support</w:t>
            </w:r>
            <w:r w:rsidR="003A74B4">
              <w:rPr>
                <w:noProof/>
                <w:webHidden/>
              </w:rPr>
              <w:tab/>
            </w:r>
            <w:r w:rsidR="003A74B4">
              <w:rPr>
                <w:noProof/>
                <w:webHidden/>
              </w:rPr>
              <w:fldChar w:fldCharType="begin"/>
            </w:r>
            <w:r w:rsidR="003A74B4">
              <w:rPr>
                <w:noProof/>
                <w:webHidden/>
              </w:rPr>
              <w:instrText xml:space="preserve"> PAGEREF _Toc63966818 \h </w:instrText>
            </w:r>
            <w:r w:rsidR="003A74B4">
              <w:rPr>
                <w:noProof/>
                <w:webHidden/>
              </w:rPr>
            </w:r>
            <w:r w:rsidR="003A74B4">
              <w:rPr>
                <w:noProof/>
                <w:webHidden/>
              </w:rPr>
              <w:fldChar w:fldCharType="separate"/>
            </w:r>
            <w:r w:rsidR="00FF2871">
              <w:rPr>
                <w:noProof/>
                <w:webHidden/>
              </w:rPr>
              <w:t>16</w:t>
            </w:r>
            <w:r w:rsidR="003A74B4">
              <w:rPr>
                <w:noProof/>
                <w:webHidden/>
              </w:rPr>
              <w:fldChar w:fldCharType="end"/>
            </w:r>
          </w:hyperlink>
        </w:p>
        <w:p w14:paraId="5427E6AA" w14:textId="0B5E1533" w:rsidR="003A74B4" w:rsidRDefault="005B64B3">
          <w:pPr>
            <w:pStyle w:val="TOC3"/>
            <w:rPr>
              <w:rFonts w:asciiTheme="minorHAnsi" w:eastAsiaTheme="minorEastAsia" w:hAnsiTheme="minorHAnsi"/>
              <w:b w:val="0"/>
              <w:noProof/>
              <w:sz w:val="22"/>
              <w:szCs w:val="22"/>
              <w:lang w:eastAsia="en-AU"/>
            </w:rPr>
          </w:pPr>
          <w:hyperlink w:anchor="_Toc63966819" w:history="1">
            <w:r w:rsidR="003A74B4" w:rsidRPr="00A935DF">
              <w:rPr>
                <w:rStyle w:val="Hyperlink"/>
                <w:noProof/>
              </w:rPr>
              <w:t>1.</w:t>
            </w:r>
            <w:r w:rsidR="003A74B4">
              <w:rPr>
                <w:rFonts w:asciiTheme="minorHAnsi" w:eastAsiaTheme="minorEastAsia" w:hAnsiTheme="minorHAnsi"/>
                <w:b w:val="0"/>
                <w:noProof/>
                <w:sz w:val="22"/>
                <w:szCs w:val="22"/>
                <w:lang w:eastAsia="en-AU"/>
              </w:rPr>
              <w:tab/>
            </w:r>
            <w:r w:rsidR="003A74B4" w:rsidRPr="00A935DF">
              <w:rPr>
                <w:rStyle w:val="Hyperlink"/>
                <w:noProof/>
              </w:rPr>
              <w:t>The meaning of "market price support" in the Agreement on Agriculture</w:t>
            </w:r>
            <w:r w:rsidR="003A74B4">
              <w:rPr>
                <w:noProof/>
                <w:webHidden/>
              </w:rPr>
              <w:tab/>
            </w:r>
            <w:r w:rsidR="003A74B4">
              <w:rPr>
                <w:noProof/>
                <w:webHidden/>
              </w:rPr>
              <w:fldChar w:fldCharType="begin"/>
            </w:r>
            <w:r w:rsidR="003A74B4">
              <w:rPr>
                <w:noProof/>
                <w:webHidden/>
              </w:rPr>
              <w:instrText xml:space="preserve"> PAGEREF _Toc63966819 \h </w:instrText>
            </w:r>
            <w:r w:rsidR="003A74B4">
              <w:rPr>
                <w:noProof/>
                <w:webHidden/>
              </w:rPr>
            </w:r>
            <w:r w:rsidR="003A74B4">
              <w:rPr>
                <w:noProof/>
                <w:webHidden/>
              </w:rPr>
              <w:fldChar w:fldCharType="separate"/>
            </w:r>
            <w:r w:rsidR="00FF2871">
              <w:rPr>
                <w:noProof/>
                <w:webHidden/>
              </w:rPr>
              <w:t>17</w:t>
            </w:r>
            <w:r w:rsidR="003A74B4">
              <w:rPr>
                <w:noProof/>
                <w:webHidden/>
              </w:rPr>
              <w:fldChar w:fldCharType="end"/>
            </w:r>
          </w:hyperlink>
        </w:p>
        <w:p w14:paraId="19C8D8E8" w14:textId="04BAE336" w:rsidR="003A74B4" w:rsidRDefault="005B64B3">
          <w:pPr>
            <w:pStyle w:val="TOC4"/>
            <w:rPr>
              <w:rFonts w:asciiTheme="minorHAnsi" w:eastAsiaTheme="minorEastAsia" w:hAnsiTheme="minorHAnsi"/>
              <w:noProof/>
              <w:sz w:val="22"/>
              <w:szCs w:val="22"/>
              <w:u w:val="none"/>
              <w:lang w:eastAsia="en-AU"/>
            </w:rPr>
          </w:pPr>
          <w:hyperlink w:anchor="_Toc63966820" w:history="1">
            <w:r w:rsidR="003A74B4" w:rsidRPr="00A935DF">
              <w:rPr>
                <w:rStyle w:val="Hyperlink"/>
                <w:noProof/>
              </w:rPr>
              <w:t>(a)</w:t>
            </w:r>
            <w:r w:rsidR="003A74B4">
              <w:rPr>
                <w:rFonts w:asciiTheme="minorHAnsi" w:eastAsiaTheme="minorEastAsia" w:hAnsiTheme="minorHAnsi"/>
                <w:noProof/>
                <w:sz w:val="22"/>
                <w:szCs w:val="22"/>
                <w:u w:val="none"/>
                <w:lang w:eastAsia="en-AU"/>
              </w:rPr>
              <w:tab/>
            </w:r>
            <w:r w:rsidR="003A74B4" w:rsidRPr="00A935DF">
              <w:rPr>
                <w:rStyle w:val="Hyperlink"/>
                <w:noProof/>
              </w:rPr>
              <w:t>Ordinary meaning</w:t>
            </w:r>
            <w:r w:rsidR="003A74B4">
              <w:rPr>
                <w:noProof/>
                <w:webHidden/>
              </w:rPr>
              <w:tab/>
            </w:r>
            <w:r w:rsidR="003A74B4">
              <w:rPr>
                <w:noProof/>
                <w:webHidden/>
              </w:rPr>
              <w:fldChar w:fldCharType="begin"/>
            </w:r>
            <w:r w:rsidR="003A74B4">
              <w:rPr>
                <w:noProof/>
                <w:webHidden/>
              </w:rPr>
              <w:instrText xml:space="preserve"> PAGEREF _Toc63966820 \h </w:instrText>
            </w:r>
            <w:r w:rsidR="003A74B4">
              <w:rPr>
                <w:noProof/>
                <w:webHidden/>
              </w:rPr>
            </w:r>
            <w:r w:rsidR="003A74B4">
              <w:rPr>
                <w:noProof/>
                <w:webHidden/>
              </w:rPr>
              <w:fldChar w:fldCharType="separate"/>
            </w:r>
            <w:r w:rsidR="00FF2871">
              <w:rPr>
                <w:noProof/>
                <w:webHidden/>
              </w:rPr>
              <w:t>17</w:t>
            </w:r>
            <w:r w:rsidR="003A74B4">
              <w:rPr>
                <w:noProof/>
                <w:webHidden/>
              </w:rPr>
              <w:fldChar w:fldCharType="end"/>
            </w:r>
          </w:hyperlink>
        </w:p>
        <w:p w14:paraId="49360B41" w14:textId="1410B008" w:rsidR="003A74B4" w:rsidRDefault="005B64B3">
          <w:pPr>
            <w:pStyle w:val="TOC4"/>
            <w:rPr>
              <w:rFonts w:asciiTheme="minorHAnsi" w:eastAsiaTheme="minorEastAsia" w:hAnsiTheme="minorHAnsi"/>
              <w:noProof/>
              <w:sz w:val="22"/>
              <w:szCs w:val="22"/>
              <w:u w:val="none"/>
              <w:lang w:eastAsia="en-AU"/>
            </w:rPr>
          </w:pPr>
          <w:hyperlink w:anchor="_Toc63966821" w:history="1">
            <w:r w:rsidR="003A74B4" w:rsidRPr="00A935DF">
              <w:rPr>
                <w:rStyle w:val="Hyperlink"/>
                <w:noProof/>
              </w:rPr>
              <w:t>(b)</w:t>
            </w:r>
            <w:r w:rsidR="003A74B4">
              <w:rPr>
                <w:rFonts w:asciiTheme="minorHAnsi" w:eastAsiaTheme="minorEastAsia" w:hAnsiTheme="minorHAnsi"/>
                <w:noProof/>
                <w:sz w:val="22"/>
                <w:szCs w:val="22"/>
                <w:u w:val="none"/>
                <w:lang w:eastAsia="en-AU"/>
              </w:rPr>
              <w:tab/>
            </w:r>
            <w:r w:rsidR="003A74B4" w:rsidRPr="00A935DF">
              <w:rPr>
                <w:rStyle w:val="Hyperlink"/>
                <w:noProof/>
              </w:rPr>
              <w:t>Context</w:t>
            </w:r>
            <w:r w:rsidR="003A74B4">
              <w:rPr>
                <w:noProof/>
                <w:webHidden/>
              </w:rPr>
              <w:tab/>
            </w:r>
            <w:r w:rsidR="003A74B4">
              <w:rPr>
                <w:noProof/>
                <w:webHidden/>
              </w:rPr>
              <w:fldChar w:fldCharType="begin"/>
            </w:r>
            <w:r w:rsidR="003A74B4">
              <w:rPr>
                <w:noProof/>
                <w:webHidden/>
              </w:rPr>
              <w:instrText xml:space="preserve"> PAGEREF _Toc63966821 \h </w:instrText>
            </w:r>
            <w:r w:rsidR="003A74B4">
              <w:rPr>
                <w:noProof/>
                <w:webHidden/>
              </w:rPr>
            </w:r>
            <w:r w:rsidR="003A74B4">
              <w:rPr>
                <w:noProof/>
                <w:webHidden/>
              </w:rPr>
              <w:fldChar w:fldCharType="separate"/>
            </w:r>
            <w:r w:rsidR="00FF2871">
              <w:rPr>
                <w:noProof/>
                <w:webHidden/>
              </w:rPr>
              <w:t>20</w:t>
            </w:r>
            <w:r w:rsidR="003A74B4">
              <w:rPr>
                <w:noProof/>
                <w:webHidden/>
              </w:rPr>
              <w:fldChar w:fldCharType="end"/>
            </w:r>
          </w:hyperlink>
        </w:p>
        <w:p w14:paraId="395AA7B0" w14:textId="661C13D1" w:rsidR="003A74B4" w:rsidRDefault="005B64B3">
          <w:pPr>
            <w:pStyle w:val="TOC4"/>
            <w:rPr>
              <w:rFonts w:asciiTheme="minorHAnsi" w:eastAsiaTheme="minorEastAsia" w:hAnsiTheme="minorHAnsi"/>
              <w:noProof/>
              <w:sz w:val="22"/>
              <w:szCs w:val="22"/>
              <w:u w:val="none"/>
              <w:lang w:eastAsia="en-AU"/>
            </w:rPr>
          </w:pPr>
          <w:hyperlink w:anchor="_Toc63966822" w:history="1">
            <w:r w:rsidR="003A74B4" w:rsidRPr="00A935DF">
              <w:rPr>
                <w:rStyle w:val="Hyperlink"/>
                <w:noProof/>
              </w:rPr>
              <w:t>(c)</w:t>
            </w:r>
            <w:r w:rsidR="003A74B4">
              <w:rPr>
                <w:rFonts w:asciiTheme="minorHAnsi" w:eastAsiaTheme="minorEastAsia" w:hAnsiTheme="minorHAnsi"/>
                <w:noProof/>
                <w:sz w:val="22"/>
                <w:szCs w:val="22"/>
                <w:u w:val="none"/>
                <w:lang w:eastAsia="en-AU"/>
              </w:rPr>
              <w:tab/>
            </w:r>
            <w:r w:rsidR="003A74B4" w:rsidRPr="00A935DF">
              <w:rPr>
                <w:rStyle w:val="Hyperlink"/>
                <w:noProof/>
              </w:rPr>
              <w:t>Object and purpose</w:t>
            </w:r>
            <w:r w:rsidR="003A74B4">
              <w:rPr>
                <w:noProof/>
                <w:webHidden/>
              </w:rPr>
              <w:tab/>
            </w:r>
            <w:r w:rsidR="003A74B4">
              <w:rPr>
                <w:noProof/>
                <w:webHidden/>
              </w:rPr>
              <w:fldChar w:fldCharType="begin"/>
            </w:r>
            <w:r w:rsidR="003A74B4">
              <w:rPr>
                <w:noProof/>
                <w:webHidden/>
              </w:rPr>
              <w:instrText xml:space="preserve"> PAGEREF _Toc63966822 \h </w:instrText>
            </w:r>
            <w:r w:rsidR="003A74B4">
              <w:rPr>
                <w:noProof/>
                <w:webHidden/>
              </w:rPr>
            </w:r>
            <w:r w:rsidR="003A74B4">
              <w:rPr>
                <w:noProof/>
                <w:webHidden/>
              </w:rPr>
              <w:fldChar w:fldCharType="separate"/>
            </w:r>
            <w:r w:rsidR="00FF2871">
              <w:rPr>
                <w:noProof/>
                <w:webHidden/>
              </w:rPr>
              <w:t>22</w:t>
            </w:r>
            <w:r w:rsidR="003A74B4">
              <w:rPr>
                <w:noProof/>
                <w:webHidden/>
              </w:rPr>
              <w:fldChar w:fldCharType="end"/>
            </w:r>
          </w:hyperlink>
        </w:p>
        <w:p w14:paraId="65DFD411" w14:textId="20CE3FA5" w:rsidR="003A74B4" w:rsidRDefault="005B64B3">
          <w:pPr>
            <w:pStyle w:val="TOC4"/>
            <w:rPr>
              <w:rFonts w:asciiTheme="minorHAnsi" w:eastAsiaTheme="minorEastAsia" w:hAnsiTheme="minorHAnsi"/>
              <w:noProof/>
              <w:sz w:val="22"/>
              <w:szCs w:val="22"/>
              <w:u w:val="none"/>
              <w:lang w:eastAsia="en-AU"/>
            </w:rPr>
          </w:pPr>
          <w:hyperlink w:anchor="_Toc63966823" w:history="1">
            <w:r w:rsidR="003A74B4" w:rsidRPr="00A935DF">
              <w:rPr>
                <w:rStyle w:val="Hyperlink"/>
                <w:noProof/>
              </w:rPr>
              <w:t>(d)</w:t>
            </w:r>
            <w:r w:rsidR="003A74B4">
              <w:rPr>
                <w:rFonts w:asciiTheme="minorHAnsi" w:eastAsiaTheme="minorEastAsia" w:hAnsiTheme="minorHAnsi"/>
                <w:noProof/>
                <w:sz w:val="22"/>
                <w:szCs w:val="22"/>
                <w:u w:val="none"/>
                <w:lang w:eastAsia="en-AU"/>
              </w:rPr>
              <w:tab/>
            </w:r>
            <w:r w:rsidR="003A74B4" w:rsidRPr="00A935DF">
              <w:rPr>
                <w:rStyle w:val="Hyperlink"/>
                <w:noProof/>
              </w:rPr>
              <w:t>Conclusion</w:t>
            </w:r>
            <w:r w:rsidR="003A74B4">
              <w:rPr>
                <w:noProof/>
                <w:webHidden/>
              </w:rPr>
              <w:tab/>
            </w:r>
            <w:r w:rsidR="003A74B4">
              <w:rPr>
                <w:noProof/>
                <w:webHidden/>
              </w:rPr>
              <w:fldChar w:fldCharType="begin"/>
            </w:r>
            <w:r w:rsidR="003A74B4">
              <w:rPr>
                <w:noProof/>
                <w:webHidden/>
              </w:rPr>
              <w:instrText xml:space="preserve"> PAGEREF _Toc63966823 \h </w:instrText>
            </w:r>
            <w:r w:rsidR="003A74B4">
              <w:rPr>
                <w:noProof/>
                <w:webHidden/>
              </w:rPr>
            </w:r>
            <w:r w:rsidR="003A74B4">
              <w:rPr>
                <w:noProof/>
                <w:webHidden/>
              </w:rPr>
              <w:fldChar w:fldCharType="separate"/>
            </w:r>
            <w:r w:rsidR="00FF2871">
              <w:rPr>
                <w:noProof/>
                <w:webHidden/>
              </w:rPr>
              <w:t>23</w:t>
            </w:r>
            <w:r w:rsidR="003A74B4">
              <w:rPr>
                <w:noProof/>
                <w:webHidden/>
              </w:rPr>
              <w:fldChar w:fldCharType="end"/>
            </w:r>
          </w:hyperlink>
        </w:p>
        <w:p w14:paraId="56D774CE" w14:textId="11DF364C" w:rsidR="003A74B4" w:rsidRDefault="005B64B3">
          <w:pPr>
            <w:pStyle w:val="TOC3"/>
            <w:rPr>
              <w:rFonts w:asciiTheme="minorHAnsi" w:eastAsiaTheme="minorEastAsia" w:hAnsiTheme="minorHAnsi"/>
              <w:b w:val="0"/>
              <w:noProof/>
              <w:sz w:val="22"/>
              <w:szCs w:val="22"/>
              <w:lang w:eastAsia="en-AU"/>
            </w:rPr>
          </w:pPr>
          <w:hyperlink w:anchor="_Toc63966824" w:history="1">
            <w:r w:rsidR="003A74B4" w:rsidRPr="00A935DF">
              <w:rPr>
                <w:rStyle w:val="Hyperlink"/>
                <w:noProof/>
              </w:rPr>
              <w:t>2.</w:t>
            </w:r>
            <w:r w:rsidR="003A74B4">
              <w:rPr>
                <w:rFonts w:asciiTheme="minorHAnsi" w:eastAsiaTheme="minorEastAsia" w:hAnsiTheme="minorHAnsi"/>
                <w:b w:val="0"/>
                <w:noProof/>
                <w:sz w:val="22"/>
                <w:szCs w:val="22"/>
                <w:lang w:eastAsia="en-AU"/>
              </w:rPr>
              <w:tab/>
            </w:r>
            <w:r w:rsidR="003A74B4" w:rsidRPr="00A935DF">
              <w:rPr>
                <w:rStyle w:val="Hyperlink"/>
                <w:noProof/>
              </w:rPr>
              <w:t>The Panel should reject India's reasoning in support of its misinterpretation of "market price support"</w:t>
            </w:r>
            <w:r w:rsidR="003A74B4">
              <w:rPr>
                <w:noProof/>
                <w:webHidden/>
              </w:rPr>
              <w:tab/>
            </w:r>
            <w:r w:rsidR="003A74B4">
              <w:rPr>
                <w:noProof/>
                <w:webHidden/>
              </w:rPr>
              <w:fldChar w:fldCharType="begin"/>
            </w:r>
            <w:r w:rsidR="003A74B4">
              <w:rPr>
                <w:noProof/>
                <w:webHidden/>
              </w:rPr>
              <w:instrText xml:space="preserve"> PAGEREF _Toc63966824 \h </w:instrText>
            </w:r>
            <w:r w:rsidR="003A74B4">
              <w:rPr>
                <w:noProof/>
                <w:webHidden/>
              </w:rPr>
            </w:r>
            <w:r w:rsidR="003A74B4">
              <w:rPr>
                <w:noProof/>
                <w:webHidden/>
              </w:rPr>
              <w:fldChar w:fldCharType="separate"/>
            </w:r>
            <w:r w:rsidR="00FF2871">
              <w:rPr>
                <w:noProof/>
                <w:webHidden/>
              </w:rPr>
              <w:t>24</w:t>
            </w:r>
            <w:r w:rsidR="003A74B4">
              <w:rPr>
                <w:noProof/>
                <w:webHidden/>
              </w:rPr>
              <w:fldChar w:fldCharType="end"/>
            </w:r>
          </w:hyperlink>
        </w:p>
        <w:p w14:paraId="22A8DA81" w14:textId="26BDF79C" w:rsidR="003A74B4" w:rsidRDefault="005B64B3">
          <w:pPr>
            <w:pStyle w:val="TOC4"/>
            <w:rPr>
              <w:rFonts w:asciiTheme="minorHAnsi" w:eastAsiaTheme="minorEastAsia" w:hAnsiTheme="minorHAnsi"/>
              <w:noProof/>
              <w:sz w:val="22"/>
              <w:szCs w:val="22"/>
              <w:u w:val="none"/>
              <w:lang w:eastAsia="en-AU"/>
            </w:rPr>
          </w:pPr>
          <w:hyperlink w:anchor="_Toc63966825" w:history="1">
            <w:r w:rsidR="003A74B4" w:rsidRPr="00A935DF">
              <w:rPr>
                <w:rStyle w:val="Hyperlink"/>
                <w:noProof/>
              </w:rPr>
              <w:t>(a)</w:t>
            </w:r>
            <w:r w:rsidR="003A74B4">
              <w:rPr>
                <w:rFonts w:asciiTheme="minorHAnsi" w:eastAsiaTheme="minorEastAsia" w:hAnsiTheme="minorHAnsi"/>
                <w:noProof/>
                <w:sz w:val="22"/>
                <w:szCs w:val="22"/>
                <w:u w:val="none"/>
                <w:lang w:eastAsia="en-AU"/>
              </w:rPr>
              <w:tab/>
            </w:r>
            <w:r w:rsidR="003A74B4" w:rsidRPr="00A935DF">
              <w:rPr>
                <w:rStyle w:val="Hyperlink"/>
                <w:noProof/>
              </w:rPr>
              <w:t>India's interpretation of paragraphs 1 and 2 of Annex 3 is incorrect</w:t>
            </w:r>
            <w:r w:rsidR="003A74B4">
              <w:rPr>
                <w:noProof/>
                <w:webHidden/>
              </w:rPr>
              <w:tab/>
            </w:r>
            <w:r w:rsidR="003A74B4">
              <w:rPr>
                <w:noProof/>
                <w:webHidden/>
              </w:rPr>
              <w:fldChar w:fldCharType="begin"/>
            </w:r>
            <w:r w:rsidR="003A74B4">
              <w:rPr>
                <w:noProof/>
                <w:webHidden/>
              </w:rPr>
              <w:instrText xml:space="preserve"> PAGEREF _Toc63966825 \h </w:instrText>
            </w:r>
            <w:r w:rsidR="003A74B4">
              <w:rPr>
                <w:noProof/>
                <w:webHidden/>
              </w:rPr>
            </w:r>
            <w:r w:rsidR="003A74B4">
              <w:rPr>
                <w:noProof/>
                <w:webHidden/>
              </w:rPr>
              <w:fldChar w:fldCharType="separate"/>
            </w:r>
            <w:r w:rsidR="00FF2871">
              <w:rPr>
                <w:noProof/>
                <w:webHidden/>
              </w:rPr>
              <w:t>24</w:t>
            </w:r>
            <w:r w:rsidR="003A74B4">
              <w:rPr>
                <w:noProof/>
                <w:webHidden/>
              </w:rPr>
              <w:fldChar w:fldCharType="end"/>
            </w:r>
          </w:hyperlink>
        </w:p>
        <w:p w14:paraId="42D34E45" w14:textId="48CC9244" w:rsidR="003A74B4" w:rsidRDefault="005B64B3">
          <w:pPr>
            <w:pStyle w:val="TOC4"/>
            <w:rPr>
              <w:rFonts w:asciiTheme="minorHAnsi" w:eastAsiaTheme="minorEastAsia" w:hAnsiTheme="minorHAnsi"/>
              <w:noProof/>
              <w:sz w:val="22"/>
              <w:szCs w:val="22"/>
              <w:u w:val="none"/>
              <w:lang w:eastAsia="en-AU"/>
            </w:rPr>
          </w:pPr>
          <w:hyperlink w:anchor="_Toc63966826" w:history="1">
            <w:r w:rsidR="003A74B4" w:rsidRPr="00A935DF">
              <w:rPr>
                <w:rStyle w:val="Hyperlink"/>
                <w:noProof/>
              </w:rPr>
              <w:t>(b)</w:t>
            </w:r>
            <w:r w:rsidR="003A74B4">
              <w:rPr>
                <w:rFonts w:asciiTheme="minorHAnsi" w:eastAsiaTheme="minorEastAsia" w:hAnsiTheme="minorHAnsi"/>
                <w:noProof/>
                <w:sz w:val="22"/>
                <w:szCs w:val="22"/>
                <w:u w:val="none"/>
                <w:lang w:eastAsia="en-AU"/>
              </w:rPr>
              <w:tab/>
            </w:r>
            <w:r w:rsidR="003A74B4" w:rsidRPr="00A935DF">
              <w:rPr>
                <w:rStyle w:val="Hyperlink"/>
                <w:noProof/>
              </w:rPr>
              <w:t>Paragraph 8 of Annex 3 is not limited to offering a calculation methodology for market price support</w:t>
            </w:r>
            <w:r w:rsidR="003A74B4">
              <w:rPr>
                <w:noProof/>
                <w:webHidden/>
              </w:rPr>
              <w:tab/>
            </w:r>
            <w:r w:rsidR="003A74B4">
              <w:rPr>
                <w:noProof/>
                <w:webHidden/>
              </w:rPr>
              <w:fldChar w:fldCharType="begin"/>
            </w:r>
            <w:r w:rsidR="003A74B4">
              <w:rPr>
                <w:noProof/>
                <w:webHidden/>
              </w:rPr>
              <w:instrText xml:space="preserve"> PAGEREF _Toc63966826 \h </w:instrText>
            </w:r>
            <w:r w:rsidR="003A74B4">
              <w:rPr>
                <w:noProof/>
                <w:webHidden/>
              </w:rPr>
            </w:r>
            <w:r w:rsidR="003A74B4">
              <w:rPr>
                <w:noProof/>
                <w:webHidden/>
              </w:rPr>
              <w:fldChar w:fldCharType="separate"/>
            </w:r>
            <w:r w:rsidR="00FF2871">
              <w:rPr>
                <w:noProof/>
                <w:webHidden/>
              </w:rPr>
              <w:t>27</w:t>
            </w:r>
            <w:r w:rsidR="003A74B4">
              <w:rPr>
                <w:noProof/>
                <w:webHidden/>
              </w:rPr>
              <w:fldChar w:fldCharType="end"/>
            </w:r>
          </w:hyperlink>
        </w:p>
        <w:p w14:paraId="3F6E8AE1" w14:textId="7BE0B01D" w:rsidR="003A74B4" w:rsidRDefault="005B64B3">
          <w:pPr>
            <w:pStyle w:val="TOC4"/>
            <w:rPr>
              <w:rFonts w:asciiTheme="minorHAnsi" w:eastAsiaTheme="minorEastAsia" w:hAnsiTheme="minorHAnsi"/>
              <w:noProof/>
              <w:sz w:val="22"/>
              <w:szCs w:val="22"/>
              <w:u w:val="none"/>
              <w:lang w:eastAsia="en-AU"/>
            </w:rPr>
          </w:pPr>
          <w:hyperlink w:anchor="_Toc63966827" w:history="1">
            <w:r w:rsidR="003A74B4" w:rsidRPr="00A935DF">
              <w:rPr>
                <w:rStyle w:val="Hyperlink"/>
                <w:noProof/>
              </w:rPr>
              <w:t>(c)</w:t>
            </w:r>
            <w:r w:rsidR="003A74B4">
              <w:rPr>
                <w:rFonts w:asciiTheme="minorHAnsi" w:eastAsiaTheme="minorEastAsia" w:hAnsiTheme="minorHAnsi"/>
                <w:noProof/>
                <w:sz w:val="22"/>
                <w:szCs w:val="22"/>
                <w:u w:val="none"/>
                <w:lang w:eastAsia="en-AU"/>
              </w:rPr>
              <w:tab/>
            </w:r>
            <w:r w:rsidR="003A74B4" w:rsidRPr="00A935DF">
              <w:rPr>
                <w:rStyle w:val="Hyperlink"/>
                <w:noProof/>
              </w:rPr>
              <w:t>Paragraph 8 does not distinguish between the price paid for a product and so-called "transactional costs"</w:t>
            </w:r>
            <w:r w:rsidR="003A74B4">
              <w:rPr>
                <w:noProof/>
                <w:webHidden/>
              </w:rPr>
              <w:tab/>
            </w:r>
            <w:r w:rsidR="003A74B4">
              <w:rPr>
                <w:noProof/>
                <w:webHidden/>
              </w:rPr>
              <w:fldChar w:fldCharType="begin"/>
            </w:r>
            <w:r w:rsidR="003A74B4">
              <w:rPr>
                <w:noProof/>
                <w:webHidden/>
              </w:rPr>
              <w:instrText xml:space="preserve"> PAGEREF _Toc63966827 \h </w:instrText>
            </w:r>
            <w:r w:rsidR="003A74B4">
              <w:rPr>
                <w:noProof/>
                <w:webHidden/>
              </w:rPr>
            </w:r>
            <w:r w:rsidR="003A74B4">
              <w:rPr>
                <w:noProof/>
                <w:webHidden/>
              </w:rPr>
              <w:fldChar w:fldCharType="separate"/>
            </w:r>
            <w:r w:rsidR="00FF2871">
              <w:rPr>
                <w:noProof/>
                <w:webHidden/>
              </w:rPr>
              <w:t>28</w:t>
            </w:r>
            <w:r w:rsidR="003A74B4">
              <w:rPr>
                <w:noProof/>
                <w:webHidden/>
              </w:rPr>
              <w:fldChar w:fldCharType="end"/>
            </w:r>
          </w:hyperlink>
        </w:p>
        <w:p w14:paraId="0ED29D1A" w14:textId="7878D10F" w:rsidR="003A74B4" w:rsidRDefault="005B64B3">
          <w:pPr>
            <w:pStyle w:val="TOC4"/>
            <w:rPr>
              <w:rFonts w:asciiTheme="minorHAnsi" w:eastAsiaTheme="minorEastAsia" w:hAnsiTheme="minorHAnsi"/>
              <w:noProof/>
              <w:sz w:val="22"/>
              <w:szCs w:val="22"/>
              <w:u w:val="none"/>
              <w:lang w:eastAsia="en-AU"/>
            </w:rPr>
          </w:pPr>
          <w:hyperlink w:anchor="_Toc63966828" w:history="1">
            <w:r w:rsidR="003A74B4" w:rsidRPr="00A935DF">
              <w:rPr>
                <w:rStyle w:val="Hyperlink"/>
                <w:noProof/>
              </w:rPr>
              <w:t>(d)</w:t>
            </w:r>
            <w:r w:rsidR="003A74B4">
              <w:rPr>
                <w:rFonts w:asciiTheme="minorHAnsi" w:eastAsiaTheme="minorEastAsia" w:hAnsiTheme="minorHAnsi"/>
                <w:noProof/>
                <w:sz w:val="22"/>
                <w:szCs w:val="22"/>
                <w:u w:val="none"/>
                <w:lang w:eastAsia="en-AU"/>
              </w:rPr>
              <w:tab/>
            </w:r>
            <w:r w:rsidR="003A74B4" w:rsidRPr="00A935DF">
              <w:rPr>
                <w:rStyle w:val="Hyperlink"/>
                <w:noProof/>
              </w:rPr>
              <w:t>Previous panel reports are relevant and support Australia's arguments</w:t>
            </w:r>
            <w:r w:rsidR="003A74B4">
              <w:rPr>
                <w:noProof/>
                <w:webHidden/>
              </w:rPr>
              <w:tab/>
            </w:r>
            <w:r w:rsidR="003A74B4">
              <w:rPr>
                <w:noProof/>
                <w:webHidden/>
              </w:rPr>
              <w:fldChar w:fldCharType="begin"/>
            </w:r>
            <w:r w:rsidR="003A74B4">
              <w:rPr>
                <w:noProof/>
                <w:webHidden/>
              </w:rPr>
              <w:instrText xml:space="preserve"> PAGEREF _Toc63966828 \h </w:instrText>
            </w:r>
            <w:r w:rsidR="003A74B4">
              <w:rPr>
                <w:noProof/>
                <w:webHidden/>
              </w:rPr>
            </w:r>
            <w:r w:rsidR="003A74B4">
              <w:rPr>
                <w:noProof/>
                <w:webHidden/>
              </w:rPr>
              <w:fldChar w:fldCharType="separate"/>
            </w:r>
            <w:r w:rsidR="00FF2871">
              <w:rPr>
                <w:noProof/>
                <w:webHidden/>
              </w:rPr>
              <w:t>29</w:t>
            </w:r>
            <w:r w:rsidR="003A74B4">
              <w:rPr>
                <w:noProof/>
                <w:webHidden/>
              </w:rPr>
              <w:fldChar w:fldCharType="end"/>
            </w:r>
          </w:hyperlink>
        </w:p>
        <w:p w14:paraId="40E1AD3C" w14:textId="6B6C51D3" w:rsidR="003A74B4" w:rsidRDefault="005B64B3">
          <w:pPr>
            <w:pStyle w:val="TOC2"/>
            <w:rPr>
              <w:rFonts w:asciiTheme="minorHAnsi" w:eastAsiaTheme="minorEastAsia" w:hAnsiTheme="minorHAnsi"/>
              <w:b w:val="0"/>
              <w:smallCaps w:val="0"/>
              <w:noProof/>
              <w:sz w:val="22"/>
              <w:szCs w:val="22"/>
              <w:lang w:eastAsia="en-AU"/>
            </w:rPr>
          </w:pPr>
          <w:hyperlink w:anchor="_Toc63966829" w:history="1">
            <w:r w:rsidR="003A74B4" w:rsidRPr="00A935DF">
              <w:rPr>
                <w:rStyle w:val="Hyperlink"/>
                <w:noProof/>
              </w:rPr>
              <w:t>C.</w:t>
            </w:r>
            <w:r w:rsidR="003A74B4">
              <w:rPr>
                <w:rFonts w:asciiTheme="minorHAnsi" w:eastAsiaTheme="minorEastAsia" w:hAnsiTheme="minorHAnsi"/>
                <w:b w:val="0"/>
                <w:smallCaps w:val="0"/>
                <w:noProof/>
                <w:sz w:val="22"/>
                <w:szCs w:val="22"/>
                <w:lang w:eastAsia="en-AU"/>
              </w:rPr>
              <w:tab/>
            </w:r>
            <w:r w:rsidR="003A74B4" w:rsidRPr="00A935DF">
              <w:rPr>
                <w:rStyle w:val="Hyperlink"/>
                <w:noProof/>
              </w:rPr>
              <w:t>Conclusion</w:t>
            </w:r>
            <w:r w:rsidR="003A74B4">
              <w:rPr>
                <w:noProof/>
                <w:webHidden/>
              </w:rPr>
              <w:tab/>
            </w:r>
            <w:r w:rsidR="003A74B4">
              <w:rPr>
                <w:noProof/>
                <w:webHidden/>
              </w:rPr>
              <w:fldChar w:fldCharType="begin"/>
            </w:r>
            <w:r w:rsidR="003A74B4">
              <w:rPr>
                <w:noProof/>
                <w:webHidden/>
              </w:rPr>
              <w:instrText xml:space="preserve"> PAGEREF _Toc63966829 \h </w:instrText>
            </w:r>
            <w:r w:rsidR="003A74B4">
              <w:rPr>
                <w:noProof/>
                <w:webHidden/>
              </w:rPr>
            </w:r>
            <w:r w:rsidR="003A74B4">
              <w:rPr>
                <w:noProof/>
                <w:webHidden/>
              </w:rPr>
              <w:fldChar w:fldCharType="separate"/>
            </w:r>
            <w:r w:rsidR="00FF2871">
              <w:rPr>
                <w:noProof/>
                <w:webHidden/>
              </w:rPr>
              <w:t>32</w:t>
            </w:r>
            <w:r w:rsidR="003A74B4">
              <w:rPr>
                <w:noProof/>
                <w:webHidden/>
              </w:rPr>
              <w:fldChar w:fldCharType="end"/>
            </w:r>
          </w:hyperlink>
        </w:p>
        <w:p w14:paraId="2CBFB8E1" w14:textId="58CF40F5" w:rsidR="003A74B4" w:rsidRDefault="005B64B3">
          <w:pPr>
            <w:pStyle w:val="TOC1"/>
            <w:rPr>
              <w:rFonts w:asciiTheme="minorHAnsi" w:eastAsiaTheme="minorEastAsia" w:hAnsiTheme="minorHAnsi"/>
              <w:b w:val="0"/>
              <w:caps w:val="0"/>
              <w:noProof/>
              <w:sz w:val="22"/>
              <w:szCs w:val="22"/>
              <w:lang w:eastAsia="en-AU"/>
            </w:rPr>
          </w:pPr>
          <w:hyperlink w:anchor="_Toc63966830" w:history="1">
            <w:r w:rsidR="003A74B4" w:rsidRPr="00A935DF">
              <w:rPr>
                <w:rStyle w:val="Hyperlink"/>
                <w:noProof/>
              </w:rPr>
              <w:t>III.</w:t>
            </w:r>
            <w:r w:rsidR="003A74B4">
              <w:rPr>
                <w:rFonts w:asciiTheme="minorHAnsi" w:eastAsiaTheme="minorEastAsia" w:hAnsiTheme="minorHAnsi"/>
                <w:b w:val="0"/>
                <w:caps w:val="0"/>
                <w:noProof/>
                <w:sz w:val="22"/>
                <w:szCs w:val="22"/>
                <w:lang w:eastAsia="en-AU"/>
              </w:rPr>
              <w:tab/>
            </w:r>
            <w:r w:rsidR="003A74B4" w:rsidRPr="00A935DF">
              <w:rPr>
                <w:rStyle w:val="Hyperlink"/>
                <w:noProof/>
              </w:rPr>
              <w:t>INDIA'S EXPORT SUBSIDIES FOR SUGAR ARE INCONsisTENT WITH ITS OBLIGATIONS UNDER THE AGREEMENT ON AGRICULTURE AND THE SCM AGREEMENT</w:t>
            </w:r>
            <w:r w:rsidR="003A74B4">
              <w:rPr>
                <w:noProof/>
                <w:webHidden/>
              </w:rPr>
              <w:tab/>
            </w:r>
            <w:r w:rsidR="003A74B4">
              <w:rPr>
                <w:noProof/>
                <w:webHidden/>
              </w:rPr>
              <w:fldChar w:fldCharType="begin"/>
            </w:r>
            <w:r w:rsidR="003A74B4">
              <w:rPr>
                <w:noProof/>
                <w:webHidden/>
              </w:rPr>
              <w:instrText xml:space="preserve"> PAGEREF _Toc63966830 \h </w:instrText>
            </w:r>
            <w:r w:rsidR="003A74B4">
              <w:rPr>
                <w:noProof/>
                <w:webHidden/>
              </w:rPr>
            </w:r>
            <w:r w:rsidR="003A74B4">
              <w:rPr>
                <w:noProof/>
                <w:webHidden/>
              </w:rPr>
              <w:fldChar w:fldCharType="separate"/>
            </w:r>
            <w:r w:rsidR="00FF2871">
              <w:rPr>
                <w:noProof/>
                <w:webHidden/>
              </w:rPr>
              <w:t>33</w:t>
            </w:r>
            <w:r w:rsidR="003A74B4">
              <w:rPr>
                <w:noProof/>
                <w:webHidden/>
              </w:rPr>
              <w:fldChar w:fldCharType="end"/>
            </w:r>
          </w:hyperlink>
        </w:p>
        <w:p w14:paraId="522460A9" w14:textId="5581D4E3" w:rsidR="003A74B4" w:rsidRDefault="005B64B3">
          <w:pPr>
            <w:pStyle w:val="TOC2"/>
            <w:rPr>
              <w:rFonts w:asciiTheme="minorHAnsi" w:eastAsiaTheme="minorEastAsia" w:hAnsiTheme="minorHAnsi"/>
              <w:b w:val="0"/>
              <w:smallCaps w:val="0"/>
              <w:noProof/>
              <w:sz w:val="22"/>
              <w:szCs w:val="22"/>
              <w:lang w:eastAsia="en-AU"/>
            </w:rPr>
          </w:pPr>
          <w:hyperlink w:anchor="_Toc63966831" w:history="1">
            <w:r w:rsidR="003A74B4" w:rsidRPr="00A935DF">
              <w:rPr>
                <w:rStyle w:val="Hyperlink"/>
                <w:rFonts w:eastAsiaTheme="majorEastAsia" w:cstheme="majorBidi"/>
                <w:noProof/>
              </w:rPr>
              <w:t>A.</w:t>
            </w:r>
            <w:r w:rsidR="003A74B4">
              <w:rPr>
                <w:rFonts w:asciiTheme="minorHAnsi" w:eastAsiaTheme="minorEastAsia" w:hAnsiTheme="minorHAnsi"/>
                <w:b w:val="0"/>
                <w:smallCaps w:val="0"/>
                <w:noProof/>
                <w:sz w:val="22"/>
                <w:szCs w:val="22"/>
                <w:lang w:eastAsia="en-AU"/>
              </w:rPr>
              <w:tab/>
            </w:r>
            <w:r w:rsidR="003A74B4" w:rsidRPr="00A935DF">
              <w:rPr>
                <w:rStyle w:val="Hyperlink"/>
                <w:rFonts w:eastAsiaTheme="majorEastAsia" w:cstheme="majorBidi"/>
                <w:noProof/>
              </w:rPr>
              <w:t>India provides "direct subsidies" that are "contingent on export performance" within the meaning of Article 9.1(a) of the Agreement on Agriculture</w:t>
            </w:r>
            <w:r w:rsidR="003A74B4">
              <w:rPr>
                <w:noProof/>
                <w:webHidden/>
              </w:rPr>
              <w:tab/>
            </w:r>
            <w:r w:rsidR="003A74B4">
              <w:rPr>
                <w:noProof/>
                <w:webHidden/>
              </w:rPr>
              <w:fldChar w:fldCharType="begin"/>
            </w:r>
            <w:r w:rsidR="003A74B4">
              <w:rPr>
                <w:noProof/>
                <w:webHidden/>
              </w:rPr>
              <w:instrText xml:space="preserve"> PAGEREF _Toc63966831 \h </w:instrText>
            </w:r>
            <w:r w:rsidR="003A74B4">
              <w:rPr>
                <w:noProof/>
                <w:webHidden/>
              </w:rPr>
            </w:r>
            <w:r w:rsidR="003A74B4">
              <w:rPr>
                <w:noProof/>
                <w:webHidden/>
              </w:rPr>
              <w:fldChar w:fldCharType="separate"/>
            </w:r>
            <w:r w:rsidR="00FF2871">
              <w:rPr>
                <w:noProof/>
                <w:webHidden/>
              </w:rPr>
              <w:t>33</w:t>
            </w:r>
            <w:r w:rsidR="003A74B4">
              <w:rPr>
                <w:noProof/>
                <w:webHidden/>
              </w:rPr>
              <w:fldChar w:fldCharType="end"/>
            </w:r>
          </w:hyperlink>
        </w:p>
        <w:p w14:paraId="589D13D3" w14:textId="1C385176" w:rsidR="003A74B4" w:rsidRDefault="005B64B3">
          <w:pPr>
            <w:pStyle w:val="TOC3"/>
            <w:rPr>
              <w:rFonts w:asciiTheme="minorHAnsi" w:eastAsiaTheme="minorEastAsia" w:hAnsiTheme="minorHAnsi"/>
              <w:b w:val="0"/>
              <w:noProof/>
              <w:sz w:val="22"/>
              <w:szCs w:val="22"/>
              <w:lang w:eastAsia="en-AU"/>
            </w:rPr>
          </w:pPr>
          <w:hyperlink w:anchor="_Toc63966832" w:history="1">
            <w:r w:rsidR="003A74B4" w:rsidRPr="00A935DF">
              <w:rPr>
                <w:rStyle w:val="Hyperlink"/>
                <w:rFonts w:eastAsiaTheme="majorEastAsia" w:cstheme="majorBidi"/>
                <w:noProof/>
              </w:rPr>
              <w:t>1.</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Legal standard applicable under Article 9.1(a)</w:t>
            </w:r>
            <w:r w:rsidR="003A74B4">
              <w:rPr>
                <w:noProof/>
                <w:webHidden/>
              </w:rPr>
              <w:tab/>
            </w:r>
            <w:r w:rsidR="003A74B4">
              <w:rPr>
                <w:noProof/>
                <w:webHidden/>
              </w:rPr>
              <w:fldChar w:fldCharType="begin"/>
            </w:r>
            <w:r w:rsidR="003A74B4">
              <w:rPr>
                <w:noProof/>
                <w:webHidden/>
              </w:rPr>
              <w:instrText xml:space="preserve"> PAGEREF _Toc63966832 \h </w:instrText>
            </w:r>
            <w:r w:rsidR="003A74B4">
              <w:rPr>
                <w:noProof/>
                <w:webHidden/>
              </w:rPr>
            </w:r>
            <w:r w:rsidR="003A74B4">
              <w:rPr>
                <w:noProof/>
                <w:webHidden/>
              </w:rPr>
              <w:fldChar w:fldCharType="separate"/>
            </w:r>
            <w:r w:rsidR="00FF2871">
              <w:rPr>
                <w:noProof/>
                <w:webHidden/>
              </w:rPr>
              <w:t>34</w:t>
            </w:r>
            <w:r w:rsidR="003A74B4">
              <w:rPr>
                <w:noProof/>
                <w:webHidden/>
              </w:rPr>
              <w:fldChar w:fldCharType="end"/>
            </w:r>
          </w:hyperlink>
        </w:p>
        <w:p w14:paraId="1D0E7D17" w14:textId="266E89B5" w:rsidR="003A74B4" w:rsidRDefault="005B64B3">
          <w:pPr>
            <w:pStyle w:val="TOC3"/>
            <w:rPr>
              <w:rFonts w:asciiTheme="minorHAnsi" w:eastAsiaTheme="minorEastAsia" w:hAnsiTheme="minorHAnsi"/>
              <w:b w:val="0"/>
              <w:noProof/>
              <w:sz w:val="22"/>
              <w:szCs w:val="22"/>
              <w:lang w:eastAsia="en-AU"/>
            </w:rPr>
          </w:pPr>
          <w:hyperlink w:anchor="_Toc63966833" w:history="1">
            <w:r w:rsidR="003A74B4" w:rsidRPr="00A935DF">
              <w:rPr>
                <w:rStyle w:val="Hyperlink"/>
                <w:rFonts w:eastAsiaTheme="majorEastAsia" w:cstheme="majorBidi"/>
                <w:noProof/>
              </w:rPr>
              <w:t>2.</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India's production subsidies, buffer stock subsidies and its MAEQ and DFIA schemes are Article 9.1(a) subsidies</w:t>
            </w:r>
            <w:r w:rsidR="003A74B4">
              <w:rPr>
                <w:noProof/>
                <w:webHidden/>
              </w:rPr>
              <w:tab/>
            </w:r>
            <w:r w:rsidR="003A74B4">
              <w:rPr>
                <w:noProof/>
                <w:webHidden/>
              </w:rPr>
              <w:fldChar w:fldCharType="begin"/>
            </w:r>
            <w:r w:rsidR="003A74B4">
              <w:rPr>
                <w:noProof/>
                <w:webHidden/>
              </w:rPr>
              <w:instrText xml:space="preserve"> PAGEREF _Toc63966833 \h </w:instrText>
            </w:r>
            <w:r w:rsidR="003A74B4">
              <w:rPr>
                <w:noProof/>
                <w:webHidden/>
              </w:rPr>
            </w:r>
            <w:r w:rsidR="003A74B4">
              <w:rPr>
                <w:noProof/>
                <w:webHidden/>
              </w:rPr>
              <w:fldChar w:fldCharType="separate"/>
            </w:r>
            <w:r w:rsidR="00FF2871">
              <w:rPr>
                <w:noProof/>
                <w:webHidden/>
              </w:rPr>
              <w:t>35</w:t>
            </w:r>
            <w:r w:rsidR="003A74B4">
              <w:rPr>
                <w:noProof/>
                <w:webHidden/>
              </w:rPr>
              <w:fldChar w:fldCharType="end"/>
            </w:r>
          </w:hyperlink>
        </w:p>
        <w:p w14:paraId="4FE1A35C" w14:textId="62AB0BA3" w:rsidR="003A74B4" w:rsidRDefault="005B64B3">
          <w:pPr>
            <w:pStyle w:val="TOC3"/>
            <w:rPr>
              <w:rFonts w:asciiTheme="minorHAnsi" w:eastAsiaTheme="minorEastAsia" w:hAnsiTheme="minorHAnsi"/>
              <w:b w:val="0"/>
              <w:noProof/>
              <w:sz w:val="22"/>
              <w:szCs w:val="22"/>
              <w:lang w:eastAsia="en-AU"/>
            </w:rPr>
          </w:pPr>
          <w:hyperlink w:anchor="_Toc63966834" w:history="1">
            <w:r w:rsidR="003A74B4" w:rsidRPr="00A935DF">
              <w:rPr>
                <w:rStyle w:val="Hyperlink"/>
                <w:rFonts w:eastAsiaTheme="majorEastAsia" w:cstheme="majorBidi"/>
                <w:noProof/>
              </w:rPr>
              <w:t>3.</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The Panel should reject India's misinterpretation of the legal standard applicable for establishing the existence of "direct subsidies" within the meaning of Article 9.1(a)</w:t>
            </w:r>
            <w:r w:rsidR="003A74B4">
              <w:rPr>
                <w:noProof/>
                <w:webHidden/>
              </w:rPr>
              <w:tab/>
            </w:r>
            <w:r w:rsidR="003A74B4">
              <w:rPr>
                <w:noProof/>
                <w:webHidden/>
              </w:rPr>
              <w:fldChar w:fldCharType="begin"/>
            </w:r>
            <w:r w:rsidR="003A74B4">
              <w:rPr>
                <w:noProof/>
                <w:webHidden/>
              </w:rPr>
              <w:instrText xml:space="preserve"> PAGEREF _Toc63966834 \h </w:instrText>
            </w:r>
            <w:r w:rsidR="003A74B4">
              <w:rPr>
                <w:noProof/>
                <w:webHidden/>
              </w:rPr>
            </w:r>
            <w:r w:rsidR="003A74B4">
              <w:rPr>
                <w:noProof/>
                <w:webHidden/>
              </w:rPr>
              <w:fldChar w:fldCharType="separate"/>
            </w:r>
            <w:r w:rsidR="00FF2871">
              <w:rPr>
                <w:noProof/>
                <w:webHidden/>
              </w:rPr>
              <w:t>36</w:t>
            </w:r>
            <w:r w:rsidR="003A74B4">
              <w:rPr>
                <w:noProof/>
                <w:webHidden/>
              </w:rPr>
              <w:fldChar w:fldCharType="end"/>
            </w:r>
          </w:hyperlink>
        </w:p>
        <w:p w14:paraId="1E44EF9E" w14:textId="75744E69" w:rsidR="003A74B4" w:rsidRDefault="005B64B3">
          <w:pPr>
            <w:pStyle w:val="TOC4"/>
            <w:rPr>
              <w:rFonts w:asciiTheme="minorHAnsi" w:eastAsiaTheme="minorEastAsia" w:hAnsiTheme="minorHAnsi"/>
              <w:noProof/>
              <w:sz w:val="22"/>
              <w:szCs w:val="22"/>
              <w:u w:val="none"/>
              <w:lang w:eastAsia="en-AU"/>
            </w:rPr>
          </w:pPr>
          <w:hyperlink w:anchor="_Toc63966835" w:history="1">
            <w:r w:rsidR="003A74B4" w:rsidRPr="00A935DF">
              <w:rPr>
                <w:rStyle w:val="Hyperlink"/>
                <w:rFonts w:eastAsiaTheme="majorEastAsia" w:cstheme="majorBidi"/>
                <w:iCs/>
                <w:noProof/>
              </w:rPr>
              <w:t>(a)</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There "is" a financial contribution</w:t>
            </w:r>
            <w:r w:rsidR="003A74B4">
              <w:rPr>
                <w:noProof/>
                <w:webHidden/>
              </w:rPr>
              <w:tab/>
            </w:r>
            <w:r w:rsidR="003A74B4">
              <w:rPr>
                <w:noProof/>
                <w:webHidden/>
              </w:rPr>
              <w:fldChar w:fldCharType="begin"/>
            </w:r>
            <w:r w:rsidR="003A74B4">
              <w:rPr>
                <w:noProof/>
                <w:webHidden/>
              </w:rPr>
              <w:instrText xml:space="preserve"> PAGEREF _Toc63966835 \h </w:instrText>
            </w:r>
            <w:r w:rsidR="003A74B4">
              <w:rPr>
                <w:noProof/>
                <w:webHidden/>
              </w:rPr>
            </w:r>
            <w:r w:rsidR="003A74B4">
              <w:rPr>
                <w:noProof/>
                <w:webHidden/>
              </w:rPr>
              <w:fldChar w:fldCharType="separate"/>
            </w:r>
            <w:r w:rsidR="00FF2871">
              <w:rPr>
                <w:noProof/>
                <w:webHidden/>
              </w:rPr>
              <w:t>37</w:t>
            </w:r>
            <w:r w:rsidR="003A74B4">
              <w:rPr>
                <w:noProof/>
                <w:webHidden/>
              </w:rPr>
              <w:fldChar w:fldCharType="end"/>
            </w:r>
          </w:hyperlink>
        </w:p>
        <w:p w14:paraId="55A94927" w14:textId="7CDE9A2B" w:rsidR="003A74B4" w:rsidRDefault="005B64B3">
          <w:pPr>
            <w:pStyle w:val="TOC4"/>
            <w:rPr>
              <w:rFonts w:asciiTheme="minorHAnsi" w:eastAsiaTheme="minorEastAsia" w:hAnsiTheme="minorHAnsi"/>
              <w:noProof/>
              <w:sz w:val="22"/>
              <w:szCs w:val="22"/>
              <w:u w:val="none"/>
              <w:lang w:eastAsia="en-AU"/>
            </w:rPr>
          </w:pPr>
          <w:hyperlink w:anchor="_Toc63966836" w:history="1">
            <w:r w:rsidR="003A74B4" w:rsidRPr="00A935DF">
              <w:rPr>
                <w:rStyle w:val="Hyperlink"/>
                <w:rFonts w:eastAsiaTheme="majorEastAsia" w:cstheme="majorBidi"/>
                <w:iCs/>
                <w:noProof/>
              </w:rPr>
              <w:t>(b)</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Benefit</w:t>
            </w:r>
            <w:r w:rsidR="003A74B4">
              <w:rPr>
                <w:noProof/>
                <w:webHidden/>
              </w:rPr>
              <w:tab/>
            </w:r>
            <w:r w:rsidR="003A74B4">
              <w:rPr>
                <w:noProof/>
                <w:webHidden/>
              </w:rPr>
              <w:fldChar w:fldCharType="begin"/>
            </w:r>
            <w:r w:rsidR="003A74B4">
              <w:rPr>
                <w:noProof/>
                <w:webHidden/>
              </w:rPr>
              <w:instrText xml:space="preserve"> PAGEREF _Toc63966836 \h </w:instrText>
            </w:r>
            <w:r w:rsidR="003A74B4">
              <w:rPr>
                <w:noProof/>
                <w:webHidden/>
              </w:rPr>
            </w:r>
            <w:r w:rsidR="003A74B4">
              <w:rPr>
                <w:noProof/>
                <w:webHidden/>
              </w:rPr>
              <w:fldChar w:fldCharType="separate"/>
            </w:r>
            <w:r w:rsidR="00FF2871">
              <w:rPr>
                <w:noProof/>
                <w:webHidden/>
              </w:rPr>
              <w:t>38</w:t>
            </w:r>
            <w:r w:rsidR="003A74B4">
              <w:rPr>
                <w:noProof/>
                <w:webHidden/>
              </w:rPr>
              <w:fldChar w:fldCharType="end"/>
            </w:r>
          </w:hyperlink>
        </w:p>
        <w:p w14:paraId="5A684551" w14:textId="19706A60" w:rsidR="003A74B4" w:rsidRDefault="005B64B3">
          <w:pPr>
            <w:pStyle w:val="TOC4"/>
            <w:rPr>
              <w:rFonts w:asciiTheme="minorHAnsi" w:eastAsiaTheme="minorEastAsia" w:hAnsiTheme="minorHAnsi"/>
              <w:noProof/>
              <w:sz w:val="22"/>
              <w:szCs w:val="22"/>
              <w:u w:val="none"/>
              <w:lang w:eastAsia="en-AU"/>
            </w:rPr>
          </w:pPr>
          <w:hyperlink w:anchor="_Toc63966837" w:history="1">
            <w:r w:rsidR="003A74B4" w:rsidRPr="00A935DF">
              <w:rPr>
                <w:rStyle w:val="Hyperlink"/>
                <w:rFonts w:eastAsiaTheme="majorEastAsia" w:cstheme="majorBidi"/>
                <w:iCs/>
                <w:noProof/>
              </w:rPr>
              <w:t>(c)</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Australia has provided evidence of actual disbursements under India's export subsidies</w:t>
            </w:r>
            <w:r w:rsidR="003A74B4">
              <w:rPr>
                <w:noProof/>
                <w:webHidden/>
              </w:rPr>
              <w:tab/>
            </w:r>
            <w:r w:rsidR="003A74B4">
              <w:rPr>
                <w:noProof/>
                <w:webHidden/>
              </w:rPr>
              <w:fldChar w:fldCharType="begin"/>
            </w:r>
            <w:r w:rsidR="003A74B4">
              <w:rPr>
                <w:noProof/>
                <w:webHidden/>
              </w:rPr>
              <w:instrText xml:space="preserve"> PAGEREF _Toc63966837 \h </w:instrText>
            </w:r>
            <w:r w:rsidR="003A74B4">
              <w:rPr>
                <w:noProof/>
                <w:webHidden/>
              </w:rPr>
            </w:r>
            <w:r w:rsidR="003A74B4">
              <w:rPr>
                <w:noProof/>
                <w:webHidden/>
              </w:rPr>
              <w:fldChar w:fldCharType="separate"/>
            </w:r>
            <w:r w:rsidR="00FF2871">
              <w:rPr>
                <w:noProof/>
                <w:webHidden/>
              </w:rPr>
              <w:t>39</w:t>
            </w:r>
            <w:r w:rsidR="003A74B4">
              <w:rPr>
                <w:noProof/>
                <w:webHidden/>
              </w:rPr>
              <w:fldChar w:fldCharType="end"/>
            </w:r>
          </w:hyperlink>
        </w:p>
        <w:p w14:paraId="6D3820B2" w14:textId="074D36C7" w:rsidR="003A74B4" w:rsidRDefault="005B64B3">
          <w:pPr>
            <w:pStyle w:val="TOC4"/>
            <w:rPr>
              <w:rFonts w:asciiTheme="minorHAnsi" w:eastAsiaTheme="minorEastAsia" w:hAnsiTheme="minorHAnsi"/>
              <w:noProof/>
              <w:sz w:val="22"/>
              <w:szCs w:val="22"/>
              <w:u w:val="none"/>
              <w:lang w:eastAsia="en-AU"/>
            </w:rPr>
          </w:pPr>
          <w:hyperlink w:anchor="_Toc63966838" w:history="1">
            <w:r w:rsidR="003A74B4" w:rsidRPr="00A935DF">
              <w:rPr>
                <w:rStyle w:val="Hyperlink"/>
                <w:rFonts w:eastAsiaTheme="majorEastAsia" w:cstheme="majorBidi"/>
                <w:iCs/>
                <w:noProof/>
              </w:rPr>
              <w:t>(d)</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Footnote 1 of the SCM Agreement is not relevant to Australia's export subsidy claims under the Agreement on Agriculture</w:t>
            </w:r>
            <w:r w:rsidR="003A74B4">
              <w:rPr>
                <w:noProof/>
                <w:webHidden/>
              </w:rPr>
              <w:tab/>
            </w:r>
            <w:r w:rsidR="003A74B4">
              <w:rPr>
                <w:noProof/>
                <w:webHidden/>
              </w:rPr>
              <w:fldChar w:fldCharType="begin"/>
            </w:r>
            <w:r w:rsidR="003A74B4">
              <w:rPr>
                <w:noProof/>
                <w:webHidden/>
              </w:rPr>
              <w:instrText xml:space="preserve"> PAGEREF _Toc63966838 \h </w:instrText>
            </w:r>
            <w:r w:rsidR="003A74B4">
              <w:rPr>
                <w:noProof/>
                <w:webHidden/>
              </w:rPr>
            </w:r>
            <w:r w:rsidR="003A74B4">
              <w:rPr>
                <w:noProof/>
                <w:webHidden/>
              </w:rPr>
              <w:fldChar w:fldCharType="separate"/>
            </w:r>
            <w:r w:rsidR="00FF2871">
              <w:rPr>
                <w:noProof/>
                <w:webHidden/>
              </w:rPr>
              <w:t>40</w:t>
            </w:r>
            <w:r w:rsidR="003A74B4">
              <w:rPr>
                <w:noProof/>
                <w:webHidden/>
              </w:rPr>
              <w:fldChar w:fldCharType="end"/>
            </w:r>
          </w:hyperlink>
        </w:p>
        <w:p w14:paraId="1D4B3890" w14:textId="516A7C22" w:rsidR="003A74B4" w:rsidRDefault="005B64B3">
          <w:pPr>
            <w:pStyle w:val="TOC2"/>
            <w:rPr>
              <w:rFonts w:asciiTheme="minorHAnsi" w:eastAsiaTheme="minorEastAsia" w:hAnsiTheme="minorHAnsi"/>
              <w:b w:val="0"/>
              <w:smallCaps w:val="0"/>
              <w:noProof/>
              <w:sz w:val="22"/>
              <w:szCs w:val="22"/>
              <w:lang w:eastAsia="en-AU"/>
            </w:rPr>
          </w:pPr>
          <w:hyperlink w:anchor="_Toc63966839" w:history="1">
            <w:r w:rsidR="003A74B4" w:rsidRPr="00A935DF">
              <w:rPr>
                <w:rStyle w:val="Hyperlink"/>
                <w:rFonts w:eastAsiaTheme="majorEastAsia" w:cstheme="majorBidi"/>
                <w:noProof/>
              </w:rPr>
              <w:t>B.</w:t>
            </w:r>
            <w:r w:rsidR="003A74B4">
              <w:rPr>
                <w:rFonts w:asciiTheme="minorHAnsi" w:eastAsiaTheme="minorEastAsia" w:hAnsiTheme="minorHAnsi"/>
                <w:b w:val="0"/>
                <w:smallCaps w:val="0"/>
                <w:noProof/>
                <w:sz w:val="22"/>
                <w:szCs w:val="22"/>
                <w:lang w:eastAsia="en-AU"/>
              </w:rPr>
              <w:tab/>
            </w:r>
            <w:r w:rsidR="003A74B4" w:rsidRPr="00A935DF">
              <w:rPr>
                <w:rStyle w:val="Hyperlink"/>
                <w:rFonts w:eastAsiaTheme="majorEastAsia" w:cstheme="majorBidi"/>
                <w:noProof/>
              </w:rPr>
              <w:t>India has not established a defence under Article 9.4 of the Agreement on Agriculture in relation to the MAEQ scheme</w:t>
            </w:r>
            <w:r w:rsidR="003A74B4">
              <w:rPr>
                <w:noProof/>
                <w:webHidden/>
              </w:rPr>
              <w:tab/>
            </w:r>
            <w:r w:rsidR="003A74B4">
              <w:rPr>
                <w:noProof/>
                <w:webHidden/>
              </w:rPr>
              <w:fldChar w:fldCharType="begin"/>
            </w:r>
            <w:r w:rsidR="003A74B4">
              <w:rPr>
                <w:noProof/>
                <w:webHidden/>
              </w:rPr>
              <w:instrText xml:space="preserve"> PAGEREF _Toc63966839 \h </w:instrText>
            </w:r>
            <w:r w:rsidR="003A74B4">
              <w:rPr>
                <w:noProof/>
                <w:webHidden/>
              </w:rPr>
            </w:r>
            <w:r w:rsidR="003A74B4">
              <w:rPr>
                <w:noProof/>
                <w:webHidden/>
              </w:rPr>
              <w:fldChar w:fldCharType="separate"/>
            </w:r>
            <w:r w:rsidR="00FF2871">
              <w:rPr>
                <w:noProof/>
                <w:webHidden/>
              </w:rPr>
              <w:t>40</w:t>
            </w:r>
            <w:r w:rsidR="003A74B4">
              <w:rPr>
                <w:noProof/>
                <w:webHidden/>
              </w:rPr>
              <w:fldChar w:fldCharType="end"/>
            </w:r>
          </w:hyperlink>
        </w:p>
        <w:p w14:paraId="69C5B55E" w14:textId="2861B2D6" w:rsidR="003A74B4" w:rsidRDefault="005B64B3">
          <w:pPr>
            <w:pStyle w:val="TOC3"/>
            <w:rPr>
              <w:rFonts w:asciiTheme="minorHAnsi" w:eastAsiaTheme="minorEastAsia" w:hAnsiTheme="minorHAnsi"/>
              <w:b w:val="0"/>
              <w:noProof/>
              <w:sz w:val="22"/>
              <w:szCs w:val="22"/>
              <w:lang w:eastAsia="en-AU"/>
            </w:rPr>
          </w:pPr>
          <w:hyperlink w:anchor="_Toc63966840" w:history="1">
            <w:r w:rsidR="003A74B4" w:rsidRPr="00A935DF">
              <w:rPr>
                <w:rStyle w:val="Hyperlink"/>
                <w:rFonts w:eastAsiaTheme="majorEastAsia" w:cstheme="majorBidi"/>
                <w:noProof/>
              </w:rPr>
              <w:t>1.</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Burden of proof</w:t>
            </w:r>
            <w:r w:rsidR="003A74B4">
              <w:rPr>
                <w:noProof/>
                <w:webHidden/>
              </w:rPr>
              <w:tab/>
            </w:r>
            <w:r w:rsidR="003A74B4">
              <w:rPr>
                <w:noProof/>
                <w:webHidden/>
              </w:rPr>
              <w:fldChar w:fldCharType="begin"/>
            </w:r>
            <w:r w:rsidR="003A74B4">
              <w:rPr>
                <w:noProof/>
                <w:webHidden/>
              </w:rPr>
              <w:instrText xml:space="preserve"> PAGEREF _Toc63966840 \h </w:instrText>
            </w:r>
            <w:r w:rsidR="003A74B4">
              <w:rPr>
                <w:noProof/>
                <w:webHidden/>
              </w:rPr>
            </w:r>
            <w:r w:rsidR="003A74B4">
              <w:rPr>
                <w:noProof/>
                <w:webHidden/>
              </w:rPr>
              <w:fldChar w:fldCharType="separate"/>
            </w:r>
            <w:r w:rsidR="00FF2871">
              <w:rPr>
                <w:noProof/>
                <w:webHidden/>
              </w:rPr>
              <w:t>41</w:t>
            </w:r>
            <w:r w:rsidR="003A74B4">
              <w:rPr>
                <w:noProof/>
                <w:webHidden/>
              </w:rPr>
              <w:fldChar w:fldCharType="end"/>
            </w:r>
          </w:hyperlink>
        </w:p>
        <w:p w14:paraId="60CBB4CF" w14:textId="47335549" w:rsidR="003A74B4" w:rsidRDefault="005B64B3">
          <w:pPr>
            <w:pStyle w:val="TOC3"/>
            <w:rPr>
              <w:rFonts w:asciiTheme="minorHAnsi" w:eastAsiaTheme="minorEastAsia" w:hAnsiTheme="minorHAnsi"/>
              <w:b w:val="0"/>
              <w:noProof/>
              <w:sz w:val="22"/>
              <w:szCs w:val="22"/>
              <w:lang w:eastAsia="en-AU"/>
            </w:rPr>
          </w:pPr>
          <w:hyperlink w:anchor="_Toc63966841" w:history="1">
            <w:r w:rsidR="003A74B4" w:rsidRPr="00A935DF">
              <w:rPr>
                <w:rStyle w:val="Hyperlink"/>
                <w:rFonts w:eastAsiaTheme="majorEastAsia" w:cstheme="majorBidi"/>
                <w:noProof/>
              </w:rPr>
              <w:t>2.</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Legal standards applicable under Articles 9.1(d) and (e)</w:t>
            </w:r>
            <w:r w:rsidR="003A74B4">
              <w:rPr>
                <w:noProof/>
                <w:webHidden/>
              </w:rPr>
              <w:tab/>
            </w:r>
            <w:r w:rsidR="003A74B4">
              <w:rPr>
                <w:noProof/>
                <w:webHidden/>
              </w:rPr>
              <w:fldChar w:fldCharType="begin"/>
            </w:r>
            <w:r w:rsidR="003A74B4">
              <w:rPr>
                <w:noProof/>
                <w:webHidden/>
              </w:rPr>
              <w:instrText xml:space="preserve"> PAGEREF _Toc63966841 \h </w:instrText>
            </w:r>
            <w:r w:rsidR="003A74B4">
              <w:rPr>
                <w:noProof/>
                <w:webHidden/>
              </w:rPr>
            </w:r>
            <w:r w:rsidR="003A74B4">
              <w:rPr>
                <w:noProof/>
                <w:webHidden/>
              </w:rPr>
              <w:fldChar w:fldCharType="separate"/>
            </w:r>
            <w:r w:rsidR="00FF2871">
              <w:rPr>
                <w:noProof/>
                <w:webHidden/>
              </w:rPr>
              <w:t>42</w:t>
            </w:r>
            <w:r w:rsidR="003A74B4">
              <w:rPr>
                <w:noProof/>
                <w:webHidden/>
              </w:rPr>
              <w:fldChar w:fldCharType="end"/>
            </w:r>
          </w:hyperlink>
        </w:p>
        <w:p w14:paraId="01E444FE" w14:textId="32E678CD" w:rsidR="003A74B4" w:rsidRDefault="005B64B3">
          <w:pPr>
            <w:pStyle w:val="TOC3"/>
            <w:rPr>
              <w:rFonts w:asciiTheme="minorHAnsi" w:eastAsiaTheme="minorEastAsia" w:hAnsiTheme="minorHAnsi"/>
              <w:b w:val="0"/>
              <w:noProof/>
              <w:sz w:val="22"/>
              <w:szCs w:val="22"/>
              <w:lang w:eastAsia="en-AU"/>
            </w:rPr>
          </w:pPr>
          <w:hyperlink w:anchor="_Toc63966842" w:history="1">
            <w:r w:rsidR="003A74B4" w:rsidRPr="00A935DF">
              <w:rPr>
                <w:rStyle w:val="Hyperlink"/>
                <w:rFonts w:eastAsiaTheme="majorEastAsia" w:cstheme="majorBidi"/>
                <w:noProof/>
              </w:rPr>
              <w:t>3.</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India has failed to prove that the MAEQ scheme meets the legal standards applicable under Articles 9.1(d) and (e)</w:t>
            </w:r>
            <w:r w:rsidR="003A74B4">
              <w:rPr>
                <w:noProof/>
                <w:webHidden/>
              </w:rPr>
              <w:tab/>
            </w:r>
            <w:r w:rsidR="003A74B4">
              <w:rPr>
                <w:noProof/>
                <w:webHidden/>
              </w:rPr>
              <w:fldChar w:fldCharType="begin"/>
            </w:r>
            <w:r w:rsidR="003A74B4">
              <w:rPr>
                <w:noProof/>
                <w:webHidden/>
              </w:rPr>
              <w:instrText xml:space="preserve"> PAGEREF _Toc63966842 \h </w:instrText>
            </w:r>
            <w:r w:rsidR="003A74B4">
              <w:rPr>
                <w:noProof/>
                <w:webHidden/>
              </w:rPr>
            </w:r>
            <w:r w:rsidR="003A74B4">
              <w:rPr>
                <w:noProof/>
                <w:webHidden/>
              </w:rPr>
              <w:fldChar w:fldCharType="separate"/>
            </w:r>
            <w:r w:rsidR="00FF2871">
              <w:rPr>
                <w:noProof/>
                <w:webHidden/>
              </w:rPr>
              <w:t>42</w:t>
            </w:r>
            <w:r w:rsidR="003A74B4">
              <w:rPr>
                <w:noProof/>
                <w:webHidden/>
              </w:rPr>
              <w:fldChar w:fldCharType="end"/>
            </w:r>
          </w:hyperlink>
        </w:p>
        <w:p w14:paraId="2D3764F2" w14:textId="16A6966D" w:rsidR="003A74B4" w:rsidRDefault="005B64B3">
          <w:pPr>
            <w:pStyle w:val="TOC4"/>
            <w:rPr>
              <w:rFonts w:asciiTheme="minorHAnsi" w:eastAsiaTheme="minorEastAsia" w:hAnsiTheme="minorHAnsi"/>
              <w:noProof/>
              <w:sz w:val="22"/>
              <w:szCs w:val="22"/>
              <w:u w:val="none"/>
              <w:lang w:eastAsia="en-AU"/>
            </w:rPr>
          </w:pPr>
          <w:hyperlink w:anchor="_Toc63966843" w:history="1">
            <w:r w:rsidR="003A74B4" w:rsidRPr="00A935DF">
              <w:rPr>
                <w:rStyle w:val="Hyperlink"/>
                <w:rFonts w:eastAsiaTheme="majorEastAsia" w:cstheme="majorBidi"/>
                <w:iCs/>
                <w:noProof/>
              </w:rPr>
              <w:t>(a)</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The Panel should reject India's selective reading of the legal instrument notifying the MAEQ scheme</w:t>
            </w:r>
            <w:r w:rsidR="003A74B4">
              <w:rPr>
                <w:noProof/>
                <w:webHidden/>
              </w:rPr>
              <w:tab/>
            </w:r>
            <w:r w:rsidR="003A74B4">
              <w:rPr>
                <w:noProof/>
                <w:webHidden/>
              </w:rPr>
              <w:fldChar w:fldCharType="begin"/>
            </w:r>
            <w:r w:rsidR="003A74B4">
              <w:rPr>
                <w:noProof/>
                <w:webHidden/>
              </w:rPr>
              <w:instrText xml:space="preserve"> PAGEREF _Toc63966843 \h </w:instrText>
            </w:r>
            <w:r w:rsidR="003A74B4">
              <w:rPr>
                <w:noProof/>
                <w:webHidden/>
              </w:rPr>
            </w:r>
            <w:r w:rsidR="003A74B4">
              <w:rPr>
                <w:noProof/>
                <w:webHidden/>
              </w:rPr>
              <w:fldChar w:fldCharType="separate"/>
            </w:r>
            <w:r w:rsidR="00FF2871">
              <w:rPr>
                <w:noProof/>
                <w:webHidden/>
              </w:rPr>
              <w:t>43</w:t>
            </w:r>
            <w:r w:rsidR="003A74B4">
              <w:rPr>
                <w:noProof/>
                <w:webHidden/>
              </w:rPr>
              <w:fldChar w:fldCharType="end"/>
            </w:r>
          </w:hyperlink>
        </w:p>
        <w:p w14:paraId="412852E3" w14:textId="7797C63D" w:rsidR="003A74B4" w:rsidRDefault="005B64B3">
          <w:pPr>
            <w:pStyle w:val="TOC4"/>
            <w:rPr>
              <w:rFonts w:asciiTheme="minorHAnsi" w:eastAsiaTheme="minorEastAsia" w:hAnsiTheme="minorHAnsi"/>
              <w:noProof/>
              <w:sz w:val="22"/>
              <w:szCs w:val="22"/>
              <w:u w:val="none"/>
              <w:lang w:eastAsia="en-AU"/>
            </w:rPr>
          </w:pPr>
          <w:hyperlink w:anchor="_Toc63966844" w:history="1">
            <w:r w:rsidR="003A74B4" w:rsidRPr="00A935DF">
              <w:rPr>
                <w:rStyle w:val="Hyperlink"/>
                <w:rFonts w:eastAsiaTheme="majorEastAsia" w:cstheme="majorBidi"/>
                <w:iCs/>
                <w:noProof/>
              </w:rPr>
              <w:t>(b)</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The Panel should reject India's arguments regarding the MAEQ scheme's design, structure and operation</w:t>
            </w:r>
            <w:r w:rsidR="003A74B4">
              <w:rPr>
                <w:noProof/>
                <w:webHidden/>
              </w:rPr>
              <w:tab/>
            </w:r>
            <w:r w:rsidR="003A74B4">
              <w:rPr>
                <w:noProof/>
                <w:webHidden/>
              </w:rPr>
              <w:fldChar w:fldCharType="begin"/>
            </w:r>
            <w:r w:rsidR="003A74B4">
              <w:rPr>
                <w:noProof/>
                <w:webHidden/>
              </w:rPr>
              <w:instrText xml:space="preserve"> PAGEREF _Toc63966844 \h </w:instrText>
            </w:r>
            <w:r w:rsidR="003A74B4">
              <w:rPr>
                <w:noProof/>
                <w:webHidden/>
              </w:rPr>
            </w:r>
            <w:r w:rsidR="003A74B4">
              <w:rPr>
                <w:noProof/>
                <w:webHidden/>
              </w:rPr>
              <w:fldChar w:fldCharType="separate"/>
            </w:r>
            <w:r w:rsidR="00FF2871">
              <w:rPr>
                <w:noProof/>
                <w:webHidden/>
              </w:rPr>
              <w:t>45</w:t>
            </w:r>
            <w:r w:rsidR="003A74B4">
              <w:rPr>
                <w:noProof/>
                <w:webHidden/>
              </w:rPr>
              <w:fldChar w:fldCharType="end"/>
            </w:r>
          </w:hyperlink>
        </w:p>
        <w:p w14:paraId="43009712" w14:textId="66F36142" w:rsidR="003A74B4" w:rsidRDefault="005B64B3">
          <w:pPr>
            <w:pStyle w:val="TOC5"/>
            <w:rPr>
              <w:rFonts w:asciiTheme="minorHAnsi" w:eastAsiaTheme="minorEastAsia" w:hAnsiTheme="minorHAnsi"/>
              <w:i w:val="0"/>
              <w:noProof/>
              <w:sz w:val="22"/>
              <w:szCs w:val="22"/>
              <w:lang w:eastAsia="en-AU"/>
            </w:rPr>
          </w:pPr>
          <w:hyperlink w:anchor="_Toc63966845" w:history="1">
            <w:r w:rsidR="003A74B4" w:rsidRPr="00A935DF">
              <w:rPr>
                <w:rStyle w:val="Hyperlink"/>
                <w:rFonts w:eastAsiaTheme="majorEastAsia" w:cstheme="majorBidi"/>
                <w:noProof/>
              </w:rPr>
              <w:t>i.</w:t>
            </w:r>
            <w:r w:rsidR="003A74B4">
              <w:rPr>
                <w:rFonts w:asciiTheme="minorHAnsi" w:eastAsiaTheme="minorEastAsia" w:hAnsiTheme="minorHAnsi"/>
                <w:i w:val="0"/>
                <w:noProof/>
                <w:sz w:val="22"/>
                <w:szCs w:val="22"/>
                <w:lang w:eastAsia="en-AU"/>
              </w:rPr>
              <w:tab/>
            </w:r>
            <w:r w:rsidR="003A74B4" w:rsidRPr="00A935DF">
              <w:rPr>
                <w:rStyle w:val="Hyperlink"/>
                <w:rFonts w:eastAsiaTheme="majorEastAsia" w:cstheme="majorBidi"/>
                <w:noProof/>
              </w:rPr>
              <w:t>India's "liquidity" argument does not support its assertion that the MAEQ scheme satisfies the legal standards applicable under Articles 9.1(d) and (e)</w:t>
            </w:r>
            <w:r w:rsidR="003A74B4">
              <w:rPr>
                <w:noProof/>
                <w:webHidden/>
              </w:rPr>
              <w:tab/>
            </w:r>
            <w:r w:rsidR="003A74B4">
              <w:rPr>
                <w:noProof/>
                <w:webHidden/>
              </w:rPr>
              <w:fldChar w:fldCharType="begin"/>
            </w:r>
            <w:r w:rsidR="003A74B4">
              <w:rPr>
                <w:noProof/>
                <w:webHidden/>
              </w:rPr>
              <w:instrText xml:space="preserve"> PAGEREF _Toc63966845 \h </w:instrText>
            </w:r>
            <w:r w:rsidR="003A74B4">
              <w:rPr>
                <w:noProof/>
                <w:webHidden/>
              </w:rPr>
            </w:r>
            <w:r w:rsidR="003A74B4">
              <w:rPr>
                <w:noProof/>
                <w:webHidden/>
              </w:rPr>
              <w:fldChar w:fldCharType="separate"/>
            </w:r>
            <w:r w:rsidR="00FF2871">
              <w:rPr>
                <w:noProof/>
                <w:webHidden/>
              </w:rPr>
              <w:t>45</w:t>
            </w:r>
            <w:r w:rsidR="003A74B4">
              <w:rPr>
                <w:noProof/>
                <w:webHidden/>
              </w:rPr>
              <w:fldChar w:fldCharType="end"/>
            </w:r>
          </w:hyperlink>
        </w:p>
        <w:p w14:paraId="08B067C2" w14:textId="3670073E" w:rsidR="003A74B4" w:rsidRDefault="005B64B3">
          <w:pPr>
            <w:pStyle w:val="TOC5"/>
            <w:rPr>
              <w:rFonts w:asciiTheme="minorHAnsi" w:eastAsiaTheme="minorEastAsia" w:hAnsiTheme="minorHAnsi"/>
              <w:i w:val="0"/>
              <w:noProof/>
              <w:sz w:val="22"/>
              <w:szCs w:val="22"/>
              <w:lang w:eastAsia="en-AU"/>
            </w:rPr>
          </w:pPr>
          <w:hyperlink w:anchor="_Toc63966846" w:history="1">
            <w:r w:rsidR="003A74B4" w:rsidRPr="00A935DF">
              <w:rPr>
                <w:rStyle w:val="Hyperlink"/>
                <w:rFonts w:eastAsiaTheme="majorEastAsia" w:cstheme="majorBidi"/>
                <w:noProof/>
              </w:rPr>
              <w:t>ii.</w:t>
            </w:r>
            <w:r w:rsidR="003A74B4">
              <w:rPr>
                <w:rFonts w:asciiTheme="minorHAnsi" w:eastAsiaTheme="minorEastAsia" w:hAnsiTheme="minorHAnsi"/>
                <w:i w:val="0"/>
                <w:noProof/>
                <w:sz w:val="22"/>
                <w:szCs w:val="22"/>
                <w:lang w:eastAsia="en-AU"/>
              </w:rPr>
              <w:tab/>
            </w:r>
            <w:r w:rsidR="003A74B4" w:rsidRPr="00A935DF">
              <w:rPr>
                <w:rStyle w:val="Hyperlink"/>
                <w:rFonts w:eastAsiaTheme="majorEastAsia" w:cstheme="majorBidi"/>
                <w:noProof/>
              </w:rPr>
              <w:t>The evidence of India's stakeholder consultation is deficient</w:t>
            </w:r>
            <w:r w:rsidR="003A74B4">
              <w:rPr>
                <w:noProof/>
                <w:webHidden/>
              </w:rPr>
              <w:tab/>
            </w:r>
            <w:r w:rsidR="003A74B4">
              <w:rPr>
                <w:noProof/>
                <w:webHidden/>
              </w:rPr>
              <w:fldChar w:fldCharType="begin"/>
            </w:r>
            <w:r w:rsidR="003A74B4">
              <w:rPr>
                <w:noProof/>
                <w:webHidden/>
              </w:rPr>
              <w:instrText xml:space="preserve"> PAGEREF _Toc63966846 \h </w:instrText>
            </w:r>
            <w:r w:rsidR="003A74B4">
              <w:rPr>
                <w:noProof/>
                <w:webHidden/>
              </w:rPr>
            </w:r>
            <w:r w:rsidR="003A74B4">
              <w:rPr>
                <w:noProof/>
                <w:webHidden/>
              </w:rPr>
              <w:fldChar w:fldCharType="separate"/>
            </w:r>
            <w:r w:rsidR="00FF2871">
              <w:rPr>
                <w:noProof/>
                <w:webHidden/>
              </w:rPr>
              <w:t>46</w:t>
            </w:r>
            <w:r w:rsidR="003A74B4">
              <w:rPr>
                <w:noProof/>
                <w:webHidden/>
              </w:rPr>
              <w:fldChar w:fldCharType="end"/>
            </w:r>
          </w:hyperlink>
        </w:p>
        <w:p w14:paraId="72892543" w14:textId="67FD3030" w:rsidR="003A74B4" w:rsidRDefault="005B64B3">
          <w:pPr>
            <w:pStyle w:val="TOC5"/>
            <w:rPr>
              <w:rFonts w:asciiTheme="minorHAnsi" w:eastAsiaTheme="minorEastAsia" w:hAnsiTheme="minorHAnsi"/>
              <w:i w:val="0"/>
              <w:noProof/>
              <w:sz w:val="22"/>
              <w:szCs w:val="22"/>
              <w:lang w:eastAsia="en-AU"/>
            </w:rPr>
          </w:pPr>
          <w:hyperlink w:anchor="_Toc63966847" w:history="1">
            <w:r w:rsidR="003A74B4" w:rsidRPr="00A935DF">
              <w:rPr>
                <w:rStyle w:val="Hyperlink"/>
                <w:rFonts w:eastAsiaTheme="majorEastAsia" w:cstheme="majorBidi"/>
                <w:noProof/>
              </w:rPr>
              <w:t>iii.</w:t>
            </w:r>
            <w:r w:rsidR="003A74B4">
              <w:rPr>
                <w:rFonts w:asciiTheme="minorHAnsi" w:eastAsiaTheme="minorEastAsia" w:hAnsiTheme="minorHAnsi"/>
                <w:i w:val="0"/>
                <w:noProof/>
                <w:sz w:val="22"/>
                <w:szCs w:val="22"/>
                <w:lang w:eastAsia="en-AU"/>
              </w:rPr>
              <w:tab/>
            </w:r>
            <w:r w:rsidR="003A74B4" w:rsidRPr="00A935DF">
              <w:rPr>
                <w:rStyle w:val="Hyperlink"/>
                <w:rFonts w:eastAsiaTheme="majorEastAsia" w:cstheme="majorBidi"/>
                <w:noProof/>
              </w:rPr>
              <w:t>The MAEQ scheme is not designed to ensure the assistance does not exceed actual costs incurred by sugar mills</w:t>
            </w:r>
            <w:r w:rsidR="003A74B4">
              <w:rPr>
                <w:noProof/>
                <w:webHidden/>
              </w:rPr>
              <w:tab/>
            </w:r>
            <w:r w:rsidR="003A74B4">
              <w:rPr>
                <w:noProof/>
                <w:webHidden/>
              </w:rPr>
              <w:fldChar w:fldCharType="begin"/>
            </w:r>
            <w:r w:rsidR="003A74B4">
              <w:rPr>
                <w:noProof/>
                <w:webHidden/>
              </w:rPr>
              <w:instrText xml:space="preserve"> PAGEREF _Toc63966847 \h </w:instrText>
            </w:r>
            <w:r w:rsidR="003A74B4">
              <w:rPr>
                <w:noProof/>
                <w:webHidden/>
              </w:rPr>
            </w:r>
            <w:r w:rsidR="003A74B4">
              <w:rPr>
                <w:noProof/>
                <w:webHidden/>
              </w:rPr>
              <w:fldChar w:fldCharType="separate"/>
            </w:r>
            <w:r w:rsidR="00FF2871">
              <w:rPr>
                <w:noProof/>
                <w:webHidden/>
              </w:rPr>
              <w:t>48</w:t>
            </w:r>
            <w:r w:rsidR="003A74B4">
              <w:rPr>
                <w:noProof/>
                <w:webHidden/>
              </w:rPr>
              <w:fldChar w:fldCharType="end"/>
            </w:r>
          </w:hyperlink>
        </w:p>
        <w:p w14:paraId="1267667E" w14:textId="4FC8BE1C" w:rsidR="003A74B4" w:rsidRDefault="005B64B3">
          <w:pPr>
            <w:pStyle w:val="TOC2"/>
            <w:rPr>
              <w:rFonts w:asciiTheme="minorHAnsi" w:eastAsiaTheme="minorEastAsia" w:hAnsiTheme="minorHAnsi"/>
              <w:b w:val="0"/>
              <w:smallCaps w:val="0"/>
              <w:noProof/>
              <w:sz w:val="22"/>
              <w:szCs w:val="22"/>
              <w:lang w:eastAsia="en-AU"/>
            </w:rPr>
          </w:pPr>
          <w:hyperlink w:anchor="_Toc63966848" w:history="1">
            <w:r w:rsidR="003A74B4" w:rsidRPr="00A935DF">
              <w:rPr>
                <w:rStyle w:val="Hyperlink"/>
                <w:rFonts w:eastAsiaTheme="majorEastAsia" w:cstheme="majorBidi"/>
                <w:noProof/>
              </w:rPr>
              <w:t>C.</w:t>
            </w:r>
            <w:r w:rsidR="003A74B4">
              <w:rPr>
                <w:rFonts w:asciiTheme="minorHAnsi" w:eastAsiaTheme="minorEastAsia" w:hAnsiTheme="minorHAnsi"/>
                <w:b w:val="0"/>
                <w:smallCaps w:val="0"/>
                <w:noProof/>
                <w:sz w:val="22"/>
                <w:szCs w:val="22"/>
                <w:lang w:eastAsia="en-AU"/>
              </w:rPr>
              <w:tab/>
            </w:r>
            <w:r w:rsidR="003A74B4" w:rsidRPr="00A935DF">
              <w:rPr>
                <w:rStyle w:val="Hyperlink"/>
                <w:rFonts w:eastAsiaTheme="majorEastAsia" w:cstheme="majorBidi"/>
                <w:noProof/>
              </w:rPr>
              <w:t>The prohibition under Article 3.1(a) of the SCM Agreement applies to India</w:t>
            </w:r>
            <w:r w:rsidR="003A74B4">
              <w:rPr>
                <w:noProof/>
                <w:webHidden/>
              </w:rPr>
              <w:tab/>
            </w:r>
            <w:r w:rsidR="003A74B4">
              <w:rPr>
                <w:noProof/>
                <w:webHidden/>
              </w:rPr>
              <w:fldChar w:fldCharType="begin"/>
            </w:r>
            <w:r w:rsidR="003A74B4">
              <w:rPr>
                <w:noProof/>
                <w:webHidden/>
              </w:rPr>
              <w:instrText xml:space="preserve"> PAGEREF _Toc63966848 \h </w:instrText>
            </w:r>
            <w:r w:rsidR="003A74B4">
              <w:rPr>
                <w:noProof/>
                <w:webHidden/>
              </w:rPr>
            </w:r>
            <w:r w:rsidR="003A74B4">
              <w:rPr>
                <w:noProof/>
                <w:webHidden/>
              </w:rPr>
              <w:fldChar w:fldCharType="separate"/>
            </w:r>
            <w:r w:rsidR="00FF2871">
              <w:rPr>
                <w:noProof/>
                <w:webHidden/>
              </w:rPr>
              <w:t>54</w:t>
            </w:r>
            <w:r w:rsidR="003A74B4">
              <w:rPr>
                <w:noProof/>
                <w:webHidden/>
              </w:rPr>
              <w:fldChar w:fldCharType="end"/>
            </w:r>
          </w:hyperlink>
        </w:p>
        <w:p w14:paraId="23D399A9" w14:textId="15063674" w:rsidR="003A74B4" w:rsidRDefault="005B64B3">
          <w:pPr>
            <w:pStyle w:val="TOC3"/>
            <w:rPr>
              <w:rFonts w:asciiTheme="minorHAnsi" w:eastAsiaTheme="minorEastAsia" w:hAnsiTheme="minorHAnsi"/>
              <w:b w:val="0"/>
              <w:noProof/>
              <w:sz w:val="22"/>
              <w:szCs w:val="22"/>
              <w:lang w:eastAsia="en-AU"/>
            </w:rPr>
          </w:pPr>
          <w:hyperlink w:anchor="_Toc63966849" w:history="1">
            <w:r w:rsidR="003A74B4" w:rsidRPr="00A935DF">
              <w:rPr>
                <w:rStyle w:val="Hyperlink"/>
                <w:rFonts w:eastAsiaTheme="majorEastAsia" w:cstheme="majorBidi"/>
                <w:noProof/>
              </w:rPr>
              <w:t>1.</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The correct interpretation of Article 27 and Annex VII of the SCM Agreement</w:t>
            </w:r>
            <w:r w:rsidR="003A74B4">
              <w:rPr>
                <w:noProof/>
                <w:webHidden/>
              </w:rPr>
              <w:tab/>
            </w:r>
            <w:r w:rsidR="003A74B4">
              <w:rPr>
                <w:noProof/>
                <w:webHidden/>
              </w:rPr>
              <w:fldChar w:fldCharType="begin"/>
            </w:r>
            <w:r w:rsidR="003A74B4">
              <w:rPr>
                <w:noProof/>
                <w:webHidden/>
              </w:rPr>
              <w:instrText xml:space="preserve"> PAGEREF _Toc63966849 \h </w:instrText>
            </w:r>
            <w:r w:rsidR="003A74B4">
              <w:rPr>
                <w:noProof/>
                <w:webHidden/>
              </w:rPr>
            </w:r>
            <w:r w:rsidR="003A74B4">
              <w:rPr>
                <w:noProof/>
                <w:webHidden/>
              </w:rPr>
              <w:fldChar w:fldCharType="separate"/>
            </w:r>
            <w:r w:rsidR="00FF2871">
              <w:rPr>
                <w:noProof/>
                <w:webHidden/>
              </w:rPr>
              <w:t>54</w:t>
            </w:r>
            <w:r w:rsidR="003A74B4">
              <w:rPr>
                <w:noProof/>
                <w:webHidden/>
              </w:rPr>
              <w:fldChar w:fldCharType="end"/>
            </w:r>
          </w:hyperlink>
        </w:p>
        <w:p w14:paraId="07BAB07B" w14:textId="4CBDD3C7" w:rsidR="003A74B4" w:rsidRDefault="005B64B3">
          <w:pPr>
            <w:pStyle w:val="TOC3"/>
            <w:rPr>
              <w:rFonts w:asciiTheme="minorHAnsi" w:eastAsiaTheme="minorEastAsia" w:hAnsiTheme="minorHAnsi"/>
              <w:b w:val="0"/>
              <w:noProof/>
              <w:sz w:val="22"/>
              <w:szCs w:val="22"/>
              <w:lang w:eastAsia="en-AU"/>
            </w:rPr>
          </w:pPr>
          <w:hyperlink w:anchor="_Toc63966850" w:history="1">
            <w:r w:rsidR="003A74B4" w:rsidRPr="00A935DF">
              <w:rPr>
                <w:rStyle w:val="Hyperlink"/>
                <w:rFonts w:eastAsiaTheme="majorEastAsia" w:cstheme="majorBidi"/>
                <w:noProof/>
              </w:rPr>
              <w:t>2.</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The Panel should reject India's misinterpretation of Article 27 and Annex VII of the SCM Agreement</w:t>
            </w:r>
            <w:r w:rsidR="003A74B4">
              <w:rPr>
                <w:noProof/>
                <w:webHidden/>
              </w:rPr>
              <w:tab/>
            </w:r>
            <w:r w:rsidR="003A74B4">
              <w:rPr>
                <w:noProof/>
                <w:webHidden/>
              </w:rPr>
              <w:fldChar w:fldCharType="begin"/>
            </w:r>
            <w:r w:rsidR="003A74B4">
              <w:rPr>
                <w:noProof/>
                <w:webHidden/>
              </w:rPr>
              <w:instrText xml:space="preserve"> PAGEREF _Toc63966850 \h </w:instrText>
            </w:r>
            <w:r w:rsidR="003A74B4">
              <w:rPr>
                <w:noProof/>
                <w:webHidden/>
              </w:rPr>
            </w:r>
            <w:r w:rsidR="003A74B4">
              <w:rPr>
                <w:noProof/>
                <w:webHidden/>
              </w:rPr>
              <w:fldChar w:fldCharType="separate"/>
            </w:r>
            <w:r w:rsidR="00FF2871">
              <w:rPr>
                <w:noProof/>
                <w:webHidden/>
              </w:rPr>
              <w:t>55</w:t>
            </w:r>
            <w:r w:rsidR="003A74B4">
              <w:rPr>
                <w:noProof/>
                <w:webHidden/>
              </w:rPr>
              <w:fldChar w:fldCharType="end"/>
            </w:r>
          </w:hyperlink>
        </w:p>
        <w:p w14:paraId="2011081F" w14:textId="2413F832" w:rsidR="003A74B4" w:rsidRDefault="005B64B3">
          <w:pPr>
            <w:pStyle w:val="TOC4"/>
            <w:rPr>
              <w:rFonts w:asciiTheme="minorHAnsi" w:eastAsiaTheme="minorEastAsia" w:hAnsiTheme="minorHAnsi"/>
              <w:noProof/>
              <w:sz w:val="22"/>
              <w:szCs w:val="22"/>
              <w:u w:val="none"/>
              <w:lang w:eastAsia="en-AU"/>
            </w:rPr>
          </w:pPr>
          <w:hyperlink w:anchor="_Toc63966851" w:history="1">
            <w:r w:rsidR="003A74B4" w:rsidRPr="00A935DF">
              <w:rPr>
                <w:rStyle w:val="Hyperlink"/>
                <w:rFonts w:eastAsiaTheme="majorEastAsia" w:cstheme="majorBidi"/>
                <w:iCs/>
                <w:noProof/>
              </w:rPr>
              <w:t>(a)</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Ordinary meaning of Article 27.2(b)</w:t>
            </w:r>
            <w:r w:rsidR="003A74B4">
              <w:rPr>
                <w:noProof/>
                <w:webHidden/>
              </w:rPr>
              <w:tab/>
            </w:r>
            <w:r w:rsidR="003A74B4">
              <w:rPr>
                <w:noProof/>
                <w:webHidden/>
              </w:rPr>
              <w:fldChar w:fldCharType="begin"/>
            </w:r>
            <w:r w:rsidR="003A74B4">
              <w:rPr>
                <w:noProof/>
                <w:webHidden/>
              </w:rPr>
              <w:instrText xml:space="preserve"> PAGEREF _Toc63966851 \h </w:instrText>
            </w:r>
            <w:r w:rsidR="003A74B4">
              <w:rPr>
                <w:noProof/>
                <w:webHidden/>
              </w:rPr>
            </w:r>
            <w:r w:rsidR="003A74B4">
              <w:rPr>
                <w:noProof/>
                <w:webHidden/>
              </w:rPr>
              <w:fldChar w:fldCharType="separate"/>
            </w:r>
            <w:r w:rsidR="00FF2871">
              <w:rPr>
                <w:noProof/>
                <w:webHidden/>
              </w:rPr>
              <w:t>56</w:t>
            </w:r>
            <w:r w:rsidR="003A74B4">
              <w:rPr>
                <w:noProof/>
                <w:webHidden/>
              </w:rPr>
              <w:fldChar w:fldCharType="end"/>
            </w:r>
          </w:hyperlink>
        </w:p>
        <w:p w14:paraId="487151E5" w14:textId="0C9D9233" w:rsidR="003A74B4" w:rsidRDefault="005B64B3">
          <w:pPr>
            <w:pStyle w:val="TOC4"/>
            <w:rPr>
              <w:rFonts w:asciiTheme="minorHAnsi" w:eastAsiaTheme="minorEastAsia" w:hAnsiTheme="minorHAnsi"/>
              <w:noProof/>
              <w:sz w:val="22"/>
              <w:szCs w:val="22"/>
              <w:u w:val="none"/>
              <w:lang w:eastAsia="en-AU"/>
            </w:rPr>
          </w:pPr>
          <w:hyperlink w:anchor="_Toc63966852" w:history="1">
            <w:r w:rsidR="003A74B4" w:rsidRPr="00A935DF">
              <w:rPr>
                <w:rStyle w:val="Hyperlink"/>
                <w:rFonts w:eastAsiaTheme="majorEastAsia" w:cstheme="majorBidi"/>
                <w:iCs/>
                <w:noProof/>
              </w:rPr>
              <w:t>(b)</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 xml:space="preserve">The panel's reasoning in </w:t>
            </w:r>
            <w:r w:rsidR="003A74B4" w:rsidRPr="00A935DF">
              <w:rPr>
                <w:rStyle w:val="Hyperlink"/>
                <w:rFonts w:eastAsiaTheme="majorEastAsia" w:cstheme="majorBidi"/>
                <w:i/>
                <w:iCs/>
                <w:noProof/>
              </w:rPr>
              <w:t>India – Export Related Measures</w:t>
            </w:r>
            <w:r w:rsidR="003A74B4" w:rsidRPr="00A935DF">
              <w:rPr>
                <w:rStyle w:val="Hyperlink"/>
                <w:rFonts w:eastAsiaTheme="majorEastAsia" w:cstheme="majorBidi"/>
                <w:iCs/>
                <w:noProof/>
              </w:rPr>
              <w:t xml:space="preserve"> is relevant</w:t>
            </w:r>
            <w:r w:rsidR="003A74B4">
              <w:rPr>
                <w:noProof/>
                <w:webHidden/>
              </w:rPr>
              <w:tab/>
            </w:r>
            <w:r w:rsidR="003A74B4">
              <w:rPr>
                <w:noProof/>
                <w:webHidden/>
              </w:rPr>
              <w:fldChar w:fldCharType="begin"/>
            </w:r>
            <w:r w:rsidR="003A74B4">
              <w:rPr>
                <w:noProof/>
                <w:webHidden/>
              </w:rPr>
              <w:instrText xml:space="preserve"> PAGEREF _Toc63966852 \h </w:instrText>
            </w:r>
            <w:r w:rsidR="003A74B4">
              <w:rPr>
                <w:noProof/>
                <w:webHidden/>
              </w:rPr>
            </w:r>
            <w:r w:rsidR="003A74B4">
              <w:rPr>
                <w:noProof/>
                <w:webHidden/>
              </w:rPr>
              <w:fldChar w:fldCharType="separate"/>
            </w:r>
            <w:r w:rsidR="00FF2871">
              <w:rPr>
                <w:noProof/>
                <w:webHidden/>
              </w:rPr>
              <w:t>57</w:t>
            </w:r>
            <w:r w:rsidR="003A74B4">
              <w:rPr>
                <w:noProof/>
                <w:webHidden/>
              </w:rPr>
              <w:fldChar w:fldCharType="end"/>
            </w:r>
          </w:hyperlink>
        </w:p>
        <w:p w14:paraId="3E5FA6B8" w14:textId="210E1185" w:rsidR="003A74B4" w:rsidRDefault="005B64B3">
          <w:pPr>
            <w:pStyle w:val="TOC4"/>
            <w:rPr>
              <w:rFonts w:asciiTheme="minorHAnsi" w:eastAsiaTheme="minorEastAsia" w:hAnsiTheme="minorHAnsi"/>
              <w:noProof/>
              <w:sz w:val="22"/>
              <w:szCs w:val="22"/>
              <w:u w:val="none"/>
              <w:lang w:eastAsia="en-AU"/>
            </w:rPr>
          </w:pPr>
          <w:hyperlink w:anchor="_Toc63966853" w:history="1">
            <w:r w:rsidR="003A74B4" w:rsidRPr="00A935DF">
              <w:rPr>
                <w:rStyle w:val="Hyperlink"/>
                <w:rFonts w:eastAsiaTheme="majorEastAsia" w:cstheme="majorBidi"/>
                <w:iCs/>
                <w:noProof/>
              </w:rPr>
              <w:t>(c)</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An ordinary meaning interpretation does not render other parts of the SCM Agreement ineffective</w:t>
            </w:r>
            <w:r w:rsidR="003A74B4">
              <w:rPr>
                <w:noProof/>
                <w:webHidden/>
              </w:rPr>
              <w:tab/>
            </w:r>
            <w:r w:rsidR="003A74B4">
              <w:rPr>
                <w:noProof/>
                <w:webHidden/>
              </w:rPr>
              <w:fldChar w:fldCharType="begin"/>
            </w:r>
            <w:r w:rsidR="003A74B4">
              <w:rPr>
                <w:noProof/>
                <w:webHidden/>
              </w:rPr>
              <w:instrText xml:space="preserve"> PAGEREF _Toc63966853 \h </w:instrText>
            </w:r>
            <w:r w:rsidR="003A74B4">
              <w:rPr>
                <w:noProof/>
                <w:webHidden/>
              </w:rPr>
            </w:r>
            <w:r w:rsidR="003A74B4">
              <w:rPr>
                <w:noProof/>
                <w:webHidden/>
              </w:rPr>
              <w:fldChar w:fldCharType="separate"/>
            </w:r>
            <w:r w:rsidR="00FF2871">
              <w:rPr>
                <w:noProof/>
                <w:webHidden/>
              </w:rPr>
              <w:t>57</w:t>
            </w:r>
            <w:r w:rsidR="003A74B4">
              <w:rPr>
                <w:noProof/>
                <w:webHidden/>
              </w:rPr>
              <w:fldChar w:fldCharType="end"/>
            </w:r>
          </w:hyperlink>
        </w:p>
        <w:p w14:paraId="768BA33A" w14:textId="56BA2E6E" w:rsidR="003A74B4" w:rsidRDefault="005B64B3">
          <w:pPr>
            <w:pStyle w:val="TOC4"/>
            <w:rPr>
              <w:rFonts w:asciiTheme="minorHAnsi" w:eastAsiaTheme="minorEastAsia" w:hAnsiTheme="minorHAnsi"/>
              <w:noProof/>
              <w:sz w:val="22"/>
              <w:szCs w:val="22"/>
              <w:u w:val="none"/>
              <w:lang w:eastAsia="en-AU"/>
            </w:rPr>
          </w:pPr>
          <w:hyperlink w:anchor="_Toc63966854" w:history="1">
            <w:r w:rsidR="003A74B4" w:rsidRPr="00A935DF">
              <w:rPr>
                <w:rStyle w:val="Hyperlink"/>
                <w:rFonts w:eastAsiaTheme="majorEastAsia" w:cstheme="majorBidi"/>
                <w:iCs/>
                <w:noProof/>
              </w:rPr>
              <w:t>(d)</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The ordinary meaning of Article 27.2(b) is consistent with the SCM Agreement's object and purpose</w:t>
            </w:r>
            <w:r w:rsidR="003A74B4">
              <w:rPr>
                <w:noProof/>
                <w:webHidden/>
              </w:rPr>
              <w:tab/>
            </w:r>
            <w:r w:rsidR="003A74B4">
              <w:rPr>
                <w:noProof/>
                <w:webHidden/>
              </w:rPr>
              <w:fldChar w:fldCharType="begin"/>
            </w:r>
            <w:r w:rsidR="003A74B4">
              <w:rPr>
                <w:noProof/>
                <w:webHidden/>
              </w:rPr>
              <w:instrText xml:space="preserve"> PAGEREF _Toc63966854 \h </w:instrText>
            </w:r>
            <w:r w:rsidR="003A74B4">
              <w:rPr>
                <w:noProof/>
                <w:webHidden/>
              </w:rPr>
            </w:r>
            <w:r w:rsidR="003A74B4">
              <w:rPr>
                <w:noProof/>
                <w:webHidden/>
              </w:rPr>
              <w:fldChar w:fldCharType="separate"/>
            </w:r>
            <w:r w:rsidR="00FF2871">
              <w:rPr>
                <w:noProof/>
                <w:webHidden/>
              </w:rPr>
              <w:t>60</w:t>
            </w:r>
            <w:r w:rsidR="003A74B4">
              <w:rPr>
                <w:noProof/>
                <w:webHidden/>
              </w:rPr>
              <w:fldChar w:fldCharType="end"/>
            </w:r>
          </w:hyperlink>
        </w:p>
        <w:p w14:paraId="6601E5B9" w14:textId="2F1C778F" w:rsidR="003A74B4" w:rsidRDefault="005B64B3">
          <w:pPr>
            <w:pStyle w:val="TOC4"/>
            <w:rPr>
              <w:rFonts w:asciiTheme="minorHAnsi" w:eastAsiaTheme="minorEastAsia" w:hAnsiTheme="minorHAnsi"/>
              <w:noProof/>
              <w:sz w:val="22"/>
              <w:szCs w:val="22"/>
              <w:u w:val="none"/>
              <w:lang w:eastAsia="en-AU"/>
            </w:rPr>
          </w:pPr>
          <w:hyperlink w:anchor="_Toc63966855" w:history="1">
            <w:r w:rsidR="003A74B4" w:rsidRPr="00A935DF">
              <w:rPr>
                <w:rStyle w:val="Hyperlink"/>
                <w:rFonts w:eastAsiaTheme="majorEastAsia" w:cstheme="majorBidi"/>
                <w:iCs/>
                <w:noProof/>
              </w:rPr>
              <w:t>(e)</w:t>
            </w:r>
            <w:r w:rsidR="003A74B4">
              <w:rPr>
                <w:rFonts w:asciiTheme="minorHAnsi" w:eastAsiaTheme="minorEastAsia" w:hAnsiTheme="minorHAnsi"/>
                <w:noProof/>
                <w:sz w:val="22"/>
                <w:szCs w:val="22"/>
                <w:u w:val="none"/>
                <w:lang w:eastAsia="en-AU"/>
              </w:rPr>
              <w:tab/>
            </w:r>
            <w:r w:rsidR="003A74B4" w:rsidRPr="00A935DF">
              <w:rPr>
                <w:rStyle w:val="Hyperlink"/>
                <w:rFonts w:eastAsiaTheme="majorEastAsia" w:cstheme="majorBidi"/>
                <w:iCs/>
                <w:noProof/>
              </w:rPr>
              <w:t>The SCM Agreement provides avenues for developing countries seeking further flexibility</w:t>
            </w:r>
            <w:r w:rsidR="003A74B4">
              <w:rPr>
                <w:noProof/>
                <w:webHidden/>
              </w:rPr>
              <w:tab/>
            </w:r>
            <w:r w:rsidR="003A74B4">
              <w:rPr>
                <w:noProof/>
                <w:webHidden/>
              </w:rPr>
              <w:fldChar w:fldCharType="begin"/>
            </w:r>
            <w:r w:rsidR="003A74B4">
              <w:rPr>
                <w:noProof/>
                <w:webHidden/>
              </w:rPr>
              <w:instrText xml:space="preserve"> PAGEREF _Toc63966855 \h </w:instrText>
            </w:r>
            <w:r w:rsidR="003A74B4">
              <w:rPr>
                <w:noProof/>
                <w:webHidden/>
              </w:rPr>
            </w:r>
            <w:r w:rsidR="003A74B4">
              <w:rPr>
                <w:noProof/>
                <w:webHidden/>
              </w:rPr>
              <w:fldChar w:fldCharType="separate"/>
            </w:r>
            <w:r w:rsidR="00FF2871">
              <w:rPr>
                <w:noProof/>
                <w:webHidden/>
              </w:rPr>
              <w:t>61</w:t>
            </w:r>
            <w:r w:rsidR="003A74B4">
              <w:rPr>
                <w:noProof/>
                <w:webHidden/>
              </w:rPr>
              <w:fldChar w:fldCharType="end"/>
            </w:r>
          </w:hyperlink>
        </w:p>
        <w:p w14:paraId="71D6DB92" w14:textId="53CB3A2E" w:rsidR="003A74B4" w:rsidRDefault="005B64B3">
          <w:pPr>
            <w:pStyle w:val="TOC2"/>
            <w:rPr>
              <w:rFonts w:asciiTheme="minorHAnsi" w:eastAsiaTheme="minorEastAsia" w:hAnsiTheme="minorHAnsi"/>
              <w:b w:val="0"/>
              <w:smallCaps w:val="0"/>
              <w:noProof/>
              <w:sz w:val="22"/>
              <w:szCs w:val="22"/>
              <w:lang w:eastAsia="en-AU"/>
            </w:rPr>
          </w:pPr>
          <w:hyperlink w:anchor="_Toc63966856" w:history="1">
            <w:r w:rsidR="003A74B4" w:rsidRPr="00A935DF">
              <w:rPr>
                <w:rStyle w:val="Hyperlink"/>
                <w:rFonts w:eastAsiaTheme="majorEastAsia" w:cstheme="majorBidi"/>
                <w:noProof/>
              </w:rPr>
              <w:t>D.</w:t>
            </w:r>
            <w:r w:rsidR="003A74B4">
              <w:rPr>
                <w:rFonts w:asciiTheme="minorHAnsi" w:eastAsiaTheme="minorEastAsia" w:hAnsiTheme="minorHAnsi"/>
                <w:b w:val="0"/>
                <w:smallCaps w:val="0"/>
                <w:noProof/>
                <w:sz w:val="22"/>
                <w:szCs w:val="22"/>
                <w:lang w:eastAsia="en-AU"/>
              </w:rPr>
              <w:tab/>
            </w:r>
            <w:r w:rsidR="003A74B4" w:rsidRPr="00A935DF">
              <w:rPr>
                <w:rStyle w:val="Hyperlink"/>
                <w:rFonts w:eastAsiaTheme="majorEastAsia" w:cstheme="majorBidi"/>
                <w:noProof/>
              </w:rPr>
              <w:t>India's export subsidies are prohibited under Article 3.1(a) of the SCM Agreement</w:t>
            </w:r>
            <w:r w:rsidR="003A74B4">
              <w:rPr>
                <w:noProof/>
                <w:webHidden/>
              </w:rPr>
              <w:tab/>
            </w:r>
            <w:r w:rsidR="003A74B4">
              <w:rPr>
                <w:noProof/>
                <w:webHidden/>
              </w:rPr>
              <w:fldChar w:fldCharType="begin"/>
            </w:r>
            <w:r w:rsidR="003A74B4">
              <w:rPr>
                <w:noProof/>
                <w:webHidden/>
              </w:rPr>
              <w:instrText xml:space="preserve"> PAGEREF _Toc63966856 \h </w:instrText>
            </w:r>
            <w:r w:rsidR="003A74B4">
              <w:rPr>
                <w:noProof/>
                <w:webHidden/>
              </w:rPr>
            </w:r>
            <w:r w:rsidR="003A74B4">
              <w:rPr>
                <w:noProof/>
                <w:webHidden/>
              </w:rPr>
              <w:fldChar w:fldCharType="separate"/>
            </w:r>
            <w:r w:rsidR="00FF2871">
              <w:rPr>
                <w:noProof/>
                <w:webHidden/>
              </w:rPr>
              <w:t>62</w:t>
            </w:r>
            <w:r w:rsidR="003A74B4">
              <w:rPr>
                <w:noProof/>
                <w:webHidden/>
              </w:rPr>
              <w:fldChar w:fldCharType="end"/>
            </w:r>
          </w:hyperlink>
        </w:p>
        <w:p w14:paraId="5AB2696C" w14:textId="7ABEF910" w:rsidR="003A74B4" w:rsidRDefault="005B64B3">
          <w:pPr>
            <w:pStyle w:val="TOC3"/>
            <w:rPr>
              <w:rFonts w:asciiTheme="minorHAnsi" w:eastAsiaTheme="minorEastAsia" w:hAnsiTheme="minorHAnsi"/>
              <w:b w:val="0"/>
              <w:noProof/>
              <w:sz w:val="22"/>
              <w:szCs w:val="22"/>
              <w:lang w:eastAsia="en-AU"/>
            </w:rPr>
          </w:pPr>
          <w:hyperlink w:anchor="_Toc63966857" w:history="1">
            <w:r w:rsidR="003A74B4" w:rsidRPr="00A935DF">
              <w:rPr>
                <w:rStyle w:val="Hyperlink"/>
                <w:rFonts w:eastAsiaTheme="majorEastAsia" w:cstheme="majorBidi"/>
                <w:noProof/>
              </w:rPr>
              <w:t>1.</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The Panel should reject India's misinterpretation of the legal standard applicable for establishing the existence of a subsidy under Article 1.1</w:t>
            </w:r>
            <w:r w:rsidR="003A74B4">
              <w:rPr>
                <w:noProof/>
                <w:webHidden/>
              </w:rPr>
              <w:tab/>
            </w:r>
            <w:r w:rsidR="003A74B4">
              <w:rPr>
                <w:noProof/>
                <w:webHidden/>
              </w:rPr>
              <w:fldChar w:fldCharType="begin"/>
            </w:r>
            <w:r w:rsidR="003A74B4">
              <w:rPr>
                <w:noProof/>
                <w:webHidden/>
              </w:rPr>
              <w:instrText xml:space="preserve"> PAGEREF _Toc63966857 \h </w:instrText>
            </w:r>
            <w:r w:rsidR="003A74B4">
              <w:rPr>
                <w:noProof/>
                <w:webHidden/>
              </w:rPr>
            </w:r>
            <w:r w:rsidR="003A74B4">
              <w:rPr>
                <w:noProof/>
                <w:webHidden/>
              </w:rPr>
              <w:fldChar w:fldCharType="separate"/>
            </w:r>
            <w:r w:rsidR="00FF2871">
              <w:rPr>
                <w:noProof/>
                <w:webHidden/>
              </w:rPr>
              <w:t>62</w:t>
            </w:r>
            <w:r w:rsidR="003A74B4">
              <w:rPr>
                <w:noProof/>
                <w:webHidden/>
              </w:rPr>
              <w:fldChar w:fldCharType="end"/>
            </w:r>
          </w:hyperlink>
        </w:p>
        <w:p w14:paraId="098337F8" w14:textId="5C8D45D6" w:rsidR="003A74B4" w:rsidRDefault="005B64B3">
          <w:pPr>
            <w:pStyle w:val="TOC3"/>
            <w:rPr>
              <w:rFonts w:asciiTheme="minorHAnsi" w:eastAsiaTheme="minorEastAsia" w:hAnsiTheme="minorHAnsi"/>
              <w:b w:val="0"/>
              <w:noProof/>
              <w:sz w:val="22"/>
              <w:szCs w:val="22"/>
              <w:lang w:eastAsia="en-AU"/>
            </w:rPr>
          </w:pPr>
          <w:hyperlink w:anchor="_Toc63966858" w:history="1">
            <w:r w:rsidR="003A74B4" w:rsidRPr="00A935DF">
              <w:rPr>
                <w:rStyle w:val="Hyperlink"/>
                <w:rFonts w:eastAsiaTheme="majorEastAsia" w:cstheme="majorBidi"/>
                <w:noProof/>
              </w:rPr>
              <w:t>2.</w:t>
            </w:r>
            <w:r w:rsidR="003A74B4">
              <w:rPr>
                <w:rFonts w:asciiTheme="minorHAnsi" w:eastAsiaTheme="minorEastAsia" w:hAnsiTheme="minorHAnsi"/>
                <w:b w:val="0"/>
                <w:noProof/>
                <w:sz w:val="22"/>
                <w:szCs w:val="22"/>
                <w:lang w:eastAsia="en-AU"/>
              </w:rPr>
              <w:tab/>
            </w:r>
            <w:r w:rsidR="003A74B4" w:rsidRPr="00A935DF">
              <w:rPr>
                <w:rStyle w:val="Hyperlink"/>
                <w:rFonts w:eastAsiaTheme="majorEastAsia" w:cstheme="majorBidi"/>
                <w:noProof/>
              </w:rPr>
              <w:t>The DFIA scheme does not fall within footnote 1 of the SCM Agreement</w:t>
            </w:r>
            <w:r w:rsidR="003A74B4">
              <w:rPr>
                <w:noProof/>
                <w:webHidden/>
              </w:rPr>
              <w:tab/>
            </w:r>
            <w:r w:rsidR="003A74B4">
              <w:rPr>
                <w:noProof/>
                <w:webHidden/>
              </w:rPr>
              <w:fldChar w:fldCharType="begin"/>
            </w:r>
            <w:r w:rsidR="003A74B4">
              <w:rPr>
                <w:noProof/>
                <w:webHidden/>
              </w:rPr>
              <w:instrText xml:space="preserve"> PAGEREF _Toc63966858 \h </w:instrText>
            </w:r>
            <w:r w:rsidR="003A74B4">
              <w:rPr>
                <w:noProof/>
                <w:webHidden/>
              </w:rPr>
            </w:r>
            <w:r w:rsidR="003A74B4">
              <w:rPr>
                <w:noProof/>
                <w:webHidden/>
              </w:rPr>
              <w:fldChar w:fldCharType="separate"/>
            </w:r>
            <w:r w:rsidR="00FF2871">
              <w:rPr>
                <w:noProof/>
                <w:webHidden/>
              </w:rPr>
              <w:t>63</w:t>
            </w:r>
            <w:r w:rsidR="003A74B4">
              <w:rPr>
                <w:noProof/>
                <w:webHidden/>
              </w:rPr>
              <w:fldChar w:fldCharType="end"/>
            </w:r>
          </w:hyperlink>
        </w:p>
        <w:p w14:paraId="0A06CF82" w14:textId="1C03DA53" w:rsidR="003A74B4" w:rsidRDefault="005B64B3">
          <w:pPr>
            <w:pStyle w:val="TOC2"/>
            <w:rPr>
              <w:rFonts w:asciiTheme="minorHAnsi" w:eastAsiaTheme="minorEastAsia" w:hAnsiTheme="minorHAnsi"/>
              <w:b w:val="0"/>
              <w:smallCaps w:val="0"/>
              <w:noProof/>
              <w:sz w:val="22"/>
              <w:szCs w:val="22"/>
              <w:lang w:eastAsia="en-AU"/>
            </w:rPr>
          </w:pPr>
          <w:hyperlink w:anchor="_Toc63966859" w:history="1">
            <w:r w:rsidR="003A74B4" w:rsidRPr="00A935DF">
              <w:rPr>
                <w:rStyle w:val="Hyperlink"/>
                <w:rFonts w:eastAsiaTheme="majorEastAsia" w:cstheme="majorBidi"/>
                <w:noProof/>
              </w:rPr>
              <w:t>E.</w:t>
            </w:r>
            <w:r w:rsidR="003A74B4">
              <w:rPr>
                <w:rFonts w:asciiTheme="minorHAnsi" w:eastAsiaTheme="minorEastAsia" w:hAnsiTheme="minorHAnsi"/>
                <w:b w:val="0"/>
                <w:smallCaps w:val="0"/>
                <w:noProof/>
                <w:sz w:val="22"/>
                <w:szCs w:val="22"/>
                <w:lang w:eastAsia="en-AU"/>
              </w:rPr>
              <w:tab/>
            </w:r>
            <w:r w:rsidR="003A74B4" w:rsidRPr="00A935DF">
              <w:rPr>
                <w:rStyle w:val="Hyperlink"/>
                <w:rFonts w:eastAsiaTheme="majorEastAsia" w:cstheme="majorBidi"/>
                <w:noProof/>
              </w:rPr>
              <w:t>Conclusion</w:t>
            </w:r>
            <w:r w:rsidR="003A74B4">
              <w:rPr>
                <w:noProof/>
                <w:webHidden/>
              </w:rPr>
              <w:tab/>
            </w:r>
            <w:r w:rsidR="003A74B4">
              <w:rPr>
                <w:noProof/>
                <w:webHidden/>
              </w:rPr>
              <w:fldChar w:fldCharType="begin"/>
            </w:r>
            <w:r w:rsidR="003A74B4">
              <w:rPr>
                <w:noProof/>
                <w:webHidden/>
              </w:rPr>
              <w:instrText xml:space="preserve"> PAGEREF _Toc63966859 \h </w:instrText>
            </w:r>
            <w:r w:rsidR="003A74B4">
              <w:rPr>
                <w:noProof/>
                <w:webHidden/>
              </w:rPr>
            </w:r>
            <w:r w:rsidR="003A74B4">
              <w:rPr>
                <w:noProof/>
                <w:webHidden/>
              </w:rPr>
              <w:fldChar w:fldCharType="separate"/>
            </w:r>
            <w:r w:rsidR="00FF2871">
              <w:rPr>
                <w:noProof/>
                <w:webHidden/>
              </w:rPr>
              <w:t>66</w:t>
            </w:r>
            <w:r w:rsidR="003A74B4">
              <w:rPr>
                <w:noProof/>
                <w:webHidden/>
              </w:rPr>
              <w:fldChar w:fldCharType="end"/>
            </w:r>
          </w:hyperlink>
        </w:p>
        <w:p w14:paraId="42535A5C" w14:textId="2AE3F980" w:rsidR="003A74B4" w:rsidRDefault="005B64B3">
          <w:pPr>
            <w:pStyle w:val="TOC1"/>
            <w:rPr>
              <w:rFonts w:asciiTheme="minorHAnsi" w:eastAsiaTheme="minorEastAsia" w:hAnsiTheme="minorHAnsi"/>
              <w:b w:val="0"/>
              <w:caps w:val="0"/>
              <w:noProof/>
              <w:sz w:val="22"/>
              <w:szCs w:val="22"/>
              <w:lang w:eastAsia="en-AU"/>
            </w:rPr>
          </w:pPr>
          <w:hyperlink w:anchor="_Toc63966860" w:history="1">
            <w:r w:rsidR="003A74B4" w:rsidRPr="00A935DF">
              <w:rPr>
                <w:rStyle w:val="Hyperlink"/>
                <w:noProof/>
              </w:rPr>
              <w:t>IV.</w:t>
            </w:r>
            <w:r w:rsidR="003A74B4">
              <w:rPr>
                <w:rFonts w:asciiTheme="minorHAnsi" w:eastAsiaTheme="minorEastAsia" w:hAnsiTheme="minorHAnsi"/>
                <w:b w:val="0"/>
                <w:caps w:val="0"/>
                <w:noProof/>
                <w:sz w:val="22"/>
                <w:szCs w:val="22"/>
                <w:lang w:eastAsia="en-AU"/>
              </w:rPr>
              <w:tab/>
            </w:r>
            <w:r w:rsidR="003A74B4" w:rsidRPr="00A935DF">
              <w:rPr>
                <w:rStyle w:val="Hyperlink"/>
                <w:noProof/>
              </w:rPr>
              <w:t>INDIA HAS FAILED TO NOTIFY ITS DOMESTIC SUPPORT IN FAVOUR OF sugarcane PRODUCERS AND EXPORT SUBSIDIES for sugar IN BREACH OF ITS WTO OBLIGATIONS</w:t>
            </w:r>
            <w:r w:rsidR="003A74B4">
              <w:rPr>
                <w:noProof/>
                <w:webHidden/>
              </w:rPr>
              <w:tab/>
            </w:r>
            <w:r w:rsidR="003A74B4">
              <w:rPr>
                <w:noProof/>
                <w:webHidden/>
              </w:rPr>
              <w:fldChar w:fldCharType="begin"/>
            </w:r>
            <w:r w:rsidR="003A74B4">
              <w:rPr>
                <w:noProof/>
                <w:webHidden/>
              </w:rPr>
              <w:instrText xml:space="preserve"> PAGEREF _Toc63966860 \h </w:instrText>
            </w:r>
            <w:r w:rsidR="003A74B4">
              <w:rPr>
                <w:noProof/>
                <w:webHidden/>
              </w:rPr>
            </w:r>
            <w:r w:rsidR="003A74B4">
              <w:rPr>
                <w:noProof/>
                <w:webHidden/>
              </w:rPr>
              <w:fldChar w:fldCharType="separate"/>
            </w:r>
            <w:r w:rsidR="00FF2871">
              <w:rPr>
                <w:noProof/>
                <w:webHidden/>
              </w:rPr>
              <w:t>66</w:t>
            </w:r>
            <w:r w:rsidR="003A74B4">
              <w:rPr>
                <w:noProof/>
                <w:webHidden/>
              </w:rPr>
              <w:fldChar w:fldCharType="end"/>
            </w:r>
          </w:hyperlink>
        </w:p>
        <w:p w14:paraId="12BE54BD" w14:textId="757355CE" w:rsidR="003A74B4" w:rsidRDefault="005B64B3">
          <w:pPr>
            <w:pStyle w:val="TOC2"/>
            <w:rPr>
              <w:rFonts w:asciiTheme="minorHAnsi" w:eastAsiaTheme="minorEastAsia" w:hAnsiTheme="minorHAnsi"/>
              <w:b w:val="0"/>
              <w:smallCaps w:val="0"/>
              <w:noProof/>
              <w:sz w:val="22"/>
              <w:szCs w:val="22"/>
              <w:lang w:eastAsia="en-AU"/>
            </w:rPr>
          </w:pPr>
          <w:hyperlink w:anchor="_Toc63966861" w:history="1">
            <w:r w:rsidR="003A74B4" w:rsidRPr="00A935DF">
              <w:rPr>
                <w:rStyle w:val="Hyperlink"/>
                <w:noProof/>
              </w:rPr>
              <w:t>A.</w:t>
            </w:r>
            <w:r w:rsidR="003A74B4">
              <w:rPr>
                <w:rFonts w:asciiTheme="minorHAnsi" w:eastAsiaTheme="minorEastAsia" w:hAnsiTheme="minorHAnsi"/>
                <w:b w:val="0"/>
                <w:smallCaps w:val="0"/>
                <w:noProof/>
                <w:sz w:val="22"/>
                <w:szCs w:val="22"/>
                <w:lang w:eastAsia="en-AU"/>
              </w:rPr>
              <w:tab/>
            </w:r>
            <w:r w:rsidR="003A74B4" w:rsidRPr="00A935DF">
              <w:rPr>
                <w:rStyle w:val="Hyperlink"/>
                <w:noProof/>
              </w:rPr>
              <w:t>India's notification obligations under the Agreement on Agriculture, the SCM Agreement and the GATT 1994</w:t>
            </w:r>
            <w:r w:rsidR="003A74B4">
              <w:rPr>
                <w:noProof/>
                <w:webHidden/>
              </w:rPr>
              <w:tab/>
            </w:r>
            <w:r w:rsidR="003A74B4">
              <w:rPr>
                <w:noProof/>
                <w:webHidden/>
              </w:rPr>
              <w:fldChar w:fldCharType="begin"/>
            </w:r>
            <w:r w:rsidR="003A74B4">
              <w:rPr>
                <w:noProof/>
                <w:webHidden/>
              </w:rPr>
              <w:instrText xml:space="preserve"> PAGEREF _Toc63966861 \h </w:instrText>
            </w:r>
            <w:r w:rsidR="003A74B4">
              <w:rPr>
                <w:noProof/>
                <w:webHidden/>
              </w:rPr>
            </w:r>
            <w:r w:rsidR="003A74B4">
              <w:rPr>
                <w:noProof/>
                <w:webHidden/>
              </w:rPr>
              <w:fldChar w:fldCharType="separate"/>
            </w:r>
            <w:r w:rsidR="00FF2871">
              <w:rPr>
                <w:noProof/>
                <w:webHidden/>
              </w:rPr>
              <w:t>66</w:t>
            </w:r>
            <w:r w:rsidR="003A74B4">
              <w:rPr>
                <w:noProof/>
                <w:webHidden/>
              </w:rPr>
              <w:fldChar w:fldCharType="end"/>
            </w:r>
          </w:hyperlink>
        </w:p>
        <w:p w14:paraId="2AC59DEB" w14:textId="4627A8CA" w:rsidR="003A74B4" w:rsidRDefault="005B64B3">
          <w:pPr>
            <w:pStyle w:val="TOC3"/>
            <w:rPr>
              <w:rFonts w:asciiTheme="minorHAnsi" w:eastAsiaTheme="minorEastAsia" w:hAnsiTheme="minorHAnsi"/>
              <w:b w:val="0"/>
              <w:noProof/>
              <w:sz w:val="22"/>
              <w:szCs w:val="22"/>
              <w:lang w:eastAsia="en-AU"/>
            </w:rPr>
          </w:pPr>
          <w:hyperlink w:anchor="_Toc63966862" w:history="1">
            <w:r w:rsidR="003A74B4" w:rsidRPr="00A935DF">
              <w:rPr>
                <w:rStyle w:val="Hyperlink"/>
                <w:noProof/>
              </w:rPr>
              <w:t>1.</w:t>
            </w:r>
            <w:r w:rsidR="003A74B4">
              <w:rPr>
                <w:rFonts w:asciiTheme="minorHAnsi" w:eastAsiaTheme="minorEastAsia" w:hAnsiTheme="minorHAnsi"/>
                <w:b w:val="0"/>
                <w:noProof/>
                <w:sz w:val="22"/>
                <w:szCs w:val="22"/>
                <w:lang w:eastAsia="en-AU"/>
              </w:rPr>
              <w:tab/>
            </w:r>
            <w:r w:rsidR="003A74B4" w:rsidRPr="00A935DF">
              <w:rPr>
                <w:rStyle w:val="Hyperlink"/>
                <w:noProof/>
              </w:rPr>
              <w:t>Agreement on Agriculture</w:t>
            </w:r>
            <w:r w:rsidR="003A74B4">
              <w:rPr>
                <w:noProof/>
                <w:webHidden/>
              </w:rPr>
              <w:tab/>
            </w:r>
            <w:r w:rsidR="003A74B4">
              <w:rPr>
                <w:noProof/>
                <w:webHidden/>
              </w:rPr>
              <w:fldChar w:fldCharType="begin"/>
            </w:r>
            <w:r w:rsidR="003A74B4">
              <w:rPr>
                <w:noProof/>
                <w:webHidden/>
              </w:rPr>
              <w:instrText xml:space="preserve"> PAGEREF _Toc63966862 \h </w:instrText>
            </w:r>
            <w:r w:rsidR="003A74B4">
              <w:rPr>
                <w:noProof/>
                <w:webHidden/>
              </w:rPr>
            </w:r>
            <w:r w:rsidR="003A74B4">
              <w:rPr>
                <w:noProof/>
                <w:webHidden/>
              </w:rPr>
              <w:fldChar w:fldCharType="separate"/>
            </w:r>
            <w:r w:rsidR="00FF2871">
              <w:rPr>
                <w:noProof/>
                <w:webHidden/>
              </w:rPr>
              <w:t>66</w:t>
            </w:r>
            <w:r w:rsidR="003A74B4">
              <w:rPr>
                <w:noProof/>
                <w:webHidden/>
              </w:rPr>
              <w:fldChar w:fldCharType="end"/>
            </w:r>
          </w:hyperlink>
        </w:p>
        <w:p w14:paraId="7A48103E" w14:textId="15679D2A" w:rsidR="003A74B4" w:rsidRDefault="005B64B3">
          <w:pPr>
            <w:pStyle w:val="TOC4"/>
            <w:rPr>
              <w:rFonts w:asciiTheme="minorHAnsi" w:eastAsiaTheme="minorEastAsia" w:hAnsiTheme="minorHAnsi"/>
              <w:noProof/>
              <w:sz w:val="22"/>
              <w:szCs w:val="22"/>
              <w:u w:val="none"/>
              <w:lang w:eastAsia="en-AU"/>
            </w:rPr>
          </w:pPr>
          <w:hyperlink w:anchor="_Toc63966863" w:history="1">
            <w:r w:rsidR="003A74B4" w:rsidRPr="00A935DF">
              <w:rPr>
                <w:rStyle w:val="Hyperlink"/>
                <w:noProof/>
              </w:rPr>
              <w:t>(a)</w:t>
            </w:r>
            <w:r w:rsidR="003A74B4">
              <w:rPr>
                <w:rFonts w:asciiTheme="minorHAnsi" w:eastAsiaTheme="minorEastAsia" w:hAnsiTheme="minorHAnsi"/>
                <w:noProof/>
                <w:sz w:val="22"/>
                <w:szCs w:val="22"/>
                <w:u w:val="none"/>
                <w:lang w:eastAsia="en-AU"/>
              </w:rPr>
              <w:tab/>
            </w:r>
            <w:r w:rsidR="003A74B4" w:rsidRPr="00A935DF">
              <w:rPr>
                <w:rStyle w:val="Hyperlink"/>
                <w:noProof/>
              </w:rPr>
              <w:t>The Panel should reject India's misinterpretation of Article 18 of the Agreement on Agriculture</w:t>
            </w:r>
            <w:r w:rsidR="003A74B4">
              <w:rPr>
                <w:noProof/>
                <w:webHidden/>
              </w:rPr>
              <w:tab/>
            </w:r>
            <w:r w:rsidR="003A74B4">
              <w:rPr>
                <w:noProof/>
                <w:webHidden/>
              </w:rPr>
              <w:fldChar w:fldCharType="begin"/>
            </w:r>
            <w:r w:rsidR="003A74B4">
              <w:rPr>
                <w:noProof/>
                <w:webHidden/>
              </w:rPr>
              <w:instrText xml:space="preserve"> PAGEREF _Toc63966863 \h </w:instrText>
            </w:r>
            <w:r w:rsidR="003A74B4">
              <w:rPr>
                <w:noProof/>
                <w:webHidden/>
              </w:rPr>
            </w:r>
            <w:r w:rsidR="003A74B4">
              <w:rPr>
                <w:noProof/>
                <w:webHidden/>
              </w:rPr>
              <w:fldChar w:fldCharType="separate"/>
            </w:r>
            <w:r w:rsidR="00FF2871">
              <w:rPr>
                <w:noProof/>
                <w:webHidden/>
              </w:rPr>
              <w:t>67</w:t>
            </w:r>
            <w:r w:rsidR="003A74B4">
              <w:rPr>
                <w:noProof/>
                <w:webHidden/>
              </w:rPr>
              <w:fldChar w:fldCharType="end"/>
            </w:r>
          </w:hyperlink>
        </w:p>
        <w:p w14:paraId="39A40C7D" w14:textId="35EC279B" w:rsidR="003A74B4" w:rsidRDefault="005B64B3">
          <w:pPr>
            <w:pStyle w:val="TOC3"/>
            <w:rPr>
              <w:rFonts w:asciiTheme="minorHAnsi" w:eastAsiaTheme="minorEastAsia" w:hAnsiTheme="minorHAnsi"/>
              <w:b w:val="0"/>
              <w:noProof/>
              <w:sz w:val="22"/>
              <w:szCs w:val="22"/>
              <w:lang w:eastAsia="en-AU"/>
            </w:rPr>
          </w:pPr>
          <w:hyperlink w:anchor="_Toc63966864" w:history="1">
            <w:r w:rsidR="003A74B4" w:rsidRPr="00A935DF">
              <w:rPr>
                <w:rStyle w:val="Hyperlink"/>
                <w:noProof/>
              </w:rPr>
              <w:t>2.</w:t>
            </w:r>
            <w:r w:rsidR="003A74B4">
              <w:rPr>
                <w:rFonts w:asciiTheme="minorHAnsi" w:eastAsiaTheme="minorEastAsia" w:hAnsiTheme="minorHAnsi"/>
                <w:b w:val="0"/>
                <w:noProof/>
                <w:sz w:val="22"/>
                <w:szCs w:val="22"/>
                <w:lang w:eastAsia="en-AU"/>
              </w:rPr>
              <w:tab/>
            </w:r>
            <w:r w:rsidR="003A74B4" w:rsidRPr="00A935DF">
              <w:rPr>
                <w:rStyle w:val="Hyperlink"/>
                <w:noProof/>
              </w:rPr>
              <w:t>SCM Agreement</w:t>
            </w:r>
            <w:r w:rsidR="003A74B4">
              <w:rPr>
                <w:noProof/>
                <w:webHidden/>
              </w:rPr>
              <w:tab/>
            </w:r>
            <w:r w:rsidR="003A74B4">
              <w:rPr>
                <w:noProof/>
                <w:webHidden/>
              </w:rPr>
              <w:fldChar w:fldCharType="begin"/>
            </w:r>
            <w:r w:rsidR="003A74B4">
              <w:rPr>
                <w:noProof/>
                <w:webHidden/>
              </w:rPr>
              <w:instrText xml:space="preserve"> PAGEREF _Toc63966864 \h </w:instrText>
            </w:r>
            <w:r w:rsidR="003A74B4">
              <w:rPr>
                <w:noProof/>
                <w:webHidden/>
              </w:rPr>
            </w:r>
            <w:r w:rsidR="003A74B4">
              <w:rPr>
                <w:noProof/>
                <w:webHidden/>
              </w:rPr>
              <w:fldChar w:fldCharType="separate"/>
            </w:r>
            <w:r w:rsidR="00FF2871">
              <w:rPr>
                <w:noProof/>
                <w:webHidden/>
              </w:rPr>
              <w:t>68</w:t>
            </w:r>
            <w:r w:rsidR="003A74B4">
              <w:rPr>
                <w:noProof/>
                <w:webHidden/>
              </w:rPr>
              <w:fldChar w:fldCharType="end"/>
            </w:r>
          </w:hyperlink>
        </w:p>
        <w:p w14:paraId="657FFBE3" w14:textId="162E1697" w:rsidR="003A74B4" w:rsidRDefault="005B64B3">
          <w:pPr>
            <w:pStyle w:val="TOC3"/>
            <w:rPr>
              <w:rFonts w:asciiTheme="minorHAnsi" w:eastAsiaTheme="minorEastAsia" w:hAnsiTheme="minorHAnsi"/>
              <w:b w:val="0"/>
              <w:noProof/>
              <w:sz w:val="22"/>
              <w:szCs w:val="22"/>
              <w:lang w:eastAsia="en-AU"/>
            </w:rPr>
          </w:pPr>
          <w:hyperlink w:anchor="_Toc63966865" w:history="1">
            <w:r w:rsidR="003A74B4" w:rsidRPr="00A935DF">
              <w:rPr>
                <w:rStyle w:val="Hyperlink"/>
                <w:noProof/>
              </w:rPr>
              <w:t>3.</w:t>
            </w:r>
            <w:r w:rsidR="003A74B4">
              <w:rPr>
                <w:rFonts w:asciiTheme="minorHAnsi" w:eastAsiaTheme="minorEastAsia" w:hAnsiTheme="minorHAnsi"/>
                <w:b w:val="0"/>
                <w:noProof/>
                <w:sz w:val="22"/>
                <w:szCs w:val="22"/>
                <w:lang w:eastAsia="en-AU"/>
              </w:rPr>
              <w:tab/>
            </w:r>
            <w:r w:rsidR="003A74B4" w:rsidRPr="00A935DF">
              <w:rPr>
                <w:rStyle w:val="Hyperlink"/>
                <w:noProof/>
              </w:rPr>
              <w:t>GATT 1994</w:t>
            </w:r>
            <w:r w:rsidR="003A74B4">
              <w:rPr>
                <w:noProof/>
                <w:webHidden/>
              </w:rPr>
              <w:tab/>
            </w:r>
            <w:r w:rsidR="003A74B4">
              <w:rPr>
                <w:noProof/>
                <w:webHidden/>
              </w:rPr>
              <w:fldChar w:fldCharType="begin"/>
            </w:r>
            <w:r w:rsidR="003A74B4">
              <w:rPr>
                <w:noProof/>
                <w:webHidden/>
              </w:rPr>
              <w:instrText xml:space="preserve"> PAGEREF _Toc63966865 \h </w:instrText>
            </w:r>
            <w:r w:rsidR="003A74B4">
              <w:rPr>
                <w:noProof/>
                <w:webHidden/>
              </w:rPr>
            </w:r>
            <w:r w:rsidR="003A74B4">
              <w:rPr>
                <w:noProof/>
                <w:webHidden/>
              </w:rPr>
              <w:fldChar w:fldCharType="separate"/>
            </w:r>
            <w:r w:rsidR="00FF2871">
              <w:rPr>
                <w:noProof/>
                <w:webHidden/>
              </w:rPr>
              <w:t>68</w:t>
            </w:r>
            <w:r w:rsidR="003A74B4">
              <w:rPr>
                <w:noProof/>
                <w:webHidden/>
              </w:rPr>
              <w:fldChar w:fldCharType="end"/>
            </w:r>
          </w:hyperlink>
        </w:p>
        <w:p w14:paraId="79EF238E" w14:textId="0F899BEB" w:rsidR="003A74B4" w:rsidRDefault="005B64B3">
          <w:pPr>
            <w:pStyle w:val="TOC2"/>
            <w:rPr>
              <w:rFonts w:asciiTheme="minorHAnsi" w:eastAsiaTheme="minorEastAsia" w:hAnsiTheme="minorHAnsi"/>
              <w:b w:val="0"/>
              <w:smallCaps w:val="0"/>
              <w:noProof/>
              <w:sz w:val="22"/>
              <w:szCs w:val="22"/>
              <w:lang w:eastAsia="en-AU"/>
            </w:rPr>
          </w:pPr>
          <w:hyperlink w:anchor="_Toc63966866" w:history="1">
            <w:r w:rsidR="003A74B4" w:rsidRPr="00A935DF">
              <w:rPr>
                <w:rStyle w:val="Hyperlink"/>
                <w:noProof/>
              </w:rPr>
              <w:t>B.</w:t>
            </w:r>
            <w:r w:rsidR="003A74B4">
              <w:rPr>
                <w:rFonts w:asciiTheme="minorHAnsi" w:eastAsiaTheme="minorEastAsia" w:hAnsiTheme="minorHAnsi"/>
                <w:b w:val="0"/>
                <w:smallCaps w:val="0"/>
                <w:noProof/>
                <w:sz w:val="22"/>
                <w:szCs w:val="22"/>
                <w:lang w:eastAsia="en-AU"/>
              </w:rPr>
              <w:tab/>
            </w:r>
            <w:r w:rsidR="003A74B4" w:rsidRPr="00A935DF">
              <w:rPr>
                <w:rStyle w:val="Hyperlink"/>
                <w:noProof/>
              </w:rPr>
              <w:t>India has breached its notification obligations by failing to notify its domestic support in favour of sugarcane producers and its export subsidies for sugar</w:t>
            </w:r>
            <w:r w:rsidR="003A74B4">
              <w:rPr>
                <w:noProof/>
                <w:webHidden/>
              </w:rPr>
              <w:tab/>
            </w:r>
            <w:r w:rsidR="003A74B4">
              <w:rPr>
                <w:noProof/>
                <w:webHidden/>
              </w:rPr>
              <w:fldChar w:fldCharType="begin"/>
            </w:r>
            <w:r w:rsidR="003A74B4">
              <w:rPr>
                <w:noProof/>
                <w:webHidden/>
              </w:rPr>
              <w:instrText xml:space="preserve"> PAGEREF _Toc63966866 \h </w:instrText>
            </w:r>
            <w:r w:rsidR="003A74B4">
              <w:rPr>
                <w:noProof/>
                <w:webHidden/>
              </w:rPr>
            </w:r>
            <w:r w:rsidR="003A74B4">
              <w:rPr>
                <w:noProof/>
                <w:webHidden/>
              </w:rPr>
              <w:fldChar w:fldCharType="separate"/>
            </w:r>
            <w:r w:rsidR="00FF2871">
              <w:rPr>
                <w:noProof/>
                <w:webHidden/>
              </w:rPr>
              <w:t>68</w:t>
            </w:r>
            <w:r w:rsidR="003A74B4">
              <w:rPr>
                <w:noProof/>
                <w:webHidden/>
              </w:rPr>
              <w:fldChar w:fldCharType="end"/>
            </w:r>
          </w:hyperlink>
        </w:p>
        <w:p w14:paraId="6633F499" w14:textId="0689257E" w:rsidR="003A74B4" w:rsidRDefault="005B64B3">
          <w:pPr>
            <w:pStyle w:val="TOC1"/>
            <w:rPr>
              <w:rFonts w:asciiTheme="minorHAnsi" w:eastAsiaTheme="minorEastAsia" w:hAnsiTheme="minorHAnsi"/>
              <w:b w:val="0"/>
              <w:caps w:val="0"/>
              <w:noProof/>
              <w:sz w:val="22"/>
              <w:szCs w:val="22"/>
              <w:lang w:eastAsia="en-AU"/>
            </w:rPr>
          </w:pPr>
          <w:hyperlink w:anchor="_Toc63966867" w:history="1">
            <w:r w:rsidR="003A74B4" w:rsidRPr="00A935DF">
              <w:rPr>
                <w:rStyle w:val="Hyperlink"/>
                <w:noProof/>
              </w:rPr>
              <w:t>V.</w:t>
            </w:r>
            <w:r w:rsidR="003A74B4">
              <w:rPr>
                <w:rFonts w:asciiTheme="minorHAnsi" w:eastAsiaTheme="minorEastAsia" w:hAnsiTheme="minorHAnsi"/>
                <w:b w:val="0"/>
                <w:caps w:val="0"/>
                <w:noProof/>
                <w:sz w:val="22"/>
                <w:szCs w:val="22"/>
                <w:lang w:eastAsia="en-AU"/>
              </w:rPr>
              <w:tab/>
            </w:r>
            <w:r w:rsidR="003A74B4" w:rsidRPr="00A935DF">
              <w:rPr>
                <w:rStyle w:val="Hyperlink"/>
                <w:noProof/>
              </w:rPr>
              <w:t>CONCLUSION</w:t>
            </w:r>
            <w:r w:rsidR="003A74B4">
              <w:rPr>
                <w:noProof/>
                <w:webHidden/>
              </w:rPr>
              <w:tab/>
            </w:r>
            <w:r w:rsidR="003A74B4">
              <w:rPr>
                <w:noProof/>
                <w:webHidden/>
              </w:rPr>
              <w:fldChar w:fldCharType="begin"/>
            </w:r>
            <w:r w:rsidR="003A74B4">
              <w:rPr>
                <w:noProof/>
                <w:webHidden/>
              </w:rPr>
              <w:instrText xml:space="preserve"> PAGEREF _Toc63966867 \h </w:instrText>
            </w:r>
            <w:r w:rsidR="003A74B4">
              <w:rPr>
                <w:noProof/>
                <w:webHidden/>
              </w:rPr>
            </w:r>
            <w:r w:rsidR="003A74B4">
              <w:rPr>
                <w:noProof/>
                <w:webHidden/>
              </w:rPr>
              <w:fldChar w:fldCharType="separate"/>
            </w:r>
            <w:r w:rsidR="00FF2871">
              <w:rPr>
                <w:noProof/>
                <w:webHidden/>
              </w:rPr>
              <w:t>69</w:t>
            </w:r>
            <w:r w:rsidR="003A74B4">
              <w:rPr>
                <w:noProof/>
                <w:webHidden/>
              </w:rPr>
              <w:fldChar w:fldCharType="end"/>
            </w:r>
          </w:hyperlink>
        </w:p>
        <w:p w14:paraId="723B6EB7" w14:textId="24FB4C59" w:rsidR="003A74B4" w:rsidRDefault="005B64B3">
          <w:pPr>
            <w:pStyle w:val="TOC1"/>
            <w:tabs>
              <w:tab w:val="left" w:pos="1276"/>
            </w:tabs>
            <w:rPr>
              <w:rFonts w:asciiTheme="minorHAnsi" w:eastAsiaTheme="minorEastAsia" w:hAnsiTheme="minorHAnsi"/>
              <w:b w:val="0"/>
              <w:caps w:val="0"/>
              <w:noProof/>
              <w:sz w:val="22"/>
              <w:szCs w:val="22"/>
              <w:lang w:eastAsia="en-AU"/>
            </w:rPr>
          </w:pPr>
          <w:hyperlink w:anchor="_Toc63966868" w:history="1">
            <w:r w:rsidR="003A74B4" w:rsidRPr="00A935DF">
              <w:rPr>
                <w:rStyle w:val="Hyperlink"/>
                <w:noProof/>
              </w:rPr>
              <w:t>ANNEX A</w:t>
            </w:r>
            <w:r w:rsidR="003A74B4">
              <w:rPr>
                <w:rFonts w:asciiTheme="minorHAnsi" w:eastAsiaTheme="minorEastAsia" w:hAnsiTheme="minorHAnsi"/>
                <w:b w:val="0"/>
                <w:caps w:val="0"/>
                <w:noProof/>
                <w:sz w:val="22"/>
                <w:szCs w:val="22"/>
                <w:lang w:eastAsia="en-AU"/>
              </w:rPr>
              <w:tab/>
            </w:r>
            <w:r w:rsidR="003A74B4" w:rsidRPr="00A935DF">
              <w:rPr>
                <w:rStyle w:val="Hyperlink"/>
                <w:noProof/>
              </w:rPr>
              <w:t>Revised Tables 10, 12, 13, 15, 18, 22, 23 and 24 of Australia's First Written Submission</w:t>
            </w:r>
            <w:r w:rsidR="003A74B4">
              <w:rPr>
                <w:noProof/>
                <w:webHidden/>
              </w:rPr>
              <w:tab/>
            </w:r>
            <w:r w:rsidR="003A74B4">
              <w:rPr>
                <w:noProof/>
                <w:webHidden/>
              </w:rPr>
              <w:fldChar w:fldCharType="begin"/>
            </w:r>
            <w:r w:rsidR="003A74B4">
              <w:rPr>
                <w:noProof/>
                <w:webHidden/>
              </w:rPr>
              <w:instrText xml:space="preserve"> PAGEREF _Toc63966868 \h </w:instrText>
            </w:r>
            <w:r w:rsidR="003A74B4">
              <w:rPr>
                <w:noProof/>
                <w:webHidden/>
              </w:rPr>
            </w:r>
            <w:r w:rsidR="003A74B4">
              <w:rPr>
                <w:noProof/>
                <w:webHidden/>
              </w:rPr>
              <w:fldChar w:fldCharType="separate"/>
            </w:r>
            <w:r w:rsidR="00FF2871">
              <w:rPr>
                <w:noProof/>
                <w:webHidden/>
              </w:rPr>
              <w:t>71</w:t>
            </w:r>
            <w:r w:rsidR="003A74B4">
              <w:rPr>
                <w:noProof/>
                <w:webHidden/>
              </w:rPr>
              <w:fldChar w:fldCharType="end"/>
            </w:r>
          </w:hyperlink>
        </w:p>
        <w:p w14:paraId="2B424195" w14:textId="6D135A37" w:rsidR="00D47F18" w:rsidRPr="0007327B" w:rsidRDefault="00F945DB" w:rsidP="00F01A73">
          <w:pPr>
            <w:pStyle w:val="BTNSSBodyTextNoSpacingSmall"/>
          </w:pPr>
          <w:r w:rsidRPr="0007327B">
            <w:rPr>
              <w:rFonts w:eastAsiaTheme="majorEastAsia" w:cstheme="majorBidi"/>
              <w:sz w:val="24"/>
              <w:szCs w:val="32"/>
            </w:rPr>
            <w:fldChar w:fldCharType="end"/>
          </w:r>
        </w:p>
      </w:sdtContent>
    </w:sdt>
    <w:p w14:paraId="27DABF95" w14:textId="77777777" w:rsidR="004D7079" w:rsidRPr="0007327B" w:rsidRDefault="004D7079" w:rsidP="004D7079">
      <w:pPr>
        <w:pStyle w:val="BTNSSBodyTextNoSpacingSmall"/>
      </w:pPr>
    </w:p>
    <w:p w14:paraId="48523230" w14:textId="77777777" w:rsidR="000F3086" w:rsidRDefault="000F3086">
      <w:pPr>
        <w:rPr>
          <w:rFonts w:eastAsiaTheme="majorEastAsia" w:cstheme="majorBidi"/>
          <w:b/>
          <w:caps/>
          <w:szCs w:val="32"/>
        </w:rPr>
      </w:pPr>
      <w:r>
        <w:br w:type="page"/>
      </w:r>
    </w:p>
    <w:p w14:paraId="0DF4716D" w14:textId="2A70E6C7" w:rsidR="00F945DB" w:rsidRPr="0007327B" w:rsidRDefault="00F945DB" w:rsidP="00C73188">
      <w:pPr>
        <w:pStyle w:val="SHSectionHeading"/>
      </w:pPr>
      <w:bookmarkStart w:id="0" w:name="_Toc63966807"/>
      <w:r w:rsidRPr="0007327B">
        <w:t>Table of Cases</w:t>
      </w:r>
      <w:bookmarkEnd w:id="0"/>
    </w:p>
    <w:tbl>
      <w:tblPr>
        <w:tblStyle w:val="TableGrid"/>
        <w:tblW w:w="5000" w:type="pct"/>
        <w:tblLook w:val="04A0" w:firstRow="1" w:lastRow="0" w:firstColumn="1" w:lastColumn="0" w:noHBand="0" w:noVBand="1"/>
      </w:tblPr>
      <w:tblGrid>
        <w:gridCol w:w="2269"/>
        <w:gridCol w:w="6791"/>
      </w:tblGrid>
      <w:tr w:rsidR="006E471B" w:rsidRPr="0007327B" w14:paraId="5D1DEB14" w14:textId="77777777" w:rsidTr="00CC123D">
        <w:trPr>
          <w:cantSplit/>
          <w:trHeight w:val="397"/>
          <w:tblHeader/>
        </w:trPr>
        <w:tc>
          <w:tcPr>
            <w:tcW w:w="2269" w:type="dxa"/>
            <w:shd w:val="clear" w:color="auto" w:fill="D9D9D9" w:themeFill="background1" w:themeFillShade="D9"/>
          </w:tcPr>
          <w:p w14:paraId="75B02235" w14:textId="77777777" w:rsidR="006E471B" w:rsidRPr="0007327B" w:rsidRDefault="006E471B" w:rsidP="00BD6EDB">
            <w:pPr>
              <w:pStyle w:val="THTableHeading"/>
              <w:jc w:val="center"/>
            </w:pPr>
            <w:r w:rsidRPr="0007327B">
              <w:t>Short Title</w:t>
            </w:r>
          </w:p>
        </w:tc>
        <w:tc>
          <w:tcPr>
            <w:tcW w:w="6791" w:type="dxa"/>
            <w:shd w:val="clear" w:color="auto" w:fill="D9D9D9" w:themeFill="background1" w:themeFillShade="D9"/>
          </w:tcPr>
          <w:p w14:paraId="011D53A1" w14:textId="77777777" w:rsidR="006E471B" w:rsidRPr="0007327B" w:rsidRDefault="006E471B" w:rsidP="00BD6EDB">
            <w:pPr>
              <w:pStyle w:val="THTableHeading"/>
              <w:jc w:val="center"/>
            </w:pPr>
            <w:r w:rsidRPr="0007327B">
              <w:t>Full Case Title and Citation</w:t>
            </w:r>
          </w:p>
        </w:tc>
      </w:tr>
      <w:tr w:rsidR="00CC123D" w:rsidRPr="003027AE" w14:paraId="55D41F0B" w14:textId="77777777" w:rsidTr="00CC123D">
        <w:trPr>
          <w:cantSplit/>
          <w:trHeight w:val="397"/>
        </w:trPr>
        <w:tc>
          <w:tcPr>
            <w:tcW w:w="2269" w:type="dxa"/>
          </w:tcPr>
          <w:p w14:paraId="1968BD20" w14:textId="68740B4A" w:rsidR="00CC123D" w:rsidRPr="00CC123D" w:rsidRDefault="00CC123D" w:rsidP="00BD6EDB">
            <w:pPr>
              <w:pStyle w:val="TTTableText"/>
              <w:rPr>
                <w:i/>
                <w:iCs/>
              </w:rPr>
            </w:pPr>
            <w:r w:rsidRPr="005852FA">
              <w:rPr>
                <w:i/>
                <w:iCs/>
              </w:rPr>
              <w:t>Argentina – Footwear (EC)</w:t>
            </w:r>
          </w:p>
        </w:tc>
        <w:tc>
          <w:tcPr>
            <w:tcW w:w="6791" w:type="dxa"/>
          </w:tcPr>
          <w:p w14:paraId="622C3AAE" w14:textId="1F097FEA" w:rsidR="00CC123D" w:rsidRPr="003027AE" w:rsidRDefault="00CC123D" w:rsidP="00BD6EDB">
            <w:pPr>
              <w:pStyle w:val="TTTableText"/>
            </w:pPr>
            <w:r>
              <w:t xml:space="preserve">Appellate Body Report, </w:t>
            </w:r>
            <w:r w:rsidRPr="005852FA">
              <w:rPr>
                <w:i/>
                <w:iCs/>
              </w:rPr>
              <w:t>Argentina – Safeguard Measures on Imports of Footwear</w:t>
            </w:r>
            <w:r>
              <w:t>, WT/DS121/AB/R, adopted 12 January 2000, DSR 2000:I, p. 515</w:t>
            </w:r>
          </w:p>
        </w:tc>
      </w:tr>
      <w:tr w:rsidR="006E471B" w:rsidRPr="003027AE" w14:paraId="47EE7BA7" w14:textId="77777777" w:rsidTr="00CC123D">
        <w:trPr>
          <w:cantSplit/>
          <w:trHeight w:val="397"/>
        </w:trPr>
        <w:tc>
          <w:tcPr>
            <w:tcW w:w="2269" w:type="dxa"/>
          </w:tcPr>
          <w:p w14:paraId="5FD042D2" w14:textId="77777777" w:rsidR="006E471B" w:rsidRPr="003027AE" w:rsidRDefault="006E471B" w:rsidP="00BD6EDB">
            <w:pPr>
              <w:pStyle w:val="TTTableText"/>
              <w:rPr>
                <w:rFonts w:asciiTheme="minorHAnsi" w:hAnsiTheme="minorHAnsi" w:cstheme="minorHAnsi"/>
                <w:i/>
              </w:rPr>
            </w:pPr>
            <w:r w:rsidRPr="003027AE">
              <w:rPr>
                <w:i/>
                <w:iCs/>
              </w:rPr>
              <w:t>Argentina – Textiles and Apparel</w:t>
            </w:r>
          </w:p>
        </w:tc>
        <w:tc>
          <w:tcPr>
            <w:tcW w:w="6791" w:type="dxa"/>
          </w:tcPr>
          <w:p w14:paraId="53A04E73" w14:textId="77777777" w:rsidR="006E471B" w:rsidRPr="003027AE" w:rsidRDefault="006E471B" w:rsidP="00BD6EDB">
            <w:pPr>
              <w:pStyle w:val="TTTableText"/>
              <w:rPr>
                <w:rFonts w:asciiTheme="minorHAnsi" w:hAnsiTheme="minorHAnsi" w:cstheme="minorHAnsi"/>
              </w:rPr>
            </w:pPr>
            <w:r w:rsidRPr="003027AE">
              <w:t xml:space="preserve">Panel Report, </w:t>
            </w:r>
            <w:r w:rsidRPr="00164433">
              <w:rPr>
                <w:i/>
                <w:iCs/>
              </w:rPr>
              <w:t>Argentina – Measures Affecting Imports of Footwear, Textiles, Apparel and Other Items</w:t>
            </w:r>
            <w:r w:rsidRPr="003027AE">
              <w:t>, WT/DS56/R, adopted 22 April 1998, as modified by Appellate Body Report WT/DS56/AB/R, DSR 1998:III, p. 1033</w:t>
            </w:r>
          </w:p>
        </w:tc>
      </w:tr>
      <w:tr w:rsidR="006E471B" w:rsidRPr="003027AE" w14:paraId="5EEDD114" w14:textId="77777777" w:rsidTr="00CC123D">
        <w:trPr>
          <w:cantSplit/>
          <w:trHeight w:val="397"/>
        </w:trPr>
        <w:tc>
          <w:tcPr>
            <w:tcW w:w="2269" w:type="dxa"/>
          </w:tcPr>
          <w:p w14:paraId="230A8266" w14:textId="77777777" w:rsidR="006E471B" w:rsidRPr="003027AE" w:rsidRDefault="006E471B" w:rsidP="00BD6EDB">
            <w:pPr>
              <w:pStyle w:val="TTTableText"/>
              <w:rPr>
                <w:i/>
                <w:iCs/>
              </w:rPr>
            </w:pPr>
            <w:r w:rsidRPr="003027AE">
              <w:rPr>
                <w:i/>
                <w:iCs/>
              </w:rPr>
              <w:t>Brazil – Aircraft</w:t>
            </w:r>
          </w:p>
        </w:tc>
        <w:tc>
          <w:tcPr>
            <w:tcW w:w="6791" w:type="dxa"/>
          </w:tcPr>
          <w:p w14:paraId="65393687" w14:textId="77777777" w:rsidR="006E471B" w:rsidRPr="003027AE" w:rsidRDefault="006E471B" w:rsidP="00BD6EDB">
            <w:pPr>
              <w:pStyle w:val="TTTableText"/>
            </w:pPr>
            <w:r w:rsidRPr="003027AE">
              <w:t xml:space="preserve">Appellate Body Report, </w:t>
            </w:r>
            <w:r w:rsidRPr="00164433">
              <w:rPr>
                <w:i/>
                <w:iCs/>
              </w:rPr>
              <w:t>Brazil – Export Financing Programme for Aircraft</w:t>
            </w:r>
            <w:r w:rsidRPr="003027AE">
              <w:t>, WT/DS46/AB/R, adopted 20 August 1999, DSR 1999:III, p. 1161</w:t>
            </w:r>
          </w:p>
        </w:tc>
      </w:tr>
      <w:tr w:rsidR="006E471B" w:rsidRPr="003027AE" w14:paraId="3F5FDB87" w14:textId="77777777" w:rsidTr="00CC123D">
        <w:trPr>
          <w:cantSplit/>
          <w:trHeight w:val="397"/>
        </w:trPr>
        <w:tc>
          <w:tcPr>
            <w:tcW w:w="2269" w:type="dxa"/>
          </w:tcPr>
          <w:p w14:paraId="647AC5A7" w14:textId="77777777" w:rsidR="006E471B" w:rsidRPr="003027AE" w:rsidRDefault="006E471B" w:rsidP="00BD6EDB">
            <w:pPr>
              <w:pStyle w:val="TTTableText"/>
              <w:rPr>
                <w:i/>
                <w:iCs/>
              </w:rPr>
            </w:pPr>
            <w:r w:rsidRPr="003027AE">
              <w:rPr>
                <w:i/>
                <w:iCs/>
              </w:rPr>
              <w:t>Canada – Aircraft</w:t>
            </w:r>
          </w:p>
          <w:p w14:paraId="54FD8C41" w14:textId="77777777" w:rsidR="006E471B" w:rsidRPr="003027AE" w:rsidRDefault="006E471B" w:rsidP="00BD6EDB">
            <w:pPr>
              <w:pStyle w:val="TTTableText"/>
              <w:rPr>
                <w:i/>
                <w:iCs/>
              </w:rPr>
            </w:pPr>
          </w:p>
          <w:p w14:paraId="1DFA8BBB" w14:textId="77777777" w:rsidR="006E471B" w:rsidRPr="003027AE" w:rsidRDefault="006E471B" w:rsidP="00BD6EDB">
            <w:pPr>
              <w:pStyle w:val="TTTableText"/>
              <w:rPr>
                <w:rFonts w:asciiTheme="minorHAnsi" w:hAnsiTheme="minorHAnsi" w:cstheme="minorHAnsi"/>
                <w:i/>
              </w:rPr>
            </w:pPr>
          </w:p>
        </w:tc>
        <w:tc>
          <w:tcPr>
            <w:tcW w:w="6791" w:type="dxa"/>
          </w:tcPr>
          <w:p w14:paraId="2FCF50EA" w14:textId="77777777" w:rsidR="006E471B" w:rsidRPr="003027AE" w:rsidRDefault="006E471B" w:rsidP="00BD6EDB">
            <w:pPr>
              <w:pStyle w:val="TTTableText"/>
              <w:rPr>
                <w:rFonts w:asciiTheme="minorHAnsi" w:hAnsiTheme="minorHAnsi" w:cstheme="minorHAnsi"/>
              </w:rPr>
            </w:pPr>
            <w:r w:rsidRPr="003027AE">
              <w:t xml:space="preserve">Appellate Body Report, </w:t>
            </w:r>
            <w:r w:rsidRPr="00164433">
              <w:rPr>
                <w:i/>
                <w:iCs/>
              </w:rPr>
              <w:t>Canada – Measures Affecting the Export of Civilian Aircraft</w:t>
            </w:r>
            <w:r w:rsidRPr="003027AE">
              <w:t>, WT/DS70/AB/R, adopted 20 August 1999, DSR 1999:III, p. 1377</w:t>
            </w:r>
          </w:p>
        </w:tc>
      </w:tr>
      <w:tr w:rsidR="00CC123D" w:rsidRPr="003027AE" w14:paraId="3386DB9B" w14:textId="77777777" w:rsidTr="00CC123D">
        <w:trPr>
          <w:cantSplit/>
          <w:trHeight w:val="397"/>
        </w:trPr>
        <w:tc>
          <w:tcPr>
            <w:tcW w:w="2269" w:type="dxa"/>
          </w:tcPr>
          <w:p w14:paraId="3012A886" w14:textId="558C03CC" w:rsidR="00CC123D" w:rsidRPr="003027AE" w:rsidRDefault="00CC123D" w:rsidP="00BD6EDB">
            <w:pPr>
              <w:pStyle w:val="TTTableText"/>
              <w:rPr>
                <w:i/>
                <w:iCs/>
              </w:rPr>
            </w:pPr>
            <w:r w:rsidRPr="005852FA">
              <w:rPr>
                <w:i/>
                <w:iCs/>
              </w:rPr>
              <w:t>Canada – Aircraft (Article 21.5 – Brazil)</w:t>
            </w:r>
          </w:p>
        </w:tc>
        <w:tc>
          <w:tcPr>
            <w:tcW w:w="6791" w:type="dxa"/>
          </w:tcPr>
          <w:p w14:paraId="56D7E55C" w14:textId="45A16636" w:rsidR="00CC123D" w:rsidRPr="003027AE" w:rsidRDefault="00CC123D" w:rsidP="00BD6EDB">
            <w:pPr>
              <w:pStyle w:val="TTTableText"/>
            </w:pPr>
            <w:r>
              <w:t xml:space="preserve">Appellate Body Report, </w:t>
            </w:r>
            <w:r w:rsidRPr="005852FA">
              <w:rPr>
                <w:i/>
                <w:iCs/>
              </w:rPr>
              <w:t>Canada – Measures Affecting the Export of Civilian Aircraft – Recourse by Brazil to Article 21.5 of the DSU</w:t>
            </w:r>
            <w:r>
              <w:t>, WT/DS70/AB/RW, adopted 4 August 2000, DSR 2000:IX, p. 4299</w:t>
            </w:r>
          </w:p>
        </w:tc>
      </w:tr>
      <w:tr w:rsidR="006E471B" w:rsidRPr="003027AE" w14:paraId="1946B516" w14:textId="77777777" w:rsidTr="00CC123D">
        <w:trPr>
          <w:cantSplit/>
          <w:trHeight w:val="397"/>
        </w:trPr>
        <w:tc>
          <w:tcPr>
            <w:tcW w:w="2269" w:type="dxa"/>
          </w:tcPr>
          <w:p w14:paraId="5B759E90" w14:textId="77777777" w:rsidR="006E471B" w:rsidRPr="003027AE" w:rsidRDefault="006E471B" w:rsidP="00BD6EDB">
            <w:pPr>
              <w:pStyle w:val="TTTableText"/>
              <w:rPr>
                <w:rFonts w:asciiTheme="minorHAnsi" w:hAnsiTheme="minorHAnsi" w:cstheme="minorHAnsi"/>
                <w:i/>
              </w:rPr>
            </w:pPr>
            <w:r w:rsidRPr="003027AE">
              <w:rPr>
                <w:i/>
                <w:iCs/>
              </w:rPr>
              <w:t>Canada – Renewable Energy / Canada – Feed-in Tariff Program</w:t>
            </w:r>
          </w:p>
        </w:tc>
        <w:tc>
          <w:tcPr>
            <w:tcW w:w="6791" w:type="dxa"/>
          </w:tcPr>
          <w:p w14:paraId="4A50CFF5" w14:textId="77777777" w:rsidR="006E471B" w:rsidRPr="003027AE" w:rsidRDefault="006E471B" w:rsidP="00BD6EDB">
            <w:pPr>
              <w:pStyle w:val="TTTableText"/>
              <w:rPr>
                <w:rFonts w:asciiTheme="minorHAnsi" w:hAnsiTheme="minorHAnsi" w:cstheme="minorHAnsi"/>
              </w:rPr>
            </w:pPr>
            <w:r w:rsidRPr="003027AE">
              <w:t xml:space="preserve">Appellate Body Reports, </w:t>
            </w:r>
            <w:r w:rsidRPr="00164433">
              <w:rPr>
                <w:i/>
                <w:iCs/>
              </w:rPr>
              <w:t>Canada – Certain Measures Affecting the Renewable Energy Generation Sector / Canada – Measures Relating to the Feed-in Tariff Program</w:t>
            </w:r>
            <w:r w:rsidRPr="003027AE">
              <w:t>, WT/DS412/AB/R / WT/DS426/AB/R, adopted 24 May 2013, DSR 2013:I, p. 7</w:t>
            </w:r>
          </w:p>
        </w:tc>
      </w:tr>
      <w:tr w:rsidR="006E471B" w:rsidRPr="003027AE" w14:paraId="1EDE16E0" w14:textId="77777777" w:rsidTr="00CC123D">
        <w:trPr>
          <w:cantSplit/>
          <w:trHeight w:val="397"/>
        </w:trPr>
        <w:tc>
          <w:tcPr>
            <w:tcW w:w="2269" w:type="dxa"/>
          </w:tcPr>
          <w:p w14:paraId="489DC09E" w14:textId="77777777" w:rsidR="006E471B" w:rsidRPr="003027AE" w:rsidRDefault="006E471B" w:rsidP="00BD6EDB">
            <w:pPr>
              <w:pStyle w:val="TTTableText"/>
              <w:rPr>
                <w:rFonts w:asciiTheme="minorHAnsi" w:hAnsiTheme="minorHAnsi" w:cstheme="minorHAnsi"/>
              </w:rPr>
            </w:pPr>
            <w:r w:rsidRPr="003027AE">
              <w:rPr>
                <w:rFonts w:asciiTheme="minorHAnsi" w:hAnsiTheme="minorHAnsi" w:cstheme="minorHAnsi"/>
                <w:i/>
              </w:rPr>
              <w:t>China – Agricultural Producers</w:t>
            </w:r>
          </w:p>
        </w:tc>
        <w:tc>
          <w:tcPr>
            <w:tcW w:w="6791" w:type="dxa"/>
          </w:tcPr>
          <w:p w14:paraId="66F34D01" w14:textId="77777777" w:rsidR="006E471B" w:rsidRPr="003027AE" w:rsidRDefault="006E471B" w:rsidP="00BD6EDB">
            <w:pPr>
              <w:pStyle w:val="TTTableText"/>
              <w:rPr>
                <w:rFonts w:asciiTheme="minorHAnsi" w:hAnsiTheme="minorHAnsi" w:cstheme="minorHAnsi"/>
              </w:rPr>
            </w:pPr>
            <w:r w:rsidRPr="003027AE">
              <w:rPr>
                <w:rFonts w:asciiTheme="minorHAnsi" w:hAnsiTheme="minorHAnsi" w:cstheme="minorHAnsi"/>
              </w:rPr>
              <w:t xml:space="preserve">Panel Report, </w:t>
            </w:r>
            <w:r w:rsidRPr="003027AE">
              <w:rPr>
                <w:rFonts w:asciiTheme="minorHAnsi" w:hAnsiTheme="minorHAnsi" w:cstheme="minorHAnsi"/>
                <w:i/>
              </w:rPr>
              <w:t xml:space="preserve">China – Domestic Support for Agricultural Producers, </w:t>
            </w:r>
            <w:r w:rsidRPr="003027AE">
              <w:rPr>
                <w:rFonts w:asciiTheme="minorHAnsi" w:hAnsiTheme="minorHAnsi" w:cstheme="minorHAnsi"/>
              </w:rPr>
              <w:t>WT/DS511/R</w:t>
            </w:r>
            <w:r w:rsidRPr="003027AE">
              <w:rPr>
                <w:rFonts w:asciiTheme="minorHAnsi" w:hAnsiTheme="minorHAnsi" w:cstheme="minorHAnsi"/>
                <w:color w:val="000000"/>
              </w:rPr>
              <w:t xml:space="preserve"> and Add.1, adopted 26 April 2019</w:t>
            </w:r>
          </w:p>
        </w:tc>
      </w:tr>
      <w:tr w:rsidR="006E471B" w:rsidRPr="003027AE" w14:paraId="4B1BC9E9" w14:textId="77777777" w:rsidTr="00CC123D">
        <w:trPr>
          <w:cantSplit/>
          <w:trHeight w:val="397"/>
        </w:trPr>
        <w:tc>
          <w:tcPr>
            <w:tcW w:w="2269" w:type="dxa"/>
          </w:tcPr>
          <w:p w14:paraId="49205E59" w14:textId="77777777" w:rsidR="006E471B" w:rsidRPr="003027AE" w:rsidRDefault="006E471B" w:rsidP="00BD6EDB">
            <w:pPr>
              <w:pStyle w:val="TTTableText"/>
              <w:rPr>
                <w:i/>
                <w:iCs/>
              </w:rPr>
            </w:pPr>
            <w:r w:rsidRPr="003027AE">
              <w:rPr>
                <w:i/>
                <w:iCs/>
              </w:rPr>
              <w:t>EC and certain member States – Large Civil Aircraft (Article 21.5 – US)</w:t>
            </w:r>
          </w:p>
        </w:tc>
        <w:tc>
          <w:tcPr>
            <w:tcW w:w="6791" w:type="dxa"/>
          </w:tcPr>
          <w:p w14:paraId="79D06767" w14:textId="77777777" w:rsidR="006E471B" w:rsidRPr="003027AE" w:rsidRDefault="006E471B" w:rsidP="00BD6EDB">
            <w:pPr>
              <w:pStyle w:val="TTTableText"/>
            </w:pPr>
            <w:r w:rsidRPr="003027AE">
              <w:t xml:space="preserve">Panel Report, </w:t>
            </w:r>
            <w:r w:rsidRPr="003027AE">
              <w:rPr>
                <w:i/>
                <w:iCs/>
              </w:rPr>
              <w:t>European Communities and Certain Member States – Measures Affecting Trade in Large Civil Aircraft – Recourse to Article 21.5 of the DSU by the United States</w:t>
            </w:r>
            <w:r w:rsidRPr="003027AE">
              <w:t>, WT/DS316/RW and Add.1, adopted 28 May 2018, as modified by Appellate Body Report WT/DS316/AB/RW, DSR 2018:VI, p. 2519</w:t>
            </w:r>
          </w:p>
        </w:tc>
      </w:tr>
      <w:tr w:rsidR="006E471B" w:rsidRPr="003027AE" w14:paraId="5617DB7D" w14:textId="77777777" w:rsidTr="00CC123D">
        <w:trPr>
          <w:cantSplit/>
          <w:trHeight w:val="397"/>
        </w:trPr>
        <w:tc>
          <w:tcPr>
            <w:tcW w:w="2269" w:type="dxa"/>
          </w:tcPr>
          <w:p w14:paraId="041DD447" w14:textId="77777777" w:rsidR="006E471B" w:rsidRPr="003027AE" w:rsidRDefault="006E471B" w:rsidP="00BD6EDB">
            <w:pPr>
              <w:pStyle w:val="TTTableText"/>
              <w:rPr>
                <w:i/>
                <w:iCs/>
              </w:rPr>
            </w:pPr>
            <w:r w:rsidRPr="003027AE">
              <w:rPr>
                <w:i/>
                <w:iCs/>
              </w:rPr>
              <w:t>EC – Hormones</w:t>
            </w:r>
          </w:p>
        </w:tc>
        <w:tc>
          <w:tcPr>
            <w:tcW w:w="6791" w:type="dxa"/>
          </w:tcPr>
          <w:p w14:paraId="07655919" w14:textId="77777777" w:rsidR="006E471B" w:rsidRPr="003027AE" w:rsidRDefault="006E471B" w:rsidP="00BD6EDB">
            <w:pPr>
              <w:pStyle w:val="TTTableText"/>
            </w:pPr>
            <w:r w:rsidRPr="003027AE">
              <w:t xml:space="preserve">Appellate Body Report, </w:t>
            </w:r>
            <w:r w:rsidRPr="00152509">
              <w:rPr>
                <w:i/>
                <w:iCs/>
              </w:rPr>
              <w:t>European Communities – Measures Concerning Meat and Meat Products (Hormones)</w:t>
            </w:r>
            <w:r w:rsidRPr="003027AE">
              <w:t>, WT/DS26/AB/R, WT/DS48/AB/R, adopted 13 February 1998, DSR 1998:I, p. 135</w:t>
            </w:r>
          </w:p>
        </w:tc>
      </w:tr>
      <w:tr w:rsidR="006E471B" w:rsidRPr="003027AE" w14:paraId="34B42F68" w14:textId="77777777" w:rsidTr="00CC123D">
        <w:trPr>
          <w:cantSplit/>
          <w:trHeight w:val="397"/>
        </w:trPr>
        <w:tc>
          <w:tcPr>
            <w:tcW w:w="2269" w:type="dxa"/>
          </w:tcPr>
          <w:p w14:paraId="6C4C2838" w14:textId="77777777" w:rsidR="006E471B" w:rsidRPr="003027AE" w:rsidRDefault="006E471B" w:rsidP="00BD6EDB">
            <w:pPr>
              <w:pStyle w:val="TTTableText"/>
              <w:rPr>
                <w:i/>
                <w:iCs/>
              </w:rPr>
            </w:pPr>
            <w:r w:rsidRPr="003027AE">
              <w:rPr>
                <w:i/>
                <w:iCs/>
              </w:rPr>
              <w:t>India – Export Related Measures</w:t>
            </w:r>
          </w:p>
        </w:tc>
        <w:tc>
          <w:tcPr>
            <w:tcW w:w="6791" w:type="dxa"/>
          </w:tcPr>
          <w:p w14:paraId="40AFD611" w14:textId="77777777" w:rsidR="006E471B" w:rsidRPr="003027AE" w:rsidRDefault="006E471B" w:rsidP="00BD6EDB">
            <w:pPr>
              <w:pStyle w:val="TTTableText"/>
            </w:pPr>
            <w:r w:rsidRPr="003027AE">
              <w:t xml:space="preserve">Panel Report, </w:t>
            </w:r>
            <w:r w:rsidRPr="00152509">
              <w:rPr>
                <w:i/>
                <w:iCs/>
              </w:rPr>
              <w:t>India – Export Related Measures</w:t>
            </w:r>
            <w:r w:rsidRPr="003027AE">
              <w:t>, WT/DS541/R and Add.1, circulated to WTO Members 31 October 2019 [appealed by India 19 November 2019]</w:t>
            </w:r>
          </w:p>
        </w:tc>
      </w:tr>
      <w:tr w:rsidR="006E471B" w:rsidRPr="003027AE" w14:paraId="6E70AE92" w14:textId="77777777" w:rsidTr="00CC123D">
        <w:trPr>
          <w:cantSplit/>
          <w:trHeight w:val="397"/>
        </w:trPr>
        <w:tc>
          <w:tcPr>
            <w:tcW w:w="2269" w:type="dxa"/>
          </w:tcPr>
          <w:p w14:paraId="7F8B6B77" w14:textId="77777777" w:rsidR="006E471B" w:rsidRPr="003027AE" w:rsidRDefault="006E471B" w:rsidP="00BD6EDB">
            <w:pPr>
              <w:pStyle w:val="TTTableText"/>
              <w:rPr>
                <w:i/>
                <w:iCs/>
              </w:rPr>
            </w:pPr>
            <w:r w:rsidRPr="003027AE">
              <w:rPr>
                <w:i/>
                <w:iCs/>
              </w:rPr>
              <w:t>India – Patents (US)</w:t>
            </w:r>
          </w:p>
        </w:tc>
        <w:tc>
          <w:tcPr>
            <w:tcW w:w="6791" w:type="dxa"/>
          </w:tcPr>
          <w:p w14:paraId="22A6A766" w14:textId="77777777" w:rsidR="006E471B" w:rsidRPr="003027AE" w:rsidRDefault="006E471B" w:rsidP="00BD6EDB">
            <w:pPr>
              <w:pStyle w:val="TTTableText"/>
            </w:pPr>
            <w:r w:rsidRPr="003027AE">
              <w:t xml:space="preserve">Appellate Body Report, </w:t>
            </w:r>
            <w:r w:rsidRPr="00152509">
              <w:rPr>
                <w:i/>
                <w:iCs/>
              </w:rPr>
              <w:t>India – Patent Protection for Pharmaceutical and Agricultural Chemical Products</w:t>
            </w:r>
            <w:r w:rsidRPr="003027AE">
              <w:t>, WT/DS50/AB/R, adopted 16 January 1998, DSR 1998:I, p. 9</w:t>
            </w:r>
          </w:p>
        </w:tc>
      </w:tr>
      <w:tr w:rsidR="006E471B" w:rsidRPr="003027AE" w14:paraId="2C603465" w14:textId="77777777" w:rsidTr="00CC123D">
        <w:trPr>
          <w:cantSplit/>
          <w:trHeight w:val="397"/>
        </w:trPr>
        <w:tc>
          <w:tcPr>
            <w:tcW w:w="2269" w:type="dxa"/>
          </w:tcPr>
          <w:p w14:paraId="73E611EB" w14:textId="77777777" w:rsidR="006E471B" w:rsidRPr="003027AE" w:rsidRDefault="006E471B" w:rsidP="00BD6EDB">
            <w:pPr>
              <w:pStyle w:val="TTTableText"/>
              <w:rPr>
                <w:rFonts w:asciiTheme="minorHAnsi" w:hAnsiTheme="minorHAnsi" w:cstheme="minorHAnsi"/>
                <w:i/>
              </w:rPr>
            </w:pPr>
            <w:r w:rsidRPr="003027AE">
              <w:rPr>
                <w:i/>
                <w:iCs/>
              </w:rPr>
              <w:t>Japan – Alcoholic Beverages II</w:t>
            </w:r>
          </w:p>
        </w:tc>
        <w:tc>
          <w:tcPr>
            <w:tcW w:w="6791" w:type="dxa"/>
          </w:tcPr>
          <w:p w14:paraId="5C4A6060" w14:textId="77777777" w:rsidR="006E471B" w:rsidRPr="003027AE" w:rsidRDefault="006E471B" w:rsidP="00BD6EDB">
            <w:pPr>
              <w:pStyle w:val="TTTableText"/>
              <w:rPr>
                <w:rFonts w:asciiTheme="minorHAnsi" w:hAnsiTheme="minorHAnsi" w:cstheme="minorHAnsi"/>
              </w:rPr>
            </w:pPr>
            <w:r w:rsidRPr="003027AE">
              <w:t>Appellate Body Report,</w:t>
            </w:r>
            <w:r w:rsidRPr="00152509">
              <w:rPr>
                <w:i/>
                <w:iCs/>
              </w:rPr>
              <w:t xml:space="preserve"> Japan – Taxes on Alcoholic Beverages</w:t>
            </w:r>
            <w:r w:rsidRPr="003027AE">
              <w:t>, WT/DS8/AB/R, WT/DS10/AB/R, WT/DS11/AB/R, adopted 1 November 1996, DSR 1996:I, p. 97</w:t>
            </w:r>
          </w:p>
        </w:tc>
      </w:tr>
      <w:tr w:rsidR="006E471B" w:rsidRPr="003027AE" w14:paraId="1B84C341" w14:textId="77777777" w:rsidTr="00CC123D">
        <w:trPr>
          <w:cantSplit/>
          <w:trHeight w:val="397"/>
        </w:trPr>
        <w:tc>
          <w:tcPr>
            <w:tcW w:w="2269" w:type="dxa"/>
          </w:tcPr>
          <w:p w14:paraId="01C6C14A" w14:textId="77777777" w:rsidR="006E471B" w:rsidRPr="003027AE" w:rsidRDefault="006E471B" w:rsidP="00BD6EDB">
            <w:pPr>
              <w:pStyle w:val="TTTableText"/>
              <w:rPr>
                <w:i/>
                <w:iCs/>
              </w:rPr>
            </w:pPr>
            <w:r w:rsidRPr="003027AE">
              <w:rPr>
                <w:i/>
                <w:iCs/>
              </w:rPr>
              <w:t>Japan – Apples</w:t>
            </w:r>
          </w:p>
        </w:tc>
        <w:tc>
          <w:tcPr>
            <w:tcW w:w="6791" w:type="dxa"/>
          </w:tcPr>
          <w:p w14:paraId="40F1E902" w14:textId="77777777" w:rsidR="006E471B" w:rsidRPr="003027AE" w:rsidRDefault="006E471B" w:rsidP="00BD6EDB">
            <w:pPr>
              <w:pStyle w:val="TTTableText"/>
            </w:pPr>
            <w:r w:rsidRPr="003027AE">
              <w:t>Appellate Body Report,</w:t>
            </w:r>
            <w:r w:rsidRPr="00152509">
              <w:rPr>
                <w:i/>
                <w:iCs/>
              </w:rPr>
              <w:t xml:space="preserve"> Japan – Measures Affecting the Importation of Apples</w:t>
            </w:r>
            <w:r w:rsidRPr="003027AE">
              <w:t>, WT/DS245/AB/R, adopted 10 December 2003, DSR 2003:IX, p. 4391</w:t>
            </w:r>
          </w:p>
        </w:tc>
      </w:tr>
      <w:tr w:rsidR="006E471B" w:rsidRPr="003027AE" w14:paraId="03ABB35D" w14:textId="77777777" w:rsidTr="00CC123D">
        <w:trPr>
          <w:cantSplit/>
          <w:trHeight w:val="397"/>
        </w:trPr>
        <w:tc>
          <w:tcPr>
            <w:tcW w:w="2269" w:type="dxa"/>
          </w:tcPr>
          <w:p w14:paraId="4F4350B5" w14:textId="77777777" w:rsidR="006E471B" w:rsidRPr="003027AE" w:rsidRDefault="006E471B" w:rsidP="00BD6EDB">
            <w:pPr>
              <w:pStyle w:val="TTTableText"/>
              <w:rPr>
                <w:rFonts w:asciiTheme="minorHAnsi" w:hAnsiTheme="minorHAnsi" w:cstheme="minorHAnsi"/>
                <w:i/>
              </w:rPr>
            </w:pPr>
            <w:r w:rsidRPr="003027AE">
              <w:rPr>
                <w:i/>
                <w:iCs/>
              </w:rPr>
              <w:t>Korea – Dairy</w:t>
            </w:r>
          </w:p>
        </w:tc>
        <w:tc>
          <w:tcPr>
            <w:tcW w:w="6791" w:type="dxa"/>
          </w:tcPr>
          <w:p w14:paraId="647BFD27" w14:textId="77777777" w:rsidR="006E471B" w:rsidRPr="003027AE" w:rsidRDefault="006E471B" w:rsidP="00BD6EDB">
            <w:pPr>
              <w:pStyle w:val="TTTableText"/>
              <w:rPr>
                <w:rFonts w:asciiTheme="minorHAnsi" w:hAnsiTheme="minorHAnsi" w:cstheme="minorHAnsi"/>
              </w:rPr>
            </w:pPr>
            <w:r w:rsidRPr="003027AE">
              <w:t>Appellate Body Report,</w:t>
            </w:r>
            <w:r w:rsidRPr="00152509">
              <w:rPr>
                <w:i/>
                <w:iCs/>
              </w:rPr>
              <w:t xml:space="preserve"> Korea – Definitive Safeguard Measure on Imports of Certain Dairy Products</w:t>
            </w:r>
            <w:r w:rsidRPr="003027AE">
              <w:t>, WT/DS98/AB/R, adopted 12 January 2000, DSR 2000:I, p. 3</w:t>
            </w:r>
          </w:p>
        </w:tc>
      </w:tr>
      <w:tr w:rsidR="006E471B" w:rsidRPr="003027AE" w14:paraId="0428A4B1" w14:textId="77777777" w:rsidTr="00CC123D">
        <w:trPr>
          <w:cantSplit/>
          <w:trHeight w:val="397"/>
        </w:trPr>
        <w:tc>
          <w:tcPr>
            <w:tcW w:w="2269" w:type="dxa"/>
          </w:tcPr>
          <w:p w14:paraId="6D0CA35D" w14:textId="77777777" w:rsidR="006E471B" w:rsidRPr="003027AE" w:rsidRDefault="006E471B" w:rsidP="00BD6EDB">
            <w:pPr>
              <w:pStyle w:val="TTTableText"/>
              <w:rPr>
                <w:rFonts w:asciiTheme="minorHAnsi" w:hAnsiTheme="minorHAnsi" w:cstheme="minorHAnsi"/>
                <w:i/>
              </w:rPr>
            </w:pPr>
            <w:r w:rsidRPr="003027AE">
              <w:rPr>
                <w:rFonts w:asciiTheme="minorHAnsi" w:hAnsiTheme="minorHAnsi" w:cstheme="minorHAnsi"/>
                <w:i/>
              </w:rPr>
              <w:t>Korea – Various Measures on Beef</w:t>
            </w:r>
          </w:p>
        </w:tc>
        <w:tc>
          <w:tcPr>
            <w:tcW w:w="6791" w:type="dxa"/>
          </w:tcPr>
          <w:p w14:paraId="18E429EA" w14:textId="77777777" w:rsidR="006E471B" w:rsidRPr="003027AE" w:rsidRDefault="006E471B" w:rsidP="00BD6EDB">
            <w:pPr>
              <w:pStyle w:val="TTTableText"/>
              <w:rPr>
                <w:rFonts w:asciiTheme="minorHAnsi" w:hAnsiTheme="minorHAnsi" w:cstheme="minorHAnsi"/>
              </w:rPr>
            </w:pPr>
            <w:r w:rsidRPr="003027AE">
              <w:rPr>
                <w:rFonts w:asciiTheme="minorHAnsi" w:hAnsiTheme="minorHAnsi" w:cstheme="minorHAnsi"/>
              </w:rPr>
              <w:t xml:space="preserve">Panel Report, </w:t>
            </w:r>
            <w:r w:rsidRPr="003027AE">
              <w:rPr>
                <w:rFonts w:asciiTheme="minorHAnsi" w:hAnsiTheme="minorHAnsi" w:cstheme="minorHAnsi"/>
                <w:i/>
                <w:lang w:val="en-US" w:bidi="en-US"/>
              </w:rPr>
              <w:t xml:space="preserve">Korea – Measures Affecting Imports of Fresh, Chilled and Frozen Beef, </w:t>
            </w:r>
            <w:r w:rsidRPr="003027AE">
              <w:rPr>
                <w:rFonts w:asciiTheme="minorHAnsi" w:hAnsiTheme="minorHAnsi" w:cstheme="minorHAnsi"/>
              </w:rPr>
              <w:t>WT/DS161/R</w:t>
            </w:r>
            <w:r w:rsidRPr="003027AE">
              <w:rPr>
                <w:rFonts w:asciiTheme="minorHAnsi" w:hAnsiTheme="minorHAnsi" w:cstheme="minorHAnsi"/>
                <w:color w:val="000000"/>
              </w:rPr>
              <w:t xml:space="preserve">, </w:t>
            </w:r>
            <w:r w:rsidRPr="003027AE">
              <w:rPr>
                <w:rFonts w:asciiTheme="minorHAnsi" w:hAnsiTheme="minorHAnsi" w:cstheme="minorHAnsi"/>
              </w:rPr>
              <w:t>WT/DS169/R</w:t>
            </w:r>
            <w:r w:rsidRPr="003027AE">
              <w:rPr>
                <w:rFonts w:asciiTheme="minorHAnsi" w:hAnsiTheme="minorHAnsi" w:cstheme="minorHAnsi"/>
                <w:color w:val="000000"/>
              </w:rPr>
              <w:t>, adopted 10 January 2001, as modified by Appellate Body Report WT/DS161/AB/R, WT/DS169/AB/R, DSR 2001:I, p. 59</w:t>
            </w:r>
          </w:p>
        </w:tc>
      </w:tr>
      <w:tr w:rsidR="006E471B" w:rsidRPr="003027AE" w14:paraId="5D815E0B" w14:textId="77777777" w:rsidTr="00CC123D">
        <w:trPr>
          <w:cantSplit/>
          <w:trHeight w:val="397"/>
        </w:trPr>
        <w:tc>
          <w:tcPr>
            <w:tcW w:w="2269" w:type="dxa"/>
          </w:tcPr>
          <w:p w14:paraId="2642D3FF" w14:textId="77777777" w:rsidR="006E471B" w:rsidRPr="003027AE" w:rsidRDefault="006E471B" w:rsidP="00BD6EDB">
            <w:pPr>
              <w:pStyle w:val="TTTableText"/>
              <w:rPr>
                <w:rFonts w:asciiTheme="minorHAnsi" w:hAnsiTheme="minorHAnsi" w:cstheme="minorHAnsi"/>
                <w:i/>
              </w:rPr>
            </w:pPr>
            <w:r w:rsidRPr="003027AE">
              <w:rPr>
                <w:i/>
                <w:iCs/>
              </w:rPr>
              <w:t>Peru – Agricultural Products</w:t>
            </w:r>
          </w:p>
        </w:tc>
        <w:tc>
          <w:tcPr>
            <w:tcW w:w="6791" w:type="dxa"/>
          </w:tcPr>
          <w:p w14:paraId="6CCBB23A" w14:textId="77777777" w:rsidR="006E471B" w:rsidRPr="003027AE" w:rsidRDefault="006E471B" w:rsidP="00BD6EDB">
            <w:pPr>
              <w:pStyle w:val="TTTableText"/>
              <w:rPr>
                <w:rFonts w:asciiTheme="minorHAnsi" w:hAnsiTheme="minorHAnsi" w:cstheme="minorHAnsi"/>
              </w:rPr>
            </w:pPr>
            <w:r w:rsidRPr="003027AE">
              <w:t xml:space="preserve">Appellate Body Report, </w:t>
            </w:r>
            <w:r w:rsidRPr="00152509">
              <w:rPr>
                <w:i/>
                <w:iCs/>
              </w:rPr>
              <w:t>Peru – Additional Duty on Imports of Certain Agricultural Products</w:t>
            </w:r>
            <w:r w:rsidRPr="003027AE">
              <w:t>, WT/DS457/AB/R and Add.1, adopted 31 July 2015, DSR 2015:VI, p. 3403</w:t>
            </w:r>
          </w:p>
        </w:tc>
      </w:tr>
      <w:tr w:rsidR="006E471B" w:rsidRPr="003027AE" w14:paraId="35BC4B78" w14:textId="77777777" w:rsidTr="00CC123D">
        <w:trPr>
          <w:cantSplit/>
          <w:trHeight w:val="397"/>
        </w:trPr>
        <w:tc>
          <w:tcPr>
            <w:tcW w:w="2269" w:type="dxa"/>
          </w:tcPr>
          <w:p w14:paraId="4701B951" w14:textId="049D5D5A" w:rsidR="006E471B" w:rsidRPr="003027AE" w:rsidRDefault="006E471B" w:rsidP="00BD6EDB">
            <w:pPr>
              <w:pStyle w:val="TTTableText"/>
              <w:rPr>
                <w:i/>
                <w:iCs/>
              </w:rPr>
            </w:pPr>
            <w:r w:rsidRPr="003027AE">
              <w:rPr>
                <w:i/>
                <w:iCs/>
              </w:rPr>
              <w:t>Thailand – Cigarettes (Philippines) (Article</w:t>
            </w:r>
            <w:r w:rsidR="00CB4E03">
              <w:rPr>
                <w:i/>
                <w:iCs/>
              </w:rPr>
              <w:t> </w:t>
            </w:r>
            <w:r w:rsidRPr="003027AE">
              <w:rPr>
                <w:i/>
                <w:iCs/>
              </w:rPr>
              <w:t>21.5 – Philippines II)</w:t>
            </w:r>
          </w:p>
        </w:tc>
        <w:tc>
          <w:tcPr>
            <w:tcW w:w="6791" w:type="dxa"/>
          </w:tcPr>
          <w:p w14:paraId="282F32CB" w14:textId="77777777" w:rsidR="006E471B" w:rsidRPr="003027AE" w:rsidRDefault="006E471B" w:rsidP="00BD6EDB">
            <w:pPr>
              <w:pStyle w:val="TTTableText"/>
            </w:pPr>
            <w:r w:rsidRPr="003027AE">
              <w:t xml:space="preserve">Panel Report, </w:t>
            </w:r>
            <w:r w:rsidRPr="00152509">
              <w:rPr>
                <w:i/>
                <w:iCs/>
              </w:rPr>
              <w:t>Thailand – Customs and Fiscal Measures on Cigarettes from the Philippines – Second Recourse to Article 21.5 of the DSU by the Philippines</w:t>
            </w:r>
            <w:r w:rsidRPr="003027AE">
              <w:t>, WT/DS371/RW2 and Add.1, circulated to WTO Members 12 July 2019 [appealed by Thailand 9 September 2019]</w:t>
            </w:r>
          </w:p>
        </w:tc>
      </w:tr>
      <w:tr w:rsidR="006E471B" w:rsidRPr="003027AE" w14:paraId="64FB97CB" w14:textId="77777777" w:rsidTr="00CC123D">
        <w:trPr>
          <w:cantSplit/>
          <w:trHeight w:val="397"/>
        </w:trPr>
        <w:tc>
          <w:tcPr>
            <w:tcW w:w="2269" w:type="dxa"/>
          </w:tcPr>
          <w:p w14:paraId="13A81D81" w14:textId="77777777" w:rsidR="006E471B" w:rsidRPr="003027AE" w:rsidRDefault="006E471B" w:rsidP="00BD6EDB">
            <w:pPr>
              <w:pStyle w:val="TTTableText"/>
              <w:rPr>
                <w:i/>
                <w:iCs/>
              </w:rPr>
            </w:pPr>
            <w:r w:rsidRPr="003027AE">
              <w:rPr>
                <w:i/>
                <w:iCs/>
              </w:rPr>
              <w:t>Turkey – Textiles</w:t>
            </w:r>
          </w:p>
        </w:tc>
        <w:tc>
          <w:tcPr>
            <w:tcW w:w="6791" w:type="dxa"/>
          </w:tcPr>
          <w:p w14:paraId="33808859" w14:textId="77777777" w:rsidR="006E471B" w:rsidRPr="003027AE" w:rsidRDefault="006E471B" w:rsidP="00BD6EDB">
            <w:pPr>
              <w:pStyle w:val="TTTableText"/>
            </w:pPr>
            <w:r w:rsidRPr="003027AE">
              <w:t xml:space="preserve">Panel Report, </w:t>
            </w:r>
            <w:r w:rsidRPr="00152509">
              <w:rPr>
                <w:i/>
                <w:iCs/>
              </w:rPr>
              <w:t>Turkey – Restrictions on Imports of Textile and Clothing Products</w:t>
            </w:r>
            <w:r w:rsidRPr="003027AE">
              <w:t>, WT/DS34/R, adopted 19 November 1999, as modified by Appellate Body Report WT/DS34/AB/R, DSR 1999:VI, p. 2363</w:t>
            </w:r>
          </w:p>
        </w:tc>
      </w:tr>
      <w:tr w:rsidR="006E471B" w:rsidRPr="003027AE" w14:paraId="49C00372" w14:textId="77777777" w:rsidTr="00CC123D">
        <w:trPr>
          <w:cantSplit/>
          <w:trHeight w:val="397"/>
        </w:trPr>
        <w:tc>
          <w:tcPr>
            <w:tcW w:w="2269" w:type="dxa"/>
          </w:tcPr>
          <w:p w14:paraId="22FB424E" w14:textId="77777777" w:rsidR="006E471B" w:rsidRPr="003027AE" w:rsidRDefault="006E471B" w:rsidP="00BD6EDB">
            <w:pPr>
              <w:pStyle w:val="TTTableText"/>
              <w:rPr>
                <w:i/>
                <w:iCs/>
              </w:rPr>
            </w:pPr>
            <w:r w:rsidRPr="003027AE">
              <w:rPr>
                <w:i/>
                <w:iCs/>
              </w:rPr>
              <w:t>US – Carbon Steel (India)</w:t>
            </w:r>
          </w:p>
        </w:tc>
        <w:tc>
          <w:tcPr>
            <w:tcW w:w="6791" w:type="dxa"/>
          </w:tcPr>
          <w:p w14:paraId="1C2B71F8" w14:textId="77777777" w:rsidR="006E471B" w:rsidRPr="003027AE" w:rsidRDefault="006E471B" w:rsidP="00BD6EDB">
            <w:pPr>
              <w:pStyle w:val="TTTableText"/>
            </w:pPr>
            <w:r w:rsidRPr="003027AE">
              <w:t xml:space="preserve">Appellate Body Report, </w:t>
            </w:r>
            <w:r w:rsidRPr="00152509">
              <w:rPr>
                <w:i/>
                <w:iCs/>
              </w:rPr>
              <w:t>United States – Countervailing Measures on Certain Hot-Rolled Carbon Steel Flat Products from India</w:t>
            </w:r>
            <w:r w:rsidRPr="003027AE">
              <w:t>, WT/DS436/AB/R, adopted 19 December 2014, DSR 2014:V, p. 1727</w:t>
            </w:r>
          </w:p>
        </w:tc>
      </w:tr>
      <w:tr w:rsidR="006E471B" w:rsidRPr="003027AE" w14:paraId="22EAC3EF" w14:textId="77777777" w:rsidTr="00CC123D">
        <w:trPr>
          <w:cantSplit/>
          <w:trHeight w:val="397"/>
        </w:trPr>
        <w:tc>
          <w:tcPr>
            <w:tcW w:w="2269" w:type="dxa"/>
          </w:tcPr>
          <w:p w14:paraId="713ADC66" w14:textId="77777777" w:rsidR="006E471B" w:rsidRPr="003027AE" w:rsidRDefault="006E471B" w:rsidP="00BD6EDB">
            <w:pPr>
              <w:pStyle w:val="TTTableText"/>
              <w:rPr>
                <w:i/>
                <w:iCs/>
              </w:rPr>
            </w:pPr>
            <w:r w:rsidRPr="003027AE">
              <w:rPr>
                <w:i/>
                <w:iCs/>
              </w:rPr>
              <w:t>US – FSC</w:t>
            </w:r>
          </w:p>
        </w:tc>
        <w:tc>
          <w:tcPr>
            <w:tcW w:w="6791" w:type="dxa"/>
          </w:tcPr>
          <w:p w14:paraId="7A261B1B" w14:textId="77777777" w:rsidR="006E471B" w:rsidRPr="003027AE" w:rsidRDefault="006E471B" w:rsidP="00BD6EDB">
            <w:pPr>
              <w:pStyle w:val="TTTableText"/>
            </w:pPr>
            <w:r w:rsidRPr="003027AE">
              <w:t xml:space="preserve">Appellate Body Report, </w:t>
            </w:r>
            <w:r w:rsidRPr="00152509">
              <w:rPr>
                <w:i/>
                <w:iCs/>
              </w:rPr>
              <w:t>United States – Tax Treatment for "Foreign Sales Corporations"</w:t>
            </w:r>
            <w:r w:rsidRPr="003027AE">
              <w:t>, WT/DS108/AB/R, adopted 20 March 2000, DSR 2000:III, p. 1619</w:t>
            </w:r>
          </w:p>
        </w:tc>
      </w:tr>
      <w:tr w:rsidR="001B0A33" w:rsidRPr="003027AE" w14:paraId="39858E28" w14:textId="77777777" w:rsidTr="00CC123D">
        <w:trPr>
          <w:cantSplit/>
          <w:trHeight w:val="397"/>
        </w:trPr>
        <w:tc>
          <w:tcPr>
            <w:tcW w:w="2269" w:type="dxa"/>
          </w:tcPr>
          <w:p w14:paraId="026F8A4B" w14:textId="68B11118" w:rsidR="001B0A33" w:rsidRPr="003027AE" w:rsidRDefault="001B0A33" w:rsidP="00BD6EDB">
            <w:pPr>
              <w:pStyle w:val="TTTableText"/>
              <w:rPr>
                <w:i/>
                <w:iCs/>
              </w:rPr>
            </w:pPr>
            <w:r>
              <w:rPr>
                <w:i/>
                <w:iCs/>
              </w:rPr>
              <w:t>US – Gambling</w:t>
            </w:r>
          </w:p>
        </w:tc>
        <w:tc>
          <w:tcPr>
            <w:tcW w:w="6791" w:type="dxa"/>
          </w:tcPr>
          <w:p w14:paraId="0C19169F" w14:textId="0FF81E50" w:rsidR="001B0A33" w:rsidRPr="003027AE" w:rsidRDefault="001B0A33" w:rsidP="00BD6EDB">
            <w:pPr>
              <w:pStyle w:val="TTTableText"/>
            </w:pPr>
            <w:r>
              <w:t xml:space="preserve">Appellate Body Report, </w:t>
            </w:r>
            <w:r w:rsidRPr="00842765">
              <w:rPr>
                <w:i/>
                <w:iCs/>
              </w:rPr>
              <w:t>United States – Measures Affecting the Cross-Border Supply of Gambling and Betting Services</w:t>
            </w:r>
            <w:r w:rsidRPr="001B0A33">
              <w:t>, WT/DS285/AB/R, adopted 20 April 2005, DSR 2005:XII, p. 5663 (and Corr.1, DSR 2006:XII, p. 5475)</w:t>
            </w:r>
          </w:p>
        </w:tc>
      </w:tr>
      <w:tr w:rsidR="006E471B" w:rsidRPr="003027AE" w14:paraId="1DCCC61A" w14:textId="77777777" w:rsidTr="00CC123D">
        <w:trPr>
          <w:cantSplit/>
          <w:trHeight w:val="397"/>
        </w:trPr>
        <w:tc>
          <w:tcPr>
            <w:tcW w:w="2269" w:type="dxa"/>
          </w:tcPr>
          <w:p w14:paraId="236B7BAC" w14:textId="77777777" w:rsidR="006E471B" w:rsidRPr="003027AE" w:rsidRDefault="006E471B" w:rsidP="00BD6EDB">
            <w:pPr>
              <w:pStyle w:val="TTTableText"/>
              <w:rPr>
                <w:rFonts w:asciiTheme="minorHAnsi" w:hAnsiTheme="minorHAnsi" w:cstheme="minorHAnsi"/>
                <w:i/>
              </w:rPr>
            </w:pPr>
            <w:r w:rsidRPr="003027AE">
              <w:rPr>
                <w:i/>
                <w:iCs/>
              </w:rPr>
              <w:t>US – Gasoline</w:t>
            </w:r>
          </w:p>
        </w:tc>
        <w:tc>
          <w:tcPr>
            <w:tcW w:w="6791" w:type="dxa"/>
          </w:tcPr>
          <w:p w14:paraId="6D7432C6" w14:textId="77777777" w:rsidR="006E471B" w:rsidRPr="003027AE" w:rsidRDefault="006E471B" w:rsidP="00BD6EDB">
            <w:pPr>
              <w:pStyle w:val="TTTableText"/>
              <w:rPr>
                <w:rFonts w:asciiTheme="minorHAnsi" w:hAnsiTheme="minorHAnsi" w:cstheme="minorHAnsi"/>
              </w:rPr>
            </w:pPr>
            <w:r w:rsidRPr="003027AE">
              <w:t xml:space="preserve">Appellate Body Report, </w:t>
            </w:r>
            <w:r w:rsidRPr="003027AE">
              <w:rPr>
                <w:i/>
                <w:iCs/>
              </w:rPr>
              <w:t>United States – Standards for Reformulated and Conventional Gasoline</w:t>
            </w:r>
            <w:r w:rsidRPr="003027AE">
              <w:t>, WT/DS2/AB/R, adopted 20 May 1996, DSR 1996:I, p. 3</w:t>
            </w:r>
          </w:p>
        </w:tc>
      </w:tr>
      <w:tr w:rsidR="006E471B" w:rsidRPr="003027AE" w14:paraId="34F958C4" w14:textId="77777777" w:rsidTr="00CC123D">
        <w:trPr>
          <w:cantSplit/>
          <w:trHeight w:val="397"/>
        </w:trPr>
        <w:tc>
          <w:tcPr>
            <w:tcW w:w="2269" w:type="dxa"/>
          </w:tcPr>
          <w:p w14:paraId="53D883C6" w14:textId="77777777" w:rsidR="006E471B" w:rsidRPr="003027AE" w:rsidRDefault="006E471B" w:rsidP="00BD6EDB">
            <w:pPr>
              <w:pStyle w:val="TTTableText"/>
              <w:rPr>
                <w:i/>
                <w:iCs/>
              </w:rPr>
            </w:pPr>
            <w:r w:rsidRPr="003027AE">
              <w:rPr>
                <w:i/>
                <w:iCs/>
              </w:rPr>
              <w:t>US – Large Civil Aircraft (2nd complaint)</w:t>
            </w:r>
          </w:p>
        </w:tc>
        <w:tc>
          <w:tcPr>
            <w:tcW w:w="6791" w:type="dxa"/>
          </w:tcPr>
          <w:p w14:paraId="344422D7" w14:textId="77777777" w:rsidR="006E471B" w:rsidRPr="003027AE" w:rsidRDefault="006E471B" w:rsidP="00BD6EDB">
            <w:pPr>
              <w:pStyle w:val="TTTableText"/>
            </w:pPr>
            <w:r w:rsidRPr="003027AE">
              <w:t xml:space="preserve">Appellate Body Report, </w:t>
            </w:r>
            <w:r w:rsidRPr="003027AE">
              <w:rPr>
                <w:i/>
                <w:iCs/>
              </w:rPr>
              <w:t>United States – Measures Affecting Trade in Large Civil Aircraft (Second Complaint)</w:t>
            </w:r>
            <w:r w:rsidRPr="003027AE">
              <w:t>, WT/DS353/AB/R, adopted 23 March 2012, DSR 2012:I, p. 7</w:t>
            </w:r>
          </w:p>
        </w:tc>
      </w:tr>
      <w:tr w:rsidR="00CC123D" w:rsidRPr="003027AE" w14:paraId="44469032" w14:textId="77777777" w:rsidTr="00CC123D">
        <w:trPr>
          <w:cantSplit/>
          <w:trHeight w:val="397"/>
        </w:trPr>
        <w:tc>
          <w:tcPr>
            <w:tcW w:w="2269" w:type="dxa"/>
          </w:tcPr>
          <w:p w14:paraId="2D717257" w14:textId="11EF57A9" w:rsidR="00CC123D" w:rsidRPr="00CC123D" w:rsidRDefault="00CC123D" w:rsidP="00BD6EDB">
            <w:pPr>
              <w:pStyle w:val="TTTableText"/>
              <w:rPr>
                <w:i/>
                <w:iCs/>
              </w:rPr>
            </w:pPr>
            <w:r w:rsidRPr="005852FA">
              <w:rPr>
                <w:i/>
                <w:iCs/>
              </w:rPr>
              <w:t>US – Upland Cotton</w:t>
            </w:r>
          </w:p>
        </w:tc>
        <w:tc>
          <w:tcPr>
            <w:tcW w:w="6791" w:type="dxa"/>
          </w:tcPr>
          <w:p w14:paraId="743C3191" w14:textId="08FFE2D4" w:rsidR="00CC123D" w:rsidRPr="003027AE" w:rsidRDefault="00CC123D" w:rsidP="00BD6EDB">
            <w:pPr>
              <w:pStyle w:val="TTTableText"/>
            </w:pPr>
            <w:r>
              <w:t xml:space="preserve">Appellate Body Report, </w:t>
            </w:r>
            <w:r w:rsidRPr="005852FA">
              <w:rPr>
                <w:i/>
                <w:iCs/>
              </w:rPr>
              <w:t>United States – Subsidies on Upland Cotton</w:t>
            </w:r>
            <w:r>
              <w:t>, WT/DS267/AB/R, adopted 21 March 2005, DSR 2005:I, p. 3</w:t>
            </w:r>
          </w:p>
        </w:tc>
      </w:tr>
      <w:tr w:rsidR="006E471B" w:rsidRPr="0007327B" w14:paraId="3F87336B" w14:textId="77777777" w:rsidTr="00CC123D">
        <w:trPr>
          <w:cantSplit/>
          <w:trHeight w:val="397"/>
        </w:trPr>
        <w:tc>
          <w:tcPr>
            <w:tcW w:w="2269" w:type="dxa"/>
          </w:tcPr>
          <w:p w14:paraId="5CCF15B1" w14:textId="77777777" w:rsidR="006E471B" w:rsidRPr="003027AE" w:rsidRDefault="006E471B" w:rsidP="00BD6EDB">
            <w:pPr>
              <w:pStyle w:val="TTTableText"/>
              <w:rPr>
                <w:i/>
                <w:iCs/>
              </w:rPr>
            </w:pPr>
            <w:r w:rsidRPr="003027AE">
              <w:rPr>
                <w:i/>
                <w:iCs/>
              </w:rPr>
              <w:t>US – Wool Shirts and Blouses</w:t>
            </w:r>
          </w:p>
        </w:tc>
        <w:tc>
          <w:tcPr>
            <w:tcW w:w="6791" w:type="dxa"/>
          </w:tcPr>
          <w:p w14:paraId="0F8013E0" w14:textId="77777777" w:rsidR="006E471B" w:rsidRPr="00D877CF" w:rsidRDefault="006E471B" w:rsidP="00BD6EDB">
            <w:pPr>
              <w:pStyle w:val="TTTableText"/>
            </w:pPr>
            <w:r w:rsidRPr="003027AE">
              <w:t xml:space="preserve">Appellate Body Report, </w:t>
            </w:r>
            <w:r w:rsidRPr="00152509">
              <w:rPr>
                <w:i/>
                <w:iCs/>
              </w:rPr>
              <w:t>United States – Measure Affecting Imports of Woven Wool Shirts and Blouses from India</w:t>
            </w:r>
            <w:r w:rsidRPr="003027AE">
              <w:t>, WT/DS33/AB/R, adopted 23 May 1997, and Corr.1, DSR 1997:I, p. 323</w:t>
            </w:r>
          </w:p>
        </w:tc>
      </w:tr>
    </w:tbl>
    <w:p w14:paraId="40CC6ECE" w14:textId="77777777" w:rsidR="004D7079" w:rsidRPr="0007327B" w:rsidRDefault="004D7079" w:rsidP="004D7079">
      <w:pPr>
        <w:pStyle w:val="BTNSSBodyTextNoSpacingSmall"/>
      </w:pPr>
    </w:p>
    <w:p w14:paraId="7DC3B3FE" w14:textId="77777777" w:rsidR="008A1191" w:rsidRPr="0007327B" w:rsidRDefault="004524CE" w:rsidP="004524CE">
      <w:pPr>
        <w:pStyle w:val="SHSectionHeading"/>
      </w:pPr>
      <w:bookmarkStart w:id="1" w:name="_Toc63966808"/>
      <w:r w:rsidRPr="0007327B">
        <w:t>List of Acronyms, Abbreviations and Short Forms</w:t>
      </w:r>
      <w:bookmarkEnd w:id="1"/>
    </w:p>
    <w:tbl>
      <w:tblPr>
        <w:tblStyle w:val="TableGrid"/>
        <w:tblW w:w="5000" w:type="pct"/>
        <w:tblLook w:val="04A0" w:firstRow="1" w:lastRow="0" w:firstColumn="1" w:lastColumn="0" w:noHBand="0" w:noVBand="1"/>
      </w:tblPr>
      <w:tblGrid>
        <w:gridCol w:w="1696"/>
        <w:gridCol w:w="7364"/>
      </w:tblGrid>
      <w:tr w:rsidR="008A1191" w:rsidRPr="0007327B" w14:paraId="2A3AEB3F" w14:textId="77777777" w:rsidTr="008A1191">
        <w:trPr>
          <w:cantSplit/>
          <w:trHeight w:val="397"/>
          <w:tblHeader/>
        </w:trPr>
        <w:tc>
          <w:tcPr>
            <w:tcW w:w="1696" w:type="dxa"/>
            <w:shd w:val="clear" w:color="auto" w:fill="D9D9D9" w:themeFill="background1" w:themeFillShade="D9"/>
          </w:tcPr>
          <w:p w14:paraId="57DD0B56" w14:textId="77777777" w:rsidR="008A1191" w:rsidRPr="0007327B" w:rsidRDefault="008A1191" w:rsidP="008A4C51">
            <w:pPr>
              <w:pStyle w:val="THTableHeading"/>
              <w:jc w:val="center"/>
            </w:pPr>
            <w:r w:rsidRPr="0007327B">
              <w:t>Abbreviation</w:t>
            </w:r>
          </w:p>
        </w:tc>
        <w:tc>
          <w:tcPr>
            <w:tcW w:w="7364" w:type="dxa"/>
            <w:shd w:val="clear" w:color="auto" w:fill="D9D9D9" w:themeFill="background1" w:themeFillShade="D9"/>
          </w:tcPr>
          <w:p w14:paraId="5608CA04" w14:textId="77777777" w:rsidR="008A1191" w:rsidRPr="0007327B" w:rsidRDefault="008A1191" w:rsidP="008A4C51">
            <w:pPr>
              <w:pStyle w:val="THTableHeading"/>
              <w:jc w:val="center"/>
            </w:pPr>
            <w:r w:rsidRPr="0007327B">
              <w:t>Full Form or Description</w:t>
            </w:r>
          </w:p>
        </w:tc>
      </w:tr>
      <w:tr w:rsidR="002A03DD" w:rsidRPr="0062374C" w14:paraId="371EC97A" w14:textId="77777777" w:rsidTr="00306D95">
        <w:trPr>
          <w:trHeight w:val="397"/>
        </w:trPr>
        <w:tc>
          <w:tcPr>
            <w:tcW w:w="1696" w:type="dxa"/>
          </w:tcPr>
          <w:p w14:paraId="315FAA07" w14:textId="77777777" w:rsidR="002A03DD" w:rsidRPr="0062374C" w:rsidRDefault="002A03DD" w:rsidP="00306D95">
            <w:pPr>
              <w:pStyle w:val="TTTableText"/>
            </w:pPr>
            <w:r w:rsidRPr="0062374C">
              <w:t>AMS</w:t>
            </w:r>
          </w:p>
        </w:tc>
        <w:tc>
          <w:tcPr>
            <w:tcW w:w="7364" w:type="dxa"/>
          </w:tcPr>
          <w:p w14:paraId="3E0A95BA" w14:textId="77777777" w:rsidR="002A03DD" w:rsidRPr="0062374C" w:rsidRDefault="002A03DD" w:rsidP="00306D95">
            <w:pPr>
              <w:pStyle w:val="TTTableText"/>
            </w:pPr>
            <w:r w:rsidRPr="0062374C">
              <w:t xml:space="preserve">Aggregate Measurement of Support </w:t>
            </w:r>
          </w:p>
        </w:tc>
      </w:tr>
      <w:tr w:rsidR="002A03DD" w:rsidRPr="0062374C" w14:paraId="0B95B9D4" w14:textId="77777777" w:rsidTr="00306D95">
        <w:trPr>
          <w:trHeight w:val="397"/>
        </w:trPr>
        <w:tc>
          <w:tcPr>
            <w:tcW w:w="1696" w:type="dxa"/>
          </w:tcPr>
          <w:p w14:paraId="33241D0C" w14:textId="77777777" w:rsidR="002A03DD" w:rsidRPr="0062374C" w:rsidRDefault="002A03DD" w:rsidP="00306D95">
            <w:pPr>
              <w:pStyle w:val="TTTableText"/>
            </w:pPr>
            <w:r>
              <w:t>AAP</w:t>
            </w:r>
          </w:p>
        </w:tc>
        <w:tc>
          <w:tcPr>
            <w:tcW w:w="7364" w:type="dxa"/>
          </w:tcPr>
          <w:p w14:paraId="0B7B1307" w14:textId="77777777" w:rsidR="002A03DD" w:rsidRPr="0062374C" w:rsidRDefault="002A03DD" w:rsidP="00306D95">
            <w:pPr>
              <w:pStyle w:val="TTTableText"/>
            </w:pPr>
            <w:r>
              <w:t>Applied Administered Price</w:t>
            </w:r>
          </w:p>
        </w:tc>
      </w:tr>
      <w:tr w:rsidR="00D86897" w:rsidRPr="0062374C" w14:paraId="6E13C2A8" w14:textId="77777777" w:rsidTr="00306D95">
        <w:trPr>
          <w:trHeight w:val="397"/>
        </w:trPr>
        <w:tc>
          <w:tcPr>
            <w:tcW w:w="1696" w:type="dxa"/>
          </w:tcPr>
          <w:p w14:paraId="700BF2D2" w14:textId="3D7CF1A0" w:rsidR="00D86897" w:rsidRPr="0062374C" w:rsidRDefault="00D86897" w:rsidP="00306D95">
            <w:pPr>
              <w:pStyle w:val="TTTableText"/>
            </w:pPr>
            <w:r>
              <w:t>CIF</w:t>
            </w:r>
          </w:p>
        </w:tc>
        <w:tc>
          <w:tcPr>
            <w:tcW w:w="7364" w:type="dxa"/>
          </w:tcPr>
          <w:p w14:paraId="156F68CA" w14:textId="79436EA1" w:rsidR="00D86897" w:rsidRPr="0062374C" w:rsidRDefault="00D86897" w:rsidP="00306D95">
            <w:pPr>
              <w:pStyle w:val="TTTableText"/>
            </w:pPr>
            <w:r>
              <w:t>Cost, Insurance and Freight</w:t>
            </w:r>
          </w:p>
        </w:tc>
      </w:tr>
      <w:tr w:rsidR="002A03DD" w:rsidRPr="0062374C" w14:paraId="5415CE80" w14:textId="77777777" w:rsidTr="00306D95">
        <w:trPr>
          <w:trHeight w:val="397"/>
        </w:trPr>
        <w:tc>
          <w:tcPr>
            <w:tcW w:w="1696" w:type="dxa"/>
          </w:tcPr>
          <w:p w14:paraId="2687D666" w14:textId="77777777" w:rsidR="002A03DD" w:rsidRPr="0062374C" w:rsidRDefault="002A03DD" w:rsidP="00306D95">
            <w:pPr>
              <w:pStyle w:val="TTTableText"/>
            </w:pPr>
            <w:r w:rsidRPr="0062374C">
              <w:t>DFIA</w:t>
            </w:r>
          </w:p>
        </w:tc>
        <w:tc>
          <w:tcPr>
            <w:tcW w:w="7364" w:type="dxa"/>
          </w:tcPr>
          <w:p w14:paraId="4438DA26" w14:textId="77777777" w:rsidR="002A03DD" w:rsidRPr="0062374C" w:rsidRDefault="002A03DD" w:rsidP="00306D95">
            <w:pPr>
              <w:pStyle w:val="TTTableText"/>
            </w:pPr>
            <w:r w:rsidRPr="0062374C">
              <w:t>Duty Free Import Authorisation</w:t>
            </w:r>
          </w:p>
        </w:tc>
      </w:tr>
      <w:tr w:rsidR="00BD6EDB" w:rsidRPr="0062374C" w14:paraId="67D45571" w14:textId="77777777" w:rsidTr="00306D95">
        <w:trPr>
          <w:trHeight w:val="397"/>
        </w:trPr>
        <w:tc>
          <w:tcPr>
            <w:tcW w:w="1696" w:type="dxa"/>
          </w:tcPr>
          <w:p w14:paraId="639FF783" w14:textId="77777777" w:rsidR="00BD6EDB" w:rsidRPr="0062374C" w:rsidRDefault="00BD6EDB" w:rsidP="00306D95">
            <w:pPr>
              <w:pStyle w:val="TTTableText"/>
            </w:pPr>
            <w:r>
              <w:t>DFPD</w:t>
            </w:r>
          </w:p>
        </w:tc>
        <w:tc>
          <w:tcPr>
            <w:tcW w:w="7364" w:type="dxa"/>
          </w:tcPr>
          <w:p w14:paraId="0AE755D4" w14:textId="77777777" w:rsidR="00BD6EDB" w:rsidRPr="0062374C" w:rsidRDefault="00BD6EDB" w:rsidP="00CE15A8">
            <w:pPr>
              <w:pStyle w:val="TTTableText"/>
              <w:jc w:val="both"/>
            </w:pPr>
            <w:r>
              <w:t>Department of Food and Public Distribution</w:t>
            </w:r>
          </w:p>
        </w:tc>
      </w:tr>
      <w:tr w:rsidR="00D86897" w:rsidRPr="0062374C" w14:paraId="51311645" w14:textId="77777777" w:rsidTr="00306D95">
        <w:trPr>
          <w:trHeight w:val="397"/>
        </w:trPr>
        <w:tc>
          <w:tcPr>
            <w:tcW w:w="1696" w:type="dxa"/>
          </w:tcPr>
          <w:p w14:paraId="5F52256A" w14:textId="68C35968" w:rsidR="00D86897" w:rsidRDefault="00D86897" w:rsidP="00306D95">
            <w:pPr>
              <w:pStyle w:val="TTTableText"/>
            </w:pPr>
            <w:r>
              <w:t>EXW</w:t>
            </w:r>
          </w:p>
        </w:tc>
        <w:tc>
          <w:tcPr>
            <w:tcW w:w="7364" w:type="dxa"/>
          </w:tcPr>
          <w:p w14:paraId="6D723390" w14:textId="330E5B16" w:rsidR="00D86897" w:rsidRDefault="00D86897" w:rsidP="00306D95">
            <w:pPr>
              <w:pStyle w:val="TTTableText"/>
            </w:pPr>
            <w:r>
              <w:t>Ex Works</w:t>
            </w:r>
          </w:p>
        </w:tc>
      </w:tr>
      <w:tr w:rsidR="002A03DD" w:rsidRPr="0062374C" w14:paraId="485B9D36" w14:textId="77777777" w:rsidTr="00306D95">
        <w:trPr>
          <w:trHeight w:val="397"/>
        </w:trPr>
        <w:tc>
          <w:tcPr>
            <w:tcW w:w="1696" w:type="dxa"/>
          </w:tcPr>
          <w:p w14:paraId="2D85A2A4" w14:textId="77777777" w:rsidR="002A03DD" w:rsidRPr="0062374C" w:rsidRDefault="002A03DD" w:rsidP="00306D95">
            <w:pPr>
              <w:pStyle w:val="TTTableText"/>
            </w:pPr>
            <w:r>
              <w:t>FERP</w:t>
            </w:r>
          </w:p>
        </w:tc>
        <w:tc>
          <w:tcPr>
            <w:tcW w:w="7364" w:type="dxa"/>
          </w:tcPr>
          <w:p w14:paraId="7ABD39B4" w14:textId="77777777" w:rsidR="002A03DD" w:rsidRPr="0062374C" w:rsidRDefault="002A03DD" w:rsidP="00306D95">
            <w:pPr>
              <w:pStyle w:val="TTTableText"/>
            </w:pPr>
            <w:r>
              <w:t>Fixed External Reference Price</w:t>
            </w:r>
          </w:p>
        </w:tc>
      </w:tr>
      <w:tr w:rsidR="00D86897" w:rsidRPr="0062374C" w14:paraId="1B0EC8B2" w14:textId="77777777" w:rsidTr="00306D95">
        <w:trPr>
          <w:trHeight w:val="397"/>
        </w:trPr>
        <w:tc>
          <w:tcPr>
            <w:tcW w:w="1696" w:type="dxa"/>
          </w:tcPr>
          <w:p w14:paraId="362B9860" w14:textId="5A043309" w:rsidR="00D86897" w:rsidRDefault="00D86897" w:rsidP="00306D95">
            <w:pPr>
              <w:pStyle w:val="TTTableText"/>
            </w:pPr>
            <w:r>
              <w:t>FOB</w:t>
            </w:r>
          </w:p>
        </w:tc>
        <w:tc>
          <w:tcPr>
            <w:tcW w:w="7364" w:type="dxa"/>
          </w:tcPr>
          <w:p w14:paraId="41815E63" w14:textId="53151A8D" w:rsidR="00D86897" w:rsidRDefault="00D86897" w:rsidP="00306D95">
            <w:pPr>
              <w:pStyle w:val="TTTableText"/>
            </w:pPr>
            <w:r>
              <w:t>Free on Board</w:t>
            </w:r>
          </w:p>
        </w:tc>
      </w:tr>
      <w:tr w:rsidR="002A03DD" w:rsidRPr="0062374C" w14:paraId="58C41F91" w14:textId="77777777" w:rsidTr="00306D95">
        <w:trPr>
          <w:trHeight w:val="397"/>
        </w:trPr>
        <w:tc>
          <w:tcPr>
            <w:tcW w:w="1696" w:type="dxa"/>
          </w:tcPr>
          <w:p w14:paraId="7DAAECF7" w14:textId="77777777" w:rsidR="002A03DD" w:rsidRPr="0062374C" w:rsidRDefault="002A03DD" w:rsidP="00306D95">
            <w:pPr>
              <w:pStyle w:val="TTTableText"/>
            </w:pPr>
            <w:r>
              <w:t>FRP</w:t>
            </w:r>
          </w:p>
        </w:tc>
        <w:tc>
          <w:tcPr>
            <w:tcW w:w="7364" w:type="dxa"/>
          </w:tcPr>
          <w:p w14:paraId="2151C375" w14:textId="77777777" w:rsidR="002A03DD" w:rsidRPr="0062374C" w:rsidRDefault="002A03DD" w:rsidP="00306D95">
            <w:pPr>
              <w:pStyle w:val="TTTableText"/>
            </w:pPr>
            <w:r>
              <w:t>Fair and Remunerative Price</w:t>
            </w:r>
          </w:p>
        </w:tc>
      </w:tr>
      <w:tr w:rsidR="002A03DD" w:rsidRPr="0062374C" w14:paraId="53CB54A4" w14:textId="77777777" w:rsidTr="00306D95">
        <w:trPr>
          <w:trHeight w:val="397"/>
        </w:trPr>
        <w:tc>
          <w:tcPr>
            <w:tcW w:w="1696" w:type="dxa"/>
          </w:tcPr>
          <w:p w14:paraId="76FBE320" w14:textId="77777777" w:rsidR="002A03DD" w:rsidRDefault="002A03DD" w:rsidP="00306D95">
            <w:pPr>
              <w:pStyle w:val="TTTableText"/>
            </w:pPr>
            <w:r>
              <w:t>GATT 1994</w:t>
            </w:r>
          </w:p>
        </w:tc>
        <w:tc>
          <w:tcPr>
            <w:tcW w:w="7364" w:type="dxa"/>
          </w:tcPr>
          <w:p w14:paraId="38454095" w14:textId="77777777" w:rsidR="002A03DD" w:rsidRDefault="002A03DD" w:rsidP="00306D95">
            <w:pPr>
              <w:pStyle w:val="TTTableText"/>
            </w:pPr>
            <w:r>
              <w:t>General Agreement on Tariffs and Trade 1994</w:t>
            </w:r>
          </w:p>
        </w:tc>
      </w:tr>
      <w:tr w:rsidR="00D86897" w:rsidRPr="0062374C" w14:paraId="4EDC9023" w14:textId="77777777" w:rsidTr="00306D95">
        <w:trPr>
          <w:trHeight w:val="397"/>
        </w:trPr>
        <w:tc>
          <w:tcPr>
            <w:tcW w:w="1696" w:type="dxa"/>
          </w:tcPr>
          <w:p w14:paraId="716F194C" w14:textId="7ABA0036" w:rsidR="00D86897" w:rsidRDefault="00D86897" w:rsidP="00306D95">
            <w:pPr>
              <w:pStyle w:val="TTTableText"/>
            </w:pPr>
            <w:r>
              <w:t>ICC</w:t>
            </w:r>
          </w:p>
        </w:tc>
        <w:tc>
          <w:tcPr>
            <w:tcW w:w="7364" w:type="dxa"/>
          </w:tcPr>
          <w:p w14:paraId="4E2A7BCF" w14:textId="3A704A43" w:rsidR="00D86897" w:rsidRDefault="00D86897" w:rsidP="00306D95">
            <w:pPr>
              <w:pStyle w:val="TTTableText"/>
            </w:pPr>
            <w:r>
              <w:t>International Chamber of Commerce</w:t>
            </w:r>
          </w:p>
        </w:tc>
      </w:tr>
      <w:tr w:rsidR="002A03DD" w:rsidRPr="0062374C" w14:paraId="4FB63CE9" w14:textId="77777777" w:rsidTr="00306D95">
        <w:trPr>
          <w:trHeight w:val="397"/>
        </w:trPr>
        <w:tc>
          <w:tcPr>
            <w:tcW w:w="1696" w:type="dxa"/>
          </w:tcPr>
          <w:p w14:paraId="3A7B007A" w14:textId="77777777" w:rsidR="002A03DD" w:rsidRDefault="002A03DD" w:rsidP="00306D95">
            <w:pPr>
              <w:pStyle w:val="TTTableText"/>
            </w:pPr>
            <w:r>
              <w:t>MAEQ</w:t>
            </w:r>
          </w:p>
        </w:tc>
        <w:tc>
          <w:tcPr>
            <w:tcW w:w="7364" w:type="dxa"/>
          </w:tcPr>
          <w:p w14:paraId="1BCE2D8D" w14:textId="77777777" w:rsidR="002A03DD" w:rsidRDefault="002A03DD" w:rsidP="00306D95">
            <w:pPr>
              <w:pStyle w:val="TTTableText"/>
            </w:pPr>
            <w:r>
              <w:t>Maximum Admissible Export Quantities</w:t>
            </w:r>
          </w:p>
        </w:tc>
      </w:tr>
      <w:tr w:rsidR="00695BE2" w:rsidRPr="0062374C" w14:paraId="286CC7D4" w14:textId="77777777" w:rsidTr="00306D95">
        <w:trPr>
          <w:trHeight w:val="397"/>
        </w:trPr>
        <w:tc>
          <w:tcPr>
            <w:tcW w:w="1696" w:type="dxa"/>
          </w:tcPr>
          <w:p w14:paraId="5F0659E4" w14:textId="443B8C46" w:rsidR="00695BE2" w:rsidRDefault="00695BE2" w:rsidP="00306D95">
            <w:pPr>
              <w:pStyle w:val="TTTableText"/>
            </w:pPr>
            <w:r>
              <w:t>MIEQ</w:t>
            </w:r>
          </w:p>
        </w:tc>
        <w:tc>
          <w:tcPr>
            <w:tcW w:w="7364" w:type="dxa"/>
          </w:tcPr>
          <w:p w14:paraId="11B35912" w14:textId="25997333" w:rsidR="00695BE2" w:rsidRDefault="00695BE2" w:rsidP="00306D95">
            <w:pPr>
              <w:pStyle w:val="TTTableText"/>
            </w:pPr>
            <w:r>
              <w:t>Minimum Indicative Export Quota</w:t>
            </w:r>
          </w:p>
        </w:tc>
      </w:tr>
      <w:tr w:rsidR="00313AD2" w:rsidRPr="0062374C" w14:paraId="6378B7F8" w14:textId="77777777" w:rsidTr="00306D95">
        <w:trPr>
          <w:trHeight w:val="397"/>
        </w:trPr>
        <w:tc>
          <w:tcPr>
            <w:tcW w:w="1696" w:type="dxa"/>
          </w:tcPr>
          <w:p w14:paraId="19DD6AD1" w14:textId="77777777" w:rsidR="00313AD2" w:rsidRDefault="00313AD2" w:rsidP="00306D95">
            <w:pPr>
              <w:pStyle w:val="TTTableText"/>
            </w:pPr>
            <w:r>
              <w:t xml:space="preserve">MPS </w:t>
            </w:r>
          </w:p>
        </w:tc>
        <w:tc>
          <w:tcPr>
            <w:tcW w:w="7364" w:type="dxa"/>
          </w:tcPr>
          <w:p w14:paraId="5E57A599" w14:textId="7902B71D" w:rsidR="00313AD2" w:rsidRDefault="00F07703" w:rsidP="00306D95">
            <w:pPr>
              <w:pStyle w:val="TTTableText"/>
            </w:pPr>
            <w:r>
              <w:t>M</w:t>
            </w:r>
            <w:r w:rsidR="00313AD2">
              <w:t xml:space="preserve">arket </w:t>
            </w:r>
            <w:r>
              <w:t>P</w:t>
            </w:r>
            <w:r w:rsidR="00313AD2">
              <w:t xml:space="preserve">rice </w:t>
            </w:r>
            <w:r>
              <w:t>S</w:t>
            </w:r>
            <w:r w:rsidR="00313AD2">
              <w:t>upport</w:t>
            </w:r>
          </w:p>
        </w:tc>
      </w:tr>
      <w:tr w:rsidR="00BD6EDB" w:rsidRPr="0062374C" w14:paraId="14D7547F" w14:textId="77777777" w:rsidTr="00306D95">
        <w:trPr>
          <w:trHeight w:val="397"/>
        </w:trPr>
        <w:tc>
          <w:tcPr>
            <w:tcW w:w="1696" w:type="dxa"/>
          </w:tcPr>
          <w:p w14:paraId="293699AF" w14:textId="77777777" w:rsidR="00BD6EDB" w:rsidRDefault="00BD6EDB" w:rsidP="00306D95">
            <w:pPr>
              <w:pStyle w:val="TTTableText"/>
            </w:pPr>
            <w:r>
              <w:t>mT</w:t>
            </w:r>
          </w:p>
        </w:tc>
        <w:tc>
          <w:tcPr>
            <w:tcW w:w="7364" w:type="dxa"/>
          </w:tcPr>
          <w:p w14:paraId="2EB29A54" w14:textId="77777777" w:rsidR="00BD6EDB" w:rsidRDefault="00BD6EDB" w:rsidP="00306D95">
            <w:pPr>
              <w:pStyle w:val="TTTableText"/>
            </w:pPr>
            <w:r>
              <w:t>metric tonne</w:t>
            </w:r>
          </w:p>
        </w:tc>
      </w:tr>
      <w:tr w:rsidR="002A03DD" w:rsidRPr="0062374C" w14:paraId="761449DD" w14:textId="77777777" w:rsidTr="00306D95">
        <w:trPr>
          <w:trHeight w:val="397"/>
        </w:trPr>
        <w:tc>
          <w:tcPr>
            <w:tcW w:w="1696" w:type="dxa"/>
          </w:tcPr>
          <w:p w14:paraId="23D146A8" w14:textId="77777777" w:rsidR="002A03DD" w:rsidRDefault="002A03DD" w:rsidP="00306D95">
            <w:pPr>
              <w:pStyle w:val="TTTableText"/>
            </w:pPr>
            <w:r>
              <w:t>SAP</w:t>
            </w:r>
          </w:p>
        </w:tc>
        <w:tc>
          <w:tcPr>
            <w:tcW w:w="7364" w:type="dxa"/>
          </w:tcPr>
          <w:p w14:paraId="2E906F8D" w14:textId="77777777" w:rsidR="002A03DD" w:rsidRDefault="002A03DD" w:rsidP="00306D95">
            <w:pPr>
              <w:pStyle w:val="TTTableText"/>
            </w:pPr>
            <w:r>
              <w:t>State Advised Price</w:t>
            </w:r>
          </w:p>
        </w:tc>
      </w:tr>
      <w:tr w:rsidR="002A03DD" w:rsidRPr="0062374C" w14:paraId="6013764C" w14:textId="77777777" w:rsidTr="00306D95">
        <w:trPr>
          <w:trHeight w:val="397"/>
        </w:trPr>
        <w:tc>
          <w:tcPr>
            <w:tcW w:w="1696" w:type="dxa"/>
          </w:tcPr>
          <w:p w14:paraId="036294BB" w14:textId="77777777" w:rsidR="002A03DD" w:rsidRPr="0062374C" w:rsidRDefault="002A03DD" w:rsidP="00306D95">
            <w:pPr>
              <w:pStyle w:val="TTTableText"/>
            </w:pPr>
            <w:r w:rsidRPr="0062374C">
              <w:t>SCM Agreement</w:t>
            </w:r>
          </w:p>
        </w:tc>
        <w:tc>
          <w:tcPr>
            <w:tcW w:w="7364" w:type="dxa"/>
          </w:tcPr>
          <w:p w14:paraId="77F07DB5" w14:textId="77777777" w:rsidR="002A03DD" w:rsidRPr="0062374C" w:rsidRDefault="002A03DD" w:rsidP="00306D95">
            <w:pPr>
              <w:pStyle w:val="TTTableText"/>
            </w:pPr>
            <w:r w:rsidRPr="0062374C">
              <w:t>Agreement on Subsidies and Countervailing Measures</w:t>
            </w:r>
          </w:p>
        </w:tc>
      </w:tr>
      <w:tr w:rsidR="00BF60BD" w:rsidRPr="0062374C" w14:paraId="7ED021AD" w14:textId="77777777" w:rsidTr="00306D95">
        <w:trPr>
          <w:trHeight w:val="397"/>
        </w:trPr>
        <w:tc>
          <w:tcPr>
            <w:tcW w:w="1696" w:type="dxa"/>
          </w:tcPr>
          <w:p w14:paraId="65AE3107" w14:textId="77777777" w:rsidR="00BF60BD" w:rsidRPr="0062374C" w:rsidRDefault="00BF60BD" w:rsidP="00306D95">
            <w:pPr>
              <w:pStyle w:val="TTTableText"/>
            </w:pPr>
            <w:r>
              <w:t>Vienna Convention</w:t>
            </w:r>
          </w:p>
        </w:tc>
        <w:tc>
          <w:tcPr>
            <w:tcW w:w="7364" w:type="dxa"/>
          </w:tcPr>
          <w:p w14:paraId="669BB734" w14:textId="77777777" w:rsidR="00BF60BD" w:rsidRPr="0062374C" w:rsidRDefault="00BF60BD" w:rsidP="00306D95">
            <w:pPr>
              <w:pStyle w:val="TTTableText"/>
            </w:pPr>
            <w:r>
              <w:t>Vienna Convention on the Law of Treaties</w:t>
            </w:r>
          </w:p>
        </w:tc>
      </w:tr>
      <w:tr w:rsidR="00DA5D6C" w:rsidRPr="0062374C" w14:paraId="08EBAC3E" w14:textId="77777777" w:rsidTr="00306D95">
        <w:trPr>
          <w:trHeight w:val="397"/>
        </w:trPr>
        <w:tc>
          <w:tcPr>
            <w:tcW w:w="1696" w:type="dxa"/>
          </w:tcPr>
          <w:p w14:paraId="3C9E126E" w14:textId="0A3B3F0A" w:rsidR="00DA5D6C" w:rsidRDefault="00DA5D6C" w:rsidP="00306D95">
            <w:pPr>
              <w:pStyle w:val="TTTableText"/>
            </w:pPr>
            <w:r>
              <w:t>WTO</w:t>
            </w:r>
          </w:p>
        </w:tc>
        <w:tc>
          <w:tcPr>
            <w:tcW w:w="7364" w:type="dxa"/>
          </w:tcPr>
          <w:p w14:paraId="1735E054" w14:textId="7CD852CA" w:rsidR="00DA5D6C" w:rsidRDefault="00DA5D6C" w:rsidP="00306D95">
            <w:pPr>
              <w:pStyle w:val="TTTableText"/>
            </w:pPr>
            <w:r>
              <w:t>World Trade Organization</w:t>
            </w:r>
          </w:p>
        </w:tc>
      </w:tr>
    </w:tbl>
    <w:p w14:paraId="11A8D73F" w14:textId="77777777" w:rsidR="004D7079" w:rsidRPr="0007327B" w:rsidRDefault="004D7079" w:rsidP="004D7079">
      <w:pPr>
        <w:pStyle w:val="BTNSSBodyTextNoSpacingSmall"/>
      </w:pPr>
    </w:p>
    <w:p w14:paraId="00D4360C" w14:textId="77777777" w:rsidR="000F3086" w:rsidRDefault="000F3086">
      <w:pPr>
        <w:rPr>
          <w:rFonts w:eastAsiaTheme="majorEastAsia" w:cstheme="majorBidi"/>
          <w:b/>
          <w:caps/>
          <w:szCs w:val="32"/>
        </w:rPr>
      </w:pPr>
      <w:r>
        <w:br w:type="page"/>
      </w:r>
    </w:p>
    <w:p w14:paraId="155646DC" w14:textId="382700C5" w:rsidR="008A1191" w:rsidRPr="0007327B" w:rsidRDefault="00800159" w:rsidP="00800159">
      <w:pPr>
        <w:pStyle w:val="SHSectionHeading"/>
      </w:pPr>
      <w:bookmarkStart w:id="2" w:name="_Toc63966809"/>
      <w:r w:rsidRPr="0007327B">
        <w:t xml:space="preserve">List of </w:t>
      </w:r>
      <w:r w:rsidR="002A03DD">
        <w:t xml:space="preserve">JOINT </w:t>
      </w:r>
      <w:r w:rsidRPr="0007327B">
        <w:t>Exhibits</w:t>
      </w:r>
      <w:bookmarkEnd w:id="2"/>
    </w:p>
    <w:tbl>
      <w:tblPr>
        <w:tblStyle w:val="TableGrid"/>
        <w:tblW w:w="5000" w:type="pct"/>
        <w:tblLook w:val="04A0" w:firstRow="1" w:lastRow="0" w:firstColumn="1" w:lastColumn="0" w:noHBand="0" w:noVBand="1"/>
      </w:tblPr>
      <w:tblGrid>
        <w:gridCol w:w="1555"/>
        <w:gridCol w:w="7505"/>
      </w:tblGrid>
      <w:tr w:rsidR="007708E2" w:rsidRPr="0007327B" w14:paraId="01D374B3" w14:textId="77777777" w:rsidTr="007708E2">
        <w:trPr>
          <w:cantSplit/>
          <w:trHeight w:val="397"/>
          <w:tblHeader/>
        </w:trPr>
        <w:tc>
          <w:tcPr>
            <w:tcW w:w="1555" w:type="dxa"/>
            <w:shd w:val="clear" w:color="auto" w:fill="D9D9D9" w:themeFill="background1" w:themeFillShade="D9"/>
          </w:tcPr>
          <w:p w14:paraId="29E91787" w14:textId="77777777" w:rsidR="002A03DD" w:rsidRPr="0007327B" w:rsidRDefault="002A03DD" w:rsidP="00800159">
            <w:pPr>
              <w:pStyle w:val="THTableHeading"/>
              <w:jc w:val="center"/>
            </w:pPr>
            <w:r w:rsidRPr="0007327B">
              <w:t>Exhibit No.</w:t>
            </w:r>
          </w:p>
        </w:tc>
        <w:tc>
          <w:tcPr>
            <w:tcW w:w="7505" w:type="dxa"/>
            <w:shd w:val="clear" w:color="auto" w:fill="D9D9D9" w:themeFill="background1" w:themeFillShade="D9"/>
          </w:tcPr>
          <w:p w14:paraId="6E3852F5" w14:textId="77777777" w:rsidR="002A03DD" w:rsidRPr="0007327B" w:rsidRDefault="002A03DD" w:rsidP="00800159">
            <w:pPr>
              <w:pStyle w:val="THTableHeading"/>
              <w:jc w:val="center"/>
            </w:pPr>
            <w:r w:rsidRPr="0007327B">
              <w:t>Exhibit Name</w:t>
            </w:r>
          </w:p>
        </w:tc>
      </w:tr>
      <w:tr w:rsidR="007708E2" w:rsidRPr="0007327B" w14:paraId="7026EEC6" w14:textId="77777777" w:rsidTr="007708E2">
        <w:trPr>
          <w:cantSplit/>
          <w:trHeight w:val="397"/>
        </w:trPr>
        <w:tc>
          <w:tcPr>
            <w:tcW w:w="1555" w:type="dxa"/>
          </w:tcPr>
          <w:p w14:paraId="28309586" w14:textId="04791B82" w:rsidR="002A03DD" w:rsidRPr="0007327B" w:rsidRDefault="00A30823" w:rsidP="008A4C51">
            <w:pPr>
              <w:pStyle w:val="TTTableText"/>
            </w:pPr>
            <w:r>
              <w:t xml:space="preserve">JE-154 </w:t>
            </w:r>
          </w:p>
        </w:tc>
        <w:tc>
          <w:tcPr>
            <w:tcW w:w="7505" w:type="dxa"/>
          </w:tcPr>
          <w:p w14:paraId="6AE50CBF" w14:textId="7837D382" w:rsidR="002A03DD" w:rsidRPr="0007327B" w:rsidRDefault="00A30823" w:rsidP="008A4C51">
            <w:pPr>
              <w:pStyle w:val="TTTableText"/>
            </w:pPr>
            <w:r>
              <w:t>Chairman</w:t>
            </w:r>
            <w:r w:rsidR="00F07703">
              <w:t>'</w:t>
            </w:r>
            <w:r>
              <w:t>s note on options in the agricultural negotiations, MTN.GNG/AG/W/1, 24 June 1991</w:t>
            </w:r>
          </w:p>
        </w:tc>
      </w:tr>
      <w:tr w:rsidR="007708E2" w:rsidRPr="0007327B" w14:paraId="7804FBFC" w14:textId="77777777" w:rsidTr="007708E2">
        <w:trPr>
          <w:cantSplit/>
          <w:trHeight w:val="397"/>
        </w:trPr>
        <w:tc>
          <w:tcPr>
            <w:tcW w:w="1555" w:type="dxa"/>
          </w:tcPr>
          <w:p w14:paraId="0B0C4DF2" w14:textId="7BBC17F6" w:rsidR="00163785" w:rsidRDefault="00163785" w:rsidP="008A4C51">
            <w:pPr>
              <w:pStyle w:val="TTTableText"/>
            </w:pPr>
            <w:r>
              <w:t>JE-155</w:t>
            </w:r>
          </w:p>
        </w:tc>
        <w:tc>
          <w:tcPr>
            <w:tcW w:w="7505" w:type="dxa"/>
          </w:tcPr>
          <w:p w14:paraId="72170418" w14:textId="512C17AC" w:rsidR="00163785" w:rsidRDefault="00163785" w:rsidP="008A4C51">
            <w:pPr>
              <w:pStyle w:val="TTTableText"/>
            </w:pPr>
            <w:r>
              <w:t xml:space="preserve">Oxford English Dictionary, OED Online, </w:t>
            </w:r>
            <w:r w:rsidR="00F07703">
              <w:t>"</w:t>
            </w:r>
            <w:r>
              <w:t>both, pron., adv., and adj.</w:t>
            </w:r>
            <w:r w:rsidR="00F07703">
              <w:t>"</w:t>
            </w:r>
          </w:p>
        </w:tc>
      </w:tr>
      <w:tr w:rsidR="007708E2" w:rsidRPr="0007327B" w14:paraId="6B74E099" w14:textId="77777777" w:rsidTr="007708E2">
        <w:trPr>
          <w:cantSplit/>
          <w:trHeight w:val="397"/>
        </w:trPr>
        <w:tc>
          <w:tcPr>
            <w:tcW w:w="1555" w:type="dxa"/>
          </w:tcPr>
          <w:p w14:paraId="343EF82F" w14:textId="3AA308BF" w:rsidR="00A30823" w:rsidRDefault="00163785" w:rsidP="008A4C51">
            <w:pPr>
              <w:pStyle w:val="TTTableText"/>
            </w:pPr>
            <w:r>
              <w:t>JE-156</w:t>
            </w:r>
          </w:p>
        </w:tc>
        <w:tc>
          <w:tcPr>
            <w:tcW w:w="7505" w:type="dxa"/>
          </w:tcPr>
          <w:p w14:paraId="6EC3DFFD" w14:textId="2394F58E" w:rsidR="00A30823" w:rsidRDefault="00163785" w:rsidP="008A4C51">
            <w:pPr>
              <w:pStyle w:val="TTTableText"/>
            </w:pPr>
            <w:r>
              <w:t>Chairman</w:t>
            </w:r>
            <w:r w:rsidR="00F07703">
              <w:t>'</w:t>
            </w:r>
            <w:r>
              <w:t>s note on options in the agricultural negotiations, MTN.GNG/AG/W/1/Add.4</w:t>
            </w:r>
          </w:p>
        </w:tc>
      </w:tr>
      <w:tr w:rsidR="007708E2" w:rsidRPr="0007327B" w14:paraId="2E58FDB8" w14:textId="77777777" w:rsidTr="007708E2">
        <w:trPr>
          <w:cantSplit/>
          <w:trHeight w:val="397"/>
        </w:trPr>
        <w:tc>
          <w:tcPr>
            <w:tcW w:w="1555" w:type="dxa"/>
          </w:tcPr>
          <w:p w14:paraId="39E5EFED" w14:textId="5BADF49B" w:rsidR="00A30823" w:rsidRDefault="00163785" w:rsidP="008A4C51">
            <w:pPr>
              <w:pStyle w:val="TTTableText"/>
            </w:pPr>
            <w:r>
              <w:t>JE-157</w:t>
            </w:r>
          </w:p>
        </w:tc>
        <w:tc>
          <w:tcPr>
            <w:tcW w:w="7505" w:type="dxa"/>
          </w:tcPr>
          <w:p w14:paraId="45321B95" w14:textId="01090A66" w:rsidR="00A30823" w:rsidRDefault="00163785" w:rsidP="008A4C51">
            <w:pPr>
              <w:pStyle w:val="TTTableText"/>
            </w:pPr>
            <w:r>
              <w:t>Balrampur Chini Mills Limited Annual Report 2019</w:t>
            </w:r>
            <w:r w:rsidR="007708E2">
              <w:t>–</w:t>
            </w:r>
            <w:r>
              <w:t>20</w:t>
            </w:r>
          </w:p>
        </w:tc>
      </w:tr>
      <w:tr w:rsidR="007708E2" w:rsidRPr="0007327B" w14:paraId="55CEBF1B" w14:textId="77777777" w:rsidTr="007708E2">
        <w:trPr>
          <w:cantSplit/>
          <w:trHeight w:val="397"/>
        </w:trPr>
        <w:tc>
          <w:tcPr>
            <w:tcW w:w="1555" w:type="dxa"/>
          </w:tcPr>
          <w:p w14:paraId="67E1E5BF" w14:textId="0B0A92CE" w:rsidR="00A30823" w:rsidRDefault="00163785" w:rsidP="008A4C51">
            <w:pPr>
              <w:pStyle w:val="TTTableText"/>
            </w:pPr>
            <w:r>
              <w:t>JE-158</w:t>
            </w:r>
          </w:p>
        </w:tc>
        <w:tc>
          <w:tcPr>
            <w:tcW w:w="7505" w:type="dxa"/>
          </w:tcPr>
          <w:p w14:paraId="6037C007" w14:textId="3950827D" w:rsidR="00A30823" w:rsidRDefault="00163785" w:rsidP="008A4C51">
            <w:pPr>
              <w:pStyle w:val="TTTableText"/>
            </w:pPr>
            <w:r>
              <w:t>Avadh Sugar &amp; Energy Limited Annual Report 2019</w:t>
            </w:r>
            <w:r w:rsidR="007708E2">
              <w:t>–</w:t>
            </w:r>
            <w:r>
              <w:t>20</w:t>
            </w:r>
          </w:p>
        </w:tc>
      </w:tr>
      <w:tr w:rsidR="007708E2" w:rsidRPr="0007327B" w14:paraId="13895AFC" w14:textId="77777777" w:rsidTr="007708E2">
        <w:trPr>
          <w:cantSplit/>
          <w:trHeight w:val="397"/>
        </w:trPr>
        <w:tc>
          <w:tcPr>
            <w:tcW w:w="1555" w:type="dxa"/>
          </w:tcPr>
          <w:p w14:paraId="6B336617" w14:textId="62EBE674" w:rsidR="00A30823" w:rsidRDefault="00163785" w:rsidP="008A4C51">
            <w:pPr>
              <w:pStyle w:val="TTTableText"/>
            </w:pPr>
            <w:r>
              <w:t>JE-159</w:t>
            </w:r>
          </w:p>
        </w:tc>
        <w:tc>
          <w:tcPr>
            <w:tcW w:w="7505" w:type="dxa"/>
          </w:tcPr>
          <w:p w14:paraId="2DE05E2B" w14:textId="048EA544" w:rsidR="00A30823" w:rsidRDefault="00163785" w:rsidP="008A4C51">
            <w:pPr>
              <w:pStyle w:val="TTTableText"/>
            </w:pPr>
            <w:r>
              <w:t>International Chamber of Commerce (ICC), Incoterms Rules, Rules for any mode or modes of transport</w:t>
            </w:r>
          </w:p>
        </w:tc>
      </w:tr>
      <w:tr w:rsidR="007708E2" w:rsidRPr="0007327B" w14:paraId="41BF6F42" w14:textId="77777777" w:rsidTr="007708E2">
        <w:trPr>
          <w:cantSplit/>
          <w:trHeight w:val="397"/>
        </w:trPr>
        <w:tc>
          <w:tcPr>
            <w:tcW w:w="1555" w:type="dxa"/>
          </w:tcPr>
          <w:p w14:paraId="5BAB2F42" w14:textId="725E802F" w:rsidR="00A30823" w:rsidRDefault="00163785" w:rsidP="008A4C51">
            <w:pPr>
              <w:pStyle w:val="TTTableText"/>
            </w:pPr>
            <w:r>
              <w:t>JE-160</w:t>
            </w:r>
          </w:p>
        </w:tc>
        <w:tc>
          <w:tcPr>
            <w:tcW w:w="7505" w:type="dxa"/>
          </w:tcPr>
          <w:p w14:paraId="5140E5DF" w14:textId="2C017ABE" w:rsidR="00A30823" w:rsidRDefault="00163785" w:rsidP="008A4C51">
            <w:pPr>
              <w:pStyle w:val="TTTableText"/>
            </w:pPr>
            <w:r>
              <w:t>Tender Notice for Export of Sugar (Jawahar S.S.S.K. Ltd)</w:t>
            </w:r>
          </w:p>
        </w:tc>
      </w:tr>
      <w:tr w:rsidR="007708E2" w:rsidRPr="0007327B" w14:paraId="0C1DA5A2" w14:textId="77777777" w:rsidTr="007708E2">
        <w:trPr>
          <w:cantSplit/>
          <w:trHeight w:val="397"/>
        </w:trPr>
        <w:tc>
          <w:tcPr>
            <w:tcW w:w="1555" w:type="dxa"/>
          </w:tcPr>
          <w:p w14:paraId="4A3E6AD3" w14:textId="67B76214" w:rsidR="00A30823" w:rsidRDefault="00163785" w:rsidP="008A4C51">
            <w:pPr>
              <w:pStyle w:val="TTTableText"/>
            </w:pPr>
            <w:r>
              <w:t>JE-161</w:t>
            </w:r>
          </w:p>
        </w:tc>
        <w:tc>
          <w:tcPr>
            <w:tcW w:w="7505" w:type="dxa"/>
          </w:tcPr>
          <w:p w14:paraId="57950CEC" w14:textId="670CE6CE" w:rsidR="00A30823" w:rsidRDefault="00163785" w:rsidP="008A4C51">
            <w:pPr>
              <w:pStyle w:val="TTTableText"/>
            </w:pPr>
            <w:r w:rsidRPr="00953018">
              <w:t>Tender Notice for Sale of Raw Sugar or White Sugar for Export (Shree Datta S.S.S.K. Ltd)</w:t>
            </w:r>
          </w:p>
        </w:tc>
      </w:tr>
      <w:tr w:rsidR="007708E2" w:rsidRPr="0007327B" w14:paraId="735490BE" w14:textId="77777777" w:rsidTr="007708E2">
        <w:trPr>
          <w:cantSplit/>
          <w:trHeight w:val="397"/>
        </w:trPr>
        <w:tc>
          <w:tcPr>
            <w:tcW w:w="1555" w:type="dxa"/>
          </w:tcPr>
          <w:p w14:paraId="2B80F0D2" w14:textId="45C6A9E8" w:rsidR="00A30823" w:rsidRDefault="00163785" w:rsidP="008A4C51">
            <w:pPr>
              <w:pStyle w:val="TTTableText"/>
            </w:pPr>
            <w:r>
              <w:t>JE-162</w:t>
            </w:r>
          </w:p>
        </w:tc>
        <w:tc>
          <w:tcPr>
            <w:tcW w:w="7505" w:type="dxa"/>
          </w:tcPr>
          <w:p w14:paraId="0CA36489" w14:textId="1911D3D7" w:rsidR="00A30823" w:rsidRDefault="00163785" w:rsidP="008A4C51">
            <w:pPr>
              <w:pStyle w:val="TTTableText"/>
            </w:pPr>
            <w:r>
              <w:t>HPCL Biofuels Ltd Sugar Export Contracts Specifications</w:t>
            </w:r>
          </w:p>
        </w:tc>
      </w:tr>
      <w:tr w:rsidR="007708E2" w:rsidRPr="0007327B" w14:paraId="2BA0A565" w14:textId="77777777" w:rsidTr="007708E2">
        <w:trPr>
          <w:cantSplit/>
          <w:trHeight w:val="397"/>
        </w:trPr>
        <w:tc>
          <w:tcPr>
            <w:tcW w:w="1555" w:type="dxa"/>
          </w:tcPr>
          <w:p w14:paraId="585B095A" w14:textId="0B6AD6BE" w:rsidR="00A30823" w:rsidRDefault="00163785" w:rsidP="008A4C51">
            <w:pPr>
              <w:pStyle w:val="TTTableText"/>
            </w:pPr>
            <w:r>
              <w:t>JE-163</w:t>
            </w:r>
          </w:p>
        </w:tc>
        <w:tc>
          <w:tcPr>
            <w:tcW w:w="7505" w:type="dxa"/>
          </w:tcPr>
          <w:p w14:paraId="3782AFD7" w14:textId="3A194E76" w:rsidR="00A30823" w:rsidRDefault="00163785" w:rsidP="008A4C51">
            <w:pPr>
              <w:pStyle w:val="TTTableText"/>
            </w:pPr>
            <w:r>
              <w:t xml:space="preserve">Reuters, </w:t>
            </w:r>
            <w:r w:rsidR="00F07703">
              <w:t>"</w:t>
            </w:r>
            <w:r>
              <w:t>Indian sugar mills clinch export deals as prices jump – industry</w:t>
            </w:r>
            <w:r w:rsidR="00F07703">
              <w:t>"</w:t>
            </w:r>
            <w:r>
              <w:t>, 7 January 2021</w:t>
            </w:r>
          </w:p>
        </w:tc>
      </w:tr>
      <w:tr w:rsidR="007708E2" w:rsidRPr="0007327B" w14:paraId="120A6613" w14:textId="77777777" w:rsidTr="007708E2">
        <w:trPr>
          <w:cantSplit/>
          <w:trHeight w:val="397"/>
        </w:trPr>
        <w:tc>
          <w:tcPr>
            <w:tcW w:w="1555" w:type="dxa"/>
          </w:tcPr>
          <w:p w14:paraId="71091EAB" w14:textId="2167C068" w:rsidR="00A30823" w:rsidRDefault="00163785" w:rsidP="008A4C51">
            <w:pPr>
              <w:pStyle w:val="TTTableText"/>
            </w:pPr>
            <w:r>
              <w:t>JE-164</w:t>
            </w:r>
          </w:p>
        </w:tc>
        <w:tc>
          <w:tcPr>
            <w:tcW w:w="7505" w:type="dxa"/>
          </w:tcPr>
          <w:p w14:paraId="05EA8C06" w14:textId="7B931B0B" w:rsidR="00A30823" w:rsidRDefault="00163785" w:rsidP="008A4C51">
            <w:pPr>
              <w:pStyle w:val="TTTableText"/>
            </w:pPr>
            <w:r>
              <w:t xml:space="preserve">Reuters, </w:t>
            </w:r>
            <w:r w:rsidR="00F07703">
              <w:t>"</w:t>
            </w:r>
            <w:r>
              <w:t>Indian sugar exports poised to hit record 5 million tonnes this year</w:t>
            </w:r>
            <w:r w:rsidR="00F07703">
              <w:t>"</w:t>
            </w:r>
            <w:r>
              <w:t>, 17 December 2019</w:t>
            </w:r>
          </w:p>
        </w:tc>
      </w:tr>
      <w:tr w:rsidR="007708E2" w:rsidRPr="0007327B" w14:paraId="26B955FF" w14:textId="77777777" w:rsidTr="007708E2">
        <w:trPr>
          <w:cantSplit/>
          <w:trHeight w:val="397"/>
        </w:trPr>
        <w:tc>
          <w:tcPr>
            <w:tcW w:w="1555" w:type="dxa"/>
          </w:tcPr>
          <w:p w14:paraId="676AFD10" w14:textId="725F03FB" w:rsidR="00A30823" w:rsidRDefault="00163785" w:rsidP="008A4C51">
            <w:pPr>
              <w:pStyle w:val="TTTableText"/>
            </w:pPr>
            <w:r>
              <w:t>JE-165</w:t>
            </w:r>
          </w:p>
        </w:tc>
        <w:tc>
          <w:tcPr>
            <w:tcW w:w="7505" w:type="dxa"/>
          </w:tcPr>
          <w:p w14:paraId="0E7B2EA6" w14:textId="0BB03F0F" w:rsidR="00A30823" w:rsidRDefault="00163785" w:rsidP="008A4C51">
            <w:pPr>
              <w:pStyle w:val="TTTableText"/>
            </w:pPr>
            <w:r>
              <w:t>Green Pool Commodity Specialists, Consultancy Report, February 2021</w:t>
            </w:r>
          </w:p>
        </w:tc>
      </w:tr>
      <w:tr w:rsidR="007708E2" w:rsidRPr="0007327B" w14:paraId="1EA39F9D" w14:textId="77777777" w:rsidTr="007708E2">
        <w:trPr>
          <w:cantSplit/>
          <w:trHeight w:val="397"/>
        </w:trPr>
        <w:tc>
          <w:tcPr>
            <w:tcW w:w="1555" w:type="dxa"/>
          </w:tcPr>
          <w:p w14:paraId="32ADC7E9" w14:textId="599255D9" w:rsidR="00A30823" w:rsidRDefault="00163785" w:rsidP="008A4C51">
            <w:pPr>
              <w:pStyle w:val="TTTableText"/>
            </w:pPr>
            <w:r>
              <w:t>JE-165</w:t>
            </w:r>
            <w:r w:rsidR="007708E2">
              <w:t xml:space="preserve"> </w:t>
            </w:r>
            <w:r>
              <w:t>Appendix 1</w:t>
            </w:r>
          </w:p>
        </w:tc>
        <w:tc>
          <w:tcPr>
            <w:tcW w:w="7505" w:type="dxa"/>
          </w:tcPr>
          <w:p w14:paraId="4FDAF987" w14:textId="7A2A0E7E" w:rsidR="00A30823" w:rsidRDefault="007708E2" w:rsidP="008A4C51">
            <w:pPr>
              <w:pStyle w:val="TTTableText"/>
            </w:pPr>
            <w:r>
              <w:rPr>
                <w:lang w:eastAsia="zh-CN"/>
              </w:rPr>
              <w:t xml:space="preserve">Appendix 1: </w:t>
            </w:r>
            <w:r>
              <w:t>Example screen shot of FOIS online interface</w:t>
            </w:r>
          </w:p>
        </w:tc>
      </w:tr>
      <w:tr w:rsidR="007708E2" w:rsidRPr="0007327B" w14:paraId="27DFB0EC" w14:textId="77777777" w:rsidTr="007708E2">
        <w:trPr>
          <w:cantSplit/>
          <w:trHeight w:val="397"/>
        </w:trPr>
        <w:tc>
          <w:tcPr>
            <w:tcW w:w="1555" w:type="dxa"/>
          </w:tcPr>
          <w:p w14:paraId="59453425" w14:textId="58B3D414" w:rsidR="00A30823" w:rsidRDefault="00163785" w:rsidP="008A4C51">
            <w:pPr>
              <w:pStyle w:val="TTTableText"/>
            </w:pPr>
            <w:r>
              <w:t>JE-165</w:t>
            </w:r>
            <w:r w:rsidR="007708E2">
              <w:t xml:space="preserve"> </w:t>
            </w:r>
            <w:r>
              <w:t>Appendix 2</w:t>
            </w:r>
          </w:p>
        </w:tc>
        <w:tc>
          <w:tcPr>
            <w:tcW w:w="7505" w:type="dxa"/>
          </w:tcPr>
          <w:p w14:paraId="4EEE527F" w14:textId="2AC8F11C" w:rsidR="00A30823" w:rsidRDefault="007708E2" w:rsidP="008A4C51">
            <w:pPr>
              <w:pStyle w:val="TTTableText"/>
            </w:pPr>
            <w:r>
              <w:rPr>
                <w:lang w:eastAsia="zh-CN"/>
              </w:rPr>
              <w:t xml:space="preserve">Appendix 2: </w:t>
            </w:r>
            <w:r>
              <w:t>Nira to JNPT</w:t>
            </w:r>
          </w:p>
        </w:tc>
      </w:tr>
      <w:tr w:rsidR="007708E2" w:rsidRPr="0007327B" w14:paraId="4D2D002A" w14:textId="77777777" w:rsidTr="007708E2">
        <w:trPr>
          <w:cantSplit/>
          <w:trHeight w:val="397"/>
        </w:trPr>
        <w:tc>
          <w:tcPr>
            <w:tcW w:w="1555" w:type="dxa"/>
          </w:tcPr>
          <w:p w14:paraId="40C56C0C" w14:textId="655C75A4" w:rsidR="00A30823" w:rsidRDefault="00163785" w:rsidP="008A4C51">
            <w:pPr>
              <w:pStyle w:val="TTTableText"/>
            </w:pPr>
            <w:r>
              <w:t>JE-165</w:t>
            </w:r>
            <w:r w:rsidR="007708E2">
              <w:t xml:space="preserve"> </w:t>
            </w:r>
            <w:r>
              <w:t>Appendix 3</w:t>
            </w:r>
          </w:p>
        </w:tc>
        <w:tc>
          <w:tcPr>
            <w:tcW w:w="7505" w:type="dxa"/>
          </w:tcPr>
          <w:p w14:paraId="70CEEB7D" w14:textId="2EA14056" w:rsidR="00A30823" w:rsidRDefault="007708E2" w:rsidP="008A4C51">
            <w:pPr>
              <w:pStyle w:val="TTTableText"/>
            </w:pPr>
            <w:r>
              <w:rPr>
                <w:lang w:eastAsia="zh-CN"/>
              </w:rPr>
              <w:t xml:space="preserve">Appendix 3: </w:t>
            </w:r>
            <w:r>
              <w:t>Takari to JNPT</w:t>
            </w:r>
          </w:p>
        </w:tc>
      </w:tr>
      <w:tr w:rsidR="007708E2" w:rsidRPr="0007327B" w14:paraId="45AF3FC9" w14:textId="77777777" w:rsidTr="007708E2">
        <w:trPr>
          <w:cantSplit/>
          <w:trHeight w:val="397"/>
        </w:trPr>
        <w:tc>
          <w:tcPr>
            <w:tcW w:w="1555" w:type="dxa"/>
          </w:tcPr>
          <w:p w14:paraId="214CBA97" w14:textId="765E9949" w:rsidR="00A30823" w:rsidRDefault="00163785" w:rsidP="008A4C51">
            <w:pPr>
              <w:pStyle w:val="TTTableText"/>
            </w:pPr>
            <w:r>
              <w:t>JE-165</w:t>
            </w:r>
            <w:r w:rsidR="007708E2">
              <w:t xml:space="preserve"> </w:t>
            </w:r>
            <w:r>
              <w:t>Appendix 4</w:t>
            </w:r>
          </w:p>
        </w:tc>
        <w:tc>
          <w:tcPr>
            <w:tcW w:w="7505" w:type="dxa"/>
          </w:tcPr>
          <w:p w14:paraId="179EE476" w14:textId="422D38F3" w:rsidR="00A30823" w:rsidRDefault="007708E2" w:rsidP="008A4C51">
            <w:pPr>
              <w:pStyle w:val="TTTableText"/>
            </w:pPr>
            <w:r>
              <w:rPr>
                <w:lang w:eastAsia="zh-CN"/>
              </w:rPr>
              <w:t xml:space="preserve">Appendix 4: </w:t>
            </w:r>
            <w:r>
              <w:t>Pandharpur to JNPT</w:t>
            </w:r>
          </w:p>
        </w:tc>
      </w:tr>
      <w:tr w:rsidR="007708E2" w:rsidRPr="0007327B" w14:paraId="606AE035" w14:textId="77777777" w:rsidTr="007708E2">
        <w:trPr>
          <w:cantSplit/>
          <w:trHeight w:val="397"/>
        </w:trPr>
        <w:tc>
          <w:tcPr>
            <w:tcW w:w="1555" w:type="dxa"/>
          </w:tcPr>
          <w:p w14:paraId="3F72F99F" w14:textId="49452FCB" w:rsidR="00A30823" w:rsidRDefault="00163785" w:rsidP="008A4C51">
            <w:pPr>
              <w:pStyle w:val="TTTableText"/>
            </w:pPr>
            <w:r>
              <w:t>JE-165</w:t>
            </w:r>
            <w:r w:rsidR="007708E2">
              <w:t xml:space="preserve"> </w:t>
            </w:r>
            <w:r>
              <w:t>Appendix 5</w:t>
            </w:r>
          </w:p>
        </w:tc>
        <w:tc>
          <w:tcPr>
            <w:tcW w:w="7505" w:type="dxa"/>
          </w:tcPr>
          <w:p w14:paraId="38DF0FB8" w14:textId="0A8F85E2" w:rsidR="00A30823" w:rsidRDefault="007708E2" w:rsidP="008A4C51">
            <w:pPr>
              <w:pStyle w:val="TTTableText"/>
            </w:pPr>
            <w:r>
              <w:rPr>
                <w:lang w:eastAsia="zh-CN"/>
              </w:rPr>
              <w:t xml:space="preserve">Appendix 5: </w:t>
            </w:r>
            <w:r>
              <w:t>Latur to JNPT</w:t>
            </w:r>
          </w:p>
        </w:tc>
      </w:tr>
      <w:tr w:rsidR="007708E2" w:rsidRPr="0007327B" w14:paraId="5A5D3EA1" w14:textId="77777777" w:rsidTr="007708E2">
        <w:trPr>
          <w:cantSplit/>
          <w:trHeight w:val="397"/>
        </w:trPr>
        <w:tc>
          <w:tcPr>
            <w:tcW w:w="1555" w:type="dxa"/>
          </w:tcPr>
          <w:p w14:paraId="27AF4358" w14:textId="3117CC58" w:rsidR="00A30823" w:rsidRDefault="00163785" w:rsidP="008A4C51">
            <w:pPr>
              <w:pStyle w:val="TTTableText"/>
            </w:pPr>
            <w:r>
              <w:t>JE-165</w:t>
            </w:r>
            <w:r w:rsidR="007708E2">
              <w:t xml:space="preserve"> </w:t>
            </w:r>
            <w:r>
              <w:t>Appendix 6</w:t>
            </w:r>
          </w:p>
        </w:tc>
        <w:tc>
          <w:tcPr>
            <w:tcW w:w="7505" w:type="dxa"/>
          </w:tcPr>
          <w:p w14:paraId="09B75C51" w14:textId="567CD897" w:rsidR="00A30823" w:rsidRDefault="007708E2" w:rsidP="008A4C51">
            <w:pPr>
              <w:pStyle w:val="TTTableText"/>
            </w:pPr>
            <w:r>
              <w:rPr>
                <w:lang w:eastAsia="zh-CN"/>
              </w:rPr>
              <w:t xml:space="preserve">Appendix 6: </w:t>
            </w:r>
            <w:r>
              <w:t>SaiNagar to JNPT</w:t>
            </w:r>
          </w:p>
        </w:tc>
      </w:tr>
      <w:tr w:rsidR="007708E2" w:rsidRPr="0007327B" w14:paraId="418010C0" w14:textId="77777777" w:rsidTr="007708E2">
        <w:trPr>
          <w:cantSplit/>
          <w:trHeight w:val="397"/>
        </w:trPr>
        <w:tc>
          <w:tcPr>
            <w:tcW w:w="1555" w:type="dxa"/>
          </w:tcPr>
          <w:p w14:paraId="51B85859" w14:textId="023C4610" w:rsidR="00A30823" w:rsidRDefault="00163785" w:rsidP="008A4C51">
            <w:pPr>
              <w:pStyle w:val="TTTableText"/>
            </w:pPr>
            <w:r>
              <w:t>JE-165</w:t>
            </w:r>
            <w:r w:rsidR="007708E2">
              <w:t xml:space="preserve"> </w:t>
            </w:r>
            <w:r>
              <w:t>Appendix 7</w:t>
            </w:r>
          </w:p>
        </w:tc>
        <w:tc>
          <w:tcPr>
            <w:tcW w:w="7505" w:type="dxa"/>
          </w:tcPr>
          <w:p w14:paraId="282228B3" w14:textId="153C2D35" w:rsidR="00A30823" w:rsidRDefault="007708E2" w:rsidP="008A4C51">
            <w:pPr>
              <w:pStyle w:val="TTTableText"/>
            </w:pPr>
            <w:r>
              <w:rPr>
                <w:lang w:eastAsia="zh-CN"/>
              </w:rPr>
              <w:t xml:space="preserve">Appendix 7: </w:t>
            </w:r>
            <w:r>
              <w:t>Baramati to JNPT</w:t>
            </w:r>
          </w:p>
        </w:tc>
      </w:tr>
      <w:tr w:rsidR="007708E2" w:rsidRPr="0007327B" w14:paraId="01EF5596" w14:textId="77777777" w:rsidTr="007708E2">
        <w:trPr>
          <w:cantSplit/>
          <w:trHeight w:val="397"/>
        </w:trPr>
        <w:tc>
          <w:tcPr>
            <w:tcW w:w="1555" w:type="dxa"/>
          </w:tcPr>
          <w:p w14:paraId="1BD7C2BF" w14:textId="6A43151E" w:rsidR="00A30823" w:rsidRDefault="00163785" w:rsidP="008A4C51">
            <w:pPr>
              <w:pStyle w:val="TTTableText"/>
            </w:pPr>
            <w:r>
              <w:t>JE-165</w:t>
            </w:r>
            <w:r w:rsidR="007708E2">
              <w:t xml:space="preserve"> </w:t>
            </w:r>
            <w:r>
              <w:t>Appendix 8</w:t>
            </w:r>
          </w:p>
        </w:tc>
        <w:tc>
          <w:tcPr>
            <w:tcW w:w="7505" w:type="dxa"/>
          </w:tcPr>
          <w:p w14:paraId="3F56D9D3" w14:textId="50A06E00" w:rsidR="00A30823" w:rsidRDefault="007708E2" w:rsidP="008A4C51">
            <w:pPr>
              <w:pStyle w:val="TTTableText"/>
            </w:pPr>
            <w:r>
              <w:rPr>
                <w:lang w:eastAsia="zh-CN"/>
              </w:rPr>
              <w:t xml:space="preserve">Appendix 8: </w:t>
            </w:r>
            <w:r>
              <w:t>Baramati to Ratnagiri</w:t>
            </w:r>
          </w:p>
        </w:tc>
      </w:tr>
      <w:tr w:rsidR="007708E2" w:rsidRPr="0007327B" w14:paraId="5BDC5C36" w14:textId="77777777" w:rsidTr="007708E2">
        <w:trPr>
          <w:cantSplit/>
          <w:trHeight w:val="397"/>
        </w:trPr>
        <w:tc>
          <w:tcPr>
            <w:tcW w:w="1555" w:type="dxa"/>
          </w:tcPr>
          <w:p w14:paraId="6D48F4A9" w14:textId="71B69CFB" w:rsidR="00A30823" w:rsidRDefault="00163785" w:rsidP="008A4C51">
            <w:pPr>
              <w:pStyle w:val="TTTableText"/>
            </w:pPr>
            <w:r>
              <w:t>JE-165</w:t>
            </w:r>
            <w:r w:rsidR="007708E2">
              <w:t xml:space="preserve"> </w:t>
            </w:r>
            <w:r>
              <w:t>Appendix 9</w:t>
            </w:r>
          </w:p>
        </w:tc>
        <w:tc>
          <w:tcPr>
            <w:tcW w:w="7505" w:type="dxa"/>
          </w:tcPr>
          <w:p w14:paraId="22DEE3F8" w14:textId="01F21095" w:rsidR="00A30823" w:rsidRDefault="007708E2" w:rsidP="008A4C51">
            <w:pPr>
              <w:pStyle w:val="TTTableText"/>
            </w:pPr>
            <w:r>
              <w:rPr>
                <w:lang w:eastAsia="zh-CN"/>
              </w:rPr>
              <w:t xml:space="preserve">Appendix 9: </w:t>
            </w:r>
            <w:r>
              <w:t>Kolhapur to JNPT</w:t>
            </w:r>
          </w:p>
        </w:tc>
      </w:tr>
      <w:tr w:rsidR="007708E2" w:rsidRPr="0007327B" w14:paraId="43A13695" w14:textId="77777777" w:rsidTr="007708E2">
        <w:trPr>
          <w:cantSplit/>
          <w:trHeight w:val="397"/>
        </w:trPr>
        <w:tc>
          <w:tcPr>
            <w:tcW w:w="1555" w:type="dxa"/>
          </w:tcPr>
          <w:p w14:paraId="143B98B9" w14:textId="50B5F58D" w:rsidR="00A30823" w:rsidRDefault="00163785" w:rsidP="008A4C51">
            <w:pPr>
              <w:pStyle w:val="TTTableText"/>
            </w:pPr>
            <w:r>
              <w:t>JE-165</w:t>
            </w:r>
            <w:r w:rsidR="007708E2">
              <w:t xml:space="preserve"> </w:t>
            </w:r>
            <w:r>
              <w:t>Appendix 10</w:t>
            </w:r>
          </w:p>
        </w:tc>
        <w:tc>
          <w:tcPr>
            <w:tcW w:w="7505" w:type="dxa"/>
          </w:tcPr>
          <w:p w14:paraId="4D5EA9B4" w14:textId="1840A437" w:rsidR="00A30823" w:rsidRDefault="007708E2" w:rsidP="008A4C51">
            <w:pPr>
              <w:pStyle w:val="TTTableText"/>
            </w:pPr>
            <w:r>
              <w:rPr>
                <w:lang w:eastAsia="zh-CN"/>
              </w:rPr>
              <w:t xml:space="preserve">Appendix 10: </w:t>
            </w:r>
            <w:r>
              <w:t>Kolhapur to Ratnagiri</w:t>
            </w:r>
          </w:p>
        </w:tc>
      </w:tr>
      <w:tr w:rsidR="007708E2" w:rsidRPr="0007327B" w14:paraId="18C707A7" w14:textId="77777777" w:rsidTr="007708E2">
        <w:trPr>
          <w:cantSplit/>
          <w:trHeight w:val="397"/>
        </w:trPr>
        <w:tc>
          <w:tcPr>
            <w:tcW w:w="1555" w:type="dxa"/>
          </w:tcPr>
          <w:p w14:paraId="12106AAD" w14:textId="50904244" w:rsidR="00A30823" w:rsidRDefault="00163785" w:rsidP="008A4C51">
            <w:pPr>
              <w:pStyle w:val="TTTableText"/>
            </w:pPr>
            <w:r>
              <w:t>JE-165</w:t>
            </w:r>
            <w:r w:rsidR="007708E2">
              <w:t xml:space="preserve"> </w:t>
            </w:r>
            <w:r>
              <w:t>Appendix 11</w:t>
            </w:r>
          </w:p>
        </w:tc>
        <w:tc>
          <w:tcPr>
            <w:tcW w:w="7505" w:type="dxa"/>
          </w:tcPr>
          <w:p w14:paraId="1AD92E04" w14:textId="38C77CA3" w:rsidR="00A30823" w:rsidRDefault="007708E2" w:rsidP="008A4C51">
            <w:pPr>
              <w:pStyle w:val="TTTableText"/>
            </w:pPr>
            <w:r>
              <w:rPr>
                <w:lang w:eastAsia="zh-CN"/>
              </w:rPr>
              <w:t xml:space="preserve">Appendix 11: </w:t>
            </w:r>
            <w:r>
              <w:t>Nira to Ratnagiri</w:t>
            </w:r>
          </w:p>
        </w:tc>
      </w:tr>
      <w:tr w:rsidR="007708E2" w:rsidRPr="0007327B" w14:paraId="49F04915" w14:textId="77777777" w:rsidTr="007708E2">
        <w:trPr>
          <w:cantSplit/>
          <w:trHeight w:val="397"/>
        </w:trPr>
        <w:tc>
          <w:tcPr>
            <w:tcW w:w="1555" w:type="dxa"/>
          </w:tcPr>
          <w:p w14:paraId="710D0594" w14:textId="01CC44AF" w:rsidR="00A30823" w:rsidRDefault="00163785" w:rsidP="008A4C51">
            <w:pPr>
              <w:pStyle w:val="TTTableText"/>
            </w:pPr>
            <w:r>
              <w:t>JE-165</w:t>
            </w:r>
            <w:r w:rsidR="007708E2">
              <w:t xml:space="preserve"> </w:t>
            </w:r>
            <w:r>
              <w:t>Appendix 12</w:t>
            </w:r>
          </w:p>
        </w:tc>
        <w:tc>
          <w:tcPr>
            <w:tcW w:w="7505" w:type="dxa"/>
          </w:tcPr>
          <w:p w14:paraId="1B9BFAC6" w14:textId="1A89A991" w:rsidR="00A30823" w:rsidRDefault="007708E2" w:rsidP="008A4C51">
            <w:pPr>
              <w:pStyle w:val="TTTableText"/>
            </w:pPr>
            <w:r>
              <w:rPr>
                <w:lang w:eastAsia="zh-CN"/>
              </w:rPr>
              <w:t xml:space="preserve">Appendix 12: </w:t>
            </w:r>
            <w:r>
              <w:t>Pandharpur to Ratnagiri</w:t>
            </w:r>
          </w:p>
        </w:tc>
      </w:tr>
      <w:tr w:rsidR="007708E2" w:rsidRPr="0007327B" w14:paraId="306214B3" w14:textId="77777777" w:rsidTr="007708E2">
        <w:trPr>
          <w:cantSplit/>
          <w:trHeight w:val="397"/>
        </w:trPr>
        <w:tc>
          <w:tcPr>
            <w:tcW w:w="1555" w:type="dxa"/>
          </w:tcPr>
          <w:p w14:paraId="1B6DB888" w14:textId="4CAE6170" w:rsidR="00A30823" w:rsidRDefault="00163785" w:rsidP="008A4C51">
            <w:pPr>
              <w:pStyle w:val="TTTableText"/>
            </w:pPr>
            <w:r>
              <w:t>JE-165</w:t>
            </w:r>
            <w:r w:rsidR="007708E2">
              <w:t xml:space="preserve"> </w:t>
            </w:r>
            <w:r>
              <w:t>Appendix 13</w:t>
            </w:r>
          </w:p>
        </w:tc>
        <w:tc>
          <w:tcPr>
            <w:tcW w:w="7505" w:type="dxa"/>
          </w:tcPr>
          <w:p w14:paraId="5B4CE7B6" w14:textId="7CD7B6E2" w:rsidR="00A30823" w:rsidRDefault="007708E2" w:rsidP="008A4C51">
            <w:pPr>
              <w:pStyle w:val="TTTableText"/>
            </w:pPr>
            <w:r>
              <w:rPr>
                <w:lang w:eastAsia="zh-CN"/>
              </w:rPr>
              <w:t xml:space="preserve">Appendix 13: </w:t>
            </w:r>
            <w:r>
              <w:t>Pune to Ratnagiri</w:t>
            </w:r>
          </w:p>
        </w:tc>
      </w:tr>
      <w:tr w:rsidR="007708E2" w:rsidRPr="0007327B" w14:paraId="1B68B2B6" w14:textId="77777777" w:rsidTr="007708E2">
        <w:trPr>
          <w:cantSplit/>
          <w:trHeight w:val="397"/>
        </w:trPr>
        <w:tc>
          <w:tcPr>
            <w:tcW w:w="1555" w:type="dxa"/>
          </w:tcPr>
          <w:p w14:paraId="070784E9" w14:textId="7233201F" w:rsidR="00A30823" w:rsidRDefault="00163785" w:rsidP="008A4C51">
            <w:pPr>
              <w:pStyle w:val="TTTableText"/>
            </w:pPr>
            <w:r>
              <w:t>JE-165</w:t>
            </w:r>
            <w:r w:rsidR="007708E2">
              <w:t xml:space="preserve"> </w:t>
            </w:r>
            <w:r>
              <w:t>Appendix 14</w:t>
            </w:r>
          </w:p>
        </w:tc>
        <w:tc>
          <w:tcPr>
            <w:tcW w:w="7505" w:type="dxa"/>
          </w:tcPr>
          <w:p w14:paraId="46829A5D" w14:textId="2D04DE14" w:rsidR="00A30823" w:rsidRDefault="007708E2" w:rsidP="008A4C51">
            <w:pPr>
              <w:pStyle w:val="TTTableText"/>
            </w:pPr>
            <w:r>
              <w:rPr>
                <w:lang w:eastAsia="zh-CN"/>
              </w:rPr>
              <w:t xml:space="preserve">Appendix 14: </w:t>
            </w:r>
            <w:r>
              <w:t>Pune to JNPT</w:t>
            </w:r>
          </w:p>
        </w:tc>
      </w:tr>
      <w:tr w:rsidR="007708E2" w:rsidRPr="0007327B" w14:paraId="666D7DEB" w14:textId="77777777" w:rsidTr="007708E2">
        <w:trPr>
          <w:cantSplit/>
          <w:trHeight w:val="397"/>
        </w:trPr>
        <w:tc>
          <w:tcPr>
            <w:tcW w:w="1555" w:type="dxa"/>
          </w:tcPr>
          <w:p w14:paraId="4355C354" w14:textId="004EC0D7" w:rsidR="00A30823" w:rsidRDefault="00163785" w:rsidP="008A4C51">
            <w:pPr>
              <w:pStyle w:val="TTTableText"/>
            </w:pPr>
            <w:r>
              <w:t>JE-165</w:t>
            </w:r>
            <w:r w:rsidR="007708E2">
              <w:t xml:space="preserve"> </w:t>
            </w:r>
            <w:r>
              <w:t>Appendix 15</w:t>
            </w:r>
          </w:p>
        </w:tc>
        <w:tc>
          <w:tcPr>
            <w:tcW w:w="7505" w:type="dxa"/>
          </w:tcPr>
          <w:p w14:paraId="4C334867" w14:textId="0917645E" w:rsidR="00A30823" w:rsidRDefault="007708E2" w:rsidP="008A4C51">
            <w:pPr>
              <w:pStyle w:val="TTTableText"/>
            </w:pPr>
            <w:r>
              <w:rPr>
                <w:lang w:eastAsia="zh-CN"/>
              </w:rPr>
              <w:t xml:space="preserve">Appendix 15: </w:t>
            </w:r>
            <w:r>
              <w:t>Sainagar to Ratnagiri</w:t>
            </w:r>
          </w:p>
        </w:tc>
      </w:tr>
      <w:tr w:rsidR="007708E2" w:rsidRPr="0007327B" w14:paraId="3EEF59AA" w14:textId="77777777" w:rsidTr="007708E2">
        <w:trPr>
          <w:cantSplit/>
          <w:trHeight w:val="397"/>
        </w:trPr>
        <w:tc>
          <w:tcPr>
            <w:tcW w:w="1555" w:type="dxa"/>
          </w:tcPr>
          <w:p w14:paraId="02B27844" w14:textId="6E3699D4" w:rsidR="00A30823" w:rsidRDefault="00163785" w:rsidP="008A4C51">
            <w:pPr>
              <w:pStyle w:val="TTTableText"/>
            </w:pPr>
            <w:r>
              <w:t>JE-165</w:t>
            </w:r>
            <w:r w:rsidR="007708E2">
              <w:t xml:space="preserve"> </w:t>
            </w:r>
            <w:r>
              <w:t>Appendix 16</w:t>
            </w:r>
          </w:p>
        </w:tc>
        <w:tc>
          <w:tcPr>
            <w:tcW w:w="7505" w:type="dxa"/>
          </w:tcPr>
          <w:p w14:paraId="13BC6EB2" w14:textId="1D06CA29" w:rsidR="00A30823" w:rsidRDefault="007708E2" w:rsidP="008A4C51">
            <w:pPr>
              <w:pStyle w:val="TTTableText"/>
            </w:pPr>
            <w:r>
              <w:rPr>
                <w:lang w:eastAsia="zh-CN"/>
              </w:rPr>
              <w:t xml:space="preserve">Appendix 16: </w:t>
            </w:r>
            <w:r>
              <w:t>Sangli to Ratnagiri</w:t>
            </w:r>
          </w:p>
        </w:tc>
      </w:tr>
      <w:tr w:rsidR="007708E2" w:rsidRPr="0007327B" w14:paraId="57ADEBC9" w14:textId="77777777" w:rsidTr="007708E2">
        <w:trPr>
          <w:cantSplit/>
          <w:trHeight w:val="397"/>
        </w:trPr>
        <w:tc>
          <w:tcPr>
            <w:tcW w:w="1555" w:type="dxa"/>
          </w:tcPr>
          <w:p w14:paraId="5873A32F" w14:textId="5947C055" w:rsidR="00A30823" w:rsidRDefault="00163785" w:rsidP="008A4C51">
            <w:pPr>
              <w:pStyle w:val="TTTableText"/>
            </w:pPr>
            <w:r>
              <w:t>JE-165</w:t>
            </w:r>
            <w:r w:rsidR="007708E2">
              <w:t xml:space="preserve"> </w:t>
            </w:r>
            <w:r>
              <w:t>Appendix 17</w:t>
            </w:r>
          </w:p>
        </w:tc>
        <w:tc>
          <w:tcPr>
            <w:tcW w:w="7505" w:type="dxa"/>
          </w:tcPr>
          <w:p w14:paraId="674831DD" w14:textId="2583FDC1" w:rsidR="00A30823" w:rsidRDefault="007708E2" w:rsidP="008A4C51">
            <w:pPr>
              <w:pStyle w:val="TTTableText"/>
            </w:pPr>
            <w:r>
              <w:rPr>
                <w:lang w:eastAsia="zh-CN"/>
              </w:rPr>
              <w:t xml:space="preserve">Appendix 17: </w:t>
            </w:r>
            <w:r>
              <w:t>Sangli to JNPT</w:t>
            </w:r>
          </w:p>
        </w:tc>
      </w:tr>
      <w:tr w:rsidR="007708E2" w:rsidRPr="0007327B" w14:paraId="1CD51270" w14:textId="77777777" w:rsidTr="007708E2">
        <w:trPr>
          <w:cantSplit/>
          <w:trHeight w:val="397"/>
        </w:trPr>
        <w:tc>
          <w:tcPr>
            <w:tcW w:w="1555" w:type="dxa"/>
          </w:tcPr>
          <w:p w14:paraId="44B9FA16" w14:textId="685D2E2F" w:rsidR="00A30823" w:rsidRDefault="00163785" w:rsidP="008A4C51">
            <w:pPr>
              <w:pStyle w:val="TTTableText"/>
            </w:pPr>
            <w:r>
              <w:t>JE-165</w:t>
            </w:r>
            <w:r w:rsidR="007708E2">
              <w:t xml:space="preserve"> </w:t>
            </w:r>
            <w:r>
              <w:t>Appendix 18</w:t>
            </w:r>
          </w:p>
        </w:tc>
        <w:tc>
          <w:tcPr>
            <w:tcW w:w="7505" w:type="dxa"/>
          </w:tcPr>
          <w:p w14:paraId="2DBBE88C" w14:textId="0DD01C0C" w:rsidR="00A30823" w:rsidRDefault="007708E2" w:rsidP="008A4C51">
            <w:pPr>
              <w:pStyle w:val="TTTableText"/>
            </w:pPr>
            <w:r>
              <w:rPr>
                <w:lang w:eastAsia="zh-CN"/>
              </w:rPr>
              <w:t xml:space="preserve">Appendix 18: </w:t>
            </w:r>
            <w:r>
              <w:t>Vaibhavwadi Rd to JNPT</w:t>
            </w:r>
          </w:p>
        </w:tc>
      </w:tr>
      <w:tr w:rsidR="007708E2" w:rsidRPr="0007327B" w14:paraId="4D1CA013" w14:textId="77777777" w:rsidTr="007708E2">
        <w:trPr>
          <w:cantSplit/>
          <w:trHeight w:val="397"/>
        </w:trPr>
        <w:tc>
          <w:tcPr>
            <w:tcW w:w="1555" w:type="dxa"/>
          </w:tcPr>
          <w:p w14:paraId="403938DF" w14:textId="262A89DD" w:rsidR="00A30823" w:rsidRDefault="00163785" w:rsidP="008A4C51">
            <w:pPr>
              <w:pStyle w:val="TTTableText"/>
            </w:pPr>
            <w:r>
              <w:t>JE-165</w:t>
            </w:r>
            <w:r w:rsidR="007708E2">
              <w:t xml:space="preserve"> </w:t>
            </w:r>
            <w:r>
              <w:t>Appendix 19</w:t>
            </w:r>
          </w:p>
        </w:tc>
        <w:tc>
          <w:tcPr>
            <w:tcW w:w="7505" w:type="dxa"/>
          </w:tcPr>
          <w:p w14:paraId="6E47A1F2" w14:textId="28DC8B13" w:rsidR="00A30823" w:rsidRDefault="007708E2" w:rsidP="008A4C51">
            <w:pPr>
              <w:pStyle w:val="TTTableText"/>
            </w:pPr>
            <w:r>
              <w:rPr>
                <w:lang w:eastAsia="zh-CN"/>
              </w:rPr>
              <w:t xml:space="preserve">Appendix 19: </w:t>
            </w:r>
            <w:r>
              <w:t>Vaibhavwadi Rd to Ratnagiri</w:t>
            </w:r>
          </w:p>
        </w:tc>
      </w:tr>
      <w:tr w:rsidR="007708E2" w:rsidRPr="0007327B" w14:paraId="15F6CAB3" w14:textId="77777777" w:rsidTr="007708E2">
        <w:trPr>
          <w:cantSplit/>
          <w:trHeight w:val="397"/>
        </w:trPr>
        <w:tc>
          <w:tcPr>
            <w:tcW w:w="1555" w:type="dxa"/>
          </w:tcPr>
          <w:p w14:paraId="06720AB4" w14:textId="725857BF" w:rsidR="00A30823" w:rsidRDefault="00163785" w:rsidP="008A4C51">
            <w:pPr>
              <w:pStyle w:val="TTTableText"/>
            </w:pPr>
            <w:r>
              <w:t>JE-165</w:t>
            </w:r>
            <w:r w:rsidR="007708E2">
              <w:t xml:space="preserve"> </w:t>
            </w:r>
            <w:r>
              <w:t>Appendix 20</w:t>
            </w:r>
          </w:p>
        </w:tc>
        <w:tc>
          <w:tcPr>
            <w:tcW w:w="7505" w:type="dxa"/>
          </w:tcPr>
          <w:p w14:paraId="60116259" w14:textId="788A7AF0" w:rsidR="00A30823" w:rsidRDefault="007708E2" w:rsidP="008A4C51">
            <w:pPr>
              <w:pStyle w:val="TTTableText"/>
            </w:pPr>
            <w:r>
              <w:rPr>
                <w:lang w:eastAsia="zh-CN"/>
              </w:rPr>
              <w:t xml:space="preserve">Appendix 20: </w:t>
            </w:r>
            <w:r>
              <w:t>Takari to Ratnagiri</w:t>
            </w:r>
          </w:p>
        </w:tc>
      </w:tr>
      <w:tr w:rsidR="007708E2" w:rsidRPr="0007327B" w14:paraId="17112FCE" w14:textId="77777777" w:rsidTr="007708E2">
        <w:trPr>
          <w:cantSplit/>
          <w:trHeight w:val="397"/>
        </w:trPr>
        <w:tc>
          <w:tcPr>
            <w:tcW w:w="1555" w:type="dxa"/>
          </w:tcPr>
          <w:p w14:paraId="67CFC9D8" w14:textId="030F45FD" w:rsidR="00A30823" w:rsidRDefault="00163785" w:rsidP="008A4C51">
            <w:pPr>
              <w:pStyle w:val="TTTableText"/>
            </w:pPr>
            <w:r>
              <w:t>JE-165</w:t>
            </w:r>
            <w:r w:rsidR="007708E2">
              <w:t xml:space="preserve"> </w:t>
            </w:r>
            <w:r>
              <w:t>Appendix 21</w:t>
            </w:r>
          </w:p>
        </w:tc>
        <w:tc>
          <w:tcPr>
            <w:tcW w:w="7505" w:type="dxa"/>
          </w:tcPr>
          <w:p w14:paraId="297F634C" w14:textId="463AEFEB" w:rsidR="00A30823" w:rsidRDefault="007708E2" w:rsidP="008A4C51">
            <w:pPr>
              <w:pStyle w:val="TTTableText"/>
            </w:pPr>
            <w:r>
              <w:rPr>
                <w:lang w:eastAsia="zh-CN"/>
              </w:rPr>
              <w:t xml:space="preserve">Appendix 21: </w:t>
            </w:r>
            <w:r>
              <w:t>Latur to Ratnagiri</w:t>
            </w:r>
          </w:p>
        </w:tc>
      </w:tr>
      <w:tr w:rsidR="007708E2" w:rsidRPr="0007327B" w14:paraId="44052751" w14:textId="77777777" w:rsidTr="007708E2">
        <w:trPr>
          <w:cantSplit/>
          <w:trHeight w:val="397"/>
        </w:trPr>
        <w:tc>
          <w:tcPr>
            <w:tcW w:w="1555" w:type="dxa"/>
          </w:tcPr>
          <w:p w14:paraId="5D617CA1" w14:textId="11FC51C9" w:rsidR="00A30823" w:rsidRPr="0007327B" w:rsidRDefault="00163785" w:rsidP="008A4C51">
            <w:pPr>
              <w:pStyle w:val="TTTableText"/>
            </w:pPr>
            <w:r>
              <w:t>JE-166</w:t>
            </w:r>
          </w:p>
        </w:tc>
        <w:tc>
          <w:tcPr>
            <w:tcW w:w="7505" w:type="dxa"/>
          </w:tcPr>
          <w:p w14:paraId="7FF70EF1" w14:textId="199B150D" w:rsidR="00A30823" w:rsidRDefault="007708E2" w:rsidP="008A4C51">
            <w:pPr>
              <w:pStyle w:val="TTTableText"/>
            </w:pPr>
            <w:r>
              <w:t>Fundoodata, Top 10 Sugar Companies in India</w:t>
            </w:r>
          </w:p>
        </w:tc>
      </w:tr>
    </w:tbl>
    <w:p w14:paraId="20A317A5" w14:textId="77777777" w:rsidR="00F57DC7" w:rsidRPr="0007327B" w:rsidRDefault="00F57DC7" w:rsidP="00477519">
      <w:pPr>
        <w:pStyle w:val="BTNSSBodyTextNoSpacingSmall"/>
      </w:pPr>
    </w:p>
    <w:p w14:paraId="2BCED635" w14:textId="2121E9EA" w:rsidR="002A03DD" w:rsidRPr="0062374C" w:rsidRDefault="002A03DD" w:rsidP="002A03DD">
      <w:pPr>
        <w:pStyle w:val="SHSectionHeading"/>
      </w:pPr>
      <w:bookmarkStart w:id="3" w:name="_Toc43397812"/>
      <w:bookmarkStart w:id="4" w:name="_Toc56590789"/>
      <w:bookmarkStart w:id="5" w:name="_Toc61538947"/>
      <w:bookmarkStart w:id="6" w:name="_Toc63966810"/>
      <w:r w:rsidRPr="0062374C">
        <w:t>List of Australia's Exhibits</w:t>
      </w:r>
      <w:bookmarkEnd w:id="3"/>
      <w:bookmarkEnd w:id="4"/>
      <w:bookmarkEnd w:id="5"/>
      <w:bookmarkEnd w:id="6"/>
    </w:p>
    <w:tbl>
      <w:tblPr>
        <w:tblStyle w:val="TableGrid"/>
        <w:tblW w:w="5000" w:type="pct"/>
        <w:tblLook w:val="04A0" w:firstRow="1" w:lastRow="0" w:firstColumn="1" w:lastColumn="0" w:noHBand="0" w:noVBand="1"/>
      </w:tblPr>
      <w:tblGrid>
        <w:gridCol w:w="1411"/>
        <w:gridCol w:w="7649"/>
      </w:tblGrid>
      <w:tr w:rsidR="002A03DD" w:rsidRPr="0062374C" w14:paraId="50D56300" w14:textId="77777777" w:rsidTr="00306D95">
        <w:trPr>
          <w:cantSplit/>
          <w:trHeight w:val="397"/>
          <w:tblHeader/>
        </w:trPr>
        <w:tc>
          <w:tcPr>
            <w:tcW w:w="1411" w:type="dxa"/>
            <w:shd w:val="clear" w:color="auto" w:fill="D9D9D9" w:themeFill="background1" w:themeFillShade="D9"/>
          </w:tcPr>
          <w:p w14:paraId="38FC6ABF" w14:textId="77777777" w:rsidR="002A03DD" w:rsidRPr="0062374C" w:rsidRDefault="002A03DD" w:rsidP="00306D95">
            <w:pPr>
              <w:pStyle w:val="THTableHeading"/>
              <w:jc w:val="center"/>
            </w:pPr>
            <w:r w:rsidRPr="0062374C">
              <w:t>Exhibit No.</w:t>
            </w:r>
          </w:p>
        </w:tc>
        <w:tc>
          <w:tcPr>
            <w:tcW w:w="7649" w:type="dxa"/>
            <w:shd w:val="clear" w:color="auto" w:fill="D9D9D9" w:themeFill="background1" w:themeFillShade="D9"/>
          </w:tcPr>
          <w:p w14:paraId="469803C4" w14:textId="77777777" w:rsidR="002A03DD" w:rsidRPr="0062374C" w:rsidRDefault="002A03DD" w:rsidP="00306D95">
            <w:pPr>
              <w:pStyle w:val="THTableHeading"/>
              <w:jc w:val="center"/>
            </w:pPr>
            <w:r w:rsidRPr="0062374C">
              <w:t>Exhibit Name</w:t>
            </w:r>
          </w:p>
        </w:tc>
      </w:tr>
      <w:tr w:rsidR="002A03DD" w:rsidRPr="0062374C" w14:paraId="505CA71D" w14:textId="77777777" w:rsidTr="00306D95">
        <w:trPr>
          <w:cantSplit/>
          <w:trHeight w:val="397"/>
        </w:trPr>
        <w:tc>
          <w:tcPr>
            <w:tcW w:w="1411" w:type="dxa"/>
          </w:tcPr>
          <w:p w14:paraId="2543C6F3" w14:textId="77777777" w:rsidR="002A03DD" w:rsidRPr="0062374C" w:rsidRDefault="002A03DD" w:rsidP="00306D95">
            <w:pPr>
              <w:pStyle w:val="TTTableText"/>
              <w:rPr>
                <w:color w:val="000000" w:themeColor="text1"/>
              </w:rPr>
            </w:pPr>
            <w:r w:rsidRPr="0062374C">
              <w:rPr>
                <w:color w:val="000000" w:themeColor="text1"/>
              </w:rPr>
              <w:t>AUS-</w:t>
            </w:r>
            <w:r>
              <w:rPr>
                <w:color w:val="000000" w:themeColor="text1"/>
              </w:rPr>
              <w:t>102</w:t>
            </w:r>
          </w:p>
        </w:tc>
        <w:tc>
          <w:tcPr>
            <w:tcW w:w="7649" w:type="dxa"/>
          </w:tcPr>
          <w:p w14:paraId="34342AD9" w14:textId="23D05574" w:rsidR="002A03DD" w:rsidRPr="0062374C" w:rsidRDefault="00482F09" w:rsidP="00306D95">
            <w:pPr>
              <w:pStyle w:val="TTTableText"/>
              <w:rPr>
                <w:color w:val="000000" w:themeColor="text1"/>
              </w:rPr>
            </w:pPr>
            <w:r w:rsidRPr="00482F09">
              <w:rPr>
                <w:color w:val="000000" w:themeColor="text1"/>
              </w:rPr>
              <w:t>Hindu Business Line</w:t>
            </w:r>
            <w:r>
              <w:rPr>
                <w:color w:val="000000" w:themeColor="text1"/>
              </w:rPr>
              <w:t xml:space="preserve">, </w:t>
            </w:r>
            <w:r w:rsidR="00032159">
              <w:rPr>
                <w:color w:val="000000" w:themeColor="text1"/>
              </w:rPr>
              <w:t>"Govt allows export of 2 million tonnes of sugar", 29 March 2018</w:t>
            </w:r>
          </w:p>
        </w:tc>
      </w:tr>
    </w:tbl>
    <w:p w14:paraId="0D83ED0A" w14:textId="77777777" w:rsidR="00477519" w:rsidRPr="0007327B" w:rsidRDefault="00477519" w:rsidP="007A3EF1">
      <w:pPr>
        <w:pStyle w:val="BTBodyText"/>
      </w:pPr>
    </w:p>
    <w:p w14:paraId="19294285" w14:textId="77777777" w:rsidR="0023272D" w:rsidRPr="0007327B" w:rsidRDefault="0023272D" w:rsidP="0023272D">
      <w:pPr>
        <w:pStyle w:val="BTNSSBodyTextNoSpacingSmall"/>
      </w:pPr>
    </w:p>
    <w:p w14:paraId="5EE9B065" w14:textId="77777777" w:rsidR="00D47F18" w:rsidRPr="0007327B" w:rsidRDefault="00D47F18" w:rsidP="00D52A17">
      <w:pPr>
        <w:pStyle w:val="BTBodyText"/>
      </w:pPr>
      <w:r w:rsidRPr="0007327B">
        <w:br w:type="page"/>
      </w:r>
    </w:p>
    <w:p w14:paraId="462108DA" w14:textId="77777777" w:rsidR="00D52A17" w:rsidRPr="0007327B" w:rsidRDefault="000A3EED" w:rsidP="00D52A17">
      <w:pPr>
        <w:pStyle w:val="HL1HeadingLevel1"/>
      </w:pPr>
      <w:bookmarkStart w:id="7" w:name="_Toc63966811"/>
      <w:r>
        <w:t>introduction</w:t>
      </w:r>
      <w:bookmarkEnd w:id="7"/>
    </w:p>
    <w:p w14:paraId="7C5D7E31" w14:textId="307306A3" w:rsidR="00312270" w:rsidRDefault="00312270" w:rsidP="00D52A17">
      <w:pPr>
        <w:pStyle w:val="P1-N1Paragraph1-Number1"/>
      </w:pPr>
      <w:r w:rsidRPr="00312270">
        <w:t>This submission presents Australia’s rebuttal to the arguments advanced by</w:t>
      </w:r>
      <w:r>
        <w:t xml:space="preserve"> India</w:t>
      </w:r>
      <w:r w:rsidRPr="00312270">
        <w:t xml:space="preserve"> in its first written submission, </w:t>
      </w:r>
      <w:r w:rsidR="008A2AFC" w:rsidRPr="00312270">
        <w:t>at the first substantive meeting</w:t>
      </w:r>
      <w:r w:rsidR="008A2AFC">
        <w:t xml:space="preserve"> and in its </w:t>
      </w:r>
      <w:r>
        <w:t xml:space="preserve">answers to the Panel's questions </w:t>
      </w:r>
      <w:r w:rsidR="008A2AFC">
        <w:t>both before and after the first substantive meeting</w:t>
      </w:r>
      <w:r w:rsidRPr="00312270">
        <w:t xml:space="preserve">. </w:t>
      </w:r>
      <w:r w:rsidR="00306D95">
        <w:t xml:space="preserve"> </w:t>
      </w:r>
      <w:r w:rsidRPr="00312270">
        <w:t xml:space="preserve">It builds on Australia's earlier submissions, including the rebuttal of </w:t>
      </w:r>
      <w:r>
        <w:t>India's</w:t>
      </w:r>
      <w:r w:rsidRPr="00312270">
        <w:t xml:space="preserve"> arguments contained in those submissions.</w:t>
      </w:r>
    </w:p>
    <w:p w14:paraId="29BF0654" w14:textId="2B50D3BD" w:rsidR="000A29F3" w:rsidRDefault="000A29F3" w:rsidP="00D52A17">
      <w:pPr>
        <w:pStyle w:val="P1-N1Paragraph1-Number1"/>
      </w:pPr>
      <w:r>
        <w:t xml:space="preserve">Australia </w:t>
      </w:r>
      <w:r w:rsidR="002839A0">
        <w:t>has established that</w:t>
      </w:r>
      <w:r>
        <w:t xml:space="preserve"> India maintains domestic support for sugarcane </w:t>
      </w:r>
      <w:r w:rsidR="00B73C73">
        <w:t xml:space="preserve">producers </w:t>
      </w:r>
      <w:r>
        <w:t xml:space="preserve">and export subsidies for sugar contrary to </w:t>
      </w:r>
      <w:r w:rsidR="008B79E4">
        <w:t xml:space="preserve">its </w:t>
      </w:r>
      <w:r>
        <w:t>obligations pursuant to the Agreement on Agriculture and the Agreement on Subsidies and Countervailing Measures (SCM</w:t>
      </w:r>
      <w:r w:rsidR="00434F80">
        <w:t> </w:t>
      </w:r>
      <w:r>
        <w:t xml:space="preserve">Agreement).  </w:t>
      </w:r>
      <w:r w:rsidR="002839A0">
        <w:t xml:space="preserve">Further, Australia has shown that India has </w:t>
      </w:r>
      <w:r w:rsidR="00265739">
        <w:t xml:space="preserve">breached its obligations under those Agreements (or, in the alternative, under the General Agreement on Tariffs and Trade 1994 (GATT 1994)) by </w:t>
      </w:r>
      <w:r w:rsidR="002B1F2D">
        <w:t>fail</w:t>
      </w:r>
      <w:r w:rsidR="00265739">
        <w:t>ing</w:t>
      </w:r>
      <w:r w:rsidR="002B1F2D">
        <w:t xml:space="preserve"> to notify the </w:t>
      </w:r>
      <w:r w:rsidR="00DA5D6C">
        <w:t xml:space="preserve">WTO </w:t>
      </w:r>
      <w:r w:rsidR="002B1F2D">
        <w:t>Membership of its measures relating to sugarcane and sugar</w:t>
      </w:r>
      <w:r w:rsidR="002839A0">
        <w:t>.</w:t>
      </w:r>
    </w:p>
    <w:p w14:paraId="206286FB" w14:textId="25D98154" w:rsidR="001C3C47" w:rsidRDefault="001C3C47" w:rsidP="00D52A17">
      <w:pPr>
        <w:pStyle w:val="P1-N1Paragraph1-Number1"/>
      </w:pPr>
      <w:r>
        <w:t>For the reasons outline</w:t>
      </w:r>
      <w:r w:rsidR="00FE517F">
        <w:t>d</w:t>
      </w:r>
      <w:r>
        <w:t xml:space="preserve"> </w:t>
      </w:r>
      <w:r w:rsidR="00C75A25">
        <w:t>in this submission</w:t>
      </w:r>
      <w:r>
        <w:t xml:space="preserve">, </w:t>
      </w:r>
      <w:r w:rsidR="00FE517F">
        <w:t xml:space="preserve">Australia requests </w:t>
      </w:r>
      <w:r>
        <w:t xml:space="preserve">the Panel find that India has </w:t>
      </w:r>
      <w:r w:rsidR="00C75A25">
        <w:t>not provided</w:t>
      </w:r>
      <w:r>
        <w:t xml:space="preserve"> any legal or factual basis to rebut Australia's </w:t>
      </w:r>
      <w:r w:rsidRPr="00C75A25">
        <w:rPr>
          <w:i/>
          <w:iCs/>
        </w:rPr>
        <w:t>prima facie</w:t>
      </w:r>
      <w:r>
        <w:t xml:space="preserve"> case in </w:t>
      </w:r>
      <w:r w:rsidR="00FE517F">
        <w:t>this dispute</w:t>
      </w:r>
      <w:r>
        <w:t>.</w:t>
      </w:r>
      <w:r w:rsidR="0078214C">
        <w:t xml:space="preserve">  In </w:t>
      </w:r>
      <w:r w:rsidR="00F044E7">
        <w:t>the main</w:t>
      </w:r>
      <w:r w:rsidR="0078214C">
        <w:t>, India has responded to Australia's claims with a collection of unpersuasive legal arguments based on clear misinterpretations of the relevant provisions.  Unsurprisingly, none of the third parties that have made submissions in this dispute support India's legal reasoning.</w:t>
      </w:r>
    </w:p>
    <w:p w14:paraId="7EE10314" w14:textId="2522E86D" w:rsidR="00746302" w:rsidRDefault="00E9709D" w:rsidP="00D52A17">
      <w:pPr>
        <w:pStyle w:val="P1-N1Paragraph1-Number1"/>
      </w:pPr>
      <w:r>
        <w:t xml:space="preserve">As Australia will discuss in Section II, there are no significant factual matters </w:t>
      </w:r>
      <w:r w:rsidR="00FE517F">
        <w:t>in dispute with respect to</w:t>
      </w:r>
      <w:r>
        <w:t xml:space="preserve"> Australia's domestic support claims.  </w:t>
      </w:r>
      <w:r w:rsidR="00746302">
        <w:t xml:space="preserve">Contrary to India's contention, </w:t>
      </w:r>
      <w:r>
        <w:t xml:space="preserve">market price support </w:t>
      </w:r>
      <w:r w:rsidR="00746302">
        <w:t xml:space="preserve">under the Agreement on Agriculture is </w:t>
      </w:r>
      <w:r w:rsidR="00746302" w:rsidRPr="00F078A8">
        <w:rPr>
          <w:u w:val="single"/>
        </w:rPr>
        <w:t>not</w:t>
      </w:r>
      <w:r w:rsidR="00746302">
        <w:t xml:space="preserve"> limited to government procurement of a basic agricultural product at the applied administered price</w:t>
      </w:r>
      <w:r w:rsidR="00BD6EDB">
        <w:t> </w:t>
      </w:r>
      <w:r w:rsidR="00746302">
        <w:t>(AAP).  Thus, the F</w:t>
      </w:r>
      <w:r w:rsidR="00032044">
        <w:t xml:space="preserve">air and </w:t>
      </w:r>
      <w:r w:rsidR="00746302">
        <w:t>R</w:t>
      </w:r>
      <w:r w:rsidR="00032044">
        <w:t xml:space="preserve">emunerative </w:t>
      </w:r>
      <w:r w:rsidR="00746302">
        <w:t>P</w:t>
      </w:r>
      <w:r w:rsidR="00032044">
        <w:t>rice (FRP)</w:t>
      </w:r>
      <w:r w:rsidR="00746302">
        <w:t xml:space="preserve"> and S</w:t>
      </w:r>
      <w:r w:rsidR="00032044">
        <w:t xml:space="preserve">tate </w:t>
      </w:r>
      <w:r w:rsidR="00746302">
        <w:t>A</w:t>
      </w:r>
      <w:r w:rsidR="00032044">
        <w:t xml:space="preserve">dvised </w:t>
      </w:r>
      <w:r w:rsidR="00746302">
        <w:t>P</w:t>
      </w:r>
      <w:r w:rsidR="00032044">
        <w:t>rice (SAP)</w:t>
      </w:r>
      <w:r w:rsidR="00746302">
        <w:t xml:space="preserve"> measures </w:t>
      </w:r>
      <w:r w:rsidR="00746302" w:rsidRPr="00F078A8">
        <w:rPr>
          <w:u w:val="single"/>
        </w:rPr>
        <w:t>are</w:t>
      </w:r>
      <w:r w:rsidR="00746302">
        <w:t xml:space="preserve"> </w:t>
      </w:r>
      <w:r w:rsidR="00032044">
        <w:t>market price support</w:t>
      </w:r>
      <w:r w:rsidR="00746302">
        <w:t xml:space="preserve"> and properly included in Australia's calculations of India's domestic support for sugarcane</w:t>
      </w:r>
      <w:r w:rsidR="00B73C73">
        <w:t xml:space="preserve"> producers</w:t>
      </w:r>
      <w:r w:rsidR="00746302">
        <w:t xml:space="preserve">. </w:t>
      </w:r>
    </w:p>
    <w:p w14:paraId="65D0C86D" w14:textId="55817533" w:rsidR="0026637A" w:rsidRDefault="00B1283D" w:rsidP="00A06888">
      <w:pPr>
        <w:pStyle w:val="P1-N1Paragraph1-Number1"/>
        <w:keepNext/>
      </w:pPr>
      <w:r>
        <w:t>In Section III, Australia rebuts</w:t>
      </w:r>
      <w:r w:rsidR="002D16A4">
        <w:t>, as outlined below,</w:t>
      </w:r>
      <w:r>
        <w:t xml:space="preserve"> India's arguments in defence of its export subsidies</w:t>
      </w:r>
      <w:r w:rsidR="00F07703">
        <w:t>:</w:t>
      </w:r>
      <w:r>
        <w:t xml:space="preserve">  </w:t>
      </w:r>
    </w:p>
    <w:p w14:paraId="2995A2A2" w14:textId="44C1A86B" w:rsidR="0026637A" w:rsidRDefault="00F37FE5" w:rsidP="00A06888">
      <w:pPr>
        <w:pStyle w:val="P2-B1Paragraph2-Bullet1"/>
        <w:keepLines/>
        <w:ind w:left="1702" w:hanging="851"/>
      </w:pPr>
      <w:r w:rsidRPr="00F044E7">
        <w:t>First</w:t>
      </w:r>
      <w:r>
        <w:t xml:space="preserve">, </w:t>
      </w:r>
      <w:r w:rsidR="008B79E4" w:rsidRPr="000C7E34">
        <w:t>India's argument</w:t>
      </w:r>
      <w:r w:rsidR="008B79E4">
        <w:t xml:space="preserve"> –</w:t>
      </w:r>
      <w:r w:rsidR="008B79E4" w:rsidRPr="00BC3060">
        <w:t xml:space="preserve"> in relation to its production and buffer stock</w:t>
      </w:r>
      <w:r w:rsidR="008B79E4">
        <w:t xml:space="preserve"> subsidies, and the M</w:t>
      </w:r>
      <w:r w:rsidR="00695BE2">
        <w:t xml:space="preserve">aximum </w:t>
      </w:r>
      <w:r w:rsidR="008B79E4">
        <w:t>A</w:t>
      </w:r>
      <w:r w:rsidR="00695BE2">
        <w:t xml:space="preserve">dmissible </w:t>
      </w:r>
      <w:r w:rsidR="008B79E4">
        <w:t>E</w:t>
      </w:r>
      <w:r w:rsidR="00695BE2">
        <w:t xml:space="preserve">xport </w:t>
      </w:r>
      <w:r w:rsidR="008B79E4">
        <w:t>Q</w:t>
      </w:r>
      <w:r w:rsidR="00695BE2">
        <w:t>uantities (MAEQ)</w:t>
      </w:r>
      <w:r w:rsidR="008B79E4">
        <w:t xml:space="preserve"> scheme –</w:t>
      </w:r>
      <w:r w:rsidR="008B79E4" w:rsidRPr="00BC3060">
        <w:t xml:space="preserve"> that Australia has not established the existence of </w:t>
      </w:r>
      <w:r w:rsidR="00885ED8">
        <w:t>a</w:t>
      </w:r>
      <w:r w:rsidR="008B79E4" w:rsidRPr="00BC3060">
        <w:t xml:space="preserve"> subsid</w:t>
      </w:r>
      <w:r w:rsidR="00885ED8">
        <w:t>y</w:t>
      </w:r>
      <w:r w:rsidR="008B79E4" w:rsidRPr="00BC3060">
        <w:t xml:space="preserve"> </w:t>
      </w:r>
      <w:r w:rsidR="008B79E4">
        <w:t xml:space="preserve">rests on a </w:t>
      </w:r>
      <w:r w:rsidR="00C70619">
        <w:t>mis</w:t>
      </w:r>
      <w:r w:rsidR="00885ED8">
        <w:t>interpretation</w:t>
      </w:r>
      <w:r w:rsidR="008B79E4">
        <w:t xml:space="preserve"> </w:t>
      </w:r>
      <w:r w:rsidR="008B79E4" w:rsidRPr="00BC3060">
        <w:t xml:space="preserve">of the legal </w:t>
      </w:r>
      <w:r w:rsidR="004A51D8" w:rsidRPr="00BC3060">
        <w:t xml:space="preserve">standard </w:t>
      </w:r>
      <w:r w:rsidR="008B79E4" w:rsidRPr="00BC3060">
        <w:t>applicable under</w:t>
      </w:r>
      <w:r w:rsidR="008B79E4">
        <w:t xml:space="preserve"> </w:t>
      </w:r>
      <w:r w:rsidR="004A51D8">
        <w:t>Article</w:t>
      </w:r>
      <w:r w:rsidR="00885ED8">
        <w:t> 9.1(a) of the Agreement on Agriculture</w:t>
      </w:r>
      <w:r>
        <w:t xml:space="preserve"> and Article 1.1 of the SCM Agreement</w:t>
      </w:r>
      <w:r w:rsidR="004A51D8">
        <w:t>.</w:t>
      </w:r>
      <w:r>
        <w:t xml:space="preserve"> </w:t>
      </w:r>
      <w:r w:rsidR="00B600A3">
        <w:t xml:space="preserve"> </w:t>
      </w:r>
    </w:p>
    <w:p w14:paraId="7D007CD1" w14:textId="77777777" w:rsidR="0026637A" w:rsidRDefault="00F37FE5" w:rsidP="0026637A">
      <w:pPr>
        <w:pStyle w:val="P2-B1Paragraph2-Bullet1"/>
      </w:pPr>
      <w:r w:rsidRPr="000C7E34">
        <w:t>Second</w:t>
      </w:r>
      <w:r>
        <w:t xml:space="preserve">, India </w:t>
      </w:r>
      <w:r w:rsidR="00B600A3">
        <w:t xml:space="preserve">has failed to substantiate its assertion </w:t>
      </w:r>
      <w:r w:rsidR="00B600A3" w:rsidRPr="00BC3060">
        <w:t xml:space="preserve">that the MAEQ scheme is an export subsidy </w:t>
      </w:r>
      <w:r w:rsidR="00B600A3">
        <w:t>of a kind covered by</w:t>
      </w:r>
      <w:r w:rsidR="00B600A3" w:rsidRPr="00BC3060">
        <w:t xml:space="preserve"> Articles</w:t>
      </w:r>
      <w:r w:rsidR="00B600A3">
        <w:t> </w:t>
      </w:r>
      <w:r w:rsidR="00B600A3" w:rsidRPr="00BC3060">
        <w:t>9.1(d)</w:t>
      </w:r>
      <w:r w:rsidR="00B600A3">
        <w:t> </w:t>
      </w:r>
      <w:r w:rsidR="00B600A3" w:rsidRPr="00BC3060">
        <w:t>and</w:t>
      </w:r>
      <w:r w:rsidR="00B600A3">
        <w:t> </w:t>
      </w:r>
      <w:r w:rsidR="00B600A3" w:rsidRPr="00BC3060">
        <w:t>(e)</w:t>
      </w:r>
      <w:r w:rsidR="00B600A3">
        <w:t xml:space="preserve"> and therefore permitted under</w:t>
      </w:r>
      <w:r w:rsidR="00B600A3" w:rsidRPr="00BC3060">
        <w:t xml:space="preserve"> Article 9.4.</w:t>
      </w:r>
      <w:r w:rsidR="00B600A3">
        <w:t xml:space="preserve">  </w:t>
      </w:r>
    </w:p>
    <w:p w14:paraId="500116B4" w14:textId="04B8E960" w:rsidR="0026637A" w:rsidRDefault="00B600A3" w:rsidP="0026637A">
      <w:pPr>
        <w:pStyle w:val="P2-B1Paragraph2-Bullet1"/>
      </w:pPr>
      <w:r w:rsidRPr="000C7E34">
        <w:t>Third</w:t>
      </w:r>
      <w:r>
        <w:t xml:space="preserve">, India's insistence </w:t>
      </w:r>
      <w:r w:rsidRPr="00BC3060">
        <w:t xml:space="preserve">that it is exempt from the prohibition on export subsidies </w:t>
      </w:r>
      <w:r w:rsidR="00C70619">
        <w:t>under</w:t>
      </w:r>
      <w:r>
        <w:t xml:space="preserve"> </w:t>
      </w:r>
      <w:r w:rsidRPr="00BC3060">
        <w:t>Article</w:t>
      </w:r>
      <w:r>
        <w:t> </w:t>
      </w:r>
      <w:r w:rsidRPr="00BC3060">
        <w:t>3.1(a) of the SCM Agreement, by virtue of Article</w:t>
      </w:r>
      <w:r w:rsidR="00434F80">
        <w:t> </w:t>
      </w:r>
      <w:r w:rsidRPr="00BC3060">
        <w:t>27.2</w:t>
      </w:r>
      <w:r w:rsidR="00E30FB5">
        <w:t>(b)</w:t>
      </w:r>
      <w:r w:rsidRPr="00BC3060">
        <w:t xml:space="preserve"> and Annex VII</w:t>
      </w:r>
      <w:r>
        <w:t xml:space="preserve">, rests on a </w:t>
      </w:r>
      <w:r w:rsidR="00DD3C44">
        <w:t>flawed</w:t>
      </w:r>
      <w:r>
        <w:t xml:space="preserve"> </w:t>
      </w:r>
      <w:r w:rsidRPr="00BC3060">
        <w:t xml:space="preserve">interpretation of the relevant </w:t>
      </w:r>
      <w:r w:rsidR="003B1979">
        <w:t>A</w:t>
      </w:r>
      <w:r w:rsidRPr="00BC3060">
        <w:t>rticles</w:t>
      </w:r>
      <w:r w:rsidR="00FE517F">
        <w:t>.  India's argument</w:t>
      </w:r>
      <w:r w:rsidRPr="00BC3060">
        <w:t xml:space="preserve"> is </w:t>
      </w:r>
      <w:r>
        <w:t>inconsistent</w:t>
      </w:r>
      <w:r w:rsidRPr="00BC3060">
        <w:t xml:space="preserve"> with customary rules of treaty interpretation</w:t>
      </w:r>
      <w:r>
        <w:t xml:space="preserve">.  </w:t>
      </w:r>
    </w:p>
    <w:p w14:paraId="19400370" w14:textId="237248F5" w:rsidR="008B79E4" w:rsidRDefault="0078214C" w:rsidP="00D35F50">
      <w:pPr>
        <w:pStyle w:val="P2-B1Paragraph2-Bullet1"/>
      </w:pPr>
      <w:r w:rsidRPr="000C7E34">
        <w:t>Lastly</w:t>
      </w:r>
      <w:r>
        <w:t xml:space="preserve">, India's claim that the </w:t>
      </w:r>
      <w:r w:rsidRPr="00BC3060">
        <w:t>D</w:t>
      </w:r>
      <w:r w:rsidR="008A7DBA">
        <w:t xml:space="preserve">uty </w:t>
      </w:r>
      <w:r w:rsidRPr="00BC3060">
        <w:t>F</w:t>
      </w:r>
      <w:r w:rsidR="008A7DBA">
        <w:t xml:space="preserve">ree </w:t>
      </w:r>
      <w:r w:rsidRPr="00BC3060">
        <w:t>I</w:t>
      </w:r>
      <w:r w:rsidR="008A7DBA">
        <w:t xml:space="preserve">mport </w:t>
      </w:r>
      <w:r w:rsidRPr="00BC3060">
        <w:t>A</w:t>
      </w:r>
      <w:r w:rsidR="008A7DBA">
        <w:t>uthorisation (DFIA)</w:t>
      </w:r>
      <w:r w:rsidRPr="00BC3060">
        <w:t xml:space="preserve"> scheme is not an export subsidy </w:t>
      </w:r>
      <w:r>
        <w:t>because it</w:t>
      </w:r>
      <w:r w:rsidRPr="00BC3060">
        <w:t xml:space="preserve"> falls within the carve out create</w:t>
      </w:r>
      <w:r>
        <w:t xml:space="preserve">d by footnote 1 to the SCM Agreement </w:t>
      </w:r>
      <w:r w:rsidRPr="00BC3060">
        <w:t xml:space="preserve">is not </w:t>
      </w:r>
      <w:r w:rsidR="00C70619">
        <w:t>supported</w:t>
      </w:r>
      <w:r w:rsidRPr="00BC3060">
        <w:t xml:space="preserve"> by the facts, as the measure provides a customs duty exemption on raw sugar that is not physically incorporated into exported white sugar</w:t>
      </w:r>
      <w:r w:rsidR="00AB5B54">
        <w:t>.</w:t>
      </w:r>
      <w:r>
        <w:t xml:space="preserve"> </w:t>
      </w:r>
    </w:p>
    <w:p w14:paraId="47D0AC30" w14:textId="4629F47E" w:rsidR="00F45E43" w:rsidRDefault="0078214C" w:rsidP="006674A3">
      <w:pPr>
        <w:pStyle w:val="P1-N1Paragraph1-Number1"/>
      </w:pPr>
      <w:r>
        <w:t>Next</w:t>
      </w:r>
      <w:r w:rsidR="00C17702">
        <w:t>, in Section</w:t>
      </w:r>
      <w:r w:rsidR="004A51D8">
        <w:t xml:space="preserve"> IV</w:t>
      </w:r>
      <w:r w:rsidR="000D5D90">
        <w:t xml:space="preserve">, Australia </w:t>
      </w:r>
      <w:r w:rsidR="006D4E0E">
        <w:t xml:space="preserve">addresses India's </w:t>
      </w:r>
      <w:r w:rsidR="004661CC">
        <w:t xml:space="preserve">attempt to diminish its legal obligations </w:t>
      </w:r>
      <w:r w:rsidR="0069372B">
        <w:t xml:space="preserve">under the Agreement on Agriculture </w:t>
      </w:r>
      <w:r w:rsidR="004661CC">
        <w:t xml:space="preserve">to </w:t>
      </w:r>
      <w:r w:rsidR="0069372B">
        <w:t xml:space="preserve">notify the Membership </w:t>
      </w:r>
      <w:r w:rsidR="004661CC">
        <w:t xml:space="preserve">of its domestic support to sugarcane and export </w:t>
      </w:r>
      <w:r w:rsidR="0069372B">
        <w:t>subsidies for sugar</w:t>
      </w:r>
      <w:r w:rsidR="004661CC">
        <w:t>.</w:t>
      </w:r>
      <w:r w:rsidR="0069372B">
        <w:t xml:space="preserve">  India ignores the mandatory language used in Article 18 and seeks to rely on hortatory language used in a less-than-treaty level instrument.  India does not contest that it has failed to notify its measures</w:t>
      </w:r>
      <w:r w:rsidR="00F044E7">
        <w:t>,</w:t>
      </w:r>
      <w:r w:rsidR="0069372B">
        <w:t xml:space="preserve"> or the binding nature of its notification obligations pursuant to </w:t>
      </w:r>
      <w:r w:rsidR="000D5D90">
        <w:t>Article 25 of the SCM Agreement and Article XVI:1 of the</w:t>
      </w:r>
      <w:r w:rsidR="000D5D90" w:rsidRPr="007A59D5">
        <w:t xml:space="preserve"> GATT </w:t>
      </w:r>
      <w:r w:rsidR="000D5D90">
        <w:t xml:space="preserve">1994.   </w:t>
      </w:r>
      <w:r w:rsidR="00E9709D">
        <w:t xml:space="preserve"> </w:t>
      </w:r>
      <w:r w:rsidR="000D5D90">
        <w:t xml:space="preserve"> </w:t>
      </w:r>
    </w:p>
    <w:p w14:paraId="2B6A98BD" w14:textId="77777777" w:rsidR="00235CBD" w:rsidRPr="006674A3" w:rsidRDefault="00D226F2" w:rsidP="00C44437">
      <w:pPr>
        <w:pStyle w:val="P1-N1Paragraph1-Number1"/>
      </w:pPr>
      <w:r>
        <w:t>Finally, in Section</w:t>
      </w:r>
      <w:r w:rsidR="00573FB5">
        <w:t> </w:t>
      </w:r>
      <w:r>
        <w:t>V</w:t>
      </w:r>
      <w:r w:rsidR="00573FB5">
        <w:t xml:space="preserve">, Australia concludes </w:t>
      </w:r>
      <w:r>
        <w:t xml:space="preserve">by requesting the Panel to resolve this dispute by making the findings and recommendations Australia seeks. </w:t>
      </w:r>
    </w:p>
    <w:p w14:paraId="33724255" w14:textId="57D740CE" w:rsidR="00312270" w:rsidRDefault="00312270" w:rsidP="000A3EED">
      <w:pPr>
        <w:pStyle w:val="HL1HeadingLevel1"/>
      </w:pPr>
      <w:bookmarkStart w:id="8" w:name="_Toc63966812"/>
      <w:r>
        <w:t xml:space="preserve">INDIA'S DOMESTIC SUPPORT </w:t>
      </w:r>
      <w:r w:rsidR="00667DE2">
        <w:t>IN FAVOUR OF</w:t>
      </w:r>
      <w:r>
        <w:t xml:space="preserve"> SUGARCANE </w:t>
      </w:r>
      <w:r w:rsidR="00667DE2">
        <w:t xml:space="preserve">PRODUCERS </w:t>
      </w:r>
      <w:r>
        <w:t>VIOLATES ITS OBLIGATIONS UNDER THE AGREEMENT ON AGRICULTURE</w:t>
      </w:r>
      <w:bookmarkEnd w:id="8"/>
    </w:p>
    <w:p w14:paraId="41678F25" w14:textId="7ED3B531" w:rsidR="00146E8C" w:rsidRDefault="004D3F5E" w:rsidP="00312270">
      <w:pPr>
        <w:pStyle w:val="P1-N1Paragraph1-Number1"/>
      </w:pPr>
      <w:r w:rsidRPr="001B544F">
        <w:t xml:space="preserve">Australia has established that India's non-exempt domestic support </w:t>
      </w:r>
      <w:r w:rsidR="00667DE2">
        <w:t>in favour of</w:t>
      </w:r>
      <w:r w:rsidRPr="001B544F">
        <w:t xml:space="preserve"> sugarcane </w:t>
      </w:r>
      <w:r w:rsidR="00667DE2">
        <w:t xml:space="preserve">producers </w:t>
      </w:r>
      <w:r w:rsidRPr="001B544F">
        <w:t xml:space="preserve">violates its commitment under the Agreement on Agriculture </w:t>
      </w:r>
      <w:r w:rsidR="00985D73" w:rsidRPr="001B544F">
        <w:t xml:space="preserve">not </w:t>
      </w:r>
      <w:r w:rsidRPr="001B544F">
        <w:t xml:space="preserve">to provide support in excess of </w:t>
      </w:r>
      <w:r w:rsidR="001B544F" w:rsidRPr="001B544F">
        <w:t xml:space="preserve">the </w:t>
      </w:r>
      <w:r w:rsidR="001B544F" w:rsidRPr="001B544F">
        <w:rPr>
          <w:i/>
          <w:iCs/>
        </w:rPr>
        <w:t>de minimis</w:t>
      </w:r>
      <w:r w:rsidR="001B544F" w:rsidRPr="001B544F">
        <w:t xml:space="preserve"> level of 10 per cent of the value of production</w:t>
      </w:r>
      <w:r w:rsidRPr="001B544F">
        <w:t>.</w:t>
      </w:r>
      <w:r w:rsidR="00D70230" w:rsidRPr="001B544F">
        <w:t xml:space="preserve">  </w:t>
      </w:r>
    </w:p>
    <w:p w14:paraId="3CEB573B" w14:textId="7C1018C9" w:rsidR="004D3F5E" w:rsidRPr="001B544F" w:rsidRDefault="00146E8C" w:rsidP="00312270">
      <w:pPr>
        <w:pStyle w:val="P1-N1Paragraph1-Number1"/>
      </w:pPr>
      <w:r w:rsidRPr="00146E8C">
        <w:t xml:space="preserve">Australia recalls that, at the first substantive meeting, it </w:t>
      </w:r>
      <w:r w:rsidR="00FE517F">
        <w:t>submitted</w:t>
      </w:r>
      <w:r w:rsidRPr="00146E8C">
        <w:t xml:space="preserve"> updated calculations of India's domestic support to sugarcane in the 2014–15 to 2018–19 sugar seasons</w:t>
      </w:r>
      <w:r w:rsidR="00FE517F" w:rsidRPr="00FE517F">
        <w:t>, reflecting the latest official Indian data on value of production.</w:t>
      </w:r>
      <w:r w:rsidR="00FE517F" w:rsidRPr="00FE517F">
        <w:rPr>
          <w:vertAlign w:val="superscript"/>
        </w:rPr>
        <w:footnoteReference w:id="1"/>
      </w:r>
      <w:r w:rsidRPr="00146E8C">
        <w:t xml:space="preserve">  </w:t>
      </w:r>
      <w:r w:rsidR="00D70230" w:rsidRPr="001B544F">
        <w:t xml:space="preserve">As </w:t>
      </w:r>
      <w:r w:rsidR="008130C6" w:rsidRPr="001B544F">
        <w:t>illustrated</w:t>
      </w:r>
      <w:r w:rsidR="00D70230" w:rsidRPr="001B544F">
        <w:t xml:space="preserve"> in Table 1 (Revised), </w:t>
      </w:r>
      <w:r w:rsidR="008130C6" w:rsidRPr="001B544F">
        <w:t xml:space="preserve">India's non-exempt domestic support to sugarcane </w:t>
      </w:r>
      <w:r w:rsidR="008130C6" w:rsidRPr="001B544F">
        <w:rPr>
          <w:u w:val="single"/>
        </w:rPr>
        <w:t>exceeded 100</w:t>
      </w:r>
      <w:r w:rsidR="00FC3D96">
        <w:rPr>
          <w:u w:val="single"/>
        </w:rPr>
        <w:t xml:space="preserve"> per cent</w:t>
      </w:r>
      <w:r w:rsidR="008130C6" w:rsidRPr="001B544F">
        <w:rPr>
          <w:u w:val="single"/>
        </w:rPr>
        <w:t xml:space="preserve"> of the value of production</w:t>
      </w:r>
      <w:r w:rsidR="008130C6" w:rsidRPr="001B544F">
        <w:t xml:space="preserve"> in each of the sugar seasons from 2014–15 to 2018–19. </w:t>
      </w:r>
      <w:r>
        <w:t xml:space="preserve"> </w:t>
      </w:r>
      <w:r w:rsidRPr="00146E8C">
        <w:t xml:space="preserve">Australia has also updated other tables </w:t>
      </w:r>
      <w:r w:rsidR="00AD6F65">
        <w:t xml:space="preserve">originally </w:t>
      </w:r>
      <w:r w:rsidRPr="00146E8C">
        <w:t>presented in its first written submission to reflect the revised calculations</w:t>
      </w:r>
      <w:r w:rsidR="000F28D5" w:rsidRPr="000F28D5">
        <w:t xml:space="preserve"> submitted at the first substantive meeting</w:t>
      </w:r>
      <w:r w:rsidRPr="00146E8C">
        <w:t>.</w:t>
      </w:r>
      <w:r w:rsidR="000F28D5">
        <w:rPr>
          <w:rStyle w:val="FootnoteReference"/>
        </w:rPr>
        <w:footnoteReference w:id="2"/>
      </w:r>
      <w:r w:rsidRPr="00146E8C">
        <w:t xml:space="preserve">  These </w:t>
      </w:r>
      <w:r w:rsidR="000F0D6E">
        <w:t xml:space="preserve">tables </w:t>
      </w:r>
      <w:r w:rsidRPr="00146E8C">
        <w:t>are set out in Annex</w:t>
      </w:r>
      <w:r w:rsidR="000F3DF7">
        <w:t> A</w:t>
      </w:r>
      <w:r w:rsidRPr="00146E8C">
        <w:t xml:space="preserve"> to this submission.</w:t>
      </w:r>
    </w:p>
    <w:p w14:paraId="2B7E55A4" w14:textId="77777777" w:rsidR="00F7394A" w:rsidRPr="001B544F" w:rsidRDefault="00F7394A" w:rsidP="00146E8C">
      <w:pPr>
        <w:pStyle w:val="THTableHeading"/>
        <w:keepNext/>
        <w:jc w:val="center"/>
      </w:pPr>
      <w:r w:rsidRPr="001B544F">
        <w:t>TABLE 1 (Revised) – Product-specific domestic support for sugarcane as a percentage of value of production</w:t>
      </w:r>
      <w:r w:rsidRPr="001B544F">
        <w:rPr>
          <w:rStyle w:val="FootnoteReference"/>
        </w:rPr>
        <w:footnoteReference w:id="3"/>
      </w:r>
    </w:p>
    <w:tbl>
      <w:tblPr>
        <w:tblW w:w="495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43"/>
        <w:gridCol w:w="2231"/>
        <w:gridCol w:w="2516"/>
      </w:tblGrid>
      <w:tr w:rsidR="00F7394A" w:rsidRPr="001B544F" w14:paraId="0AA12E78" w14:textId="77777777" w:rsidTr="00E848CA">
        <w:trPr>
          <w:tblHeader/>
        </w:trPr>
        <w:tc>
          <w:tcPr>
            <w:tcW w:w="715" w:type="pct"/>
            <w:tcBorders>
              <w:top w:val="single" w:sz="4" w:space="0" w:color="auto"/>
              <w:left w:val="single" w:sz="4" w:space="0" w:color="auto"/>
              <w:bottom w:val="single" w:sz="4" w:space="0" w:color="auto"/>
              <w:right w:val="single" w:sz="4" w:space="0" w:color="auto"/>
            </w:tcBorders>
            <w:vAlign w:val="center"/>
          </w:tcPr>
          <w:p w14:paraId="28A83AF0" w14:textId="77777777" w:rsidR="00F7394A" w:rsidRPr="001B544F" w:rsidRDefault="00F7394A" w:rsidP="00E848CA">
            <w:pPr>
              <w:keepNext/>
              <w:keepLines/>
              <w:spacing w:after="0" w:line="276" w:lineRule="auto"/>
              <w:jc w:val="center"/>
              <w:rPr>
                <w:rFonts w:asciiTheme="minorHAnsi" w:hAnsiTheme="minorHAnsi" w:cstheme="minorHAnsi"/>
                <w:b/>
              </w:rPr>
            </w:pPr>
            <w:r w:rsidRPr="001B544F">
              <w:rPr>
                <w:rFonts w:asciiTheme="minorHAnsi" w:hAnsiTheme="minorHAnsi" w:cstheme="minorHAnsi"/>
                <w:b/>
              </w:rPr>
              <w:t>Sugar Season</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8E9D22B" w14:textId="77777777" w:rsidR="00F7394A" w:rsidRPr="001B544F" w:rsidRDefault="00F7394A" w:rsidP="00E848CA">
            <w:pPr>
              <w:pStyle w:val="ListParagraph"/>
              <w:keepNext/>
              <w:keepLines/>
              <w:spacing w:after="0" w:line="276" w:lineRule="auto"/>
              <w:ind w:left="0"/>
              <w:jc w:val="center"/>
              <w:rPr>
                <w:rFonts w:asciiTheme="minorHAnsi" w:hAnsiTheme="minorHAnsi" w:cstheme="minorHAnsi"/>
                <w:b/>
              </w:rPr>
            </w:pPr>
            <w:r w:rsidRPr="001B544F">
              <w:rPr>
                <w:rFonts w:asciiTheme="minorHAnsi" w:hAnsiTheme="minorHAnsi" w:cstheme="minorHAnsi"/>
                <w:b/>
              </w:rPr>
              <w:t>Product-specific Aggregate Measurement of Support (AMS) (INR millions)</w:t>
            </w:r>
          </w:p>
        </w:tc>
        <w:tc>
          <w:tcPr>
            <w:tcW w:w="1243" w:type="pct"/>
            <w:tcBorders>
              <w:top w:val="single" w:sz="4" w:space="0" w:color="auto"/>
              <w:left w:val="single" w:sz="4" w:space="0" w:color="auto"/>
              <w:bottom w:val="single" w:sz="4" w:space="0" w:color="auto"/>
              <w:right w:val="single" w:sz="4" w:space="0" w:color="auto"/>
            </w:tcBorders>
            <w:vAlign w:val="center"/>
            <w:hideMark/>
          </w:tcPr>
          <w:p w14:paraId="1D309251" w14:textId="77777777" w:rsidR="00F7394A" w:rsidRPr="001B544F" w:rsidRDefault="00F7394A" w:rsidP="00E848CA">
            <w:pPr>
              <w:pStyle w:val="ListParagraph"/>
              <w:keepNext/>
              <w:keepLines/>
              <w:spacing w:after="0" w:line="276" w:lineRule="auto"/>
              <w:ind w:left="0"/>
              <w:jc w:val="center"/>
              <w:rPr>
                <w:rFonts w:asciiTheme="minorHAnsi" w:hAnsiTheme="minorHAnsi" w:cstheme="minorHAnsi"/>
                <w:b/>
              </w:rPr>
            </w:pPr>
            <w:r w:rsidRPr="001B544F">
              <w:rPr>
                <w:rFonts w:asciiTheme="minorHAnsi" w:hAnsiTheme="minorHAnsi" w:cstheme="minorHAnsi"/>
                <w:b/>
              </w:rPr>
              <w:t>Value of production</w:t>
            </w:r>
          </w:p>
          <w:p w14:paraId="6B69E6F8" w14:textId="77777777" w:rsidR="00F7394A" w:rsidRPr="001B544F" w:rsidRDefault="00F7394A" w:rsidP="00E848CA">
            <w:pPr>
              <w:pStyle w:val="ListParagraph"/>
              <w:keepNext/>
              <w:keepLines/>
              <w:spacing w:after="0" w:line="276" w:lineRule="auto"/>
              <w:ind w:left="0"/>
              <w:jc w:val="center"/>
              <w:rPr>
                <w:rFonts w:asciiTheme="minorHAnsi" w:hAnsiTheme="minorHAnsi" w:cstheme="minorHAnsi"/>
                <w:b/>
              </w:rPr>
            </w:pPr>
            <w:r w:rsidRPr="001B544F">
              <w:rPr>
                <w:rFonts w:asciiTheme="minorHAnsi" w:hAnsiTheme="minorHAnsi" w:cstheme="minorHAnsi"/>
                <w:b/>
              </w:rPr>
              <w:t>(INR millions)</w:t>
            </w:r>
          </w:p>
        </w:tc>
        <w:tc>
          <w:tcPr>
            <w:tcW w:w="1402" w:type="pct"/>
            <w:tcBorders>
              <w:top w:val="single" w:sz="4" w:space="0" w:color="auto"/>
              <w:left w:val="single" w:sz="4" w:space="0" w:color="auto"/>
              <w:bottom w:val="single" w:sz="4" w:space="0" w:color="auto"/>
              <w:right w:val="single" w:sz="4" w:space="0" w:color="auto"/>
            </w:tcBorders>
            <w:vAlign w:val="center"/>
            <w:hideMark/>
          </w:tcPr>
          <w:p w14:paraId="58CEA51D" w14:textId="77777777" w:rsidR="00F7394A" w:rsidRPr="001B544F" w:rsidRDefault="00F7394A" w:rsidP="00E848CA">
            <w:pPr>
              <w:pStyle w:val="ListParagraph"/>
              <w:keepNext/>
              <w:keepLines/>
              <w:spacing w:after="0" w:line="276" w:lineRule="auto"/>
              <w:ind w:left="0"/>
              <w:jc w:val="center"/>
              <w:rPr>
                <w:rFonts w:asciiTheme="minorHAnsi" w:hAnsiTheme="minorHAnsi" w:cstheme="minorHAnsi"/>
                <w:b/>
              </w:rPr>
            </w:pPr>
            <w:r w:rsidRPr="001B544F">
              <w:rPr>
                <w:rFonts w:asciiTheme="minorHAnsi" w:hAnsiTheme="minorHAnsi"/>
                <w:b/>
                <w:bCs/>
              </w:rPr>
              <w:t>Product-specific AMS as percentage of value of production</w:t>
            </w:r>
            <w:r w:rsidRPr="001B544F">
              <w:rPr>
                <w:rStyle w:val="FootnoteReference"/>
                <w:rFonts w:asciiTheme="minorHAnsi" w:hAnsiTheme="minorHAnsi"/>
              </w:rPr>
              <w:footnoteReference w:id="4"/>
            </w:r>
          </w:p>
        </w:tc>
      </w:tr>
      <w:tr w:rsidR="00F7394A" w:rsidRPr="001B544F" w14:paraId="50E2E31B" w14:textId="77777777" w:rsidTr="00E848CA">
        <w:tc>
          <w:tcPr>
            <w:tcW w:w="715" w:type="pct"/>
            <w:tcBorders>
              <w:top w:val="single" w:sz="4" w:space="0" w:color="auto"/>
              <w:left w:val="single" w:sz="4" w:space="0" w:color="auto"/>
              <w:bottom w:val="single" w:sz="4" w:space="0" w:color="auto"/>
              <w:right w:val="single" w:sz="4" w:space="0" w:color="auto"/>
            </w:tcBorders>
          </w:tcPr>
          <w:p w14:paraId="64805868" w14:textId="77777777" w:rsidR="00F7394A" w:rsidRPr="001B544F" w:rsidRDefault="00F7394A" w:rsidP="00E848CA">
            <w:pPr>
              <w:pStyle w:val="ListParagraph"/>
              <w:spacing w:after="0" w:line="276" w:lineRule="auto"/>
              <w:ind w:left="0"/>
              <w:jc w:val="center"/>
              <w:rPr>
                <w:rFonts w:asciiTheme="minorHAnsi" w:hAnsiTheme="minorHAnsi" w:cstheme="minorHAnsi"/>
                <w:b/>
              </w:rPr>
            </w:pPr>
          </w:p>
        </w:tc>
        <w:tc>
          <w:tcPr>
            <w:tcW w:w="1640" w:type="pct"/>
            <w:tcBorders>
              <w:top w:val="single" w:sz="4" w:space="0" w:color="auto"/>
              <w:left w:val="single" w:sz="4" w:space="0" w:color="auto"/>
              <w:bottom w:val="single" w:sz="4" w:space="0" w:color="auto"/>
              <w:right w:val="single" w:sz="4" w:space="0" w:color="auto"/>
            </w:tcBorders>
            <w:hideMark/>
          </w:tcPr>
          <w:p w14:paraId="2ACC6B12" w14:textId="77777777" w:rsidR="00F7394A" w:rsidRPr="001B544F" w:rsidRDefault="00F7394A" w:rsidP="00E848CA">
            <w:pPr>
              <w:pStyle w:val="ListParagraph"/>
              <w:spacing w:after="0" w:line="276" w:lineRule="auto"/>
              <w:ind w:left="0"/>
              <w:jc w:val="center"/>
              <w:rPr>
                <w:rFonts w:asciiTheme="minorHAnsi" w:hAnsiTheme="minorHAnsi" w:cstheme="minorHAnsi"/>
              </w:rPr>
            </w:pPr>
            <w:r w:rsidRPr="001B544F">
              <w:rPr>
                <w:rFonts w:asciiTheme="minorHAnsi" w:hAnsiTheme="minorHAnsi" w:cstheme="minorHAnsi"/>
              </w:rPr>
              <w:t>A</w:t>
            </w:r>
          </w:p>
        </w:tc>
        <w:tc>
          <w:tcPr>
            <w:tcW w:w="1243" w:type="pct"/>
            <w:tcBorders>
              <w:top w:val="single" w:sz="4" w:space="0" w:color="auto"/>
              <w:left w:val="single" w:sz="4" w:space="0" w:color="auto"/>
              <w:bottom w:val="single" w:sz="4" w:space="0" w:color="auto"/>
              <w:right w:val="single" w:sz="4" w:space="0" w:color="auto"/>
            </w:tcBorders>
            <w:hideMark/>
          </w:tcPr>
          <w:p w14:paraId="7F344A7B" w14:textId="77777777" w:rsidR="00F7394A" w:rsidRPr="001B544F" w:rsidRDefault="00F7394A" w:rsidP="00E848CA">
            <w:pPr>
              <w:pStyle w:val="ListParagraph"/>
              <w:spacing w:after="0" w:line="276" w:lineRule="auto"/>
              <w:ind w:left="0"/>
              <w:jc w:val="center"/>
              <w:rPr>
                <w:rFonts w:asciiTheme="minorHAnsi" w:hAnsiTheme="minorHAnsi" w:cstheme="minorHAnsi"/>
              </w:rPr>
            </w:pPr>
            <w:r w:rsidRPr="001B544F">
              <w:rPr>
                <w:rFonts w:asciiTheme="minorHAnsi" w:hAnsiTheme="minorHAnsi" w:cstheme="minorHAnsi"/>
              </w:rPr>
              <w:t>B</w:t>
            </w:r>
          </w:p>
        </w:tc>
        <w:tc>
          <w:tcPr>
            <w:tcW w:w="1402" w:type="pct"/>
            <w:tcBorders>
              <w:top w:val="single" w:sz="4" w:space="0" w:color="auto"/>
              <w:left w:val="single" w:sz="4" w:space="0" w:color="auto"/>
              <w:bottom w:val="single" w:sz="4" w:space="0" w:color="auto"/>
              <w:right w:val="single" w:sz="4" w:space="0" w:color="auto"/>
            </w:tcBorders>
            <w:hideMark/>
          </w:tcPr>
          <w:p w14:paraId="141A52B0" w14:textId="77777777" w:rsidR="00F7394A" w:rsidRPr="001B544F" w:rsidRDefault="00F7394A" w:rsidP="00E848CA">
            <w:pPr>
              <w:pStyle w:val="ListParagraph"/>
              <w:spacing w:after="0" w:line="276" w:lineRule="auto"/>
              <w:ind w:left="0"/>
              <w:jc w:val="center"/>
              <w:rPr>
                <w:rFonts w:asciiTheme="minorHAnsi" w:hAnsiTheme="minorHAnsi" w:cstheme="minorHAnsi"/>
              </w:rPr>
            </w:pPr>
            <w:r w:rsidRPr="001B544F">
              <w:rPr>
                <w:rFonts w:asciiTheme="minorHAnsi" w:hAnsiTheme="minorHAnsi" w:cstheme="minorHAnsi"/>
              </w:rPr>
              <w:t>C=(A/B)</w:t>
            </w:r>
          </w:p>
        </w:tc>
      </w:tr>
      <w:tr w:rsidR="00F7394A" w:rsidRPr="001B544F" w14:paraId="4064A507" w14:textId="77777777" w:rsidTr="00E848CA">
        <w:tc>
          <w:tcPr>
            <w:tcW w:w="715" w:type="pct"/>
            <w:tcBorders>
              <w:top w:val="single" w:sz="4" w:space="0" w:color="auto"/>
              <w:left w:val="single" w:sz="4" w:space="0" w:color="auto"/>
              <w:bottom w:val="single" w:sz="4" w:space="0" w:color="auto"/>
              <w:right w:val="single" w:sz="4" w:space="0" w:color="auto"/>
            </w:tcBorders>
            <w:hideMark/>
          </w:tcPr>
          <w:p w14:paraId="2B2F735A" w14:textId="77777777" w:rsidR="00F7394A" w:rsidRPr="001B544F" w:rsidRDefault="00F7394A" w:rsidP="00E848CA">
            <w:pPr>
              <w:pStyle w:val="ListParagraph"/>
              <w:spacing w:after="0" w:line="276" w:lineRule="auto"/>
              <w:ind w:left="0"/>
              <w:rPr>
                <w:rFonts w:asciiTheme="minorHAnsi" w:hAnsiTheme="minorHAnsi" w:cstheme="minorHAnsi"/>
                <w:b/>
              </w:rPr>
            </w:pPr>
            <w:r w:rsidRPr="001B544F">
              <w:rPr>
                <w:rFonts w:asciiTheme="minorHAnsi" w:hAnsiTheme="minorHAnsi" w:cstheme="minorHAnsi"/>
                <w:b/>
              </w:rPr>
              <w:t>2014–15</w:t>
            </w:r>
          </w:p>
        </w:tc>
        <w:tc>
          <w:tcPr>
            <w:tcW w:w="1640" w:type="pct"/>
            <w:tcBorders>
              <w:top w:val="single" w:sz="4" w:space="0" w:color="auto"/>
              <w:left w:val="single" w:sz="4" w:space="0" w:color="auto"/>
              <w:bottom w:val="single" w:sz="4" w:space="0" w:color="auto"/>
              <w:right w:val="single" w:sz="4" w:space="0" w:color="auto"/>
            </w:tcBorders>
            <w:hideMark/>
          </w:tcPr>
          <w:p w14:paraId="566916CA"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color w:val="000000"/>
              </w:rPr>
              <w:t>903,817.21</w:t>
            </w:r>
          </w:p>
        </w:tc>
        <w:tc>
          <w:tcPr>
            <w:tcW w:w="1243" w:type="pct"/>
            <w:tcBorders>
              <w:top w:val="single" w:sz="4" w:space="0" w:color="auto"/>
              <w:left w:val="single" w:sz="4" w:space="0" w:color="auto"/>
              <w:bottom w:val="single" w:sz="4" w:space="0" w:color="auto"/>
              <w:right w:val="single" w:sz="4" w:space="0" w:color="auto"/>
            </w:tcBorders>
            <w:hideMark/>
          </w:tcPr>
          <w:p w14:paraId="189C2E15"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color w:val="000000"/>
              </w:rPr>
              <w:t>784,330.00</w:t>
            </w:r>
          </w:p>
        </w:tc>
        <w:tc>
          <w:tcPr>
            <w:tcW w:w="1402" w:type="pct"/>
            <w:tcBorders>
              <w:top w:val="single" w:sz="4" w:space="0" w:color="auto"/>
              <w:left w:val="single" w:sz="4" w:space="0" w:color="auto"/>
              <w:bottom w:val="single" w:sz="4" w:space="0" w:color="auto"/>
              <w:right w:val="single" w:sz="4" w:space="0" w:color="auto"/>
            </w:tcBorders>
            <w:hideMark/>
          </w:tcPr>
          <w:p w14:paraId="3AA0A848"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b/>
                <w:color w:val="000000"/>
              </w:rPr>
              <w:t>115%</w:t>
            </w:r>
          </w:p>
        </w:tc>
      </w:tr>
      <w:tr w:rsidR="00F7394A" w:rsidRPr="001B544F" w14:paraId="420D05A7" w14:textId="77777777" w:rsidTr="00E848CA">
        <w:tc>
          <w:tcPr>
            <w:tcW w:w="715" w:type="pct"/>
            <w:tcBorders>
              <w:top w:val="single" w:sz="4" w:space="0" w:color="auto"/>
              <w:left w:val="single" w:sz="4" w:space="0" w:color="auto"/>
              <w:bottom w:val="single" w:sz="4" w:space="0" w:color="auto"/>
              <w:right w:val="single" w:sz="4" w:space="0" w:color="auto"/>
            </w:tcBorders>
            <w:hideMark/>
          </w:tcPr>
          <w:p w14:paraId="701BD355" w14:textId="77777777" w:rsidR="00F7394A" w:rsidRPr="001B544F" w:rsidRDefault="00F7394A" w:rsidP="00E848CA">
            <w:pPr>
              <w:pStyle w:val="ListParagraph"/>
              <w:spacing w:after="0" w:line="276" w:lineRule="auto"/>
              <w:ind w:left="0"/>
              <w:rPr>
                <w:rFonts w:asciiTheme="minorHAnsi" w:hAnsiTheme="minorHAnsi" w:cstheme="minorHAnsi"/>
                <w:b/>
              </w:rPr>
            </w:pPr>
            <w:r w:rsidRPr="001B544F">
              <w:rPr>
                <w:rFonts w:asciiTheme="minorHAnsi" w:hAnsiTheme="minorHAnsi" w:cstheme="minorHAnsi"/>
                <w:b/>
              </w:rPr>
              <w:t>2015–16</w:t>
            </w:r>
          </w:p>
        </w:tc>
        <w:tc>
          <w:tcPr>
            <w:tcW w:w="1640" w:type="pct"/>
            <w:tcBorders>
              <w:top w:val="single" w:sz="4" w:space="0" w:color="auto"/>
              <w:left w:val="single" w:sz="4" w:space="0" w:color="auto"/>
              <w:bottom w:val="single" w:sz="4" w:space="0" w:color="auto"/>
              <w:right w:val="single" w:sz="4" w:space="0" w:color="auto"/>
            </w:tcBorders>
            <w:hideMark/>
          </w:tcPr>
          <w:p w14:paraId="76876341"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eastAsia="Times New Roman" w:hAnsiTheme="minorHAnsi" w:cstheme="minorHAnsi"/>
                <w:color w:val="000000"/>
                <w:lang w:eastAsia="en-AU"/>
              </w:rPr>
              <w:t>880,484.37</w:t>
            </w:r>
          </w:p>
        </w:tc>
        <w:tc>
          <w:tcPr>
            <w:tcW w:w="1243" w:type="pct"/>
            <w:tcBorders>
              <w:top w:val="single" w:sz="4" w:space="0" w:color="auto"/>
              <w:left w:val="single" w:sz="4" w:space="0" w:color="auto"/>
              <w:bottom w:val="single" w:sz="4" w:space="0" w:color="auto"/>
              <w:right w:val="single" w:sz="4" w:space="0" w:color="auto"/>
            </w:tcBorders>
            <w:hideMark/>
          </w:tcPr>
          <w:p w14:paraId="42F7ACB9"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color w:val="000000"/>
              </w:rPr>
              <w:t xml:space="preserve">746,600.00 </w:t>
            </w:r>
          </w:p>
        </w:tc>
        <w:tc>
          <w:tcPr>
            <w:tcW w:w="1402" w:type="pct"/>
            <w:tcBorders>
              <w:top w:val="single" w:sz="4" w:space="0" w:color="auto"/>
              <w:left w:val="single" w:sz="4" w:space="0" w:color="auto"/>
              <w:bottom w:val="single" w:sz="4" w:space="0" w:color="auto"/>
              <w:right w:val="single" w:sz="4" w:space="0" w:color="auto"/>
            </w:tcBorders>
            <w:hideMark/>
          </w:tcPr>
          <w:p w14:paraId="32AA15A4"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b/>
                <w:color w:val="000000"/>
              </w:rPr>
              <w:t>118%</w:t>
            </w:r>
          </w:p>
        </w:tc>
      </w:tr>
      <w:tr w:rsidR="00F7394A" w:rsidRPr="001B544F" w14:paraId="7B064E02" w14:textId="77777777" w:rsidTr="00E848CA">
        <w:tc>
          <w:tcPr>
            <w:tcW w:w="715" w:type="pct"/>
            <w:tcBorders>
              <w:top w:val="single" w:sz="4" w:space="0" w:color="auto"/>
              <w:left w:val="single" w:sz="4" w:space="0" w:color="auto"/>
              <w:bottom w:val="single" w:sz="4" w:space="0" w:color="auto"/>
              <w:right w:val="single" w:sz="4" w:space="0" w:color="auto"/>
            </w:tcBorders>
            <w:hideMark/>
          </w:tcPr>
          <w:p w14:paraId="089E9FAE" w14:textId="77777777" w:rsidR="00F7394A" w:rsidRPr="001B544F" w:rsidRDefault="00F7394A" w:rsidP="00E848CA">
            <w:pPr>
              <w:pStyle w:val="ListParagraph"/>
              <w:spacing w:after="0" w:line="276" w:lineRule="auto"/>
              <w:ind w:left="0"/>
              <w:rPr>
                <w:rFonts w:asciiTheme="minorHAnsi" w:hAnsiTheme="minorHAnsi" w:cstheme="minorHAnsi"/>
                <w:b/>
              </w:rPr>
            </w:pPr>
            <w:r w:rsidRPr="001B544F">
              <w:rPr>
                <w:rFonts w:asciiTheme="minorHAnsi" w:hAnsiTheme="minorHAnsi" w:cstheme="minorHAnsi"/>
                <w:b/>
              </w:rPr>
              <w:t>2016–17</w:t>
            </w:r>
          </w:p>
        </w:tc>
        <w:tc>
          <w:tcPr>
            <w:tcW w:w="1640" w:type="pct"/>
            <w:tcBorders>
              <w:top w:val="single" w:sz="4" w:space="0" w:color="auto"/>
              <w:left w:val="single" w:sz="4" w:space="0" w:color="auto"/>
              <w:bottom w:val="single" w:sz="4" w:space="0" w:color="auto"/>
              <w:right w:val="single" w:sz="4" w:space="0" w:color="auto"/>
            </w:tcBorders>
            <w:hideMark/>
          </w:tcPr>
          <w:p w14:paraId="486078AE"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bCs/>
                <w:color w:val="000000"/>
              </w:rPr>
              <w:t>815,049.84</w:t>
            </w:r>
          </w:p>
        </w:tc>
        <w:tc>
          <w:tcPr>
            <w:tcW w:w="1243" w:type="pct"/>
            <w:tcBorders>
              <w:top w:val="single" w:sz="4" w:space="0" w:color="auto"/>
              <w:left w:val="single" w:sz="4" w:space="0" w:color="auto"/>
              <w:bottom w:val="single" w:sz="4" w:space="0" w:color="auto"/>
              <w:right w:val="single" w:sz="4" w:space="0" w:color="auto"/>
            </w:tcBorders>
            <w:hideMark/>
          </w:tcPr>
          <w:p w14:paraId="380273F8"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color w:val="000000"/>
              </w:rPr>
              <w:t xml:space="preserve">724,410.00 </w:t>
            </w:r>
          </w:p>
        </w:tc>
        <w:tc>
          <w:tcPr>
            <w:tcW w:w="1402" w:type="pct"/>
            <w:tcBorders>
              <w:top w:val="single" w:sz="4" w:space="0" w:color="auto"/>
              <w:left w:val="single" w:sz="4" w:space="0" w:color="auto"/>
              <w:bottom w:val="single" w:sz="4" w:space="0" w:color="auto"/>
              <w:right w:val="single" w:sz="4" w:space="0" w:color="auto"/>
            </w:tcBorders>
            <w:hideMark/>
          </w:tcPr>
          <w:p w14:paraId="5127B2E1"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b/>
                <w:color w:val="000000"/>
              </w:rPr>
              <w:t>113%</w:t>
            </w:r>
          </w:p>
        </w:tc>
      </w:tr>
      <w:tr w:rsidR="00F7394A" w:rsidRPr="001B544F" w14:paraId="7ABE1800" w14:textId="77777777" w:rsidTr="00E848CA">
        <w:tc>
          <w:tcPr>
            <w:tcW w:w="715" w:type="pct"/>
            <w:tcBorders>
              <w:top w:val="single" w:sz="4" w:space="0" w:color="auto"/>
              <w:left w:val="single" w:sz="4" w:space="0" w:color="auto"/>
              <w:bottom w:val="single" w:sz="4" w:space="0" w:color="auto"/>
              <w:right w:val="single" w:sz="4" w:space="0" w:color="auto"/>
            </w:tcBorders>
            <w:hideMark/>
          </w:tcPr>
          <w:p w14:paraId="3BEB8EA0" w14:textId="77777777" w:rsidR="00F7394A" w:rsidRPr="001B544F" w:rsidRDefault="00F7394A" w:rsidP="00E848CA">
            <w:pPr>
              <w:pStyle w:val="ListParagraph"/>
              <w:spacing w:after="0" w:line="276" w:lineRule="auto"/>
              <w:ind w:left="0"/>
              <w:rPr>
                <w:rFonts w:asciiTheme="minorHAnsi" w:hAnsiTheme="minorHAnsi" w:cstheme="minorHAnsi"/>
                <w:b/>
              </w:rPr>
            </w:pPr>
            <w:r w:rsidRPr="001B544F">
              <w:rPr>
                <w:rFonts w:asciiTheme="minorHAnsi" w:hAnsiTheme="minorHAnsi" w:cstheme="minorHAnsi"/>
                <w:b/>
              </w:rPr>
              <w:t>2017–18</w:t>
            </w:r>
          </w:p>
        </w:tc>
        <w:tc>
          <w:tcPr>
            <w:tcW w:w="1640" w:type="pct"/>
            <w:tcBorders>
              <w:top w:val="single" w:sz="4" w:space="0" w:color="auto"/>
              <w:left w:val="single" w:sz="4" w:space="0" w:color="auto"/>
              <w:bottom w:val="single" w:sz="4" w:space="0" w:color="auto"/>
              <w:right w:val="single" w:sz="4" w:space="0" w:color="auto"/>
            </w:tcBorders>
            <w:hideMark/>
          </w:tcPr>
          <w:p w14:paraId="56CB592E"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color w:val="000000"/>
              </w:rPr>
              <w:t>1,076,850.41</w:t>
            </w:r>
          </w:p>
        </w:tc>
        <w:tc>
          <w:tcPr>
            <w:tcW w:w="1243" w:type="pct"/>
            <w:tcBorders>
              <w:top w:val="single" w:sz="4" w:space="0" w:color="auto"/>
              <w:left w:val="single" w:sz="4" w:space="0" w:color="auto"/>
              <w:bottom w:val="single" w:sz="4" w:space="0" w:color="auto"/>
              <w:right w:val="single" w:sz="4" w:space="0" w:color="auto"/>
            </w:tcBorders>
            <w:hideMark/>
          </w:tcPr>
          <w:p w14:paraId="5229175F"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color w:val="000000"/>
              </w:rPr>
              <w:t xml:space="preserve">989,670.00 </w:t>
            </w:r>
          </w:p>
        </w:tc>
        <w:tc>
          <w:tcPr>
            <w:tcW w:w="1402" w:type="pct"/>
            <w:tcBorders>
              <w:top w:val="single" w:sz="4" w:space="0" w:color="auto"/>
              <w:left w:val="single" w:sz="4" w:space="0" w:color="auto"/>
              <w:bottom w:val="single" w:sz="4" w:space="0" w:color="auto"/>
              <w:right w:val="single" w:sz="4" w:space="0" w:color="auto"/>
            </w:tcBorders>
            <w:hideMark/>
          </w:tcPr>
          <w:p w14:paraId="0D72734D"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b/>
                <w:color w:val="000000"/>
              </w:rPr>
              <w:t>109%</w:t>
            </w:r>
          </w:p>
        </w:tc>
      </w:tr>
      <w:tr w:rsidR="00F7394A" w:rsidRPr="001B544F" w14:paraId="1748CDFF" w14:textId="77777777" w:rsidTr="00E848CA">
        <w:tc>
          <w:tcPr>
            <w:tcW w:w="715" w:type="pct"/>
            <w:tcBorders>
              <w:top w:val="single" w:sz="4" w:space="0" w:color="auto"/>
              <w:left w:val="single" w:sz="4" w:space="0" w:color="auto"/>
              <w:bottom w:val="single" w:sz="4" w:space="0" w:color="auto"/>
              <w:right w:val="single" w:sz="4" w:space="0" w:color="auto"/>
            </w:tcBorders>
            <w:hideMark/>
          </w:tcPr>
          <w:p w14:paraId="69ABBFB1" w14:textId="77777777" w:rsidR="00F7394A" w:rsidRPr="001B544F" w:rsidRDefault="00F7394A" w:rsidP="00E848CA">
            <w:pPr>
              <w:pStyle w:val="ListParagraph"/>
              <w:spacing w:after="0" w:line="276" w:lineRule="auto"/>
              <w:ind w:left="0"/>
              <w:rPr>
                <w:rFonts w:asciiTheme="minorHAnsi" w:hAnsiTheme="minorHAnsi" w:cstheme="minorHAnsi"/>
                <w:b/>
              </w:rPr>
            </w:pPr>
            <w:r w:rsidRPr="001B544F">
              <w:rPr>
                <w:rFonts w:asciiTheme="minorHAnsi" w:hAnsiTheme="minorHAnsi" w:cstheme="minorHAnsi"/>
                <w:b/>
              </w:rPr>
              <w:t>2018–19</w:t>
            </w:r>
          </w:p>
        </w:tc>
        <w:tc>
          <w:tcPr>
            <w:tcW w:w="1640" w:type="pct"/>
            <w:tcBorders>
              <w:top w:val="single" w:sz="4" w:space="0" w:color="auto"/>
              <w:left w:val="single" w:sz="4" w:space="0" w:color="auto"/>
              <w:bottom w:val="single" w:sz="4" w:space="0" w:color="auto"/>
              <w:right w:val="single" w:sz="4" w:space="0" w:color="auto"/>
            </w:tcBorders>
            <w:hideMark/>
          </w:tcPr>
          <w:p w14:paraId="7CE5E7B4" w14:textId="77777777" w:rsidR="00F7394A" w:rsidRPr="001B544F" w:rsidRDefault="00F7394A" w:rsidP="00E848CA">
            <w:pPr>
              <w:spacing w:after="0" w:line="276" w:lineRule="auto"/>
              <w:jc w:val="right"/>
              <w:rPr>
                <w:rFonts w:asciiTheme="minorHAnsi" w:hAnsiTheme="minorHAnsi" w:cstheme="minorHAnsi"/>
                <w:color w:val="000000"/>
              </w:rPr>
            </w:pPr>
            <w:r w:rsidRPr="001B544F">
              <w:rPr>
                <w:rFonts w:asciiTheme="minorHAnsi" w:hAnsiTheme="minorHAnsi" w:cstheme="minorHAnsi"/>
                <w:color w:val="000000"/>
              </w:rPr>
              <w:t>1,147,868.60</w:t>
            </w:r>
          </w:p>
        </w:tc>
        <w:tc>
          <w:tcPr>
            <w:tcW w:w="1243" w:type="pct"/>
            <w:tcBorders>
              <w:top w:val="single" w:sz="4" w:space="0" w:color="auto"/>
              <w:left w:val="single" w:sz="4" w:space="0" w:color="auto"/>
              <w:bottom w:val="single" w:sz="4" w:space="0" w:color="auto"/>
              <w:right w:val="single" w:sz="4" w:space="0" w:color="auto"/>
            </w:tcBorders>
            <w:hideMark/>
          </w:tcPr>
          <w:p w14:paraId="1AF6CEA4" w14:textId="77777777" w:rsidR="00F7394A" w:rsidRPr="001B544F" w:rsidRDefault="00F7394A" w:rsidP="00E848CA">
            <w:pPr>
              <w:pStyle w:val="ListParagraph"/>
              <w:spacing w:after="0" w:line="276" w:lineRule="auto"/>
              <w:ind w:left="0"/>
              <w:jc w:val="right"/>
              <w:rPr>
                <w:rFonts w:asciiTheme="minorHAnsi" w:hAnsiTheme="minorHAnsi" w:cstheme="minorHAnsi"/>
              </w:rPr>
            </w:pPr>
            <w:r w:rsidRPr="001B544F">
              <w:rPr>
                <w:rFonts w:asciiTheme="minorHAnsi" w:hAnsiTheme="minorHAnsi" w:cstheme="minorHAnsi"/>
                <w:color w:val="000000"/>
              </w:rPr>
              <w:t>1,055,920.00</w:t>
            </w:r>
          </w:p>
        </w:tc>
        <w:tc>
          <w:tcPr>
            <w:tcW w:w="1402" w:type="pct"/>
            <w:tcBorders>
              <w:top w:val="single" w:sz="4" w:space="0" w:color="auto"/>
              <w:left w:val="single" w:sz="4" w:space="0" w:color="auto"/>
              <w:bottom w:val="single" w:sz="4" w:space="0" w:color="auto"/>
              <w:right w:val="single" w:sz="4" w:space="0" w:color="auto"/>
            </w:tcBorders>
            <w:hideMark/>
          </w:tcPr>
          <w:p w14:paraId="096232F0" w14:textId="77777777" w:rsidR="00F7394A" w:rsidRPr="001B544F" w:rsidRDefault="00F7394A" w:rsidP="00E848CA">
            <w:pPr>
              <w:spacing w:after="0" w:line="276" w:lineRule="auto"/>
              <w:jc w:val="right"/>
              <w:rPr>
                <w:rFonts w:asciiTheme="minorHAnsi" w:hAnsiTheme="minorHAnsi" w:cstheme="minorHAnsi"/>
                <w:b/>
                <w:color w:val="000000"/>
              </w:rPr>
            </w:pPr>
            <w:r w:rsidRPr="001B544F">
              <w:rPr>
                <w:rFonts w:asciiTheme="minorHAnsi" w:hAnsiTheme="minorHAnsi" w:cstheme="minorHAnsi"/>
                <w:b/>
                <w:color w:val="000000"/>
              </w:rPr>
              <w:t>109%</w:t>
            </w:r>
          </w:p>
        </w:tc>
      </w:tr>
    </w:tbl>
    <w:p w14:paraId="5F137AF0" w14:textId="77777777" w:rsidR="00F7394A" w:rsidRPr="001B544F" w:rsidRDefault="00F7394A" w:rsidP="001B544F">
      <w:pPr>
        <w:pStyle w:val="THTableHeading"/>
        <w:jc w:val="center"/>
      </w:pPr>
    </w:p>
    <w:p w14:paraId="09603816" w14:textId="3927AE9E" w:rsidR="00416E0F" w:rsidRDefault="008F29BF" w:rsidP="00416E0F">
      <w:pPr>
        <w:pStyle w:val="P1-N1Paragraph1-Number1"/>
      </w:pPr>
      <w:r w:rsidRPr="0080180D">
        <w:t xml:space="preserve">India </w:t>
      </w:r>
      <w:r w:rsidRPr="0080180D">
        <w:rPr>
          <w:u w:val="single"/>
        </w:rPr>
        <w:t>does not dispute</w:t>
      </w:r>
      <w:r w:rsidRPr="0080180D">
        <w:t xml:space="preserve"> its </w:t>
      </w:r>
      <w:r w:rsidR="001B544F" w:rsidRPr="0080180D">
        <w:t xml:space="preserve">domestic support commitment made pursuant to Article 7.2(b) of the Agreement on Agriculture.  India </w:t>
      </w:r>
      <w:r w:rsidR="001B544F" w:rsidRPr="0080180D">
        <w:rPr>
          <w:u w:val="single"/>
        </w:rPr>
        <w:t>agrees with Australia</w:t>
      </w:r>
      <w:r w:rsidR="001B544F" w:rsidRPr="008205BC">
        <w:rPr>
          <w:vertAlign w:val="superscript"/>
        </w:rPr>
        <w:footnoteReference w:id="5"/>
      </w:r>
      <w:r w:rsidR="001B544F" w:rsidRPr="0080180D">
        <w:t xml:space="preserve"> that, as a developing country Member with no Total A</w:t>
      </w:r>
      <w:r w:rsidR="008A7DBA">
        <w:t xml:space="preserve">ggregate </w:t>
      </w:r>
      <w:r w:rsidR="001B544F" w:rsidRPr="0080180D">
        <w:t>M</w:t>
      </w:r>
      <w:r w:rsidR="008A7DBA">
        <w:t xml:space="preserve">easurement of </w:t>
      </w:r>
      <w:r w:rsidR="001B544F" w:rsidRPr="0080180D">
        <w:t>S</w:t>
      </w:r>
      <w:r w:rsidR="008A7DBA">
        <w:t>upport (AMS)</w:t>
      </w:r>
      <w:r w:rsidR="001B544F" w:rsidRPr="0080180D">
        <w:t xml:space="preserve"> commitment in Part IV of its Schedule, India must not provide non-exempt domestic support in excess of </w:t>
      </w:r>
      <w:r w:rsidR="001B544F" w:rsidRPr="0080180D">
        <w:rPr>
          <w:i/>
          <w:iCs/>
        </w:rPr>
        <w:t>de minimis</w:t>
      </w:r>
      <w:r w:rsidR="001B544F" w:rsidRPr="0080180D">
        <w:t>.</w:t>
      </w:r>
      <w:r w:rsidR="00416E0F" w:rsidRPr="0080180D">
        <w:rPr>
          <w:rStyle w:val="FootnoteReference"/>
        </w:rPr>
        <w:footnoteReference w:id="6"/>
      </w:r>
      <w:r w:rsidR="00416E0F" w:rsidRPr="0080180D">
        <w:t xml:space="preserve"> </w:t>
      </w:r>
    </w:p>
    <w:p w14:paraId="4B5450E0" w14:textId="28CE62D7" w:rsidR="00210FAA" w:rsidRDefault="00510202" w:rsidP="00416E0F">
      <w:pPr>
        <w:pStyle w:val="P1-N1Paragraph1-Number1"/>
      </w:pPr>
      <w:r>
        <w:t>Further</w:t>
      </w:r>
      <w:r w:rsidRPr="00645381">
        <w:t xml:space="preserve">, with one </w:t>
      </w:r>
      <w:r w:rsidR="000F28D5">
        <w:t>inconsequential</w:t>
      </w:r>
      <w:r w:rsidRPr="00645381">
        <w:t xml:space="preserve"> exception</w:t>
      </w:r>
      <w:r w:rsidR="006C2A46">
        <w:t xml:space="preserve"> relating to </w:t>
      </w:r>
      <w:r w:rsidR="00440AF4">
        <w:t>a measure that maintains the "gap"</w:t>
      </w:r>
      <w:r>
        <w:t xml:space="preserve">, India </w:t>
      </w:r>
      <w:r w:rsidRPr="00510202">
        <w:rPr>
          <w:u w:val="single"/>
        </w:rPr>
        <w:t>does not dispute</w:t>
      </w:r>
      <w:r>
        <w:t xml:space="preserve"> the facts established by Australia, the data used in Australia's domestic support calculations, or Australia's calculation methodology – all of which underpin Australia's </w:t>
      </w:r>
      <w:r w:rsidR="00CB655B">
        <w:t xml:space="preserve">domestic support </w:t>
      </w:r>
      <w:r>
        <w:t xml:space="preserve">claims. </w:t>
      </w:r>
    </w:p>
    <w:p w14:paraId="7CAF73A5" w14:textId="6E8F18E1" w:rsidR="00832E1C" w:rsidRDefault="00686107" w:rsidP="00416E0F">
      <w:pPr>
        <w:pStyle w:val="P1-N1Paragraph1-Number1"/>
      </w:pPr>
      <w:r>
        <w:t xml:space="preserve">India's sole defence is its claim that the FRP </w:t>
      </w:r>
      <w:r w:rsidRPr="00686107">
        <w:t xml:space="preserve">and SAP measures do not "qualify" as market price support and "the complainants have failed to demonstrate as to how the support under… [the three </w:t>
      </w:r>
      <w:r w:rsidR="00AB5B54">
        <w:t>s</w:t>
      </w:r>
      <w:r w:rsidRPr="00686107">
        <w:t xml:space="preserve">tate] programs taken together exceeds the </w:t>
      </w:r>
      <w:r w:rsidRPr="00686107">
        <w:rPr>
          <w:i/>
          <w:iCs/>
        </w:rPr>
        <w:t>de minimis</w:t>
      </w:r>
      <w:r w:rsidRPr="00686107">
        <w:t xml:space="preserve"> </w:t>
      </w:r>
      <w:r>
        <w:t>level".</w:t>
      </w:r>
      <w:r>
        <w:rPr>
          <w:rStyle w:val="FootnoteReference"/>
        </w:rPr>
        <w:footnoteReference w:id="7"/>
      </w:r>
      <w:r w:rsidR="005121EC">
        <w:t xml:space="preserve">  According to India, "market price support only exists where the government or its agent pays the administered price and procures the product."</w:t>
      </w:r>
      <w:r w:rsidR="005121EC">
        <w:rPr>
          <w:rStyle w:val="FootnoteReference"/>
        </w:rPr>
        <w:footnoteReference w:id="8"/>
      </w:r>
      <w:r w:rsidR="00832E1C">
        <w:t xml:space="preserve">  </w:t>
      </w:r>
    </w:p>
    <w:p w14:paraId="71F46BB6" w14:textId="77777777" w:rsidR="00686107" w:rsidRPr="0080180D" w:rsidRDefault="00832E1C" w:rsidP="00416E0F">
      <w:pPr>
        <w:pStyle w:val="P1-N1Paragraph1-Number1"/>
      </w:pPr>
      <w:r>
        <w:t xml:space="preserve">Australia submits that India's defence should fail.  It is inconsistent with a proper interpretation of the relevant provisions of the Agreement on Agriculture and </w:t>
      </w:r>
      <w:r w:rsidR="00030D8F">
        <w:t>relies on flawed reasoning.</w:t>
      </w:r>
    </w:p>
    <w:p w14:paraId="48D51F2D" w14:textId="7C1EBAF8" w:rsidR="00A445F4" w:rsidRDefault="00BD1851" w:rsidP="00A445F4">
      <w:pPr>
        <w:pStyle w:val="HL2HeadingLevel2"/>
      </w:pPr>
      <w:bookmarkStart w:id="9" w:name="_Toc63966813"/>
      <w:r>
        <w:t xml:space="preserve">There </w:t>
      </w:r>
      <w:r w:rsidR="000B468D">
        <w:t>a</w:t>
      </w:r>
      <w:r>
        <w:t xml:space="preserve">re </w:t>
      </w:r>
      <w:r w:rsidR="000B468D">
        <w:t>n</w:t>
      </w:r>
      <w:r>
        <w:t xml:space="preserve">o </w:t>
      </w:r>
      <w:r w:rsidR="000B468D">
        <w:t>s</w:t>
      </w:r>
      <w:r>
        <w:t xml:space="preserve">ignificant </w:t>
      </w:r>
      <w:r w:rsidR="000B468D">
        <w:t>f</w:t>
      </w:r>
      <w:r>
        <w:t xml:space="preserve">acts </w:t>
      </w:r>
      <w:r w:rsidR="000B468D">
        <w:t>i</w:t>
      </w:r>
      <w:r>
        <w:t xml:space="preserve">n </w:t>
      </w:r>
      <w:r w:rsidR="000B468D">
        <w:t>d</w:t>
      </w:r>
      <w:r>
        <w:t>ispute</w:t>
      </w:r>
      <w:r w:rsidR="009F14C6">
        <w:t xml:space="preserve"> </w:t>
      </w:r>
      <w:r w:rsidR="000B468D">
        <w:t>w</w:t>
      </w:r>
      <w:r w:rsidR="009F14C6">
        <w:t xml:space="preserve">ith </w:t>
      </w:r>
      <w:r w:rsidR="000B468D">
        <w:t>r</w:t>
      </w:r>
      <w:r w:rsidR="009F14C6">
        <w:t xml:space="preserve">espect to Australia's </w:t>
      </w:r>
      <w:r w:rsidR="000B468D">
        <w:t>d</w:t>
      </w:r>
      <w:r w:rsidR="009F14C6">
        <w:t xml:space="preserve">omestic </w:t>
      </w:r>
      <w:r w:rsidR="000B468D">
        <w:t>s</w:t>
      </w:r>
      <w:r w:rsidR="009F14C6">
        <w:t xml:space="preserve">upport </w:t>
      </w:r>
      <w:r w:rsidR="000B468D">
        <w:t>c</w:t>
      </w:r>
      <w:r w:rsidR="009F14C6">
        <w:t>laims</w:t>
      </w:r>
      <w:bookmarkEnd w:id="9"/>
    </w:p>
    <w:p w14:paraId="3319D724" w14:textId="16F7F15C" w:rsidR="009315FB" w:rsidRDefault="009315FB" w:rsidP="00312270">
      <w:pPr>
        <w:pStyle w:val="P1-N1Paragraph1-Number1"/>
      </w:pPr>
      <w:r>
        <w:t xml:space="preserve">Australia </w:t>
      </w:r>
      <w:r w:rsidR="00645381">
        <w:t xml:space="preserve">(with Brazil and Guatemala) </w:t>
      </w:r>
      <w:r>
        <w:t xml:space="preserve">has </w:t>
      </w:r>
      <w:r w:rsidR="00645381">
        <w:t>submitted</w:t>
      </w:r>
      <w:r>
        <w:t xml:space="preserve"> </w:t>
      </w:r>
      <w:r w:rsidR="000A29FF" w:rsidRPr="001C3322">
        <w:t xml:space="preserve">substantial and compelling </w:t>
      </w:r>
      <w:r>
        <w:t xml:space="preserve">evidence of </w:t>
      </w:r>
      <w:r w:rsidR="00B5604C">
        <w:t xml:space="preserve">India's domestic support measures, including the FRP, the SAPs, the three </w:t>
      </w:r>
      <w:r w:rsidR="00AB5B54">
        <w:t>s</w:t>
      </w:r>
      <w:r w:rsidR="00B5604C">
        <w:t>tate programmes</w:t>
      </w:r>
      <w:r w:rsidR="003B1979">
        <w:t>,</w:t>
      </w:r>
      <w:r w:rsidR="008609AC">
        <w:rPr>
          <w:rStyle w:val="FootnoteReference"/>
        </w:rPr>
        <w:footnoteReference w:id="9"/>
      </w:r>
      <w:r w:rsidR="00B5604C">
        <w:t xml:space="preserve"> and </w:t>
      </w:r>
      <w:r>
        <w:t xml:space="preserve">the measures </w:t>
      </w:r>
      <w:r w:rsidR="00B5604C">
        <w:t xml:space="preserve">directed principally at maintaining </w:t>
      </w:r>
      <w:r>
        <w:t>the gap between the F</w:t>
      </w:r>
      <w:r w:rsidR="002D019F">
        <w:t xml:space="preserve">ixed </w:t>
      </w:r>
      <w:r>
        <w:t>E</w:t>
      </w:r>
      <w:r w:rsidR="002D019F">
        <w:t xml:space="preserve">xternal </w:t>
      </w:r>
      <w:r>
        <w:t>R</w:t>
      </w:r>
      <w:r w:rsidR="002D019F">
        <w:t xml:space="preserve">eference </w:t>
      </w:r>
      <w:r>
        <w:t>P</w:t>
      </w:r>
      <w:r w:rsidR="002D019F">
        <w:t>rice (FERP)</w:t>
      </w:r>
      <w:r>
        <w:t xml:space="preserve"> and the AAP.</w:t>
      </w:r>
    </w:p>
    <w:p w14:paraId="015F5919" w14:textId="77777777" w:rsidR="00765981" w:rsidRDefault="00765981" w:rsidP="0095567E">
      <w:pPr>
        <w:pStyle w:val="HL3HeadingLevel3"/>
      </w:pPr>
      <w:bookmarkStart w:id="10" w:name="_Toc63966814"/>
      <w:r>
        <w:t>Measures included in Australia's domestic support calculations</w:t>
      </w:r>
      <w:bookmarkEnd w:id="10"/>
    </w:p>
    <w:p w14:paraId="41E9BF77" w14:textId="77777777" w:rsidR="00E848CA" w:rsidRDefault="00765981" w:rsidP="00312270">
      <w:pPr>
        <w:pStyle w:val="P1-N1Paragraph1-Number1"/>
      </w:pPr>
      <w:r>
        <w:t>Beginning with the measures included in Australia's domestic support calculations, i</w:t>
      </w:r>
      <w:r w:rsidR="00E848CA">
        <w:t xml:space="preserve">n view of the Panel's preliminary ruling of 9 November 2020, there are </w:t>
      </w:r>
      <w:r w:rsidR="00E848CA" w:rsidRPr="003F6A9D">
        <w:rPr>
          <w:u w:val="single"/>
        </w:rPr>
        <w:t>no contested facts</w:t>
      </w:r>
      <w:r w:rsidR="00E848CA">
        <w:t xml:space="preserve"> that </w:t>
      </w:r>
      <w:r w:rsidR="00E848CA" w:rsidRPr="00E848CA">
        <w:t>the Panel need determine in order to accept Australia's calculations of India's AMS in the relevant sugar seasons</w:t>
      </w:r>
      <w:r w:rsidR="00E848CA">
        <w:t xml:space="preserve">.  Further, India </w:t>
      </w:r>
      <w:r w:rsidR="00E848CA" w:rsidRPr="003F6A9D">
        <w:rPr>
          <w:u w:val="single"/>
        </w:rPr>
        <w:t>does not dispute</w:t>
      </w:r>
      <w:r w:rsidR="00E848CA">
        <w:t xml:space="preserve"> the </w:t>
      </w:r>
      <w:r w:rsidR="00606AC4">
        <w:t xml:space="preserve">Indian government </w:t>
      </w:r>
      <w:r w:rsidR="00E848CA">
        <w:t>data</w:t>
      </w:r>
      <w:r w:rsidR="00606AC4">
        <w:rPr>
          <w:rStyle w:val="FootnoteReference"/>
        </w:rPr>
        <w:footnoteReference w:id="10"/>
      </w:r>
      <w:r w:rsidR="00E848CA">
        <w:t xml:space="preserve"> on which the calculations are based</w:t>
      </w:r>
      <w:r w:rsidR="00257F9F">
        <w:t>,</w:t>
      </w:r>
      <w:r w:rsidR="00E848CA">
        <w:t xml:space="preserve"> or the calculation methodology.</w:t>
      </w:r>
    </w:p>
    <w:p w14:paraId="3F631897" w14:textId="7CD0C846" w:rsidR="00831056" w:rsidRDefault="00831056" w:rsidP="00312270">
      <w:pPr>
        <w:pStyle w:val="P1-N1Paragraph1-Number1"/>
      </w:pPr>
      <w:r w:rsidRPr="00831056">
        <w:t>Yet India denies "any suggested admission of facts and/or legal claims that India has not expressly and specifically admitted".</w:t>
      </w:r>
      <w:r w:rsidR="00B66250">
        <w:rPr>
          <w:rStyle w:val="FootnoteReference"/>
        </w:rPr>
        <w:footnoteReference w:id="11"/>
      </w:r>
      <w:r w:rsidRPr="00831056">
        <w:t xml:space="preserve">  </w:t>
      </w:r>
      <w:r w:rsidR="000F28D5" w:rsidRPr="000F28D5">
        <w:t xml:space="preserve">However, India simply has not met its burden to rebut Australia's </w:t>
      </w:r>
      <w:r w:rsidR="000F28D5" w:rsidRPr="000F28D5">
        <w:rPr>
          <w:i/>
          <w:iCs/>
        </w:rPr>
        <w:t>prima facie</w:t>
      </w:r>
      <w:r w:rsidR="000F28D5" w:rsidRPr="000F28D5">
        <w:t xml:space="preserve"> case.</w:t>
      </w:r>
      <w:r w:rsidR="000F28D5" w:rsidRPr="000F28D5">
        <w:rPr>
          <w:vertAlign w:val="superscript"/>
        </w:rPr>
        <w:footnoteReference w:id="12"/>
      </w:r>
      <w:r w:rsidR="000F28D5" w:rsidRPr="000F28D5">
        <w:t xml:space="preserve">  </w:t>
      </w:r>
      <w:r w:rsidRPr="00831056">
        <w:t xml:space="preserve">Australia notes that India has had ample opportunity </w:t>
      </w:r>
      <w:r w:rsidR="007D7356">
        <w:t>to dispute the facts and the domestic support calculations</w:t>
      </w:r>
      <w:r w:rsidRPr="00831056">
        <w:t xml:space="preserve">.  </w:t>
      </w:r>
      <w:r w:rsidR="00D14A21">
        <w:t>Despite being invited by the Panel to elaborate any objections</w:t>
      </w:r>
      <w:r w:rsidR="000F554E">
        <w:t xml:space="preserve"> to the calculations and the data used in them</w:t>
      </w:r>
      <w:r w:rsidR="00E17426">
        <w:t xml:space="preserve">, </w:t>
      </w:r>
      <w:r w:rsidRPr="00831056">
        <w:t xml:space="preserve">India </w:t>
      </w:r>
      <w:r w:rsidR="00BE7B36">
        <w:t>elect</w:t>
      </w:r>
      <w:r w:rsidR="001E09D0">
        <w:t>s</w:t>
      </w:r>
      <w:r w:rsidR="00BE7B36">
        <w:t xml:space="preserve"> to </w:t>
      </w:r>
      <w:r w:rsidR="000F28D5">
        <w:t>just</w:t>
      </w:r>
      <w:r w:rsidR="000F554E">
        <w:t xml:space="preserve"> reiterat</w:t>
      </w:r>
      <w:r w:rsidR="00BE7B36">
        <w:t>e</w:t>
      </w:r>
      <w:r w:rsidR="000F554E">
        <w:t xml:space="preserve"> its argument that the FRP and SAP measures are not market price support</w:t>
      </w:r>
      <w:r w:rsidRPr="00831056">
        <w:t>.</w:t>
      </w:r>
      <w:r w:rsidR="00E17426">
        <w:rPr>
          <w:rStyle w:val="FootnoteReference"/>
        </w:rPr>
        <w:footnoteReference w:id="13"/>
      </w:r>
    </w:p>
    <w:p w14:paraId="57B32E6C" w14:textId="3F189855" w:rsidR="00424F3B" w:rsidRDefault="00424F3B" w:rsidP="0095567E">
      <w:pPr>
        <w:pStyle w:val="HL4HeadingLevel4"/>
      </w:pPr>
      <w:bookmarkStart w:id="11" w:name="_Toc63966815"/>
      <w:r>
        <w:t>Market price support</w:t>
      </w:r>
      <w:r w:rsidR="00D42699">
        <w:t>:</w:t>
      </w:r>
      <w:r w:rsidR="00606AC4">
        <w:t xml:space="preserve"> the FRP and SAPs</w:t>
      </w:r>
      <w:bookmarkEnd w:id="11"/>
    </w:p>
    <w:p w14:paraId="1008CFB6" w14:textId="77777777" w:rsidR="0005741B" w:rsidRDefault="004970F4" w:rsidP="0005741B">
      <w:pPr>
        <w:pStyle w:val="P1-N1Paragraph1-Number1"/>
      </w:pPr>
      <w:r>
        <w:t xml:space="preserve">With respect to India's market price support, </w:t>
      </w:r>
      <w:r w:rsidR="0005741B" w:rsidRPr="00765981">
        <w:t>India agrees</w:t>
      </w:r>
      <w:r w:rsidR="0005741B">
        <w:t xml:space="preserve"> that it continues to set the FRP and has not contested the floor prices established by that measure in any of the relevant sugar seasons.</w:t>
      </w:r>
      <w:r w:rsidR="0005741B">
        <w:rPr>
          <w:rStyle w:val="FootnoteReference"/>
        </w:rPr>
        <w:footnoteReference w:id="14"/>
      </w:r>
      <w:r w:rsidR="0005741B">
        <w:t xml:space="preserve">  </w:t>
      </w:r>
    </w:p>
    <w:p w14:paraId="3D1530DD" w14:textId="77777777" w:rsidR="0005741B" w:rsidRDefault="00974E68" w:rsidP="0005741B">
      <w:pPr>
        <w:pStyle w:val="P1-N1Paragraph1-Number1"/>
      </w:pPr>
      <w:r>
        <w:t xml:space="preserve">Of the six states that Australia claims maintain or have maintained a SAP, </w:t>
      </w:r>
      <w:r w:rsidR="0005741B" w:rsidRPr="00765981">
        <w:t>India agrees</w:t>
      </w:r>
      <w:r w:rsidR="0005741B">
        <w:t xml:space="preserve"> that four of th</w:t>
      </w:r>
      <w:r>
        <w:t>ose</w:t>
      </w:r>
      <w:r w:rsidR="0005741B">
        <w:t xml:space="preserve"> states (Haryana, Punjab, Uttarakhand and Uttar Pradesh) </w:t>
      </w:r>
      <w:r>
        <w:t>set</w:t>
      </w:r>
      <w:r w:rsidR="0005741B">
        <w:t xml:space="preserve"> a SAP.</w:t>
      </w:r>
      <w:r w:rsidR="0005741B">
        <w:rPr>
          <w:rStyle w:val="FootnoteReference"/>
        </w:rPr>
        <w:footnoteReference w:id="15"/>
      </w:r>
      <w:r w:rsidR="0005741B">
        <w:t xml:space="preserve">  India also </w:t>
      </w:r>
      <w:r w:rsidR="0005741B" w:rsidRPr="00765981">
        <w:t>does not dispute</w:t>
      </w:r>
      <w:r w:rsidR="0005741B">
        <w:t xml:space="preserve"> that these four states applied SAPs during the five sugar seasons for which Australia has presented calculations</w:t>
      </w:r>
      <w:r>
        <w:t xml:space="preserve"> of India's AMS</w:t>
      </w:r>
      <w:r w:rsidR="0005741B">
        <w:t>.</w:t>
      </w:r>
      <w:r w:rsidR="0005741B">
        <w:rPr>
          <w:rStyle w:val="FootnoteReference"/>
        </w:rPr>
        <w:footnoteReference w:id="16"/>
      </w:r>
    </w:p>
    <w:p w14:paraId="71006D84" w14:textId="26427CA2" w:rsidR="0005741B" w:rsidRDefault="0005741B" w:rsidP="0005741B">
      <w:pPr>
        <w:pStyle w:val="P1-N1Paragraph1-Number1"/>
      </w:pPr>
      <w:r>
        <w:t xml:space="preserve">With respect to the fifth state, India does not dispute that Tamil Nadu did – in some previous sugar seasons – set a SAP, as reflected in Australia's calculations and supported by the evidence.  In fact, </w:t>
      </w:r>
      <w:r w:rsidR="001E372C">
        <w:t>by claiming</w:t>
      </w:r>
      <w:r>
        <w:t xml:space="preserve"> that Tamil Nadu's SAPs in some previous sugar seasons have "expired"</w:t>
      </w:r>
      <w:r w:rsidR="001E372C">
        <w:t>, India has</w:t>
      </w:r>
      <w:r>
        <w:t xml:space="preserve"> admi</w:t>
      </w:r>
      <w:r w:rsidR="001E372C">
        <w:t>tted</w:t>
      </w:r>
      <w:r>
        <w:t xml:space="preserve"> that Tamil Nadu did set SAPs in those seasons.</w:t>
      </w:r>
      <w:r>
        <w:rPr>
          <w:rStyle w:val="FootnoteReference"/>
        </w:rPr>
        <w:footnoteReference w:id="17"/>
      </w:r>
    </w:p>
    <w:p w14:paraId="38765BFC" w14:textId="77777777" w:rsidR="0005741B" w:rsidRDefault="0005741B" w:rsidP="0005741B">
      <w:pPr>
        <w:pStyle w:val="P1-N1Paragraph1-Number1"/>
      </w:pPr>
      <w:r>
        <w:t xml:space="preserve">Finally, India </w:t>
      </w:r>
      <w:r w:rsidR="00E36867">
        <w:t>does</w:t>
      </w:r>
      <w:r>
        <w:t xml:space="preserve"> not dispute that Bihar set a SAP</w:t>
      </w:r>
      <w:r w:rsidR="001E372C" w:rsidRPr="001E372C">
        <w:t xml:space="preserve"> </w:t>
      </w:r>
      <w:r w:rsidR="001E372C">
        <w:t xml:space="preserve">in each of the sugar seasons included in Australia's </w:t>
      </w:r>
      <w:r w:rsidR="00E36867">
        <w:t xml:space="preserve">domestic support </w:t>
      </w:r>
      <w:r w:rsidR="001E372C">
        <w:t>calculations</w:t>
      </w:r>
      <w:r>
        <w:t>.</w:t>
      </w:r>
      <w:r>
        <w:rPr>
          <w:rStyle w:val="FootnoteReference"/>
        </w:rPr>
        <w:footnoteReference w:id="18"/>
      </w:r>
      <w:r>
        <w:t xml:space="preserve"> </w:t>
      </w:r>
    </w:p>
    <w:p w14:paraId="2FB3B647" w14:textId="01AC5143" w:rsidR="00424F3B" w:rsidRDefault="00424F3B" w:rsidP="0095567E">
      <w:pPr>
        <w:pStyle w:val="HL4HeadingLevel4"/>
      </w:pPr>
      <w:bookmarkStart w:id="12" w:name="_Toc63966816"/>
      <w:r>
        <w:t>Non-exempt direct payments and other non-exempt policies</w:t>
      </w:r>
      <w:r w:rsidR="00D42699">
        <w:t>:</w:t>
      </w:r>
      <w:r w:rsidR="00606AC4">
        <w:t xml:space="preserve"> the three </w:t>
      </w:r>
      <w:r w:rsidR="00AB5B54">
        <w:t>s</w:t>
      </w:r>
      <w:r w:rsidR="00606AC4">
        <w:t>tate programmes</w:t>
      </w:r>
      <w:bookmarkEnd w:id="12"/>
    </w:p>
    <w:p w14:paraId="1C649291" w14:textId="55987C43" w:rsidR="0005741B" w:rsidRDefault="00606AC4" w:rsidP="00852807">
      <w:pPr>
        <w:pStyle w:val="P1-N1Paragraph1-Number1"/>
      </w:pPr>
      <w:r>
        <w:t xml:space="preserve">Australia recalls that it modified its </w:t>
      </w:r>
      <w:r w:rsidR="00CD4859">
        <w:t xml:space="preserve">original </w:t>
      </w:r>
      <w:r>
        <w:t xml:space="preserve">claims </w:t>
      </w:r>
      <w:r w:rsidR="00471016">
        <w:t>regarding</w:t>
      </w:r>
      <w:r>
        <w:t xml:space="preserve"> the </w:t>
      </w:r>
      <w:r w:rsidR="00852807">
        <w:t xml:space="preserve">amounts disbursed for the </w:t>
      </w:r>
      <w:r>
        <w:t>Andhra Pradesh purchase tax remittance scheme</w:t>
      </w:r>
      <w:r w:rsidR="00852807">
        <w:t xml:space="preserve"> </w:t>
      </w:r>
      <w:r w:rsidR="00BD1851">
        <w:t>during</w:t>
      </w:r>
      <w:r w:rsidR="00852807">
        <w:t xml:space="preserve"> the 2016–17 sugar season</w:t>
      </w:r>
      <w:r>
        <w:t>.</w:t>
      </w:r>
      <w:r>
        <w:rPr>
          <w:rStyle w:val="FootnoteReference"/>
        </w:rPr>
        <w:footnoteReference w:id="19"/>
      </w:r>
      <w:r w:rsidR="00852807">
        <w:t xml:space="preserve">  </w:t>
      </w:r>
      <w:r w:rsidR="00E36867">
        <w:t>There is now no dispute between the parties regarding</w:t>
      </w:r>
      <w:r w:rsidR="0005741B">
        <w:t xml:space="preserve"> the existence of the</w:t>
      </w:r>
      <w:r w:rsidR="00E36867">
        <w:t xml:space="preserve"> three</w:t>
      </w:r>
      <w:r w:rsidR="0005741B">
        <w:t xml:space="preserve"> </w:t>
      </w:r>
      <w:r w:rsidR="00AB5B54">
        <w:t>s</w:t>
      </w:r>
      <w:r w:rsidR="0005741B">
        <w:t>tate programmes in the relevant seasons or the budgetary outlays made in connection with them.</w:t>
      </w:r>
      <w:r w:rsidR="008D61DA">
        <w:t xml:space="preserve"> </w:t>
      </w:r>
      <w:r w:rsidR="005D510A">
        <w:t xml:space="preserve"> </w:t>
      </w:r>
      <w:r w:rsidR="0005741B">
        <w:t>India does not contest that the</w:t>
      </w:r>
      <w:r w:rsidR="00E36867">
        <w:t>se measures</w:t>
      </w:r>
      <w:r w:rsidR="0005741B">
        <w:t xml:space="preserve"> are non-exempt direct payments or other </w:t>
      </w:r>
      <w:r w:rsidR="0005741B" w:rsidRPr="002A693D">
        <w:t>non-exempt policies</w:t>
      </w:r>
      <w:r w:rsidR="0005741B">
        <w:t xml:space="preserve"> that may be added to the AMS calculation.</w:t>
      </w:r>
      <w:r w:rsidR="00D76407">
        <w:rPr>
          <w:rStyle w:val="FootnoteReference"/>
        </w:rPr>
        <w:footnoteReference w:id="20"/>
      </w:r>
      <w:r w:rsidR="006049E2">
        <w:t xml:space="preserve">  </w:t>
      </w:r>
      <w:r w:rsidR="00E36867">
        <w:t xml:space="preserve">Further, </w:t>
      </w:r>
      <w:r w:rsidR="006049E2">
        <w:t xml:space="preserve">India agrees that </w:t>
      </w:r>
      <w:r w:rsidR="00283363">
        <w:t xml:space="preserve">the domestic support provided </w:t>
      </w:r>
      <w:r w:rsidR="00471016">
        <w:t xml:space="preserve">through </w:t>
      </w:r>
      <w:r w:rsidR="006049E2">
        <w:t xml:space="preserve">both </w:t>
      </w:r>
      <w:r w:rsidR="00283363">
        <w:t>non-exempt direct payments</w:t>
      </w:r>
      <w:r w:rsidR="006049E2">
        <w:t xml:space="preserve"> and </w:t>
      </w:r>
      <w:r w:rsidR="00283363">
        <w:t>other non-exempt measures</w:t>
      </w:r>
      <w:r w:rsidR="006049E2">
        <w:t xml:space="preserve"> may be </w:t>
      </w:r>
      <w:r w:rsidR="00283363">
        <w:t>calculated</w:t>
      </w:r>
      <w:r w:rsidR="006049E2">
        <w:t xml:space="preserve"> using budgetary outlays pursuant to Annex 3 of the Agreement on Agriculture.</w:t>
      </w:r>
      <w:r w:rsidR="00283363">
        <w:rPr>
          <w:rStyle w:val="FootnoteReference"/>
        </w:rPr>
        <w:footnoteReference w:id="21"/>
      </w:r>
    </w:p>
    <w:p w14:paraId="5957972C" w14:textId="77777777" w:rsidR="00424F3B" w:rsidRDefault="00424F3B" w:rsidP="00424F3B">
      <w:pPr>
        <w:pStyle w:val="HL3HeadingLevel3"/>
      </w:pPr>
      <w:bookmarkStart w:id="13" w:name="_Toc63966817"/>
      <w:r>
        <w:t xml:space="preserve">Measures </w:t>
      </w:r>
      <w:r w:rsidR="00BD6EDB">
        <w:t xml:space="preserve">not included in Australia's domestic support calculations: </w:t>
      </w:r>
      <w:r w:rsidR="00CD0642">
        <w:t xml:space="preserve">budgetary </w:t>
      </w:r>
      <w:r>
        <w:t>payments made to maintain the "gap"</w:t>
      </w:r>
      <w:bookmarkEnd w:id="13"/>
    </w:p>
    <w:p w14:paraId="104F4C4D" w14:textId="6717F016" w:rsidR="00765981" w:rsidRDefault="00765981" w:rsidP="00765981">
      <w:pPr>
        <w:pStyle w:val="P1-N1Paragraph1-Number1"/>
      </w:pPr>
      <w:r>
        <w:t>Turning to Australia's claims regarding India's measures that maintain the "gap"</w:t>
      </w:r>
      <w:r w:rsidR="002D019F">
        <w:t>,</w:t>
      </w:r>
      <w:r w:rsidR="000F0D6E">
        <w:rPr>
          <w:rStyle w:val="FootnoteReference"/>
        </w:rPr>
        <w:footnoteReference w:id="22"/>
      </w:r>
      <w:r>
        <w:t xml:space="preserve"> with one minor exception, </w:t>
      </w:r>
      <w:r w:rsidRPr="00C007B0">
        <w:t>India does not dispute the existence or nature of these measures</w:t>
      </w:r>
      <w:r>
        <w:t>.</w:t>
      </w:r>
      <w:r w:rsidR="004F55B2">
        <w:t xml:space="preserve">  </w:t>
      </w:r>
      <w:r w:rsidR="004F55B2" w:rsidRPr="004F55B2">
        <w:t xml:space="preserve">Nor has India argued that any of the measures are exempt.  </w:t>
      </w:r>
    </w:p>
    <w:p w14:paraId="4D2EED3B" w14:textId="024F7697" w:rsidR="0005741B" w:rsidRDefault="004F55B2" w:rsidP="0005741B">
      <w:pPr>
        <w:pStyle w:val="P1-N1Paragraph1-Number1"/>
      </w:pPr>
      <w:r>
        <w:t xml:space="preserve">India </w:t>
      </w:r>
      <w:r w:rsidR="00CD5330">
        <w:t>contends</w:t>
      </w:r>
      <w:r>
        <w:t xml:space="preserve"> that the purchase tax remission schemes applied by certain </w:t>
      </w:r>
      <w:r w:rsidR="00AB5B54">
        <w:t>s</w:t>
      </w:r>
      <w:r>
        <w:t>tates have been discontinued with effect from 14 November 2018.</w:t>
      </w:r>
      <w:r>
        <w:rPr>
          <w:rStyle w:val="FootnoteReference"/>
        </w:rPr>
        <w:footnoteReference w:id="23"/>
      </w:r>
      <w:r>
        <w:t xml:space="preserve">  This </w:t>
      </w:r>
      <w:r w:rsidR="00CD5330">
        <w:t>contention</w:t>
      </w:r>
      <w:r>
        <w:t xml:space="preserve"> </w:t>
      </w:r>
      <w:r w:rsidR="00CD3C90" w:rsidRPr="00CD3C90">
        <w:t>is of relevance only to Australia's claim that Telangana maintained such a scheme in the 2018–19 sugar season.</w:t>
      </w:r>
      <w:r w:rsidR="00EA2FD1">
        <w:rPr>
          <w:rStyle w:val="FootnoteReference"/>
        </w:rPr>
        <w:footnoteReference w:id="24"/>
      </w:r>
      <w:r w:rsidR="00CD3C90" w:rsidRPr="00CD3C90">
        <w:t xml:space="preserve">  The Panel may consider it necessary to make a factual finding regarding the Telangana scheme, or it may opt to exercise judicial economy.  Either way, this will have no bearing on Australia's domestic support calculations</w:t>
      </w:r>
      <w:r>
        <w:t xml:space="preserve"> because, consistent with paragraph 8 of Annex 3 of the Agreement on Agriculture, Australia has not included </w:t>
      </w:r>
      <w:r w:rsidR="00E0611D">
        <w:t xml:space="preserve">in its calculations </w:t>
      </w:r>
      <w:r>
        <w:t xml:space="preserve">the measures </w:t>
      </w:r>
      <w:r w:rsidR="000F0D6E">
        <w:t xml:space="preserve">involving payments </w:t>
      </w:r>
      <w:r>
        <w:t>made to maintain the "gap"</w:t>
      </w:r>
      <w:r w:rsidR="00CD3C90" w:rsidRPr="00CD3C90">
        <w:t>.</w:t>
      </w:r>
    </w:p>
    <w:p w14:paraId="1C4FC04F" w14:textId="41A6BF28" w:rsidR="00306D95" w:rsidRDefault="00A33E60" w:rsidP="00306D95">
      <w:pPr>
        <w:pStyle w:val="HL2HeadingLevel2"/>
      </w:pPr>
      <w:bookmarkStart w:id="14" w:name="_Toc63966818"/>
      <w:r>
        <w:t xml:space="preserve">India's FRP and SAP </w:t>
      </w:r>
      <w:r w:rsidR="000B468D">
        <w:t>m</w:t>
      </w:r>
      <w:r>
        <w:t xml:space="preserve">easures </w:t>
      </w:r>
      <w:r w:rsidR="000B468D">
        <w:t>c</w:t>
      </w:r>
      <w:r>
        <w:t xml:space="preserve">onstitute </w:t>
      </w:r>
      <w:r w:rsidR="000B468D">
        <w:t>m</w:t>
      </w:r>
      <w:r>
        <w:t xml:space="preserve">arket </w:t>
      </w:r>
      <w:r w:rsidR="000B468D">
        <w:t>p</w:t>
      </w:r>
      <w:r>
        <w:t xml:space="preserve">rice </w:t>
      </w:r>
      <w:r w:rsidR="000B468D">
        <w:t>s</w:t>
      </w:r>
      <w:r>
        <w:t>upport</w:t>
      </w:r>
      <w:bookmarkEnd w:id="14"/>
    </w:p>
    <w:p w14:paraId="3A91624D" w14:textId="77777777" w:rsidR="00B1195C" w:rsidRDefault="005B4B3D" w:rsidP="005B4B3D">
      <w:pPr>
        <w:pStyle w:val="P1-N1Paragraph1-Number1"/>
      </w:pPr>
      <w:r>
        <w:t xml:space="preserve">India's defence of its FRP and SAP measures rests on its </w:t>
      </w:r>
      <w:r w:rsidR="0012537F">
        <w:t>contention</w:t>
      </w:r>
      <w:r>
        <w:t xml:space="preserve"> that market price support must, in all cases, be provided by the government (or its agents) purchasing the basic agricultural product at the AAP.  </w:t>
      </w:r>
      <w:r w:rsidR="0012537F">
        <w:t xml:space="preserve">If that argument fails, so too does India's defence of those measures.  </w:t>
      </w:r>
      <w:bookmarkStart w:id="15" w:name="_Hlk62828447"/>
      <w:r w:rsidR="00B1195C">
        <w:t xml:space="preserve"> </w:t>
      </w:r>
      <w:bookmarkEnd w:id="15"/>
      <w:r w:rsidR="00B1195C">
        <w:t xml:space="preserve"> </w:t>
      </w:r>
    </w:p>
    <w:p w14:paraId="76750860" w14:textId="1093C77D" w:rsidR="00306D95" w:rsidRDefault="0012537F" w:rsidP="00D5266B">
      <w:pPr>
        <w:pStyle w:val="P1-N1Paragraph1-Number1"/>
        <w:keepNext/>
      </w:pPr>
      <w:r>
        <w:t xml:space="preserve">To support its </w:t>
      </w:r>
      <w:r w:rsidR="00E30FB5">
        <w:t>mis</w:t>
      </w:r>
      <w:r>
        <w:t>interpretation of market price support, India has put forward flawed reasoning</w:t>
      </w:r>
      <w:r w:rsidR="00675A54">
        <w:t xml:space="preserve">, </w:t>
      </w:r>
      <w:r w:rsidR="00153FF4">
        <w:t>which may be summarised as follows</w:t>
      </w:r>
      <w:r w:rsidR="00675A54">
        <w:t xml:space="preserve">: </w:t>
      </w:r>
    </w:p>
    <w:p w14:paraId="02CF3401" w14:textId="77777777" w:rsidR="00B85241" w:rsidRDefault="00B85241" w:rsidP="00FB445A">
      <w:pPr>
        <w:pStyle w:val="P2-B1Paragraph2-Bullet1"/>
      </w:pPr>
      <w:r>
        <w:t>Paragraphs 1 and 2 of Annex 3 limit market price support to subsidies in the form of budgetary outlays or revenue foregone by a government or its agents.</w:t>
      </w:r>
      <w:r w:rsidR="00D6709B">
        <w:rPr>
          <w:rStyle w:val="FootnoteReference"/>
        </w:rPr>
        <w:footnoteReference w:id="25"/>
      </w:r>
    </w:p>
    <w:p w14:paraId="620AB7D8" w14:textId="77777777" w:rsidR="00FB445A" w:rsidRDefault="00A6075C" w:rsidP="00FB445A">
      <w:pPr>
        <w:pStyle w:val="P2-B1Paragraph2-Bullet1"/>
      </w:pPr>
      <w:r w:rsidRPr="00A6075C">
        <w:t>"</w:t>
      </w:r>
      <w:r w:rsidR="00B85241">
        <w:rPr>
          <w:u w:val="single"/>
        </w:rPr>
        <w:t>[W]</w:t>
      </w:r>
      <w:r w:rsidRPr="00FB445A">
        <w:rPr>
          <w:u w:val="single"/>
        </w:rPr>
        <w:t>hen</w:t>
      </w:r>
      <w:r w:rsidRPr="00A6075C">
        <w:t xml:space="preserve"> a market price support can be said to exist"</w:t>
      </w:r>
      <w:r>
        <w:t xml:space="preserve"> is a</w:t>
      </w:r>
      <w:r w:rsidR="00FB445A">
        <w:t xml:space="preserve"> different question to "</w:t>
      </w:r>
      <w:r w:rsidR="00FB445A" w:rsidRPr="00FB445A">
        <w:rPr>
          <w:u w:val="single"/>
        </w:rPr>
        <w:t>how</w:t>
      </w:r>
      <w:r w:rsidR="00FB445A">
        <w:t xml:space="preserve"> to calculate or measure a market price support".</w:t>
      </w:r>
      <w:r w:rsidR="00FB445A">
        <w:rPr>
          <w:rStyle w:val="FootnoteReference"/>
        </w:rPr>
        <w:footnoteReference w:id="26"/>
      </w:r>
      <w:r w:rsidR="00FB445A">
        <w:t xml:space="preserve">  </w:t>
      </w:r>
      <w:r w:rsidR="00A934B1">
        <w:t>"Article 6 read with paragraph 1 and paragraph 2 of Annex</w:t>
      </w:r>
      <w:r>
        <w:t> </w:t>
      </w:r>
      <w:r w:rsidR="00A934B1">
        <w:t>3 identifies the scope of domestic support</w:t>
      </w:r>
      <w:r w:rsidR="00BD6EDB">
        <w:t xml:space="preserve"> [including market price support]</w:t>
      </w:r>
      <w:r w:rsidR="00A934B1">
        <w:t xml:space="preserve"> that goes into the calculation of AMS"</w:t>
      </w:r>
      <w:r w:rsidR="00A934B1">
        <w:rPr>
          <w:rStyle w:val="FootnoteReference"/>
        </w:rPr>
        <w:footnoteReference w:id="27"/>
      </w:r>
      <w:r w:rsidR="00A934B1">
        <w:t xml:space="preserve"> </w:t>
      </w:r>
      <w:r w:rsidR="00FB445A">
        <w:t xml:space="preserve">while paragraph 8 stipulates only how to </w:t>
      </w:r>
      <w:r w:rsidR="00FB445A" w:rsidRPr="00FB445A">
        <w:rPr>
          <w:u w:val="single"/>
        </w:rPr>
        <w:t>calculate</w:t>
      </w:r>
      <w:r w:rsidR="00FB445A">
        <w:t xml:space="preserve"> </w:t>
      </w:r>
      <w:r w:rsidR="00211E46">
        <w:t>market price support</w:t>
      </w:r>
      <w:r w:rsidR="00FB445A">
        <w:t>.</w:t>
      </w:r>
      <w:r w:rsidR="00FB445A">
        <w:rPr>
          <w:rStyle w:val="FootnoteReference"/>
        </w:rPr>
        <w:footnoteReference w:id="28"/>
      </w:r>
    </w:p>
    <w:p w14:paraId="503BBD20" w14:textId="77777777" w:rsidR="009A51FD" w:rsidRDefault="009A51FD" w:rsidP="005852FA">
      <w:pPr>
        <w:pStyle w:val="P2-B1Paragraph2-Bullet1"/>
        <w:keepLines/>
        <w:ind w:left="1702" w:hanging="851"/>
      </w:pPr>
      <w:r>
        <w:t>Paragraph 8</w:t>
      </w:r>
      <w:r w:rsidR="000912EA">
        <w:t>, second sentence,</w:t>
      </w:r>
      <w:r>
        <w:t xml:space="preserve"> distinguishes between the cost "</w:t>
      </w:r>
      <w:r w:rsidRPr="009A51FD">
        <w:rPr>
          <w:u w:val="single"/>
        </w:rPr>
        <w:t>for</w:t>
      </w:r>
      <w:r>
        <w:t xml:space="preserve"> the products" and "additional costs", which may include "transactional costs".</w:t>
      </w:r>
      <w:r>
        <w:rPr>
          <w:rStyle w:val="FootnoteReference"/>
        </w:rPr>
        <w:footnoteReference w:id="29"/>
      </w:r>
      <w:r>
        <w:t xml:space="preserve">  Budgetary payments for these "costs</w:t>
      </w:r>
      <w:r w:rsidR="00DE7E67">
        <w:t xml:space="preserve"> associated with implementing an applied administered price</w:t>
      </w:r>
      <w:r>
        <w:t>"</w:t>
      </w:r>
      <w:r w:rsidR="00DE7E67">
        <w:rPr>
          <w:rStyle w:val="FootnoteReference"/>
        </w:rPr>
        <w:footnoteReference w:id="30"/>
      </w:r>
      <w:r>
        <w:t xml:space="preserve"> are excluded</w:t>
      </w:r>
      <w:r w:rsidR="000912EA">
        <w:t>.</w:t>
      </w:r>
      <w:r>
        <w:t xml:space="preserve"> </w:t>
      </w:r>
    </w:p>
    <w:p w14:paraId="1ED3556F" w14:textId="0A390CE0" w:rsidR="00675A54" w:rsidRDefault="001E09D0" w:rsidP="00675A54">
      <w:pPr>
        <w:pStyle w:val="P2-B1Paragraph2-Bullet1"/>
      </w:pPr>
      <w:r>
        <w:t>Previous</w:t>
      </w:r>
      <w:r w:rsidR="00BA530B">
        <w:t xml:space="preserve"> panel reports relied upon by Australia "are either not applicable or do not support the view of the complainants</w:t>
      </w:r>
      <w:r w:rsidR="002D019F">
        <w:t>.</w:t>
      </w:r>
      <w:r w:rsidR="00BA530B">
        <w:t>"</w:t>
      </w:r>
      <w:r w:rsidR="009940CD">
        <w:rPr>
          <w:rStyle w:val="FootnoteReference"/>
        </w:rPr>
        <w:footnoteReference w:id="31"/>
      </w:r>
    </w:p>
    <w:p w14:paraId="2C8150E0" w14:textId="50BB2E7D" w:rsidR="001F3B5A" w:rsidRDefault="001F3B5A" w:rsidP="001F3B5A">
      <w:pPr>
        <w:pStyle w:val="P1-N1Paragraph1-Number1"/>
      </w:pPr>
      <w:r>
        <w:t xml:space="preserve">Australia </w:t>
      </w:r>
      <w:r w:rsidR="00A85387">
        <w:t>first</w:t>
      </w:r>
      <w:r w:rsidR="00DF008E">
        <w:t xml:space="preserve"> </w:t>
      </w:r>
      <w:r>
        <w:t>outline</w:t>
      </w:r>
      <w:r w:rsidR="00A85387">
        <w:t>s</w:t>
      </w:r>
      <w:r>
        <w:t xml:space="preserve"> the proper interpretation of </w:t>
      </w:r>
      <w:r w:rsidR="00836FD2">
        <w:t>"</w:t>
      </w:r>
      <w:r>
        <w:t>market price support</w:t>
      </w:r>
      <w:r w:rsidR="00836FD2">
        <w:t>"</w:t>
      </w:r>
      <w:r>
        <w:t xml:space="preserve"> in the Agreement on Agriculture and then explain</w:t>
      </w:r>
      <w:r w:rsidR="00A85387">
        <w:t>s</w:t>
      </w:r>
      <w:r>
        <w:t xml:space="preserve"> why the Panel should reject </w:t>
      </w:r>
      <w:r w:rsidR="00C319CC">
        <w:t>India's argument</w:t>
      </w:r>
      <w:r w:rsidR="00543B0D">
        <w:t xml:space="preserve"> </w:t>
      </w:r>
      <w:r w:rsidR="00AB5B54">
        <w:t>and</w:t>
      </w:r>
      <w:r w:rsidR="00C319CC">
        <w:t xml:space="preserve"> each of its</w:t>
      </w:r>
      <w:r>
        <w:t xml:space="preserve"> lines of reasoning. </w:t>
      </w:r>
    </w:p>
    <w:p w14:paraId="78087B23" w14:textId="77777777" w:rsidR="001F3B5A" w:rsidRDefault="00F6591D" w:rsidP="001F3B5A">
      <w:pPr>
        <w:pStyle w:val="HL3HeadingLevel3"/>
      </w:pPr>
      <w:bookmarkStart w:id="16" w:name="_Toc63966819"/>
      <w:r>
        <w:t>The meaning of "market price support" in the Agreement on Agriculture</w:t>
      </w:r>
      <w:bookmarkEnd w:id="16"/>
    </w:p>
    <w:p w14:paraId="7868DEC7" w14:textId="77777777" w:rsidR="00836FD2" w:rsidRDefault="00836FD2" w:rsidP="003D4DDA">
      <w:pPr>
        <w:pStyle w:val="P1-N1Paragraph1-Number1"/>
        <w:jc w:val="left"/>
      </w:pPr>
      <w:r>
        <w:t>Consistent with Article 31(1) of the Vienna Convention on the Law of Treaties</w:t>
      </w:r>
      <w:r w:rsidR="00C44437">
        <w:t xml:space="preserve"> (Vienna Convention)</w:t>
      </w:r>
      <w:r>
        <w:t>, "market price support" must be interpreted in accordance with its ordinary meaning, read in context, and in light of the Agreement on Agriculture's object and purpose.</w:t>
      </w:r>
      <w:bookmarkStart w:id="17" w:name="_Ref63622584"/>
      <w:r>
        <w:rPr>
          <w:rStyle w:val="FootnoteReference"/>
        </w:rPr>
        <w:footnoteReference w:id="32"/>
      </w:r>
      <w:bookmarkEnd w:id="17"/>
      <w:r>
        <w:t xml:space="preserve"> </w:t>
      </w:r>
    </w:p>
    <w:p w14:paraId="6A377C3D" w14:textId="77777777" w:rsidR="00976847" w:rsidRPr="00976847" w:rsidRDefault="00976847" w:rsidP="00976847">
      <w:pPr>
        <w:pStyle w:val="HL4HeadingLevel4"/>
      </w:pPr>
      <w:bookmarkStart w:id="18" w:name="_Toc63966820"/>
      <w:r>
        <w:t>Ordinary meaning</w:t>
      </w:r>
      <w:bookmarkEnd w:id="18"/>
    </w:p>
    <w:p w14:paraId="6DA62B6A" w14:textId="77777777" w:rsidR="000D1216" w:rsidRDefault="000D1216" w:rsidP="000D1216">
      <w:pPr>
        <w:pStyle w:val="P1-N1Paragraph1-Number1"/>
      </w:pPr>
      <w:r>
        <w:t>"Market price support" is not defined in Article 1 of the Agreement on Agriculture, which provides definitions for a range of terms that are used in the Agreement.  Annex 4 of the Agreement on Agriculture states that market price support is "defined in Annex 3".</w:t>
      </w:r>
      <w:r w:rsidRPr="00746F97">
        <w:rPr>
          <w:vertAlign w:val="superscript"/>
        </w:rPr>
        <w:footnoteReference w:id="33"/>
      </w:r>
      <w:r>
        <w:t xml:space="preserve">  Indeed, apart from Annex 4, Annex 3 is the only</w:t>
      </w:r>
      <w:r w:rsidR="00EE581E">
        <w:t xml:space="preserve"> other</w:t>
      </w:r>
      <w:r>
        <w:t xml:space="preserve"> part of the Agreement that refers to "market price support"</w:t>
      </w:r>
      <w:r w:rsidR="005962F3">
        <w:t xml:space="preserve">. </w:t>
      </w:r>
    </w:p>
    <w:p w14:paraId="1ADC79FF" w14:textId="0074A605" w:rsidR="008E60E5" w:rsidRDefault="0079505B" w:rsidP="000D1216">
      <w:pPr>
        <w:pStyle w:val="P1-N1Paragraph1-Number1"/>
      </w:pPr>
      <w:bookmarkStart w:id="19" w:name="_Ref63241203"/>
      <w:r>
        <w:t>Annex 3 stipulate</w:t>
      </w:r>
      <w:r w:rsidR="00BD6EDB">
        <w:t>s</w:t>
      </w:r>
      <w:r>
        <w:t xml:space="preserve"> the method for calculating in monetary terms a Member's non-exempt domestic support or AMS.</w:t>
      </w:r>
      <w:r>
        <w:rPr>
          <w:rStyle w:val="FootnoteReference"/>
        </w:rPr>
        <w:footnoteReference w:id="34"/>
      </w:r>
      <w:r>
        <w:t xml:space="preserve">  This is reflected in the title of Annex 3, which is "Domestic Support: Calculation of Aggregate Measurement of Support"</w:t>
      </w:r>
      <w:r w:rsidR="00434F80">
        <w:t>, and confirmed by Article 1(a)(ii)</w:t>
      </w:r>
      <w:r>
        <w:t>.</w:t>
      </w:r>
      <w:r w:rsidR="00434F80">
        <w:rPr>
          <w:rStyle w:val="FootnoteReference"/>
        </w:rPr>
        <w:footnoteReference w:id="35"/>
      </w:r>
      <w:r>
        <w:t xml:space="preserve">  </w:t>
      </w:r>
      <w:r w:rsidR="00425B7E">
        <w:t>Paragraphs 1 and 8 of Annex 3 both refer to "market price support".</w:t>
      </w:r>
      <w:bookmarkEnd w:id="19"/>
      <w:r w:rsidR="00425B7E">
        <w:t xml:space="preserve"> </w:t>
      </w:r>
    </w:p>
    <w:p w14:paraId="1740E21D" w14:textId="608EC274" w:rsidR="0079505B" w:rsidRDefault="0079505B" w:rsidP="000D1216">
      <w:pPr>
        <w:pStyle w:val="P1-N1Paragraph1-Number1"/>
      </w:pPr>
      <w:bookmarkStart w:id="20" w:name="_Ref63241102"/>
      <w:bookmarkStart w:id="21" w:name="_Ref63764132"/>
      <w:r>
        <w:t xml:space="preserve">Paragraph 1 of Annex 3 </w:t>
      </w:r>
      <w:r w:rsidR="00425B7E">
        <w:t>lists</w:t>
      </w:r>
      <w:r>
        <w:t xml:space="preserve"> three kinds of </w:t>
      </w:r>
      <w:r w:rsidR="008C4133">
        <w:t xml:space="preserve">product-specific </w:t>
      </w:r>
      <w:r w:rsidR="00E00551">
        <w:t xml:space="preserve">domestic </w:t>
      </w:r>
      <w:r>
        <w:t>support – being market price support, non-exempt direct payments and other non-exempt policies – that constitute domestic support and</w:t>
      </w:r>
      <w:r w:rsidR="004B75F3">
        <w:t>, subject to Article 6,</w:t>
      </w:r>
      <w:r>
        <w:t xml:space="preserve"> are to be included in the calculation of AMS, consistent with Article 7.2(a).</w:t>
      </w:r>
      <w:r>
        <w:rPr>
          <w:rStyle w:val="FootnoteReference"/>
        </w:rPr>
        <w:footnoteReference w:id="36"/>
      </w:r>
      <w:r w:rsidR="004620FE">
        <w:t xml:space="preserve">  </w:t>
      </w:r>
      <w:r w:rsidR="002D019F">
        <w:t>Other paragraphs in Annex 3 then stipulate how the value of each kind of support is</w:t>
      </w:r>
      <w:r w:rsidR="00543B0D">
        <w:t xml:space="preserve"> to be</w:t>
      </w:r>
      <w:r w:rsidR="002D019F">
        <w:t xml:space="preserve"> calculated.  For market price support, paragraph 8 applies.</w:t>
      </w:r>
      <w:r w:rsidR="001E09D0">
        <w:rPr>
          <w:rStyle w:val="FootnoteReference"/>
        </w:rPr>
        <w:footnoteReference w:id="37"/>
      </w:r>
      <w:r w:rsidR="002D019F">
        <w:t xml:space="preserve">  </w:t>
      </w:r>
      <w:r w:rsidR="004620FE">
        <w:t xml:space="preserve">Nothing in paragraph 1 limits market price support to </w:t>
      </w:r>
      <w:r w:rsidR="008E60E5">
        <w:t xml:space="preserve">the </w:t>
      </w:r>
      <w:r w:rsidR="004620FE">
        <w:t xml:space="preserve">procurement of a basic agricultural product </w:t>
      </w:r>
      <w:r w:rsidR="00731133">
        <w:t xml:space="preserve">at the AAP </w:t>
      </w:r>
      <w:r w:rsidR="004620FE">
        <w:t>by government or its agents.</w:t>
      </w:r>
      <w:bookmarkEnd w:id="20"/>
      <w:r w:rsidR="00BA2530" w:rsidRPr="00BA2530">
        <w:t xml:space="preserve"> </w:t>
      </w:r>
      <w:r w:rsidR="00BA2530">
        <w:t xml:space="preserve"> </w:t>
      </w:r>
      <w:bookmarkEnd w:id="21"/>
      <w:r w:rsidR="00E00551">
        <w:t xml:space="preserve">  </w:t>
      </w:r>
    </w:p>
    <w:p w14:paraId="2F2F2809" w14:textId="77777777" w:rsidR="00425B7E" w:rsidRDefault="00425B7E" w:rsidP="00E54340">
      <w:pPr>
        <w:pStyle w:val="P1-N1Paragraph1-Number1"/>
        <w:keepNext/>
      </w:pPr>
      <w:r>
        <w:t xml:space="preserve">Paragraph 8 of Annex 3 provides: </w:t>
      </w:r>
    </w:p>
    <w:p w14:paraId="3F1FAF45" w14:textId="77777777" w:rsidR="00425B7E" w:rsidRDefault="00425B7E" w:rsidP="00425B7E">
      <w:pPr>
        <w:pStyle w:val="QQuotation"/>
      </w:pPr>
      <w:r>
        <w:t>Market price support: market price support shall be calculated using the gap between a fixed external reference price and the applied administered price multiplied by the quantity of production eligible to receive the applied administered price. Budgetary payments made to maintain this gap, such as buying-in or storage costs, shall not be included in the AMS.</w:t>
      </w:r>
    </w:p>
    <w:p w14:paraId="3D93C747" w14:textId="77777777" w:rsidR="002078F2" w:rsidRDefault="00425B7E" w:rsidP="0048479E">
      <w:pPr>
        <w:pStyle w:val="P1-N1Paragraph1-Number1"/>
        <w:keepNext/>
      </w:pPr>
      <w:r>
        <w:t>The first sentence of paragraph 8 sets out the formula for calculating the value of market price support</w:t>
      </w:r>
      <w:r w:rsidR="004F7F13">
        <w:t xml:space="preserve"> to be included in the AMS</w:t>
      </w:r>
      <w:r>
        <w:t xml:space="preserve">.  </w:t>
      </w:r>
      <w:r w:rsidR="001775FD">
        <w:t>T</w:t>
      </w:r>
      <w:r w:rsidR="002078F2">
        <w:t>he components of the formula</w:t>
      </w:r>
      <w:r w:rsidR="001775FD">
        <w:t xml:space="preserve"> are</w:t>
      </w:r>
      <w:r w:rsidR="002078F2">
        <w:t xml:space="preserve">: </w:t>
      </w:r>
    </w:p>
    <w:p w14:paraId="6950C722" w14:textId="77777777" w:rsidR="00594E97" w:rsidRDefault="002078F2" w:rsidP="002078F2">
      <w:pPr>
        <w:pStyle w:val="P2-B1Paragraph2-Bullet1"/>
      </w:pPr>
      <w:r>
        <w:t>T</w:t>
      </w:r>
      <w:r w:rsidR="005F4D5B">
        <w:t>he FERP</w:t>
      </w:r>
      <w:r w:rsidR="001775FD">
        <w:t>:</w:t>
      </w:r>
      <w:r w:rsidR="005F4D5B">
        <w:t xml:space="preserve"> a reference price for the basic agricultural product concerned from a base period (the years 1986–88 for original Members).</w:t>
      </w:r>
      <w:r w:rsidR="002544E1">
        <w:rPr>
          <w:rStyle w:val="FootnoteReference"/>
        </w:rPr>
        <w:footnoteReference w:id="38"/>
      </w:r>
      <w:r w:rsidR="005F4D5B">
        <w:t xml:space="preserve">  </w:t>
      </w:r>
    </w:p>
    <w:p w14:paraId="5AF4431C" w14:textId="77777777" w:rsidR="00594E97" w:rsidRDefault="005F4D5B" w:rsidP="002078F2">
      <w:pPr>
        <w:pStyle w:val="P2-B1Paragraph2-Bullet1"/>
      </w:pPr>
      <w:r>
        <w:t>An AAP</w:t>
      </w:r>
      <w:r w:rsidR="001775FD">
        <w:t>:</w:t>
      </w:r>
      <w:r>
        <w:t xml:space="preserve"> a price that is set, determined, made effective or brought to bear by administrative action</w:t>
      </w:r>
      <w:r w:rsidR="00594E97">
        <w:t xml:space="preserve"> (including regulatory action), rather than being determined by market forces.</w:t>
      </w:r>
      <w:r w:rsidR="004F7F13">
        <w:t xml:space="preserve"> </w:t>
      </w:r>
      <w:r w:rsidR="00594E97">
        <w:t xml:space="preserve"> It </w:t>
      </w:r>
      <w:r w:rsidR="00594E97" w:rsidRPr="000C6199">
        <w:t xml:space="preserve">need not be a price </w:t>
      </w:r>
      <w:r w:rsidR="00594E97">
        <w:t xml:space="preserve">that is </w:t>
      </w:r>
      <w:r w:rsidR="00594E97" w:rsidRPr="000C6199">
        <w:t>achieved by government</w:t>
      </w:r>
      <w:r w:rsidR="00594E97">
        <w:t xml:space="preserve"> </w:t>
      </w:r>
      <w:r w:rsidR="00594E97" w:rsidRPr="000C6199">
        <w:t>expenditure</w:t>
      </w:r>
      <w:r w:rsidR="00594E97">
        <w:t xml:space="preserve"> </w:t>
      </w:r>
      <w:r w:rsidR="00594E97" w:rsidRPr="000C6199">
        <w:t>and</w:t>
      </w:r>
      <w:r w:rsidR="00594E97">
        <w:t xml:space="preserve"> it</w:t>
      </w:r>
      <w:r w:rsidR="00594E97" w:rsidRPr="000C6199">
        <w:t xml:space="preserve"> need not involve budgetary payments or procurement</w:t>
      </w:r>
      <w:r w:rsidR="00594E97">
        <w:t>.</w:t>
      </w:r>
      <w:r w:rsidR="00594E97">
        <w:rPr>
          <w:rStyle w:val="FootnoteReference"/>
        </w:rPr>
        <w:footnoteReference w:id="39"/>
      </w:r>
    </w:p>
    <w:p w14:paraId="67BF6841" w14:textId="77777777" w:rsidR="002078F2" w:rsidRDefault="002078F2" w:rsidP="002078F2">
      <w:pPr>
        <w:pStyle w:val="P2-B1Paragraph2-Bullet1"/>
      </w:pPr>
      <w:r>
        <w:t>The quantity of eligible production</w:t>
      </w:r>
      <w:r w:rsidR="001775FD">
        <w:t>:</w:t>
      </w:r>
      <w:r>
        <w:t xml:space="preserve"> the quantity or volume of production entitled, fit or able to receive the AAP – not the amount that actually receives the AAP.</w:t>
      </w:r>
      <w:r w:rsidR="002544E1">
        <w:rPr>
          <w:rStyle w:val="FootnoteReference"/>
        </w:rPr>
        <w:footnoteReference w:id="40"/>
      </w:r>
    </w:p>
    <w:p w14:paraId="350F72B6" w14:textId="1058D29E" w:rsidR="002D253F" w:rsidRDefault="001775FD" w:rsidP="001775FD">
      <w:pPr>
        <w:pStyle w:val="P1-N1Paragraph1-Number1"/>
      </w:pPr>
      <w:bookmarkStart w:id="22" w:name="_Ref63783409"/>
      <w:r>
        <w:t xml:space="preserve">Accordingly, market price support </w:t>
      </w:r>
      <w:r w:rsidR="002D019F">
        <w:t>will exist and have</w:t>
      </w:r>
      <w:r w:rsidR="002D253F">
        <w:t xml:space="preserve"> a value </w:t>
      </w:r>
      <w:r w:rsidR="0054344B">
        <w:t>measurable under paragraph 8</w:t>
      </w:r>
      <w:r w:rsidR="002D253F">
        <w:t xml:space="preserve"> </w:t>
      </w:r>
      <w:r>
        <w:t xml:space="preserve">when a Member </w:t>
      </w:r>
      <w:r w:rsidR="00F27C5B">
        <w:t>sets</w:t>
      </w:r>
      <w:r>
        <w:t xml:space="preserve"> an AAP that is higher than the relevant FERP, and determines the production eligible to receive that AAP.</w:t>
      </w:r>
      <w:r w:rsidR="005B03F7">
        <w:rPr>
          <w:rStyle w:val="FootnoteReference"/>
        </w:rPr>
        <w:footnoteReference w:id="41"/>
      </w:r>
      <w:r w:rsidRPr="001775FD">
        <w:t xml:space="preserve"> </w:t>
      </w:r>
      <w:r w:rsidR="002D253F">
        <w:t xml:space="preserve"> </w:t>
      </w:r>
      <w:r w:rsidR="00EA0FF8">
        <w:t xml:space="preserve">Paragraph 8, first sentence, does </w:t>
      </w:r>
      <w:r w:rsidR="00EA0FF8" w:rsidRPr="00D03AF1">
        <w:rPr>
          <w:u w:val="single"/>
        </w:rPr>
        <w:t>not</w:t>
      </w:r>
      <w:r w:rsidR="00EA0FF8">
        <w:t xml:space="preserve"> stipulate</w:t>
      </w:r>
      <w:r w:rsidR="000F60BF">
        <w:t xml:space="preserve"> or imply</w:t>
      </w:r>
      <w:r w:rsidR="00EA0FF8">
        <w:t xml:space="preserve"> that the government or its agents must procure the product at the AAP.</w:t>
      </w:r>
      <w:r w:rsidR="000F60BF">
        <w:t xml:space="preserve">  The European Union </w:t>
      </w:r>
      <w:r w:rsidR="005B03F7">
        <w:t xml:space="preserve">and the United States </w:t>
      </w:r>
      <w:r w:rsidR="000F60BF">
        <w:t>agree.</w:t>
      </w:r>
      <w:r w:rsidR="000F60BF">
        <w:rPr>
          <w:rStyle w:val="FootnoteReference"/>
        </w:rPr>
        <w:footnoteReference w:id="42"/>
      </w:r>
      <w:bookmarkEnd w:id="22"/>
    </w:p>
    <w:p w14:paraId="2CB07594" w14:textId="56B13EFE" w:rsidR="00425B7E" w:rsidRDefault="00D0012E" w:rsidP="00D0012E">
      <w:pPr>
        <w:pStyle w:val="P1-N1Paragraph1-Number1"/>
      </w:pPr>
      <w:r>
        <w:t xml:space="preserve">The second sentence of paragraph 8 </w:t>
      </w:r>
      <w:r w:rsidR="00976285">
        <w:t>provides that budgetary payments made to maintain th</w:t>
      </w:r>
      <w:r>
        <w:t>e</w:t>
      </w:r>
      <w:r w:rsidR="00976285">
        <w:t xml:space="preserve"> gap </w:t>
      </w:r>
      <w:r>
        <w:t xml:space="preserve">between the FERP and the AAP </w:t>
      </w:r>
      <w:r w:rsidR="00976285">
        <w:t>must not be included in the AMS.</w:t>
      </w:r>
      <w:r w:rsidR="00E9014F">
        <w:rPr>
          <w:rStyle w:val="FootnoteReference"/>
        </w:rPr>
        <w:footnoteReference w:id="43"/>
      </w:r>
      <w:r w:rsidR="005126E7">
        <w:t xml:space="preserve">  Again, the plain words of </w:t>
      </w:r>
      <w:r>
        <w:t>this sentence</w:t>
      </w:r>
      <w:r w:rsidR="005126E7">
        <w:t xml:space="preserve"> do </w:t>
      </w:r>
      <w:r w:rsidR="005126E7" w:rsidRPr="005126E7">
        <w:rPr>
          <w:u w:val="single"/>
        </w:rPr>
        <w:t>not</w:t>
      </w:r>
      <w:r w:rsidR="005126E7">
        <w:t xml:space="preserve"> limit market price support to situations in which </w:t>
      </w:r>
      <w:r>
        <w:t xml:space="preserve">the product is procured by the </w:t>
      </w:r>
      <w:r w:rsidR="005126E7">
        <w:t xml:space="preserve">government </w:t>
      </w:r>
      <w:r w:rsidR="00655F7D">
        <w:t>(</w:t>
      </w:r>
      <w:r w:rsidR="005126E7">
        <w:t>or its agents</w:t>
      </w:r>
      <w:r w:rsidR="00655F7D">
        <w:t>)</w:t>
      </w:r>
      <w:r w:rsidR="005126E7">
        <w:t xml:space="preserve"> at </w:t>
      </w:r>
      <w:r>
        <w:t>the</w:t>
      </w:r>
      <w:r w:rsidR="005126E7">
        <w:t xml:space="preserve"> AAP.</w:t>
      </w:r>
      <w:r w:rsidR="009D0DD9">
        <w:rPr>
          <w:rStyle w:val="FootnoteReference"/>
        </w:rPr>
        <w:footnoteReference w:id="44"/>
      </w:r>
    </w:p>
    <w:p w14:paraId="089B70DB" w14:textId="600BBEAF" w:rsidR="0034602B" w:rsidRDefault="0034602B">
      <w:pPr>
        <w:pStyle w:val="P1-N1Paragraph1-Number1"/>
      </w:pPr>
      <w:r>
        <w:t xml:space="preserve">Thus, </w:t>
      </w:r>
      <w:r w:rsidR="00655F7D">
        <w:t>India's argument that such procurement is a "necessary element"</w:t>
      </w:r>
      <w:r w:rsidR="007A0BF6">
        <w:rPr>
          <w:rStyle w:val="FootnoteReference"/>
        </w:rPr>
        <w:footnoteReference w:id="45"/>
      </w:r>
      <w:r w:rsidR="00655F7D">
        <w:t xml:space="preserve"> of market price support is incompatible with the ordinary meaning of paragraphs 1 and 8 of Annex 3 and </w:t>
      </w:r>
      <w:r w:rsidR="000F28D5">
        <w:t>attempts</w:t>
      </w:r>
      <w:r w:rsidR="00655F7D">
        <w:t xml:space="preserve"> to read into the text a limitation that is not there.</w:t>
      </w:r>
    </w:p>
    <w:p w14:paraId="4E453CFA" w14:textId="130A58EC" w:rsidR="008A41F4" w:rsidRDefault="008F5F51" w:rsidP="000D1216">
      <w:pPr>
        <w:pStyle w:val="P1-N1Paragraph1-Number1"/>
      </w:pPr>
      <w:r>
        <w:t>Unsurprisingly, in its first written submission, India ignore</w:t>
      </w:r>
      <w:r w:rsidR="001E09D0">
        <w:t>s</w:t>
      </w:r>
      <w:r>
        <w:t xml:space="preserve"> paragraph 8 of Annex 3</w:t>
      </w:r>
      <w:r w:rsidR="00FB4D24">
        <w:t xml:space="preserve"> in setting out the legal standard and in advancing its argument that the FRP and SAP measures do not "qualify"</w:t>
      </w:r>
      <w:r w:rsidR="00FB4D24">
        <w:rPr>
          <w:rStyle w:val="FootnoteReference"/>
        </w:rPr>
        <w:footnoteReference w:id="46"/>
      </w:r>
      <w:r w:rsidR="00FB4D24">
        <w:t xml:space="preserve"> as market price support under Annex 3.</w:t>
      </w:r>
      <w:r w:rsidR="00FB4D24">
        <w:rPr>
          <w:rStyle w:val="FootnoteReference"/>
        </w:rPr>
        <w:footnoteReference w:id="47"/>
      </w:r>
      <w:r w:rsidR="00655F7D">
        <w:t xml:space="preserve">  </w:t>
      </w:r>
      <w:r w:rsidR="00D37934">
        <w:t xml:space="preserve">India </w:t>
      </w:r>
      <w:r w:rsidR="008D5485">
        <w:t>seeks</w:t>
      </w:r>
      <w:r w:rsidR="00D37934">
        <w:t xml:space="preserve"> to address this glaring omission in its argumentation by advancing two lines of reasoning with respect to paragraph 8.  </w:t>
      </w:r>
      <w:r w:rsidR="00D37934" w:rsidRPr="00440AF4">
        <w:t>Neither is persuasive and Australia explains why the Panel should reject them in Sections </w:t>
      </w:r>
      <w:r w:rsidR="00440AF4" w:rsidRPr="00440AF4">
        <w:fldChar w:fldCharType="begin"/>
      </w:r>
      <w:r w:rsidR="00440AF4" w:rsidRPr="00440AF4">
        <w:instrText xml:space="preserve"> REF _Ref63240954 \w \h </w:instrText>
      </w:r>
      <w:r w:rsidR="00440AF4">
        <w:instrText xml:space="preserve"> \* MERGEFORMAT </w:instrText>
      </w:r>
      <w:r w:rsidR="00440AF4" w:rsidRPr="00440AF4">
        <w:fldChar w:fldCharType="separate"/>
      </w:r>
      <w:r w:rsidR="00FF2871">
        <w:t>II.B.2(b)</w:t>
      </w:r>
      <w:r w:rsidR="00440AF4" w:rsidRPr="00440AF4">
        <w:fldChar w:fldCharType="end"/>
      </w:r>
      <w:r w:rsidR="00D37934" w:rsidRPr="00440AF4">
        <w:t xml:space="preserve"> and </w:t>
      </w:r>
      <w:r w:rsidR="00440AF4" w:rsidRPr="00440AF4">
        <w:fldChar w:fldCharType="begin"/>
      </w:r>
      <w:r w:rsidR="00440AF4" w:rsidRPr="00440AF4">
        <w:instrText xml:space="preserve"> REF _Ref63240982 \w \h </w:instrText>
      </w:r>
      <w:r w:rsidR="00440AF4">
        <w:instrText xml:space="preserve"> \* MERGEFORMAT </w:instrText>
      </w:r>
      <w:r w:rsidR="00440AF4" w:rsidRPr="00440AF4">
        <w:fldChar w:fldCharType="separate"/>
      </w:r>
      <w:r w:rsidR="00FF2871">
        <w:t>II.B.2(c)</w:t>
      </w:r>
      <w:r w:rsidR="00440AF4" w:rsidRPr="00440AF4">
        <w:fldChar w:fldCharType="end"/>
      </w:r>
      <w:r w:rsidR="00D37934" w:rsidRPr="00440AF4">
        <w:t xml:space="preserve"> below.</w:t>
      </w:r>
      <w:r w:rsidR="00D37934">
        <w:t xml:space="preserve">  </w:t>
      </w:r>
    </w:p>
    <w:p w14:paraId="51411E3B" w14:textId="77777777" w:rsidR="00976847" w:rsidRDefault="00976847" w:rsidP="00976847">
      <w:pPr>
        <w:pStyle w:val="HL4HeadingLevel4"/>
      </w:pPr>
      <w:bookmarkStart w:id="23" w:name="_Toc63966821"/>
      <w:r>
        <w:t>Context</w:t>
      </w:r>
      <w:bookmarkEnd w:id="23"/>
    </w:p>
    <w:p w14:paraId="4A31AE5A" w14:textId="37C864E8" w:rsidR="00CA4C8E" w:rsidRDefault="00B15744" w:rsidP="00AE2EF2">
      <w:pPr>
        <w:pStyle w:val="P1-N1Paragraph1-Number1"/>
      </w:pPr>
      <w:r>
        <w:t>Article</w:t>
      </w:r>
      <w:r w:rsidR="009960B2">
        <w:t>s 6.1 and</w:t>
      </w:r>
      <w:r>
        <w:t xml:space="preserve"> 6.2, paragraph 1 of Annex 2</w:t>
      </w:r>
      <w:r w:rsidR="00D5266B">
        <w:t>,</w:t>
      </w:r>
      <w:r>
        <w:t xml:space="preserve"> and Annex 4 of the Agreement on Agriculture, as well as India's Schedule, each provide relevant context for interpreting "market price support"</w:t>
      </w:r>
      <w:r w:rsidR="00F315AF">
        <w:t xml:space="preserve"> in this dispute</w:t>
      </w:r>
      <w:r>
        <w:t xml:space="preserve">.  That context serves to reinforce the ordinary meaning of the terms of Annex 3 to the effect that government procurement </w:t>
      </w:r>
      <w:r w:rsidR="00C725E9">
        <w:t xml:space="preserve">of a product </w:t>
      </w:r>
      <w:r>
        <w:t xml:space="preserve">at the AAP is </w:t>
      </w:r>
      <w:r w:rsidRPr="00177BF7">
        <w:rPr>
          <w:u w:val="single"/>
        </w:rPr>
        <w:t>not</w:t>
      </w:r>
      <w:r>
        <w:t xml:space="preserve"> a constituent element of "market price support" under the Agreement on Agriculture.</w:t>
      </w:r>
      <w:r w:rsidR="00CA4C8E">
        <w:t xml:space="preserve"> </w:t>
      </w:r>
    </w:p>
    <w:p w14:paraId="7ED0007C" w14:textId="7F082156" w:rsidR="00B350F0" w:rsidRDefault="009960B2" w:rsidP="00AE2EF2">
      <w:pPr>
        <w:pStyle w:val="P1-N1Paragraph1-Number1"/>
      </w:pPr>
      <w:r>
        <w:t>Australia recalls that paragraph 1 of Annex 3 is "[s]ubject to the provisions of Article 6".</w:t>
      </w:r>
      <w:r>
        <w:rPr>
          <w:rStyle w:val="FootnoteReference"/>
        </w:rPr>
        <w:footnoteReference w:id="48"/>
      </w:r>
      <w:r>
        <w:t xml:space="preserve">  </w:t>
      </w:r>
      <w:r w:rsidRPr="00842765">
        <w:rPr>
          <w:u w:val="single"/>
        </w:rPr>
        <w:t>Article 6.1</w:t>
      </w:r>
      <w:r>
        <w:t xml:space="preserve"> </w:t>
      </w:r>
      <w:r w:rsidR="00731314">
        <w:t>provides</w:t>
      </w:r>
      <w:r>
        <w:t xml:space="preserve"> that</w:t>
      </w:r>
      <w:r w:rsidR="00B350F0">
        <w:t xml:space="preserve"> </w:t>
      </w:r>
      <w:r w:rsidR="00731314">
        <w:t xml:space="preserve">a </w:t>
      </w:r>
      <w:r w:rsidR="00B350F0">
        <w:t>Member's domestic support commitments:</w:t>
      </w:r>
    </w:p>
    <w:p w14:paraId="59868AD5" w14:textId="6E6BAFB6" w:rsidR="009960B2" w:rsidRDefault="00B350F0" w:rsidP="00842765">
      <w:pPr>
        <w:pStyle w:val="QQuotation"/>
      </w:pPr>
      <w:r>
        <w:t xml:space="preserve">apply to </w:t>
      </w:r>
      <w:r w:rsidRPr="00842765">
        <w:rPr>
          <w:u w:val="single"/>
        </w:rPr>
        <w:t>all</w:t>
      </w:r>
      <w:r>
        <w:t xml:space="preserve"> of its domestic support measures in favour of agricultural producers with the exception of domestic measures which are not subject to reduction in terms of the criteria set out in this Article [6] and in Annex 2 to this Agreement.</w:t>
      </w:r>
      <w:r>
        <w:rPr>
          <w:rStyle w:val="FootnoteReference"/>
        </w:rPr>
        <w:footnoteReference w:id="49"/>
      </w:r>
    </w:p>
    <w:p w14:paraId="4BE1ECA1" w14:textId="244EF562" w:rsidR="00B350F0" w:rsidRDefault="00731314" w:rsidP="00AE2EF2">
      <w:pPr>
        <w:pStyle w:val="P1-N1Paragraph1-Number1"/>
      </w:pPr>
      <w:r>
        <w:t xml:space="preserve">Article 6.1, therefore, confirms that the </w:t>
      </w:r>
      <w:r w:rsidRPr="00842765">
        <w:rPr>
          <w:u w:val="single"/>
        </w:rPr>
        <w:t>only</w:t>
      </w:r>
      <w:r>
        <w:t xml:space="preserve"> domestic support measures that are </w:t>
      </w:r>
      <w:r w:rsidRPr="00842765">
        <w:rPr>
          <w:u w:val="single"/>
        </w:rPr>
        <w:t>not</w:t>
      </w:r>
      <w:r>
        <w:t xml:space="preserve"> subject to a Member's commitments are those that are </w:t>
      </w:r>
      <w:r w:rsidRPr="00842765">
        <w:rPr>
          <w:u w:val="single"/>
        </w:rPr>
        <w:t>exempt</w:t>
      </w:r>
      <w:r>
        <w:t>.</w:t>
      </w:r>
      <w:r w:rsidR="001B722B">
        <w:t xml:space="preserve">  </w:t>
      </w:r>
      <w:r w:rsidR="00DA26A3">
        <w:t>As Australia has explained previously, the burden of showing</w:t>
      </w:r>
      <w:r w:rsidR="00447C2D">
        <w:t xml:space="preserve"> that</w:t>
      </w:r>
      <w:r w:rsidR="00DA26A3">
        <w:t xml:space="preserve"> an exemption applies falls on India.</w:t>
      </w:r>
      <w:r w:rsidR="00F30D15">
        <w:rPr>
          <w:rStyle w:val="FootnoteReference"/>
        </w:rPr>
        <w:footnoteReference w:id="50"/>
      </w:r>
      <w:r w:rsidR="00DA26A3">
        <w:t xml:space="preserve">  </w:t>
      </w:r>
      <w:r w:rsidR="00F85E1F">
        <w:t xml:space="preserve">India has not made any arguments or adduced </w:t>
      </w:r>
      <w:r w:rsidR="00F85E1F" w:rsidRPr="008205BC">
        <w:rPr>
          <w:u w:val="single"/>
        </w:rPr>
        <w:t>any</w:t>
      </w:r>
      <w:r w:rsidR="00F85E1F">
        <w:t xml:space="preserve"> evidence that the FRP and SAP measures (or any of the other domestic support measures challenged by Australia) are exempt under Article</w:t>
      </w:r>
      <w:r w:rsidR="001E0AD0">
        <w:t>s</w:t>
      </w:r>
      <w:r w:rsidR="00F85E1F">
        <w:t> 6.2 or 6.5, or under Annex </w:t>
      </w:r>
      <w:r w:rsidR="003C3C74">
        <w:t>2</w:t>
      </w:r>
      <w:r w:rsidR="00F85E1F">
        <w:t>.</w:t>
      </w:r>
      <w:r w:rsidR="000D101E">
        <w:rPr>
          <w:rStyle w:val="FootnoteReference"/>
        </w:rPr>
        <w:footnoteReference w:id="51"/>
      </w:r>
      <w:r w:rsidR="00F85E1F">
        <w:t xml:space="preserve"> </w:t>
      </w:r>
      <w:r w:rsidR="00DA26A3">
        <w:t xml:space="preserve"> </w:t>
      </w:r>
      <w:r w:rsidR="0047143F">
        <w:t xml:space="preserve">The practical effect of India's argument that market price support </w:t>
      </w:r>
      <w:r w:rsidR="001E0AD0">
        <w:t>only exists if the government (or its agents) procures the product at the AAP</w:t>
      </w:r>
      <w:r w:rsidR="0047143F">
        <w:t xml:space="preserve"> would be to create a new category of exempt measures</w:t>
      </w:r>
      <w:r w:rsidR="00C55A42">
        <w:t xml:space="preserve">.  This </w:t>
      </w:r>
      <w:r w:rsidR="00447C2D">
        <w:t xml:space="preserve">reading </w:t>
      </w:r>
      <w:r w:rsidR="00C55A42">
        <w:t xml:space="preserve">would be contrary to the text, </w:t>
      </w:r>
      <w:r w:rsidR="000B26EE">
        <w:t>negotiating history</w:t>
      </w:r>
      <w:r w:rsidR="00447C2D">
        <w:t>,</w:t>
      </w:r>
      <w:r w:rsidR="00C55A42">
        <w:t xml:space="preserve"> and underlying structure of the domestic support disciplines in the Agreement on Agriculture.</w:t>
      </w:r>
      <w:r w:rsidR="000B26EE">
        <w:rPr>
          <w:rStyle w:val="FootnoteReference"/>
        </w:rPr>
        <w:footnoteReference w:id="52"/>
      </w:r>
      <w:r w:rsidR="00C55A42">
        <w:t xml:space="preserve"> </w:t>
      </w:r>
    </w:p>
    <w:p w14:paraId="6EFA8244" w14:textId="1E9D2488" w:rsidR="00A809B0" w:rsidRDefault="00413787" w:rsidP="00AE2EF2">
      <w:pPr>
        <w:pStyle w:val="P1-N1Paragraph1-Number1"/>
      </w:pPr>
      <w:r w:rsidRPr="006B3A71">
        <w:rPr>
          <w:u w:val="single"/>
        </w:rPr>
        <w:t>Article 6.2</w:t>
      </w:r>
      <w:r>
        <w:t xml:space="preserve"> </w:t>
      </w:r>
      <w:r w:rsidR="00DC1AC7">
        <w:t xml:space="preserve">also provides important context for the interpretation of "market price support".  That Article </w:t>
      </w:r>
      <w:r>
        <w:t>indicates that both "direct" and "indirect" governmental measures of assistance are subject to domestic support reduction commitments unless they are exempt.</w:t>
      </w:r>
      <w:r w:rsidR="00A52CA3">
        <w:rPr>
          <w:rStyle w:val="FootnoteReference"/>
        </w:rPr>
        <w:footnoteReference w:id="53"/>
      </w:r>
      <w:r w:rsidR="008C273F">
        <w:t xml:space="preserve"> </w:t>
      </w:r>
      <w:r w:rsidR="00007B9D">
        <w:t xml:space="preserve"> </w:t>
      </w:r>
      <w:r w:rsidR="005F59B6">
        <w:t xml:space="preserve">Domestic support need not be provided </w:t>
      </w:r>
      <w:r w:rsidR="005F59B6" w:rsidRPr="005F59B6">
        <w:rPr>
          <w:u w:val="single"/>
        </w:rPr>
        <w:t>directly</w:t>
      </w:r>
      <w:r w:rsidR="005F59B6">
        <w:t xml:space="preserve"> by government (or its agents) to producers but may also be achieved through </w:t>
      </w:r>
      <w:r w:rsidR="005F59B6" w:rsidRPr="005F59B6">
        <w:rPr>
          <w:u w:val="single"/>
        </w:rPr>
        <w:t>indirect</w:t>
      </w:r>
      <w:r w:rsidR="005F59B6">
        <w:t xml:space="preserve"> means, such as by regulating the price paid by consumers of a basic agricultural product.  </w:t>
      </w:r>
      <w:r w:rsidR="002719E8">
        <w:t xml:space="preserve">Thus, the Agreement on Agriculture </w:t>
      </w:r>
      <w:r w:rsidR="00C725E9">
        <w:t>recognises</w:t>
      </w:r>
      <w:r w:rsidR="002719E8">
        <w:t xml:space="preserve"> that </w:t>
      </w:r>
      <w:r w:rsidR="00D53577">
        <w:t>governments may provide domestic support to producers indirectly</w:t>
      </w:r>
      <w:r w:rsidR="00753EFF">
        <w:t xml:space="preserve">, and such support is </w:t>
      </w:r>
      <w:r w:rsidR="00C725E9">
        <w:t xml:space="preserve">disciplined by the Agreement.  </w:t>
      </w:r>
    </w:p>
    <w:p w14:paraId="1B646729" w14:textId="3D394C6E" w:rsidR="00A809B0" w:rsidRDefault="006B3A71" w:rsidP="00AE2EF2">
      <w:pPr>
        <w:pStyle w:val="P1-N1Paragraph1-Number1"/>
      </w:pPr>
      <w:r w:rsidRPr="005B1112">
        <w:rPr>
          <w:u w:val="single"/>
        </w:rPr>
        <w:t>Paragraph 1 of Annex 2</w:t>
      </w:r>
      <w:r>
        <w:t xml:space="preserve"> provides that measures exempt from the reduction commitments pursuant to Annex 2 must not involve "transfers from consumers", among other criteria and conditions. </w:t>
      </w:r>
      <w:r w:rsidR="005B1112">
        <w:t xml:space="preserve"> The Agreement on Agriculture therefore contemplates that domestic support may be achieved through payments from </w:t>
      </w:r>
      <w:r w:rsidR="005B1112" w:rsidRPr="005B1112">
        <w:rPr>
          <w:u w:val="single"/>
        </w:rPr>
        <w:t>consumers</w:t>
      </w:r>
      <w:r w:rsidR="005B1112">
        <w:t xml:space="preserve"> to producers.  As the European Union has observed, "[t]his shows that financing by the government is not a requirement for a measure to constitute domestic support."</w:t>
      </w:r>
      <w:r w:rsidR="005B1112">
        <w:rPr>
          <w:rStyle w:val="FootnoteReference"/>
        </w:rPr>
        <w:footnoteReference w:id="54"/>
      </w:r>
    </w:p>
    <w:p w14:paraId="75D65E7E" w14:textId="77777777" w:rsidR="0083510F" w:rsidRDefault="00A31B64" w:rsidP="00AE2EF2">
      <w:pPr>
        <w:pStyle w:val="P1-N1Paragraph1-Number1"/>
      </w:pPr>
      <w:bookmarkStart w:id="24" w:name="_Ref63281042"/>
      <w:r w:rsidRPr="00E233A3">
        <w:rPr>
          <w:u w:val="single"/>
        </w:rPr>
        <w:t>Annex 4</w:t>
      </w:r>
      <w:r>
        <w:t xml:space="preserve"> </w:t>
      </w:r>
      <w:r w:rsidR="0065427E">
        <w:t>describes how to calculate an equivalent measurement of support when market price support exists but it "is not practicable"</w:t>
      </w:r>
      <w:r w:rsidR="0065427E">
        <w:rPr>
          <w:rStyle w:val="FootnoteReference"/>
        </w:rPr>
        <w:footnoteReference w:id="55"/>
      </w:r>
      <w:r w:rsidR="0065427E">
        <w:t xml:space="preserve"> to calculate that component of the AMS.  Th</w:t>
      </w:r>
      <w:r w:rsidR="00E233A3">
        <w:t>e</w:t>
      </w:r>
      <w:r w:rsidR="0065427E">
        <w:t xml:space="preserve"> first alternative calculation methodology is to use the AAP and the quantity of eligible production.</w:t>
      </w:r>
      <w:r w:rsidR="00C64D7C">
        <w:rPr>
          <w:rStyle w:val="FootnoteReference"/>
        </w:rPr>
        <w:footnoteReference w:id="56"/>
      </w:r>
      <w:r w:rsidR="0065427E">
        <w:t xml:space="preserve">  </w:t>
      </w:r>
      <w:r w:rsidR="002B5470">
        <w:t>I</w:t>
      </w:r>
      <w:r w:rsidR="0065427E">
        <w:t>f that alternative is not practicable</w:t>
      </w:r>
      <w:r w:rsidR="00E233A3">
        <w:t>,</w:t>
      </w:r>
      <w:r w:rsidR="0065427E">
        <w:t xml:space="preserve"> then </w:t>
      </w:r>
      <w:r w:rsidR="00E233A3">
        <w:t xml:space="preserve">the calculation is made using the </w:t>
      </w:r>
      <w:r w:rsidR="0065427E">
        <w:t>"budgetary outlays used to maintain the producer price"</w:t>
      </w:r>
      <w:r w:rsidR="00E233A3">
        <w:t>.</w:t>
      </w:r>
      <w:r w:rsidR="0065427E">
        <w:rPr>
          <w:rStyle w:val="FootnoteReference"/>
        </w:rPr>
        <w:footnoteReference w:id="57"/>
      </w:r>
      <w:r w:rsidR="00C64D7C">
        <w:t xml:space="preserve">  Accordingly, </w:t>
      </w:r>
      <w:r w:rsidR="002B5470">
        <w:t xml:space="preserve">budgetary outlays may only be used to calculate the value of market price support when it is </w:t>
      </w:r>
      <w:r w:rsidR="002B5470" w:rsidRPr="00E233A3">
        <w:rPr>
          <w:u w:val="single"/>
        </w:rPr>
        <w:t>not</w:t>
      </w:r>
      <w:r w:rsidR="002B5470">
        <w:t xml:space="preserve"> practicable to use the formula in paragraph 8 of Annex 3 </w:t>
      </w:r>
      <w:r w:rsidR="002B5470" w:rsidRPr="00E233A3">
        <w:rPr>
          <w:u w:val="single"/>
        </w:rPr>
        <w:t>or</w:t>
      </w:r>
      <w:r w:rsidR="002B5470">
        <w:t xml:space="preserve"> the alternative methodology in paragraph 2 of Annex 4. </w:t>
      </w:r>
      <w:r w:rsidR="00E233A3">
        <w:t xml:space="preserve"> Also, the budgetary outlays are </w:t>
      </w:r>
      <w:r w:rsidR="00E233A3" w:rsidRPr="00E233A3">
        <w:rPr>
          <w:u w:val="single"/>
        </w:rPr>
        <w:t>not</w:t>
      </w:r>
      <w:r w:rsidR="00E233A3">
        <w:t xml:space="preserve"> limited to those used for government procurement of the product – the outlays must simply </w:t>
      </w:r>
      <w:r w:rsidR="0046410E">
        <w:t>be used to</w:t>
      </w:r>
      <w:r w:rsidR="00E233A3">
        <w:t xml:space="preserve"> maintain the price.  Annex 4, therefore,</w:t>
      </w:r>
      <w:r w:rsidR="00BF3478">
        <w:t xml:space="preserve"> adds further weight to the argument that market price support may exist in the absence of budgetary outlays used to procure the product at the AAP.</w:t>
      </w:r>
      <w:r w:rsidR="006F4589">
        <w:rPr>
          <w:rStyle w:val="FootnoteReference"/>
        </w:rPr>
        <w:footnoteReference w:id="58"/>
      </w:r>
      <w:bookmarkEnd w:id="24"/>
    </w:p>
    <w:p w14:paraId="3BF3F65E" w14:textId="223DC6BD" w:rsidR="00CF4B48" w:rsidRDefault="00CF4B48" w:rsidP="00CF4B48">
      <w:pPr>
        <w:pStyle w:val="P1-N1Paragraph1-Number1"/>
      </w:pPr>
      <w:r>
        <w:t xml:space="preserve">Finally, the tables of supporting material incorporated by reference in Part IV of </w:t>
      </w:r>
      <w:r w:rsidRPr="00CF4B48">
        <w:rPr>
          <w:u w:val="single"/>
        </w:rPr>
        <w:t>India's Schedule</w:t>
      </w:r>
      <w:r>
        <w:t xml:space="preserve"> confirm that India considered the Sugarcane (Control) Order 1966 in force during the base period established an AAP and constituted market price support.</w:t>
      </w:r>
      <w:r w:rsidR="00040871">
        <w:rPr>
          <w:rStyle w:val="FootnoteReference"/>
        </w:rPr>
        <w:footnoteReference w:id="59"/>
      </w:r>
      <w:r>
        <w:t xml:space="preserve">  That Order, </w:t>
      </w:r>
      <w:r w:rsidR="00040871">
        <w:t>which was amended in 2009 to introduce the FRP</w:t>
      </w:r>
      <w:r w:rsidR="008F5F10">
        <w:t>,</w:t>
      </w:r>
      <w:r w:rsidR="00040871">
        <w:rPr>
          <w:rStyle w:val="FootnoteReference"/>
        </w:rPr>
        <w:footnoteReference w:id="60"/>
      </w:r>
      <w:r w:rsidR="00040871" w:rsidRPr="00040871">
        <w:t xml:space="preserve"> </w:t>
      </w:r>
      <w:r w:rsidR="00040871">
        <w:t>fixed the minimum price of sugarcane to be paid by all producers of sugar (the mills) to the producers of sugarcane (the farmers).</w:t>
      </w:r>
      <w:r w:rsidR="00040871">
        <w:rPr>
          <w:rStyle w:val="FootnoteReference"/>
        </w:rPr>
        <w:footnoteReference w:id="61"/>
      </w:r>
      <w:r w:rsidR="00215179">
        <w:t xml:space="preserve">  Like the FRP, the floor price was paid by the mills, not by the Indian government.</w:t>
      </w:r>
      <w:r w:rsidR="00086778">
        <w:rPr>
          <w:rStyle w:val="FootnoteReference"/>
        </w:rPr>
        <w:footnoteReference w:id="62"/>
      </w:r>
    </w:p>
    <w:p w14:paraId="5A969A3A" w14:textId="51A72E1E" w:rsidR="009B30AD" w:rsidRDefault="00D1659F" w:rsidP="00CF4B48">
      <w:pPr>
        <w:pStyle w:val="P1-N1Paragraph1-Number1"/>
      </w:pPr>
      <w:r>
        <w:t xml:space="preserve">India seeks to minimise the relevance of its supporting tables to the interpretation of </w:t>
      </w:r>
      <w:r w:rsidR="008F5F10">
        <w:t>its domestic support commitments</w:t>
      </w:r>
      <w:r>
        <w:t>.</w:t>
      </w:r>
      <w:r w:rsidR="00FF641E">
        <w:rPr>
          <w:rStyle w:val="FootnoteReference"/>
        </w:rPr>
        <w:footnoteReference w:id="63"/>
      </w:r>
      <w:r>
        <w:t xml:space="preserve">  Moreover, according to India</w:t>
      </w:r>
      <w:r w:rsidR="009B30AD">
        <w:t>:</w:t>
      </w:r>
    </w:p>
    <w:p w14:paraId="57BDB595" w14:textId="609AC9B0" w:rsidR="009B30AD" w:rsidRDefault="00D1659F" w:rsidP="009B30AD">
      <w:pPr>
        <w:pStyle w:val="QQuotation"/>
      </w:pPr>
      <w:r>
        <w:t xml:space="preserve">[i]f a Member's Schedule is relied upon to interpret the meaning of market price support…, this will lead to a situation where there will be multiple meanings of the same terminology under the </w:t>
      </w:r>
      <w:r w:rsidR="009B30AD">
        <w:t>[</w:t>
      </w:r>
      <w:r>
        <w:t>A</w:t>
      </w:r>
      <w:r w:rsidR="009B30AD">
        <w:t xml:space="preserve">greement </w:t>
      </w:r>
      <w:r>
        <w:t>o</w:t>
      </w:r>
      <w:r w:rsidR="009B30AD">
        <w:t xml:space="preserve">n </w:t>
      </w:r>
      <w:r>
        <w:t>A</w:t>
      </w:r>
      <w:r w:rsidR="009B30AD">
        <w:t>griculture]</w:t>
      </w:r>
      <w:r>
        <w:t xml:space="preserve"> depending upon the Schedule of a Member.</w:t>
      </w:r>
      <w:r w:rsidR="00FF641E">
        <w:rPr>
          <w:rStyle w:val="FootnoteReference"/>
        </w:rPr>
        <w:footnoteReference w:id="64"/>
      </w:r>
      <w:r>
        <w:t xml:space="preserve">  </w:t>
      </w:r>
    </w:p>
    <w:p w14:paraId="193F51E3" w14:textId="3C5F8DDA" w:rsidR="00040871" w:rsidRDefault="00D1659F" w:rsidP="00CF4B48">
      <w:pPr>
        <w:pStyle w:val="P1-N1Paragraph1-Number1"/>
      </w:pPr>
      <w:r>
        <w:t xml:space="preserve">Australia disagrees.  </w:t>
      </w:r>
      <w:r w:rsidR="0074455D">
        <w:t xml:space="preserve">Members' Schedules </w:t>
      </w:r>
      <w:r w:rsidR="0056667B">
        <w:t xml:space="preserve">may </w:t>
      </w:r>
      <w:r w:rsidR="00E47A6B">
        <w:t>provide relevant context for interpreting Members' legal obligations.</w:t>
      </w:r>
      <w:r w:rsidR="001B0A33">
        <w:rPr>
          <w:rStyle w:val="FootnoteReference"/>
        </w:rPr>
        <w:footnoteReference w:id="65"/>
      </w:r>
      <w:r w:rsidR="00E47A6B">
        <w:t xml:space="preserve">  </w:t>
      </w:r>
      <w:r w:rsidR="000B3C0D">
        <w:t xml:space="preserve">A Member's Schedule cannot override the ordinary meaning of the terms of the Agreement on Agriculture, </w:t>
      </w:r>
      <w:r w:rsidR="00E47A6B">
        <w:t xml:space="preserve">as India </w:t>
      </w:r>
      <w:r w:rsidR="001B0A33">
        <w:t>implies</w:t>
      </w:r>
      <w:r w:rsidR="00E47A6B">
        <w:t xml:space="preserve"> it would, </w:t>
      </w:r>
      <w:r w:rsidR="000B3C0D">
        <w:t xml:space="preserve">but </w:t>
      </w:r>
      <w:r w:rsidR="0056667B">
        <w:t>a</w:t>
      </w:r>
      <w:r w:rsidR="001B0A33">
        <w:t xml:space="preserve"> Schedule</w:t>
      </w:r>
      <w:r w:rsidR="000B3C0D">
        <w:t xml:space="preserve"> </w:t>
      </w:r>
      <w:r w:rsidR="0056667B">
        <w:t>may</w:t>
      </w:r>
      <w:r w:rsidR="000B3C0D">
        <w:t xml:space="preserve"> provide relevant context for interpreting those terms.</w:t>
      </w:r>
      <w:r w:rsidR="00FF641E">
        <w:t xml:space="preserve"> </w:t>
      </w:r>
      <w:r w:rsidR="00F93DFC">
        <w:t xml:space="preserve"> </w:t>
      </w:r>
      <w:r w:rsidR="0037233D">
        <w:t xml:space="preserve">In this instance, </w:t>
      </w:r>
      <w:r w:rsidR="00EE75E6">
        <w:t xml:space="preserve">the context provided by </w:t>
      </w:r>
      <w:r w:rsidR="0037233D">
        <w:t>India's supporting tables reinforce</w:t>
      </w:r>
      <w:r w:rsidR="00D5266B">
        <w:t>s</w:t>
      </w:r>
      <w:r w:rsidR="0037233D">
        <w:t xml:space="preserve"> the ordinary meaning of the terms</w:t>
      </w:r>
      <w:r w:rsidR="009B30AD">
        <w:t xml:space="preserve">.  </w:t>
      </w:r>
      <w:r w:rsidR="0056667B">
        <w:t>Further, t</w:t>
      </w:r>
      <w:r w:rsidR="009B30AD">
        <w:t xml:space="preserve">he </w:t>
      </w:r>
      <w:r w:rsidR="0056667B">
        <w:t>supporting tables</w:t>
      </w:r>
      <w:r w:rsidR="009B30AD">
        <w:t xml:space="preserve"> underscore India's </w:t>
      </w:r>
      <w:r w:rsidR="009B30AD" w:rsidRPr="008205BC">
        <w:rPr>
          <w:u w:val="single"/>
        </w:rPr>
        <w:t>own</w:t>
      </w:r>
      <w:r w:rsidR="009B30AD">
        <w:t xml:space="preserve"> interpretation of the terms at the time of constituting its Schedule</w:t>
      </w:r>
      <w:r w:rsidR="0037233D">
        <w:t>.</w:t>
      </w:r>
      <w:r w:rsidR="009B30AD">
        <w:t xml:space="preserve">  </w:t>
      </w:r>
    </w:p>
    <w:p w14:paraId="2D352DDC" w14:textId="202C0A91" w:rsidR="00976847" w:rsidRDefault="00976847" w:rsidP="00976847">
      <w:pPr>
        <w:pStyle w:val="HL4HeadingLevel4"/>
      </w:pPr>
      <w:bookmarkStart w:id="25" w:name="_Toc63966822"/>
      <w:r>
        <w:t>Object and purpose</w:t>
      </w:r>
      <w:bookmarkEnd w:id="25"/>
    </w:p>
    <w:p w14:paraId="6C2D13D5" w14:textId="657444D4" w:rsidR="0043469C" w:rsidRDefault="00334879" w:rsidP="00AE2EF2">
      <w:pPr>
        <w:pStyle w:val="P1-N1Paragraph1-Number1"/>
      </w:pPr>
      <w:r>
        <w:t xml:space="preserve">The object and purpose </w:t>
      </w:r>
      <w:r w:rsidR="003043BA">
        <w:t xml:space="preserve">of the Agreement on Agriculture </w:t>
      </w:r>
      <w:r>
        <w:t xml:space="preserve">also support </w:t>
      </w:r>
      <w:r w:rsidR="0043469C">
        <w:t>an interpretation of</w:t>
      </w:r>
      <w:r>
        <w:t xml:space="preserve"> "market price support" </w:t>
      </w:r>
      <w:r w:rsidR="0043469C">
        <w:t xml:space="preserve">that </w:t>
      </w:r>
      <w:r w:rsidR="00D5266B">
        <w:t xml:space="preserve">is </w:t>
      </w:r>
      <w:r w:rsidR="00D5266B" w:rsidRPr="00D5266B">
        <w:rPr>
          <w:u w:val="single"/>
        </w:rPr>
        <w:t>not</w:t>
      </w:r>
      <w:r w:rsidR="00D5266B">
        <w:t xml:space="preserve"> limited to</w:t>
      </w:r>
      <w:r w:rsidR="0043469C">
        <w:t xml:space="preserve"> government procurement of a product at the AAP.</w:t>
      </w:r>
      <w:r w:rsidR="00BB0B1F">
        <w:t xml:space="preserve">  The Agreement's object and purpose, as stated in its preamble, is relevantly to discipline and reduce domestic support measures, with a view to preventing distortions in world agricultural markets and establishing a "fair and market-oriented agricultural trading system".</w:t>
      </w:r>
      <w:r w:rsidR="00BB0B1F">
        <w:rPr>
          <w:rStyle w:val="FootnoteReference"/>
        </w:rPr>
        <w:footnoteReference w:id="66"/>
      </w:r>
      <w:r w:rsidR="003B208A">
        <w:t xml:space="preserve">  Distortions occur when prices or production are not determined by the market.  Price support is recogni</w:t>
      </w:r>
      <w:r w:rsidR="008D5485">
        <w:t>s</w:t>
      </w:r>
      <w:r w:rsidR="003B208A">
        <w:t xml:space="preserve">ed in the Agreement on Agriculture as </w:t>
      </w:r>
      <w:r w:rsidR="00447C2D">
        <w:t xml:space="preserve">being </w:t>
      </w:r>
      <w:r w:rsidR="003B208A">
        <w:t>inherently trade-distorting and as having production effects.</w:t>
      </w:r>
      <w:r w:rsidR="003B208A">
        <w:rPr>
          <w:rStyle w:val="FootnoteReference"/>
        </w:rPr>
        <w:footnoteReference w:id="67"/>
      </w:r>
    </w:p>
    <w:p w14:paraId="185EB417" w14:textId="38D1BA70" w:rsidR="00703648" w:rsidRDefault="00A208A9" w:rsidP="00E31D96">
      <w:pPr>
        <w:pStyle w:val="P1-N1Paragraph1-Number1"/>
      </w:pPr>
      <w:r>
        <w:t xml:space="preserve">As </w:t>
      </w:r>
      <w:r w:rsidR="00AA75EA">
        <w:t>demonstrated</w:t>
      </w:r>
      <w:r>
        <w:t xml:space="preserve"> by India's FRP and SAP measures, government</w:t>
      </w:r>
      <w:r w:rsidR="008D5485">
        <w:t xml:space="preserve"> </w:t>
      </w:r>
      <w:r>
        <w:t xml:space="preserve">mandated floor prices for basic agricultural products impact production decisions and distort trade </w:t>
      </w:r>
      <w:r w:rsidR="00200CFC">
        <w:rPr>
          <w:u w:val="single"/>
        </w:rPr>
        <w:t>irrespective</w:t>
      </w:r>
      <w:r w:rsidRPr="00A208A9">
        <w:rPr>
          <w:u w:val="single"/>
        </w:rPr>
        <w:t xml:space="preserve"> of who purchases the product</w:t>
      </w:r>
      <w:r>
        <w:t>.</w:t>
      </w:r>
      <w:r w:rsidR="00A111DC">
        <w:rPr>
          <w:rStyle w:val="FootnoteReference"/>
        </w:rPr>
        <w:footnoteReference w:id="68"/>
      </w:r>
      <w:r>
        <w:t xml:space="preserve"> </w:t>
      </w:r>
      <w:r w:rsidR="00200CFC">
        <w:t xml:space="preserve"> Moreover, if the concept of market price support is limited as India proposes, the Agreement on Agriculture's object and purpose would be easily undermined.</w:t>
      </w:r>
      <w:r w:rsidR="00815CFB">
        <w:t xml:space="preserve">  Members would be able to circumvent the Agreement's disciplines </w:t>
      </w:r>
      <w:r w:rsidR="00632F4D">
        <w:t xml:space="preserve">simply </w:t>
      </w:r>
      <w:r w:rsidR="00815CFB">
        <w:t>by ensuring they (or their agents) did not procure the product.</w:t>
      </w:r>
      <w:r w:rsidR="000C33B6">
        <w:rPr>
          <w:rStyle w:val="FootnoteReference"/>
        </w:rPr>
        <w:footnoteReference w:id="69"/>
      </w:r>
    </w:p>
    <w:p w14:paraId="042F8471" w14:textId="384FAFAC" w:rsidR="0061623C" w:rsidRDefault="00664481" w:rsidP="00E31D96">
      <w:pPr>
        <w:pStyle w:val="P1-N1Paragraph1-Number1"/>
      </w:pPr>
      <w:r>
        <w:t>India contends "the object and purpose of an agreement cannot be read to expand the scope of the coverage of an agreement when the agreement itself specifically identifies the scope of what it aims to discipline</w:t>
      </w:r>
      <w:r w:rsidR="002D019F">
        <w:t>.</w:t>
      </w:r>
      <w:r>
        <w:t>"</w:t>
      </w:r>
      <w:r w:rsidR="00290078">
        <w:rPr>
          <w:rStyle w:val="FootnoteReference"/>
        </w:rPr>
        <w:footnoteReference w:id="70"/>
      </w:r>
      <w:r>
        <w:t xml:space="preserve"> </w:t>
      </w:r>
      <w:r w:rsidR="005B1AFE">
        <w:t xml:space="preserve"> India bases this argument on its incorrect view that paragraphs 1 and 2 of Annex 3 limit domestic support to subsidies in the form of budgetary outlays and revenue foregone by governments (or their agents).</w:t>
      </w:r>
      <w:r w:rsidR="0061623C">
        <w:t xml:space="preserve">  </w:t>
      </w:r>
    </w:p>
    <w:p w14:paraId="2DF88B5D" w14:textId="5DF139BA" w:rsidR="005B1AFE" w:rsidRDefault="0061623C" w:rsidP="00E31D96">
      <w:pPr>
        <w:pStyle w:val="P1-N1Paragraph1-Number1"/>
      </w:pPr>
      <w:r>
        <w:t xml:space="preserve">Australia does </w:t>
      </w:r>
      <w:r w:rsidRPr="0061623C">
        <w:rPr>
          <w:u w:val="single"/>
        </w:rPr>
        <w:t>not</w:t>
      </w:r>
      <w:r>
        <w:t xml:space="preserve"> seek to use the Agreement on Agriculture's object and purpose to </w:t>
      </w:r>
      <w:r w:rsidRPr="0061623C">
        <w:rPr>
          <w:u w:val="single"/>
        </w:rPr>
        <w:t>expand</w:t>
      </w:r>
      <w:r>
        <w:t xml:space="preserve"> its coverage.  Instead, Australia relies on the object and purpose to </w:t>
      </w:r>
      <w:r w:rsidRPr="0061623C">
        <w:rPr>
          <w:u w:val="single"/>
        </w:rPr>
        <w:t>confirm</w:t>
      </w:r>
      <w:r>
        <w:t xml:space="preserve"> the ordinary meaning of </w:t>
      </w:r>
      <w:r w:rsidR="009657D2">
        <w:t>the Agreement's</w:t>
      </w:r>
      <w:r>
        <w:t xml:space="preserve"> terms.</w:t>
      </w:r>
      <w:r w:rsidR="00290078">
        <w:t xml:space="preserve">  As to India's </w:t>
      </w:r>
      <w:r w:rsidR="00290078" w:rsidRPr="00440AF4">
        <w:t xml:space="preserve">arguments in purported reliance on paragraphs 1 and 2 of Annex 3, Australia rebuts these arguments in Section </w:t>
      </w:r>
      <w:r w:rsidR="00440AF4" w:rsidRPr="00440AF4">
        <w:fldChar w:fldCharType="begin"/>
      </w:r>
      <w:r w:rsidR="00440AF4" w:rsidRPr="00440AF4">
        <w:instrText xml:space="preserve"> REF _Ref63196849 \w \h  \* MERGEFORMAT </w:instrText>
      </w:r>
      <w:r w:rsidR="00440AF4" w:rsidRPr="00440AF4">
        <w:fldChar w:fldCharType="separate"/>
      </w:r>
      <w:r w:rsidR="00FF2871">
        <w:t>II.B.2(a)</w:t>
      </w:r>
      <w:r w:rsidR="00440AF4" w:rsidRPr="00440AF4">
        <w:fldChar w:fldCharType="end"/>
      </w:r>
      <w:r w:rsidR="00440AF4" w:rsidRPr="00440AF4">
        <w:t xml:space="preserve"> be</w:t>
      </w:r>
      <w:r w:rsidR="00440AF4">
        <w:t>low</w:t>
      </w:r>
      <w:r w:rsidR="00290078">
        <w:t xml:space="preserve">. </w:t>
      </w:r>
    </w:p>
    <w:p w14:paraId="33073DFC" w14:textId="77777777" w:rsidR="00976847" w:rsidRDefault="00976847" w:rsidP="00976847">
      <w:pPr>
        <w:pStyle w:val="HL4HeadingLevel4"/>
      </w:pPr>
      <w:bookmarkStart w:id="26" w:name="_Toc63966823"/>
      <w:r>
        <w:t>Conclusion</w:t>
      </w:r>
      <w:bookmarkEnd w:id="26"/>
    </w:p>
    <w:p w14:paraId="37E1C629" w14:textId="59DB5E75" w:rsidR="00976847" w:rsidRDefault="005B244D" w:rsidP="00470288">
      <w:pPr>
        <w:pStyle w:val="P1-N1Paragraph1-Number1"/>
      </w:pPr>
      <w:r>
        <w:t xml:space="preserve">"Market price support" under the Agreement on Agriculture </w:t>
      </w:r>
      <w:r w:rsidR="00470288">
        <w:t xml:space="preserve">will </w:t>
      </w:r>
      <w:r w:rsidR="00C37CB9">
        <w:t xml:space="preserve">exist when a Member establishes an AAP and determines the production eligible to receive that AAP.  A proper interpretation of "market price support" </w:t>
      </w:r>
      <w:r w:rsidR="0054344B">
        <w:t xml:space="preserve">– </w:t>
      </w:r>
      <w:r w:rsidR="00C37CB9">
        <w:t xml:space="preserve">based on the ordinary meaning of the terms, read in context and in light of the </w:t>
      </w:r>
      <w:r w:rsidR="00C37CB9" w:rsidRPr="00C37CB9">
        <w:t>Agreement on Agriculture's object and purpose</w:t>
      </w:r>
      <w:r w:rsidR="0054344B">
        <w:t xml:space="preserve"> –</w:t>
      </w:r>
      <w:r w:rsidR="00C37CB9">
        <w:t xml:space="preserve"> </w:t>
      </w:r>
      <w:r w:rsidR="0054344B">
        <w:t>is incompatible with India's argument that procurement at the AAP by a government (or its agent) is essential.</w:t>
      </w:r>
      <w:r>
        <w:t xml:space="preserve"> </w:t>
      </w:r>
    </w:p>
    <w:p w14:paraId="6B7BF606" w14:textId="60EA3726" w:rsidR="00F6591D" w:rsidRDefault="00F6591D" w:rsidP="00BA530B">
      <w:pPr>
        <w:pStyle w:val="HL3HeadingLevel3"/>
      </w:pPr>
      <w:bookmarkStart w:id="27" w:name="_Toc63966824"/>
      <w:r>
        <w:t xml:space="preserve">The Panel should reject India's reasoning in support of its </w:t>
      </w:r>
      <w:r w:rsidR="00AA75EA">
        <w:t>mis</w:t>
      </w:r>
      <w:r>
        <w:t>interpretation of "market price support"</w:t>
      </w:r>
      <w:bookmarkEnd w:id="27"/>
      <w:r>
        <w:t xml:space="preserve"> </w:t>
      </w:r>
    </w:p>
    <w:p w14:paraId="0D9A29F0" w14:textId="77777777" w:rsidR="00872960" w:rsidRDefault="00872960" w:rsidP="00F04B09">
      <w:pPr>
        <w:pStyle w:val="P1-N1Paragraph1-Number1"/>
      </w:pPr>
      <w:r>
        <w:t>To support its contention that market price support cannot exist unless the AAP is paid by the government (or its agents), India has advanced four lines of reasoning in purported reliance on the text of the Agreement on Agriculture.  Australia submits that India's reasoning is without basis and should be rejected by the Panel for the reasons that follow.</w:t>
      </w:r>
    </w:p>
    <w:p w14:paraId="6E478313" w14:textId="77777777" w:rsidR="00B85241" w:rsidRDefault="00B85241" w:rsidP="00F6591D">
      <w:pPr>
        <w:pStyle w:val="HL4HeadingLevel4"/>
      </w:pPr>
      <w:bookmarkStart w:id="28" w:name="_Ref63196849"/>
      <w:bookmarkStart w:id="29" w:name="_Ref63196859"/>
      <w:bookmarkStart w:id="30" w:name="_Toc63966825"/>
      <w:r>
        <w:t>India's interpretation of paragraphs 1 and 2 of Annex 3 is incorrect</w:t>
      </w:r>
      <w:bookmarkEnd w:id="28"/>
      <w:bookmarkEnd w:id="29"/>
      <w:bookmarkEnd w:id="30"/>
    </w:p>
    <w:p w14:paraId="3821F744" w14:textId="08E44EC8" w:rsidR="00DB7637" w:rsidRDefault="006E5D1A" w:rsidP="00026779">
      <w:pPr>
        <w:pStyle w:val="P1-N1Paragraph1-Number1"/>
      </w:pPr>
      <w:r>
        <w:t xml:space="preserve">India argues that, pursuant to paragraphs 1 and 2 of Annex 3 of the Agreement on Agriculture, </w:t>
      </w:r>
      <w:r w:rsidR="001136BA">
        <w:t>market price support</w:t>
      </w:r>
      <w:r>
        <w:t xml:space="preserve"> must be a subsidy, and such subsidies are limited to budgetary outlays and revenue foregone by government</w:t>
      </w:r>
      <w:r w:rsidR="00DB7637">
        <w:t>s</w:t>
      </w:r>
      <w:r>
        <w:t xml:space="preserve"> or </w:t>
      </w:r>
      <w:r w:rsidR="00DB7637">
        <w:t>their</w:t>
      </w:r>
      <w:r>
        <w:t xml:space="preserve"> agents.</w:t>
      </w:r>
      <w:r w:rsidR="00E43AE5">
        <w:rPr>
          <w:rStyle w:val="FootnoteReference"/>
        </w:rPr>
        <w:footnoteReference w:id="71"/>
      </w:r>
      <w:r>
        <w:t xml:space="preserve">  According to India, therefore, the FRP and SAP measures are not market price support</w:t>
      </w:r>
      <w:r w:rsidR="00A57EE7">
        <w:t xml:space="preserve"> because the Indian government (or its agents) do</w:t>
      </w:r>
      <w:r w:rsidR="009B2FCA">
        <w:t>es</w:t>
      </w:r>
      <w:r w:rsidR="00A57EE7">
        <w:t xml:space="preserve"> not </w:t>
      </w:r>
      <w:r w:rsidR="00E54340">
        <w:t xml:space="preserve">procure the sugarcane by </w:t>
      </w:r>
      <w:r w:rsidR="00A57EE7">
        <w:t>pay</w:t>
      </w:r>
      <w:r w:rsidR="00E54340">
        <w:t>ing</w:t>
      </w:r>
      <w:r w:rsidR="00A57EE7">
        <w:t xml:space="preserve"> the AAP</w:t>
      </w:r>
      <w:r>
        <w:t>.</w:t>
      </w:r>
      <w:r w:rsidR="00A57EE7">
        <w:rPr>
          <w:rStyle w:val="FootnoteReference"/>
        </w:rPr>
        <w:footnoteReference w:id="72"/>
      </w:r>
      <w:r>
        <w:t xml:space="preserve">  </w:t>
      </w:r>
    </w:p>
    <w:p w14:paraId="487C5428" w14:textId="26201713" w:rsidR="00391C9D" w:rsidRDefault="00CA5427" w:rsidP="00026779">
      <w:pPr>
        <w:pStyle w:val="P1-N1Paragraph1-Number1"/>
      </w:pPr>
      <w:r>
        <w:t xml:space="preserve">India's interpretation of paragraphs 1 and 2 of Annex 3 is flawed.  Neither paragraph supports India's </w:t>
      </w:r>
      <w:r w:rsidR="00E54340">
        <w:t>attempt to constrain the meaning</w:t>
      </w:r>
      <w:r w:rsidR="00391C9D">
        <w:t xml:space="preserve"> of market price support</w:t>
      </w:r>
      <w:r>
        <w:t>.</w:t>
      </w:r>
      <w:r w:rsidR="00391C9D">
        <w:t xml:space="preserve"> </w:t>
      </w:r>
    </w:p>
    <w:p w14:paraId="64B55DDE" w14:textId="77777777" w:rsidR="00026779" w:rsidRDefault="0042547C" w:rsidP="00026779">
      <w:pPr>
        <w:pStyle w:val="P1-N1Paragraph1-Number1"/>
      </w:pPr>
      <w:r>
        <w:t xml:space="preserve">Turning first to paragraph 1, </w:t>
      </w:r>
      <w:r w:rsidR="00026779">
        <w:t xml:space="preserve">India </w:t>
      </w:r>
      <w:r w:rsidR="001136BA">
        <w:t>argues</w:t>
      </w:r>
      <w:r w:rsidR="00026779">
        <w:t xml:space="preserve"> that the phrase "or any other subsidy" </w:t>
      </w:r>
      <w:r w:rsidR="001136BA">
        <w:t>means that market price support –</w:t>
      </w:r>
      <w:r w:rsidR="00026779">
        <w:t xml:space="preserve"> and non-exempt direct payments </w:t>
      </w:r>
      <w:r w:rsidR="001136BA">
        <w:t xml:space="preserve">– must </w:t>
      </w:r>
      <w:r w:rsidR="009B2FCA">
        <w:t xml:space="preserve">take the form of </w:t>
      </w:r>
      <w:r w:rsidR="001136BA">
        <w:t xml:space="preserve"> </w:t>
      </w:r>
      <w:r w:rsidR="00E54340">
        <w:t>a subsidy</w:t>
      </w:r>
      <w:r w:rsidR="00026779">
        <w:t>.</w:t>
      </w:r>
      <w:r w:rsidR="00434137">
        <w:rPr>
          <w:rStyle w:val="FootnoteReference"/>
        </w:rPr>
        <w:footnoteReference w:id="73"/>
      </w:r>
      <w:r w:rsidR="00026779">
        <w:t xml:space="preserve"> </w:t>
      </w:r>
    </w:p>
    <w:p w14:paraId="36B5CF00" w14:textId="77777777" w:rsidR="002D019F" w:rsidRDefault="00E54340" w:rsidP="00026779">
      <w:pPr>
        <w:pStyle w:val="P1-N1Paragraph1-Number1"/>
      </w:pPr>
      <w:r>
        <w:t>Australia recalls that p</w:t>
      </w:r>
      <w:r w:rsidR="00026779">
        <w:t xml:space="preserve">aragraph 1 of Annex 3 specifically identifies </w:t>
      </w:r>
      <w:r w:rsidR="00124D8B">
        <w:t>three</w:t>
      </w:r>
      <w:r w:rsidR="00026779">
        <w:t xml:space="preserve"> </w:t>
      </w:r>
      <w:r>
        <w:t>kinds</w:t>
      </w:r>
      <w:r w:rsidR="00124D8B">
        <w:t xml:space="preserve"> </w:t>
      </w:r>
      <w:r w:rsidR="00026779">
        <w:t>of domestic support</w:t>
      </w:r>
      <w:r w:rsidR="00124D8B">
        <w:t>:</w:t>
      </w:r>
      <w:r w:rsidR="00026779">
        <w:t xml:space="preserve"> </w:t>
      </w:r>
      <w:r w:rsidR="00124D8B">
        <w:t>"</w:t>
      </w:r>
      <w:r w:rsidR="00026779">
        <w:t>market price support</w:t>
      </w:r>
      <w:r w:rsidR="00124D8B">
        <w:t>"</w:t>
      </w:r>
      <w:r w:rsidR="00026779">
        <w:t xml:space="preserve">, </w:t>
      </w:r>
      <w:r w:rsidR="00124D8B">
        <w:t>"</w:t>
      </w:r>
      <w:r w:rsidR="00026779">
        <w:t>non-exempt direct payments</w:t>
      </w:r>
      <w:r w:rsidR="00124D8B">
        <w:t>"</w:t>
      </w:r>
      <w:r w:rsidR="00026779">
        <w:t xml:space="preserve">, </w:t>
      </w:r>
      <w:r w:rsidR="00E43AE5">
        <w:t>and</w:t>
      </w:r>
      <w:r w:rsidR="00026779">
        <w:t xml:space="preserve"> </w:t>
      </w:r>
      <w:r w:rsidR="00124D8B">
        <w:t>"</w:t>
      </w:r>
      <w:r w:rsidR="00026779">
        <w:t>any other subsidy not exempted from the reduction commitment</w:t>
      </w:r>
      <w:r w:rsidR="00124D8B">
        <w:t>"</w:t>
      </w:r>
      <w:r w:rsidR="00026779">
        <w:t>.</w:t>
      </w:r>
      <w:r w:rsidR="0017559D">
        <w:rPr>
          <w:rStyle w:val="FootnoteReference"/>
        </w:rPr>
        <w:footnoteReference w:id="74"/>
      </w:r>
      <w:r w:rsidR="00026779">
        <w:t xml:space="preserve"> </w:t>
      </w:r>
      <w:r w:rsidR="00124D8B">
        <w:t xml:space="preserve"> </w:t>
      </w:r>
      <w:r w:rsidR="00026779">
        <w:t xml:space="preserve">Each </w:t>
      </w:r>
      <w:r w:rsidR="00124D8B">
        <w:t>type</w:t>
      </w:r>
      <w:r w:rsidR="00026779">
        <w:t xml:space="preserve"> is separated by a comma.</w:t>
      </w:r>
      <w:r w:rsidR="0017559D">
        <w:t xml:space="preserve"> </w:t>
      </w:r>
      <w:r w:rsidR="00124D8B">
        <w:t xml:space="preserve"> </w:t>
      </w:r>
      <w:r w:rsidR="00026779">
        <w:t xml:space="preserve">The final item in this list is distinguished by the word "or". </w:t>
      </w:r>
      <w:r w:rsidR="00124D8B">
        <w:t xml:space="preserve"> </w:t>
      </w:r>
    </w:p>
    <w:p w14:paraId="5B5CF01C" w14:textId="39AEF731" w:rsidR="00784F35" w:rsidRDefault="00784F35" w:rsidP="00026779">
      <w:pPr>
        <w:pStyle w:val="P1-N1Paragraph1-Number1"/>
      </w:pPr>
      <w:r>
        <w:t>This interpretation of paragraph 1 is supported by the negotiati</w:t>
      </w:r>
      <w:r w:rsidR="00DB7637">
        <w:t>ng</w:t>
      </w:r>
      <w:r>
        <w:t xml:space="preserve"> history of Annex 3.</w:t>
      </w:r>
      <w:r w:rsidR="00452152">
        <w:rPr>
          <w:rStyle w:val="FootnoteReference"/>
        </w:rPr>
        <w:footnoteReference w:id="75"/>
      </w:r>
      <w:r>
        <w:t xml:space="preserve">  The negotiators identified that market price support, non-exempt direct payments and other non-exempt policies were "three broad groups of polic[i]es".</w:t>
      </w:r>
      <w:r>
        <w:rPr>
          <w:rStyle w:val="FootnoteReference"/>
        </w:rPr>
        <w:footnoteReference w:id="76"/>
      </w:r>
      <w:r>
        <w:t xml:space="preserve"> </w:t>
      </w:r>
    </w:p>
    <w:p w14:paraId="1CDEF799" w14:textId="0A7A6554" w:rsidR="00026779" w:rsidRDefault="00784F35" w:rsidP="00026779">
      <w:pPr>
        <w:pStyle w:val="P1-N1Paragraph1-Number1"/>
      </w:pPr>
      <w:r>
        <w:t>Accordingly, Australia considers that t</w:t>
      </w:r>
      <w:r w:rsidR="00026779">
        <w:t>he phrase "any other"</w:t>
      </w:r>
      <w:r w:rsidR="00124D8B">
        <w:t xml:space="preserve"> </w:t>
      </w:r>
      <w:r>
        <w:t xml:space="preserve">in paragraph 1 </w:t>
      </w:r>
      <w:r w:rsidR="00124D8B">
        <w:t xml:space="preserve">reflects an intent to ensure that </w:t>
      </w:r>
      <w:r w:rsidR="00124D8B" w:rsidRPr="00B73A95">
        <w:rPr>
          <w:u w:val="single"/>
        </w:rPr>
        <w:t>all</w:t>
      </w:r>
      <w:r w:rsidR="00124D8B">
        <w:t xml:space="preserve"> non-exempt domestic support – </w:t>
      </w:r>
      <w:r w:rsidR="00E54340">
        <w:t xml:space="preserve">including </w:t>
      </w:r>
      <w:r w:rsidR="00124D8B">
        <w:t>support that is neither market price support nor a direct payment – is included in the AMS</w:t>
      </w:r>
      <w:r w:rsidR="00260370">
        <w:t>.  Paragraph 13 of Annex 3 provides an example of such an "other subsidy" being</w:t>
      </w:r>
      <w:r w:rsidR="00026779">
        <w:t xml:space="preserve"> "marketing-cost reduction measures".</w:t>
      </w:r>
      <w:r w:rsidR="00026779">
        <w:rPr>
          <w:rStyle w:val="FootnoteReference"/>
        </w:rPr>
        <w:footnoteReference w:id="77"/>
      </w:r>
    </w:p>
    <w:p w14:paraId="30CD7C47" w14:textId="77777777" w:rsidR="00026779" w:rsidRDefault="00026779" w:rsidP="00026779">
      <w:pPr>
        <w:pStyle w:val="P1-N1Paragraph1-Number1"/>
      </w:pPr>
      <w:r>
        <w:t>As the European Union</w:t>
      </w:r>
      <w:r w:rsidR="004A2F90">
        <w:t xml:space="preserve"> </w:t>
      </w:r>
      <w:r w:rsidR="004B32F7">
        <w:t>observes</w:t>
      </w:r>
      <w:r>
        <w:t>, the objective of the A</w:t>
      </w:r>
      <w:r w:rsidR="00FF3B28">
        <w:t xml:space="preserve">greement </w:t>
      </w:r>
      <w:r>
        <w:t>o</w:t>
      </w:r>
      <w:r w:rsidR="00FF3B28">
        <w:t xml:space="preserve">n </w:t>
      </w:r>
      <w:r>
        <w:t>A</w:t>
      </w:r>
      <w:r w:rsidR="00FF3B28">
        <w:t>griculture</w:t>
      </w:r>
      <w:r>
        <w:t xml:space="preserve"> is broader than that of limiting domestic subsidies in favour of agricultural products.</w:t>
      </w:r>
      <w:r w:rsidR="00CE6FB8">
        <w:t xml:space="preserve"> </w:t>
      </w:r>
      <w:r>
        <w:t xml:space="preserve"> </w:t>
      </w:r>
      <w:r>
        <w:rPr>
          <w:lang w:val="en-US"/>
        </w:rPr>
        <w:t xml:space="preserve">The </w:t>
      </w:r>
      <w:r w:rsidR="004A2F90">
        <w:rPr>
          <w:lang w:val="en-US"/>
        </w:rPr>
        <w:t>Agreement relevantly aims to achieve "</w:t>
      </w:r>
      <w:r>
        <w:t>substantial progressive reductions in agricultural support</w:t>
      </w:r>
      <w:r w:rsidR="004A2F90">
        <w:t>" through</w:t>
      </w:r>
      <w:r>
        <w:t xml:space="preserve"> specific binding commitments </w:t>
      </w:r>
      <w:r w:rsidR="004A2F90">
        <w:t>including with respect to</w:t>
      </w:r>
      <w:r>
        <w:t xml:space="preserve"> </w:t>
      </w:r>
      <w:r w:rsidR="004A2F90">
        <w:t>"</w:t>
      </w:r>
      <w:r>
        <w:t>domestic support</w:t>
      </w:r>
      <w:r w:rsidR="004A2F90">
        <w:t>"</w:t>
      </w:r>
      <w:r>
        <w:t>.</w:t>
      </w:r>
      <w:r w:rsidR="004A2F90">
        <w:rPr>
          <w:rStyle w:val="FootnoteReference"/>
        </w:rPr>
        <w:footnoteReference w:id="78"/>
      </w:r>
      <w:r>
        <w:t xml:space="preserve"> If Members</w:t>
      </w:r>
      <w:r w:rsidR="004A2F90">
        <w:t>'</w:t>
      </w:r>
      <w:r>
        <w:t xml:space="preserve"> domestic support commitments </w:t>
      </w:r>
      <w:r w:rsidR="004A2F90">
        <w:t xml:space="preserve">were limited </w:t>
      </w:r>
      <w:r>
        <w:t>to subsidies, the A</w:t>
      </w:r>
      <w:r w:rsidR="00FF3B28">
        <w:t>greement</w:t>
      </w:r>
      <w:r>
        <w:t xml:space="preserve"> would simply refer to subsidies </w:t>
      </w:r>
      <w:r w:rsidR="004A2F90">
        <w:t>for</w:t>
      </w:r>
      <w:r>
        <w:t xml:space="preserve"> agricultural products, rather than specifying three distinct </w:t>
      </w:r>
      <w:r w:rsidR="0017559D">
        <w:t>kinds</w:t>
      </w:r>
      <w:r>
        <w:t xml:space="preserve"> of domestic support, each with alternative methods of calculation.</w:t>
      </w:r>
      <w:r>
        <w:rPr>
          <w:rStyle w:val="FootnoteReference"/>
        </w:rPr>
        <w:footnoteReference w:id="79"/>
      </w:r>
    </w:p>
    <w:p w14:paraId="56258583" w14:textId="0119C958" w:rsidR="00026779" w:rsidRDefault="00F416DD" w:rsidP="00026779">
      <w:pPr>
        <w:pStyle w:val="P1-N1Paragraph1-Number1"/>
      </w:pPr>
      <w:r>
        <w:t xml:space="preserve">Turning next to paragraph 2 of Annex 3, </w:t>
      </w:r>
      <w:r w:rsidR="00434137">
        <w:t>India</w:t>
      </w:r>
      <w:r>
        <w:t xml:space="preserve"> submits that this paragraph "delineates the scope of subsidies under paragraph 1".</w:t>
      </w:r>
      <w:r>
        <w:rPr>
          <w:rStyle w:val="FootnoteReference"/>
        </w:rPr>
        <w:footnoteReference w:id="80"/>
      </w:r>
      <w:r w:rsidR="00434137">
        <w:t xml:space="preserve"> </w:t>
      </w:r>
      <w:r w:rsidR="00C91D71">
        <w:t xml:space="preserve"> In India's view, the words "shall include both", mean that paragraph 2 provides an exhaustive definition of what may constitute a subsidy under paragraph 1</w:t>
      </w:r>
      <w:r w:rsidR="00434137">
        <w:t>.</w:t>
      </w:r>
      <w:r w:rsidR="00434137">
        <w:rPr>
          <w:rStyle w:val="FootnoteReference"/>
        </w:rPr>
        <w:footnoteReference w:id="81"/>
      </w:r>
      <w:r w:rsidR="00B73A95">
        <w:t xml:space="preserve"> </w:t>
      </w:r>
      <w:r w:rsidR="00434137">
        <w:t xml:space="preserve"> </w:t>
      </w:r>
      <w:r w:rsidR="00922741">
        <w:t xml:space="preserve">Australia disagrees.  </w:t>
      </w:r>
      <w:r w:rsidR="00BD29B3">
        <w:t>P</w:t>
      </w:r>
      <w:r w:rsidR="00026779">
        <w:t>aragraph 2</w:t>
      </w:r>
      <w:r w:rsidR="00BD29B3">
        <w:t xml:space="preserve"> simply</w:t>
      </w:r>
      <w:r w:rsidR="00026779">
        <w:t xml:space="preserve"> </w:t>
      </w:r>
      <w:r w:rsidR="006F345E">
        <w:t>provides</w:t>
      </w:r>
      <w:r w:rsidR="00026779">
        <w:t xml:space="preserve"> that "both budgetary outlays and revenue for</w:t>
      </w:r>
      <w:r w:rsidR="00BD29B3">
        <w:t>e</w:t>
      </w:r>
      <w:r w:rsidR="00026779">
        <w:t>gone by government</w:t>
      </w:r>
      <w:r w:rsidR="0045555C">
        <w:t>s</w:t>
      </w:r>
      <w:r w:rsidR="00026779">
        <w:t xml:space="preserve"> or their agents" </w:t>
      </w:r>
      <w:r w:rsidR="00BD29B3">
        <w:t>are subsidies for the purposes of the AMS</w:t>
      </w:r>
      <w:r w:rsidR="00026779">
        <w:t xml:space="preserve"> calculation. </w:t>
      </w:r>
    </w:p>
    <w:p w14:paraId="787FC4A2" w14:textId="77777777" w:rsidR="00026779" w:rsidRDefault="00026779" w:rsidP="008205BC">
      <w:pPr>
        <w:pStyle w:val="P1-N1Paragraph1-Number1"/>
        <w:keepNext/>
      </w:pPr>
      <w:r>
        <w:t>At the first substantive meeting</w:t>
      </w:r>
      <w:r w:rsidR="00470B15">
        <w:t>,</w:t>
      </w:r>
      <w:r>
        <w:t xml:space="preserve"> Guatemala set out the ordinary meaning of "include" and how it has been interpreted by other panels and the Appellate Body: </w:t>
      </w:r>
    </w:p>
    <w:p w14:paraId="58A77715" w14:textId="2DA9B9DF" w:rsidR="00026779" w:rsidRPr="00026779" w:rsidRDefault="00026779" w:rsidP="005852FA">
      <w:pPr>
        <w:pStyle w:val="QQuotation"/>
        <w:keepLines/>
      </w:pPr>
      <w:r w:rsidRPr="00026779">
        <w:t xml:space="preserve">The ordinary meaning of the term "include" is "[c]ontain as part of a whole", "that what follows is not an exhaustive, but a partial, list of all covered items". </w:t>
      </w:r>
      <w:r w:rsidR="002D019F">
        <w:t xml:space="preserve"> </w:t>
      </w:r>
      <w:r w:rsidRPr="00026779">
        <w:t>The term "include" is used to indicate that the examples that follow are "illustrative, not exhaustive", "illustrative and expansive", that there may be other issues to be considered among those mentioned.</w:t>
      </w:r>
      <w:r w:rsidRPr="00026779">
        <w:rPr>
          <w:rStyle w:val="FootnoteReference"/>
        </w:rPr>
        <w:footnoteReference w:id="82"/>
      </w:r>
    </w:p>
    <w:p w14:paraId="2B9040C3" w14:textId="148DEBA2" w:rsidR="00026779" w:rsidRPr="0095672C" w:rsidRDefault="00026779" w:rsidP="00026779">
      <w:pPr>
        <w:pStyle w:val="P1-N1Paragraph1-Number1"/>
      </w:pPr>
      <w:r>
        <w:t xml:space="preserve">The term "includes" is, by its very nature, not exclusive or restrictive. </w:t>
      </w:r>
    </w:p>
    <w:p w14:paraId="58115467" w14:textId="18B48703" w:rsidR="00E43AE5" w:rsidRDefault="00E43AE5" w:rsidP="00E43AE5">
      <w:pPr>
        <w:pStyle w:val="P1-N1Paragraph1-Number1"/>
      </w:pPr>
      <w:r>
        <w:t>Canada, the European Union, Japan and the United States agree that the term "include" in paragraph 2 of Annex 3 indicates that budgetary outlays and revenue foregone by government</w:t>
      </w:r>
      <w:r w:rsidR="009B2FCA">
        <w:t>s</w:t>
      </w:r>
      <w:r>
        <w:t xml:space="preserve"> or their agents are </w:t>
      </w:r>
      <w:r w:rsidRPr="00B73A95">
        <w:rPr>
          <w:u w:val="single"/>
        </w:rPr>
        <w:t>examples</w:t>
      </w:r>
      <w:r>
        <w:t xml:space="preserve"> of the types of support that would be considered "subsidies" under paragraph 1, rather than an exhaustive list.</w:t>
      </w:r>
      <w:r>
        <w:rPr>
          <w:rStyle w:val="FootnoteReference"/>
        </w:rPr>
        <w:footnoteReference w:id="83"/>
      </w:r>
    </w:p>
    <w:p w14:paraId="2BDFCBE9" w14:textId="0E97CBF9" w:rsidR="00B202AC" w:rsidRDefault="008E4A56" w:rsidP="00026779">
      <w:pPr>
        <w:pStyle w:val="P1-N1Paragraph1-Number1"/>
      </w:pPr>
      <w:r>
        <w:t xml:space="preserve">According to India, however, </w:t>
      </w:r>
      <w:r w:rsidR="00C454D5">
        <w:t xml:space="preserve">"[t]he term </w:t>
      </w:r>
      <w:r w:rsidR="002D019F">
        <w:t>'</w:t>
      </w:r>
      <w:r w:rsidR="00C454D5">
        <w:t>both</w:t>
      </w:r>
      <w:r w:rsidR="002D019F">
        <w:t>'</w:t>
      </w:r>
      <w:r w:rsidR="00C454D5">
        <w:t xml:space="preserve"> has a </w:t>
      </w:r>
      <w:r w:rsidR="00C454D5" w:rsidRPr="00B73A95">
        <w:rPr>
          <w:u w:val="single"/>
        </w:rPr>
        <w:t>limiting effect</w:t>
      </w:r>
      <w:r w:rsidR="00C454D5">
        <w:t xml:space="preserve"> on the term </w:t>
      </w:r>
      <w:r w:rsidR="002D019F">
        <w:t>'</w:t>
      </w:r>
      <w:r w:rsidR="00C454D5">
        <w:t>include</w:t>
      </w:r>
      <w:r w:rsidR="002D019F">
        <w:t>'</w:t>
      </w:r>
      <w:r w:rsidR="00C454D5">
        <w:t>…"</w:t>
      </w:r>
      <w:r w:rsidR="00C454D5">
        <w:rPr>
          <w:rStyle w:val="FootnoteReference"/>
        </w:rPr>
        <w:footnoteReference w:id="84"/>
      </w:r>
      <w:r w:rsidR="00C454D5">
        <w:t xml:space="preserve"> </w:t>
      </w:r>
      <w:r>
        <w:t>and, if</w:t>
      </w:r>
      <w:r w:rsidR="00B202AC">
        <w:t xml:space="preserve"> the complainants' arguments were </w:t>
      </w:r>
      <w:r>
        <w:t xml:space="preserve">to be </w:t>
      </w:r>
      <w:r w:rsidR="00B202AC">
        <w:t>accepted</w:t>
      </w:r>
      <w:r>
        <w:t xml:space="preserve">, </w:t>
      </w:r>
      <w:r w:rsidR="00B202AC">
        <w:t xml:space="preserve">"it would mean that the term </w:t>
      </w:r>
      <w:r w:rsidR="006E5217">
        <w:t>'</w:t>
      </w:r>
      <w:r w:rsidR="00B202AC">
        <w:t>both</w:t>
      </w:r>
      <w:r w:rsidR="006E5217">
        <w:t>'</w:t>
      </w:r>
      <w:r w:rsidR="00B202AC">
        <w:t xml:space="preserve"> is redundant in paragraph 2</w:t>
      </w:r>
      <w:r w:rsidR="007D2675">
        <w:t>.</w:t>
      </w:r>
      <w:r w:rsidR="00B202AC">
        <w:t>"</w:t>
      </w:r>
      <w:r w:rsidR="00B202AC">
        <w:rPr>
          <w:rStyle w:val="FootnoteReference"/>
        </w:rPr>
        <w:footnoteReference w:id="85"/>
      </w:r>
      <w:r w:rsidR="00B202AC">
        <w:t xml:space="preserve"> </w:t>
      </w:r>
    </w:p>
    <w:p w14:paraId="17E7D1C7" w14:textId="0C6CC190" w:rsidR="007D2675" w:rsidRDefault="00B202AC" w:rsidP="00026779">
      <w:pPr>
        <w:pStyle w:val="P1-N1Paragraph1-Number1"/>
      </w:pPr>
      <w:r>
        <w:t>Once again, Australia disagrees</w:t>
      </w:r>
      <w:r w:rsidR="00DF5437" w:rsidRPr="00DF5437">
        <w:t xml:space="preserve"> with India's argument</w:t>
      </w:r>
      <w:r>
        <w:t xml:space="preserve">.  </w:t>
      </w:r>
      <w:r w:rsidR="00026779">
        <w:t xml:space="preserve">"Both", </w:t>
      </w:r>
      <w:r w:rsidR="006A6675">
        <w:t>when used with two coordinated words</w:t>
      </w:r>
      <w:r w:rsidR="007D2675">
        <w:t>, phrases or clauses</w:t>
      </w:r>
      <w:r w:rsidR="00026779">
        <w:t>, is defined as "</w:t>
      </w:r>
      <w:r w:rsidR="00026779" w:rsidRPr="0096663C">
        <w:t>…emphasizing the inclusion of both (and not only one) of the elements specified: not only</w:t>
      </w:r>
      <w:r w:rsidR="00026779">
        <w:t xml:space="preserve"> </w:t>
      </w:r>
      <w:r w:rsidR="00026779" w:rsidRPr="0096663C">
        <w:t>—— but —— .</w:t>
      </w:r>
      <w:r w:rsidR="00026779">
        <w:t>"</w:t>
      </w:r>
      <w:r w:rsidR="00026779">
        <w:rPr>
          <w:rStyle w:val="FootnoteReference"/>
        </w:rPr>
        <w:footnoteReference w:id="86"/>
      </w:r>
      <w:r w:rsidR="001F09E3">
        <w:t xml:space="preserve"> </w:t>
      </w:r>
      <w:r w:rsidR="00026779">
        <w:t xml:space="preserve"> </w:t>
      </w:r>
      <w:r w:rsidR="008E4A56">
        <w:t>Thus, i</w:t>
      </w:r>
      <w:r w:rsidR="00026779">
        <w:t>n the context of paragraph 2 of Annex</w:t>
      </w:r>
      <w:r w:rsidR="00D42AC7">
        <w:t> </w:t>
      </w:r>
      <w:r w:rsidR="00026779">
        <w:t xml:space="preserve">3, "both" </w:t>
      </w:r>
      <w:r w:rsidR="005D52E3">
        <w:t xml:space="preserve">is not a word of limitation nor is it redundant.  It </w:t>
      </w:r>
      <w:r w:rsidR="00026779">
        <w:t xml:space="preserve">emphasises that "budgetary outlays </w:t>
      </w:r>
      <w:r w:rsidR="00026779" w:rsidRPr="00C46025">
        <w:rPr>
          <w:u w:val="single"/>
        </w:rPr>
        <w:t>and</w:t>
      </w:r>
      <w:r w:rsidR="00026779">
        <w:t xml:space="preserve"> revenue for</w:t>
      </w:r>
      <w:r w:rsidR="005D52E3">
        <w:t>e</w:t>
      </w:r>
      <w:r w:rsidR="00026779">
        <w:t>gone by government</w:t>
      </w:r>
      <w:r w:rsidR="005D52E3">
        <w:t>s</w:t>
      </w:r>
      <w:r w:rsidR="00026779">
        <w:t xml:space="preserve"> or their agents" </w:t>
      </w:r>
      <w:r w:rsidR="00C50D07">
        <w:t>are</w:t>
      </w:r>
      <w:r w:rsidR="00026779">
        <w:t xml:space="preserve"> subsidies that are included in the calculation of AMS, but </w:t>
      </w:r>
      <w:r w:rsidR="00E43AE5">
        <w:t>paragraph 2</w:t>
      </w:r>
      <w:r w:rsidR="008E4A56">
        <w:t xml:space="preserve"> </w:t>
      </w:r>
      <w:r w:rsidR="00026779">
        <w:t>does not limit</w:t>
      </w:r>
      <w:r w:rsidR="005D52E3">
        <w:t xml:space="preserve"> all</w:t>
      </w:r>
      <w:r w:rsidR="00026779">
        <w:t xml:space="preserve"> domestic support to </w:t>
      </w:r>
      <w:r w:rsidR="008E4A56">
        <w:t xml:space="preserve">subsidies in </w:t>
      </w:r>
      <w:r w:rsidR="00026779">
        <w:t xml:space="preserve">these </w:t>
      </w:r>
      <w:r w:rsidR="008E4A56">
        <w:t>forms</w:t>
      </w:r>
      <w:r w:rsidR="00026779">
        <w:t xml:space="preserve">. </w:t>
      </w:r>
      <w:r w:rsidR="001F09E3">
        <w:t xml:space="preserve"> </w:t>
      </w:r>
    </w:p>
    <w:p w14:paraId="7679C29C" w14:textId="6468179B" w:rsidR="007D2675" w:rsidRDefault="00476D50" w:rsidP="00894290">
      <w:pPr>
        <w:pStyle w:val="P1-N1Paragraph1-Number1"/>
      </w:pPr>
      <w:r>
        <w:t>This interpretation</w:t>
      </w:r>
      <w:r w:rsidR="00894290">
        <w:t xml:space="preserve"> is also consistent with how the phrase "including both" is used in </w:t>
      </w:r>
      <w:r w:rsidR="00B73A95">
        <w:t xml:space="preserve">paragraph 2(c) of </w:t>
      </w:r>
      <w:r w:rsidR="00894290">
        <w:t xml:space="preserve">Annex 2 of the Agreement on Agriculture, which sets out that "training services, </w:t>
      </w:r>
      <w:r w:rsidR="00894290" w:rsidRPr="00D718AA">
        <w:t>including both</w:t>
      </w:r>
      <w:r w:rsidR="00894290">
        <w:t xml:space="preserve"> general and specialist training facilities" are exempt from reduction commitments.</w:t>
      </w:r>
      <w:r w:rsidR="006E5217">
        <w:rPr>
          <w:rStyle w:val="FootnoteReference"/>
        </w:rPr>
        <w:footnoteReference w:id="87"/>
      </w:r>
      <w:r w:rsidR="006E5217">
        <w:t xml:space="preserve"> </w:t>
      </w:r>
      <w:r w:rsidR="00894290">
        <w:t xml:space="preserve"> "Training service" is a much broader category than "training facilities". </w:t>
      </w:r>
      <w:r w:rsidR="00A225F7">
        <w:t xml:space="preserve"> </w:t>
      </w:r>
      <w:r w:rsidR="00894290">
        <w:t>In this context, "including both" emphasi</w:t>
      </w:r>
      <w:r w:rsidR="008D5485">
        <w:t>s</w:t>
      </w:r>
      <w:r w:rsidR="00894290">
        <w:t xml:space="preserve">es the inclusion of general </w:t>
      </w:r>
      <w:r w:rsidR="00894290" w:rsidRPr="00BD05B1">
        <w:rPr>
          <w:u w:val="single"/>
        </w:rPr>
        <w:t>and</w:t>
      </w:r>
      <w:r w:rsidR="00894290">
        <w:t xml:space="preserve"> specialist training facilities, but does not limit the meaning of "training services" to only "training facilities".  Australia considers that "including both" and "include both" should be interpreted consistently throughout the Agreement on Agriculture.</w:t>
      </w:r>
    </w:p>
    <w:p w14:paraId="19618DD0" w14:textId="5CFCEDED" w:rsidR="00F6081E" w:rsidRDefault="00F6081E" w:rsidP="00894290">
      <w:pPr>
        <w:pStyle w:val="P1-N1Paragraph1-Number1"/>
      </w:pPr>
      <w:r>
        <w:t>Finally, Australia's interpretation of paragraph 2 of Annex 3 is supported by the negotiati</w:t>
      </w:r>
      <w:r w:rsidR="0045555C">
        <w:t>ng</w:t>
      </w:r>
      <w:r>
        <w:t xml:space="preserve"> history of Annex 3.  Specifically, an Addendum to a note produced by the Chairman in the Negotiating Group on Agriculture suggests that paragraph 2 was intended to relate only to non-exempt direct payments and other non-exempt policies – </w:t>
      </w:r>
      <w:r w:rsidRPr="00F056C0">
        <w:rPr>
          <w:u w:val="single"/>
        </w:rPr>
        <w:t>not</w:t>
      </w:r>
      <w:r>
        <w:t xml:space="preserve"> to market price support.</w:t>
      </w:r>
      <w:r>
        <w:rPr>
          <w:rStyle w:val="FootnoteReference"/>
        </w:rPr>
        <w:footnoteReference w:id="88"/>
      </w:r>
      <w:r>
        <w:t xml:space="preserve">  There is no suggestion that the negotiators sought to limit domestic support to subsidies.  On the contrary, </w:t>
      </w:r>
      <w:r w:rsidR="0074455D">
        <w:t xml:space="preserve">during the negotiations, market price support was conceptualised as </w:t>
      </w:r>
      <w:r w:rsidR="0074455D" w:rsidRPr="0074455D">
        <w:t>"including any measure… which acts to maintain producer prices at levels above those prevailing in international trade for the same or comparable products…"</w:t>
      </w:r>
      <w:r w:rsidR="0074455D">
        <w:t>.</w:t>
      </w:r>
      <w:r w:rsidR="0074455D">
        <w:rPr>
          <w:rStyle w:val="FootnoteReference"/>
        </w:rPr>
        <w:footnoteReference w:id="89"/>
      </w:r>
    </w:p>
    <w:p w14:paraId="13F02A3E" w14:textId="44D5D080" w:rsidR="008057B3" w:rsidRDefault="007D2675" w:rsidP="00026779">
      <w:pPr>
        <w:pStyle w:val="P1-N1Paragraph1-Number1"/>
      </w:pPr>
      <w:r>
        <w:t>In sum</w:t>
      </w:r>
      <w:r w:rsidR="008057B3">
        <w:t xml:space="preserve">, India's arguments </w:t>
      </w:r>
      <w:r w:rsidR="00476D50">
        <w:t>regarding</w:t>
      </w:r>
      <w:r w:rsidR="008057B3">
        <w:t xml:space="preserve"> paragraphs 1 and 2 of Annex 3 are flawed and should be rejected by the Panel.  </w:t>
      </w:r>
      <w:r w:rsidR="00A069D5">
        <w:t>T</w:t>
      </w:r>
      <w:r w:rsidR="008057B3">
        <w:t xml:space="preserve">hose arguments are </w:t>
      </w:r>
      <w:r w:rsidR="00A069D5">
        <w:t>based on a misreading of the text</w:t>
      </w:r>
      <w:r w:rsidR="003B543D">
        <w:t xml:space="preserve"> and</w:t>
      </w:r>
      <w:r w:rsidR="008057B3">
        <w:t xml:space="preserve"> </w:t>
      </w:r>
      <w:r w:rsidR="00B73A95">
        <w:t>fail to properly take into account</w:t>
      </w:r>
      <w:r w:rsidR="00C03A81">
        <w:t xml:space="preserve"> other highly</w:t>
      </w:r>
      <w:r w:rsidR="009B2FCA">
        <w:t xml:space="preserve"> </w:t>
      </w:r>
      <w:r w:rsidR="00C03A81">
        <w:t>relevant provisions – particularly paragraph 8 of Annex 3</w:t>
      </w:r>
      <w:r w:rsidR="008057B3">
        <w:t>.</w:t>
      </w:r>
      <w:r w:rsidR="003B543D">
        <w:t xml:space="preserve">   </w:t>
      </w:r>
    </w:p>
    <w:p w14:paraId="7F914AEF" w14:textId="77777777" w:rsidR="00B85241" w:rsidRDefault="00B85241" w:rsidP="00B85241">
      <w:pPr>
        <w:pStyle w:val="HL4HeadingLevel4"/>
      </w:pPr>
      <w:bookmarkStart w:id="31" w:name="_Ref63240954"/>
      <w:bookmarkStart w:id="32" w:name="_Toc63966826"/>
      <w:r>
        <w:t xml:space="preserve">Paragraph 8 of Annex 3 is not limited to </w:t>
      </w:r>
      <w:r w:rsidR="00F947C2">
        <w:t>offering a calculation methodology</w:t>
      </w:r>
      <w:r w:rsidR="00176FD1">
        <w:t xml:space="preserve"> for market price support</w:t>
      </w:r>
      <w:bookmarkEnd w:id="31"/>
      <w:bookmarkEnd w:id="32"/>
    </w:p>
    <w:p w14:paraId="03F4BECB" w14:textId="77777777" w:rsidR="00932815" w:rsidRDefault="00A069D5" w:rsidP="00F947C2">
      <w:pPr>
        <w:pStyle w:val="P1-N1Paragraph1-Number1"/>
      </w:pPr>
      <w:r>
        <w:t xml:space="preserve">To justify its selective focus on paragraphs 1 and 2 of Annex 3, </w:t>
      </w:r>
      <w:r w:rsidR="00EB1B1B">
        <w:t xml:space="preserve">India seeks to create an artificial distinction between </w:t>
      </w:r>
      <w:r>
        <w:t xml:space="preserve">those </w:t>
      </w:r>
      <w:r w:rsidR="00EB1B1B">
        <w:t>paragraphs, on the one hand, and paragraph 8 of Annex</w:t>
      </w:r>
      <w:r>
        <w:t> </w:t>
      </w:r>
      <w:r w:rsidR="00EB1B1B">
        <w:t>3, on the other.</w:t>
      </w:r>
      <w:r w:rsidR="00EB1B1B">
        <w:rPr>
          <w:rStyle w:val="FootnoteReference"/>
        </w:rPr>
        <w:footnoteReference w:id="90"/>
      </w:r>
      <w:r w:rsidR="00EB1B1B">
        <w:t xml:space="preserve">  India argues that the former address "when a market price support can be said to exist"</w:t>
      </w:r>
      <w:r w:rsidR="00EB1B1B">
        <w:rPr>
          <w:rStyle w:val="FootnoteReference"/>
        </w:rPr>
        <w:footnoteReference w:id="91"/>
      </w:r>
      <w:r w:rsidR="00EB1B1B">
        <w:t xml:space="preserve"> while the latter is relegated to "how to calculate or measure a market price support".</w:t>
      </w:r>
      <w:r w:rsidR="00EB1B1B">
        <w:rPr>
          <w:rStyle w:val="FootnoteReference"/>
        </w:rPr>
        <w:footnoteReference w:id="92"/>
      </w:r>
      <w:r w:rsidR="00EB1B1B">
        <w:t xml:space="preserve">  In India's view, these are "two </w:t>
      </w:r>
      <w:r w:rsidR="00EB1B1B" w:rsidRPr="00EB1B1B">
        <w:rPr>
          <w:u w:val="single"/>
        </w:rPr>
        <w:t>distinct</w:t>
      </w:r>
      <w:r w:rsidR="00EB1B1B">
        <w:t xml:space="preserve"> questions"</w:t>
      </w:r>
      <w:r w:rsidR="00EB1B1B">
        <w:rPr>
          <w:rStyle w:val="FootnoteReference"/>
        </w:rPr>
        <w:footnoteReference w:id="93"/>
      </w:r>
      <w:r w:rsidR="009B3195">
        <w:t xml:space="preserve"> and paragraph 8 "in no way clarifies"</w:t>
      </w:r>
      <w:r w:rsidR="009B3195">
        <w:rPr>
          <w:rStyle w:val="FootnoteReference"/>
        </w:rPr>
        <w:footnoteReference w:id="94"/>
      </w:r>
      <w:r w:rsidR="009B3195">
        <w:t xml:space="preserve"> the meaning of market price support or who must pay the AAP.</w:t>
      </w:r>
    </w:p>
    <w:p w14:paraId="5F4830E9" w14:textId="645169E5" w:rsidR="00715268" w:rsidRDefault="00715268" w:rsidP="00F947C2">
      <w:pPr>
        <w:pStyle w:val="P1-N1Paragraph1-Number1"/>
      </w:pPr>
      <w:r>
        <w:t>Australia has explained in the preceding Section</w:t>
      </w:r>
      <w:r w:rsidR="00D42AC7">
        <w:t> </w:t>
      </w:r>
      <w:r w:rsidR="00D42AC7">
        <w:fldChar w:fldCharType="begin"/>
      </w:r>
      <w:r w:rsidR="00D42AC7">
        <w:instrText xml:space="preserve"> REF _Ref63196849 \w \h </w:instrText>
      </w:r>
      <w:r w:rsidR="00D42AC7">
        <w:fldChar w:fldCharType="separate"/>
      </w:r>
      <w:r w:rsidR="00FF2871">
        <w:t>II.B.2(a)</w:t>
      </w:r>
      <w:r w:rsidR="00D42AC7">
        <w:fldChar w:fldCharType="end"/>
      </w:r>
      <w:r>
        <w:t xml:space="preserve"> why India's arguments based on its interpretation of paragraphs 1 and 2 of Annex 3 </w:t>
      </w:r>
      <w:r w:rsidR="000F0D6E">
        <w:t>are</w:t>
      </w:r>
      <w:r w:rsidR="00476D50">
        <w:t xml:space="preserve"> incorrect</w:t>
      </w:r>
      <w:r>
        <w:t xml:space="preserve">.  </w:t>
      </w:r>
      <w:r w:rsidR="002D2439">
        <w:t xml:space="preserve">Market price support is </w:t>
      </w:r>
      <w:r w:rsidR="002D2439" w:rsidRPr="002D2439">
        <w:rPr>
          <w:u w:val="single"/>
        </w:rPr>
        <w:t>not</w:t>
      </w:r>
      <w:r w:rsidR="002D2439">
        <w:t xml:space="preserve"> limited to budgetary outlays and revenue foregone by a government (or its agents).</w:t>
      </w:r>
    </w:p>
    <w:p w14:paraId="6F893934" w14:textId="07674DE0" w:rsidR="004F4D93" w:rsidRDefault="001550A1" w:rsidP="004F4D93">
      <w:pPr>
        <w:pStyle w:val="P1-N1Paragraph1-Number1"/>
      </w:pPr>
      <w:r>
        <w:t xml:space="preserve">Similarly, India's </w:t>
      </w:r>
      <w:r w:rsidR="0014779D">
        <w:t>claim that</w:t>
      </w:r>
      <w:r>
        <w:t xml:space="preserve"> paragraphs</w:t>
      </w:r>
      <w:r w:rsidRPr="001550A1">
        <w:t xml:space="preserve"> 1 and 2 of Annex 3 limit the plain meaning of paragraph 8 of that Annex should also be dismissed as an attempt to diminish the importance of paragraph 8, </w:t>
      </w:r>
      <w:r w:rsidR="00085A43">
        <w:t>given that paragraph undermines</w:t>
      </w:r>
      <w:r w:rsidRPr="001550A1">
        <w:t xml:space="preserve"> India's</w:t>
      </w:r>
      <w:r w:rsidR="00085A43">
        <w:t xml:space="preserve"> purported</w:t>
      </w:r>
      <w:r w:rsidRPr="001550A1">
        <w:t xml:space="preserve"> defence.</w:t>
      </w:r>
      <w:r w:rsidR="004F4D93">
        <w:t xml:space="preserve">  India's argument finds no support in the text of Annex 3.  As Australia has already outlined</w:t>
      </w:r>
      <w:r w:rsidR="004A321B">
        <w:t>,</w:t>
      </w:r>
      <w:r w:rsidR="004F4D93">
        <w:rPr>
          <w:rStyle w:val="FootnoteReference"/>
        </w:rPr>
        <w:footnoteReference w:id="95"/>
      </w:r>
      <w:r w:rsidR="004F4D93">
        <w:t xml:space="preserve"> the purpose of Annex 3 – as reflected in its title: </w:t>
      </w:r>
      <w:r w:rsidR="004F4D93" w:rsidRPr="004F4D93">
        <w:t>"Domestic Support: Calculation of Aggregate Measurement of Support"</w:t>
      </w:r>
      <w:r w:rsidR="004F4D93">
        <w:t xml:space="preserve"> – is to stipulate the method for calculating in monetary terms </w:t>
      </w:r>
      <w:r w:rsidR="004F4D93" w:rsidRPr="004F4D93">
        <w:t xml:space="preserve">a Member's non-exempt domestic support or AMS.  </w:t>
      </w:r>
      <w:r w:rsidR="004C766A">
        <w:t xml:space="preserve">Thus, the Annex does </w:t>
      </w:r>
      <w:r w:rsidR="004C766A" w:rsidRPr="004C766A">
        <w:rPr>
          <w:u w:val="single"/>
        </w:rPr>
        <w:t>not di</w:t>
      </w:r>
      <w:r w:rsidR="00476D50">
        <w:rPr>
          <w:u w:val="single"/>
        </w:rPr>
        <w:t>fferentiate</w:t>
      </w:r>
      <w:r w:rsidR="004C766A">
        <w:t xml:space="preserve"> between </w:t>
      </w:r>
      <w:r w:rsidR="004C766A" w:rsidRPr="004C766A">
        <w:rPr>
          <w:u w:val="single"/>
        </w:rPr>
        <w:t>when</w:t>
      </w:r>
      <w:r w:rsidR="004C766A">
        <w:t xml:space="preserve"> market price support exists and </w:t>
      </w:r>
      <w:r w:rsidR="004C766A" w:rsidRPr="004C766A">
        <w:rPr>
          <w:u w:val="single"/>
        </w:rPr>
        <w:t>how</w:t>
      </w:r>
      <w:r w:rsidR="004C766A">
        <w:t xml:space="preserve"> to calculate </w:t>
      </w:r>
      <w:r w:rsidR="00476D50">
        <w:t xml:space="preserve">the value of </w:t>
      </w:r>
      <w:r w:rsidR="004C766A">
        <w:t>such support, as India argues.</w:t>
      </w:r>
      <w:r w:rsidR="00E40A58">
        <w:t xml:space="preserve">  Further, as Australia has already explained, the effect of paragraph 8 is that market price support </w:t>
      </w:r>
      <w:r w:rsidR="00E40A58" w:rsidRPr="00842765">
        <w:rPr>
          <w:u w:val="single"/>
        </w:rPr>
        <w:t xml:space="preserve">will exist </w:t>
      </w:r>
      <w:r w:rsidR="008654DD" w:rsidRPr="00842765">
        <w:rPr>
          <w:u w:val="single"/>
        </w:rPr>
        <w:t>and be measurable</w:t>
      </w:r>
      <w:r w:rsidR="008654DD">
        <w:t xml:space="preserve"> </w:t>
      </w:r>
      <w:r w:rsidR="00E40A58" w:rsidRPr="00E40A58">
        <w:t>when a Member establishes an AAP that is higher than the relevant FERP, and determines the production eligible to receive that AAP.</w:t>
      </w:r>
      <w:r w:rsidR="008654DD">
        <w:rPr>
          <w:rStyle w:val="FootnoteReference"/>
        </w:rPr>
        <w:footnoteReference w:id="96"/>
      </w:r>
    </w:p>
    <w:p w14:paraId="7E646291" w14:textId="77777777" w:rsidR="000B0D74" w:rsidRDefault="000B0D74" w:rsidP="00F6591D">
      <w:pPr>
        <w:pStyle w:val="HL4HeadingLevel4"/>
      </w:pPr>
      <w:bookmarkStart w:id="33" w:name="_Ref63240982"/>
      <w:bookmarkStart w:id="34" w:name="_Toc63966827"/>
      <w:r>
        <w:t>Paragraph 8 does not distinguish between the price paid for a product and so</w:t>
      </w:r>
      <w:r w:rsidR="00976847">
        <w:t>-</w:t>
      </w:r>
      <w:r>
        <w:t>called "transactional costs"</w:t>
      </w:r>
      <w:bookmarkEnd w:id="33"/>
      <w:bookmarkEnd w:id="34"/>
    </w:p>
    <w:p w14:paraId="6C265D6B" w14:textId="084DF6E9" w:rsidR="009733EB" w:rsidRDefault="00BC2E6A" w:rsidP="000B0D74">
      <w:pPr>
        <w:pStyle w:val="P1-N1Paragraph1-Number1"/>
      </w:pPr>
      <w:r>
        <w:t xml:space="preserve">In an </w:t>
      </w:r>
      <w:r w:rsidR="009D3DE9">
        <w:t xml:space="preserve">apparent </w:t>
      </w:r>
      <w:r>
        <w:t xml:space="preserve">effort to reconcile its defence of its FRP and SAP measures with paragraph 8, second sentence, </w:t>
      </w:r>
      <w:r w:rsidR="0075747D">
        <w:t xml:space="preserve">India has invented a distinction between </w:t>
      </w:r>
      <w:r w:rsidR="00CF4887">
        <w:t>the price paid for the product (i.e. the AAP) and "additional</w:t>
      </w:r>
      <w:r w:rsidR="003D7B4F">
        <w:t xml:space="preserve"> costs</w:t>
      </w:r>
      <w:r w:rsidR="00CF4887">
        <w:t>"</w:t>
      </w:r>
      <w:r w:rsidR="00A258ED">
        <w:t>,</w:t>
      </w:r>
      <w:r w:rsidR="00CF4887">
        <w:rPr>
          <w:rStyle w:val="FootnoteReference"/>
        </w:rPr>
        <w:footnoteReference w:id="97"/>
      </w:r>
      <w:r w:rsidR="003D7B4F">
        <w:t xml:space="preserve"> such as</w:t>
      </w:r>
      <w:r w:rsidR="00CF4887">
        <w:t xml:space="preserve"> "transactional costs"</w:t>
      </w:r>
      <w:r w:rsidR="003D7B4F">
        <w:t>.</w:t>
      </w:r>
      <w:r w:rsidR="00CF4887">
        <w:rPr>
          <w:rStyle w:val="FootnoteReference"/>
        </w:rPr>
        <w:footnoteReference w:id="98"/>
      </w:r>
      <w:r w:rsidR="00CF4887">
        <w:t xml:space="preserve"> </w:t>
      </w:r>
      <w:r w:rsidR="00592CC8">
        <w:t xml:space="preserve"> According to India, </w:t>
      </w:r>
      <w:r w:rsidR="001903AF">
        <w:t xml:space="preserve">the reference in paragraph 8 to </w:t>
      </w:r>
      <w:r w:rsidR="00592CC8">
        <w:t xml:space="preserve">budgetary payments in the form of buying-in costs </w:t>
      </w:r>
      <w:r w:rsidR="001903AF">
        <w:t>means the "costs associated with the procurement of the product concerned (</w:t>
      </w:r>
      <w:r w:rsidR="001903AF" w:rsidRPr="003D7B4F">
        <w:rPr>
          <w:u w:val="single"/>
        </w:rPr>
        <w:t>other than</w:t>
      </w:r>
      <w:r w:rsidR="001903AF">
        <w:t xml:space="preserve"> the [AAP]) incurred or paid by a government."</w:t>
      </w:r>
      <w:r w:rsidR="001903AF">
        <w:rPr>
          <w:rStyle w:val="FootnoteReference"/>
        </w:rPr>
        <w:footnoteReference w:id="99"/>
      </w:r>
      <w:r w:rsidR="001903AF">
        <w:t xml:space="preserve">  </w:t>
      </w:r>
      <w:r w:rsidR="009D3DE9">
        <w:t>India argues s</w:t>
      </w:r>
      <w:r w:rsidR="001903AF">
        <w:t xml:space="preserve">uch costs are excluded from the AMS because they "do not cause the distortion which Article 6 read with Annex 3 of the </w:t>
      </w:r>
      <w:r w:rsidR="00447C2D">
        <w:t>[</w:t>
      </w:r>
      <w:r w:rsidR="001903AF">
        <w:t>A</w:t>
      </w:r>
      <w:r w:rsidR="00447C2D">
        <w:t xml:space="preserve">greement </w:t>
      </w:r>
      <w:r w:rsidR="001903AF">
        <w:t>o</w:t>
      </w:r>
      <w:r w:rsidR="00447C2D">
        <w:t xml:space="preserve">n </w:t>
      </w:r>
      <w:r w:rsidR="001903AF">
        <w:t>A</w:t>
      </w:r>
      <w:r w:rsidR="00447C2D">
        <w:t>griculture]</w:t>
      </w:r>
      <w:r w:rsidR="001903AF">
        <w:t xml:space="preserve"> aims to discipline."</w:t>
      </w:r>
      <w:r w:rsidR="001903AF">
        <w:rPr>
          <w:rStyle w:val="FootnoteReference"/>
        </w:rPr>
        <w:footnoteReference w:id="100"/>
      </w:r>
    </w:p>
    <w:p w14:paraId="16DABEBF" w14:textId="3936D7E7" w:rsidR="00E1360F" w:rsidRDefault="00826424" w:rsidP="00826424">
      <w:pPr>
        <w:pStyle w:val="P1-N1Paragraph1-Number1"/>
      </w:pPr>
      <w:r w:rsidRPr="00E1360F">
        <w:t>India does not explain how the text of paragraph 8 provides a basis for this argument.</w:t>
      </w:r>
      <w:r>
        <w:t xml:space="preserve">  </w:t>
      </w:r>
      <w:r w:rsidR="009D3DE9">
        <w:t xml:space="preserve">Paragraph 8, second sentence, does not refer to "additional" or "transactional" costs.  Nothing in the text indicates an intention on the part of the drafters to differentiate between </w:t>
      </w:r>
      <w:r w:rsidR="003D7B4F">
        <w:t xml:space="preserve">the price paid for the product (the AAP) and </w:t>
      </w:r>
      <w:r w:rsidR="00E1360F">
        <w:t xml:space="preserve">costs </w:t>
      </w:r>
      <w:r w:rsidR="0038652C">
        <w:t xml:space="preserve">that may be </w:t>
      </w:r>
      <w:r w:rsidR="00E1360F">
        <w:t xml:space="preserve">associated with that purchase. </w:t>
      </w:r>
      <w:r w:rsidR="0038652C">
        <w:t xml:space="preserve"> </w:t>
      </w:r>
    </w:p>
    <w:p w14:paraId="60D45603" w14:textId="60AF9C75" w:rsidR="00E87CBD" w:rsidRDefault="0074455D" w:rsidP="00826424">
      <w:pPr>
        <w:pStyle w:val="P1-N1Paragraph1-Number1"/>
      </w:pPr>
      <w:r>
        <w:t>Rather</w:t>
      </w:r>
      <w:r w:rsidR="00D13CD6">
        <w:t>,</w:t>
      </w:r>
      <w:r w:rsidR="00826424">
        <w:t xml:space="preserve"> the words of the second sentence of paragraph 8 undermine India's argument. </w:t>
      </w:r>
      <w:r w:rsidR="009216F3">
        <w:t xml:space="preserve"> They provide that </w:t>
      </w:r>
      <w:r w:rsidR="009216F3" w:rsidRPr="009216F3">
        <w:t xml:space="preserve">"[b]udgetary payments </w:t>
      </w:r>
      <w:r w:rsidR="009216F3" w:rsidRPr="009216F3">
        <w:rPr>
          <w:u w:val="single"/>
        </w:rPr>
        <w:t>made to maintain this gap</w:t>
      </w:r>
      <w:r w:rsidR="009216F3" w:rsidRPr="009216F3">
        <w:t xml:space="preserve"> [between the FERP and the AAP]"</w:t>
      </w:r>
      <w:r w:rsidR="009216F3">
        <w:rPr>
          <w:rStyle w:val="FootnoteReference"/>
        </w:rPr>
        <w:footnoteReference w:id="101"/>
      </w:r>
      <w:r w:rsidR="009216F3">
        <w:t xml:space="preserve"> are not included in the AMS</w:t>
      </w:r>
      <w:r w:rsidR="009216F3" w:rsidRPr="009216F3">
        <w:t>.</w:t>
      </w:r>
      <w:r w:rsidR="003A4474">
        <w:t xml:space="preserve">  Thus, the distinguishing feature of budgetary payments falling within paragraph 8, second sentence, is that they contribute to maintaining the "gap".</w:t>
      </w:r>
      <w:r w:rsidR="00A77D4A">
        <w:rPr>
          <w:rStyle w:val="FootnoteReference"/>
        </w:rPr>
        <w:footnoteReference w:id="102"/>
      </w:r>
      <w:r w:rsidR="0038652C">
        <w:t xml:space="preserve">  </w:t>
      </w:r>
    </w:p>
    <w:p w14:paraId="4CF4ACDF" w14:textId="77777777" w:rsidR="00CC3036" w:rsidRDefault="0038652C" w:rsidP="00826424">
      <w:pPr>
        <w:pStyle w:val="P1-N1Paragraph1-Number1"/>
      </w:pPr>
      <w:r>
        <w:t xml:space="preserve">Similarly, with respect to the example of buying-in costs, </w:t>
      </w:r>
      <w:r w:rsidR="00E87CBD">
        <w:t xml:space="preserve">Australia recalls that "buying-in" means </w:t>
      </w:r>
      <w:r w:rsidR="00E87CBD" w:rsidRPr="008F3A88">
        <w:rPr>
          <w:u w:val="single"/>
        </w:rPr>
        <w:t>the act of purchasing</w:t>
      </w:r>
      <w:r w:rsidR="00E87CBD">
        <w:t xml:space="preserve"> a basic agricultural product, or a product produced from a basic agricultural product.</w:t>
      </w:r>
      <w:r w:rsidR="00DD25B9">
        <w:rPr>
          <w:rStyle w:val="FootnoteReference"/>
        </w:rPr>
        <w:footnoteReference w:id="103"/>
      </w:r>
      <w:r w:rsidR="008F3A88">
        <w:t xml:space="preserve">  Yet</w:t>
      </w:r>
      <w:r w:rsidR="00476D50">
        <w:t>,</w:t>
      </w:r>
      <w:r w:rsidR="008F3A88">
        <w:t xml:space="preserve"> under India's interpretation of buying-in costs, those costs would not include the actual purchase price of the product.</w:t>
      </w:r>
      <w:r w:rsidR="00DD25B9">
        <w:t xml:space="preserve">  </w:t>
      </w:r>
      <w:r w:rsidR="00CC3036">
        <w:t xml:space="preserve">India offers no explanation for this </w:t>
      </w:r>
      <w:r w:rsidR="00D86271">
        <w:t>obvious</w:t>
      </w:r>
      <w:r w:rsidR="00CC3036">
        <w:t xml:space="preserve"> inconsistency</w:t>
      </w:r>
      <w:r w:rsidR="0030026B">
        <w:t xml:space="preserve"> in its reasoning</w:t>
      </w:r>
      <w:r w:rsidR="00CC3036">
        <w:t>.</w:t>
      </w:r>
    </w:p>
    <w:p w14:paraId="6198C38C" w14:textId="1DF08988" w:rsidR="000F7F1E" w:rsidRDefault="00BE0CC7" w:rsidP="00735BFB">
      <w:pPr>
        <w:pStyle w:val="HL4HeadingLevel4"/>
      </w:pPr>
      <w:bookmarkStart w:id="35" w:name="_Toc63966828"/>
      <w:r>
        <w:t>P</w:t>
      </w:r>
      <w:r w:rsidR="00BA530B">
        <w:t>r</w:t>
      </w:r>
      <w:r w:rsidR="00D73658">
        <w:t>evious</w:t>
      </w:r>
      <w:r w:rsidR="00BA530B">
        <w:t xml:space="preserve"> panel reports are relevant and support Australia's arguments</w:t>
      </w:r>
      <w:bookmarkEnd w:id="35"/>
    </w:p>
    <w:p w14:paraId="3C92B836" w14:textId="4712A3C0" w:rsidR="00B6759D" w:rsidRDefault="00775519" w:rsidP="00B6759D">
      <w:pPr>
        <w:pStyle w:val="P1-N1Paragraph1-Number1"/>
      </w:pPr>
      <w:r>
        <w:t xml:space="preserve">India </w:t>
      </w:r>
      <w:r w:rsidR="00A82221">
        <w:t>contends</w:t>
      </w:r>
      <w:r>
        <w:t xml:space="preserve"> that the reports of the panels in </w:t>
      </w:r>
      <w:r w:rsidRPr="000F0D6E">
        <w:rPr>
          <w:i/>
          <w:iCs/>
        </w:rPr>
        <w:t xml:space="preserve">Korea – </w:t>
      </w:r>
      <w:r w:rsidR="008D478B" w:rsidRPr="008D478B">
        <w:rPr>
          <w:i/>
          <w:iCs/>
        </w:rPr>
        <w:t xml:space="preserve">Various Measures on </w:t>
      </w:r>
      <w:r w:rsidRPr="000F0D6E">
        <w:rPr>
          <w:i/>
          <w:iCs/>
        </w:rPr>
        <w:t>Beef</w:t>
      </w:r>
      <w:r>
        <w:t xml:space="preserve"> (as upheld by the Appellate Body) and </w:t>
      </w:r>
      <w:r w:rsidRPr="000F0D6E">
        <w:rPr>
          <w:i/>
          <w:iCs/>
        </w:rPr>
        <w:t>China – Agricultural Producers</w:t>
      </w:r>
      <w:r>
        <w:t xml:space="preserve"> "are either not applicable or do not support the view of the complainants".</w:t>
      </w:r>
      <w:r>
        <w:rPr>
          <w:rStyle w:val="FootnoteReference"/>
        </w:rPr>
        <w:footnoteReference w:id="104"/>
      </w:r>
      <w:r w:rsidR="000F0D6E">
        <w:t xml:space="preserve">  According to India, </w:t>
      </w:r>
      <w:r w:rsidR="00B6759D">
        <w:t>there is no rule of binding precedent in WTO dispute settlement.</w:t>
      </w:r>
      <w:r w:rsidR="00B6759D">
        <w:rPr>
          <w:rStyle w:val="FootnoteReference"/>
        </w:rPr>
        <w:footnoteReference w:id="105"/>
      </w:r>
      <w:r w:rsidR="00B6759D">
        <w:t xml:space="preserve">  </w:t>
      </w:r>
      <w:r w:rsidR="000F0D6E">
        <w:t xml:space="preserve">Australia agrees there is no such rule.  </w:t>
      </w:r>
      <w:r w:rsidR="004159FC">
        <w:t xml:space="preserve">However, </w:t>
      </w:r>
      <w:r w:rsidR="00B6759D">
        <w:t>Australia disputes India's suggestion that "the complainants are effectively advocating that a prior ruling by a panel… should apply to all future disputes no matter what the facts and issues those future disputes involve."</w:t>
      </w:r>
      <w:r w:rsidR="00B6759D">
        <w:rPr>
          <w:rStyle w:val="FootnoteReference"/>
        </w:rPr>
        <w:footnoteReference w:id="106"/>
      </w:r>
      <w:r w:rsidR="00E807D1">
        <w:t xml:space="preserve"> </w:t>
      </w:r>
      <w:r w:rsidR="00B6759D">
        <w:t xml:space="preserve"> </w:t>
      </w:r>
    </w:p>
    <w:p w14:paraId="63B1CE1A" w14:textId="36E7E092" w:rsidR="00B6759D" w:rsidRDefault="00B6759D" w:rsidP="00B6759D">
      <w:pPr>
        <w:pStyle w:val="P1-N1Paragraph1-Number1"/>
      </w:pPr>
      <w:r>
        <w:t xml:space="preserve"> A panel is required to "make an objective assessment of the matter before it, including an objective assessment of the facts of the case and the applicability of and conformity with the relevant covered agreements</w:t>
      </w:r>
      <w:r w:rsidR="006E5217">
        <w:t>…</w:t>
      </w:r>
      <w:r>
        <w:t>"</w:t>
      </w:r>
      <w:r w:rsidR="006E5217">
        <w:t>.</w:t>
      </w:r>
      <w:r>
        <w:rPr>
          <w:rStyle w:val="FootnoteReference"/>
        </w:rPr>
        <w:footnoteReference w:id="107"/>
      </w:r>
      <w:r>
        <w:t xml:space="preserve">  </w:t>
      </w:r>
      <w:r w:rsidR="000F0D6E">
        <w:t xml:space="preserve">In performing their task, panels must interpret the meaning of the covered agreements in order to apply the legal obligations to the facts and determine whether a measure conforms.  </w:t>
      </w:r>
      <w:r>
        <w:t>Though the facts of every dispute will differ, the legal principles and reasoning</w:t>
      </w:r>
      <w:r w:rsidR="006462F3">
        <w:t xml:space="preserve"> applied by panels</w:t>
      </w:r>
      <w:r>
        <w:t xml:space="preserve"> are relevant to </w:t>
      </w:r>
      <w:r w:rsidR="000F0D6E">
        <w:t xml:space="preserve">the task of </w:t>
      </w:r>
      <w:r>
        <w:t>subsequent panels</w:t>
      </w:r>
      <w:r w:rsidR="000F0D6E">
        <w:t xml:space="preserve"> that are </w:t>
      </w:r>
      <w:r>
        <w:t>interpreti</w:t>
      </w:r>
      <w:r w:rsidR="000F0D6E">
        <w:t>ng</w:t>
      </w:r>
      <w:r>
        <w:t xml:space="preserve"> the legal meaning of the </w:t>
      </w:r>
      <w:r w:rsidR="006462F3">
        <w:t xml:space="preserve">same </w:t>
      </w:r>
      <w:r w:rsidR="006E5217">
        <w:t xml:space="preserve">(or a related) </w:t>
      </w:r>
      <w:r w:rsidR="006462F3">
        <w:t xml:space="preserve">covered </w:t>
      </w:r>
      <w:r>
        <w:t>agreement.</w:t>
      </w:r>
      <w:r>
        <w:rPr>
          <w:rStyle w:val="FootnoteReference"/>
        </w:rPr>
        <w:footnoteReference w:id="108"/>
      </w:r>
      <w:r w:rsidR="00FF072D">
        <w:t xml:space="preserve"> </w:t>
      </w:r>
      <w:r>
        <w:t xml:space="preserve"> </w:t>
      </w:r>
      <w:r w:rsidR="006462F3">
        <w:t>P</w:t>
      </w:r>
      <w:r>
        <w:t xml:space="preserve">anel reports </w:t>
      </w:r>
      <w:r w:rsidR="006462F3">
        <w:t xml:space="preserve">also </w:t>
      </w:r>
      <w:r>
        <w:t xml:space="preserve">"create legitimate expectations among WTO </w:t>
      </w:r>
      <w:r w:rsidR="006E5217">
        <w:t>M</w:t>
      </w:r>
      <w:r>
        <w:t>embers, and, therefore, should be taken into account where they are relevant to any dispute."</w:t>
      </w:r>
      <w:r>
        <w:rPr>
          <w:rStyle w:val="FootnoteReference"/>
        </w:rPr>
        <w:footnoteReference w:id="109"/>
      </w:r>
      <w:r>
        <w:t xml:space="preserve"> </w:t>
      </w:r>
    </w:p>
    <w:p w14:paraId="373C9729" w14:textId="77777777" w:rsidR="00B6759D" w:rsidRDefault="00B6759D" w:rsidP="00B6759D">
      <w:pPr>
        <w:pStyle w:val="P1-N1Paragraph1-Number1"/>
      </w:pPr>
      <w:r>
        <w:t xml:space="preserve">Australia agrees that the facts in </w:t>
      </w:r>
      <w:r w:rsidRPr="009940CD">
        <w:rPr>
          <w:i/>
          <w:iCs/>
        </w:rPr>
        <w:t xml:space="preserve">Korea – </w:t>
      </w:r>
      <w:r w:rsidR="008D478B" w:rsidRPr="008D478B">
        <w:rPr>
          <w:i/>
          <w:iCs/>
        </w:rPr>
        <w:t xml:space="preserve">Various Measures on </w:t>
      </w:r>
      <w:r w:rsidRPr="009940CD">
        <w:rPr>
          <w:i/>
          <w:iCs/>
        </w:rPr>
        <w:t>Beef</w:t>
      </w:r>
      <w:r>
        <w:t xml:space="preserve"> and </w:t>
      </w:r>
      <w:r w:rsidRPr="009940CD">
        <w:rPr>
          <w:i/>
          <w:iCs/>
        </w:rPr>
        <w:t>China – Agricultural Producers</w:t>
      </w:r>
      <w:r>
        <w:rPr>
          <w:i/>
          <w:iCs/>
        </w:rPr>
        <w:t xml:space="preserve"> </w:t>
      </w:r>
      <w:r w:rsidRPr="00735BFB">
        <w:t xml:space="preserve">differ </w:t>
      </w:r>
      <w:r w:rsidR="00D54F8A">
        <w:t xml:space="preserve">in some respects </w:t>
      </w:r>
      <w:r w:rsidRPr="00735BFB">
        <w:t>from th</w:t>
      </w:r>
      <w:r w:rsidR="007C0EFB">
        <w:t>is</w:t>
      </w:r>
      <w:r w:rsidRPr="00735BFB">
        <w:t xml:space="preserve"> dispute</w:t>
      </w:r>
      <w:r w:rsidR="007C0EFB">
        <w:t xml:space="preserve">.  However, </w:t>
      </w:r>
      <w:r w:rsidR="00D54F8A">
        <w:t xml:space="preserve">the </w:t>
      </w:r>
      <w:r w:rsidR="007C0EFB">
        <w:t xml:space="preserve">legal reasoning </w:t>
      </w:r>
      <w:r w:rsidR="00D54F8A">
        <w:t xml:space="preserve">of those panels regarding the interpretation of Members' domestic support commitments pursuant to the Agreement on Agriculture </w:t>
      </w:r>
      <w:r w:rsidR="00D54F8A" w:rsidRPr="00F078A8">
        <w:rPr>
          <w:u w:val="single"/>
        </w:rPr>
        <w:t>is</w:t>
      </w:r>
      <w:r w:rsidR="00D54F8A">
        <w:t xml:space="preserve"> highly relevant and </w:t>
      </w:r>
      <w:r w:rsidR="00D54F8A" w:rsidRPr="00F078A8">
        <w:rPr>
          <w:u w:val="single"/>
        </w:rPr>
        <w:t>should</w:t>
      </w:r>
      <w:r w:rsidR="00D54F8A">
        <w:t xml:space="preserve"> be considered by this Panel.</w:t>
      </w:r>
      <w:r>
        <w:t xml:space="preserve"> </w:t>
      </w:r>
    </w:p>
    <w:p w14:paraId="2A7FBFF6" w14:textId="0C13A576" w:rsidR="00B6759D" w:rsidRPr="00DC37CC" w:rsidRDefault="00D54F8A" w:rsidP="00B6759D">
      <w:pPr>
        <w:pStyle w:val="P1-N1Paragraph1-Number1"/>
      </w:pPr>
      <w:r>
        <w:t>Australia recalls that t</w:t>
      </w:r>
      <w:r w:rsidR="00B6759D">
        <w:t xml:space="preserve">he panel in </w:t>
      </w:r>
      <w:r w:rsidR="00B6759D" w:rsidRPr="00250CDE">
        <w:rPr>
          <w:i/>
          <w:iCs/>
        </w:rPr>
        <w:t>China –</w:t>
      </w:r>
      <w:r w:rsidR="00B6759D" w:rsidRPr="002E4B46">
        <w:rPr>
          <w:i/>
          <w:iCs/>
        </w:rPr>
        <w:t xml:space="preserve"> Agricultural Producers</w:t>
      </w:r>
      <w:r w:rsidR="00B6759D">
        <w:rPr>
          <w:i/>
          <w:iCs/>
        </w:rPr>
        <w:t xml:space="preserve"> </w:t>
      </w:r>
      <w:r w:rsidR="00B6759D" w:rsidRPr="00DF6D93">
        <w:t>found the ordinary meaning of "applied administered price" to be "the price set by the government at which specified entities will purchase certain basic agricultural products."</w:t>
      </w:r>
      <w:r w:rsidR="00B6759D">
        <w:rPr>
          <w:rStyle w:val="FootnoteReference"/>
        </w:rPr>
        <w:footnoteReference w:id="110"/>
      </w:r>
      <w:r w:rsidR="00B6759D">
        <w:t xml:space="preserve">  </w:t>
      </w:r>
      <w:r w:rsidR="00B6759D" w:rsidRPr="00735BFB">
        <w:rPr>
          <w:rFonts w:asciiTheme="minorHAnsi" w:hAnsiTheme="minorHAnsi" w:cstheme="minorHAnsi"/>
        </w:rPr>
        <w:t xml:space="preserve">India claims "the interpretation of the phrase </w:t>
      </w:r>
      <w:r w:rsidR="006E5217">
        <w:rPr>
          <w:rFonts w:asciiTheme="minorHAnsi" w:hAnsiTheme="minorHAnsi" w:cstheme="minorHAnsi"/>
        </w:rPr>
        <w:t>'</w:t>
      </w:r>
      <w:r w:rsidR="00B6759D" w:rsidRPr="00735BFB">
        <w:rPr>
          <w:rFonts w:asciiTheme="minorHAnsi" w:hAnsiTheme="minorHAnsi" w:cstheme="minorHAnsi"/>
        </w:rPr>
        <w:t>applied administered price</w:t>
      </w:r>
      <w:r w:rsidR="006E5217">
        <w:rPr>
          <w:rFonts w:asciiTheme="minorHAnsi" w:hAnsiTheme="minorHAnsi" w:cstheme="minorHAnsi"/>
        </w:rPr>
        <w:t>'</w:t>
      </w:r>
      <w:r w:rsidR="00B6759D" w:rsidRPr="00735BFB">
        <w:rPr>
          <w:rFonts w:asciiTheme="minorHAnsi" w:hAnsiTheme="minorHAnsi" w:cstheme="minorHAnsi"/>
        </w:rPr>
        <w:t>… must be viewed in context of the specific facts of that dispute".</w:t>
      </w:r>
      <w:r w:rsidR="00B6759D" w:rsidRPr="00D818EB">
        <w:rPr>
          <w:rStyle w:val="FootnoteReference"/>
          <w:rFonts w:asciiTheme="minorHAnsi" w:hAnsiTheme="minorHAnsi" w:cstheme="minorHAnsi"/>
        </w:rPr>
        <w:footnoteReference w:id="111"/>
      </w:r>
      <w:r w:rsidR="00B6759D" w:rsidRPr="00735BFB">
        <w:rPr>
          <w:rFonts w:asciiTheme="minorHAnsi" w:hAnsiTheme="minorHAnsi" w:cstheme="minorHAnsi"/>
        </w:rPr>
        <w:t xml:space="preserve">  Aside from noting the factual differences in that dispute, India does not elaborate or explain </w:t>
      </w:r>
      <w:r w:rsidR="00B6759D" w:rsidRPr="00735BFB">
        <w:rPr>
          <w:rFonts w:asciiTheme="minorHAnsi" w:hAnsiTheme="minorHAnsi" w:cstheme="minorHAnsi"/>
          <w:u w:val="single"/>
        </w:rPr>
        <w:t>why</w:t>
      </w:r>
      <w:r w:rsidR="00B6759D" w:rsidRPr="00735BFB">
        <w:rPr>
          <w:rFonts w:asciiTheme="minorHAnsi" w:hAnsiTheme="minorHAnsi" w:cstheme="minorHAnsi"/>
        </w:rPr>
        <w:t xml:space="preserve"> the meaning given to AAP should not be applied by this Panel.  </w:t>
      </w:r>
    </w:p>
    <w:p w14:paraId="01F3FF76" w14:textId="3205EF89" w:rsidR="00B6759D" w:rsidRPr="00735BFB" w:rsidRDefault="00B6759D" w:rsidP="00B6759D">
      <w:pPr>
        <w:pStyle w:val="P1-N1Paragraph1-Number1"/>
      </w:pPr>
      <w:r w:rsidRPr="00735BFB">
        <w:rPr>
          <w:rFonts w:asciiTheme="minorHAnsi" w:hAnsiTheme="minorHAnsi" w:cstheme="minorHAnsi"/>
        </w:rPr>
        <w:t>As China outline</w:t>
      </w:r>
      <w:r w:rsidR="00235CBD">
        <w:rPr>
          <w:rFonts w:asciiTheme="minorHAnsi" w:hAnsiTheme="minorHAnsi" w:cstheme="minorHAnsi"/>
        </w:rPr>
        <w:t>s</w:t>
      </w:r>
      <w:r w:rsidRPr="00735BFB">
        <w:rPr>
          <w:rFonts w:asciiTheme="minorHAnsi" w:hAnsiTheme="minorHAnsi" w:cstheme="minorHAnsi"/>
        </w:rPr>
        <w:t>,</w:t>
      </w:r>
      <w:r>
        <w:rPr>
          <w:rFonts w:asciiTheme="minorHAnsi" w:hAnsiTheme="minorHAnsi" w:cstheme="minorHAnsi"/>
        </w:rPr>
        <w:t xml:space="preserve"> </w:t>
      </w:r>
      <w:r w:rsidRPr="00735BFB">
        <w:rPr>
          <w:rFonts w:asciiTheme="minorHAnsi" w:hAnsiTheme="minorHAnsi" w:cstheme="minorHAnsi"/>
        </w:rPr>
        <w:t xml:space="preserve">the panel </w:t>
      </w:r>
      <w:r w:rsidR="001A040F">
        <w:rPr>
          <w:rFonts w:asciiTheme="minorHAnsi" w:hAnsiTheme="minorHAnsi" w:cstheme="minorHAnsi"/>
        </w:rPr>
        <w:t xml:space="preserve">in </w:t>
      </w:r>
      <w:r w:rsidR="001A040F" w:rsidRPr="00F078A8">
        <w:rPr>
          <w:rFonts w:asciiTheme="minorHAnsi" w:hAnsiTheme="minorHAnsi" w:cstheme="minorHAnsi"/>
          <w:i/>
          <w:iCs/>
        </w:rPr>
        <w:t>China – Agricultural Producers</w:t>
      </w:r>
      <w:r w:rsidR="001A040F">
        <w:rPr>
          <w:rFonts w:asciiTheme="minorHAnsi" w:hAnsiTheme="minorHAnsi" w:cstheme="minorHAnsi"/>
        </w:rPr>
        <w:t xml:space="preserve"> </w:t>
      </w:r>
      <w:r w:rsidRPr="00735BFB">
        <w:rPr>
          <w:rFonts w:asciiTheme="minorHAnsi" w:hAnsiTheme="minorHAnsi" w:cstheme="minorHAnsi"/>
        </w:rPr>
        <w:t>adopted an "ordinary meaning approach"</w:t>
      </w:r>
      <w:r w:rsidR="00A258ED">
        <w:rPr>
          <w:rFonts w:asciiTheme="minorHAnsi" w:hAnsiTheme="minorHAnsi" w:cstheme="minorHAnsi"/>
        </w:rPr>
        <w:t>,</w:t>
      </w:r>
      <w:r w:rsidRPr="00D818EB">
        <w:rPr>
          <w:rStyle w:val="FootnoteReference"/>
          <w:rFonts w:asciiTheme="minorHAnsi" w:hAnsiTheme="minorHAnsi" w:cstheme="minorHAnsi"/>
        </w:rPr>
        <w:footnoteReference w:id="112"/>
      </w:r>
      <w:r w:rsidRPr="00735BFB">
        <w:rPr>
          <w:rFonts w:asciiTheme="minorHAnsi" w:hAnsiTheme="minorHAnsi" w:cstheme="minorHAnsi"/>
        </w:rPr>
        <w:t xml:space="preserve"> consistent with the general rule of interpretation</w:t>
      </w:r>
      <w:r>
        <w:rPr>
          <w:rFonts w:asciiTheme="minorHAnsi" w:hAnsiTheme="minorHAnsi" w:cstheme="minorHAnsi"/>
        </w:rPr>
        <w:t>.</w:t>
      </w:r>
      <w:r w:rsidRPr="00D818EB">
        <w:rPr>
          <w:rStyle w:val="FootnoteReference"/>
          <w:rFonts w:asciiTheme="minorHAnsi" w:hAnsiTheme="minorHAnsi" w:cstheme="minorHAnsi"/>
        </w:rPr>
        <w:footnoteReference w:id="113"/>
      </w:r>
      <w:r>
        <w:rPr>
          <w:rFonts w:asciiTheme="minorHAnsi" w:hAnsiTheme="minorHAnsi" w:cstheme="minorHAnsi"/>
        </w:rPr>
        <w:t xml:space="preserve"> </w:t>
      </w:r>
      <w:r w:rsidRPr="00735BFB">
        <w:rPr>
          <w:rFonts w:asciiTheme="minorHAnsi" w:hAnsiTheme="minorHAnsi" w:cstheme="minorHAnsi"/>
        </w:rPr>
        <w:t xml:space="preserve"> </w:t>
      </w:r>
      <w:r>
        <w:rPr>
          <w:rFonts w:asciiTheme="minorHAnsi" w:hAnsiTheme="minorHAnsi" w:cstheme="minorHAnsi"/>
        </w:rPr>
        <w:t>The European Union agrees.</w:t>
      </w:r>
      <w:r w:rsidRPr="00DC37CC">
        <w:rPr>
          <w:rFonts w:cstheme="minorHAnsi"/>
          <w:vertAlign w:val="superscript"/>
        </w:rPr>
        <w:t xml:space="preserve"> </w:t>
      </w:r>
      <w:r w:rsidRPr="00DC37CC">
        <w:rPr>
          <w:rFonts w:asciiTheme="minorHAnsi" w:hAnsiTheme="minorHAnsi" w:cstheme="minorHAnsi"/>
          <w:vertAlign w:val="superscript"/>
        </w:rPr>
        <w:footnoteReference w:id="114"/>
      </w:r>
      <w:r>
        <w:rPr>
          <w:rFonts w:asciiTheme="minorHAnsi" w:hAnsiTheme="minorHAnsi" w:cstheme="minorHAnsi"/>
        </w:rPr>
        <w:t xml:space="preserve">  </w:t>
      </w:r>
      <w:r w:rsidR="001A040F">
        <w:rPr>
          <w:rFonts w:asciiTheme="minorHAnsi" w:hAnsiTheme="minorHAnsi" w:cstheme="minorHAnsi"/>
        </w:rPr>
        <w:t>In other words, the</w:t>
      </w:r>
      <w:r w:rsidR="00E029B8">
        <w:rPr>
          <w:rFonts w:asciiTheme="minorHAnsi" w:hAnsiTheme="minorHAnsi" w:cstheme="minorHAnsi"/>
        </w:rPr>
        <w:t xml:space="preserve"> </w:t>
      </w:r>
      <w:r w:rsidR="001A040F">
        <w:rPr>
          <w:rFonts w:asciiTheme="minorHAnsi" w:hAnsiTheme="minorHAnsi" w:cstheme="minorHAnsi"/>
        </w:rPr>
        <w:t xml:space="preserve">panel's legal reasoning </w:t>
      </w:r>
      <w:r w:rsidR="00E029B8">
        <w:rPr>
          <w:rFonts w:asciiTheme="minorHAnsi" w:hAnsiTheme="minorHAnsi" w:cstheme="minorHAnsi"/>
        </w:rPr>
        <w:t xml:space="preserve">regarding the meaning of "applied administered price" was entirely </w:t>
      </w:r>
      <w:r w:rsidR="00E029B8" w:rsidRPr="00842765">
        <w:rPr>
          <w:rFonts w:asciiTheme="minorHAnsi" w:hAnsiTheme="minorHAnsi" w:cstheme="minorHAnsi"/>
          <w:u w:val="single"/>
        </w:rPr>
        <w:t>independent</w:t>
      </w:r>
      <w:r w:rsidR="00E029B8">
        <w:rPr>
          <w:rFonts w:asciiTheme="minorHAnsi" w:hAnsiTheme="minorHAnsi" w:cstheme="minorHAnsi"/>
        </w:rPr>
        <w:t xml:space="preserve"> of the facts in that dispute.</w:t>
      </w:r>
      <w:r w:rsidR="00E029B8">
        <w:rPr>
          <w:rStyle w:val="FootnoteReference"/>
          <w:rFonts w:cstheme="minorHAnsi"/>
        </w:rPr>
        <w:footnoteReference w:id="115"/>
      </w:r>
      <w:r w:rsidR="00E029B8">
        <w:rPr>
          <w:rFonts w:asciiTheme="minorHAnsi" w:hAnsiTheme="minorHAnsi" w:cstheme="minorHAnsi"/>
        </w:rPr>
        <w:t xml:space="preserve">  </w:t>
      </w:r>
      <w:r>
        <w:rPr>
          <w:rFonts w:asciiTheme="minorHAnsi" w:hAnsiTheme="minorHAnsi" w:cstheme="minorHAnsi"/>
        </w:rPr>
        <w:t xml:space="preserve">Thus, Australia considers the panel's reasoning regarding the meaning of </w:t>
      </w:r>
      <w:r w:rsidR="00E029B8">
        <w:rPr>
          <w:rFonts w:asciiTheme="minorHAnsi" w:hAnsiTheme="minorHAnsi" w:cstheme="minorHAnsi"/>
        </w:rPr>
        <w:t xml:space="preserve">AAP </w:t>
      </w:r>
      <w:r>
        <w:rPr>
          <w:rFonts w:asciiTheme="minorHAnsi" w:hAnsiTheme="minorHAnsi" w:cstheme="minorHAnsi"/>
        </w:rPr>
        <w:t xml:space="preserve">is </w:t>
      </w:r>
      <w:r w:rsidR="00E029B8">
        <w:rPr>
          <w:rFonts w:asciiTheme="minorHAnsi" w:hAnsiTheme="minorHAnsi" w:cstheme="minorHAnsi"/>
        </w:rPr>
        <w:t>applicable</w:t>
      </w:r>
      <w:r>
        <w:rPr>
          <w:rFonts w:asciiTheme="minorHAnsi" w:hAnsiTheme="minorHAnsi" w:cstheme="minorHAnsi"/>
        </w:rPr>
        <w:t xml:space="preserve"> </w:t>
      </w:r>
      <w:r w:rsidRPr="00DC37CC">
        <w:rPr>
          <w:rFonts w:asciiTheme="minorHAnsi" w:hAnsiTheme="minorHAnsi" w:cstheme="minorHAnsi"/>
        </w:rPr>
        <w:t>to this</w:t>
      </w:r>
      <w:r>
        <w:rPr>
          <w:rFonts w:asciiTheme="minorHAnsi" w:hAnsiTheme="minorHAnsi" w:cstheme="minorHAnsi"/>
        </w:rPr>
        <w:t xml:space="preserve"> dispute.  </w:t>
      </w:r>
    </w:p>
    <w:p w14:paraId="089C0319" w14:textId="77777777" w:rsidR="00B6759D" w:rsidRDefault="00B6759D" w:rsidP="00B6759D">
      <w:pPr>
        <w:pStyle w:val="ListParagraph"/>
        <w:numPr>
          <w:ilvl w:val="0"/>
          <w:numId w:val="1"/>
        </w:numPr>
        <w:rPr>
          <w:rFonts w:asciiTheme="minorHAnsi" w:hAnsiTheme="minorHAnsi" w:cstheme="minorHAnsi"/>
        </w:rPr>
      </w:pPr>
      <w:r w:rsidRPr="00EB2DD1">
        <w:rPr>
          <w:rFonts w:asciiTheme="minorHAnsi" w:hAnsiTheme="minorHAnsi" w:cstheme="minorHAnsi"/>
        </w:rPr>
        <w:t xml:space="preserve">India </w:t>
      </w:r>
      <w:r w:rsidR="00E029B8">
        <w:rPr>
          <w:rFonts w:asciiTheme="minorHAnsi" w:hAnsiTheme="minorHAnsi" w:cstheme="minorHAnsi"/>
        </w:rPr>
        <w:t xml:space="preserve">also </w:t>
      </w:r>
      <w:r w:rsidRPr="00EB2DD1">
        <w:rPr>
          <w:rFonts w:asciiTheme="minorHAnsi" w:hAnsiTheme="minorHAnsi" w:cstheme="minorHAnsi"/>
        </w:rPr>
        <w:t xml:space="preserve">argues that the panel in </w:t>
      </w:r>
      <w:r w:rsidRPr="00EB2DD1">
        <w:rPr>
          <w:rFonts w:asciiTheme="minorHAnsi" w:hAnsiTheme="minorHAnsi" w:cstheme="minorHAnsi"/>
          <w:i/>
          <w:iCs/>
        </w:rPr>
        <w:t>China – Agricultural Producers</w:t>
      </w:r>
      <w:r w:rsidRPr="00EB2DD1">
        <w:rPr>
          <w:rFonts w:asciiTheme="minorHAnsi" w:hAnsiTheme="minorHAnsi" w:cstheme="minorHAnsi"/>
        </w:rPr>
        <w:t xml:space="preserve"> did not state that </w:t>
      </w:r>
      <w:r>
        <w:rPr>
          <w:rFonts w:asciiTheme="minorHAnsi" w:hAnsiTheme="minorHAnsi" w:cstheme="minorHAnsi"/>
        </w:rPr>
        <w:t xml:space="preserve">the </w:t>
      </w:r>
      <w:r w:rsidRPr="00EB2DD1">
        <w:rPr>
          <w:rFonts w:asciiTheme="minorHAnsi" w:hAnsiTheme="minorHAnsi" w:cstheme="minorHAnsi"/>
        </w:rPr>
        <w:t xml:space="preserve">specified entities </w:t>
      </w:r>
      <w:r>
        <w:rPr>
          <w:rFonts w:asciiTheme="minorHAnsi" w:hAnsiTheme="minorHAnsi" w:cstheme="minorHAnsi"/>
        </w:rPr>
        <w:t xml:space="preserve">that purchase the product at the AAP </w:t>
      </w:r>
      <w:r w:rsidR="00E029B8">
        <w:rPr>
          <w:rFonts w:asciiTheme="minorHAnsi" w:hAnsiTheme="minorHAnsi" w:cstheme="minorHAnsi"/>
        </w:rPr>
        <w:t>"</w:t>
      </w:r>
      <w:r w:rsidRPr="00EB2DD1">
        <w:rPr>
          <w:rFonts w:asciiTheme="minorHAnsi" w:hAnsiTheme="minorHAnsi" w:cstheme="minorHAnsi"/>
        </w:rPr>
        <w:t>may be any entity, including a purely private entity, which is not an agent of a government</w:t>
      </w:r>
      <w:r w:rsidR="00E029B8">
        <w:rPr>
          <w:rFonts w:asciiTheme="minorHAnsi" w:hAnsiTheme="minorHAnsi" w:cstheme="minorHAnsi"/>
        </w:rPr>
        <w:t>…"</w:t>
      </w:r>
      <w:r w:rsidRPr="00EB2DD1">
        <w:rPr>
          <w:rFonts w:asciiTheme="minorHAnsi" w:hAnsiTheme="minorHAnsi" w:cstheme="minorHAnsi"/>
        </w:rPr>
        <w:t>.</w:t>
      </w:r>
      <w:r>
        <w:rPr>
          <w:rStyle w:val="FootnoteReference"/>
          <w:rFonts w:cstheme="minorHAnsi"/>
        </w:rPr>
        <w:footnoteReference w:id="116"/>
      </w:r>
      <w:r>
        <w:rPr>
          <w:rFonts w:asciiTheme="minorHAnsi" w:hAnsiTheme="minorHAnsi" w:cstheme="minorHAnsi"/>
        </w:rPr>
        <w:t xml:space="preserve">  </w:t>
      </w:r>
      <w:r w:rsidR="00F67424">
        <w:rPr>
          <w:rFonts w:asciiTheme="minorHAnsi" w:hAnsiTheme="minorHAnsi" w:cstheme="minorHAnsi"/>
        </w:rPr>
        <w:t>Australia agrees that t</w:t>
      </w:r>
      <w:r>
        <w:rPr>
          <w:rFonts w:asciiTheme="minorHAnsi" w:hAnsiTheme="minorHAnsi" w:cstheme="minorHAnsi"/>
        </w:rPr>
        <w:t xml:space="preserve">he panel </w:t>
      </w:r>
      <w:r w:rsidR="00F67424">
        <w:rPr>
          <w:rFonts w:asciiTheme="minorHAnsi" w:hAnsiTheme="minorHAnsi" w:cstheme="minorHAnsi"/>
        </w:rPr>
        <w:t xml:space="preserve">in that dispute </w:t>
      </w:r>
      <w:r>
        <w:rPr>
          <w:rFonts w:asciiTheme="minorHAnsi" w:hAnsiTheme="minorHAnsi" w:cstheme="minorHAnsi"/>
        </w:rPr>
        <w:t xml:space="preserve">did not elaborate on the defining characteristics of </w:t>
      </w:r>
      <w:r w:rsidR="00065DB8">
        <w:rPr>
          <w:rFonts w:asciiTheme="minorHAnsi" w:hAnsiTheme="minorHAnsi" w:cstheme="minorHAnsi"/>
        </w:rPr>
        <w:t>the purchasing</w:t>
      </w:r>
      <w:r>
        <w:rPr>
          <w:rFonts w:asciiTheme="minorHAnsi" w:hAnsiTheme="minorHAnsi" w:cstheme="minorHAnsi"/>
        </w:rPr>
        <w:t xml:space="preserve"> entity.  </w:t>
      </w:r>
      <w:r w:rsidR="00065DB8">
        <w:rPr>
          <w:rFonts w:asciiTheme="minorHAnsi" w:hAnsiTheme="minorHAnsi" w:cstheme="minorHAnsi"/>
        </w:rPr>
        <w:t>However, while the panel found that the AAP is set by "government", it identified the purchasers of the product as "specified entities"</w:t>
      </w:r>
      <w:r>
        <w:rPr>
          <w:rFonts w:asciiTheme="minorHAnsi" w:hAnsiTheme="minorHAnsi" w:cstheme="minorHAnsi"/>
        </w:rPr>
        <w:t>.</w:t>
      </w:r>
      <w:r>
        <w:rPr>
          <w:rStyle w:val="FootnoteReference"/>
          <w:rFonts w:cstheme="minorHAnsi"/>
        </w:rPr>
        <w:footnoteReference w:id="117"/>
      </w:r>
      <w:r>
        <w:rPr>
          <w:rFonts w:asciiTheme="minorHAnsi" w:hAnsiTheme="minorHAnsi" w:cstheme="minorHAnsi"/>
        </w:rPr>
        <w:t xml:space="preserve">  The panel d</w:t>
      </w:r>
      <w:r w:rsidR="00065DB8">
        <w:rPr>
          <w:rFonts w:asciiTheme="minorHAnsi" w:hAnsiTheme="minorHAnsi" w:cstheme="minorHAnsi"/>
        </w:rPr>
        <w:t>id not identify the purchasers as "government" or "government or its agents"</w:t>
      </w:r>
      <w:r>
        <w:rPr>
          <w:rFonts w:asciiTheme="minorHAnsi" w:hAnsiTheme="minorHAnsi" w:cstheme="minorHAnsi"/>
        </w:rPr>
        <w:t xml:space="preserve"> despite the fact that the </w:t>
      </w:r>
      <w:r w:rsidR="00235CBD">
        <w:rPr>
          <w:rFonts w:asciiTheme="minorHAnsi" w:hAnsiTheme="minorHAnsi" w:cstheme="minorHAnsi"/>
        </w:rPr>
        <w:t xml:space="preserve">Chinese </w:t>
      </w:r>
      <w:r>
        <w:rPr>
          <w:rFonts w:asciiTheme="minorHAnsi" w:hAnsiTheme="minorHAnsi" w:cstheme="minorHAnsi"/>
        </w:rPr>
        <w:t>government funded and controlled all purchases.  Based on an ordinary meaning interpretation of "applied administered price", the panel</w:t>
      </w:r>
      <w:r w:rsidR="00A81536">
        <w:rPr>
          <w:rFonts w:asciiTheme="minorHAnsi" w:hAnsiTheme="minorHAnsi" w:cstheme="minorHAnsi"/>
        </w:rPr>
        <w:t>'s findings left open</w:t>
      </w:r>
      <w:r>
        <w:rPr>
          <w:rFonts w:asciiTheme="minorHAnsi" w:hAnsiTheme="minorHAnsi" w:cstheme="minorHAnsi"/>
        </w:rPr>
        <w:t xml:space="preserve"> the possibility that market price support could exist even if the AAP was not paid by government or its agents.</w:t>
      </w:r>
    </w:p>
    <w:p w14:paraId="642F9685" w14:textId="77777777" w:rsidR="009B3A97" w:rsidRDefault="00775706" w:rsidP="00D73658">
      <w:pPr>
        <w:pStyle w:val="ListParagraph"/>
        <w:keepNext/>
        <w:numPr>
          <w:ilvl w:val="0"/>
          <w:numId w:val="1"/>
        </w:numPr>
        <w:rPr>
          <w:rFonts w:asciiTheme="minorHAnsi" w:hAnsiTheme="minorHAnsi" w:cstheme="minorHAnsi"/>
        </w:rPr>
      </w:pPr>
      <w:r>
        <w:rPr>
          <w:rFonts w:asciiTheme="minorHAnsi" w:hAnsiTheme="minorHAnsi" w:cstheme="minorHAnsi"/>
        </w:rPr>
        <w:t xml:space="preserve">India advances similar arguments with respect to </w:t>
      </w:r>
      <w:r w:rsidRPr="004E247F">
        <w:rPr>
          <w:rFonts w:asciiTheme="minorHAnsi" w:hAnsiTheme="minorHAnsi" w:cstheme="minorHAnsi"/>
          <w:i/>
          <w:iCs/>
        </w:rPr>
        <w:t xml:space="preserve">Korea – </w:t>
      </w:r>
      <w:r w:rsidR="008D478B" w:rsidRPr="008D478B">
        <w:rPr>
          <w:rFonts w:asciiTheme="minorHAnsi" w:hAnsiTheme="minorHAnsi" w:cstheme="minorHAnsi"/>
          <w:i/>
          <w:iCs/>
        </w:rPr>
        <w:t xml:space="preserve">Various Measures on </w:t>
      </w:r>
      <w:r w:rsidRPr="004E247F">
        <w:rPr>
          <w:rFonts w:asciiTheme="minorHAnsi" w:hAnsiTheme="minorHAnsi" w:cstheme="minorHAnsi"/>
          <w:i/>
          <w:iCs/>
        </w:rPr>
        <w:t>Beef</w:t>
      </w:r>
      <w:r>
        <w:rPr>
          <w:rFonts w:asciiTheme="minorHAnsi" w:hAnsiTheme="minorHAnsi" w:cstheme="minorHAnsi"/>
        </w:rPr>
        <w:t xml:space="preserve">, in an attempt to diminish the relevance of the panel's findings and legal reasoning.  </w:t>
      </w:r>
      <w:r w:rsidR="009B689B">
        <w:rPr>
          <w:rFonts w:asciiTheme="minorHAnsi" w:hAnsiTheme="minorHAnsi" w:cstheme="minorHAnsi"/>
        </w:rPr>
        <w:t xml:space="preserve">In particular, </w:t>
      </w:r>
      <w:r w:rsidR="00C375A2">
        <w:rPr>
          <w:rFonts w:asciiTheme="minorHAnsi" w:hAnsiTheme="minorHAnsi" w:cstheme="minorHAnsi"/>
        </w:rPr>
        <w:t xml:space="preserve">with respect to the panel's statement that </w:t>
      </w:r>
      <w:r w:rsidR="00C375A2" w:rsidRPr="00C375A2">
        <w:rPr>
          <w:rFonts w:asciiTheme="minorHAnsi" w:hAnsiTheme="minorHAnsi" w:cstheme="minorHAnsi"/>
        </w:rPr>
        <w:t>"the quantification of market price support in AMS terms is not based on expenditures by government"</w:t>
      </w:r>
      <w:r w:rsidR="005C5D38">
        <w:rPr>
          <w:rFonts w:asciiTheme="minorHAnsi" w:hAnsiTheme="minorHAnsi" w:cstheme="minorHAnsi"/>
        </w:rPr>
        <w:t>,</w:t>
      </w:r>
      <w:r w:rsidR="008D478B">
        <w:rPr>
          <w:rStyle w:val="FootnoteReference"/>
          <w:rFonts w:cstheme="minorHAnsi"/>
        </w:rPr>
        <w:footnoteReference w:id="118"/>
      </w:r>
      <w:r w:rsidR="00C375A2">
        <w:rPr>
          <w:rFonts w:asciiTheme="minorHAnsi" w:hAnsiTheme="minorHAnsi" w:cstheme="minorHAnsi"/>
        </w:rPr>
        <w:t xml:space="preserve"> India argues this "does not state or even remotely suggest that market price support may exist where the procurement and payments towards such procurement… was to be done by private actors."</w:t>
      </w:r>
      <w:r w:rsidR="008D478B">
        <w:rPr>
          <w:rStyle w:val="FootnoteReference"/>
          <w:rFonts w:cstheme="minorHAnsi"/>
        </w:rPr>
        <w:footnoteReference w:id="119"/>
      </w:r>
      <w:r w:rsidR="00C375A2">
        <w:rPr>
          <w:rFonts w:asciiTheme="minorHAnsi" w:hAnsiTheme="minorHAnsi" w:cstheme="minorHAnsi"/>
        </w:rPr>
        <w:t xml:space="preserve">  Australia disagrees.  India has ignored the sentences in the report that </w:t>
      </w:r>
      <w:r w:rsidR="009B3A97">
        <w:rPr>
          <w:rFonts w:asciiTheme="minorHAnsi" w:hAnsiTheme="minorHAnsi" w:cstheme="minorHAnsi"/>
        </w:rPr>
        <w:t>follow immediately after the cited statement.  The panel state</w:t>
      </w:r>
      <w:r w:rsidR="008D478B">
        <w:rPr>
          <w:rFonts w:asciiTheme="minorHAnsi" w:hAnsiTheme="minorHAnsi" w:cstheme="minorHAnsi"/>
        </w:rPr>
        <w:t>d</w:t>
      </w:r>
      <w:r w:rsidR="009B3A97">
        <w:rPr>
          <w:rFonts w:asciiTheme="minorHAnsi" w:hAnsiTheme="minorHAnsi" w:cstheme="minorHAnsi"/>
        </w:rPr>
        <w:t>:</w:t>
      </w:r>
    </w:p>
    <w:p w14:paraId="10AE653F" w14:textId="77777777" w:rsidR="009B3A97" w:rsidRDefault="00B6759D" w:rsidP="00F078A8">
      <w:pPr>
        <w:pStyle w:val="QQuotation"/>
      </w:pPr>
      <w:r>
        <w:t>Market price support as defined in Annex 3 can exist even where there are no budgetary payments.</w:t>
      </w:r>
      <w:r w:rsidR="009B3A97">
        <w:t xml:space="preserve">  </w:t>
      </w:r>
      <w:r w:rsidR="009B3A97" w:rsidRPr="009B3A97">
        <w:t>Market price support gauges the effect of a government policy measure on agricultural producers of a basic product rather than the budgetary cost of that measure borne by government</w:t>
      </w:r>
      <w:r w:rsidR="009B3A97">
        <w:t>.</w:t>
      </w:r>
      <w:r w:rsidR="009B3A97">
        <w:rPr>
          <w:rStyle w:val="FootnoteReference"/>
        </w:rPr>
        <w:footnoteReference w:id="120"/>
      </w:r>
    </w:p>
    <w:p w14:paraId="0D6ECC86" w14:textId="77777777" w:rsidR="00B6759D" w:rsidRDefault="00B6759D" w:rsidP="00B6759D">
      <w:pPr>
        <w:pStyle w:val="ListParagraph"/>
        <w:numPr>
          <w:ilvl w:val="0"/>
          <w:numId w:val="1"/>
        </w:numPr>
        <w:rPr>
          <w:rFonts w:asciiTheme="minorHAnsi" w:hAnsiTheme="minorHAnsi" w:cstheme="minorHAnsi"/>
        </w:rPr>
      </w:pPr>
      <w:r>
        <w:rPr>
          <w:rFonts w:asciiTheme="minorHAnsi" w:hAnsiTheme="minorHAnsi" w:cstheme="minorHAnsi"/>
        </w:rPr>
        <w:t>The panel's reason</w:t>
      </w:r>
      <w:r w:rsidR="009B3A97">
        <w:rPr>
          <w:rFonts w:asciiTheme="minorHAnsi" w:hAnsiTheme="minorHAnsi" w:cstheme="minorHAnsi"/>
        </w:rPr>
        <w:t>ing</w:t>
      </w:r>
      <w:r>
        <w:rPr>
          <w:rFonts w:asciiTheme="minorHAnsi" w:hAnsiTheme="minorHAnsi" w:cstheme="minorHAnsi"/>
        </w:rPr>
        <w:t xml:space="preserve"> </w:t>
      </w:r>
      <w:r w:rsidR="009B3A97">
        <w:rPr>
          <w:rFonts w:asciiTheme="minorHAnsi" w:hAnsiTheme="minorHAnsi" w:cstheme="minorHAnsi"/>
        </w:rPr>
        <w:t>was</w:t>
      </w:r>
      <w:r>
        <w:rPr>
          <w:rFonts w:asciiTheme="minorHAnsi" w:hAnsiTheme="minorHAnsi" w:cstheme="minorHAnsi"/>
        </w:rPr>
        <w:t xml:space="preserve"> based on the </w:t>
      </w:r>
      <w:r w:rsidR="009B3A97">
        <w:rPr>
          <w:rFonts w:asciiTheme="minorHAnsi" w:hAnsiTheme="minorHAnsi" w:cstheme="minorHAnsi"/>
        </w:rPr>
        <w:t>text</w:t>
      </w:r>
      <w:r>
        <w:rPr>
          <w:rFonts w:asciiTheme="minorHAnsi" w:hAnsiTheme="minorHAnsi" w:cstheme="minorHAnsi"/>
        </w:rPr>
        <w:t xml:space="preserve"> of </w:t>
      </w:r>
      <w:r w:rsidR="009B3A97">
        <w:rPr>
          <w:rFonts w:asciiTheme="minorHAnsi" w:hAnsiTheme="minorHAnsi" w:cstheme="minorHAnsi"/>
        </w:rPr>
        <w:t xml:space="preserve">paragraph 8 of Annex 3 of </w:t>
      </w:r>
      <w:r>
        <w:rPr>
          <w:rFonts w:asciiTheme="minorHAnsi" w:hAnsiTheme="minorHAnsi" w:cstheme="minorHAnsi"/>
        </w:rPr>
        <w:t>the A</w:t>
      </w:r>
      <w:r w:rsidR="009B3A97">
        <w:rPr>
          <w:rFonts w:asciiTheme="minorHAnsi" w:hAnsiTheme="minorHAnsi" w:cstheme="minorHAnsi"/>
        </w:rPr>
        <w:t xml:space="preserve">greement </w:t>
      </w:r>
      <w:r>
        <w:rPr>
          <w:rFonts w:asciiTheme="minorHAnsi" w:hAnsiTheme="minorHAnsi" w:cstheme="minorHAnsi"/>
        </w:rPr>
        <w:t>o</w:t>
      </w:r>
      <w:r w:rsidR="009B3A97">
        <w:rPr>
          <w:rFonts w:asciiTheme="minorHAnsi" w:hAnsiTheme="minorHAnsi" w:cstheme="minorHAnsi"/>
        </w:rPr>
        <w:t xml:space="preserve">n </w:t>
      </w:r>
      <w:r>
        <w:rPr>
          <w:rFonts w:asciiTheme="minorHAnsi" w:hAnsiTheme="minorHAnsi" w:cstheme="minorHAnsi"/>
        </w:rPr>
        <w:t>A</w:t>
      </w:r>
      <w:r w:rsidR="009B3A97">
        <w:rPr>
          <w:rFonts w:asciiTheme="minorHAnsi" w:hAnsiTheme="minorHAnsi" w:cstheme="minorHAnsi"/>
        </w:rPr>
        <w:t>griculture</w:t>
      </w:r>
      <w:r>
        <w:rPr>
          <w:rFonts w:asciiTheme="minorHAnsi" w:hAnsiTheme="minorHAnsi" w:cstheme="minorHAnsi"/>
        </w:rPr>
        <w:t xml:space="preserve"> rather than being confined to the facts or</w:t>
      </w:r>
      <w:r w:rsidR="009B3A97">
        <w:rPr>
          <w:rFonts w:asciiTheme="minorHAnsi" w:hAnsiTheme="minorHAnsi" w:cstheme="minorHAnsi"/>
        </w:rPr>
        <w:t xml:space="preserve">, as India has </w:t>
      </w:r>
      <w:r w:rsidR="004D5493">
        <w:rPr>
          <w:rFonts w:asciiTheme="minorHAnsi" w:hAnsiTheme="minorHAnsi" w:cstheme="minorHAnsi"/>
        </w:rPr>
        <w:t>claimed</w:t>
      </w:r>
      <w:r w:rsidR="009B3A97">
        <w:rPr>
          <w:rFonts w:asciiTheme="minorHAnsi" w:hAnsiTheme="minorHAnsi" w:cstheme="minorHAnsi"/>
        </w:rPr>
        <w:t>,</w:t>
      </w:r>
      <w:r>
        <w:rPr>
          <w:rFonts w:asciiTheme="minorHAnsi" w:hAnsiTheme="minorHAnsi" w:cstheme="minorHAnsi"/>
        </w:rPr>
        <w:t xml:space="preserve"> </w:t>
      </w:r>
      <w:r w:rsidR="009B3A97">
        <w:rPr>
          <w:rFonts w:asciiTheme="minorHAnsi" w:hAnsiTheme="minorHAnsi" w:cstheme="minorHAnsi"/>
        </w:rPr>
        <w:t xml:space="preserve">to </w:t>
      </w:r>
      <w:r>
        <w:rPr>
          <w:rFonts w:asciiTheme="minorHAnsi" w:hAnsiTheme="minorHAnsi" w:cstheme="minorHAnsi"/>
        </w:rPr>
        <w:t>the specific issue of the meaning of eligible production</w:t>
      </w:r>
      <w:r w:rsidR="009B3A97">
        <w:rPr>
          <w:rFonts w:asciiTheme="minorHAnsi" w:hAnsiTheme="minorHAnsi" w:cstheme="minorHAnsi"/>
        </w:rPr>
        <w:t>.</w:t>
      </w:r>
      <w:r w:rsidR="008D478B">
        <w:rPr>
          <w:rStyle w:val="FootnoteReference"/>
          <w:rFonts w:cstheme="minorHAnsi"/>
        </w:rPr>
        <w:footnoteReference w:id="121"/>
      </w:r>
    </w:p>
    <w:p w14:paraId="6EA8F1B7" w14:textId="4FC6E2B5" w:rsidR="00B6759D" w:rsidRDefault="004D5493" w:rsidP="00B6759D">
      <w:pPr>
        <w:pStyle w:val="ListParagraph"/>
        <w:numPr>
          <w:ilvl w:val="0"/>
          <w:numId w:val="1"/>
        </w:numPr>
        <w:rPr>
          <w:rFonts w:asciiTheme="minorHAnsi" w:hAnsiTheme="minorHAnsi" w:cstheme="minorHAnsi"/>
        </w:rPr>
      </w:pPr>
      <w:r>
        <w:rPr>
          <w:rFonts w:asciiTheme="minorHAnsi" w:hAnsiTheme="minorHAnsi" w:cstheme="minorHAnsi"/>
        </w:rPr>
        <w:t xml:space="preserve">Finally, </w:t>
      </w:r>
      <w:r w:rsidR="00B6759D">
        <w:rPr>
          <w:rFonts w:asciiTheme="minorHAnsi" w:hAnsiTheme="minorHAnsi" w:cstheme="minorHAnsi"/>
        </w:rPr>
        <w:t xml:space="preserve">India </w:t>
      </w:r>
      <w:r>
        <w:rPr>
          <w:rFonts w:asciiTheme="minorHAnsi" w:hAnsiTheme="minorHAnsi" w:cstheme="minorHAnsi"/>
        </w:rPr>
        <w:t xml:space="preserve">argues that </w:t>
      </w:r>
      <w:r w:rsidR="00B6759D">
        <w:rPr>
          <w:rFonts w:asciiTheme="minorHAnsi" w:hAnsiTheme="minorHAnsi" w:cstheme="minorHAnsi"/>
        </w:rPr>
        <w:t>the reference to "governmental purchases" in paragraph</w:t>
      </w:r>
      <w:r w:rsidR="00FF072D">
        <w:rPr>
          <w:rFonts w:asciiTheme="minorHAnsi" w:hAnsiTheme="minorHAnsi" w:cstheme="minorHAnsi"/>
        </w:rPr>
        <w:t> </w:t>
      </w:r>
      <w:r w:rsidR="00B6759D">
        <w:rPr>
          <w:rFonts w:asciiTheme="minorHAnsi" w:hAnsiTheme="minorHAnsi" w:cstheme="minorHAnsi"/>
        </w:rPr>
        <w:t xml:space="preserve">827 </w:t>
      </w:r>
      <w:r>
        <w:rPr>
          <w:rFonts w:asciiTheme="minorHAnsi" w:hAnsiTheme="minorHAnsi" w:cstheme="minorHAnsi"/>
        </w:rPr>
        <w:t xml:space="preserve">of the panel's report "suggests that </w:t>
      </w:r>
      <w:r w:rsidR="00B6759D">
        <w:rPr>
          <w:rFonts w:asciiTheme="minorHAnsi" w:hAnsiTheme="minorHAnsi" w:cstheme="minorHAnsi"/>
        </w:rPr>
        <w:t xml:space="preserve">the panel did not speculate </w:t>
      </w:r>
      <w:r w:rsidR="00985D73">
        <w:rPr>
          <w:rFonts w:asciiTheme="minorHAnsi" w:hAnsiTheme="minorHAnsi" w:cstheme="minorHAnsi"/>
        </w:rPr>
        <w:t xml:space="preserve">about </w:t>
      </w:r>
      <w:r w:rsidR="00B6759D">
        <w:rPr>
          <w:rFonts w:asciiTheme="minorHAnsi" w:hAnsiTheme="minorHAnsi" w:cstheme="minorHAnsi"/>
        </w:rPr>
        <w:t xml:space="preserve">the existence of </w:t>
      </w:r>
      <w:r w:rsidR="006E5217">
        <w:rPr>
          <w:rFonts w:asciiTheme="minorHAnsi" w:hAnsiTheme="minorHAnsi" w:cstheme="minorHAnsi"/>
        </w:rPr>
        <w:t>'</w:t>
      </w:r>
      <w:r w:rsidR="00B6759D">
        <w:rPr>
          <w:rFonts w:asciiTheme="minorHAnsi" w:hAnsiTheme="minorHAnsi" w:cstheme="minorHAnsi"/>
        </w:rPr>
        <w:t>market price support</w:t>
      </w:r>
      <w:r w:rsidR="006E5217">
        <w:rPr>
          <w:rFonts w:asciiTheme="minorHAnsi" w:hAnsiTheme="minorHAnsi" w:cstheme="minorHAnsi"/>
        </w:rPr>
        <w:t>'</w:t>
      </w:r>
      <w:r w:rsidR="00B6759D">
        <w:rPr>
          <w:rFonts w:asciiTheme="minorHAnsi" w:hAnsiTheme="minorHAnsi" w:cstheme="minorHAnsi"/>
        </w:rPr>
        <w:t xml:space="preserve"> where purchases and payments are made by purely private actors which are neither government nor its agents."</w:t>
      </w:r>
      <w:r w:rsidR="00B6759D">
        <w:rPr>
          <w:rStyle w:val="FootnoteReference"/>
          <w:rFonts w:cstheme="minorHAnsi"/>
        </w:rPr>
        <w:footnoteReference w:id="122"/>
      </w:r>
      <w:r w:rsidR="00B6759D">
        <w:rPr>
          <w:rFonts w:asciiTheme="minorHAnsi" w:hAnsiTheme="minorHAnsi" w:cstheme="minorHAnsi"/>
        </w:rPr>
        <w:t xml:space="preserve">  </w:t>
      </w:r>
      <w:r>
        <w:rPr>
          <w:rFonts w:asciiTheme="minorHAnsi" w:hAnsiTheme="minorHAnsi" w:cstheme="minorHAnsi"/>
        </w:rPr>
        <w:t>The panel referred to "governmental purchases" in the context of outlining a hypothetical example of market price support</w:t>
      </w:r>
      <w:r w:rsidR="00E60AAA">
        <w:rPr>
          <w:rFonts w:asciiTheme="minorHAnsi" w:hAnsiTheme="minorHAnsi" w:cstheme="minorHAnsi"/>
        </w:rPr>
        <w:t xml:space="preserve"> involving purchases by "</w:t>
      </w:r>
      <w:r w:rsidR="00B6759D">
        <w:rPr>
          <w:rFonts w:asciiTheme="minorHAnsi" w:hAnsiTheme="minorHAnsi" w:cstheme="minorHAnsi"/>
        </w:rPr>
        <w:t>a governmental intervention agency"</w:t>
      </w:r>
      <w:r w:rsidR="00E60AAA">
        <w:rPr>
          <w:rFonts w:asciiTheme="minorHAnsi" w:hAnsiTheme="minorHAnsi" w:cstheme="minorHAnsi"/>
        </w:rPr>
        <w:t>.</w:t>
      </w:r>
      <w:r w:rsidR="00B6759D">
        <w:rPr>
          <w:rStyle w:val="FootnoteReference"/>
          <w:rFonts w:cstheme="minorHAnsi"/>
        </w:rPr>
        <w:footnoteReference w:id="123"/>
      </w:r>
      <w:r w:rsidR="00B6759D">
        <w:rPr>
          <w:rFonts w:asciiTheme="minorHAnsi" w:hAnsiTheme="minorHAnsi" w:cstheme="minorHAnsi"/>
        </w:rPr>
        <w:t xml:space="preserve">  </w:t>
      </w:r>
      <w:r w:rsidR="008C707E">
        <w:rPr>
          <w:rFonts w:asciiTheme="minorHAnsi" w:hAnsiTheme="minorHAnsi" w:cstheme="minorHAnsi"/>
        </w:rPr>
        <w:t xml:space="preserve">As Australia has already outlined, the panel </w:t>
      </w:r>
      <w:r w:rsidR="003D6303">
        <w:rPr>
          <w:rFonts w:asciiTheme="minorHAnsi" w:hAnsiTheme="minorHAnsi" w:cstheme="minorHAnsi"/>
        </w:rPr>
        <w:t xml:space="preserve">considered that the AMS calculation gauges the </w:t>
      </w:r>
      <w:r w:rsidR="003D6303" w:rsidRPr="00F078A8">
        <w:rPr>
          <w:rFonts w:asciiTheme="minorHAnsi" w:hAnsiTheme="minorHAnsi" w:cstheme="minorHAnsi"/>
          <w:u w:val="single"/>
        </w:rPr>
        <w:t>effect</w:t>
      </w:r>
      <w:r w:rsidR="003D6303">
        <w:rPr>
          <w:rFonts w:asciiTheme="minorHAnsi" w:hAnsiTheme="minorHAnsi" w:cstheme="minorHAnsi"/>
        </w:rPr>
        <w:t xml:space="preserve"> of a measure and</w:t>
      </w:r>
      <w:r w:rsidR="00D046E1">
        <w:rPr>
          <w:rFonts w:asciiTheme="minorHAnsi" w:hAnsiTheme="minorHAnsi" w:cstheme="minorHAnsi"/>
        </w:rPr>
        <w:t xml:space="preserve"> did </w:t>
      </w:r>
      <w:r w:rsidR="008C707E">
        <w:rPr>
          <w:rFonts w:asciiTheme="minorHAnsi" w:hAnsiTheme="minorHAnsi" w:cstheme="minorHAnsi"/>
        </w:rPr>
        <w:t>contemplate that market price support could exist where there are no budgetary payments or cost to government</w:t>
      </w:r>
      <w:r w:rsidR="00B6759D">
        <w:rPr>
          <w:rFonts w:asciiTheme="minorHAnsi" w:hAnsiTheme="minorHAnsi" w:cstheme="minorHAnsi"/>
        </w:rPr>
        <w:t>.</w:t>
      </w:r>
    </w:p>
    <w:p w14:paraId="624DECCB" w14:textId="55BEBD53" w:rsidR="00674EB3" w:rsidRPr="00B6759D" w:rsidRDefault="00F642BE" w:rsidP="00B6759D">
      <w:pPr>
        <w:pStyle w:val="P1-N1Paragraph1-Number1"/>
      </w:pPr>
      <w:r>
        <w:t xml:space="preserve">To conclude, </w:t>
      </w:r>
      <w:r w:rsidR="00B6759D" w:rsidRPr="00C32159">
        <w:t>Australia considers there is no reason to depart from</w:t>
      </w:r>
      <w:r w:rsidR="00B6759D">
        <w:t xml:space="preserve"> the legal interpretation of market price support</w:t>
      </w:r>
      <w:r w:rsidR="00C66A50">
        <w:t>,</w:t>
      </w:r>
      <w:r w:rsidR="00B6759D">
        <w:t xml:space="preserve"> </w:t>
      </w:r>
      <w:r w:rsidR="00C66A50">
        <w:t xml:space="preserve">AAP and eligible production </w:t>
      </w:r>
      <w:r w:rsidR="00B6759D">
        <w:t xml:space="preserve">used by the panels in </w:t>
      </w:r>
      <w:r w:rsidR="00A258ED" w:rsidRPr="009940CD">
        <w:rPr>
          <w:i/>
          <w:iCs/>
        </w:rPr>
        <w:t xml:space="preserve">China – Agricultural Producers </w:t>
      </w:r>
      <w:r w:rsidR="00B6759D">
        <w:t>and</w:t>
      </w:r>
      <w:r w:rsidR="00A258ED" w:rsidRPr="00A258ED">
        <w:rPr>
          <w:i/>
          <w:iCs/>
        </w:rPr>
        <w:t xml:space="preserve"> </w:t>
      </w:r>
      <w:r w:rsidR="00A258ED" w:rsidRPr="009940CD">
        <w:rPr>
          <w:i/>
          <w:iCs/>
        </w:rPr>
        <w:t xml:space="preserve">Korea – </w:t>
      </w:r>
      <w:r w:rsidR="00A258ED">
        <w:rPr>
          <w:i/>
          <w:iCs/>
        </w:rPr>
        <w:t xml:space="preserve">Various Measures on </w:t>
      </w:r>
      <w:r w:rsidR="00A258ED" w:rsidRPr="009940CD">
        <w:rPr>
          <w:i/>
          <w:iCs/>
        </w:rPr>
        <w:t>Beef</w:t>
      </w:r>
      <w:r w:rsidR="00B6759D" w:rsidRPr="003D6303">
        <w:t>.</w:t>
      </w:r>
      <w:r w:rsidR="003D6303">
        <w:t xml:space="preserve"> </w:t>
      </w:r>
      <w:r w:rsidR="00B6759D">
        <w:rPr>
          <w:i/>
          <w:iCs/>
        </w:rPr>
        <w:t xml:space="preserve"> </w:t>
      </w:r>
      <w:r w:rsidR="00B6759D" w:rsidRPr="00351D6F">
        <w:t>The consistent interpretation of the Agreement o</w:t>
      </w:r>
      <w:r w:rsidR="0045555C">
        <w:t>n</w:t>
      </w:r>
      <w:r w:rsidR="00B6759D" w:rsidRPr="00351D6F">
        <w:t xml:space="preserve"> Agriculture in different factual context</w:t>
      </w:r>
      <w:r w:rsidR="00985D73">
        <w:t>s</w:t>
      </w:r>
      <w:r w:rsidR="00B6759D">
        <w:rPr>
          <w:i/>
          <w:iCs/>
        </w:rPr>
        <w:t xml:space="preserve"> </w:t>
      </w:r>
      <w:r w:rsidR="00B6759D" w:rsidRPr="00C32159">
        <w:t>provides predictability and security for the Membership in upholding their WTO obligations.</w:t>
      </w:r>
      <w:r w:rsidR="00B6759D">
        <w:rPr>
          <w:rStyle w:val="FootnoteReference"/>
        </w:rPr>
        <w:footnoteReference w:id="124"/>
      </w:r>
      <w:r w:rsidR="00B6759D">
        <w:t xml:space="preserve">  India is effectively arguing that </w:t>
      </w:r>
      <w:r w:rsidR="00B6759D" w:rsidRPr="005E6ECB">
        <w:rPr>
          <w:u w:val="single"/>
        </w:rPr>
        <w:t>any</w:t>
      </w:r>
      <w:r w:rsidR="00B6759D">
        <w:t xml:space="preserve"> differences in the facts considered by prior panels renders all of the panels' reasoning inapplicable or irrelevant.  Such an approach would greatly increase uncertainty for Members with respect to their obligations under the covered agreements.</w:t>
      </w:r>
    </w:p>
    <w:p w14:paraId="62821690" w14:textId="77777777" w:rsidR="00CD11D0" w:rsidRDefault="0046434C" w:rsidP="00CD11D0">
      <w:pPr>
        <w:pStyle w:val="HL2HeadingLevel2"/>
      </w:pPr>
      <w:bookmarkStart w:id="38" w:name="_Toc63966829"/>
      <w:r>
        <w:t>Conclusion</w:t>
      </w:r>
      <w:bookmarkEnd w:id="38"/>
    </w:p>
    <w:p w14:paraId="33A884F4" w14:textId="45E1E9E9" w:rsidR="00CD11D0" w:rsidRPr="00135932" w:rsidRDefault="00E82A86" w:rsidP="00CD11D0">
      <w:pPr>
        <w:pStyle w:val="P1-N1Paragraph1-Number1"/>
      </w:pPr>
      <w:r w:rsidRPr="00135932">
        <w:t xml:space="preserve">There are no </w:t>
      </w:r>
      <w:r w:rsidR="00E22256" w:rsidRPr="00135932">
        <w:t xml:space="preserve">contested </w:t>
      </w:r>
      <w:r w:rsidRPr="00135932">
        <w:t xml:space="preserve">factual matters that would have a bearing on the </w:t>
      </w:r>
      <w:r w:rsidR="00E22256" w:rsidRPr="00135932">
        <w:t xml:space="preserve">calculation </w:t>
      </w:r>
      <w:r w:rsidRPr="00135932">
        <w:t xml:space="preserve">of India's domestic support </w:t>
      </w:r>
      <w:r w:rsidR="00667DE2">
        <w:t>in favour of</w:t>
      </w:r>
      <w:r w:rsidRPr="00135932">
        <w:t xml:space="preserve"> sugarcane </w:t>
      </w:r>
      <w:r w:rsidR="00667DE2">
        <w:t xml:space="preserve">producers </w:t>
      </w:r>
      <w:r w:rsidRPr="00135932">
        <w:t>in the relevant sugar seasons.  India's FRP and SAP measures constitute market price support</w:t>
      </w:r>
      <w:r w:rsidR="0063304C">
        <w:t>.  Australia requests</w:t>
      </w:r>
      <w:r w:rsidRPr="00135932">
        <w:t xml:space="preserve"> the Panel reject India's </w:t>
      </w:r>
      <w:r w:rsidR="00E22256" w:rsidRPr="00135932">
        <w:t>argument</w:t>
      </w:r>
      <w:r w:rsidRPr="00135932">
        <w:t xml:space="preserve"> that they </w:t>
      </w:r>
      <w:r w:rsidR="00985D73">
        <w:t>do</w:t>
      </w:r>
      <w:r w:rsidRPr="00135932">
        <w:t xml:space="preserve"> not. </w:t>
      </w:r>
    </w:p>
    <w:p w14:paraId="63015B08" w14:textId="77777777" w:rsidR="006C642E" w:rsidRDefault="006C642E" w:rsidP="006C642E">
      <w:pPr>
        <w:pStyle w:val="HL1HeadingLevel1"/>
      </w:pPr>
      <w:bookmarkStart w:id="39" w:name="_Toc63966830"/>
      <w:r>
        <w:t>INDIA'S EXPORT SUBSIDIES FOR SUGAR ARE INCON</w:t>
      </w:r>
      <w:r w:rsidR="00A33E60">
        <w:t>sis</w:t>
      </w:r>
      <w:r>
        <w:t>TENT WITH ITS OBLIGATIONS UNDER THE AGREEMENT ON AGRICULTURE AND THE SCM AGREEMENT</w:t>
      </w:r>
      <w:bookmarkEnd w:id="39"/>
    </w:p>
    <w:p w14:paraId="37480916" w14:textId="77777777" w:rsidR="009D14F3" w:rsidRPr="009D14F3" w:rsidRDefault="00BC3060" w:rsidP="009D14F3">
      <w:pPr>
        <w:pStyle w:val="P1-N1Paragraph1-Number1"/>
      </w:pPr>
      <w:r w:rsidRPr="00BC3060">
        <w:t xml:space="preserve"> </w:t>
      </w:r>
      <w:r w:rsidR="009D14F3" w:rsidRPr="009D14F3">
        <w:t xml:space="preserve">Australia has established that India's export subsidies for sugar – provided through its production subsidies, buffer stock subsidies, MAEQ scheme and DFIA scheme – violate its obligations under both the Agreement on Agriculture and the SCM Agreement.  </w:t>
      </w:r>
    </w:p>
    <w:p w14:paraId="619160CA" w14:textId="00ED938A" w:rsidR="009D14F3" w:rsidRPr="009D14F3" w:rsidRDefault="009D14F3" w:rsidP="009D14F3">
      <w:pPr>
        <w:numPr>
          <w:ilvl w:val="0"/>
          <w:numId w:val="1"/>
        </w:numPr>
      </w:pPr>
      <w:r w:rsidRPr="009D14F3">
        <w:t xml:space="preserve">India's defences of these measures rely on flawed interpretations of applicable legal standards that find no support in the text of the Agreement on Agriculture or the SCM Agreement, and unsubstantiated factual characterisations of </w:t>
      </w:r>
      <w:r w:rsidR="00D75F2C">
        <w:t>certain</w:t>
      </w:r>
      <w:r w:rsidR="00D75F2C" w:rsidRPr="009D14F3">
        <w:t xml:space="preserve"> </w:t>
      </w:r>
      <w:r w:rsidRPr="009D14F3">
        <w:t xml:space="preserve">measures' design, structure and operation. </w:t>
      </w:r>
    </w:p>
    <w:p w14:paraId="213B1062" w14:textId="15AEFF9D" w:rsidR="009D14F3" w:rsidRPr="009D14F3" w:rsidRDefault="009D14F3" w:rsidP="009D14F3">
      <w:pPr>
        <w:numPr>
          <w:ilvl w:val="0"/>
          <w:numId w:val="1"/>
        </w:numPr>
      </w:pPr>
      <w:r w:rsidRPr="009D14F3">
        <w:t xml:space="preserve">In the </w:t>
      </w:r>
      <w:r w:rsidR="006E5217">
        <w:t>following</w:t>
      </w:r>
      <w:r w:rsidRPr="009D14F3">
        <w:t xml:space="preserve"> Sections</w:t>
      </w:r>
      <w:r w:rsidR="006E5217">
        <w:t> </w:t>
      </w:r>
      <w:r w:rsidR="006E5217">
        <w:fldChar w:fldCharType="begin"/>
      </w:r>
      <w:r w:rsidR="006E5217">
        <w:instrText xml:space="preserve"> REF _Ref63861867 \w \h </w:instrText>
      </w:r>
      <w:r w:rsidR="006E5217">
        <w:fldChar w:fldCharType="separate"/>
      </w:r>
      <w:r w:rsidR="00FF2871">
        <w:t>III.A</w:t>
      </w:r>
      <w:r w:rsidR="006E5217">
        <w:fldChar w:fldCharType="end"/>
      </w:r>
      <w:r w:rsidR="006E5217">
        <w:t xml:space="preserve"> to </w:t>
      </w:r>
      <w:r w:rsidR="006E5217">
        <w:fldChar w:fldCharType="begin"/>
      </w:r>
      <w:r w:rsidR="006E5217">
        <w:instrText xml:space="preserve"> REF _Ref63861877 \w \h </w:instrText>
      </w:r>
      <w:r w:rsidR="006E5217">
        <w:fldChar w:fldCharType="separate"/>
      </w:r>
      <w:r w:rsidR="00FF2871">
        <w:t>III.D</w:t>
      </w:r>
      <w:r w:rsidR="006E5217">
        <w:fldChar w:fldCharType="end"/>
      </w:r>
      <w:r w:rsidRPr="009D14F3">
        <w:t xml:space="preserve">, Australia explains in detail why the Panel should reject India's arguments in defence of these measures.  </w:t>
      </w:r>
    </w:p>
    <w:p w14:paraId="71F041C3" w14:textId="0840F691" w:rsidR="009D14F3" w:rsidRPr="009D14F3" w:rsidRDefault="009D14F3" w:rsidP="009D14F3">
      <w:pPr>
        <w:keepNext/>
        <w:keepLines/>
        <w:numPr>
          <w:ilvl w:val="1"/>
          <w:numId w:val="2"/>
        </w:numPr>
        <w:outlineLvl w:val="1"/>
        <w:rPr>
          <w:rFonts w:eastAsiaTheme="majorEastAsia" w:cstheme="majorBidi"/>
          <w:b/>
          <w:smallCaps/>
          <w:sz w:val="28"/>
          <w:szCs w:val="26"/>
        </w:rPr>
      </w:pPr>
      <w:bookmarkStart w:id="40" w:name="_Toc63347233"/>
      <w:bookmarkStart w:id="41" w:name="_Toc63353068"/>
      <w:bookmarkStart w:id="42" w:name="_Toc63353403"/>
      <w:bookmarkStart w:id="43" w:name="_Toc63353614"/>
      <w:bookmarkStart w:id="44" w:name="_Toc63347235"/>
      <w:bookmarkStart w:id="45" w:name="_Toc63353070"/>
      <w:bookmarkStart w:id="46" w:name="_Toc63353405"/>
      <w:bookmarkStart w:id="47" w:name="_Toc63353616"/>
      <w:bookmarkStart w:id="48" w:name="_Toc63347236"/>
      <w:bookmarkStart w:id="49" w:name="_Toc63353071"/>
      <w:bookmarkStart w:id="50" w:name="_Toc63353406"/>
      <w:bookmarkStart w:id="51" w:name="_Toc63353617"/>
      <w:bookmarkStart w:id="52" w:name="_Toc63347237"/>
      <w:bookmarkStart w:id="53" w:name="_Toc63353072"/>
      <w:bookmarkStart w:id="54" w:name="_Toc63353407"/>
      <w:bookmarkStart w:id="55" w:name="_Toc63353618"/>
      <w:bookmarkStart w:id="56" w:name="_Toc63347238"/>
      <w:bookmarkStart w:id="57" w:name="_Toc63353073"/>
      <w:bookmarkStart w:id="58" w:name="_Toc63353408"/>
      <w:bookmarkStart w:id="59" w:name="_Toc63353619"/>
      <w:bookmarkStart w:id="60" w:name="_Toc63347239"/>
      <w:bookmarkStart w:id="61" w:name="_Toc63353074"/>
      <w:bookmarkStart w:id="62" w:name="_Toc63353409"/>
      <w:bookmarkStart w:id="63" w:name="_Toc63353620"/>
      <w:bookmarkStart w:id="64" w:name="_Toc63797003"/>
      <w:bookmarkStart w:id="65" w:name="_Ref63861867"/>
      <w:bookmarkStart w:id="66" w:name="_Toc63966831"/>
      <w:bookmarkStart w:id="67" w:name="_Toc6335362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9D14F3">
        <w:rPr>
          <w:rFonts w:eastAsiaTheme="majorEastAsia" w:cstheme="majorBidi"/>
          <w:b/>
          <w:smallCaps/>
          <w:sz w:val="28"/>
          <w:szCs w:val="26"/>
        </w:rPr>
        <w:t xml:space="preserve">India </w:t>
      </w:r>
      <w:r w:rsidR="000B468D">
        <w:rPr>
          <w:rFonts w:eastAsiaTheme="majorEastAsia" w:cstheme="majorBidi"/>
          <w:b/>
          <w:smallCaps/>
          <w:sz w:val="28"/>
          <w:szCs w:val="26"/>
        </w:rPr>
        <w:t>p</w:t>
      </w:r>
      <w:r w:rsidRPr="009D14F3">
        <w:rPr>
          <w:rFonts w:eastAsiaTheme="majorEastAsia" w:cstheme="majorBidi"/>
          <w:b/>
          <w:smallCaps/>
          <w:sz w:val="28"/>
          <w:szCs w:val="26"/>
        </w:rPr>
        <w:t>rovides "</w:t>
      </w:r>
      <w:r w:rsidR="000B468D">
        <w:rPr>
          <w:rFonts w:eastAsiaTheme="majorEastAsia" w:cstheme="majorBidi"/>
          <w:b/>
          <w:smallCaps/>
          <w:sz w:val="28"/>
          <w:szCs w:val="26"/>
        </w:rPr>
        <w:t>d</w:t>
      </w:r>
      <w:r w:rsidRPr="009D14F3">
        <w:rPr>
          <w:rFonts w:eastAsiaTheme="majorEastAsia" w:cstheme="majorBidi"/>
          <w:b/>
          <w:smallCaps/>
          <w:sz w:val="28"/>
          <w:szCs w:val="26"/>
        </w:rPr>
        <w:t xml:space="preserve">irect </w:t>
      </w:r>
      <w:r w:rsidR="000B468D">
        <w:rPr>
          <w:rFonts w:eastAsiaTheme="majorEastAsia" w:cstheme="majorBidi"/>
          <w:b/>
          <w:smallCaps/>
          <w:sz w:val="28"/>
          <w:szCs w:val="26"/>
        </w:rPr>
        <w:t>s</w:t>
      </w:r>
      <w:r w:rsidRPr="009D14F3">
        <w:rPr>
          <w:rFonts w:eastAsiaTheme="majorEastAsia" w:cstheme="majorBidi"/>
          <w:b/>
          <w:smallCaps/>
          <w:sz w:val="28"/>
          <w:szCs w:val="26"/>
        </w:rPr>
        <w:t>ubsidies" that are "</w:t>
      </w:r>
      <w:r w:rsidR="000B468D">
        <w:rPr>
          <w:rFonts w:eastAsiaTheme="majorEastAsia" w:cstheme="majorBidi"/>
          <w:b/>
          <w:smallCaps/>
          <w:sz w:val="28"/>
          <w:szCs w:val="26"/>
        </w:rPr>
        <w:t>c</w:t>
      </w:r>
      <w:r w:rsidRPr="009D14F3">
        <w:rPr>
          <w:rFonts w:eastAsiaTheme="majorEastAsia" w:cstheme="majorBidi"/>
          <w:b/>
          <w:smallCaps/>
          <w:sz w:val="28"/>
          <w:szCs w:val="26"/>
        </w:rPr>
        <w:t xml:space="preserve">ontingent on </w:t>
      </w:r>
      <w:r w:rsidR="000B468D">
        <w:rPr>
          <w:rFonts w:eastAsiaTheme="majorEastAsia" w:cstheme="majorBidi"/>
          <w:b/>
          <w:smallCaps/>
          <w:sz w:val="28"/>
          <w:szCs w:val="26"/>
        </w:rPr>
        <w:t>e</w:t>
      </w:r>
      <w:r w:rsidRPr="009D14F3">
        <w:rPr>
          <w:rFonts w:eastAsiaTheme="majorEastAsia" w:cstheme="majorBidi"/>
          <w:b/>
          <w:smallCaps/>
          <w:sz w:val="28"/>
          <w:szCs w:val="26"/>
        </w:rPr>
        <w:t xml:space="preserve">xport </w:t>
      </w:r>
      <w:r w:rsidR="000B468D">
        <w:rPr>
          <w:rFonts w:eastAsiaTheme="majorEastAsia" w:cstheme="majorBidi"/>
          <w:b/>
          <w:smallCaps/>
          <w:sz w:val="28"/>
          <w:szCs w:val="26"/>
        </w:rPr>
        <w:t>p</w:t>
      </w:r>
      <w:r w:rsidRPr="009D14F3">
        <w:rPr>
          <w:rFonts w:eastAsiaTheme="majorEastAsia" w:cstheme="majorBidi"/>
          <w:b/>
          <w:smallCaps/>
          <w:sz w:val="28"/>
          <w:szCs w:val="26"/>
        </w:rPr>
        <w:t xml:space="preserve">erformance" within the </w:t>
      </w:r>
      <w:r w:rsidR="000B468D">
        <w:rPr>
          <w:rFonts w:eastAsiaTheme="majorEastAsia" w:cstheme="majorBidi"/>
          <w:b/>
          <w:smallCaps/>
          <w:sz w:val="28"/>
          <w:szCs w:val="26"/>
        </w:rPr>
        <w:t>m</w:t>
      </w:r>
      <w:r w:rsidRPr="009D14F3">
        <w:rPr>
          <w:rFonts w:eastAsiaTheme="majorEastAsia" w:cstheme="majorBidi"/>
          <w:b/>
          <w:smallCaps/>
          <w:sz w:val="28"/>
          <w:szCs w:val="26"/>
        </w:rPr>
        <w:t>eaning of Article 9.1(a) of the Agreement on Agriculture</w:t>
      </w:r>
      <w:bookmarkEnd w:id="64"/>
      <w:bookmarkEnd w:id="65"/>
      <w:bookmarkEnd w:id="66"/>
      <w:r w:rsidRPr="009D14F3">
        <w:rPr>
          <w:rFonts w:eastAsiaTheme="majorEastAsia" w:cstheme="majorBidi"/>
          <w:b/>
          <w:smallCaps/>
          <w:sz w:val="28"/>
          <w:szCs w:val="26"/>
        </w:rPr>
        <w:t xml:space="preserve"> </w:t>
      </w:r>
      <w:bookmarkEnd w:id="67"/>
    </w:p>
    <w:p w14:paraId="2917BE97" w14:textId="1171FD56" w:rsidR="009D14F3" w:rsidRPr="009D14F3" w:rsidRDefault="009D14F3" w:rsidP="009D14F3">
      <w:pPr>
        <w:numPr>
          <w:ilvl w:val="0"/>
          <w:numId w:val="1"/>
        </w:numPr>
      </w:pPr>
      <w:r w:rsidRPr="009D14F3">
        <w:t>India’s export subsidies to sugar producers are inconsistent with its obligations under both the Agreement on Agriculture and the SCM Agreement.  Australia begins its analysis with the Agreement on Agriculture because, to the extent of any conflict between the two agreements, the Agreement on Agriculture prevails.</w:t>
      </w:r>
      <w:r w:rsidRPr="009D14F3">
        <w:rPr>
          <w:vertAlign w:val="superscript"/>
        </w:rPr>
        <w:footnoteReference w:id="125"/>
      </w:r>
      <w:r w:rsidRPr="009D14F3">
        <w:t xml:space="preserve"> India </w:t>
      </w:r>
      <w:r w:rsidR="00AB0985">
        <w:t>acknowledges</w:t>
      </w:r>
      <w:r w:rsidRPr="009D14F3">
        <w:t xml:space="preserve"> the hierarchy between the two </w:t>
      </w:r>
      <w:r w:rsidR="00E03C85">
        <w:t>A</w:t>
      </w:r>
      <w:r w:rsidRPr="009D14F3">
        <w:t>greements.</w:t>
      </w:r>
      <w:r w:rsidRPr="009D14F3">
        <w:rPr>
          <w:vertAlign w:val="superscript"/>
        </w:rPr>
        <w:footnoteReference w:id="126"/>
      </w:r>
      <w:r w:rsidRPr="009D14F3">
        <w:t xml:space="preserve">  </w:t>
      </w:r>
    </w:p>
    <w:p w14:paraId="0EF77E4D" w14:textId="77777777" w:rsidR="009D14F3" w:rsidRPr="009D14F3" w:rsidRDefault="009D14F3" w:rsidP="009D14F3">
      <w:pPr>
        <w:numPr>
          <w:ilvl w:val="0"/>
          <w:numId w:val="1"/>
        </w:numPr>
      </w:pPr>
      <w:r w:rsidRPr="009D14F3">
        <w:t>India's export subsidies are inconsistent with its obligations under the Agreement on Agriculture, pursuant to which India has committed:</w:t>
      </w:r>
    </w:p>
    <w:p w14:paraId="47B50279" w14:textId="77777777" w:rsidR="009D14F3" w:rsidRPr="009D14F3" w:rsidRDefault="009D14F3" w:rsidP="009D14F3">
      <w:pPr>
        <w:numPr>
          <w:ilvl w:val="1"/>
          <w:numId w:val="1"/>
        </w:numPr>
        <w:spacing w:after="120"/>
      </w:pPr>
      <w:r w:rsidRPr="009D14F3">
        <w:t>not to provide export subsidies to agricultural producers otherwise than in conformity with the Agreement and Part IV of its Schedule;</w:t>
      </w:r>
      <w:r w:rsidRPr="009D14F3">
        <w:rPr>
          <w:vertAlign w:val="superscript"/>
        </w:rPr>
        <w:footnoteReference w:id="127"/>
      </w:r>
      <w:r w:rsidRPr="009D14F3">
        <w:t xml:space="preserve"> </w:t>
      </w:r>
    </w:p>
    <w:p w14:paraId="062CC622" w14:textId="77777777" w:rsidR="009D14F3" w:rsidRPr="009D14F3" w:rsidRDefault="009D14F3" w:rsidP="009D14F3">
      <w:pPr>
        <w:numPr>
          <w:ilvl w:val="1"/>
          <w:numId w:val="1"/>
        </w:numPr>
        <w:spacing w:after="120"/>
      </w:pPr>
      <w:r w:rsidRPr="009D14F3">
        <w:t>not to provide export subsidies of the types listed in Article 9.1 in excess of the reduction commitments in Section II, Part IV of its Schedule;</w:t>
      </w:r>
    </w:p>
    <w:p w14:paraId="7EB9C896" w14:textId="4CF73395" w:rsidR="009D14F3" w:rsidRPr="009D14F3" w:rsidRDefault="009D14F3" w:rsidP="009D14F3">
      <w:pPr>
        <w:numPr>
          <w:ilvl w:val="1"/>
          <w:numId w:val="1"/>
        </w:numPr>
        <w:spacing w:after="120"/>
      </w:pPr>
      <w:r w:rsidRPr="009D14F3">
        <w:t xml:space="preserve">for </w:t>
      </w:r>
      <w:r w:rsidRPr="009D14F3">
        <w:rPr>
          <w:u w:val="single"/>
        </w:rPr>
        <w:t>unscheduled</w:t>
      </w:r>
      <w:r w:rsidRPr="009D14F3">
        <w:t xml:space="preserve"> agricultural products, to comply with </w:t>
      </w:r>
      <w:r w:rsidR="00D75F2C">
        <w:t>the</w:t>
      </w:r>
      <w:r w:rsidRPr="009D14F3">
        <w:t xml:space="preserve"> general prohibition on Article 9.1 subsidies;</w:t>
      </w:r>
      <w:r w:rsidRPr="009D14F3">
        <w:rPr>
          <w:vertAlign w:val="superscript"/>
        </w:rPr>
        <w:footnoteReference w:id="128"/>
      </w:r>
      <w:r w:rsidRPr="009D14F3">
        <w:t xml:space="preserve"> and</w:t>
      </w:r>
    </w:p>
    <w:p w14:paraId="38511236" w14:textId="77777777" w:rsidR="009D14F3" w:rsidRPr="009D14F3" w:rsidRDefault="009D14F3" w:rsidP="009D14F3">
      <w:pPr>
        <w:numPr>
          <w:ilvl w:val="1"/>
          <w:numId w:val="1"/>
        </w:numPr>
        <w:spacing w:after="120"/>
      </w:pPr>
      <w:r w:rsidRPr="009D14F3">
        <w:t xml:space="preserve">not to use export subsidies of kinds </w:t>
      </w:r>
      <w:r w:rsidRPr="009D14F3">
        <w:rPr>
          <w:u w:val="single"/>
        </w:rPr>
        <w:t>not</w:t>
      </w:r>
      <w:r w:rsidRPr="009D14F3">
        <w:t xml:space="preserve"> listed in Article 9.1 in a manner that circumvents its reduction commitments, or threatens to do so.</w:t>
      </w:r>
      <w:r w:rsidRPr="009D14F3">
        <w:rPr>
          <w:vertAlign w:val="superscript"/>
        </w:rPr>
        <w:footnoteReference w:id="129"/>
      </w:r>
    </w:p>
    <w:p w14:paraId="193474DD" w14:textId="66FDD7DE" w:rsidR="009D14F3" w:rsidRPr="009D14F3" w:rsidRDefault="009D14F3" w:rsidP="009D14F3">
      <w:pPr>
        <w:numPr>
          <w:ilvl w:val="0"/>
          <w:numId w:val="1"/>
        </w:numPr>
      </w:pPr>
      <w:r w:rsidRPr="009D14F3">
        <w:t>India agrees with the relevant disciplines and accepts that its Schedule contains no export subsidy reduction commitments with respect to sugar.</w:t>
      </w:r>
      <w:r w:rsidRPr="009D14F3">
        <w:rPr>
          <w:vertAlign w:val="superscript"/>
        </w:rPr>
        <w:footnoteReference w:id="130"/>
      </w:r>
      <w:r w:rsidRPr="009D14F3">
        <w:t xml:space="preserve">  Sugar is, therefore, an unscheduled agricultural product for India attracting </w:t>
      </w:r>
      <w:r w:rsidR="00D75F2C">
        <w:t>the</w:t>
      </w:r>
      <w:r w:rsidR="00D75F2C" w:rsidRPr="009D14F3">
        <w:t xml:space="preserve"> </w:t>
      </w:r>
      <w:r w:rsidRPr="009D14F3">
        <w:t xml:space="preserve">general prohibition on Article 9.1 export subsidies.  </w:t>
      </w:r>
    </w:p>
    <w:p w14:paraId="0C74148F" w14:textId="5D107A19" w:rsidR="009D14F3" w:rsidRPr="009D14F3" w:rsidRDefault="009D14F3" w:rsidP="009D14F3">
      <w:pPr>
        <w:numPr>
          <w:ilvl w:val="0"/>
          <w:numId w:val="1"/>
        </w:numPr>
      </w:pPr>
      <w:r w:rsidRPr="009D14F3">
        <w:t xml:space="preserve">In </w:t>
      </w:r>
      <w:r w:rsidR="0063304C">
        <w:t>response to</w:t>
      </w:r>
      <w:r w:rsidRPr="009D14F3">
        <w:t xml:space="preserve"> Australia's </w:t>
      </w:r>
      <w:r w:rsidR="004E53C8">
        <w:t>claims</w:t>
      </w:r>
      <w:r w:rsidRPr="009D14F3">
        <w:t xml:space="preserve"> that </w:t>
      </w:r>
      <w:r w:rsidR="0063304C">
        <w:t>India's</w:t>
      </w:r>
      <w:r w:rsidR="0063304C" w:rsidRPr="009D14F3">
        <w:t xml:space="preserve"> </w:t>
      </w:r>
      <w:r w:rsidRPr="009D14F3">
        <w:t xml:space="preserve">production and buffer stock subsidies and MAEQ scheme are "direct subsidies" within the meaning of Article 9.1(a), India argues that the relevant measures do not satisfy the legal standard against which the existence of an Article 9.1(a) subsidy must be assessed.  </w:t>
      </w:r>
    </w:p>
    <w:p w14:paraId="5C45765B" w14:textId="5297193E" w:rsidR="009D14F3" w:rsidRPr="009D14F3" w:rsidRDefault="009D14F3" w:rsidP="009D14F3">
      <w:pPr>
        <w:numPr>
          <w:ilvl w:val="0"/>
          <w:numId w:val="1"/>
        </w:numPr>
      </w:pPr>
      <w:r w:rsidRPr="009D14F3">
        <w:t>Australia begins by recalling that legal standard, then explains why India's measures satisfy it</w:t>
      </w:r>
      <w:r w:rsidR="000058D1">
        <w:t>,</w:t>
      </w:r>
      <w:r w:rsidRPr="009D14F3">
        <w:t xml:space="preserve"> and lastly rebuts India's mischaracterisation of a key element of the standard, namely the existence of "direct subsidies."    </w:t>
      </w:r>
    </w:p>
    <w:p w14:paraId="6FDA7B0A" w14:textId="4DD15C8B" w:rsidR="009D14F3" w:rsidRPr="009D14F3" w:rsidRDefault="009D14F3" w:rsidP="009D14F3">
      <w:pPr>
        <w:keepNext/>
        <w:keepLines/>
        <w:numPr>
          <w:ilvl w:val="2"/>
          <w:numId w:val="2"/>
        </w:numPr>
        <w:outlineLvl w:val="2"/>
        <w:rPr>
          <w:rFonts w:eastAsiaTheme="majorEastAsia" w:cstheme="majorBidi"/>
          <w:b/>
        </w:rPr>
      </w:pPr>
      <w:bookmarkStart w:id="68" w:name="_Toc63353624"/>
      <w:bookmarkStart w:id="69" w:name="_Toc63797004"/>
      <w:bookmarkStart w:id="70" w:name="_Toc63966832"/>
      <w:r w:rsidRPr="009D14F3">
        <w:rPr>
          <w:rFonts w:eastAsiaTheme="majorEastAsia" w:cstheme="majorBidi"/>
          <w:b/>
        </w:rPr>
        <w:t xml:space="preserve">Legal standard </w:t>
      </w:r>
      <w:r w:rsidR="00D75F2C">
        <w:rPr>
          <w:rFonts w:eastAsiaTheme="majorEastAsia" w:cstheme="majorBidi"/>
          <w:b/>
        </w:rPr>
        <w:t xml:space="preserve">applicable </w:t>
      </w:r>
      <w:r w:rsidRPr="009D14F3">
        <w:rPr>
          <w:rFonts w:eastAsiaTheme="majorEastAsia" w:cstheme="majorBidi"/>
          <w:b/>
        </w:rPr>
        <w:t>under Article 9.1(a)</w:t>
      </w:r>
      <w:bookmarkEnd w:id="68"/>
      <w:bookmarkEnd w:id="69"/>
      <w:bookmarkEnd w:id="70"/>
    </w:p>
    <w:p w14:paraId="2BAF23BF" w14:textId="57F3F27B" w:rsidR="009D14F3" w:rsidRPr="009D14F3" w:rsidRDefault="00D75F2C" w:rsidP="009D14F3">
      <w:pPr>
        <w:numPr>
          <w:ilvl w:val="0"/>
          <w:numId w:val="1"/>
        </w:numPr>
      </w:pPr>
      <w:r>
        <w:t xml:space="preserve">The Agreement on Agriculture defines </w:t>
      </w:r>
      <w:r w:rsidR="009D14F3" w:rsidRPr="009D14F3">
        <w:t>"</w:t>
      </w:r>
      <w:r>
        <w:t>e</w:t>
      </w:r>
      <w:r w:rsidRPr="009D14F3">
        <w:t xml:space="preserve">xport </w:t>
      </w:r>
      <w:r w:rsidR="009D14F3" w:rsidRPr="009D14F3">
        <w:t xml:space="preserve">subsidies" </w:t>
      </w:r>
      <w:r>
        <w:t>as</w:t>
      </w:r>
      <w:r w:rsidR="009D14F3" w:rsidRPr="009D14F3">
        <w:t xml:space="preserve"> subsidies "contingent on export performance", including the practices listed in Article 9.1.</w:t>
      </w:r>
      <w:r w:rsidR="009D14F3" w:rsidRPr="009D14F3">
        <w:rPr>
          <w:vertAlign w:val="superscript"/>
        </w:rPr>
        <w:footnoteReference w:id="131"/>
      </w:r>
      <w:r w:rsidR="009D14F3" w:rsidRPr="009D14F3">
        <w:t xml:space="preserve"> </w:t>
      </w:r>
    </w:p>
    <w:p w14:paraId="78FB2CA0" w14:textId="1AF961B6" w:rsidR="009D14F3" w:rsidRPr="009D14F3" w:rsidRDefault="009D14F3" w:rsidP="009D14F3">
      <w:pPr>
        <w:numPr>
          <w:ilvl w:val="0"/>
          <w:numId w:val="1"/>
        </w:numPr>
      </w:pPr>
      <w:r w:rsidRPr="009D14F3">
        <w:t xml:space="preserve">An export subsidy falling within Article 9.1(a) takes the following form. </w:t>
      </w:r>
      <w:r w:rsidR="00EC49A5">
        <w:t xml:space="preserve"> </w:t>
      </w:r>
      <w:r w:rsidRPr="009D14F3">
        <w:rPr>
          <w:u w:val="single"/>
        </w:rPr>
        <w:t>First</w:t>
      </w:r>
      <w:r w:rsidRPr="009D14F3">
        <w:t xml:space="preserve">, it involves "direct subsidies", entailing a transfer of economic resources (or revenue foregone) between a grantor and </w:t>
      </w:r>
      <w:r w:rsidR="00D27B97">
        <w:t xml:space="preserve">a </w:t>
      </w:r>
      <w:r w:rsidRPr="009D14F3">
        <w:t>recipient, for less than full consideration.</w:t>
      </w:r>
      <w:r w:rsidRPr="009D14F3">
        <w:rPr>
          <w:vertAlign w:val="superscript"/>
        </w:rPr>
        <w:footnoteReference w:id="132"/>
      </w:r>
      <w:r w:rsidRPr="009D14F3">
        <w:t xml:space="preserve">  </w:t>
      </w:r>
      <w:r w:rsidRPr="009D14F3">
        <w:rPr>
          <w:u w:val="single"/>
        </w:rPr>
        <w:t>Second</w:t>
      </w:r>
      <w:r w:rsidRPr="009D14F3">
        <w:t xml:space="preserve">, a government or </w:t>
      </w:r>
      <w:r w:rsidR="00D75F2C">
        <w:t>its</w:t>
      </w:r>
      <w:r w:rsidR="00D75F2C" w:rsidRPr="009D14F3">
        <w:t xml:space="preserve"> agenc</w:t>
      </w:r>
      <w:r w:rsidR="00D75F2C">
        <w:t>ies</w:t>
      </w:r>
      <w:r w:rsidRPr="009D14F3">
        <w:t xml:space="preserve"> must provide the subsidy.</w:t>
      </w:r>
      <w:r w:rsidRPr="009D14F3">
        <w:rPr>
          <w:vertAlign w:val="superscript"/>
        </w:rPr>
        <w:footnoteReference w:id="133"/>
      </w:r>
      <w:r w:rsidRPr="009D14F3">
        <w:t xml:space="preserve">  </w:t>
      </w:r>
      <w:r w:rsidRPr="009D14F3">
        <w:rPr>
          <w:u w:val="single"/>
        </w:rPr>
        <w:t>Third</w:t>
      </w:r>
      <w:r w:rsidRPr="009D14F3">
        <w:t xml:space="preserve">, its recipients must be among those in the broad but exhaustive list </w:t>
      </w:r>
      <w:r w:rsidR="000058D1">
        <w:t xml:space="preserve">that </w:t>
      </w:r>
      <w:r w:rsidRPr="009D14F3">
        <w:t>the Article identifies.</w:t>
      </w:r>
      <w:r w:rsidRPr="009D14F3">
        <w:rPr>
          <w:vertAlign w:val="superscript"/>
        </w:rPr>
        <w:footnoteReference w:id="134"/>
      </w:r>
      <w:r w:rsidR="00EC49A5">
        <w:t xml:space="preserve"> </w:t>
      </w:r>
      <w:r w:rsidRPr="009D14F3">
        <w:t xml:space="preserve"> </w:t>
      </w:r>
      <w:r w:rsidRPr="009D14F3">
        <w:rPr>
          <w:u w:val="single"/>
        </w:rPr>
        <w:t>Finally</w:t>
      </w:r>
      <w:r w:rsidRPr="009D14F3">
        <w:t>, it must be "contingent on export performance", meaning it is conditional, or depends for its existence, upon</w:t>
      </w:r>
      <w:r w:rsidR="00ED4CAC">
        <w:t>,</w:t>
      </w:r>
      <w:r w:rsidR="00EC49A5">
        <w:t xml:space="preserve"> or tied to</w:t>
      </w:r>
      <w:r w:rsidR="00ED4CAC">
        <w:t>,</w:t>
      </w:r>
      <w:r w:rsidRPr="009D14F3">
        <w:t xml:space="preserve"> export performance.</w:t>
      </w:r>
      <w:r w:rsidRPr="009D14F3">
        <w:rPr>
          <w:vertAlign w:val="superscript"/>
        </w:rPr>
        <w:footnoteReference w:id="135"/>
      </w:r>
      <w:r w:rsidRPr="009D14F3">
        <w:t xml:space="preserve">     </w:t>
      </w:r>
    </w:p>
    <w:p w14:paraId="56EBF8F3" w14:textId="77777777" w:rsidR="009D14F3" w:rsidRPr="009D14F3" w:rsidRDefault="009D14F3" w:rsidP="009D14F3">
      <w:pPr>
        <w:keepNext/>
        <w:keepLines/>
        <w:numPr>
          <w:ilvl w:val="2"/>
          <w:numId w:val="2"/>
        </w:numPr>
        <w:outlineLvl w:val="2"/>
        <w:rPr>
          <w:rFonts w:eastAsiaTheme="majorEastAsia" w:cstheme="majorBidi"/>
          <w:b/>
        </w:rPr>
      </w:pPr>
      <w:bookmarkStart w:id="71" w:name="_Toc63353625"/>
      <w:bookmarkStart w:id="72" w:name="_Toc63797005"/>
      <w:bookmarkStart w:id="73" w:name="_Toc63966833"/>
      <w:r w:rsidRPr="009D14F3">
        <w:rPr>
          <w:rFonts w:eastAsiaTheme="majorEastAsia" w:cstheme="majorBidi"/>
          <w:b/>
        </w:rPr>
        <w:t>India's production subsidies, buffer stock subsidies and its MAEQ and DFIA schemes are Article 9.1(a) subsidies</w:t>
      </w:r>
      <w:bookmarkEnd w:id="71"/>
      <w:bookmarkEnd w:id="72"/>
      <w:bookmarkEnd w:id="73"/>
    </w:p>
    <w:p w14:paraId="35BA61D0" w14:textId="77777777" w:rsidR="009D14F3" w:rsidRPr="009D14F3" w:rsidRDefault="009D14F3" w:rsidP="00543B0D">
      <w:pPr>
        <w:keepNext/>
        <w:numPr>
          <w:ilvl w:val="0"/>
          <w:numId w:val="1"/>
        </w:numPr>
      </w:pPr>
      <w:r w:rsidRPr="009D14F3">
        <w:t>India’s production subsidies, buffer stock subsidies, and the MAEQ and DFIA schemes are unambiguously Article 9.1(a) export subsidies:</w:t>
      </w:r>
    </w:p>
    <w:p w14:paraId="4A4732BE" w14:textId="118257AA" w:rsidR="009D14F3" w:rsidRPr="009D14F3" w:rsidRDefault="009D14F3" w:rsidP="009D14F3">
      <w:pPr>
        <w:numPr>
          <w:ilvl w:val="1"/>
          <w:numId w:val="1"/>
        </w:numPr>
        <w:spacing w:after="120"/>
      </w:pPr>
      <w:r w:rsidRPr="009D14F3">
        <w:t>They involve direct transfers of economic resources from the Indian government to sugar mills.</w:t>
      </w:r>
      <w:r w:rsidRPr="009D14F3">
        <w:rPr>
          <w:vertAlign w:val="superscript"/>
        </w:rPr>
        <w:footnoteReference w:id="136"/>
      </w:r>
      <w:r w:rsidRPr="009D14F3">
        <w:t xml:space="preserve">  Pursuant to the production</w:t>
      </w:r>
      <w:r w:rsidR="00D75F2C">
        <w:rPr>
          <w:rStyle w:val="FootnoteReference"/>
        </w:rPr>
        <w:footnoteReference w:id="137"/>
      </w:r>
      <w:r w:rsidRPr="009D14F3">
        <w:t xml:space="preserve"> and buffer stock subsidies</w:t>
      </w:r>
      <w:r w:rsidR="00D75F2C">
        <w:rPr>
          <w:rStyle w:val="FootnoteReference"/>
        </w:rPr>
        <w:footnoteReference w:id="138"/>
      </w:r>
      <w:r w:rsidRPr="009D14F3">
        <w:t xml:space="preserve"> and the MAEQ scheme,</w:t>
      </w:r>
      <w:r w:rsidR="005E7671">
        <w:rPr>
          <w:rStyle w:val="FootnoteReference"/>
        </w:rPr>
        <w:footnoteReference w:id="139"/>
      </w:r>
      <w:r w:rsidRPr="009D14F3">
        <w:t xml:space="preserve"> </w:t>
      </w:r>
      <w:r w:rsidR="00221E4E">
        <w:t xml:space="preserve">the </w:t>
      </w:r>
      <w:r w:rsidR="00221E4E" w:rsidRPr="00221E4E">
        <w:t xml:space="preserve">Department of Food and Public Distribution </w:t>
      </w:r>
      <w:r w:rsidR="00221E4E">
        <w:t>(</w:t>
      </w:r>
      <w:r w:rsidRPr="009D14F3">
        <w:t>DFPD</w:t>
      </w:r>
      <w:r w:rsidR="00221E4E">
        <w:t>)</w:t>
      </w:r>
      <w:r w:rsidRPr="009D14F3">
        <w:t xml:space="preserve"> makes funds available to clear mills' debts to cane farmers, or provide</w:t>
      </w:r>
      <w:r w:rsidR="006E5217">
        <w:t>s</w:t>
      </w:r>
      <w:r w:rsidRPr="009D14F3">
        <w:t xml:space="preserve"> grants.  Under the DFIA scheme, the government foregoes import tax revenue </w:t>
      </w:r>
      <w:r w:rsidR="000058D1">
        <w:t xml:space="preserve">that </w:t>
      </w:r>
      <w:r w:rsidRPr="009D14F3">
        <w:t>sugar mills would otherwise owe it.</w:t>
      </w:r>
      <w:r w:rsidR="005E7671">
        <w:rPr>
          <w:rStyle w:val="FootnoteReference"/>
        </w:rPr>
        <w:footnoteReference w:id="140"/>
      </w:r>
      <w:r w:rsidRPr="009D14F3">
        <w:t xml:space="preserve">  </w:t>
      </w:r>
    </w:p>
    <w:p w14:paraId="2872761F" w14:textId="603D0B74" w:rsidR="009D14F3" w:rsidRPr="009D14F3" w:rsidRDefault="009D14F3" w:rsidP="009D14F3">
      <w:pPr>
        <w:numPr>
          <w:ilvl w:val="1"/>
          <w:numId w:val="1"/>
        </w:numPr>
        <w:spacing w:after="120"/>
      </w:pPr>
      <w:r w:rsidRPr="009D14F3">
        <w:t>The financial contributions are offered for less than full consideration, leaving sugar mills better off, with respect either to debt</w:t>
      </w:r>
      <w:r w:rsidR="00ED4CAC">
        <w:t>s</w:t>
      </w:r>
      <w:r w:rsidRPr="009D14F3">
        <w:t xml:space="preserve"> owed or funds available, than they would otherwise have been.</w:t>
      </w:r>
      <w:r w:rsidR="00D75F2C">
        <w:rPr>
          <w:rStyle w:val="FootnoteReference"/>
        </w:rPr>
        <w:footnoteReference w:id="141"/>
      </w:r>
    </w:p>
    <w:p w14:paraId="4A2A4799" w14:textId="5F3C8D09" w:rsidR="009D14F3" w:rsidRPr="009D14F3" w:rsidRDefault="009D14F3" w:rsidP="009D14F3">
      <w:pPr>
        <w:numPr>
          <w:ilvl w:val="1"/>
          <w:numId w:val="1"/>
        </w:numPr>
        <w:spacing w:after="120"/>
      </w:pPr>
      <w:r w:rsidRPr="009D14F3">
        <w:t>Sugar mills are "producers of an agricultural product."  Collectively, they may also constitute an "industry" and, individually, may qualify as "cooperative(s)" or "firm(s)."</w:t>
      </w:r>
      <w:r w:rsidR="00D75F2C">
        <w:rPr>
          <w:rStyle w:val="FootnoteReference"/>
        </w:rPr>
        <w:footnoteReference w:id="142"/>
      </w:r>
      <w:r w:rsidRPr="009D14F3">
        <w:t xml:space="preserve">  </w:t>
      </w:r>
    </w:p>
    <w:p w14:paraId="5309853C" w14:textId="77777777" w:rsidR="009D14F3" w:rsidRPr="009D14F3" w:rsidRDefault="009D14F3" w:rsidP="009D14F3">
      <w:pPr>
        <w:keepNext/>
        <w:numPr>
          <w:ilvl w:val="1"/>
          <w:numId w:val="1"/>
        </w:numPr>
        <w:spacing w:after="120"/>
        <w:ind w:left="1702" w:hanging="851"/>
      </w:pPr>
      <w:r w:rsidRPr="009D14F3">
        <w:t>Finally, the measures either link the availability of subsidies to the achievement of export quotas, targets or to past export performance, or make export performance a determinant of the subsidy rate.</w:t>
      </w:r>
      <w:r w:rsidRPr="009D14F3">
        <w:rPr>
          <w:vertAlign w:val="superscript"/>
        </w:rPr>
        <w:footnoteReference w:id="143"/>
      </w:r>
    </w:p>
    <w:p w14:paraId="2F4921AB" w14:textId="48147282" w:rsidR="009D14F3" w:rsidRPr="009D14F3" w:rsidRDefault="009D14F3" w:rsidP="009D14F3">
      <w:pPr>
        <w:numPr>
          <w:ilvl w:val="0"/>
          <w:numId w:val="1"/>
        </w:numPr>
      </w:pPr>
      <w:r w:rsidRPr="009D14F3">
        <w:t xml:space="preserve">  As the facts underpinning the design, structure and operation of its export subsidies are clear and indisputable, India advances an incorrect interpretation of the legal standard for establishing the existence of a subsidy in an attempt to avoid its obligations under the Agreement on Agriculture.</w:t>
      </w:r>
      <w:r w:rsidR="00ED4CAC" w:rsidRPr="009D14F3">
        <w:rPr>
          <w:vertAlign w:val="superscript"/>
        </w:rPr>
        <w:footnoteReference w:id="144"/>
      </w:r>
    </w:p>
    <w:p w14:paraId="239D72EB" w14:textId="57DAD460" w:rsidR="009D14F3" w:rsidRPr="009D14F3" w:rsidRDefault="009D14F3" w:rsidP="009D14F3">
      <w:pPr>
        <w:keepNext/>
        <w:keepLines/>
        <w:numPr>
          <w:ilvl w:val="2"/>
          <w:numId w:val="2"/>
        </w:numPr>
        <w:outlineLvl w:val="2"/>
        <w:rPr>
          <w:rFonts w:eastAsiaTheme="majorEastAsia" w:cstheme="majorBidi"/>
          <w:b/>
        </w:rPr>
      </w:pPr>
      <w:bookmarkStart w:id="74" w:name="_Toc63347245"/>
      <w:bookmarkStart w:id="75" w:name="_Toc63353080"/>
      <w:bookmarkStart w:id="76" w:name="_Toc63353415"/>
      <w:bookmarkStart w:id="77" w:name="_Toc63353626"/>
      <w:bookmarkStart w:id="78" w:name="_Toc63347246"/>
      <w:bookmarkStart w:id="79" w:name="_Toc63353081"/>
      <w:bookmarkStart w:id="80" w:name="_Toc63353416"/>
      <w:bookmarkStart w:id="81" w:name="_Toc63353627"/>
      <w:bookmarkStart w:id="82" w:name="_Ref63806728"/>
      <w:bookmarkStart w:id="83" w:name="_Toc63966834"/>
      <w:bookmarkStart w:id="84" w:name="_Toc63353628"/>
      <w:bookmarkStart w:id="85" w:name="_Toc63797006"/>
      <w:bookmarkEnd w:id="74"/>
      <w:bookmarkEnd w:id="75"/>
      <w:bookmarkEnd w:id="76"/>
      <w:bookmarkEnd w:id="77"/>
      <w:bookmarkEnd w:id="78"/>
      <w:bookmarkEnd w:id="79"/>
      <w:bookmarkEnd w:id="80"/>
      <w:bookmarkEnd w:id="81"/>
      <w:r w:rsidRPr="009D14F3">
        <w:rPr>
          <w:rFonts w:eastAsiaTheme="majorEastAsia" w:cstheme="majorBidi"/>
          <w:b/>
        </w:rPr>
        <w:t>The Panel should reject India</w:t>
      </w:r>
      <w:r w:rsidR="00733957">
        <w:rPr>
          <w:rFonts w:eastAsiaTheme="majorEastAsia" w:cstheme="majorBidi"/>
          <w:b/>
        </w:rPr>
        <w:t>'s</w:t>
      </w:r>
      <w:r w:rsidRPr="009D14F3">
        <w:rPr>
          <w:rFonts w:eastAsiaTheme="majorEastAsia" w:cstheme="majorBidi"/>
          <w:b/>
        </w:rPr>
        <w:t xml:space="preserve"> misinterpretation of the legal standard </w:t>
      </w:r>
      <w:r w:rsidR="002074BE">
        <w:rPr>
          <w:rFonts w:eastAsiaTheme="majorEastAsia" w:cstheme="majorBidi"/>
          <w:b/>
        </w:rPr>
        <w:t xml:space="preserve">applicable </w:t>
      </w:r>
      <w:r w:rsidRPr="009D14F3">
        <w:rPr>
          <w:rFonts w:eastAsiaTheme="majorEastAsia" w:cstheme="majorBidi"/>
          <w:b/>
        </w:rPr>
        <w:t>for establishing the existence of "direct subsidies" within the meaning of Article 9.1(a)</w:t>
      </w:r>
      <w:bookmarkEnd w:id="82"/>
      <w:bookmarkEnd w:id="83"/>
      <w:r w:rsidRPr="009D14F3">
        <w:rPr>
          <w:rFonts w:eastAsiaTheme="majorEastAsia" w:cstheme="majorBidi"/>
          <w:b/>
        </w:rPr>
        <w:t xml:space="preserve"> </w:t>
      </w:r>
      <w:bookmarkEnd w:id="84"/>
      <w:bookmarkEnd w:id="85"/>
    </w:p>
    <w:p w14:paraId="6A4E5405" w14:textId="77777777" w:rsidR="009D14F3" w:rsidRPr="009D14F3" w:rsidRDefault="009D14F3" w:rsidP="009D14F3">
      <w:pPr>
        <w:numPr>
          <w:ilvl w:val="0"/>
          <w:numId w:val="1"/>
        </w:numPr>
      </w:pPr>
      <w:r w:rsidRPr="009D14F3">
        <w:t>Australia and India agree on the four elements that must be present to satisfy the legal standard under Article 9.1(a).</w:t>
      </w:r>
      <w:r w:rsidRPr="009D14F3">
        <w:rPr>
          <w:vertAlign w:val="superscript"/>
        </w:rPr>
        <w:footnoteReference w:id="145"/>
      </w:r>
      <w:r w:rsidRPr="009D14F3">
        <w:t xml:space="preserve">   </w:t>
      </w:r>
    </w:p>
    <w:p w14:paraId="59FA3BED" w14:textId="77777777" w:rsidR="009D14F3" w:rsidRPr="009D14F3" w:rsidRDefault="009D14F3" w:rsidP="009D14F3">
      <w:pPr>
        <w:numPr>
          <w:ilvl w:val="0"/>
          <w:numId w:val="1"/>
        </w:numPr>
      </w:pPr>
      <w:r w:rsidRPr="009D14F3">
        <w:t>Australia and India also agree that Article 1.1 of the SCM Agreement provides relevant context for interpreting the terms "subsidy" or "subsidies" as they appear in the Agreement on Agriculture.</w:t>
      </w:r>
      <w:r w:rsidRPr="009D14F3">
        <w:rPr>
          <w:vertAlign w:val="superscript"/>
        </w:rPr>
        <w:footnoteReference w:id="146"/>
      </w:r>
      <w:r w:rsidRPr="009D14F3">
        <w:t xml:space="preserve">  </w:t>
      </w:r>
    </w:p>
    <w:p w14:paraId="6FD9D374" w14:textId="0A604E54" w:rsidR="009D14F3" w:rsidRPr="009D14F3" w:rsidRDefault="0063304C" w:rsidP="009D14F3">
      <w:pPr>
        <w:numPr>
          <w:ilvl w:val="0"/>
          <w:numId w:val="1"/>
        </w:numPr>
      </w:pPr>
      <w:r>
        <w:t>However</w:t>
      </w:r>
      <w:r w:rsidR="009D14F3" w:rsidRPr="009D14F3">
        <w:t xml:space="preserve">, a flawed </w:t>
      </w:r>
      <w:r w:rsidR="008C649B">
        <w:t>reading</w:t>
      </w:r>
      <w:r w:rsidR="008C649B" w:rsidRPr="009D14F3">
        <w:t xml:space="preserve"> </w:t>
      </w:r>
      <w:r w:rsidR="009D14F3" w:rsidRPr="009D14F3">
        <w:t>of one element of the subsidy definition in Article 1.1 has led India to an unsustainable interpretation of what is required to demonstrate the existence of "direct subsidies" within the meaning of Article</w:t>
      </w:r>
      <w:r w:rsidR="000E277D">
        <w:t> </w:t>
      </w:r>
      <w:r w:rsidR="009D14F3" w:rsidRPr="009D14F3">
        <w:t xml:space="preserve">9.1(a).  India argues that because the SCM Agreement deems a subsidy to exist where "there </w:t>
      </w:r>
      <w:r w:rsidR="009D14F3" w:rsidRPr="009D14F3">
        <w:rPr>
          <w:iCs/>
          <w:u w:val="single"/>
        </w:rPr>
        <w:t>is</w:t>
      </w:r>
      <w:r w:rsidR="009D14F3" w:rsidRPr="009D14F3">
        <w:t xml:space="preserve"> a financial contribution",</w:t>
      </w:r>
      <w:r w:rsidR="009D14F3" w:rsidRPr="009D14F3">
        <w:rPr>
          <w:vertAlign w:val="superscript"/>
        </w:rPr>
        <w:footnoteReference w:id="147"/>
      </w:r>
      <w:r w:rsidR="009D14F3" w:rsidRPr="009D14F3">
        <w:t xml:space="preserve"> evidence of an actual disbursement of government funds is required.</w:t>
      </w:r>
      <w:r w:rsidR="009D14F3" w:rsidRPr="009D14F3">
        <w:rPr>
          <w:vertAlign w:val="superscript"/>
        </w:rPr>
        <w:footnoteReference w:id="148"/>
      </w:r>
      <w:r w:rsidR="009D14F3" w:rsidRPr="009D14F3">
        <w:t xml:space="preserve">  </w:t>
      </w:r>
    </w:p>
    <w:p w14:paraId="1291F99C" w14:textId="29BAA68B" w:rsidR="009D14F3" w:rsidRPr="009D14F3" w:rsidRDefault="009D14F3" w:rsidP="009D14F3">
      <w:pPr>
        <w:numPr>
          <w:ilvl w:val="0"/>
          <w:numId w:val="1"/>
        </w:numPr>
      </w:pPr>
      <w:r w:rsidRPr="009D14F3">
        <w:t>India's interpretation turns on its identification of "is" as the operative term</w:t>
      </w:r>
      <w:r w:rsidR="008C649B">
        <w:t xml:space="preserve"> in Article 1.1</w:t>
      </w:r>
      <w:r w:rsidR="00ED4CAC">
        <w:t>(a)(1)</w:t>
      </w:r>
      <w:r w:rsidRPr="009D14F3">
        <w:t xml:space="preserve">.  This rigid approach colours India’s reading of Article 9.1(a) and leads it to conclude that Australia has not demonstrated that any of the challenged schemes constitute export subsidies because it has not produced evidence of actual government payments to </w:t>
      </w:r>
      <w:r w:rsidR="00733957">
        <w:t>mills</w:t>
      </w:r>
      <w:r w:rsidRPr="009D14F3">
        <w:t>.</w:t>
      </w:r>
      <w:r w:rsidRPr="009D14F3">
        <w:rPr>
          <w:vertAlign w:val="superscript"/>
        </w:rPr>
        <w:footnoteReference w:id="149"/>
      </w:r>
      <w:r w:rsidRPr="009D14F3">
        <w:t xml:space="preserve">  Evidence that the challenged measures give the Indian government the legal authority to make financial contributions to </w:t>
      </w:r>
      <w:r w:rsidR="00ED4CAC">
        <w:t>mills</w:t>
      </w:r>
      <w:r w:rsidRPr="009D14F3">
        <w:t>, or of relevant budgetary allocations is, India claims, insufficient.</w:t>
      </w:r>
      <w:r w:rsidRPr="009D14F3">
        <w:rPr>
          <w:vertAlign w:val="superscript"/>
        </w:rPr>
        <w:footnoteReference w:id="150"/>
      </w:r>
      <w:r w:rsidRPr="009D14F3">
        <w:t xml:space="preserve">  </w:t>
      </w:r>
    </w:p>
    <w:p w14:paraId="0521A1E1" w14:textId="6A691A1B" w:rsidR="009D14F3" w:rsidRPr="009D14F3" w:rsidRDefault="009D14F3" w:rsidP="009D14F3">
      <w:pPr>
        <w:numPr>
          <w:ilvl w:val="0"/>
          <w:numId w:val="1"/>
        </w:numPr>
      </w:pPr>
      <w:r w:rsidRPr="009D14F3">
        <w:t xml:space="preserve">While India does not contest the legal standard applicable to demonstrate the existence of a "benefit" within the meaning of the subsidy definition in Article 1.1(b) of the SCM Agreement, it claims </w:t>
      </w:r>
      <w:r w:rsidR="008C649B">
        <w:t>that Australia has</w:t>
      </w:r>
      <w:r w:rsidRPr="009D14F3">
        <w:t xml:space="preserve"> failed to </w:t>
      </w:r>
      <w:r w:rsidR="008C649B">
        <w:t>perform</w:t>
      </w:r>
      <w:r w:rsidR="008C649B" w:rsidRPr="009D14F3">
        <w:t xml:space="preserve"> </w:t>
      </w:r>
      <w:r w:rsidRPr="009D14F3">
        <w:t xml:space="preserve">the market comparison necessary to meet that standard. </w:t>
      </w:r>
    </w:p>
    <w:p w14:paraId="764BDDCC" w14:textId="77777777" w:rsidR="009D14F3" w:rsidRPr="009D14F3" w:rsidRDefault="009D14F3" w:rsidP="009D14F3">
      <w:pPr>
        <w:numPr>
          <w:ilvl w:val="0"/>
          <w:numId w:val="1"/>
        </w:numPr>
      </w:pPr>
      <w:r w:rsidRPr="009D14F3">
        <w:t>Australia rebuts each of India's assertions in turn.</w:t>
      </w:r>
    </w:p>
    <w:p w14:paraId="5788C9A1" w14:textId="77777777" w:rsidR="009D14F3" w:rsidRPr="009D14F3" w:rsidRDefault="009D14F3" w:rsidP="009D14F3">
      <w:pPr>
        <w:keepNext/>
        <w:keepLines/>
        <w:numPr>
          <w:ilvl w:val="3"/>
          <w:numId w:val="2"/>
        </w:numPr>
        <w:outlineLvl w:val="3"/>
        <w:rPr>
          <w:rFonts w:eastAsiaTheme="majorEastAsia" w:cstheme="majorBidi"/>
          <w:iCs/>
          <w:u w:val="single"/>
        </w:rPr>
      </w:pPr>
      <w:bookmarkStart w:id="86" w:name="_Toc63797007"/>
      <w:bookmarkStart w:id="87" w:name="_Toc63353630"/>
      <w:bookmarkStart w:id="88" w:name="_Toc63797008"/>
      <w:bookmarkStart w:id="89" w:name="_Toc63966835"/>
      <w:bookmarkEnd w:id="86"/>
      <w:r w:rsidRPr="009D14F3">
        <w:rPr>
          <w:rFonts w:eastAsiaTheme="majorEastAsia" w:cstheme="majorBidi"/>
          <w:iCs/>
          <w:u w:val="single"/>
        </w:rPr>
        <w:t>There "is" a financial contribution</w:t>
      </w:r>
      <w:bookmarkEnd w:id="87"/>
      <w:bookmarkEnd w:id="88"/>
      <w:bookmarkEnd w:id="89"/>
    </w:p>
    <w:p w14:paraId="35ABFC55" w14:textId="4A0A9D78" w:rsidR="009D14F3" w:rsidRPr="009D14F3" w:rsidRDefault="009D14F3" w:rsidP="009D14F3">
      <w:pPr>
        <w:numPr>
          <w:ilvl w:val="0"/>
          <w:numId w:val="1"/>
        </w:numPr>
      </w:pPr>
      <w:r w:rsidRPr="009D14F3">
        <w:t>India’s understanding of what is required to demonstrate the existence of a "financial contribution" within the meaning of Article 1.1(a)(1) of the SCM Agreement and, therefore, "direct subsid</w:t>
      </w:r>
      <w:r w:rsidR="008C649B">
        <w:t>ies</w:t>
      </w:r>
      <w:r w:rsidRPr="009D14F3">
        <w:t>" under Article 9.1(a) of the Agreement on Agriculture, is not supported by the text of either Agreement.</w:t>
      </w:r>
    </w:p>
    <w:p w14:paraId="21FC105D" w14:textId="7893FAFC" w:rsidR="009D14F3" w:rsidRPr="009D14F3" w:rsidRDefault="009D14F3" w:rsidP="009D14F3">
      <w:pPr>
        <w:numPr>
          <w:ilvl w:val="0"/>
          <w:numId w:val="1"/>
        </w:numPr>
      </w:pPr>
      <w:r w:rsidRPr="009D14F3">
        <w:t>Article 9.1(a) concerns the "provision" of direct subsidies by governments or their agencies.  The ordinary meaning of "provide" is "to make available".</w:t>
      </w:r>
      <w:r w:rsidRPr="009D14F3">
        <w:rPr>
          <w:vertAlign w:val="superscript"/>
        </w:rPr>
        <w:footnoteReference w:id="151"/>
      </w:r>
      <w:r w:rsidRPr="009D14F3">
        <w:t xml:space="preserve">  A promise by a government to make payments under a scheme, </w:t>
      </w:r>
      <w:r w:rsidR="008C649B">
        <w:t>combined</w:t>
      </w:r>
      <w:r w:rsidR="008C649B" w:rsidRPr="009D14F3">
        <w:t xml:space="preserve"> </w:t>
      </w:r>
      <w:r w:rsidRPr="009D14F3">
        <w:t xml:space="preserve">with a budgetary allocation towards the scheme, are actions </w:t>
      </w:r>
      <w:r w:rsidR="002E7F7D">
        <w:t>by</w:t>
      </w:r>
      <w:r w:rsidRPr="009D14F3">
        <w:t xml:space="preserve"> which that government makes funds available to eligible recipients.</w:t>
      </w:r>
      <w:r w:rsidRPr="009D14F3">
        <w:rPr>
          <w:vertAlign w:val="superscript"/>
        </w:rPr>
        <w:footnoteReference w:id="152"/>
      </w:r>
      <w:r w:rsidRPr="009D14F3">
        <w:t xml:space="preserve"> </w:t>
      </w:r>
    </w:p>
    <w:p w14:paraId="5E0C7E33" w14:textId="6010833E" w:rsidR="009D14F3" w:rsidRPr="009D14F3" w:rsidRDefault="009D14F3" w:rsidP="009D14F3">
      <w:pPr>
        <w:numPr>
          <w:ilvl w:val="0"/>
          <w:numId w:val="1"/>
        </w:numPr>
      </w:pPr>
      <w:r w:rsidRPr="009D14F3">
        <w:t xml:space="preserve">Further, Article 9.2(a)(i) of the Agreement on Agriculture notes that Members may have expressed their scheduled export subsidy reduction commitments in terms of budgetary outlays, and recognises that compliance with these commitments in any given year </w:t>
      </w:r>
      <w:r w:rsidR="00335974">
        <w:t>is</w:t>
      </w:r>
      <w:r w:rsidRPr="009D14F3">
        <w:t xml:space="preserve"> measurable on the basis of budgetary outlays "</w:t>
      </w:r>
      <w:r w:rsidRPr="009D14F3">
        <w:rPr>
          <w:u w:val="single"/>
        </w:rPr>
        <w:t>allocated</w:t>
      </w:r>
      <w:r w:rsidRPr="009D14F3">
        <w:t xml:space="preserve"> or incurred".</w:t>
      </w:r>
      <w:r w:rsidRPr="009D14F3">
        <w:rPr>
          <w:vertAlign w:val="superscript"/>
        </w:rPr>
        <w:footnoteReference w:id="153"/>
      </w:r>
      <w:r w:rsidRPr="009D14F3">
        <w:t xml:space="preserve">  This context makes clear that, for the purposes of the Agreement on Agriculture, the existence of a subsidy may be demonstrable from an allocation of funds alone.</w:t>
      </w:r>
      <w:r w:rsidRPr="009D14F3">
        <w:rPr>
          <w:vertAlign w:val="superscript"/>
        </w:rPr>
        <w:footnoteReference w:id="154"/>
      </w:r>
      <w:r w:rsidRPr="009D14F3">
        <w:t xml:space="preserve">  Actual budgetary disbursements are not required.  </w:t>
      </w:r>
    </w:p>
    <w:p w14:paraId="20525022" w14:textId="7487B85D" w:rsidR="009D14F3" w:rsidRPr="009D14F3" w:rsidRDefault="009D14F3" w:rsidP="009D14F3">
      <w:pPr>
        <w:numPr>
          <w:ilvl w:val="0"/>
          <w:numId w:val="1"/>
        </w:numPr>
      </w:pPr>
      <w:r w:rsidRPr="009D14F3">
        <w:t>Equally compelling on this point is Article 1.1(a)(1)(i) of the SCM Agreement, which provides expressly that a "financial contribution" may be constituted by, among other things, "</w:t>
      </w:r>
      <w:r w:rsidRPr="009D14F3">
        <w:rPr>
          <w:u w:val="single"/>
        </w:rPr>
        <w:t>potential</w:t>
      </w:r>
      <w:r w:rsidRPr="009D14F3">
        <w:t xml:space="preserve"> direct transfers of [government] funds"</w:t>
      </w:r>
      <w:r w:rsidR="00335974">
        <w:t>.</w:t>
      </w:r>
      <w:r w:rsidRPr="009D14F3">
        <w:rPr>
          <w:vertAlign w:val="superscript"/>
        </w:rPr>
        <w:footnoteReference w:id="155"/>
      </w:r>
      <w:r w:rsidRPr="009D14F3">
        <w:t xml:space="preserve">  This phrase contemplates </w:t>
      </w:r>
      <w:r w:rsidR="008C649B">
        <w:t>that</w:t>
      </w:r>
      <w:r w:rsidRPr="009D14F3">
        <w:t xml:space="preserve"> a financial contribution </w:t>
      </w:r>
      <w:r w:rsidR="008C649B">
        <w:t>can</w:t>
      </w:r>
      <w:r w:rsidR="008C649B" w:rsidRPr="009D14F3">
        <w:t xml:space="preserve"> </w:t>
      </w:r>
      <w:r w:rsidRPr="009D14F3">
        <w:t>be constituted by prospective funds transfers, where any possible payments or disbursements remain firmly in the future.</w:t>
      </w:r>
      <w:r w:rsidRPr="009D14F3">
        <w:rPr>
          <w:vertAlign w:val="superscript"/>
        </w:rPr>
        <w:footnoteReference w:id="156"/>
      </w:r>
      <w:r w:rsidRPr="009D14F3">
        <w:t xml:space="preserve">   </w:t>
      </w:r>
    </w:p>
    <w:p w14:paraId="10D8E785" w14:textId="15B8B5A2" w:rsidR="009D14F3" w:rsidRPr="009D14F3" w:rsidRDefault="009D14F3" w:rsidP="009D14F3">
      <w:pPr>
        <w:numPr>
          <w:ilvl w:val="0"/>
          <w:numId w:val="1"/>
        </w:numPr>
      </w:pPr>
      <w:r w:rsidRPr="009D14F3">
        <w:t xml:space="preserve">Costa Rica, Japan and the United States agree that India's interpretation of "financial contribution" is unsupported by the text of the relevant </w:t>
      </w:r>
      <w:r w:rsidR="008C649B">
        <w:t>A</w:t>
      </w:r>
      <w:r w:rsidR="008C649B" w:rsidRPr="009D14F3">
        <w:t xml:space="preserve">greements </w:t>
      </w:r>
      <w:r w:rsidRPr="009D14F3">
        <w:t xml:space="preserve">and inconsistent with observations of the Appellate Body and previous panels.  They also observe that it would place an unsustainable evidentiary burden on complainants and could potentially shield WTO </w:t>
      </w:r>
      <w:r w:rsidR="007D3E37">
        <w:t>inconsistent</w:t>
      </w:r>
      <w:r w:rsidRPr="009D14F3">
        <w:t xml:space="preserve"> measures from scrutiny.</w:t>
      </w:r>
      <w:r w:rsidRPr="009D14F3">
        <w:rPr>
          <w:vertAlign w:val="superscript"/>
        </w:rPr>
        <w:footnoteReference w:id="157"/>
      </w:r>
      <w:r w:rsidRPr="009D14F3">
        <w:t xml:space="preserve">  </w:t>
      </w:r>
    </w:p>
    <w:p w14:paraId="6C369183" w14:textId="77777777" w:rsidR="009D14F3" w:rsidRPr="009D14F3" w:rsidRDefault="009D14F3" w:rsidP="009D14F3">
      <w:pPr>
        <w:keepNext/>
        <w:keepLines/>
        <w:numPr>
          <w:ilvl w:val="3"/>
          <w:numId w:val="2"/>
        </w:numPr>
        <w:outlineLvl w:val="3"/>
        <w:rPr>
          <w:rFonts w:eastAsiaTheme="majorEastAsia" w:cstheme="majorBidi"/>
          <w:iCs/>
          <w:u w:val="single"/>
        </w:rPr>
      </w:pPr>
      <w:bookmarkStart w:id="90" w:name="_Toc63353631"/>
      <w:bookmarkStart w:id="91" w:name="_Toc63797009"/>
      <w:bookmarkStart w:id="92" w:name="_Toc63966836"/>
      <w:r w:rsidRPr="009D14F3">
        <w:rPr>
          <w:rFonts w:eastAsiaTheme="majorEastAsia" w:cstheme="majorBidi"/>
          <w:iCs/>
          <w:u w:val="single"/>
        </w:rPr>
        <w:t>Benefit</w:t>
      </w:r>
      <w:bookmarkEnd w:id="90"/>
      <w:bookmarkEnd w:id="91"/>
      <w:bookmarkEnd w:id="92"/>
    </w:p>
    <w:p w14:paraId="04793146" w14:textId="6A1CC66A" w:rsidR="009D14F3" w:rsidRPr="009D14F3" w:rsidRDefault="009D14F3" w:rsidP="009D14F3">
      <w:pPr>
        <w:numPr>
          <w:ilvl w:val="0"/>
          <w:numId w:val="1"/>
        </w:numPr>
      </w:pPr>
      <w:r w:rsidRPr="009D14F3">
        <w:t>Based on the contextual relevance of Article 1.1 of the SCM Agreement, India argues that to qualify as a "subsidy" within the meaning of Article 9.1(a) a measure must confer a "benefit".</w:t>
      </w:r>
      <w:r w:rsidRPr="009D14F3">
        <w:rPr>
          <w:vertAlign w:val="superscript"/>
        </w:rPr>
        <w:footnoteReference w:id="158"/>
      </w:r>
      <w:r w:rsidRPr="009D14F3">
        <w:t xml:space="preserve">  Again, Australia accepts that the SCM Agreement provides relevant context for interpreting Article 9.1(a).</w:t>
      </w:r>
      <w:r w:rsidRPr="009D14F3">
        <w:rPr>
          <w:vertAlign w:val="superscript"/>
        </w:rPr>
        <w:footnoteReference w:id="159"/>
      </w:r>
      <w:r w:rsidRPr="009D14F3">
        <w:t xml:space="preserve">  This includes Article 14 of the SCM Agreement, which nominates the "market" as the benchmark against which to assess whether </w:t>
      </w:r>
      <w:r w:rsidR="0064335C">
        <w:t>certain</w:t>
      </w:r>
      <w:r w:rsidRPr="009D14F3">
        <w:t xml:space="preserve"> government action</w:t>
      </w:r>
      <w:r w:rsidR="0064335C">
        <w:t>s</w:t>
      </w:r>
      <w:r w:rsidRPr="009D14F3">
        <w:t xml:space="preserve"> confers a benefit.</w:t>
      </w:r>
      <w:r w:rsidRPr="009D14F3">
        <w:rPr>
          <w:vertAlign w:val="superscript"/>
        </w:rPr>
        <w:footnoteReference w:id="160"/>
      </w:r>
      <w:r w:rsidRPr="009D14F3">
        <w:t xml:space="preserve">  </w:t>
      </w:r>
    </w:p>
    <w:p w14:paraId="38640673" w14:textId="6CF4C40B" w:rsidR="009D14F3" w:rsidRPr="009D14F3" w:rsidRDefault="00694BD0" w:rsidP="009D14F3">
      <w:pPr>
        <w:numPr>
          <w:ilvl w:val="0"/>
          <w:numId w:val="1"/>
        </w:numPr>
      </w:pPr>
      <w:r>
        <w:t xml:space="preserve">Australia agrees that the market may provide a useful benchmark against which to </w:t>
      </w:r>
      <w:r w:rsidR="00A81D09">
        <w:t xml:space="preserve">determine </w:t>
      </w:r>
      <w:r>
        <w:t>the existence of a benefit, and has not, as India asserts, failed to make a market comparison here.</w:t>
      </w:r>
      <w:r w:rsidRPr="009D14F3">
        <w:rPr>
          <w:vertAlign w:val="superscript"/>
        </w:rPr>
        <w:footnoteReference w:id="161"/>
      </w:r>
      <w:r>
        <w:t xml:space="preserve">  </w:t>
      </w:r>
      <w:r w:rsidR="009D14F3" w:rsidRPr="009D14F3">
        <w:t>Rather, Australia has concluded that the comparison is a simple one because</w:t>
      </w:r>
      <w:r w:rsidR="006E5217">
        <w:t>,</w:t>
      </w:r>
      <w:r w:rsidR="009D14F3" w:rsidRPr="009D14F3">
        <w:t xml:space="preserve"> under India's export subsidy schemes, the Indian government gratuitously discharges </w:t>
      </w:r>
      <w:r w:rsidR="00733957">
        <w:t>mills</w:t>
      </w:r>
      <w:r w:rsidR="009D14F3" w:rsidRPr="009D14F3">
        <w:t>'</w:t>
      </w:r>
      <w:r w:rsidR="000058D1">
        <w:t xml:space="preserve"> obligations to satisfy</w:t>
      </w:r>
      <w:r w:rsidR="009D14F3" w:rsidRPr="009D14F3">
        <w:t xml:space="preserve"> </w:t>
      </w:r>
      <w:r w:rsidR="000058D1">
        <w:t>outstanding sugar</w:t>
      </w:r>
      <w:r w:rsidR="009D14F3" w:rsidRPr="009D14F3">
        <w:t>cane arrears or, for those mills without debts to cane farmers, offers direct financial windfalls.  No entity operating pursuant to commercial considerations would make such payments</w:t>
      </w:r>
      <w:r w:rsidR="0063304C">
        <w:t xml:space="preserve">. </w:t>
      </w:r>
      <w:r w:rsidR="009D14F3" w:rsidRPr="009D14F3">
        <w:t xml:space="preserve"> They are gifts or grants, that automatically leave </w:t>
      </w:r>
      <w:r w:rsidR="00733957">
        <w:t>mills</w:t>
      </w:r>
      <w:r w:rsidR="009D14F3" w:rsidRPr="009D14F3">
        <w:t xml:space="preserve"> better off than they would otherwise have been.</w:t>
      </w:r>
      <w:r w:rsidR="009D14F3" w:rsidRPr="009D14F3">
        <w:rPr>
          <w:vertAlign w:val="superscript"/>
        </w:rPr>
        <w:footnoteReference w:id="162"/>
      </w:r>
      <w:r w:rsidR="009D14F3" w:rsidRPr="009D14F3">
        <w:t xml:space="preserve">  </w:t>
      </w:r>
    </w:p>
    <w:p w14:paraId="70583035" w14:textId="4309955A" w:rsidR="009D14F3" w:rsidRPr="009D14F3" w:rsidRDefault="009D14F3" w:rsidP="009D14F3">
      <w:pPr>
        <w:numPr>
          <w:ilvl w:val="0"/>
          <w:numId w:val="1"/>
        </w:numPr>
      </w:pPr>
      <w:r w:rsidRPr="009D14F3">
        <w:t>The present facts may be distinguished from those of previous disputes</w:t>
      </w:r>
      <w:r w:rsidR="000058D1">
        <w:t xml:space="preserve"> that India cites in its defence,</w:t>
      </w:r>
      <w:r w:rsidRPr="009D14F3">
        <w:t xml:space="preserve"> such as </w:t>
      </w:r>
      <w:r w:rsidRPr="009D14F3">
        <w:rPr>
          <w:i/>
          <w:iCs/>
        </w:rPr>
        <w:t>Canada – Feed-in-Tariff Program</w:t>
      </w:r>
      <w:r w:rsidRPr="009D14F3">
        <w:t>,</w:t>
      </w:r>
      <w:r w:rsidRPr="009D14F3">
        <w:rPr>
          <w:vertAlign w:val="superscript"/>
        </w:rPr>
        <w:footnoteReference w:id="163"/>
      </w:r>
      <w:r w:rsidRPr="009D14F3">
        <w:t xml:space="preserve"> which concerned government "purchases [of] goods" within the meaning of Article 1.1(a)(1)(iii) of the SCM Agreement.</w:t>
      </w:r>
      <w:r w:rsidRPr="009D14F3">
        <w:rPr>
          <w:vertAlign w:val="superscript"/>
        </w:rPr>
        <w:footnoteReference w:id="164"/>
      </w:r>
      <w:r w:rsidRPr="009D14F3">
        <w:t xml:space="preserve">  In such a scenario, the benchmark comparison exercise would clearly be more complex.</w:t>
      </w:r>
    </w:p>
    <w:p w14:paraId="023E5792" w14:textId="77777777" w:rsidR="009D14F3" w:rsidRPr="009D14F3" w:rsidRDefault="009D14F3" w:rsidP="009D14F3">
      <w:pPr>
        <w:keepNext/>
        <w:keepLines/>
        <w:numPr>
          <w:ilvl w:val="3"/>
          <w:numId w:val="2"/>
        </w:numPr>
        <w:outlineLvl w:val="3"/>
        <w:rPr>
          <w:rFonts w:eastAsiaTheme="majorEastAsia" w:cstheme="majorBidi"/>
          <w:iCs/>
          <w:u w:val="single"/>
        </w:rPr>
      </w:pPr>
      <w:bookmarkStart w:id="93" w:name="_Toc63797010"/>
      <w:bookmarkStart w:id="94" w:name="_Toc63966837"/>
      <w:r w:rsidRPr="009D14F3">
        <w:rPr>
          <w:rFonts w:eastAsiaTheme="majorEastAsia" w:cstheme="majorBidi"/>
          <w:iCs/>
          <w:u w:val="single"/>
        </w:rPr>
        <w:t>Australia has provided evidence of actual disbursements under India's export subsidies</w:t>
      </w:r>
      <w:bookmarkEnd w:id="93"/>
      <w:bookmarkEnd w:id="94"/>
    </w:p>
    <w:p w14:paraId="2CB22853" w14:textId="351E6F64" w:rsidR="009D14F3" w:rsidRPr="009D14F3" w:rsidRDefault="009D14F3" w:rsidP="00543B0D">
      <w:pPr>
        <w:keepNext/>
        <w:numPr>
          <w:ilvl w:val="0"/>
          <w:numId w:val="1"/>
        </w:numPr>
      </w:pPr>
      <w:r w:rsidRPr="009D14F3">
        <w:t xml:space="preserve">The irony of India's flawed argument is that, even though it is not required to, Australia </w:t>
      </w:r>
      <w:r w:rsidRPr="005852FA">
        <w:rPr>
          <w:u w:val="single"/>
        </w:rPr>
        <w:t>has</w:t>
      </w:r>
      <w:r w:rsidRPr="009D14F3">
        <w:t xml:space="preserve"> provided evidence of actual disbursements of funds under the following challenged measures:</w:t>
      </w:r>
      <w:r w:rsidRPr="009D14F3">
        <w:rPr>
          <w:vertAlign w:val="superscript"/>
        </w:rPr>
        <w:footnoteReference w:id="165"/>
      </w:r>
    </w:p>
    <w:p w14:paraId="49C1B90B" w14:textId="6D4ABD52" w:rsidR="009D14F3" w:rsidRPr="009D14F3" w:rsidRDefault="009D14F3" w:rsidP="009D14F3">
      <w:pPr>
        <w:numPr>
          <w:ilvl w:val="1"/>
          <w:numId w:val="1"/>
        </w:numPr>
        <w:spacing w:after="120"/>
      </w:pPr>
      <w:r w:rsidRPr="009D14F3">
        <w:t>the "Scheme for extending production subsidy to sugar mills" for the 2015</w:t>
      </w:r>
      <w:r w:rsidR="006E5217">
        <w:t xml:space="preserve">– </w:t>
      </w:r>
      <w:r w:rsidRPr="009D14F3">
        <w:t>16 sugar season</w:t>
      </w:r>
      <w:r w:rsidR="006E5217">
        <w:t>;</w:t>
      </w:r>
      <w:r w:rsidRPr="009D14F3">
        <w:rPr>
          <w:vertAlign w:val="superscript"/>
        </w:rPr>
        <w:footnoteReference w:id="166"/>
      </w:r>
    </w:p>
    <w:p w14:paraId="27E4B104" w14:textId="3DD1BCA4" w:rsidR="009D14F3" w:rsidRPr="009D14F3" w:rsidRDefault="009D14F3" w:rsidP="009D14F3">
      <w:pPr>
        <w:numPr>
          <w:ilvl w:val="1"/>
          <w:numId w:val="1"/>
        </w:numPr>
        <w:spacing w:after="120"/>
      </w:pPr>
      <w:r w:rsidRPr="009D14F3">
        <w:t>the "Scheme for Assistance to Sugar Mills" for the 2017</w:t>
      </w:r>
      <w:r w:rsidR="006E5217" w:rsidRPr="006E5217">
        <w:t>–</w:t>
      </w:r>
      <w:r w:rsidRPr="009D14F3">
        <w:t>18 sugar season</w:t>
      </w:r>
      <w:r w:rsidR="006E5217">
        <w:t>;</w:t>
      </w:r>
      <w:r w:rsidRPr="009D14F3">
        <w:rPr>
          <w:vertAlign w:val="superscript"/>
        </w:rPr>
        <w:footnoteReference w:id="167"/>
      </w:r>
    </w:p>
    <w:p w14:paraId="0B67AE03" w14:textId="0C356092" w:rsidR="009D14F3" w:rsidRPr="009D14F3" w:rsidRDefault="009D14F3" w:rsidP="009D14F3">
      <w:pPr>
        <w:numPr>
          <w:ilvl w:val="1"/>
          <w:numId w:val="1"/>
        </w:numPr>
        <w:spacing w:after="120"/>
      </w:pPr>
      <w:r w:rsidRPr="009D14F3">
        <w:t>the "Scheme for Assistance to Sugar Mills" for the 2018</w:t>
      </w:r>
      <w:r w:rsidR="006E5217" w:rsidRPr="006E5217">
        <w:t>–</w:t>
      </w:r>
      <w:r w:rsidRPr="009D14F3">
        <w:t>19 sugar season</w:t>
      </w:r>
      <w:r w:rsidR="006E5217">
        <w:t>;</w:t>
      </w:r>
      <w:r w:rsidRPr="009D14F3">
        <w:rPr>
          <w:vertAlign w:val="superscript"/>
        </w:rPr>
        <w:footnoteReference w:id="168"/>
      </w:r>
      <w:r w:rsidRPr="009D14F3">
        <w:t xml:space="preserve"> </w:t>
      </w:r>
    </w:p>
    <w:p w14:paraId="238B6E7A" w14:textId="0E5E9667" w:rsidR="009D14F3" w:rsidRPr="009D14F3" w:rsidRDefault="009D14F3" w:rsidP="009D14F3">
      <w:pPr>
        <w:numPr>
          <w:ilvl w:val="1"/>
          <w:numId w:val="1"/>
        </w:numPr>
        <w:spacing w:after="120"/>
      </w:pPr>
      <w:r w:rsidRPr="009D14F3">
        <w:t>the "Scheme for Creation and Maintenance of Buffer Stock of 30 Lakh MT" for the 2018</w:t>
      </w:r>
      <w:r w:rsidR="006E5217" w:rsidRPr="006E5217">
        <w:t>–</w:t>
      </w:r>
      <w:r w:rsidRPr="009D14F3">
        <w:t>19 sugar season</w:t>
      </w:r>
      <w:r w:rsidR="006E5217">
        <w:t>;</w:t>
      </w:r>
      <w:r w:rsidRPr="009D14F3">
        <w:rPr>
          <w:vertAlign w:val="superscript"/>
        </w:rPr>
        <w:footnoteReference w:id="169"/>
      </w:r>
      <w:r w:rsidRPr="009D14F3">
        <w:t xml:space="preserve"> and</w:t>
      </w:r>
    </w:p>
    <w:p w14:paraId="3719F971" w14:textId="77777777" w:rsidR="009D14F3" w:rsidRPr="009D14F3" w:rsidRDefault="009D14F3" w:rsidP="009D14F3">
      <w:pPr>
        <w:numPr>
          <w:ilvl w:val="1"/>
          <w:numId w:val="1"/>
        </w:numPr>
        <w:spacing w:after="120"/>
      </w:pPr>
      <w:r w:rsidRPr="009D14F3">
        <w:t>the MAEQ scheme.</w:t>
      </w:r>
      <w:r w:rsidRPr="009D14F3">
        <w:rPr>
          <w:vertAlign w:val="superscript"/>
        </w:rPr>
        <w:footnoteReference w:id="170"/>
      </w:r>
    </w:p>
    <w:p w14:paraId="7A832396" w14:textId="5F6C406E" w:rsidR="009D14F3" w:rsidRPr="009D14F3" w:rsidRDefault="009D14F3" w:rsidP="009D14F3">
      <w:pPr>
        <w:numPr>
          <w:ilvl w:val="0"/>
          <w:numId w:val="1"/>
        </w:numPr>
      </w:pPr>
      <w:r w:rsidRPr="009D14F3">
        <w:t xml:space="preserve">India </w:t>
      </w:r>
      <w:r w:rsidR="0063304C">
        <w:t>has</w:t>
      </w:r>
      <w:r w:rsidR="0063304C" w:rsidRPr="009D14F3">
        <w:t xml:space="preserve"> </w:t>
      </w:r>
      <w:r w:rsidRPr="009D14F3">
        <w:t>not dispute</w:t>
      </w:r>
      <w:r w:rsidR="0063304C">
        <w:t>d</w:t>
      </w:r>
      <w:r w:rsidRPr="009D14F3">
        <w:t xml:space="preserve"> this evidence.</w:t>
      </w:r>
    </w:p>
    <w:p w14:paraId="13F932E5" w14:textId="77777777" w:rsidR="009D14F3" w:rsidRPr="009D14F3" w:rsidRDefault="009D14F3" w:rsidP="009D14F3">
      <w:pPr>
        <w:keepNext/>
        <w:keepLines/>
        <w:numPr>
          <w:ilvl w:val="3"/>
          <w:numId w:val="2"/>
        </w:numPr>
        <w:outlineLvl w:val="3"/>
        <w:rPr>
          <w:rFonts w:eastAsiaTheme="majorEastAsia" w:cstheme="majorBidi"/>
          <w:iCs/>
          <w:u w:val="single"/>
        </w:rPr>
      </w:pPr>
      <w:bookmarkStart w:id="95" w:name="_Toc63797011"/>
      <w:bookmarkStart w:id="96" w:name="_Toc63966838"/>
      <w:r w:rsidRPr="009D14F3">
        <w:rPr>
          <w:rFonts w:eastAsiaTheme="majorEastAsia" w:cstheme="majorBidi"/>
          <w:iCs/>
          <w:u w:val="single"/>
        </w:rPr>
        <w:t>Footnote 1 of the SCM Agreement is not relevant to Australia's export subsidy claims under the Agreement on Agriculture</w:t>
      </w:r>
      <w:bookmarkEnd w:id="95"/>
      <w:bookmarkEnd w:id="96"/>
      <w:r w:rsidRPr="009D14F3">
        <w:rPr>
          <w:rFonts w:eastAsiaTheme="majorEastAsia" w:cstheme="majorBidi"/>
          <w:iCs/>
          <w:u w:val="single"/>
        </w:rPr>
        <w:t xml:space="preserve"> </w:t>
      </w:r>
    </w:p>
    <w:p w14:paraId="5A224957" w14:textId="50EAE3A2" w:rsidR="009D14F3" w:rsidRPr="009D14F3" w:rsidRDefault="009D14F3" w:rsidP="009D14F3">
      <w:pPr>
        <w:numPr>
          <w:ilvl w:val="0"/>
          <w:numId w:val="1"/>
        </w:numPr>
      </w:pPr>
      <w:r w:rsidRPr="009D14F3">
        <w:t>Australia notes India's argument concerning the relevance of footnote 1 of the SCM Agreement for interpreting the term "subsidy" or "subsidies" in the Agreement on Agriculture.</w:t>
      </w:r>
      <w:r w:rsidRPr="009D14F3">
        <w:rPr>
          <w:vertAlign w:val="superscript"/>
        </w:rPr>
        <w:footnoteReference w:id="171"/>
      </w:r>
      <w:r w:rsidRPr="009D14F3">
        <w:t xml:space="preserve">  As Australia explains in </w:t>
      </w:r>
      <w:r w:rsidR="007820BA">
        <w:t>Section </w:t>
      </w:r>
      <w:r w:rsidR="007820BA">
        <w:fldChar w:fldCharType="begin"/>
      </w:r>
      <w:r w:rsidR="007820BA">
        <w:instrText xml:space="preserve"> REF _Ref63862018 \w \h </w:instrText>
      </w:r>
      <w:r w:rsidR="007820BA">
        <w:fldChar w:fldCharType="separate"/>
      </w:r>
      <w:r w:rsidR="00FF2871">
        <w:t>III.D.2</w:t>
      </w:r>
      <w:r w:rsidR="007820BA">
        <w:fldChar w:fldCharType="end"/>
      </w:r>
      <w:r w:rsidRPr="009D14F3">
        <w:t xml:space="preserve"> below, the DFIA scheme does not fall within footnote 1.  Thus, Australia considers it unnecessary for the Panel to determine whether, as a matter of legal principle, measures falling within footnote 1 of the SCM Agreement would naturally be excluded from the scope of Article 9.1(a).  </w:t>
      </w:r>
    </w:p>
    <w:p w14:paraId="706479C0" w14:textId="77777777" w:rsidR="009D14F3" w:rsidRPr="009D14F3" w:rsidRDefault="009D14F3" w:rsidP="009D14F3">
      <w:pPr>
        <w:keepNext/>
        <w:keepLines/>
        <w:numPr>
          <w:ilvl w:val="1"/>
          <w:numId w:val="2"/>
        </w:numPr>
        <w:outlineLvl w:val="1"/>
        <w:rPr>
          <w:rFonts w:eastAsiaTheme="majorEastAsia" w:cstheme="majorBidi"/>
          <w:b/>
          <w:smallCaps/>
          <w:sz w:val="28"/>
          <w:szCs w:val="26"/>
        </w:rPr>
      </w:pPr>
      <w:bookmarkStart w:id="97" w:name="_Toc63763456"/>
      <w:bookmarkStart w:id="98" w:name="_Toc63763522"/>
      <w:bookmarkStart w:id="99" w:name="_Toc63797012"/>
      <w:bookmarkStart w:id="100" w:name="_Toc63347251"/>
      <w:bookmarkStart w:id="101" w:name="_Toc63353086"/>
      <w:bookmarkStart w:id="102" w:name="_Toc63353421"/>
      <w:bookmarkStart w:id="103" w:name="_Toc63353632"/>
      <w:bookmarkStart w:id="104" w:name="_Toc63353633"/>
      <w:bookmarkStart w:id="105" w:name="_Toc63797013"/>
      <w:bookmarkStart w:id="106" w:name="_Toc63966839"/>
      <w:bookmarkEnd w:id="97"/>
      <w:bookmarkEnd w:id="98"/>
      <w:bookmarkEnd w:id="99"/>
      <w:bookmarkEnd w:id="100"/>
      <w:bookmarkEnd w:id="101"/>
      <w:bookmarkEnd w:id="102"/>
      <w:bookmarkEnd w:id="103"/>
      <w:r w:rsidRPr="009D14F3">
        <w:rPr>
          <w:rFonts w:eastAsiaTheme="majorEastAsia" w:cstheme="majorBidi"/>
          <w:b/>
          <w:smallCaps/>
          <w:sz w:val="28"/>
          <w:szCs w:val="26"/>
        </w:rPr>
        <w:t>India has not established a defence under Article 9.4 of the Agreement on Agriculture in relation to the MAEQ scheme</w:t>
      </w:r>
      <w:bookmarkEnd w:id="104"/>
      <w:bookmarkEnd w:id="105"/>
      <w:bookmarkEnd w:id="106"/>
    </w:p>
    <w:p w14:paraId="599FB136" w14:textId="38D94D8B" w:rsidR="009D14F3" w:rsidRPr="009D14F3" w:rsidRDefault="009D14F3" w:rsidP="009D14F3">
      <w:pPr>
        <w:numPr>
          <w:ilvl w:val="0"/>
          <w:numId w:val="1"/>
        </w:numPr>
      </w:pPr>
      <w:r w:rsidRPr="009D14F3">
        <w:t>Australia has established that the MAEQ scheme is an export subsidy within the meaning of Article 9.1(a) of the Agreement on Agriculture.</w:t>
      </w:r>
      <w:r w:rsidRPr="009D14F3">
        <w:rPr>
          <w:vertAlign w:val="superscript"/>
        </w:rPr>
        <w:footnoteReference w:id="172"/>
      </w:r>
      <w:r w:rsidRPr="009D14F3">
        <w:t xml:space="preserve">  India agrees that the MAEQ scheme provides lump sum payments for every metric tonne (mT) of sugar exported</w:t>
      </w:r>
      <w:r w:rsidRPr="009D14F3">
        <w:rPr>
          <w:vertAlign w:val="superscript"/>
        </w:rPr>
        <w:footnoteReference w:id="173"/>
      </w:r>
      <w:r w:rsidRPr="009D14F3">
        <w:t xml:space="preserve"> and accepts that </w:t>
      </w:r>
      <w:r w:rsidR="00733957">
        <w:t>mills</w:t>
      </w:r>
      <w:r w:rsidRPr="009D14F3">
        <w:t xml:space="preserve"> must export at least 50</w:t>
      </w:r>
      <w:r w:rsidR="0014291A">
        <w:t xml:space="preserve"> per cent</w:t>
      </w:r>
      <w:r w:rsidR="0014291A" w:rsidRPr="009D14F3">
        <w:t xml:space="preserve"> </w:t>
      </w:r>
      <w:r w:rsidRPr="009D14F3">
        <w:t>of their MAEQ allocation</w:t>
      </w:r>
      <w:r w:rsidR="00C00943">
        <w:t>s</w:t>
      </w:r>
      <w:r w:rsidRPr="009D14F3">
        <w:t xml:space="preserve"> to be eligible to claim the assistance.</w:t>
      </w:r>
      <w:r w:rsidRPr="009D14F3">
        <w:rPr>
          <w:vertAlign w:val="superscript"/>
        </w:rPr>
        <w:footnoteReference w:id="174"/>
      </w:r>
    </w:p>
    <w:p w14:paraId="5E5E4533" w14:textId="6926657A" w:rsidR="009D14F3" w:rsidRPr="009D14F3" w:rsidRDefault="009D14F3" w:rsidP="009D14F3">
      <w:pPr>
        <w:numPr>
          <w:ilvl w:val="0"/>
          <w:numId w:val="1"/>
        </w:numPr>
      </w:pPr>
      <w:r w:rsidRPr="009D14F3">
        <w:t>However, in the alternative to its flawed argument that Australia has not established the existence of a subsidy in relation to the MAEQ scheme,</w:t>
      </w:r>
      <w:r w:rsidRPr="009D14F3">
        <w:rPr>
          <w:vertAlign w:val="superscript"/>
        </w:rPr>
        <w:footnoteReference w:id="175"/>
      </w:r>
      <w:r w:rsidRPr="009D14F3">
        <w:t xml:space="preserve"> India argues that the MAEQ scheme provide</w:t>
      </w:r>
      <w:r w:rsidR="00677FB4">
        <w:t>s</w:t>
      </w:r>
      <w:r w:rsidRPr="009D14F3">
        <w:t xml:space="preserve"> export subsidies </w:t>
      </w:r>
      <w:r w:rsidR="009B214D">
        <w:t xml:space="preserve">that fall </w:t>
      </w:r>
      <w:r w:rsidRPr="009D14F3">
        <w:t xml:space="preserve">within the meaning of Article 9.1(d) and (e) and </w:t>
      </w:r>
      <w:r w:rsidR="006E6DCD">
        <w:t>are therefore</w:t>
      </w:r>
      <w:r w:rsidRPr="009D14F3">
        <w:t xml:space="preserve"> permitted by virtue of Article 9.4.</w:t>
      </w:r>
      <w:r w:rsidRPr="009D14F3">
        <w:rPr>
          <w:vertAlign w:val="superscript"/>
        </w:rPr>
        <w:footnoteReference w:id="176"/>
      </w:r>
    </w:p>
    <w:p w14:paraId="61919489" w14:textId="77777777" w:rsidR="009D14F3" w:rsidRPr="009D14F3" w:rsidRDefault="009D14F3" w:rsidP="009D14F3">
      <w:pPr>
        <w:keepNext/>
        <w:keepLines/>
        <w:numPr>
          <w:ilvl w:val="2"/>
          <w:numId w:val="2"/>
        </w:numPr>
        <w:outlineLvl w:val="2"/>
        <w:rPr>
          <w:rFonts w:eastAsiaTheme="majorEastAsia" w:cstheme="majorBidi"/>
          <w:b/>
        </w:rPr>
      </w:pPr>
      <w:bookmarkStart w:id="107" w:name="_Toc63353634"/>
      <w:bookmarkStart w:id="108" w:name="_Toc63797014"/>
      <w:bookmarkStart w:id="109" w:name="_Toc63966840"/>
      <w:r w:rsidRPr="009D14F3">
        <w:rPr>
          <w:rFonts w:eastAsiaTheme="majorEastAsia" w:cstheme="majorBidi"/>
          <w:b/>
        </w:rPr>
        <w:t>Burden of proof</w:t>
      </w:r>
      <w:bookmarkEnd w:id="107"/>
      <w:bookmarkEnd w:id="108"/>
      <w:bookmarkEnd w:id="109"/>
    </w:p>
    <w:p w14:paraId="28FC31E6" w14:textId="1AA76CC3" w:rsidR="009D14F3" w:rsidRPr="009D14F3" w:rsidRDefault="009D14F3" w:rsidP="009D14F3">
      <w:pPr>
        <w:numPr>
          <w:ilvl w:val="0"/>
          <w:numId w:val="1"/>
        </w:numPr>
      </w:pPr>
      <w:r w:rsidRPr="009D14F3">
        <w:t xml:space="preserve">The principle that "the burden of proof rests upon the party, whether claiming or defending, who asserts the affirmative of a particular claim or defence" is </w:t>
      </w:r>
      <w:r w:rsidR="00FB3372" w:rsidRPr="009D14F3">
        <w:t>w</w:t>
      </w:r>
      <w:r w:rsidR="00FB3372">
        <w:t xml:space="preserve">idely </w:t>
      </w:r>
      <w:r w:rsidRPr="009D14F3">
        <w:t>accepted in WTO dispute settlement.</w:t>
      </w:r>
      <w:r w:rsidRPr="009D14F3">
        <w:rPr>
          <w:vertAlign w:val="superscript"/>
        </w:rPr>
        <w:footnoteReference w:id="177"/>
      </w:r>
      <w:r w:rsidRPr="009D14F3">
        <w:t xml:space="preserve">  Indeed, it is a </w:t>
      </w:r>
      <w:r w:rsidR="00677FB4">
        <w:t>principle</w:t>
      </w:r>
      <w:r w:rsidRPr="009D14F3">
        <w:t xml:space="preserve"> that accords with "normal international legal standards",</w:t>
      </w:r>
      <w:r w:rsidRPr="009D14F3">
        <w:rPr>
          <w:vertAlign w:val="superscript"/>
        </w:rPr>
        <w:footnoteReference w:id="178"/>
      </w:r>
      <w:r w:rsidRPr="009D14F3">
        <w:t xml:space="preserve"> and is "applicable in any adversarial proceedings".</w:t>
      </w:r>
      <w:r w:rsidRPr="009D14F3">
        <w:rPr>
          <w:vertAlign w:val="superscript"/>
        </w:rPr>
        <w:footnoteReference w:id="179"/>
      </w:r>
      <w:r w:rsidRPr="009D14F3">
        <w:t xml:space="preserve">  </w:t>
      </w:r>
    </w:p>
    <w:p w14:paraId="6E130E22" w14:textId="5475F8DE" w:rsidR="009D14F3" w:rsidRPr="009D14F3" w:rsidRDefault="009D14F3" w:rsidP="009D14F3">
      <w:pPr>
        <w:numPr>
          <w:ilvl w:val="0"/>
          <w:numId w:val="1"/>
        </w:numPr>
      </w:pPr>
      <w:r w:rsidRPr="009D14F3">
        <w:t>India agrees with this principle</w:t>
      </w:r>
      <w:r w:rsidR="006E6DCD">
        <w:t>,</w:t>
      </w:r>
      <w:r w:rsidRPr="009D14F3">
        <w:rPr>
          <w:vertAlign w:val="superscript"/>
        </w:rPr>
        <w:footnoteReference w:id="180"/>
      </w:r>
      <w:r w:rsidRPr="009D14F3">
        <w:t xml:space="preserve"> </w:t>
      </w:r>
      <w:r w:rsidR="006E6DCD">
        <w:t>y</w:t>
      </w:r>
      <w:r w:rsidRPr="009D14F3">
        <w:t xml:space="preserve">et, paradoxically, </w:t>
      </w:r>
      <w:r w:rsidR="006F0F94">
        <w:t>claims</w:t>
      </w:r>
      <w:r w:rsidRPr="009D14F3">
        <w:t xml:space="preserve"> that it is for Australia to </w:t>
      </w:r>
      <w:r w:rsidR="006E6DCD">
        <w:t>show</w:t>
      </w:r>
      <w:r w:rsidR="006E6DCD" w:rsidRPr="009D14F3">
        <w:t xml:space="preserve"> </w:t>
      </w:r>
      <w:r w:rsidRPr="009D14F3">
        <w:t>that the MAEQ scheme does not fall within Article 9.1(d) and (e).</w:t>
      </w:r>
      <w:r w:rsidRPr="009D14F3">
        <w:rPr>
          <w:vertAlign w:val="superscript"/>
        </w:rPr>
        <w:footnoteReference w:id="181"/>
      </w:r>
      <w:r w:rsidRPr="009D14F3">
        <w:t xml:space="preserve">  </w:t>
      </w:r>
    </w:p>
    <w:p w14:paraId="6C12166D" w14:textId="2CB0CB40" w:rsidR="009D14F3" w:rsidRPr="009D14F3" w:rsidRDefault="009D14F3" w:rsidP="009D14F3">
      <w:pPr>
        <w:numPr>
          <w:ilvl w:val="0"/>
          <w:numId w:val="1"/>
        </w:numPr>
      </w:pPr>
      <w:r w:rsidRPr="009D14F3">
        <w:t xml:space="preserve">Australia has established a </w:t>
      </w:r>
      <w:r w:rsidRPr="009D14F3">
        <w:rPr>
          <w:i/>
          <w:iCs/>
        </w:rPr>
        <w:t>prima facie</w:t>
      </w:r>
      <w:r w:rsidRPr="009D14F3">
        <w:t xml:space="preserve"> case of inconsistency with Articles 8 and 3.3, read together with Article 9.1(a).</w:t>
      </w:r>
      <w:r w:rsidRPr="009D14F3">
        <w:rPr>
          <w:vertAlign w:val="superscript"/>
        </w:rPr>
        <w:footnoteReference w:id="182"/>
      </w:r>
      <w:r w:rsidRPr="009D14F3">
        <w:t xml:space="preserve">  India has invoked Article 9.4 as an exception, or an affirmative defence.  Thus, unequivocally, it is for India to prove that the conditions of its defence are met.</w:t>
      </w:r>
      <w:r w:rsidRPr="009D14F3">
        <w:rPr>
          <w:vertAlign w:val="superscript"/>
        </w:rPr>
        <w:footnoteReference w:id="183"/>
      </w:r>
      <w:r w:rsidRPr="009D14F3">
        <w:t xml:space="preserve">  In Australia's view, this includes India providing sufficient evidence and argument to prove that the MAEQ scheme is an export subsidy within the meaning of either Article 9.1(d) or (e).  </w:t>
      </w:r>
    </w:p>
    <w:p w14:paraId="0CF338FB" w14:textId="66EE063A" w:rsidR="009D14F3" w:rsidRPr="009D14F3" w:rsidRDefault="009D14F3" w:rsidP="009D14F3">
      <w:pPr>
        <w:keepNext/>
        <w:keepLines/>
        <w:numPr>
          <w:ilvl w:val="2"/>
          <w:numId w:val="2"/>
        </w:numPr>
        <w:outlineLvl w:val="2"/>
        <w:rPr>
          <w:rFonts w:eastAsiaTheme="majorEastAsia" w:cstheme="majorBidi"/>
          <w:b/>
        </w:rPr>
      </w:pPr>
      <w:bookmarkStart w:id="110" w:name="_Toc63353635"/>
      <w:bookmarkStart w:id="111" w:name="_Toc63797015"/>
      <w:bookmarkStart w:id="112" w:name="_Toc63966841"/>
      <w:r w:rsidRPr="009D14F3">
        <w:rPr>
          <w:rFonts w:eastAsiaTheme="majorEastAsia" w:cstheme="majorBidi"/>
          <w:b/>
        </w:rPr>
        <w:t>Legal standard</w:t>
      </w:r>
      <w:r w:rsidR="00733957">
        <w:rPr>
          <w:rFonts w:eastAsiaTheme="majorEastAsia" w:cstheme="majorBidi"/>
          <w:b/>
        </w:rPr>
        <w:t>s</w:t>
      </w:r>
      <w:r w:rsidRPr="009D14F3">
        <w:rPr>
          <w:rFonts w:eastAsiaTheme="majorEastAsia" w:cstheme="majorBidi"/>
          <w:b/>
        </w:rPr>
        <w:t xml:space="preserve"> </w:t>
      </w:r>
      <w:r w:rsidR="002074BE">
        <w:rPr>
          <w:rFonts w:eastAsiaTheme="majorEastAsia" w:cstheme="majorBidi"/>
          <w:b/>
        </w:rPr>
        <w:t xml:space="preserve">applicable </w:t>
      </w:r>
      <w:r w:rsidRPr="009D14F3">
        <w:rPr>
          <w:rFonts w:eastAsiaTheme="majorEastAsia" w:cstheme="majorBidi"/>
          <w:b/>
        </w:rPr>
        <w:t>under Articles 9.1(d) and (e)</w:t>
      </w:r>
      <w:bookmarkEnd w:id="110"/>
      <w:bookmarkEnd w:id="111"/>
      <w:bookmarkEnd w:id="112"/>
    </w:p>
    <w:p w14:paraId="69DD9F84" w14:textId="3545228E" w:rsidR="009D14F3" w:rsidRPr="009D14F3" w:rsidRDefault="009D14F3" w:rsidP="009D14F3">
      <w:pPr>
        <w:numPr>
          <w:ilvl w:val="0"/>
          <w:numId w:val="1"/>
        </w:numPr>
      </w:pPr>
      <w:r w:rsidRPr="009D14F3">
        <w:t>Australia has outlined in detail the legal standard</w:t>
      </w:r>
      <w:r w:rsidR="002074BE">
        <w:t xml:space="preserve">s </w:t>
      </w:r>
      <w:r w:rsidR="002074BE" w:rsidRPr="009D14F3">
        <w:t>applicable</w:t>
      </w:r>
      <w:r w:rsidRPr="009D14F3">
        <w:t xml:space="preserve"> for determining whether a measure may properly be characterised as falling within Article 9.1(d) or (e).</w:t>
      </w:r>
      <w:r w:rsidRPr="009D14F3">
        <w:rPr>
          <w:vertAlign w:val="superscript"/>
        </w:rPr>
        <w:footnoteReference w:id="184"/>
      </w:r>
      <w:r w:rsidRPr="009D14F3">
        <w:t xml:space="preserve">  </w:t>
      </w:r>
    </w:p>
    <w:p w14:paraId="763D7CD7" w14:textId="77777777" w:rsidR="009D14F3" w:rsidRPr="009D14F3" w:rsidRDefault="009D14F3" w:rsidP="009D14F3">
      <w:pPr>
        <w:numPr>
          <w:ilvl w:val="0"/>
          <w:numId w:val="1"/>
        </w:numPr>
      </w:pPr>
      <w:r w:rsidRPr="009D14F3">
        <w:t xml:space="preserve">In short, to qualify as an export subsidy under Article 9.1(d), a subsidy must be provided for the </w:t>
      </w:r>
      <w:r w:rsidRPr="009D14F3">
        <w:rPr>
          <w:u w:val="single"/>
        </w:rPr>
        <w:t>distinct purpose</w:t>
      </w:r>
      <w:r w:rsidRPr="009D14F3">
        <w:t xml:space="preserve"> of covering</w:t>
      </w:r>
      <w:r w:rsidRPr="009D14F3" w:rsidDel="00C21232">
        <w:t xml:space="preserve"> </w:t>
      </w:r>
      <w:r w:rsidRPr="009D14F3">
        <w:t xml:space="preserve">"costs of marketing exports of agricultural products", including "the costs of international transport and freight".  Further, the relationship between the subsidy and marketing costs must be quantifiable, in that the purpose of the assistance must be to reduce, and not exceed, those costs.   </w:t>
      </w:r>
    </w:p>
    <w:p w14:paraId="2FEB47E8" w14:textId="79C215B4" w:rsidR="009D14F3" w:rsidRPr="009D14F3" w:rsidRDefault="009D14F3" w:rsidP="009D14F3">
      <w:pPr>
        <w:numPr>
          <w:ilvl w:val="0"/>
          <w:numId w:val="1"/>
        </w:numPr>
      </w:pPr>
      <w:r w:rsidRPr="009D14F3">
        <w:t xml:space="preserve">Export subsidies under Article 9.1(e) involve governmental actions undertaken for the </w:t>
      </w:r>
      <w:r w:rsidRPr="009D14F3">
        <w:rPr>
          <w:u w:val="single"/>
        </w:rPr>
        <w:t>distinct purpose</w:t>
      </w:r>
      <w:r w:rsidRPr="009D14F3">
        <w:t xml:space="preserve"> of creating advantageous conditions for "internal transport and freight charges on export shipments" vis-à-vis domestic shipments.  Again, the relationship between the subsidy and internal transport and freight charges must be quantifiable, in that</w:t>
      </w:r>
      <w:r w:rsidR="006F0F94">
        <w:t>, at a minimum,</w:t>
      </w:r>
      <w:r w:rsidRPr="009D14F3">
        <w:t xml:space="preserve"> the assistance must not exceed actual charges or costs.</w:t>
      </w:r>
    </w:p>
    <w:p w14:paraId="7032563C" w14:textId="77777777" w:rsidR="009D14F3" w:rsidRPr="009D14F3" w:rsidRDefault="009D14F3" w:rsidP="009D14F3">
      <w:pPr>
        <w:numPr>
          <w:ilvl w:val="0"/>
          <w:numId w:val="1"/>
        </w:numPr>
      </w:pPr>
      <w:r w:rsidRPr="009D14F3">
        <w:t>India agrees that Article 9.1(d) and (e) subsidies must not be "in excess of the costs incurred".</w:t>
      </w:r>
      <w:r w:rsidRPr="009D14F3">
        <w:rPr>
          <w:vertAlign w:val="superscript"/>
        </w:rPr>
        <w:footnoteReference w:id="185"/>
      </w:r>
    </w:p>
    <w:p w14:paraId="56233C86" w14:textId="291D5655" w:rsidR="009D14F3" w:rsidRPr="009D14F3" w:rsidRDefault="009D14F3" w:rsidP="009D14F3">
      <w:pPr>
        <w:keepNext/>
        <w:keepLines/>
        <w:numPr>
          <w:ilvl w:val="2"/>
          <w:numId w:val="2"/>
        </w:numPr>
        <w:outlineLvl w:val="2"/>
        <w:rPr>
          <w:rFonts w:eastAsiaTheme="majorEastAsia" w:cstheme="majorBidi"/>
          <w:b/>
        </w:rPr>
      </w:pPr>
      <w:bookmarkStart w:id="113" w:name="_Toc63353636"/>
      <w:bookmarkStart w:id="114" w:name="_Toc63797016"/>
      <w:bookmarkStart w:id="115" w:name="_Toc63966842"/>
      <w:r w:rsidRPr="009D14F3">
        <w:rPr>
          <w:rFonts w:eastAsiaTheme="majorEastAsia" w:cstheme="majorBidi"/>
          <w:b/>
        </w:rPr>
        <w:t xml:space="preserve">India has failed to </w:t>
      </w:r>
      <w:r w:rsidR="00733957">
        <w:rPr>
          <w:rFonts w:eastAsiaTheme="majorEastAsia" w:cstheme="majorBidi"/>
          <w:b/>
        </w:rPr>
        <w:t>prove</w:t>
      </w:r>
      <w:r w:rsidR="00733957" w:rsidRPr="009D14F3">
        <w:rPr>
          <w:rFonts w:eastAsiaTheme="majorEastAsia" w:cstheme="majorBidi"/>
          <w:b/>
        </w:rPr>
        <w:t xml:space="preserve"> </w:t>
      </w:r>
      <w:r w:rsidRPr="009D14F3">
        <w:rPr>
          <w:rFonts w:eastAsiaTheme="majorEastAsia" w:cstheme="majorBidi"/>
          <w:b/>
        </w:rPr>
        <w:t xml:space="preserve">that the MAEQ scheme meets the legal standards </w:t>
      </w:r>
      <w:r w:rsidR="002074BE">
        <w:rPr>
          <w:rFonts w:eastAsiaTheme="majorEastAsia" w:cstheme="majorBidi"/>
          <w:b/>
        </w:rPr>
        <w:t xml:space="preserve">applicable </w:t>
      </w:r>
      <w:r w:rsidRPr="009D14F3">
        <w:rPr>
          <w:rFonts w:eastAsiaTheme="majorEastAsia" w:cstheme="majorBidi"/>
          <w:b/>
        </w:rPr>
        <w:t>under Articles 9.1(d) and (e)</w:t>
      </w:r>
      <w:bookmarkEnd w:id="113"/>
      <w:bookmarkEnd w:id="114"/>
      <w:bookmarkEnd w:id="115"/>
    </w:p>
    <w:p w14:paraId="28758A7B" w14:textId="0D18DAA7" w:rsidR="000654BB" w:rsidRDefault="009D14F3" w:rsidP="009D14F3">
      <w:pPr>
        <w:numPr>
          <w:ilvl w:val="0"/>
          <w:numId w:val="1"/>
        </w:numPr>
      </w:pPr>
      <w:r w:rsidRPr="009D14F3">
        <w:t>Although Australia bears no burden of proving that the MAEQ scheme does not fall under Article 9.1(d) or (e), Australia</w:t>
      </w:r>
      <w:r w:rsidR="0063304C">
        <w:t xml:space="preserve"> (with Brazil and Guatemala)</w:t>
      </w:r>
      <w:r w:rsidRPr="009D14F3">
        <w:t xml:space="preserve"> has pointed to ample evidence demonstrating that India does not provide assistance under the MAEQ scheme for the requisite purpose of either Article</w:t>
      </w:r>
      <w:r w:rsidR="0063304C">
        <w:t xml:space="preserve"> 9.1(d) or (e)</w:t>
      </w:r>
      <w:r w:rsidRPr="009D14F3">
        <w:t>.</w:t>
      </w:r>
      <w:r w:rsidRPr="009D14F3">
        <w:rPr>
          <w:vertAlign w:val="superscript"/>
        </w:rPr>
        <w:footnoteReference w:id="186"/>
      </w:r>
      <w:r w:rsidRPr="009D14F3">
        <w:t xml:space="preserve">  </w:t>
      </w:r>
    </w:p>
    <w:p w14:paraId="20D5BCEB" w14:textId="70ADC092" w:rsidR="009D14F3" w:rsidRPr="009D14F3" w:rsidRDefault="009D14F3" w:rsidP="009D14F3">
      <w:pPr>
        <w:numPr>
          <w:ilvl w:val="0"/>
          <w:numId w:val="1"/>
        </w:numPr>
      </w:pPr>
      <w:r w:rsidRPr="009D14F3">
        <w:t>Rather, the evidence of the MAEQ scheme's design, structure and operation shows that the measure serves the clear purposes of assisting mills to offset the cost of purchasing sugarcane and incentivising exports by making eligibility to claim assistance conditional on meeting an export target.</w:t>
      </w:r>
      <w:r w:rsidRPr="009D14F3">
        <w:rPr>
          <w:vertAlign w:val="superscript"/>
        </w:rPr>
        <w:footnoteReference w:id="187"/>
      </w:r>
      <w:r w:rsidRPr="009D14F3">
        <w:t xml:space="preserve">  In all </w:t>
      </w:r>
      <w:r w:rsidRPr="009D14F3">
        <w:rPr>
          <w:u w:val="single"/>
        </w:rPr>
        <w:t>material</w:t>
      </w:r>
      <w:r w:rsidRPr="009D14F3">
        <w:t xml:space="preserve"> aspects, the measure is the same in essence as India's production and buffer stock subsidy schemes.</w:t>
      </w:r>
      <w:r w:rsidRPr="009D14F3">
        <w:rPr>
          <w:vertAlign w:val="superscript"/>
        </w:rPr>
        <w:footnoteReference w:id="188"/>
      </w:r>
      <w:r w:rsidRPr="009D14F3">
        <w:t xml:space="preserve">  </w:t>
      </w:r>
    </w:p>
    <w:p w14:paraId="42BD4DDA" w14:textId="77777777" w:rsidR="009D14F3" w:rsidRPr="009D14F3" w:rsidRDefault="009D14F3" w:rsidP="009D14F3">
      <w:pPr>
        <w:numPr>
          <w:ilvl w:val="0"/>
          <w:numId w:val="1"/>
        </w:numPr>
      </w:pPr>
      <w:r w:rsidRPr="009D14F3">
        <w:t xml:space="preserve">India has made limited arguments concerning: </w:t>
      </w:r>
    </w:p>
    <w:p w14:paraId="73606CCC" w14:textId="77777777" w:rsidR="009D14F3" w:rsidRPr="009D14F3" w:rsidRDefault="009D14F3" w:rsidP="009D14F3">
      <w:pPr>
        <w:numPr>
          <w:ilvl w:val="1"/>
          <w:numId w:val="1"/>
        </w:numPr>
        <w:spacing w:after="120"/>
      </w:pPr>
      <w:r w:rsidRPr="009D14F3">
        <w:t xml:space="preserve">the content of the MAEQ scheme's notification; and </w:t>
      </w:r>
    </w:p>
    <w:p w14:paraId="553ACEAF" w14:textId="77777777" w:rsidR="009D14F3" w:rsidRPr="009D14F3" w:rsidRDefault="009D14F3" w:rsidP="009D14F3">
      <w:pPr>
        <w:numPr>
          <w:ilvl w:val="1"/>
          <w:numId w:val="1"/>
        </w:numPr>
        <w:spacing w:after="120"/>
      </w:pPr>
      <w:r w:rsidRPr="009D14F3">
        <w:t xml:space="preserve">the scheme's design, structure and operation.  </w:t>
      </w:r>
    </w:p>
    <w:p w14:paraId="4C180416" w14:textId="43AB4504" w:rsidR="009D14F3" w:rsidRPr="009D14F3" w:rsidRDefault="000654BB" w:rsidP="009D14F3">
      <w:pPr>
        <w:numPr>
          <w:ilvl w:val="0"/>
          <w:numId w:val="1"/>
        </w:numPr>
      </w:pPr>
      <w:r>
        <w:t xml:space="preserve">These arguments fall short of substantiating India's defence.  </w:t>
      </w:r>
      <w:r w:rsidR="009D14F3" w:rsidRPr="009D14F3">
        <w:t>Australia addresses the</w:t>
      </w:r>
      <w:r>
        <w:t>m</w:t>
      </w:r>
      <w:r w:rsidR="009D14F3" w:rsidRPr="009D14F3">
        <w:t xml:space="preserve"> in turn.</w:t>
      </w:r>
    </w:p>
    <w:p w14:paraId="5061AB24" w14:textId="372D4724" w:rsidR="009D14F3" w:rsidRPr="009D14F3" w:rsidRDefault="009D14F3" w:rsidP="009D14F3">
      <w:pPr>
        <w:keepNext/>
        <w:keepLines/>
        <w:numPr>
          <w:ilvl w:val="3"/>
          <w:numId w:val="2"/>
        </w:numPr>
        <w:outlineLvl w:val="3"/>
        <w:rPr>
          <w:rFonts w:eastAsiaTheme="majorEastAsia" w:cstheme="majorBidi"/>
          <w:iCs/>
          <w:u w:val="single"/>
        </w:rPr>
      </w:pPr>
      <w:bookmarkStart w:id="116" w:name="_Toc63797017"/>
      <w:bookmarkStart w:id="117" w:name="_Toc63966843"/>
      <w:r w:rsidRPr="009D14F3">
        <w:rPr>
          <w:rFonts w:eastAsiaTheme="majorEastAsia" w:cstheme="majorBidi"/>
          <w:iCs/>
          <w:u w:val="single"/>
        </w:rPr>
        <w:t>The Panel should reject India's selective reading of the</w:t>
      </w:r>
      <w:r w:rsidR="00733957">
        <w:rPr>
          <w:rFonts w:eastAsiaTheme="majorEastAsia" w:cstheme="majorBidi"/>
          <w:iCs/>
          <w:u w:val="single"/>
        </w:rPr>
        <w:t xml:space="preserve"> legal instrument notifying the</w:t>
      </w:r>
      <w:r w:rsidRPr="009D14F3">
        <w:rPr>
          <w:rFonts w:eastAsiaTheme="majorEastAsia" w:cstheme="majorBidi"/>
          <w:iCs/>
          <w:u w:val="single"/>
        </w:rPr>
        <w:t xml:space="preserve"> MAEQ</w:t>
      </w:r>
      <w:bookmarkEnd w:id="116"/>
      <w:r w:rsidR="00733957">
        <w:rPr>
          <w:rFonts w:eastAsiaTheme="majorEastAsia" w:cstheme="majorBidi"/>
          <w:iCs/>
          <w:u w:val="single"/>
        </w:rPr>
        <w:t xml:space="preserve"> scheme</w:t>
      </w:r>
      <w:bookmarkEnd w:id="117"/>
    </w:p>
    <w:p w14:paraId="4DEF542D" w14:textId="17B5695D" w:rsidR="009D14F3" w:rsidRPr="009D14F3" w:rsidRDefault="009D14F3" w:rsidP="009D14F3">
      <w:pPr>
        <w:numPr>
          <w:ilvl w:val="0"/>
          <w:numId w:val="1"/>
        </w:numPr>
      </w:pPr>
      <w:r w:rsidRPr="009D14F3">
        <w:t>India highlight</w:t>
      </w:r>
      <w:r w:rsidR="00665EE3">
        <w:t>s</w:t>
      </w:r>
      <w:r w:rsidRPr="009D14F3">
        <w:t xml:space="preserve"> wording used in paragraph 3</w:t>
      </w:r>
      <w:r w:rsidR="00B81547">
        <w:t xml:space="preserve"> of one of the legal instruments notifying the MAEQ scheme</w:t>
      </w:r>
      <w:r w:rsidRPr="009D14F3">
        <w:t xml:space="preserve"> that partially replicates the wording of Articles 9.1(d) and (e)</w:t>
      </w:r>
      <w:r w:rsidR="000542A0">
        <w:t>.</w:t>
      </w:r>
      <w:r w:rsidRPr="009D14F3">
        <w:rPr>
          <w:vertAlign w:val="superscript"/>
        </w:rPr>
        <w:footnoteReference w:id="189"/>
      </w:r>
      <w:r w:rsidRPr="009D14F3">
        <w:t xml:space="preserve"> </w:t>
      </w:r>
      <w:r w:rsidR="000542A0">
        <w:t xml:space="preserve"> It </w:t>
      </w:r>
      <w:r w:rsidR="00743F93">
        <w:t>asserts</w:t>
      </w:r>
      <w:r w:rsidR="00B81547" w:rsidRPr="009D14F3">
        <w:t xml:space="preserve"> </w:t>
      </w:r>
      <w:r w:rsidRPr="009D14F3">
        <w:t>that this text "expressly states that the assistance is provided towards expenses on marketing costs including handling, upgrading and other processing costs and costs of international and internal transport and freight charges on export of sugar".</w:t>
      </w:r>
      <w:r w:rsidRPr="009D14F3">
        <w:rPr>
          <w:vertAlign w:val="superscript"/>
        </w:rPr>
        <w:footnoteReference w:id="190"/>
      </w:r>
      <w:r w:rsidRPr="009D14F3">
        <w:t xml:space="preserve"> </w:t>
      </w:r>
    </w:p>
    <w:p w14:paraId="717D22DA" w14:textId="32AEED52" w:rsidR="009D14F3" w:rsidRPr="009D14F3" w:rsidRDefault="009D14F3" w:rsidP="009D14F3">
      <w:pPr>
        <w:numPr>
          <w:ilvl w:val="0"/>
          <w:numId w:val="1"/>
        </w:numPr>
      </w:pPr>
      <w:r w:rsidRPr="009D14F3">
        <w:t xml:space="preserve">To accept </w:t>
      </w:r>
      <w:r w:rsidR="000542A0">
        <w:t xml:space="preserve">the notification's wording as evidence of its purpose </w:t>
      </w:r>
      <w:r w:rsidRPr="009D14F3">
        <w:t>would be to defer to India's characterisation of its own municipal law, as opposed to conducting an objective analysis of the instrument.</w:t>
      </w:r>
      <w:r w:rsidRPr="009D14F3">
        <w:rPr>
          <w:vertAlign w:val="superscript"/>
        </w:rPr>
        <w:footnoteReference w:id="191"/>
      </w:r>
      <w:r w:rsidRPr="009D14F3">
        <w:t xml:space="preserve">   </w:t>
      </w:r>
    </w:p>
    <w:p w14:paraId="68AF0399" w14:textId="4A256A18" w:rsidR="009D14F3" w:rsidRPr="009D14F3" w:rsidRDefault="009D14F3" w:rsidP="009D14F3">
      <w:pPr>
        <w:numPr>
          <w:ilvl w:val="0"/>
          <w:numId w:val="1"/>
        </w:numPr>
      </w:pPr>
      <w:r w:rsidRPr="009D14F3">
        <w:t>On an objective reading of the notification as a whole, the words used in paragraph 3 do not provide sufficient evidence to enable the Panel to conclude that the</w:t>
      </w:r>
      <w:r w:rsidR="00B81547">
        <w:t xml:space="preserve"> MAEQ</w:t>
      </w:r>
      <w:r w:rsidRPr="009D14F3">
        <w:t xml:space="preserve"> scheme falls within Article 9.1(d) or (e).  The words of paragraph 3 alone do not overcome competing evidence, on the face of the notification, that the subsidy is paid to satisfy cane dues owed to sugarcane farmers for the 2019–20 sugar season and arrears from previous sugar seasons.</w:t>
      </w:r>
      <w:r w:rsidRPr="009D14F3">
        <w:rPr>
          <w:vertAlign w:val="superscript"/>
        </w:rPr>
        <w:footnoteReference w:id="192"/>
      </w:r>
      <w:r w:rsidRPr="009D14F3">
        <w:t xml:space="preserve">  The notification demonstrates that the financial assistance is credited directly into sugarcane farmers' bank accounts to satisfy debts,</w:t>
      </w:r>
      <w:r w:rsidRPr="009D14F3">
        <w:rPr>
          <w:vertAlign w:val="superscript"/>
        </w:rPr>
        <w:footnoteReference w:id="193"/>
      </w:r>
      <w:r w:rsidRPr="009D14F3">
        <w:t xml:space="preserve"> and that mills must certify that the assistance has been used for that purpose.</w:t>
      </w:r>
      <w:r w:rsidRPr="009D14F3">
        <w:rPr>
          <w:vertAlign w:val="superscript"/>
        </w:rPr>
        <w:footnoteReference w:id="194"/>
      </w:r>
      <w:r w:rsidRPr="009D14F3">
        <w:t xml:space="preserve">  </w:t>
      </w:r>
    </w:p>
    <w:p w14:paraId="1D29EEE8" w14:textId="12234EED" w:rsidR="009D14F3" w:rsidRPr="009D14F3" w:rsidRDefault="009D14F3" w:rsidP="009D14F3">
      <w:pPr>
        <w:numPr>
          <w:ilvl w:val="0"/>
          <w:numId w:val="1"/>
        </w:numPr>
      </w:pPr>
      <w:r w:rsidRPr="009D14F3">
        <w:t xml:space="preserve">By contrast, the notification does not contain any provision </w:t>
      </w:r>
      <w:r w:rsidR="00B81547">
        <w:t>demonstrating</w:t>
      </w:r>
      <w:r w:rsidR="00B81547" w:rsidRPr="009D14F3">
        <w:t xml:space="preserve"> </w:t>
      </w:r>
      <w:r w:rsidRPr="009D14F3">
        <w:t>that the subsidy is linked to the payment of actual costs of marketing exports or internal transport</w:t>
      </w:r>
      <w:r w:rsidR="00B81547">
        <w:t xml:space="preserve"> and freight</w:t>
      </w:r>
      <w:r w:rsidRPr="009D14F3">
        <w:t xml:space="preserve"> costs, as India claims.  For example, the notification does not require mills to prove that they have incurred any marketing costs or internal</w:t>
      </w:r>
      <w:r w:rsidR="00D907DD">
        <w:t xml:space="preserve"> </w:t>
      </w:r>
      <w:r w:rsidRPr="009D14F3">
        <w:t>transport</w:t>
      </w:r>
      <w:r w:rsidR="00D907DD">
        <w:t xml:space="preserve"> and freight</w:t>
      </w:r>
      <w:r w:rsidRPr="009D14F3">
        <w:t xml:space="preserve"> costs.</w:t>
      </w:r>
      <w:r w:rsidRPr="009D14F3">
        <w:rPr>
          <w:vertAlign w:val="superscript"/>
        </w:rPr>
        <w:footnoteReference w:id="195"/>
      </w:r>
      <w:r w:rsidRPr="009D14F3">
        <w:t xml:space="preserve">  It only requires them to prove they have exported.</w:t>
      </w:r>
      <w:r w:rsidRPr="009D14F3">
        <w:rPr>
          <w:vertAlign w:val="superscript"/>
        </w:rPr>
        <w:footnoteReference w:id="196"/>
      </w:r>
      <w:r w:rsidRPr="009D14F3">
        <w:t xml:space="preserve">  The only metric used to calculate the subsidy's value is the number of tonnes of sugar exported.</w:t>
      </w:r>
      <w:r w:rsidRPr="009D14F3">
        <w:rPr>
          <w:vertAlign w:val="superscript"/>
        </w:rPr>
        <w:footnoteReference w:id="197"/>
      </w:r>
      <w:r w:rsidRPr="009D14F3">
        <w:t xml:space="preserve">  Actual costs of marketing or transport</w:t>
      </w:r>
      <w:r w:rsidR="00D907DD">
        <w:t xml:space="preserve"> and freight</w:t>
      </w:r>
      <w:r w:rsidRPr="009D14F3">
        <w:t xml:space="preserve"> are not a relevant consideration.</w:t>
      </w:r>
      <w:r w:rsidRPr="009D14F3">
        <w:rPr>
          <w:vertAlign w:val="superscript"/>
        </w:rPr>
        <w:footnoteReference w:id="198"/>
      </w:r>
    </w:p>
    <w:p w14:paraId="629D9BCA" w14:textId="15721485" w:rsidR="00A0115D" w:rsidRDefault="00FA0A97" w:rsidP="009D14F3">
      <w:pPr>
        <w:numPr>
          <w:ilvl w:val="0"/>
          <w:numId w:val="1"/>
        </w:numPr>
      </w:pPr>
      <w:r>
        <w:t>Faced with</w:t>
      </w:r>
      <w:r w:rsidR="009D14F3" w:rsidRPr="009D14F3">
        <w:t xml:space="preserve"> clear evidence that contradicts its arguments, India states that</w:t>
      </w:r>
      <w:r w:rsidR="00A0115D">
        <w:t>:</w:t>
      </w:r>
    </w:p>
    <w:p w14:paraId="6CBF0A74" w14:textId="4B0157F7" w:rsidR="009D14F3" w:rsidRPr="009D14F3" w:rsidRDefault="009D14F3" w:rsidP="008205BC">
      <w:pPr>
        <w:pStyle w:val="QQuotation"/>
      </w:pPr>
      <w:r w:rsidRPr="009D14F3">
        <w:t>[t]here is no legal requirement under Article 9.1(d) and (e) for the legal instrument providing the assistance to contain the methodology of the assistance provided, or to demonstrate how the assistance provided is linked to the types of costs incurred under Articles 9.1(d) and (d)</w:t>
      </w:r>
      <w:r w:rsidR="007820BA">
        <w:t> </w:t>
      </w:r>
      <w:r w:rsidRPr="009D14F3">
        <w:t>[sic].</w:t>
      </w:r>
      <w:r w:rsidRPr="009D14F3">
        <w:rPr>
          <w:vertAlign w:val="superscript"/>
        </w:rPr>
        <w:footnoteReference w:id="199"/>
      </w:r>
      <w:r w:rsidRPr="009D14F3">
        <w:t xml:space="preserve">  </w:t>
      </w:r>
    </w:p>
    <w:p w14:paraId="7800EB9D" w14:textId="48EE122B" w:rsidR="009D14F3" w:rsidRPr="009D14F3" w:rsidRDefault="009D14F3" w:rsidP="009D14F3">
      <w:pPr>
        <w:numPr>
          <w:ilvl w:val="0"/>
          <w:numId w:val="1"/>
        </w:numPr>
      </w:pPr>
      <w:r w:rsidRPr="009D14F3">
        <w:t xml:space="preserve">Australia agrees that Articles 9.1(d) and (e) do not impose requirements concerning, specifically, the content of the legal instruments that reflect a measure.  However, </w:t>
      </w:r>
      <w:r w:rsidR="005354E0">
        <w:t>this</w:t>
      </w:r>
      <w:r w:rsidRPr="009D14F3">
        <w:t xml:space="preserve"> observation is beside the point.  Legal instruments can serve as evidence of a measure's operation.</w:t>
      </w:r>
      <w:r w:rsidRPr="009D14F3">
        <w:rPr>
          <w:vertAlign w:val="superscript"/>
        </w:rPr>
        <w:footnoteReference w:id="200"/>
      </w:r>
      <w:r w:rsidRPr="009D14F3">
        <w:t xml:space="preserve">  To that end, India has engaged in a selective reading of the MAEQ </w:t>
      </w:r>
      <w:r w:rsidR="00D907DD">
        <w:t xml:space="preserve">scheme </w:t>
      </w:r>
      <w:r w:rsidRPr="009D14F3">
        <w:t xml:space="preserve">notification.  The result is that India has failed to explain how the text of the notification supports its assertion that the MAEQ scheme is an export subsidy within the meaning of Articles 9.1(d) and (e).  </w:t>
      </w:r>
    </w:p>
    <w:p w14:paraId="565BE064" w14:textId="77777777" w:rsidR="009D14F3" w:rsidRPr="009D14F3" w:rsidRDefault="009D14F3" w:rsidP="009D14F3">
      <w:pPr>
        <w:keepNext/>
        <w:keepLines/>
        <w:numPr>
          <w:ilvl w:val="3"/>
          <w:numId w:val="2"/>
        </w:numPr>
        <w:outlineLvl w:val="3"/>
        <w:rPr>
          <w:rFonts w:eastAsiaTheme="majorEastAsia" w:cstheme="majorBidi"/>
          <w:iCs/>
          <w:u w:val="single"/>
        </w:rPr>
      </w:pPr>
      <w:bookmarkStart w:id="118" w:name="_Toc63797018"/>
      <w:bookmarkStart w:id="119" w:name="_Toc63966844"/>
      <w:r w:rsidRPr="009D14F3">
        <w:rPr>
          <w:rFonts w:eastAsiaTheme="majorEastAsia" w:cstheme="majorBidi"/>
          <w:iCs/>
          <w:u w:val="single"/>
        </w:rPr>
        <w:t>The Panel should reject India's arguments regarding the MAEQ scheme's design, structure and operation</w:t>
      </w:r>
      <w:bookmarkEnd w:id="118"/>
      <w:bookmarkEnd w:id="119"/>
    </w:p>
    <w:p w14:paraId="1DBC4DFF" w14:textId="77777777" w:rsidR="009D14F3" w:rsidRPr="009D14F3" w:rsidRDefault="009D14F3" w:rsidP="009D14F3">
      <w:pPr>
        <w:keepNext/>
        <w:numPr>
          <w:ilvl w:val="0"/>
          <w:numId w:val="1"/>
        </w:numPr>
      </w:pPr>
      <w:r w:rsidRPr="009D14F3">
        <w:t>Regarding the MAEQ scheme's design, structure and operation, India has argued that:</w:t>
      </w:r>
    </w:p>
    <w:p w14:paraId="5C08F82A" w14:textId="5FBF34FD" w:rsidR="009D14F3" w:rsidRPr="009D14F3" w:rsidRDefault="009D14F3" w:rsidP="009D14F3">
      <w:pPr>
        <w:numPr>
          <w:ilvl w:val="1"/>
          <w:numId w:val="1"/>
        </w:numPr>
        <w:spacing w:after="120"/>
      </w:pPr>
      <w:r w:rsidRPr="009D14F3">
        <w:t xml:space="preserve">MAEQ </w:t>
      </w:r>
      <w:r w:rsidR="00D907DD">
        <w:t>scheme subsidies</w:t>
      </w:r>
      <w:r w:rsidR="00D907DD" w:rsidRPr="009D14F3">
        <w:t xml:space="preserve"> </w:t>
      </w:r>
      <w:r w:rsidRPr="009D14F3">
        <w:t>"improve the liquidity of the sugar mills, ultimately reducing the cost of transport and marketing costs incurred"</w:t>
      </w:r>
      <w:r w:rsidR="007820BA">
        <w:t>;</w:t>
      </w:r>
      <w:r w:rsidRPr="009D14F3">
        <w:rPr>
          <w:vertAlign w:val="superscript"/>
        </w:rPr>
        <w:footnoteReference w:id="201"/>
      </w:r>
      <w:r w:rsidRPr="009D14F3">
        <w:t xml:space="preserve"> and </w:t>
      </w:r>
    </w:p>
    <w:p w14:paraId="5F255CDD" w14:textId="77777777" w:rsidR="009D14F3" w:rsidRPr="009D14F3" w:rsidRDefault="009D14F3" w:rsidP="009D14F3">
      <w:pPr>
        <w:numPr>
          <w:ilvl w:val="1"/>
          <w:numId w:val="1"/>
        </w:numPr>
        <w:spacing w:after="120"/>
      </w:pPr>
      <w:r w:rsidRPr="009D14F3">
        <w:t>"the amount of assistance provided has been calculated based on extensive stakeholder consultation such that the lump sum amount arrived at does not exceed the costs typically incurred by a sugar mill towards such expenses".</w:t>
      </w:r>
      <w:r w:rsidRPr="009D14F3">
        <w:rPr>
          <w:vertAlign w:val="superscript"/>
        </w:rPr>
        <w:footnoteReference w:id="202"/>
      </w:r>
    </w:p>
    <w:p w14:paraId="376882EC" w14:textId="77777777" w:rsidR="009D14F3" w:rsidRPr="009D14F3" w:rsidRDefault="009D14F3" w:rsidP="009D14F3">
      <w:pPr>
        <w:numPr>
          <w:ilvl w:val="0"/>
          <w:numId w:val="1"/>
        </w:numPr>
      </w:pPr>
      <w:r w:rsidRPr="009D14F3">
        <w:t>Australia addresses these arguments in turn.</w:t>
      </w:r>
    </w:p>
    <w:p w14:paraId="3F735C25" w14:textId="5DD2CDE9" w:rsidR="009D14F3" w:rsidRPr="009D14F3" w:rsidRDefault="009D14F3" w:rsidP="009D14F3">
      <w:pPr>
        <w:keepNext/>
        <w:keepLines/>
        <w:numPr>
          <w:ilvl w:val="4"/>
          <w:numId w:val="2"/>
        </w:numPr>
        <w:outlineLvl w:val="4"/>
        <w:rPr>
          <w:rFonts w:eastAsiaTheme="majorEastAsia" w:cstheme="majorBidi"/>
          <w:i/>
        </w:rPr>
      </w:pPr>
      <w:bookmarkStart w:id="120" w:name="_Toc63797019"/>
      <w:bookmarkStart w:id="121" w:name="_Toc63966845"/>
      <w:r w:rsidRPr="009D14F3">
        <w:rPr>
          <w:rFonts w:eastAsiaTheme="majorEastAsia" w:cstheme="majorBidi"/>
          <w:i/>
        </w:rPr>
        <w:t xml:space="preserve">India's "liquidity" argument does not support its assertion that the MAEQ scheme satisfies </w:t>
      </w:r>
      <w:r w:rsidR="00313C10">
        <w:rPr>
          <w:rFonts w:eastAsiaTheme="majorEastAsia" w:cstheme="majorBidi"/>
          <w:i/>
        </w:rPr>
        <w:t xml:space="preserve">the legal standards applicable under </w:t>
      </w:r>
      <w:r w:rsidRPr="009D14F3">
        <w:rPr>
          <w:rFonts w:eastAsiaTheme="majorEastAsia" w:cstheme="majorBidi"/>
          <w:i/>
        </w:rPr>
        <w:t>Articles</w:t>
      </w:r>
      <w:r w:rsidR="007820BA">
        <w:rPr>
          <w:rFonts w:eastAsiaTheme="majorEastAsia" w:cstheme="majorBidi"/>
          <w:i/>
        </w:rPr>
        <w:t> </w:t>
      </w:r>
      <w:r w:rsidRPr="009D14F3">
        <w:rPr>
          <w:rFonts w:eastAsiaTheme="majorEastAsia" w:cstheme="majorBidi"/>
          <w:i/>
        </w:rPr>
        <w:t>9.1(d) and (e)</w:t>
      </w:r>
      <w:bookmarkEnd w:id="120"/>
      <w:bookmarkEnd w:id="121"/>
    </w:p>
    <w:p w14:paraId="47A2CB10" w14:textId="77777777" w:rsidR="009D14F3" w:rsidRPr="009D14F3" w:rsidRDefault="009D14F3" w:rsidP="009D14F3">
      <w:pPr>
        <w:keepNext/>
        <w:numPr>
          <w:ilvl w:val="0"/>
          <w:numId w:val="1"/>
        </w:numPr>
      </w:pPr>
      <w:r w:rsidRPr="009D14F3">
        <w:t>India claims:</w:t>
      </w:r>
    </w:p>
    <w:p w14:paraId="4B54F390" w14:textId="77777777" w:rsidR="009D14F3" w:rsidRPr="009D14F3" w:rsidRDefault="009D14F3" w:rsidP="009D14F3">
      <w:pPr>
        <w:spacing w:after="240" w:line="276" w:lineRule="auto"/>
        <w:ind w:left="851"/>
        <w:rPr>
          <w:sz w:val="22"/>
        </w:rPr>
      </w:pPr>
      <w:r w:rsidRPr="009D14F3">
        <w:rPr>
          <w:sz w:val="22"/>
        </w:rPr>
        <w:t>The complainants… have emphasized that the amount provided under the MAEQ scheme is utilized to pay sugarcane arrears to farmers.  The complainants' arguments are irrelevant.  Payments made under the MAEQ scheme have a direct relationship to the costs normally incurred towards such expenses and improve the liquidity of sugar mills, ultimately reducing the cost of transport and marketing costs incurred.</w:t>
      </w:r>
      <w:r w:rsidRPr="009D14F3">
        <w:rPr>
          <w:sz w:val="22"/>
          <w:vertAlign w:val="superscript"/>
        </w:rPr>
        <w:footnoteReference w:id="203"/>
      </w:r>
    </w:p>
    <w:p w14:paraId="1510B17C" w14:textId="19218DB6" w:rsidR="009D14F3" w:rsidRPr="009D14F3" w:rsidRDefault="009D14F3" w:rsidP="009D14F3">
      <w:pPr>
        <w:numPr>
          <w:ilvl w:val="0"/>
          <w:numId w:val="1"/>
        </w:numPr>
      </w:pPr>
      <w:r w:rsidRPr="009D14F3">
        <w:t>In the absence of any evidence of the "direct relationship to the costs normally incurred", it is difficult to conclude that the clear fact the assistance is used to pay sugarcane arrears is "irrelevant".  In acknowledging this fact, India, whether intentionally or not, appears to concede that the subsidy is not paid for the requisite purposes of Articles</w:t>
      </w:r>
      <w:r w:rsidR="007820BA">
        <w:t> </w:t>
      </w:r>
      <w:r w:rsidRPr="009D14F3">
        <w:t>9.1(d) and (e).  In view of this reality, India argues, loosely, that by "improv[ing] the liquidity of sugar mills" the subsidy "ultimately reduc[es]" marketing</w:t>
      </w:r>
      <w:r w:rsidR="00D907DD">
        <w:t xml:space="preserve"> and transport</w:t>
      </w:r>
      <w:r w:rsidRPr="009D14F3">
        <w:t xml:space="preserve"> costs.</w:t>
      </w:r>
    </w:p>
    <w:p w14:paraId="3C75912D" w14:textId="64769FD5" w:rsidR="009D14F3" w:rsidRPr="009D14F3" w:rsidRDefault="00D907DD" w:rsidP="009D14F3">
      <w:pPr>
        <w:numPr>
          <w:ilvl w:val="0"/>
          <w:numId w:val="1"/>
        </w:numPr>
      </w:pPr>
      <w:r>
        <w:t>India's excessively broad interpretation of the</w:t>
      </w:r>
      <w:r w:rsidR="00313C10">
        <w:t xml:space="preserve"> legal standards applicable cannot stand.</w:t>
      </w:r>
      <w:r>
        <w:t xml:space="preserve"> </w:t>
      </w:r>
      <w:r w:rsidR="00313C10">
        <w:t xml:space="preserve"> </w:t>
      </w:r>
      <w:r w:rsidR="009D14F3" w:rsidRPr="009D14F3">
        <w:t xml:space="preserve">To recall, "costs of marketing" within the meaning of Article 9.1(d) are not merely </w:t>
      </w:r>
      <w:r w:rsidR="009D14F3" w:rsidRPr="009D14F3">
        <w:rPr>
          <w:u w:val="single"/>
        </w:rPr>
        <w:t>any</w:t>
      </w:r>
      <w:r w:rsidR="009D14F3" w:rsidRPr="009D14F3">
        <w:t xml:space="preserve"> "cost of doing business" that "effectively reduce[s] the costs of marketing products", but rather "are specific types of costs that are incurred </w:t>
      </w:r>
      <w:r w:rsidR="009D14F3" w:rsidRPr="009D14F3">
        <w:rPr>
          <w:u w:val="single"/>
        </w:rPr>
        <w:t>as part of</w:t>
      </w:r>
      <w:r w:rsidR="009D14F3" w:rsidRPr="009D14F3">
        <w:t xml:space="preserve"> and </w:t>
      </w:r>
      <w:r w:rsidR="009D14F3" w:rsidRPr="009D14F3">
        <w:rPr>
          <w:u w:val="single"/>
        </w:rPr>
        <w:t>during</w:t>
      </w:r>
      <w:r w:rsidR="009D14F3" w:rsidRPr="009D14F3">
        <w:t xml:space="preserve"> the process of selling a product</w:t>
      </w:r>
      <w:r w:rsidR="007820BA">
        <w:t>"</w:t>
      </w:r>
      <w:r w:rsidR="009D14F3" w:rsidRPr="009D14F3">
        <w:t>.</w:t>
      </w:r>
      <w:r w:rsidR="009D14F3" w:rsidRPr="009D14F3">
        <w:rPr>
          <w:vertAlign w:val="superscript"/>
        </w:rPr>
        <w:footnoteReference w:id="204"/>
      </w:r>
      <w:r w:rsidR="009D14F3" w:rsidRPr="009D14F3">
        <w:t xml:space="preserve">  Sugarcane is the primary input that mills crush to produce sugar and other sugarcane products.</w:t>
      </w:r>
      <w:r w:rsidR="009D14F3" w:rsidRPr="009D14F3">
        <w:rPr>
          <w:vertAlign w:val="superscript"/>
        </w:rPr>
        <w:footnoteReference w:id="205"/>
      </w:r>
      <w:r w:rsidR="009D14F3" w:rsidRPr="009D14F3">
        <w:t xml:space="preserve">  Mills incur the cost of purchasing sugarcane at an early stage in the production process – not as part of and during the process of selling raw, white or refined sugar.  Thus, purchasing sugarcane is not a "cost of marketing" for export.  </w:t>
      </w:r>
    </w:p>
    <w:p w14:paraId="054F4EDB" w14:textId="703BD96E" w:rsidR="009D14F3" w:rsidRPr="009D14F3" w:rsidRDefault="009D14F3" w:rsidP="009D14F3">
      <w:pPr>
        <w:numPr>
          <w:ilvl w:val="0"/>
          <w:numId w:val="1"/>
        </w:numPr>
      </w:pPr>
      <w:r w:rsidRPr="009D14F3">
        <w:t>If the cost of purchasing production inputs could be considered an export marketing cost, "then so too [could] virtually any other cost incurred by a business engaged in exporting".</w:t>
      </w:r>
      <w:r w:rsidRPr="009D14F3">
        <w:rPr>
          <w:vertAlign w:val="superscript"/>
        </w:rPr>
        <w:footnoteReference w:id="206"/>
      </w:r>
      <w:r w:rsidRPr="009D14F3">
        <w:t xml:space="preserve">  The mere fact that a subsidy may improve a recipient's liquidity status, and thus "ultimately" make it easier for </w:t>
      </w:r>
      <w:r w:rsidR="0059330B">
        <w:t>the recipient</w:t>
      </w:r>
      <w:r w:rsidR="00313C10" w:rsidRPr="009D14F3">
        <w:t xml:space="preserve"> </w:t>
      </w:r>
      <w:r w:rsidRPr="009D14F3">
        <w:t>to meet costs of marketing, does not mean there is a "direct relationship"</w:t>
      </w:r>
      <w:r w:rsidRPr="009D14F3">
        <w:rPr>
          <w:vertAlign w:val="superscript"/>
        </w:rPr>
        <w:footnoteReference w:id="207"/>
      </w:r>
      <w:r w:rsidRPr="009D14F3">
        <w:t xml:space="preserve"> between the subsidy and those costs.  In this regard, the MAEQ scheme fails to meet the legal standard </w:t>
      </w:r>
      <w:r w:rsidR="003C7C76">
        <w:t>set in</w:t>
      </w:r>
      <w:r w:rsidRPr="009D14F3">
        <w:t xml:space="preserve"> Article 9.1(d).</w:t>
      </w:r>
    </w:p>
    <w:p w14:paraId="4E90E36D" w14:textId="77777777" w:rsidR="009D14F3" w:rsidRPr="009D14F3" w:rsidRDefault="009D14F3" w:rsidP="009D14F3">
      <w:pPr>
        <w:numPr>
          <w:ilvl w:val="0"/>
          <w:numId w:val="1"/>
        </w:numPr>
      </w:pPr>
      <w:r w:rsidRPr="009D14F3">
        <w:t>Moreover, the cost of purchasing sugarcane is, quite clearly, unrelated to "internal transport and freight charges on export shipments".  In this regard, the MAEQ scheme fails to meet the legal standard for Article 9.1(e).</w:t>
      </w:r>
    </w:p>
    <w:p w14:paraId="2771AB75" w14:textId="77777777" w:rsidR="009D14F3" w:rsidRPr="009D14F3" w:rsidRDefault="009D14F3" w:rsidP="009D14F3">
      <w:pPr>
        <w:keepNext/>
        <w:keepLines/>
        <w:numPr>
          <w:ilvl w:val="4"/>
          <w:numId w:val="2"/>
        </w:numPr>
        <w:outlineLvl w:val="4"/>
        <w:rPr>
          <w:rFonts w:eastAsiaTheme="majorEastAsia" w:cstheme="majorBidi"/>
          <w:i/>
        </w:rPr>
      </w:pPr>
      <w:bookmarkStart w:id="122" w:name="_Toc63797020"/>
      <w:bookmarkStart w:id="123" w:name="_Toc63966846"/>
      <w:r w:rsidRPr="009D14F3">
        <w:rPr>
          <w:rFonts w:eastAsiaTheme="majorEastAsia" w:cstheme="majorBidi"/>
          <w:i/>
        </w:rPr>
        <w:t>The evidence of India's stakeholder consultation is deficient</w:t>
      </w:r>
      <w:bookmarkEnd w:id="122"/>
      <w:bookmarkEnd w:id="123"/>
    </w:p>
    <w:p w14:paraId="4ECB7FB2" w14:textId="695196EA" w:rsidR="009D14F3" w:rsidRPr="009D14F3" w:rsidRDefault="009D14F3" w:rsidP="009D14F3">
      <w:pPr>
        <w:numPr>
          <w:ilvl w:val="0"/>
          <w:numId w:val="1"/>
        </w:numPr>
      </w:pPr>
      <w:r w:rsidRPr="009D14F3">
        <w:t>India states that "the amount of assistance has been calculated based on extensive stakeholder consultation" which, India would have the Panel believe, enabled its authorities to determine a subsidy amount that does not exceed actual costs of marketing and internal transport</w:t>
      </w:r>
      <w:r w:rsidR="00D907DD">
        <w:t xml:space="preserve"> and freight</w:t>
      </w:r>
      <w:r w:rsidRPr="009D14F3">
        <w:t>.</w:t>
      </w:r>
      <w:r w:rsidRPr="009D14F3">
        <w:rPr>
          <w:vertAlign w:val="superscript"/>
        </w:rPr>
        <w:footnoteReference w:id="208"/>
      </w:r>
      <w:r w:rsidRPr="009D14F3">
        <w:t xml:space="preserve">  </w:t>
      </w:r>
    </w:p>
    <w:p w14:paraId="6FEEA17C" w14:textId="2CEBC25D" w:rsidR="009D14F3" w:rsidRPr="009D14F3" w:rsidRDefault="009D14F3" w:rsidP="009D14F3">
      <w:pPr>
        <w:numPr>
          <w:ilvl w:val="0"/>
          <w:numId w:val="1"/>
        </w:numPr>
      </w:pPr>
      <w:r w:rsidRPr="009D14F3">
        <w:t xml:space="preserve">In response to the Panel's direct request for evidence of India's stakeholder consultation, India </w:t>
      </w:r>
      <w:r w:rsidR="00F82AAB" w:rsidRPr="009D14F3">
        <w:t>adduce</w:t>
      </w:r>
      <w:r w:rsidR="00F82AAB">
        <w:t>d</w:t>
      </w:r>
      <w:r w:rsidR="00F82AAB" w:rsidRPr="009D14F3">
        <w:t xml:space="preserve"> </w:t>
      </w:r>
      <w:r w:rsidRPr="009D14F3">
        <w:t>four documents</w:t>
      </w:r>
      <w:r w:rsidRPr="009D14F3">
        <w:rPr>
          <w:vertAlign w:val="superscript"/>
        </w:rPr>
        <w:footnoteReference w:id="209"/>
      </w:r>
      <w:r w:rsidRPr="009D14F3">
        <w:t xml:space="preserve"> that it describes as "sample communications sent to various stakeholders seeking relevant information in order to frame the MAEQ scheme".</w:t>
      </w:r>
      <w:r w:rsidRPr="009D14F3">
        <w:rPr>
          <w:vertAlign w:val="superscript"/>
        </w:rPr>
        <w:footnoteReference w:id="210"/>
      </w:r>
      <w:r w:rsidRPr="009D14F3">
        <w:t xml:space="preserve">  </w:t>
      </w:r>
    </w:p>
    <w:p w14:paraId="30B5F960" w14:textId="070530CE" w:rsidR="009D14F3" w:rsidRPr="009D14F3" w:rsidRDefault="009D14F3" w:rsidP="009D14F3">
      <w:pPr>
        <w:numPr>
          <w:ilvl w:val="0"/>
          <w:numId w:val="1"/>
        </w:numPr>
      </w:pPr>
      <w:r w:rsidRPr="009D14F3">
        <w:t xml:space="preserve">The documents do not support India's claim.  Rather, they reveal that DFPD sought, at most, mere </w:t>
      </w:r>
      <w:r w:rsidRPr="009D14F3">
        <w:rPr>
          <w:u w:val="single"/>
        </w:rPr>
        <w:t>estimates</w:t>
      </w:r>
      <w:r w:rsidRPr="009D14F3">
        <w:t xml:space="preserve"> of </w:t>
      </w:r>
      <w:r w:rsidRPr="009D14F3">
        <w:rPr>
          <w:u w:val="single"/>
        </w:rPr>
        <w:t>average</w:t>
      </w:r>
      <w:r w:rsidRPr="009D14F3">
        <w:t xml:space="preserve"> costs of moving "food grains" to domestic and international markets.</w:t>
      </w:r>
      <w:r w:rsidRPr="009D14F3">
        <w:rPr>
          <w:vertAlign w:val="superscript"/>
        </w:rPr>
        <w:footnoteReference w:id="211"/>
      </w:r>
      <w:r w:rsidRPr="009D14F3">
        <w:t xml:space="preserve">  </w:t>
      </w:r>
    </w:p>
    <w:p w14:paraId="502C9DEF" w14:textId="422F6591" w:rsidR="009D14F3" w:rsidRPr="009D14F3" w:rsidRDefault="009D14F3" w:rsidP="009D14F3">
      <w:pPr>
        <w:numPr>
          <w:ilvl w:val="0"/>
          <w:numId w:val="1"/>
        </w:numPr>
      </w:pPr>
      <w:r w:rsidRPr="009D14F3">
        <w:t>Moreover, the communications were directed to the Food Corporation of India,</w:t>
      </w:r>
      <w:r w:rsidRPr="009D14F3">
        <w:rPr>
          <w:vertAlign w:val="superscript"/>
        </w:rPr>
        <w:footnoteReference w:id="212"/>
      </w:r>
      <w:r w:rsidRPr="009D14F3">
        <w:t xml:space="preserve"> the Ministry of Railways,</w:t>
      </w:r>
      <w:r w:rsidRPr="009D14F3">
        <w:rPr>
          <w:vertAlign w:val="superscript"/>
        </w:rPr>
        <w:footnoteReference w:id="213"/>
      </w:r>
      <w:r w:rsidRPr="009D14F3">
        <w:t xml:space="preserve"> the Metals and Minerals Trading Corporation of India Ltd,</w:t>
      </w:r>
      <w:r w:rsidRPr="009D14F3">
        <w:rPr>
          <w:vertAlign w:val="superscript"/>
        </w:rPr>
        <w:footnoteReference w:id="214"/>
      </w:r>
      <w:r w:rsidRPr="009D14F3">
        <w:t xml:space="preserve"> and the State Trading Corporation of India Ltd.</w:t>
      </w:r>
      <w:r w:rsidRPr="009D14F3">
        <w:rPr>
          <w:vertAlign w:val="superscript"/>
        </w:rPr>
        <w:footnoteReference w:id="215"/>
      </w:r>
      <w:r w:rsidRPr="009D14F3">
        <w:t xml:space="preserve">  It is not clear, from this evidence, whether DFPD consulted </w:t>
      </w:r>
      <w:r w:rsidR="00733957">
        <w:t>mills</w:t>
      </w:r>
      <w:r w:rsidRPr="009D14F3">
        <w:t xml:space="preserve"> or traders, the entities</w:t>
      </w:r>
      <w:r w:rsidR="009B214D">
        <w:t xml:space="preserve"> arguably</w:t>
      </w:r>
      <w:r w:rsidRPr="009D14F3">
        <w:t xml:space="preserve"> best placed to provide accurate information regarding actual costs of marketing and transporting exports.  DFPD has a demonstrated ability to design and implement measures that account for individual mills' circumstances</w:t>
      </w:r>
      <w:r w:rsidR="00FB3372">
        <w:t>.</w:t>
      </w:r>
      <w:r w:rsidR="00FB3372" w:rsidRPr="009D14F3">
        <w:t xml:space="preserve">  </w:t>
      </w:r>
      <w:r w:rsidR="00FB3372">
        <w:t xml:space="preserve">For example, it allocates </w:t>
      </w:r>
      <w:r w:rsidRPr="009D14F3">
        <w:t>Minimum Indicative Export Quotas</w:t>
      </w:r>
      <w:r w:rsidR="007820BA">
        <w:t xml:space="preserve"> (MIEQ)</w:t>
      </w:r>
      <w:r w:rsidRPr="009D14F3">
        <w:t>/MAEQ quotas</w:t>
      </w:r>
      <w:r w:rsidR="00FB3372">
        <w:t>, and</w:t>
      </w:r>
      <w:r w:rsidRPr="009D14F3">
        <w:t xml:space="preserve"> buffer stock and stockholding </w:t>
      </w:r>
      <w:r w:rsidR="00FB3372">
        <w:t>volumes on individual, mill-specific bas</w:t>
      </w:r>
      <w:r w:rsidR="00FF4C2E">
        <w:t>e</w:t>
      </w:r>
      <w:r w:rsidR="00FB3372">
        <w:t>s</w:t>
      </w:r>
      <w:r w:rsidRPr="009D14F3">
        <w:t>.</w:t>
      </w:r>
      <w:r w:rsidRPr="009D14F3">
        <w:rPr>
          <w:vertAlign w:val="superscript"/>
        </w:rPr>
        <w:footnoteReference w:id="216"/>
      </w:r>
      <w:r w:rsidRPr="009D14F3">
        <w:t xml:space="preserve">  DFPD</w:t>
      </w:r>
      <w:r w:rsidR="003C7C76">
        <w:t xml:space="preserve"> would have been capable, if it</w:t>
      </w:r>
      <w:r w:rsidRPr="009D14F3">
        <w:t xml:space="preserve"> wished</w:t>
      </w:r>
      <w:r w:rsidR="003C7C76">
        <w:t>, of</w:t>
      </w:r>
      <w:r w:rsidRPr="009D14F3">
        <w:t xml:space="preserve"> tak</w:t>
      </w:r>
      <w:r w:rsidR="003C7C76">
        <w:t>ing</w:t>
      </w:r>
      <w:r w:rsidRPr="009D14F3">
        <w:t xml:space="preserve"> actual costs incurred by individual mills into account</w:t>
      </w:r>
      <w:r w:rsidR="00313C10">
        <w:t xml:space="preserve"> in </w:t>
      </w:r>
      <w:r w:rsidR="00FF4C2E">
        <w:t xml:space="preserve">determining the subsidy rates under </w:t>
      </w:r>
      <w:r w:rsidR="00313C10">
        <w:t>the</w:t>
      </w:r>
      <w:r w:rsidR="003C7C76">
        <w:t xml:space="preserve"> MAEQ</w:t>
      </w:r>
      <w:r w:rsidR="00313C10">
        <w:t xml:space="preserve"> scheme</w:t>
      </w:r>
      <w:r w:rsidR="003C7C76">
        <w:t>.</w:t>
      </w:r>
      <w:r w:rsidRPr="009D14F3">
        <w:t xml:space="preserve"> </w:t>
      </w:r>
    </w:p>
    <w:p w14:paraId="5AB3AD4B" w14:textId="4AD778C8" w:rsidR="009D14F3" w:rsidRPr="009D14F3" w:rsidRDefault="009D14F3" w:rsidP="009D14F3">
      <w:pPr>
        <w:numPr>
          <w:ilvl w:val="0"/>
          <w:numId w:val="1"/>
        </w:numPr>
      </w:pPr>
      <w:r w:rsidRPr="009D14F3">
        <w:t xml:space="preserve">Significantly, the four documents </w:t>
      </w:r>
      <w:r w:rsidR="00C42DF7">
        <w:t xml:space="preserve">India </w:t>
      </w:r>
      <w:r w:rsidRPr="009D14F3">
        <w:t>exhibit</w:t>
      </w:r>
      <w:r w:rsidR="00C42DF7">
        <w:t>s</w:t>
      </w:r>
      <w:r w:rsidRPr="009D14F3">
        <w:t xml:space="preserve"> do not provide evidence of any </w:t>
      </w:r>
      <w:r w:rsidR="003C7C76">
        <w:t>feedback</w:t>
      </w:r>
      <w:r w:rsidR="003C7C76" w:rsidRPr="009D14F3">
        <w:t xml:space="preserve"> </w:t>
      </w:r>
      <w:r w:rsidRPr="009D14F3">
        <w:t xml:space="preserve">or data </w:t>
      </w:r>
      <w:r w:rsidR="00C42DF7">
        <w:t>the</w:t>
      </w:r>
      <w:r w:rsidR="00C42DF7" w:rsidRPr="009D14F3">
        <w:t xml:space="preserve"> </w:t>
      </w:r>
      <w:r w:rsidRPr="009D14F3">
        <w:t xml:space="preserve">stakeholders </w:t>
      </w:r>
      <w:r w:rsidR="00C42DF7">
        <w:t>provided</w:t>
      </w:r>
      <w:r w:rsidRPr="009D14F3">
        <w:t xml:space="preserve"> to DFPD that could be </w:t>
      </w:r>
      <w:r w:rsidR="005A007A">
        <w:t>said</w:t>
      </w:r>
      <w:r w:rsidR="005A007A" w:rsidRPr="009D14F3">
        <w:t xml:space="preserve"> </w:t>
      </w:r>
      <w:r w:rsidRPr="009D14F3">
        <w:t xml:space="preserve">to corroborate India's claim that the lump sum it selected does not exceed actual costs.  The documents </w:t>
      </w:r>
      <w:r w:rsidR="005A007A">
        <w:t xml:space="preserve">therefore </w:t>
      </w:r>
      <w:r w:rsidRPr="009D14F3">
        <w:t>provide the Panel with no basis upon which to perform an objective assessment of whether the subsidy amount exceeds actual marketing costs and internal transport</w:t>
      </w:r>
      <w:r w:rsidR="00D907DD">
        <w:t xml:space="preserve"> and freight</w:t>
      </w:r>
      <w:r w:rsidRPr="009D14F3">
        <w:t xml:space="preserve"> costs.</w:t>
      </w:r>
    </w:p>
    <w:p w14:paraId="3A0BFD6C" w14:textId="2680FEC6" w:rsidR="009D14F3" w:rsidRPr="009D14F3" w:rsidRDefault="009D14F3" w:rsidP="009D14F3">
      <w:pPr>
        <w:numPr>
          <w:ilvl w:val="0"/>
          <w:numId w:val="1"/>
        </w:numPr>
      </w:pPr>
      <w:r w:rsidRPr="009D14F3">
        <w:t>In view of India's refusal, upon an express request by the Panel, to provide documents that support its defence, Australia considers it within the Panel's authority to draw an adverse inference that India holds, and has not provided, information that is supportive of Australia's case and adverse to its own defence.</w:t>
      </w:r>
      <w:r w:rsidRPr="009D14F3">
        <w:rPr>
          <w:vertAlign w:val="superscript"/>
        </w:rPr>
        <w:footnoteReference w:id="217"/>
      </w:r>
    </w:p>
    <w:p w14:paraId="7905F6A4" w14:textId="77777777" w:rsidR="009D14F3" w:rsidRPr="009D14F3" w:rsidRDefault="009D14F3" w:rsidP="009D14F3">
      <w:pPr>
        <w:keepNext/>
        <w:keepLines/>
        <w:numPr>
          <w:ilvl w:val="4"/>
          <w:numId w:val="2"/>
        </w:numPr>
        <w:outlineLvl w:val="4"/>
        <w:rPr>
          <w:rFonts w:eastAsiaTheme="majorEastAsia" w:cstheme="majorBidi"/>
          <w:i/>
        </w:rPr>
      </w:pPr>
      <w:bookmarkStart w:id="124" w:name="_Toc63797021"/>
      <w:bookmarkEnd w:id="124"/>
      <w:r w:rsidRPr="009D14F3">
        <w:rPr>
          <w:rFonts w:eastAsiaTheme="majorEastAsia" w:cstheme="majorBidi"/>
          <w:i/>
        </w:rPr>
        <w:t xml:space="preserve"> </w:t>
      </w:r>
      <w:bookmarkStart w:id="125" w:name="_Toc63797024"/>
      <w:bookmarkStart w:id="126" w:name="_Toc63966847"/>
      <w:r w:rsidRPr="009D14F3">
        <w:rPr>
          <w:rFonts w:eastAsiaTheme="majorEastAsia" w:cstheme="majorBidi"/>
          <w:i/>
        </w:rPr>
        <w:t>The MAEQ scheme is not designed to ensure the assistance does not exceed actual costs incurred by sugar mills</w:t>
      </w:r>
      <w:bookmarkEnd w:id="125"/>
      <w:bookmarkEnd w:id="126"/>
    </w:p>
    <w:p w14:paraId="74D3ECAF" w14:textId="77777777" w:rsidR="009D14F3" w:rsidRPr="009D14F3" w:rsidRDefault="009D14F3" w:rsidP="009D14F3">
      <w:pPr>
        <w:keepNext/>
        <w:numPr>
          <w:ilvl w:val="0"/>
          <w:numId w:val="1"/>
        </w:numPr>
      </w:pPr>
      <w:r w:rsidRPr="009D14F3">
        <w:t>India asserts, unequivocally, that "</w:t>
      </w:r>
      <w:r w:rsidRPr="00AD243E">
        <w:t xml:space="preserve">the lump sum amount arrived at </w:t>
      </w:r>
      <w:r w:rsidRPr="009D14F3">
        <w:rPr>
          <w:u w:val="single"/>
        </w:rPr>
        <w:t>does not exceed</w:t>
      </w:r>
      <w:r w:rsidRPr="00AD243E">
        <w:t xml:space="preserve"> the costs typically incurred by a sugar mill towards such expenses</w:t>
      </w:r>
      <w:r w:rsidRPr="009D14F3">
        <w:t>."</w:t>
      </w:r>
      <w:r w:rsidRPr="009D14F3">
        <w:rPr>
          <w:vertAlign w:val="superscript"/>
        </w:rPr>
        <w:footnoteReference w:id="218"/>
      </w:r>
    </w:p>
    <w:p w14:paraId="012BE034" w14:textId="05FD7AC3" w:rsidR="009D14F3" w:rsidRPr="009D14F3" w:rsidRDefault="009D14F3" w:rsidP="009D14F3">
      <w:pPr>
        <w:numPr>
          <w:ilvl w:val="0"/>
          <w:numId w:val="1"/>
        </w:numPr>
      </w:pPr>
      <w:r w:rsidRPr="009D14F3">
        <w:t>Given the clear lack of a relationship between the MAEQ scheme and the kinds of costs identified in Articles 9.1(d) and (e), Australia considers it unnecessary for the Panel to consider and resolve the issue of whether MAEQ payments exceed those actual costs.</w:t>
      </w:r>
    </w:p>
    <w:p w14:paraId="0B44CA4A" w14:textId="47417044" w:rsidR="009D14F3" w:rsidRPr="009D14F3" w:rsidRDefault="005F7264" w:rsidP="009D14F3">
      <w:pPr>
        <w:numPr>
          <w:ilvl w:val="0"/>
          <w:numId w:val="1"/>
        </w:numPr>
      </w:pPr>
      <w:r>
        <w:t>F</w:t>
      </w:r>
      <w:r w:rsidR="009D14F3" w:rsidRPr="009D14F3">
        <w:t xml:space="preserve">or the sake of argument, </w:t>
      </w:r>
      <w:r>
        <w:t xml:space="preserve">even if </w:t>
      </w:r>
      <w:r w:rsidR="009D14F3" w:rsidRPr="009D14F3">
        <w:t xml:space="preserve">MAEQ </w:t>
      </w:r>
      <w:r w:rsidR="00313C10">
        <w:t>scheme subsidies</w:t>
      </w:r>
      <w:r w:rsidR="00313C10" w:rsidRPr="009D14F3">
        <w:t xml:space="preserve"> </w:t>
      </w:r>
      <w:r w:rsidR="009D14F3" w:rsidRPr="009D14F3">
        <w:t xml:space="preserve">were linked to, and paid towards, Articles 9.1(d) and (e) costs, the scheme's design nevertheless fails to ensure the assistance does not exceed those costs.  </w:t>
      </w:r>
    </w:p>
    <w:p w14:paraId="6911307B" w14:textId="7D910EE0" w:rsidR="009D14F3" w:rsidRPr="009D14F3" w:rsidRDefault="009D14F3" w:rsidP="009D14F3">
      <w:pPr>
        <w:numPr>
          <w:ilvl w:val="0"/>
          <w:numId w:val="1"/>
        </w:numPr>
      </w:pPr>
      <w:r w:rsidRPr="009D14F3">
        <w:t xml:space="preserve">DFPD's apparent method of ascertaining averages or estimates of costs and, on that basis, determining a lump sum payment rate, is an insufficient </w:t>
      </w:r>
      <w:r w:rsidR="00CB0F4E">
        <w:t>way</w:t>
      </w:r>
      <w:r w:rsidR="00CB0F4E" w:rsidRPr="009D14F3">
        <w:t xml:space="preserve"> </w:t>
      </w:r>
      <w:r w:rsidRPr="009D14F3">
        <w:t xml:space="preserve">to design a subsidy if the aim is to ensure that the assistance provided will not exceed actual costs.  </w:t>
      </w:r>
    </w:p>
    <w:p w14:paraId="39B4A291" w14:textId="77777777" w:rsidR="00313C10" w:rsidRDefault="009D14F3" w:rsidP="009D14F3">
      <w:pPr>
        <w:numPr>
          <w:ilvl w:val="0"/>
          <w:numId w:val="1"/>
        </w:numPr>
      </w:pPr>
      <w:r w:rsidRPr="009D14F3">
        <w:t>To begin with, the MAEQ scheme offers a lump sum of INR 3,428 per mT ostensibly for "internal transport and freight charges including loading, unloading, and fobbing etc".</w:t>
      </w:r>
      <w:r w:rsidRPr="009D14F3">
        <w:rPr>
          <w:vertAlign w:val="superscript"/>
        </w:rPr>
        <w:footnoteReference w:id="219"/>
      </w:r>
      <w:r w:rsidRPr="009D14F3">
        <w:t xml:space="preserve">  India argues that this category of the subsidy falls within Article 9.1(e).</w:t>
      </w:r>
      <w:r w:rsidRPr="009D14F3">
        <w:rPr>
          <w:vertAlign w:val="superscript"/>
        </w:rPr>
        <w:footnoteReference w:id="220"/>
      </w:r>
      <w:r w:rsidRPr="009D14F3">
        <w:t xml:space="preserve"> </w:t>
      </w:r>
    </w:p>
    <w:p w14:paraId="198E4949" w14:textId="26135870" w:rsidR="009D14F3" w:rsidRPr="009D14F3" w:rsidRDefault="009D14F3" w:rsidP="0014291A">
      <w:pPr>
        <w:numPr>
          <w:ilvl w:val="0"/>
          <w:numId w:val="1"/>
        </w:numPr>
      </w:pPr>
      <w:r w:rsidRPr="009D14F3">
        <w:t xml:space="preserve">However, the assistance is available to mills regardless of whether they actually incur domestic transport </w:t>
      </w:r>
      <w:r w:rsidR="00D907DD">
        <w:t xml:space="preserve">and freight </w:t>
      </w:r>
      <w:r w:rsidRPr="009D14F3">
        <w:t>costs.</w:t>
      </w:r>
      <w:r w:rsidR="00313C10">
        <w:t xml:space="preserve">  </w:t>
      </w:r>
      <w:r w:rsidRPr="009D14F3">
        <w:t>According to the Incoterms rules issued by the International Chamber of Commerce</w:t>
      </w:r>
      <w:r w:rsidR="00157DDA">
        <w:t> </w:t>
      </w:r>
      <w:r w:rsidRPr="009D14F3">
        <w:t>(ICC), "Ex Works" (EXW) means that:</w:t>
      </w:r>
    </w:p>
    <w:p w14:paraId="029E22B5" w14:textId="347CB1DA" w:rsidR="009D14F3" w:rsidRPr="009D14F3" w:rsidRDefault="009D14F3" w:rsidP="009D14F3">
      <w:pPr>
        <w:spacing w:after="240" w:line="276" w:lineRule="auto"/>
        <w:ind w:left="851"/>
        <w:rPr>
          <w:sz w:val="22"/>
        </w:rPr>
      </w:pPr>
      <w:r w:rsidRPr="009D14F3">
        <w:rPr>
          <w:sz w:val="22"/>
        </w:rPr>
        <w:t>the seller delivers when it places the goods at the disposal of the buyer at the seller's premises or at another named place (i.e., works, factory, warehouse, etc.).  The seller does not need to load the goods o</w:t>
      </w:r>
      <w:r w:rsidR="005C7194">
        <w:rPr>
          <w:sz w:val="22"/>
        </w:rPr>
        <w:t>n</w:t>
      </w:r>
      <w:r w:rsidRPr="009D14F3">
        <w:rPr>
          <w:sz w:val="22"/>
        </w:rPr>
        <w:t xml:space="preserve"> any collecting vehicle, nor does it need to clear the goods for export, where such clearance is applicable.</w:t>
      </w:r>
      <w:r w:rsidRPr="009D14F3">
        <w:rPr>
          <w:sz w:val="22"/>
          <w:vertAlign w:val="superscript"/>
        </w:rPr>
        <w:footnoteReference w:id="221"/>
      </w:r>
      <w:r w:rsidRPr="009D14F3">
        <w:rPr>
          <w:sz w:val="22"/>
        </w:rPr>
        <w:t xml:space="preserve"> </w:t>
      </w:r>
    </w:p>
    <w:p w14:paraId="07A61B2D" w14:textId="33FFAA29" w:rsidR="009D14F3" w:rsidRPr="009D14F3" w:rsidRDefault="009D14F3" w:rsidP="009D14F3">
      <w:pPr>
        <w:numPr>
          <w:ilvl w:val="0"/>
          <w:numId w:val="1"/>
        </w:numPr>
      </w:pPr>
      <w:r w:rsidRPr="009D14F3">
        <w:t xml:space="preserve">It follows that, in EXW transactions, the purchaser, and </w:t>
      </w:r>
      <w:r w:rsidRPr="009D14F3">
        <w:rPr>
          <w:u w:val="single"/>
        </w:rPr>
        <w:t>not</w:t>
      </w:r>
      <w:r w:rsidRPr="009D14F3">
        <w:t xml:space="preserve"> the seller, incurs all costs and liabilities associated with a good for export once it leaves the seller's premises, including domestic transport </w:t>
      </w:r>
      <w:r w:rsidR="00D907DD">
        <w:t xml:space="preserve">and freight </w:t>
      </w:r>
      <w:r w:rsidRPr="009D14F3">
        <w:t xml:space="preserve">costs from the seller to the port of export.  </w:t>
      </w:r>
    </w:p>
    <w:p w14:paraId="0A6D4147" w14:textId="77777777" w:rsidR="009D14F3" w:rsidRPr="009D14F3" w:rsidRDefault="009D14F3" w:rsidP="009D14F3">
      <w:pPr>
        <w:numPr>
          <w:ilvl w:val="0"/>
          <w:numId w:val="1"/>
        </w:numPr>
      </w:pPr>
      <w:r w:rsidRPr="009D14F3">
        <w:t xml:space="preserve">Australia notes evidence that Indian mills conduct export transactions on an EXW, or "Ex Mill" basis. For example: </w:t>
      </w:r>
    </w:p>
    <w:p w14:paraId="1C6E068B" w14:textId="2EBFC72C" w:rsidR="009D14F3" w:rsidRPr="009D14F3" w:rsidRDefault="009D14F3" w:rsidP="009D14F3">
      <w:pPr>
        <w:numPr>
          <w:ilvl w:val="1"/>
          <w:numId w:val="1"/>
        </w:numPr>
        <w:spacing w:after="120"/>
      </w:pPr>
      <w:r w:rsidRPr="009D14F3">
        <w:t>Shree Datta SSSK Ltd, a mill with a MAEQ allocation of 28,694 mT in the 2019–20 sugar season,</w:t>
      </w:r>
      <w:r w:rsidRPr="009D14F3">
        <w:rPr>
          <w:vertAlign w:val="superscript"/>
        </w:rPr>
        <w:footnoteReference w:id="222"/>
      </w:r>
      <w:r w:rsidRPr="009D14F3">
        <w:t xml:space="preserve"> issued a tender notice inviting purchases of raw or white sugar for export "from the recognized reputed Exporter on Ex. Mill Basis".</w:t>
      </w:r>
      <w:r w:rsidRPr="009D14F3">
        <w:rPr>
          <w:vertAlign w:val="superscript"/>
        </w:rPr>
        <w:footnoteReference w:id="223"/>
      </w:r>
      <w:r w:rsidRPr="009D14F3">
        <w:t xml:space="preserve">   The notice requires the successful bidder to submit documents confirming the export counts towards the mill's MAEQ allocation,</w:t>
      </w:r>
      <w:r w:rsidRPr="009D14F3">
        <w:rPr>
          <w:vertAlign w:val="superscript"/>
        </w:rPr>
        <w:footnoteReference w:id="224"/>
      </w:r>
      <w:r w:rsidRPr="009D14F3">
        <w:t xml:space="preserve"> and confirms that the mill, not the purchaser, receive</w:t>
      </w:r>
      <w:r w:rsidR="00412611">
        <w:t>s</w:t>
      </w:r>
      <w:r w:rsidRPr="009D14F3">
        <w:t xml:space="preserve"> the subsidy,</w:t>
      </w:r>
      <w:r w:rsidRPr="009D14F3">
        <w:rPr>
          <w:vertAlign w:val="superscript"/>
        </w:rPr>
        <w:footnoteReference w:id="225"/>
      </w:r>
      <w:r w:rsidRPr="009D14F3">
        <w:t xml:space="preserve"> even though the mill is not the party that incur</w:t>
      </w:r>
      <w:r w:rsidR="00412611">
        <w:t>s</w:t>
      </w:r>
      <w:r w:rsidRPr="009D14F3">
        <w:t xml:space="preserve"> the related domestic transport </w:t>
      </w:r>
      <w:r w:rsidR="00D907DD">
        <w:t xml:space="preserve">and freight </w:t>
      </w:r>
      <w:r w:rsidRPr="009D14F3">
        <w:t>costs.</w:t>
      </w:r>
    </w:p>
    <w:p w14:paraId="43FDD133" w14:textId="145620CC" w:rsidR="009D14F3" w:rsidRPr="009D14F3" w:rsidRDefault="009D14F3" w:rsidP="009D14F3">
      <w:pPr>
        <w:numPr>
          <w:ilvl w:val="1"/>
          <w:numId w:val="1"/>
        </w:numPr>
        <w:spacing w:after="120"/>
      </w:pPr>
      <w:r w:rsidRPr="009D14F3">
        <w:t>Jawahar SSSK Ltd, a mill with a MAEQ allocation of 27,597 mT in the 2019–20 sugar season,</w:t>
      </w:r>
      <w:r w:rsidRPr="009D14F3">
        <w:rPr>
          <w:vertAlign w:val="superscript"/>
        </w:rPr>
        <w:footnoteReference w:id="226"/>
      </w:r>
      <w:r w:rsidRPr="009D14F3">
        <w:t xml:space="preserve"> issued a tender notice for the export of sugar </w:t>
      </w:r>
      <w:r w:rsidR="00412611" w:rsidRPr="009D14F3">
        <w:t>not</w:t>
      </w:r>
      <w:r w:rsidR="00412611">
        <w:t>ing</w:t>
      </w:r>
      <w:r w:rsidR="00412611" w:rsidRPr="009D14F3">
        <w:t xml:space="preserve"> </w:t>
      </w:r>
      <w:r w:rsidRPr="009D14F3">
        <w:t xml:space="preserve">that "[i]nterested exporters are requested to quote the rate at </w:t>
      </w:r>
      <w:r w:rsidR="005C7194">
        <w:t>'</w:t>
      </w:r>
      <w:r w:rsidRPr="009D14F3">
        <w:t>Ex-Mill</w:t>
      </w:r>
      <w:r w:rsidR="005C7194">
        <w:t>'</w:t>
      </w:r>
      <w:r w:rsidRPr="009D14F3">
        <w:t>…".</w:t>
      </w:r>
      <w:r w:rsidRPr="009D14F3">
        <w:rPr>
          <w:vertAlign w:val="superscript"/>
        </w:rPr>
        <w:footnoteReference w:id="227"/>
      </w:r>
    </w:p>
    <w:p w14:paraId="7B4F6824" w14:textId="356435FF" w:rsidR="009D14F3" w:rsidRPr="009D14F3" w:rsidRDefault="009D14F3" w:rsidP="009D14F3">
      <w:pPr>
        <w:numPr>
          <w:ilvl w:val="1"/>
          <w:numId w:val="1"/>
        </w:numPr>
        <w:spacing w:after="120"/>
      </w:pPr>
      <w:r w:rsidRPr="009D14F3">
        <w:t>HPCL Biofuels Ltd's (HPCL) sugar export contract specifications, issued in respect of its Sugauli and Lauriya locations, each holding MAEQ allocations of 6,319 mT and 6,947 mT respectively,</w:t>
      </w:r>
      <w:r w:rsidRPr="009D14F3">
        <w:rPr>
          <w:vertAlign w:val="superscript"/>
        </w:rPr>
        <w:footnoteReference w:id="228"/>
      </w:r>
      <w:r w:rsidRPr="009D14F3">
        <w:t xml:space="preserve"> states that "[t]he delivery shall be ex-mill basis" and "[a]ll costs outside the HPCL Sugar Units, e.g. Insurance, transportation, etc. will be borne by buyer separately as per actual; excluding loading charges in mill which will be borne by seller."</w:t>
      </w:r>
      <w:r w:rsidRPr="009D14F3">
        <w:rPr>
          <w:vertAlign w:val="superscript"/>
        </w:rPr>
        <w:footnoteReference w:id="229"/>
      </w:r>
      <w:r w:rsidRPr="009D14F3">
        <w:t xml:space="preserve">  The terms and conditions require successful bidders to submit documents confirming the exports count towards the mills' MAEQ allocations, so as to ensure that HPCL receives the MAEQ subsidy, despite it not being the party that incur</w:t>
      </w:r>
      <w:r w:rsidR="00EE362C">
        <w:t>s</w:t>
      </w:r>
      <w:r w:rsidRPr="009D14F3">
        <w:t xml:space="preserve"> the related domestic transport </w:t>
      </w:r>
      <w:r w:rsidR="00D907DD">
        <w:t xml:space="preserve">and freight </w:t>
      </w:r>
      <w:r w:rsidRPr="009D14F3">
        <w:t>costs.</w:t>
      </w:r>
      <w:r w:rsidRPr="009D14F3">
        <w:rPr>
          <w:vertAlign w:val="superscript"/>
        </w:rPr>
        <w:footnoteReference w:id="230"/>
      </w:r>
    </w:p>
    <w:p w14:paraId="305B2C62" w14:textId="4734F060" w:rsidR="009D14F3" w:rsidRPr="009D14F3" w:rsidRDefault="009D14F3" w:rsidP="009D14F3">
      <w:pPr>
        <w:numPr>
          <w:ilvl w:val="0"/>
          <w:numId w:val="1"/>
        </w:numPr>
      </w:pPr>
      <w:r w:rsidRPr="009D14F3">
        <w:t>Thus, the MAEQ scheme purportedly offers a category of assistance towards cost</w:t>
      </w:r>
      <w:r w:rsidR="0091022B">
        <w:t>s</w:t>
      </w:r>
      <w:r w:rsidRPr="009D14F3">
        <w:t xml:space="preserve"> that some mills routinely </w:t>
      </w:r>
      <w:r w:rsidRPr="005852FA">
        <w:rPr>
          <w:u w:val="single"/>
        </w:rPr>
        <w:t>do not incur</w:t>
      </w:r>
      <w:r w:rsidRPr="009D14F3">
        <w:t>.  In these cases, the assistance exceeds the mills' actual costs by 100 per cent.</w:t>
      </w:r>
      <w:r w:rsidR="00157DDA">
        <w:t xml:space="preserve"> </w:t>
      </w:r>
      <w:r w:rsidRPr="009D14F3">
        <w:t xml:space="preserve"> This fact disproves, starkly, India's assertion that payments under the MAEQ scheme "have a direct relationship to</w:t>
      </w:r>
      <w:r w:rsidR="008459E9">
        <w:t>"</w:t>
      </w:r>
      <w:r w:rsidR="008459E9" w:rsidRPr="009D14F3">
        <w:rPr>
          <w:vertAlign w:val="superscript"/>
        </w:rPr>
        <w:footnoteReference w:id="231"/>
      </w:r>
      <w:r w:rsidR="008459E9">
        <w:t xml:space="preserve"> and "[do] not exceed</w:t>
      </w:r>
      <w:r w:rsidRPr="009D14F3">
        <w:t xml:space="preserve"> the costs normally incurred".</w:t>
      </w:r>
      <w:r w:rsidR="008459E9">
        <w:rPr>
          <w:rStyle w:val="FootnoteReference"/>
        </w:rPr>
        <w:footnoteReference w:id="232"/>
      </w:r>
    </w:p>
    <w:p w14:paraId="34C27675" w14:textId="77777777" w:rsidR="009D14F3" w:rsidRPr="009D14F3" w:rsidRDefault="009D14F3" w:rsidP="005852FA">
      <w:pPr>
        <w:keepNext/>
        <w:numPr>
          <w:ilvl w:val="0"/>
          <w:numId w:val="1"/>
        </w:numPr>
      </w:pPr>
      <w:r w:rsidRPr="009D14F3">
        <w:t>Australia acknowledges the possibility that some Indian mills may export on a "Cost, Insurance and Freight" (CIF) basis, which according to the ICC means that:</w:t>
      </w:r>
    </w:p>
    <w:p w14:paraId="23472B97" w14:textId="77777777" w:rsidR="009D14F3" w:rsidRPr="009D14F3" w:rsidRDefault="009D14F3" w:rsidP="005852FA">
      <w:pPr>
        <w:keepLines/>
        <w:spacing w:after="240" w:line="276" w:lineRule="auto"/>
        <w:ind w:left="851"/>
        <w:rPr>
          <w:sz w:val="22"/>
        </w:rPr>
      </w:pPr>
      <w:r w:rsidRPr="009D14F3">
        <w:rPr>
          <w:sz w:val="22"/>
        </w:rPr>
        <w:t>the seller delivers the good on board the vessel or procures the goods already so delivered.  The risk of loss of or damage to the goods passes when the goods are on board the vessel.  The seller must contract for and pay the costs and freight necessary to bring the goods to the named port of destination.</w:t>
      </w:r>
      <w:r w:rsidRPr="009D14F3">
        <w:rPr>
          <w:sz w:val="22"/>
          <w:vertAlign w:val="superscript"/>
        </w:rPr>
        <w:footnoteReference w:id="233"/>
      </w:r>
      <w:r w:rsidRPr="009D14F3">
        <w:rPr>
          <w:sz w:val="22"/>
        </w:rPr>
        <w:t xml:space="preserve">    </w:t>
      </w:r>
    </w:p>
    <w:p w14:paraId="7C600576" w14:textId="35584688" w:rsidR="009D14F3" w:rsidRPr="009D14F3" w:rsidRDefault="009D14F3" w:rsidP="009D14F3">
      <w:pPr>
        <w:numPr>
          <w:ilvl w:val="0"/>
          <w:numId w:val="1"/>
        </w:numPr>
      </w:pPr>
      <w:r w:rsidRPr="009D14F3">
        <w:t xml:space="preserve">In CIF transactions, mills are likely to incur some domestic transport and freight costs in relation to sugar exports.  Indian </w:t>
      </w:r>
      <w:r w:rsidR="00733957">
        <w:t>mills</w:t>
      </w:r>
      <w:r w:rsidRPr="009D14F3">
        <w:t xml:space="preserve"> are situated in disparate locations across India's large territory, meaning that those costs will naturally vary across the country, depending on the distance travelled from mill to port.</w:t>
      </w:r>
      <w:r w:rsidRPr="009D14F3">
        <w:rPr>
          <w:vertAlign w:val="superscript"/>
        </w:rPr>
        <w:footnoteReference w:id="234"/>
      </w:r>
      <w:r w:rsidRPr="009D14F3">
        <w:t xml:space="preserve">  As such, the single flat rate offered under the MAEQ scheme is incapable of accounting for, and bears no relationship to, the level of expenditure </w:t>
      </w:r>
      <w:r w:rsidR="00FB3372">
        <w:t xml:space="preserve">that </w:t>
      </w:r>
      <w:r w:rsidRPr="009D14F3">
        <w:t xml:space="preserve">mills actually incur.  </w:t>
      </w:r>
    </w:p>
    <w:p w14:paraId="0ABE7642" w14:textId="247ACF3E" w:rsidR="009D14F3" w:rsidRPr="009D14F3" w:rsidRDefault="009D14F3" w:rsidP="009D14F3">
      <w:pPr>
        <w:numPr>
          <w:ilvl w:val="0"/>
          <w:numId w:val="1"/>
        </w:numPr>
      </w:pPr>
      <w:r w:rsidRPr="009D14F3">
        <w:t>This point can be illustrated by reference to a sample of mills located in the state of Maharashtra.  As India's second largest exporting state in the 2019–20 sugar season, mills in Maharashtra exported 2,595,000 mT of sugar.</w:t>
      </w:r>
      <w:r w:rsidRPr="009D14F3">
        <w:rPr>
          <w:vertAlign w:val="superscript"/>
        </w:rPr>
        <w:footnoteReference w:id="235"/>
      </w:r>
      <w:r w:rsidRPr="009D14F3">
        <w:t xml:space="preserve">  Maharashtrian mill exports accounted for approximately 41.1</w:t>
      </w:r>
      <w:r w:rsidR="0091022B">
        <w:t xml:space="preserve"> per cent</w:t>
      </w:r>
      <w:r w:rsidR="0091022B" w:rsidRPr="009D14F3">
        <w:t xml:space="preserve"> </w:t>
      </w:r>
      <w:r w:rsidRPr="009D14F3">
        <w:t>of the total 6,153,000 mT India exported in that season.</w:t>
      </w:r>
      <w:r w:rsidRPr="009D14F3">
        <w:rPr>
          <w:vertAlign w:val="superscript"/>
        </w:rPr>
        <w:footnoteReference w:id="236"/>
      </w:r>
      <w:r w:rsidRPr="009D14F3">
        <w:t xml:space="preserve">  </w:t>
      </w:r>
    </w:p>
    <w:p w14:paraId="47CB7527" w14:textId="0C621DE8" w:rsidR="009D14F3" w:rsidRPr="009D14F3" w:rsidRDefault="009D14F3" w:rsidP="009D14F3">
      <w:pPr>
        <w:numPr>
          <w:ilvl w:val="0"/>
          <w:numId w:val="1"/>
        </w:numPr>
      </w:pPr>
      <w:r w:rsidRPr="009D14F3">
        <w:t>A significant majority of Maharashtra's sugar exports – 1,995,000 mT – shipped from two ports: Jawaharlal Nehru Port (JNPT), and JSW Jaigad Port (Jaigad), each located in Maharashtra.</w:t>
      </w:r>
      <w:r w:rsidRPr="009D14F3">
        <w:rPr>
          <w:vertAlign w:val="superscript"/>
        </w:rPr>
        <w:footnoteReference w:id="237"/>
      </w:r>
      <w:r w:rsidRPr="009D14F3">
        <w:t xml:space="preserve">  The average distances from 11 Maharashtrian exporting mills to those two ports are 431km and 308km, respectively.</w:t>
      </w:r>
      <w:r w:rsidRPr="009D14F3">
        <w:rPr>
          <w:vertAlign w:val="superscript"/>
        </w:rPr>
        <w:footnoteReference w:id="238"/>
      </w:r>
      <w:r w:rsidRPr="009D14F3">
        <w:t xml:space="preserve">  The average freight rail costs for those 11 mills to the two ports, calculated using the Indian government's own Freight Operations Information System, are INR 489 per mT and 817 per mT, respectively.</w:t>
      </w:r>
      <w:r w:rsidRPr="009D14F3">
        <w:rPr>
          <w:vertAlign w:val="superscript"/>
        </w:rPr>
        <w:footnoteReference w:id="239"/>
      </w:r>
      <w:r w:rsidRPr="009D14F3">
        <w:t xml:space="preserve">  </w:t>
      </w:r>
    </w:p>
    <w:p w14:paraId="635A3554" w14:textId="13B0A780" w:rsidR="009D14F3" w:rsidRPr="009D14F3" w:rsidRDefault="009D14F3" w:rsidP="009D14F3">
      <w:pPr>
        <w:numPr>
          <w:ilvl w:val="0"/>
          <w:numId w:val="1"/>
        </w:numPr>
      </w:pPr>
      <w:r w:rsidRPr="009D14F3">
        <w:t xml:space="preserve">In addition to freight rail costs, storage and handling, or "fobbing" costs – which </w:t>
      </w:r>
      <w:r w:rsidR="008D40D1" w:rsidRPr="009D14F3">
        <w:t xml:space="preserve">India argues </w:t>
      </w:r>
      <w:r w:rsidRPr="009D14F3">
        <w:t xml:space="preserve">MAEQ </w:t>
      </w:r>
      <w:r w:rsidR="0014291A">
        <w:t>payments</w:t>
      </w:r>
      <w:r w:rsidR="0014291A" w:rsidRPr="009D14F3">
        <w:t xml:space="preserve"> </w:t>
      </w:r>
      <w:r w:rsidR="008D40D1">
        <w:t>are designed</w:t>
      </w:r>
      <w:r w:rsidRPr="009D14F3">
        <w:t xml:space="preserve"> to </w:t>
      </w:r>
      <w:r w:rsidR="0014291A">
        <w:t>reduce</w:t>
      </w:r>
      <w:r w:rsidRPr="009D14F3">
        <w:t xml:space="preserve"> – average at INR 800 per mT and </w:t>
      </w:r>
      <w:r w:rsidR="006148EB" w:rsidRPr="009D14F3">
        <w:t>INR</w:t>
      </w:r>
      <w:r w:rsidR="006148EB">
        <w:t> </w:t>
      </w:r>
      <w:r w:rsidRPr="009D14F3">
        <w:t>1,</w:t>
      </w:r>
      <w:r w:rsidR="006148EB" w:rsidRPr="009D14F3">
        <w:t>000</w:t>
      </w:r>
      <w:r w:rsidR="006148EB">
        <w:t> </w:t>
      </w:r>
      <w:r w:rsidR="006148EB" w:rsidRPr="009D14F3">
        <w:t>per</w:t>
      </w:r>
      <w:r w:rsidR="006148EB">
        <w:t> </w:t>
      </w:r>
      <w:r w:rsidRPr="009D14F3">
        <w:t>mT across bulk, breakbulk and containerised shipments.</w:t>
      </w:r>
      <w:r w:rsidRPr="009D14F3">
        <w:rPr>
          <w:vertAlign w:val="superscript"/>
        </w:rPr>
        <w:footnoteReference w:id="240"/>
      </w:r>
      <w:r w:rsidRPr="009D14F3">
        <w:t xml:space="preserve">  With fobbing expenses at their highest end</w:t>
      </w:r>
      <w:r w:rsidR="0014291A">
        <w:t xml:space="preserve"> of INR 1,000</w:t>
      </w:r>
      <w:r w:rsidRPr="009D14F3">
        <w:t xml:space="preserve"> factored in, the average costs for transport</w:t>
      </w:r>
      <w:r w:rsidR="00D907DD">
        <w:t>, freight</w:t>
      </w:r>
      <w:r w:rsidRPr="009D14F3">
        <w:t xml:space="preserve"> and fobbing from the 11 Maharashtrian mills to JNPT and Jaigad would be INR 1,489 per mT and INR 1,817 per mT, respectively.  </w:t>
      </w:r>
    </w:p>
    <w:p w14:paraId="16BCC164" w14:textId="77777777" w:rsidR="009D14F3" w:rsidRPr="009D14F3" w:rsidRDefault="009D14F3" w:rsidP="009D14F3">
      <w:pPr>
        <w:numPr>
          <w:ilvl w:val="0"/>
          <w:numId w:val="1"/>
        </w:numPr>
      </w:pPr>
      <w:r w:rsidRPr="009D14F3">
        <w:t>In the event that any of the 11 Maharashtrian mills conducted export transactions on a CIF basis, the flat rate of INR 3,428 per mT ostensibly offered would far exceed their actual costs of transporting sugar from mill to port and paying for fobbing.  Well beyond merely creating favourable conditions in relation to internal transport and freight charges for export-bound shipments vis-à-vis domestic shipments,</w:t>
      </w:r>
      <w:r w:rsidRPr="009D14F3">
        <w:rPr>
          <w:vertAlign w:val="superscript"/>
        </w:rPr>
        <w:footnoteReference w:id="241"/>
      </w:r>
      <w:r w:rsidRPr="009D14F3">
        <w:t xml:space="preserve"> the subsidy would confer a substantial additional benefit upon the mills.  </w:t>
      </w:r>
    </w:p>
    <w:p w14:paraId="6253E60E" w14:textId="02348C79" w:rsidR="009D14F3" w:rsidRPr="009D14F3" w:rsidRDefault="009D14F3" w:rsidP="009D14F3">
      <w:pPr>
        <w:numPr>
          <w:ilvl w:val="0"/>
          <w:numId w:val="1"/>
        </w:numPr>
      </w:pPr>
      <w:r w:rsidRPr="009D14F3">
        <w:t xml:space="preserve">These facts demonstrate the emptiness of India's claim that the lump sum does not exceed actual costs.  In reality, India has failed to design a subsidy that is tailored to, and does not exceed, actual internal transport </w:t>
      </w:r>
      <w:r w:rsidR="00D907DD">
        <w:t xml:space="preserve">and freight </w:t>
      </w:r>
      <w:r w:rsidRPr="009D14F3">
        <w:t xml:space="preserve">costs for a significant portion of its exports.  To this end, the MAEQ scheme fails to meet the legal standard </w:t>
      </w:r>
      <w:r w:rsidR="006148EB">
        <w:t>set by</w:t>
      </w:r>
      <w:r w:rsidR="006148EB" w:rsidRPr="009D14F3">
        <w:t xml:space="preserve"> </w:t>
      </w:r>
      <w:r w:rsidRPr="009D14F3">
        <w:t>Article 9.1(e).</w:t>
      </w:r>
    </w:p>
    <w:p w14:paraId="47AD80ED" w14:textId="46A6B608" w:rsidR="009D14F3" w:rsidRPr="009D14F3" w:rsidRDefault="009D14F3" w:rsidP="009D14F3">
      <w:pPr>
        <w:numPr>
          <w:ilvl w:val="0"/>
          <w:numId w:val="1"/>
        </w:numPr>
      </w:pPr>
      <w:r w:rsidRPr="009D14F3">
        <w:t>Further, to recall, "costs of marketing" include "the costs of international transport and freight".</w:t>
      </w:r>
      <w:r w:rsidRPr="009D14F3">
        <w:rPr>
          <w:vertAlign w:val="superscript"/>
        </w:rPr>
        <w:footnoteReference w:id="242"/>
      </w:r>
      <w:r w:rsidRPr="009D14F3">
        <w:t xml:space="preserve">  The MAEQ scheme offers mills a lump sum of INR 2,620 per mT ostensibly for "ocean freight against shipment from Indian ports to the ports of destination countries etc".</w:t>
      </w:r>
      <w:r w:rsidRPr="009D14F3">
        <w:rPr>
          <w:vertAlign w:val="superscript"/>
        </w:rPr>
        <w:footnoteReference w:id="243"/>
      </w:r>
      <w:r w:rsidRPr="009D14F3">
        <w:t xml:space="preserve">  India argues that this category of the subsidy falls within Article 9.1(d).</w:t>
      </w:r>
      <w:r w:rsidRPr="009D14F3">
        <w:rPr>
          <w:vertAlign w:val="superscript"/>
        </w:rPr>
        <w:footnoteReference w:id="244"/>
      </w:r>
      <w:r w:rsidRPr="009D14F3">
        <w:t xml:space="preserve"> However, yet again, the assistance is available to mills regardless of whether they actually incur international shipping costs.</w:t>
      </w:r>
    </w:p>
    <w:p w14:paraId="6637D5C4" w14:textId="77777777" w:rsidR="009D14F3" w:rsidRPr="009D14F3" w:rsidRDefault="009D14F3" w:rsidP="009D14F3">
      <w:pPr>
        <w:numPr>
          <w:ilvl w:val="0"/>
          <w:numId w:val="1"/>
        </w:numPr>
      </w:pPr>
      <w:r w:rsidRPr="009D14F3">
        <w:t xml:space="preserve">According to the ICC, "Free on Board" (FOB) means that: </w:t>
      </w:r>
    </w:p>
    <w:p w14:paraId="0710BFF6" w14:textId="77777777" w:rsidR="009D14F3" w:rsidRPr="009D14F3" w:rsidRDefault="009D14F3" w:rsidP="009D14F3">
      <w:pPr>
        <w:spacing w:after="240" w:line="276" w:lineRule="auto"/>
        <w:ind w:left="851"/>
        <w:rPr>
          <w:sz w:val="22"/>
        </w:rPr>
      </w:pPr>
      <w:r w:rsidRPr="009D14F3">
        <w:rPr>
          <w:sz w:val="22"/>
        </w:rPr>
        <w:t>the seller delivers the goods on board the vessel nominated by the buyer at the named port of shipment or procures the goods already so delivered.  The risk of loss of or damage to the goods passes when the goods are on board the vessel, and the buyer bears all costs from that moment onwards.</w:t>
      </w:r>
      <w:r w:rsidRPr="009D14F3">
        <w:rPr>
          <w:sz w:val="22"/>
          <w:vertAlign w:val="superscript"/>
        </w:rPr>
        <w:footnoteReference w:id="245"/>
      </w:r>
    </w:p>
    <w:p w14:paraId="28A0E83B" w14:textId="39A91B7D" w:rsidR="009D14F3" w:rsidRPr="009D14F3" w:rsidRDefault="009D14F3" w:rsidP="009D14F3">
      <w:pPr>
        <w:numPr>
          <w:ilvl w:val="0"/>
          <w:numId w:val="1"/>
        </w:numPr>
      </w:pPr>
      <w:r w:rsidRPr="009D14F3">
        <w:t>There is evidence to indicate that Indian mills routinely conduct export transactions on a FOB basis.</w:t>
      </w:r>
      <w:r w:rsidRPr="009D14F3">
        <w:rPr>
          <w:vertAlign w:val="superscript"/>
        </w:rPr>
        <w:footnoteReference w:id="246"/>
      </w:r>
      <w:r w:rsidRPr="009D14F3">
        <w:t xml:space="preserve">  In such transactions, mills </w:t>
      </w:r>
      <w:r w:rsidRPr="00AD243E">
        <w:rPr>
          <w:u w:val="single"/>
        </w:rPr>
        <w:t>do not pay</w:t>
      </w:r>
      <w:r w:rsidRPr="009D14F3">
        <w:t xml:space="preserve"> the costs of international shipping from the port of departure to the final destination.  Th</w:t>
      </w:r>
      <w:r w:rsidR="00467D84">
        <w:t>e purchaser of the sugar meets th</w:t>
      </w:r>
      <w:r w:rsidRPr="009D14F3">
        <w:t>ose costs</w:t>
      </w:r>
      <w:r w:rsidR="00467D84">
        <w:t>,</w:t>
      </w:r>
      <w:r w:rsidRPr="009D14F3">
        <w:t xml:space="preserve"> </w:t>
      </w:r>
      <w:r w:rsidR="00467D84">
        <w:t xml:space="preserve">a </w:t>
      </w:r>
      <w:r w:rsidRPr="009D14F3">
        <w:t>fact</w:t>
      </w:r>
      <w:r w:rsidR="00467D84">
        <w:t xml:space="preserve"> that</w:t>
      </w:r>
      <w:r w:rsidRPr="009D14F3">
        <w:t xml:space="preserve"> disproves</w:t>
      </w:r>
      <w:r w:rsidR="00467D84">
        <w:t xml:space="preserve"> </w:t>
      </w:r>
      <w:r w:rsidRPr="009D14F3">
        <w:t>India's assertion that payments under the MAEQ scheme "have a direct relationship to the costs normally incurred".</w:t>
      </w:r>
      <w:r w:rsidRPr="009D14F3">
        <w:rPr>
          <w:vertAlign w:val="superscript"/>
        </w:rPr>
        <w:footnoteReference w:id="247"/>
      </w:r>
      <w:r w:rsidRPr="009D14F3">
        <w:t xml:space="preserve">  Again, the MAEQ scheme fails to meet the legal standard for Article 9.1(d).</w:t>
      </w:r>
    </w:p>
    <w:p w14:paraId="3FF9EB30" w14:textId="4AC6279B" w:rsidR="009D14F3" w:rsidRPr="009D14F3" w:rsidRDefault="009D14F3" w:rsidP="009D14F3">
      <w:pPr>
        <w:numPr>
          <w:ilvl w:val="0"/>
          <w:numId w:val="1"/>
        </w:numPr>
      </w:pPr>
      <w:r w:rsidRPr="009D14F3">
        <w:t xml:space="preserve">Finally, annual reports of large Indian mills corroborate </w:t>
      </w:r>
      <w:r w:rsidR="00467D84">
        <w:t>Australia's submission</w:t>
      </w:r>
      <w:r w:rsidRPr="009D14F3">
        <w:t xml:space="preserve"> that the MAEQ scheme </w:t>
      </w:r>
      <w:r w:rsidR="00467D84" w:rsidRPr="009D14F3">
        <w:t xml:space="preserve">ostensibly </w:t>
      </w:r>
      <w:r w:rsidRPr="009D14F3">
        <w:t>provides subsid</w:t>
      </w:r>
      <w:r w:rsidR="00467D84">
        <w:t>i</w:t>
      </w:r>
      <w:r w:rsidRPr="009D14F3">
        <w:t>es for costs that mills often do not incur.  For example,</w:t>
      </w:r>
      <w:r w:rsidR="0014291A">
        <w:t xml:space="preserve"> in its 2019–20 annual report</w:t>
      </w:r>
      <w:r w:rsidR="00CF354B">
        <w:t>,</w:t>
      </w:r>
      <w:r w:rsidRPr="009D14F3">
        <w:t xml:space="preserve"> Avadh Sugar &amp; Energy Limited</w:t>
      </w:r>
      <w:r w:rsidR="00D61392">
        <w:t xml:space="preserve"> (Avadh)</w:t>
      </w:r>
      <w:r w:rsidRPr="009D14F3">
        <w:t xml:space="preserve"> notes in relation to government grants that</w:t>
      </w:r>
      <w:r w:rsidR="0014291A">
        <w:t>:</w:t>
      </w:r>
      <w:r w:rsidRPr="009D14F3">
        <w:t xml:space="preserve"> </w:t>
      </w:r>
    </w:p>
    <w:p w14:paraId="71C05C69" w14:textId="77777777" w:rsidR="009D14F3" w:rsidRPr="009D14F3" w:rsidRDefault="009D14F3" w:rsidP="009D14F3">
      <w:pPr>
        <w:spacing w:after="240" w:line="276" w:lineRule="auto"/>
        <w:ind w:left="851"/>
        <w:rPr>
          <w:sz w:val="22"/>
        </w:rPr>
      </w:pPr>
      <w:r w:rsidRPr="009D14F3">
        <w:rPr>
          <w:sz w:val="22"/>
        </w:rPr>
        <w:t>[t]he company recognises the related costs for which the grants are intended to compensate and are netted off with the related expenditure.  If not related to a specific expenditure, it is taken as income and presented under "Other Operating Revenue".</w:t>
      </w:r>
      <w:r w:rsidRPr="009D14F3">
        <w:rPr>
          <w:sz w:val="22"/>
          <w:vertAlign w:val="superscript"/>
        </w:rPr>
        <w:footnoteReference w:id="248"/>
      </w:r>
      <w:r w:rsidRPr="009D14F3">
        <w:rPr>
          <w:sz w:val="22"/>
        </w:rPr>
        <w:t xml:space="preserve">    </w:t>
      </w:r>
    </w:p>
    <w:p w14:paraId="7BA62F63" w14:textId="22554DA1" w:rsidR="009D14F3" w:rsidRPr="009D14F3" w:rsidRDefault="009D14F3" w:rsidP="009D14F3">
      <w:pPr>
        <w:numPr>
          <w:ilvl w:val="0"/>
          <w:numId w:val="1"/>
        </w:numPr>
      </w:pPr>
      <w:r w:rsidRPr="009D14F3">
        <w:t>The company did not net its MAEQ subsidy off against any expenditure of the kinds identified in Articles 9.1(d) or (e).  Rather,</w:t>
      </w:r>
      <w:r w:rsidR="00301264">
        <w:t xml:space="preserve"> it </w:t>
      </w:r>
      <w:r w:rsidR="00301264" w:rsidRPr="009D14F3">
        <w:t xml:space="preserve">treated the </w:t>
      </w:r>
      <w:r w:rsidR="00301264">
        <w:t>subsidy</w:t>
      </w:r>
      <w:r w:rsidR="00301264" w:rsidRPr="009D14F3">
        <w:t xml:space="preserve"> as a simple grant</w:t>
      </w:r>
      <w:r w:rsidRPr="009D14F3">
        <w:t xml:space="preserve"> </w:t>
      </w:r>
      <w:r w:rsidR="00301264">
        <w:t>and, accordingly,</w:t>
      </w:r>
      <w:r w:rsidRPr="009D14F3">
        <w:t xml:space="preserve"> accounted for the assistance as "Other Operating Revenue".</w:t>
      </w:r>
      <w:r w:rsidRPr="009D14F3">
        <w:rPr>
          <w:vertAlign w:val="superscript"/>
        </w:rPr>
        <w:footnoteReference w:id="249"/>
      </w:r>
      <w:r w:rsidRPr="009D14F3">
        <w:t xml:space="preserve"> </w:t>
      </w:r>
    </w:p>
    <w:p w14:paraId="0DBBE4E0" w14:textId="042CD0ED" w:rsidR="00CC1F0D" w:rsidRPr="009D14F3" w:rsidRDefault="00CC1F0D" w:rsidP="009D14F3">
      <w:pPr>
        <w:numPr>
          <w:ilvl w:val="0"/>
          <w:numId w:val="1"/>
        </w:numPr>
      </w:pPr>
      <w:r w:rsidRPr="009D14F3">
        <w:t xml:space="preserve">Similarly, </w:t>
      </w:r>
      <w:r>
        <w:t>Balrampur Chini Mill Limited</w:t>
      </w:r>
      <w:r w:rsidRPr="009D14F3">
        <w:t xml:space="preserve"> </w:t>
      </w:r>
      <w:r>
        <w:t xml:space="preserve">(Balrampur) and </w:t>
      </w:r>
      <w:r w:rsidRPr="009D14F3">
        <w:t>Dhampur Sugar Mills Ltd</w:t>
      </w:r>
      <w:r>
        <w:t xml:space="preserve"> (Dhampur), treated MAEQ assistance received as, respectively, "revenue from operations"</w:t>
      </w:r>
      <w:r>
        <w:rPr>
          <w:rStyle w:val="FootnoteReference"/>
        </w:rPr>
        <w:footnoteReference w:id="250"/>
      </w:r>
      <w:r>
        <w:t xml:space="preserve"> and</w:t>
      </w:r>
      <w:r w:rsidRPr="009D14F3">
        <w:t xml:space="preserve"> "other operating income"</w:t>
      </w:r>
      <w:r>
        <w:t xml:space="preserve"> in their 2019-20 annual reports.</w:t>
      </w:r>
      <w:r w:rsidRPr="009D14F3">
        <w:rPr>
          <w:vertAlign w:val="superscript"/>
        </w:rPr>
        <w:footnoteReference w:id="251"/>
      </w:r>
      <w:r>
        <w:t xml:space="preserve">  Avadh, Balrampur and Dhampur are among India's 10 largest mills.</w:t>
      </w:r>
      <w:r>
        <w:rPr>
          <w:rStyle w:val="FootnoteReference"/>
        </w:rPr>
        <w:footnoteReference w:id="252"/>
      </w:r>
    </w:p>
    <w:p w14:paraId="6C58B16B" w14:textId="2B2204BB" w:rsidR="009D14F3" w:rsidRPr="009D14F3" w:rsidRDefault="00F812AC" w:rsidP="009D14F3">
      <w:pPr>
        <w:numPr>
          <w:ilvl w:val="0"/>
          <w:numId w:val="1"/>
        </w:numPr>
      </w:pPr>
      <w:r>
        <w:t>T</w:t>
      </w:r>
      <w:r w:rsidR="006B6CBF">
        <w:t>o conclude,</w:t>
      </w:r>
      <w:r>
        <w:t xml:space="preserve"> the</w:t>
      </w:r>
      <w:r w:rsidR="006B6CBF">
        <w:t>re is</w:t>
      </w:r>
      <w:r>
        <w:t xml:space="preserve"> clear evidence that MAEQ scheme payments are provided for the purpose of offsetting the cost of purchasing sugarcane and not, as India asserts, to offset marketing, transport and freight costs</w:t>
      </w:r>
      <w:r w:rsidR="009D14F3" w:rsidRPr="009D14F3">
        <w:t xml:space="preserve">.  The subsidy is </w:t>
      </w:r>
      <w:r w:rsidR="009D14F3" w:rsidRPr="00AD243E">
        <w:rPr>
          <w:u w:val="single"/>
        </w:rPr>
        <w:t>not</w:t>
      </w:r>
      <w:r w:rsidR="009D14F3" w:rsidRPr="009D14F3">
        <w:t xml:space="preserve"> linked to actual Article 9.1(d) or (e) costs.  India has not discharged its burden of proof, because it cannot: the measure falls outside the scope of Articles 9.1(d) and (e).  India does not have a valid defence under Article</w:t>
      </w:r>
      <w:r w:rsidR="006B6CBF">
        <w:t> </w:t>
      </w:r>
      <w:r w:rsidR="009D14F3" w:rsidRPr="009D14F3">
        <w:t>9.4.</w:t>
      </w:r>
    </w:p>
    <w:p w14:paraId="219B4A29" w14:textId="17415CDF" w:rsidR="009D14F3" w:rsidRPr="009D14F3" w:rsidRDefault="009D14F3" w:rsidP="009D14F3">
      <w:pPr>
        <w:keepNext/>
        <w:keepLines/>
        <w:numPr>
          <w:ilvl w:val="1"/>
          <w:numId w:val="2"/>
        </w:numPr>
        <w:outlineLvl w:val="1"/>
        <w:rPr>
          <w:rFonts w:eastAsiaTheme="majorEastAsia" w:cstheme="majorBidi"/>
          <w:b/>
          <w:smallCaps/>
          <w:sz w:val="28"/>
          <w:szCs w:val="26"/>
        </w:rPr>
      </w:pPr>
      <w:bookmarkStart w:id="127" w:name="_Toc63763465"/>
      <w:bookmarkStart w:id="128" w:name="_Toc63763531"/>
      <w:bookmarkStart w:id="129" w:name="_Toc63797025"/>
      <w:bookmarkStart w:id="130" w:name="_Toc63763466"/>
      <w:bookmarkStart w:id="131" w:name="_Toc63763532"/>
      <w:bookmarkStart w:id="132" w:name="_Toc63797026"/>
      <w:bookmarkStart w:id="133" w:name="_Toc63353638"/>
      <w:bookmarkStart w:id="134" w:name="_Toc63797027"/>
      <w:bookmarkStart w:id="135" w:name="_Ref63865307"/>
      <w:bookmarkStart w:id="136" w:name="_Toc63966848"/>
      <w:bookmarkEnd w:id="127"/>
      <w:bookmarkEnd w:id="128"/>
      <w:bookmarkEnd w:id="129"/>
      <w:bookmarkEnd w:id="130"/>
      <w:bookmarkEnd w:id="131"/>
      <w:bookmarkEnd w:id="132"/>
      <w:r w:rsidRPr="009D14F3">
        <w:rPr>
          <w:rFonts w:eastAsiaTheme="majorEastAsia" w:cstheme="majorBidi"/>
          <w:b/>
          <w:smallCaps/>
          <w:sz w:val="28"/>
          <w:szCs w:val="26"/>
        </w:rPr>
        <w:t xml:space="preserve">The </w:t>
      </w:r>
      <w:r w:rsidR="000B468D">
        <w:rPr>
          <w:rFonts w:eastAsiaTheme="majorEastAsia" w:cstheme="majorBidi"/>
          <w:b/>
          <w:smallCaps/>
          <w:sz w:val="28"/>
          <w:szCs w:val="26"/>
        </w:rPr>
        <w:t>p</w:t>
      </w:r>
      <w:r w:rsidRPr="009D14F3">
        <w:rPr>
          <w:rFonts w:eastAsiaTheme="majorEastAsia" w:cstheme="majorBidi"/>
          <w:b/>
          <w:smallCaps/>
          <w:sz w:val="28"/>
          <w:szCs w:val="26"/>
        </w:rPr>
        <w:t>rohibition under Article 3.1(a) of the SCM Agreement</w:t>
      </w:r>
      <w:bookmarkEnd w:id="133"/>
      <w:r w:rsidRPr="009D14F3">
        <w:rPr>
          <w:rFonts w:eastAsiaTheme="majorEastAsia" w:cstheme="majorBidi"/>
          <w:b/>
          <w:smallCaps/>
          <w:sz w:val="28"/>
          <w:szCs w:val="26"/>
        </w:rPr>
        <w:t xml:space="preserve"> </w:t>
      </w:r>
      <w:r w:rsidR="000B468D">
        <w:rPr>
          <w:rFonts w:eastAsiaTheme="majorEastAsia" w:cstheme="majorBidi"/>
          <w:b/>
          <w:smallCaps/>
          <w:sz w:val="28"/>
          <w:szCs w:val="26"/>
        </w:rPr>
        <w:t>a</w:t>
      </w:r>
      <w:r w:rsidRPr="009D14F3">
        <w:rPr>
          <w:rFonts w:eastAsiaTheme="majorEastAsia" w:cstheme="majorBidi"/>
          <w:b/>
          <w:smallCaps/>
          <w:sz w:val="28"/>
          <w:szCs w:val="26"/>
        </w:rPr>
        <w:t>pplies to India</w:t>
      </w:r>
      <w:bookmarkEnd w:id="134"/>
      <w:bookmarkEnd w:id="135"/>
      <w:bookmarkEnd w:id="136"/>
    </w:p>
    <w:p w14:paraId="5D78DD23" w14:textId="531C3D4B" w:rsidR="009D14F3" w:rsidRPr="009D14F3" w:rsidRDefault="009D14F3" w:rsidP="009D14F3">
      <w:pPr>
        <w:numPr>
          <w:ilvl w:val="0"/>
          <w:numId w:val="1"/>
        </w:numPr>
      </w:pPr>
      <w:r w:rsidRPr="009D14F3">
        <w:t xml:space="preserve">The Agreement on Agriculture does not authorise India's export subsidies.  They therefore remain subject to the disciplines </w:t>
      </w:r>
      <w:r w:rsidR="002C50ED">
        <w:t>of</w:t>
      </w:r>
      <w:r w:rsidRPr="009D14F3">
        <w:t xml:space="preserve"> the SCM Agreement, including the prohibition</w:t>
      </w:r>
      <w:r w:rsidR="002C50ED">
        <w:t xml:space="preserve"> on export subsidies</w:t>
      </w:r>
      <w:r w:rsidRPr="009D14F3">
        <w:t xml:space="preserve"> </w:t>
      </w:r>
      <w:r w:rsidR="00CB3C6C">
        <w:t>under</w:t>
      </w:r>
      <w:r w:rsidRPr="009D14F3">
        <w:t xml:space="preserve"> Article 3.1(a).</w:t>
      </w:r>
      <w:r w:rsidRPr="009D14F3">
        <w:rPr>
          <w:vertAlign w:val="superscript"/>
        </w:rPr>
        <w:footnoteReference w:id="253"/>
      </w:r>
      <w:r w:rsidRPr="009D14F3">
        <w:t xml:space="preserve">   </w:t>
      </w:r>
    </w:p>
    <w:p w14:paraId="00C8642E" w14:textId="4A0DEB79" w:rsidR="009D14F3" w:rsidRPr="009D14F3" w:rsidRDefault="009D14F3" w:rsidP="009D14F3">
      <w:pPr>
        <w:numPr>
          <w:ilvl w:val="0"/>
          <w:numId w:val="1"/>
        </w:numPr>
      </w:pPr>
      <w:r w:rsidRPr="009D14F3">
        <w:t>India argues that it is exempt from this prohibition by virtue of the flexibility Article</w:t>
      </w:r>
      <w:r w:rsidR="00CB3C6C">
        <w:t> </w:t>
      </w:r>
      <w:r w:rsidRPr="009D14F3">
        <w:t>27.2(a) affords developing countries listed in Annex VII(b).  However, as Australia explain</w:t>
      </w:r>
      <w:r w:rsidR="002C50ED">
        <w:t>s</w:t>
      </w:r>
      <w:r w:rsidRPr="009D14F3">
        <w:t xml:space="preserve"> in this Section</w:t>
      </w:r>
      <w:r w:rsidR="00C00C65">
        <w:t> </w:t>
      </w:r>
      <w:r w:rsidR="00C00C65">
        <w:fldChar w:fldCharType="begin"/>
      </w:r>
      <w:r w:rsidR="00C00C65">
        <w:instrText xml:space="preserve"> REF _Ref63865307 \w \h </w:instrText>
      </w:r>
      <w:r w:rsidR="00C00C65">
        <w:fldChar w:fldCharType="separate"/>
      </w:r>
      <w:r w:rsidR="00FF2871">
        <w:t>III.C</w:t>
      </w:r>
      <w:r w:rsidR="00C00C65">
        <w:fldChar w:fldCharType="end"/>
      </w:r>
      <w:r w:rsidRPr="009D14F3">
        <w:t>, India's interpretation of the interaction between Article 27 and Annex VII is unsustainable</w:t>
      </w:r>
      <w:r w:rsidR="007F3451">
        <w:t>.  Its</w:t>
      </w:r>
      <w:r w:rsidRPr="009D14F3">
        <w:t xml:space="preserve"> measures </w:t>
      </w:r>
      <w:r w:rsidRPr="005852FA">
        <w:rPr>
          <w:u w:val="single"/>
        </w:rPr>
        <w:t>are</w:t>
      </w:r>
      <w:r w:rsidRPr="009D14F3">
        <w:t xml:space="preserve"> prohibited export subsidies.  This includes the DFIA scheme, which does not, as India claims, benefit from the carve out created by footnote</w:t>
      </w:r>
      <w:r w:rsidR="00CB3C6C">
        <w:t> </w:t>
      </w:r>
      <w:r w:rsidRPr="009D14F3">
        <w:t>1 to the SCM Agreement.</w:t>
      </w:r>
    </w:p>
    <w:p w14:paraId="22B7F1BC" w14:textId="63C81539" w:rsidR="009D14F3" w:rsidRPr="009D14F3" w:rsidRDefault="009D14F3" w:rsidP="009D14F3">
      <w:pPr>
        <w:keepNext/>
        <w:keepLines/>
        <w:numPr>
          <w:ilvl w:val="2"/>
          <w:numId w:val="2"/>
        </w:numPr>
        <w:outlineLvl w:val="2"/>
        <w:rPr>
          <w:rFonts w:eastAsiaTheme="majorEastAsia" w:cstheme="majorBidi"/>
          <w:b/>
        </w:rPr>
      </w:pPr>
      <w:bookmarkStart w:id="137" w:name="_Toc63353639"/>
      <w:bookmarkStart w:id="138" w:name="_Toc63797028"/>
      <w:bookmarkStart w:id="139" w:name="_Toc63966849"/>
      <w:r w:rsidRPr="009D14F3">
        <w:rPr>
          <w:rFonts w:eastAsiaTheme="majorEastAsia" w:cstheme="majorBidi"/>
          <w:b/>
        </w:rPr>
        <w:t xml:space="preserve">The </w:t>
      </w:r>
      <w:bookmarkEnd w:id="137"/>
      <w:r w:rsidRPr="009D14F3">
        <w:rPr>
          <w:rFonts w:eastAsiaTheme="majorEastAsia" w:cstheme="majorBidi"/>
          <w:b/>
        </w:rPr>
        <w:t>correct interpretation of Article 27 and Annex VII of the SCM</w:t>
      </w:r>
      <w:r w:rsidR="000B468D">
        <w:rPr>
          <w:rFonts w:eastAsiaTheme="majorEastAsia" w:cstheme="majorBidi"/>
          <w:b/>
        </w:rPr>
        <w:t> </w:t>
      </w:r>
      <w:r w:rsidRPr="009D14F3">
        <w:rPr>
          <w:rFonts w:eastAsiaTheme="majorEastAsia" w:cstheme="majorBidi"/>
          <w:b/>
        </w:rPr>
        <w:t>Agreement</w:t>
      </w:r>
      <w:bookmarkEnd w:id="138"/>
      <w:bookmarkEnd w:id="139"/>
    </w:p>
    <w:p w14:paraId="5C73EC9C" w14:textId="3E51ABD7" w:rsidR="002C50ED" w:rsidRDefault="009D14F3" w:rsidP="009D14F3">
      <w:pPr>
        <w:numPr>
          <w:ilvl w:val="0"/>
          <w:numId w:val="1"/>
        </w:numPr>
      </w:pPr>
      <w:r w:rsidRPr="009D14F3">
        <w:t xml:space="preserve">Article 27 of the SCM Agreement recognises "that subsidies may play an important role in economic development programmes of developing country Members" and accordingly affords these countries flexibility with respect to the use and </w:t>
      </w:r>
      <w:r w:rsidR="00FB3372" w:rsidRPr="009D14F3">
        <w:t>phase</w:t>
      </w:r>
      <w:r w:rsidR="00FB3372">
        <w:t>-</w:t>
      </w:r>
      <w:r w:rsidRPr="009D14F3">
        <w:t>out of export subsidies.</w:t>
      </w:r>
      <w:r w:rsidRPr="009D14F3">
        <w:rPr>
          <w:vertAlign w:val="superscript"/>
        </w:rPr>
        <w:footnoteReference w:id="254"/>
      </w:r>
      <w:r w:rsidRPr="009D14F3">
        <w:t xml:space="preserve">  </w:t>
      </w:r>
    </w:p>
    <w:p w14:paraId="0A83C063" w14:textId="5BE8F1D6" w:rsidR="002C50ED" w:rsidRDefault="009D14F3" w:rsidP="009D14F3">
      <w:pPr>
        <w:numPr>
          <w:ilvl w:val="0"/>
          <w:numId w:val="1"/>
        </w:numPr>
      </w:pPr>
      <w:r w:rsidRPr="009D14F3">
        <w:t>Article 27.2(a) exempts developing country Member</w:t>
      </w:r>
      <w:r w:rsidR="002C50ED">
        <w:t>s</w:t>
      </w:r>
      <w:r w:rsidRPr="009D14F3">
        <w:t xml:space="preserve"> identified in paragraphs (a) and (b) of Annex VII from the </w:t>
      </w:r>
      <w:r w:rsidR="002C50ED">
        <w:t>application of</w:t>
      </w:r>
      <w:r w:rsidRPr="009D14F3">
        <w:t xml:space="preserve"> </w:t>
      </w:r>
      <w:r w:rsidR="00AA5E0C">
        <w:t xml:space="preserve">the prohibition in </w:t>
      </w:r>
      <w:r w:rsidRPr="009D14F3">
        <w:t>Article</w:t>
      </w:r>
      <w:r w:rsidR="00C00C65">
        <w:t> </w:t>
      </w:r>
      <w:r w:rsidRPr="009D14F3">
        <w:t xml:space="preserve">3.1(a).  </w:t>
      </w:r>
    </w:p>
    <w:p w14:paraId="05C1758B" w14:textId="76C89369" w:rsidR="009D14F3" w:rsidRPr="009D14F3" w:rsidRDefault="009D14F3" w:rsidP="009D14F3">
      <w:pPr>
        <w:numPr>
          <w:ilvl w:val="0"/>
          <w:numId w:val="1"/>
        </w:numPr>
      </w:pPr>
      <w:r w:rsidRPr="009D14F3">
        <w:t xml:space="preserve">Article 27.2(b), meanwhile, </w:t>
      </w:r>
      <w:r w:rsidR="002C50ED" w:rsidRPr="009D14F3">
        <w:t>exempt</w:t>
      </w:r>
      <w:r w:rsidR="002C50ED">
        <w:t>ed</w:t>
      </w:r>
      <w:r w:rsidR="002C50ED" w:rsidRPr="009D14F3">
        <w:t xml:space="preserve"> </w:t>
      </w:r>
      <w:r w:rsidRPr="009D14F3">
        <w:t xml:space="preserve">"other developing countries" from the </w:t>
      </w:r>
      <w:r w:rsidR="00AA5E0C">
        <w:t xml:space="preserve">application of </w:t>
      </w:r>
      <w:r w:rsidR="00C47EF1">
        <w:t xml:space="preserve">the prohibition in </w:t>
      </w:r>
      <w:r w:rsidR="00AA5E0C">
        <w:t>Article 3.1(a)</w:t>
      </w:r>
      <w:r w:rsidRPr="009D14F3">
        <w:t xml:space="preserve"> for a period of eight years from the WTO Agreement's entry into force, during which time they </w:t>
      </w:r>
      <w:r w:rsidR="002C50ED">
        <w:t>we</w:t>
      </w:r>
      <w:r w:rsidR="002C50ED" w:rsidRPr="009D14F3">
        <w:t xml:space="preserve">re </w:t>
      </w:r>
      <w:r w:rsidRPr="009D14F3">
        <w:t>to phase out their export subsidies progressively and not to increase them.</w:t>
      </w:r>
      <w:r w:rsidRPr="009D14F3">
        <w:rPr>
          <w:vertAlign w:val="superscript"/>
        </w:rPr>
        <w:footnoteReference w:id="255"/>
      </w:r>
      <w:r w:rsidRPr="009D14F3">
        <w:t xml:space="preserve">  </w:t>
      </w:r>
    </w:p>
    <w:p w14:paraId="69C715F8" w14:textId="6EE97B81" w:rsidR="009D14F3" w:rsidRPr="009D14F3" w:rsidRDefault="009D14F3" w:rsidP="009D14F3">
      <w:pPr>
        <w:numPr>
          <w:ilvl w:val="0"/>
          <w:numId w:val="1"/>
        </w:numPr>
      </w:pPr>
      <w:r w:rsidRPr="009D14F3">
        <w:t xml:space="preserve">Developing countries referred to in subparagraph (b) of Annex VII – among them India – are not shielded indefinitely from the </w:t>
      </w:r>
      <w:r w:rsidR="002C50ED">
        <w:t>application of Article 3.1(a)</w:t>
      </w:r>
      <w:r w:rsidRPr="009D14F3">
        <w:t>.   Instead, they "graduate" from Annex VII and become "other developing countries" within the meaning of Article 27.2(b) once they reach a specified income level.</w:t>
      </w:r>
      <w:r w:rsidRPr="009D14F3">
        <w:rPr>
          <w:vertAlign w:val="superscript"/>
        </w:rPr>
        <w:footnoteReference w:id="256"/>
      </w:r>
      <w:r w:rsidRPr="009D14F3">
        <w:t xml:space="preserve">  Because Article 27</w:t>
      </w:r>
      <w:r w:rsidR="006B6CBF">
        <w:t>.2</w:t>
      </w:r>
      <w:r w:rsidRPr="009D14F3">
        <w:t xml:space="preserve">(b) is time limited, developing countries </w:t>
      </w:r>
      <w:r w:rsidR="002C50ED">
        <w:t xml:space="preserve">that </w:t>
      </w:r>
      <w:r w:rsidR="002C50ED" w:rsidRPr="009D14F3">
        <w:t>graduat</w:t>
      </w:r>
      <w:r w:rsidR="002C50ED">
        <w:t>ed</w:t>
      </w:r>
      <w:r w:rsidR="002C50ED" w:rsidRPr="009D14F3">
        <w:t xml:space="preserve"> </w:t>
      </w:r>
      <w:r w:rsidRPr="009D14F3">
        <w:t xml:space="preserve">from Annex VII(b) within eight years of the WTO Agreement's entry into force on 1 January 1995, had </w:t>
      </w:r>
      <w:r w:rsidRPr="009D14F3">
        <w:rPr>
          <w:u w:val="single"/>
        </w:rPr>
        <w:t xml:space="preserve">up </w:t>
      </w:r>
      <w:r w:rsidR="00CB3C6C">
        <w:rPr>
          <w:u w:val="single"/>
        </w:rPr>
        <w:t>until</w:t>
      </w:r>
      <w:r w:rsidRPr="009D14F3">
        <w:t xml:space="preserve"> </w:t>
      </w:r>
      <w:r w:rsidR="00CB3C6C" w:rsidRPr="00CB3C6C">
        <w:t>1 January 2003</w:t>
      </w:r>
      <w:r w:rsidRPr="009D14F3">
        <w:t xml:space="preserve"> to phase out their export subsidies.  For those </w:t>
      </w:r>
      <w:r w:rsidR="004E151D">
        <w:t xml:space="preserve">that </w:t>
      </w:r>
      <w:r w:rsidR="004E151D" w:rsidRPr="009D14F3">
        <w:t>graduat</w:t>
      </w:r>
      <w:r w:rsidR="004E151D">
        <w:t>ed (or will graduate)</w:t>
      </w:r>
      <w:r w:rsidR="004E151D" w:rsidRPr="009D14F3">
        <w:t xml:space="preserve"> </w:t>
      </w:r>
      <w:r w:rsidRPr="009D14F3">
        <w:rPr>
          <w:u w:val="single"/>
        </w:rPr>
        <w:t>after</w:t>
      </w:r>
      <w:r w:rsidRPr="009D14F3">
        <w:t xml:space="preserve"> 1 January 2003 – including India, which did so in 2017 – the flexibility </w:t>
      </w:r>
      <w:r w:rsidR="00567A24">
        <w:t xml:space="preserve">under </w:t>
      </w:r>
      <w:r w:rsidRPr="009D14F3">
        <w:t xml:space="preserve">Article 27.2(b) </w:t>
      </w:r>
      <w:r w:rsidR="00CB0F4E">
        <w:t>no longer applies</w:t>
      </w:r>
      <w:r w:rsidR="004E151D">
        <w:t xml:space="preserve"> as</w:t>
      </w:r>
      <w:r w:rsidR="004E151D" w:rsidRPr="009D14F3">
        <w:t xml:space="preserve"> </w:t>
      </w:r>
      <w:r w:rsidRPr="009D14F3">
        <w:t xml:space="preserve">the eight-year timeframe </w:t>
      </w:r>
      <w:r w:rsidR="004E151D" w:rsidRPr="009D14F3">
        <w:t>ha</w:t>
      </w:r>
      <w:r w:rsidR="004E151D">
        <w:t>s</w:t>
      </w:r>
      <w:r w:rsidR="004E151D" w:rsidRPr="009D14F3">
        <w:t xml:space="preserve"> </w:t>
      </w:r>
      <w:r w:rsidRPr="009D14F3">
        <w:t xml:space="preserve">expired.  </w:t>
      </w:r>
    </w:p>
    <w:p w14:paraId="15A2C3B2" w14:textId="38AFF948" w:rsidR="009D14F3" w:rsidRPr="009D14F3" w:rsidRDefault="009D14F3" w:rsidP="009D14F3">
      <w:pPr>
        <w:keepNext/>
        <w:keepLines/>
        <w:numPr>
          <w:ilvl w:val="2"/>
          <w:numId w:val="2"/>
        </w:numPr>
        <w:outlineLvl w:val="2"/>
        <w:rPr>
          <w:rFonts w:eastAsiaTheme="majorEastAsia" w:cstheme="majorBidi"/>
          <w:b/>
        </w:rPr>
      </w:pPr>
      <w:bookmarkStart w:id="140" w:name="_Toc63797029"/>
      <w:bookmarkStart w:id="141" w:name="_Toc63966850"/>
      <w:r w:rsidRPr="009D14F3">
        <w:rPr>
          <w:rFonts w:eastAsiaTheme="majorEastAsia" w:cstheme="majorBidi"/>
          <w:b/>
        </w:rPr>
        <w:t xml:space="preserve">The Panel should reject India's </w:t>
      </w:r>
      <w:r w:rsidR="00EF3415">
        <w:rPr>
          <w:rFonts w:eastAsiaTheme="majorEastAsia" w:cstheme="majorBidi"/>
          <w:b/>
        </w:rPr>
        <w:t>mis</w:t>
      </w:r>
      <w:r w:rsidRPr="009D14F3">
        <w:rPr>
          <w:rFonts w:eastAsiaTheme="majorEastAsia" w:cstheme="majorBidi"/>
          <w:b/>
        </w:rPr>
        <w:t>interpretation of Article 27 and Annex VII of the SCM Agreement</w:t>
      </w:r>
      <w:bookmarkEnd w:id="140"/>
      <w:bookmarkEnd w:id="141"/>
    </w:p>
    <w:p w14:paraId="203A315F" w14:textId="7939F833" w:rsidR="009D14F3" w:rsidRPr="009D14F3" w:rsidRDefault="009D14F3" w:rsidP="009D14F3">
      <w:pPr>
        <w:numPr>
          <w:ilvl w:val="0"/>
          <w:numId w:val="1"/>
        </w:numPr>
      </w:pPr>
      <w:r w:rsidRPr="009D14F3">
        <w:t>While India agrees that it graduated from Annex VII(b) in 2017,</w:t>
      </w:r>
      <w:r w:rsidRPr="009D14F3">
        <w:rPr>
          <w:vertAlign w:val="superscript"/>
        </w:rPr>
        <w:footnoteReference w:id="257"/>
      </w:r>
      <w:r w:rsidRPr="009D14F3">
        <w:t xml:space="preserve"> it does not share Australia's reading of </w:t>
      </w:r>
      <w:r w:rsidR="008772D4">
        <w:t>Article 27 and Annex VII</w:t>
      </w:r>
      <w:r w:rsidRPr="009D14F3">
        <w:t xml:space="preserve"> in any other respect.  I</w:t>
      </w:r>
      <w:r w:rsidR="008772D4">
        <w:t xml:space="preserve">nstead, </w:t>
      </w:r>
      <w:r w:rsidR="007F3451">
        <w:t>India</w:t>
      </w:r>
      <w:r w:rsidRPr="009D14F3">
        <w:t xml:space="preserve"> argues that it</w:t>
      </w:r>
      <w:r w:rsidR="008772D4">
        <w:t xml:space="preserve"> continues to</w:t>
      </w:r>
      <w:r w:rsidRPr="009D14F3">
        <w:t xml:space="preserve"> enjoy an eight-year export subsidy </w:t>
      </w:r>
      <w:r w:rsidR="00AB0985" w:rsidRPr="009D14F3">
        <w:t>phase</w:t>
      </w:r>
      <w:r w:rsidR="00AB0985">
        <w:t>-</w:t>
      </w:r>
      <w:r w:rsidRPr="009D14F3">
        <w:t xml:space="preserve">out period, which began </w:t>
      </w:r>
      <w:r w:rsidR="008772D4">
        <w:t>from</w:t>
      </w:r>
      <w:r w:rsidR="008772D4" w:rsidRPr="009D14F3">
        <w:t xml:space="preserve"> </w:t>
      </w:r>
      <w:r w:rsidRPr="009D14F3">
        <w:t xml:space="preserve">its graduation from Annex VII(b) in 2017.  India builds its argument around a single, flawed line of reasoning.  In sum, India </w:t>
      </w:r>
      <w:r w:rsidR="008772D4">
        <w:t>contend</w:t>
      </w:r>
      <w:r w:rsidR="008772D4" w:rsidRPr="009D14F3">
        <w:t>s</w:t>
      </w:r>
      <w:r w:rsidR="008772D4">
        <w:t xml:space="preserve"> that</w:t>
      </w:r>
      <w:r w:rsidR="008772D4" w:rsidRPr="009D14F3">
        <w:t xml:space="preserve"> </w:t>
      </w:r>
      <w:r w:rsidRPr="009D14F3">
        <w:t>customary rules of treaty interpretation do not support an ordinary meaning reading of Article 27</w:t>
      </w:r>
      <w:r w:rsidR="006B6CBF">
        <w:t>.2</w:t>
      </w:r>
      <w:r w:rsidRPr="009D14F3">
        <w:t xml:space="preserve">(b).  </w:t>
      </w:r>
      <w:r w:rsidR="00C02DBA">
        <w:t>M</w:t>
      </w:r>
      <w:r w:rsidRPr="009D14F3">
        <w:t xml:space="preserve">ultiple </w:t>
      </w:r>
      <w:r w:rsidR="00CB0F4E">
        <w:t>untenable</w:t>
      </w:r>
      <w:r w:rsidR="00CB0F4E" w:rsidRPr="009D14F3">
        <w:t xml:space="preserve"> </w:t>
      </w:r>
      <w:r w:rsidRPr="009D14F3">
        <w:t>claims</w:t>
      </w:r>
      <w:r w:rsidR="00C02DBA">
        <w:t xml:space="preserve"> flow from this contention</w:t>
      </w:r>
      <w:r w:rsidRPr="009D14F3">
        <w:t>, including that an ordinary meaning reading of Article 27</w:t>
      </w:r>
      <w:r w:rsidR="006B6CBF">
        <w:t>.2</w:t>
      </w:r>
      <w:r w:rsidRPr="009D14F3">
        <w:t>(b) would:</w:t>
      </w:r>
    </w:p>
    <w:p w14:paraId="7384DBB5" w14:textId="77777777" w:rsidR="009D14F3" w:rsidRPr="009D14F3" w:rsidRDefault="009D14F3" w:rsidP="009D14F3">
      <w:pPr>
        <w:numPr>
          <w:ilvl w:val="1"/>
          <w:numId w:val="1"/>
        </w:numPr>
        <w:spacing w:after="120"/>
      </w:pPr>
      <w:r w:rsidRPr="009D14F3">
        <w:t>frustrate a harmonious reading of the SCM Agreement, rendering certain provisions useless or redundant;</w:t>
      </w:r>
    </w:p>
    <w:p w14:paraId="4AED928F" w14:textId="77777777" w:rsidR="009D14F3" w:rsidRPr="009D14F3" w:rsidRDefault="009D14F3" w:rsidP="009D14F3">
      <w:pPr>
        <w:numPr>
          <w:ilvl w:val="1"/>
          <w:numId w:val="1"/>
        </w:numPr>
        <w:spacing w:after="120"/>
      </w:pPr>
      <w:r w:rsidRPr="009D14F3">
        <w:t xml:space="preserve">fail to account for the immediate textual context in which paragraph (b) sits, leading to internal inconsistencies in the operation of Article 27 as a whole; and </w:t>
      </w:r>
    </w:p>
    <w:p w14:paraId="171C4FB1" w14:textId="6920DCEB" w:rsidR="009D14F3" w:rsidRPr="009D14F3" w:rsidRDefault="009D14F3" w:rsidP="009D14F3">
      <w:pPr>
        <w:numPr>
          <w:ilvl w:val="1"/>
          <w:numId w:val="1"/>
        </w:numPr>
        <w:spacing w:after="120"/>
      </w:pPr>
      <w:r w:rsidRPr="009D14F3">
        <w:t>deny some developing countries the full enjoyment of the special and differential treatment scheme</w:t>
      </w:r>
      <w:r w:rsidR="008772D4">
        <w:t xml:space="preserve"> under the SCM Agreement</w:t>
      </w:r>
      <w:r w:rsidRPr="009D14F3">
        <w:t>, contrary to the Agreement's object and purpose.</w:t>
      </w:r>
    </w:p>
    <w:p w14:paraId="342A07AD" w14:textId="1084D9AB" w:rsidR="009D14F3" w:rsidRPr="009D14F3" w:rsidRDefault="009D14F3" w:rsidP="009D14F3">
      <w:pPr>
        <w:numPr>
          <w:ilvl w:val="0"/>
          <w:numId w:val="1"/>
        </w:numPr>
      </w:pPr>
      <w:r w:rsidRPr="009D14F3">
        <w:t xml:space="preserve">India also argues that the panel's reasoning in </w:t>
      </w:r>
      <w:r w:rsidRPr="009D14F3">
        <w:rPr>
          <w:i/>
        </w:rPr>
        <w:t>India – Export Related Measures</w:t>
      </w:r>
      <w:r w:rsidRPr="009D14F3">
        <w:t>, which addressed precisely the arguments with respect to Article 27</w:t>
      </w:r>
      <w:r w:rsidR="00C47EF1">
        <w:t>.2</w:t>
      </w:r>
      <w:r w:rsidRPr="009D14F3">
        <w:t>(b) upon which India relies in this dispute, is "inconsequential" because its determination is not binding and is under appeal.</w:t>
      </w:r>
      <w:r w:rsidRPr="009D14F3">
        <w:rPr>
          <w:vertAlign w:val="superscript"/>
        </w:rPr>
        <w:footnoteReference w:id="258"/>
      </w:r>
    </w:p>
    <w:p w14:paraId="4B755189" w14:textId="6E208758" w:rsidR="009D14F3" w:rsidRPr="009D14F3" w:rsidRDefault="009D14F3" w:rsidP="009D14F3">
      <w:pPr>
        <w:numPr>
          <w:ilvl w:val="0"/>
          <w:numId w:val="1"/>
        </w:numPr>
      </w:pPr>
      <w:r w:rsidRPr="009D14F3">
        <w:t>Australia first outlines the ordinary meaning of Article 27</w:t>
      </w:r>
      <w:r w:rsidR="00C47EF1">
        <w:t>.2</w:t>
      </w:r>
      <w:r w:rsidRPr="009D14F3">
        <w:t xml:space="preserve">(b) and why it should be respected, before explaining why India's argument regarding the eight-year phase period and associated reasoning </w:t>
      </w:r>
      <w:r w:rsidR="008772D4">
        <w:t>are</w:t>
      </w:r>
      <w:r w:rsidR="008772D4" w:rsidRPr="009D14F3">
        <w:t xml:space="preserve"> </w:t>
      </w:r>
      <w:r w:rsidRPr="009D14F3">
        <w:t xml:space="preserve">untenable. </w:t>
      </w:r>
    </w:p>
    <w:p w14:paraId="6EC5DEDE" w14:textId="3CB6CEF6" w:rsidR="009D14F3" w:rsidRPr="009D14F3" w:rsidRDefault="009D14F3" w:rsidP="009D14F3">
      <w:pPr>
        <w:keepNext/>
        <w:keepLines/>
        <w:numPr>
          <w:ilvl w:val="3"/>
          <w:numId w:val="2"/>
        </w:numPr>
        <w:outlineLvl w:val="3"/>
        <w:rPr>
          <w:rFonts w:eastAsiaTheme="majorEastAsia" w:cstheme="majorBidi"/>
          <w:iCs/>
          <w:u w:val="single"/>
        </w:rPr>
      </w:pPr>
      <w:bookmarkStart w:id="142" w:name="_Toc63347261"/>
      <w:bookmarkStart w:id="143" w:name="_Toc63353096"/>
      <w:bookmarkStart w:id="144" w:name="_Toc63353431"/>
      <w:bookmarkStart w:id="145" w:name="_Toc63353642"/>
      <w:bookmarkStart w:id="146" w:name="_Toc63347262"/>
      <w:bookmarkStart w:id="147" w:name="_Toc63353097"/>
      <w:bookmarkStart w:id="148" w:name="_Toc63353432"/>
      <w:bookmarkStart w:id="149" w:name="_Toc63353643"/>
      <w:bookmarkStart w:id="150" w:name="_Toc63347263"/>
      <w:bookmarkStart w:id="151" w:name="_Toc63353098"/>
      <w:bookmarkStart w:id="152" w:name="_Toc63353433"/>
      <w:bookmarkStart w:id="153" w:name="_Toc63353644"/>
      <w:bookmarkStart w:id="154" w:name="_Toc63797030"/>
      <w:bookmarkStart w:id="155" w:name="_Toc63966851"/>
      <w:bookmarkEnd w:id="142"/>
      <w:bookmarkEnd w:id="143"/>
      <w:bookmarkEnd w:id="144"/>
      <w:bookmarkEnd w:id="145"/>
      <w:bookmarkEnd w:id="146"/>
      <w:bookmarkEnd w:id="147"/>
      <w:bookmarkEnd w:id="148"/>
      <w:bookmarkEnd w:id="149"/>
      <w:bookmarkEnd w:id="150"/>
      <w:bookmarkEnd w:id="151"/>
      <w:bookmarkEnd w:id="152"/>
      <w:bookmarkEnd w:id="153"/>
      <w:r w:rsidRPr="009D14F3">
        <w:rPr>
          <w:rFonts w:eastAsiaTheme="majorEastAsia" w:cstheme="majorBidi"/>
          <w:iCs/>
          <w:u w:val="single"/>
        </w:rPr>
        <w:t>Ordinary meaning of Article 27</w:t>
      </w:r>
      <w:r w:rsidR="00C47EF1">
        <w:rPr>
          <w:rFonts w:eastAsiaTheme="majorEastAsia" w:cstheme="majorBidi"/>
          <w:iCs/>
          <w:u w:val="single"/>
        </w:rPr>
        <w:t>.2</w:t>
      </w:r>
      <w:r w:rsidRPr="009D14F3">
        <w:rPr>
          <w:rFonts w:eastAsiaTheme="majorEastAsia" w:cstheme="majorBidi"/>
          <w:iCs/>
          <w:u w:val="single"/>
        </w:rPr>
        <w:t>(b)</w:t>
      </w:r>
      <w:bookmarkEnd w:id="154"/>
      <w:bookmarkEnd w:id="155"/>
    </w:p>
    <w:p w14:paraId="3803CC48" w14:textId="63EA50D4" w:rsidR="009D14F3" w:rsidRDefault="009D14F3" w:rsidP="009D14F3">
      <w:pPr>
        <w:numPr>
          <w:ilvl w:val="0"/>
          <w:numId w:val="1"/>
        </w:numPr>
      </w:pPr>
      <w:r w:rsidRPr="009D14F3">
        <w:t>Article 27 and Annex VII of the SCM Agreement must be interpreted in accordance with the ordinary meaning of their terms, read in context, and in light of object and purpose</w:t>
      </w:r>
      <w:r w:rsidR="004825C6" w:rsidRPr="004825C6">
        <w:t xml:space="preserve"> </w:t>
      </w:r>
      <w:r w:rsidR="004825C6" w:rsidRPr="009D14F3">
        <w:t>o</w:t>
      </w:r>
      <w:r w:rsidR="004825C6">
        <w:t>f the Agreement on Agriculture</w:t>
      </w:r>
      <w:r w:rsidRPr="009D14F3">
        <w:t>.</w:t>
      </w:r>
      <w:r w:rsidRPr="009D14F3">
        <w:rPr>
          <w:vertAlign w:val="superscript"/>
        </w:rPr>
        <w:footnoteReference w:id="259"/>
      </w:r>
    </w:p>
    <w:p w14:paraId="35E56AE5" w14:textId="77777777" w:rsidR="008772D4" w:rsidRPr="009D14F3" w:rsidRDefault="008772D4" w:rsidP="008772D4">
      <w:pPr>
        <w:numPr>
          <w:ilvl w:val="0"/>
          <w:numId w:val="1"/>
        </w:numPr>
      </w:pPr>
      <w:r w:rsidRPr="009D14F3">
        <w:t>The starting point in any treaty interpretation must be the text of the provision itself.  If the "clarity of the plain textual meaning"</w:t>
      </w:r>
      <w:r w:rsidRPr="009D14F3">
        <w:rPr>
          <w:vertAlign w:val="superscript"/>
        </w:rPr>
        <w:footnoteReference w:id="260"/>
      </w:r>
      <w:r w:rsidRPr="009D14F3">
        <w:t xml:space="preserve"> leaves little room for speculation, a labyrinthine investigation of context, object and purpose, and supplementary materials designed to "develop interpretations" that the text does not support should not ensue.</w:t>
      </w:r>
      <w:r w:rsidRPr="009D14F3">
        <w:rPr>
          <w:vertAlign w:val="superscript"/>
        </w:rPr>
        <w:footnoteReference w:id="261"/>
      </w:r>
      <w:r w:rsidRPr="009D14F3">
        <w:t xml:space="preserve">  </w:t>
      </w:r>
    </w:p>
    <w:p w14:paraId="740FB904" w14:textId="046B45F5" w:rsidR="009D14F3" w:rsidRPr="009D14F3" w:rsidRDefault="009D14F3" w:rsidP="009D14F3">
      <w:pPr>
        <w:numPr>
          <w:ilvl w:val="0"/>
          <w:numId w:val="1"/>
        </w:numPr>
      </w:pPr>
      <w:r w:rsidRPr="009D14F3">
        <w:t>The ordinary meaning of the text of Article 27</w:t>
      </w:r>
      <w:r w:rsidR="00C47EF1">
        <w:t>.2</w:t>
      </w:r>
      <w:r w:rsidRPr="009D14F3">
        <w:t>(b) is clear.</w:t>
      </w:r>
      <w:r w:rsidRPr="009D14F3">
        <w:rPr>
          <w:vertAlign w:val="superscript"/>
        </w:rPr>
        <w:footnoteReference w:id="262"/>
      </w:r>
      <w:r w:rsidRPr="009D14F3">
        <w:t xml:space="preserve">  </w:t>
      </w:r>
      <w:r w:rsidR="00567A24">
        <w:t xml:space="preserve">A </w:t>
      </w:r>
      <w:r w:rsidRPr="009D14F3">
        <w:t>"period of eight years from the date of entry into force of the WTO Agreement" includes two inflexible numerical reference points, namely a date – that of the WTO Agreement's entry into force – and a timeframe</w:t>
      </w:r>
      <w:r w:rsidR="00AB0985">
        <w:t xml:space="preserve"> of</w:t>
      </w:r>
      <w:r w:rsidR="00AB0985" w:rsidRPr="009D14F3">
        <w:t xml:space="preserve"> </w:t>
      </w:r>
      <w:r w:rsidRPr="009D14F3">
        <w:t xml:space="preserve">eight years.  </w:t>
      </w:r>
    </w:p>
    <w:p w14:paraId="1A39D268" w14:textId="6F34117E" w:rsidR="009D14F3" w:rsidRDefault="009D14F3" w:rsidP="009D14F3">
      <w:pPr>
        <w:numPr>
          <w:ilvl w:val="0"/>
          <w:numId w:val="1"/>
        </w:numPr>
      </w:pPr>
      <w:r w:rsidRPr="009D14F3">
        <w:t>Canada, Costa Rica, the European Union, Japan and the United States all share Australia's view that the text of Article 27.2(b) is unambiguous and that the eight-year export subsidy phase</w:t>
      </w:r>
      <w:r w:rsidR="00CB0F4E">
        <w:t>-out</w:t>
      </w:r>
      <w:r w:rsidRPr="009D14F3">
        <w:t xml:space="preserve"> period to which it refers ended on 1 January 2003.</w:t>
      </w:r>
      <w:r w:rsidRPr="009D14F3">
        <w:rPr>
          <w:vertAlign w:val="superscript"/>
        </w:rPr>
        <w:footnoteReference w:id="263"/>
      </w:r>
      <w:r w:rsidRPr="009D14F3">
        <w:t xml:space="preserve">  </w:t>
      </w:r>
    </w:p>
    <w:p w14:paraId="678AD11E" w14:textId="2FF24DD7" w:rsidR="008772D4" w:rsidRPr="009D14F3" w:rsidRDefault="008772D4" w:rsidP="008772D4">
      <w:pPr>
        <w:numPr>
          <w:ilvl w:val="0"/>
          <w:numId w:val="1"/>
        </w:numPr>
      </w:pPr>
      <w:r w:rsidRPr="009D14F3">
        <w:t>India's interpretation of Article 27</w:t>
      </w:r>
      <w:r w:rsidR="00C47EF1">
        <w:t>.2</w:t>
      </w:r>
      <w:r w:rsidRPr="009D14F3">
        <w:t>(b) does not reflect th</w:t>
      </w:r>
      <w:r w:rsidR="004825C6">
        <w:t>e</w:t>
      </w:r>
      <w:r w:rsidRPr="009D14F3">
        <w:t xml:space="preserve"> provision's ordinary meaning.     </w:t>
      </w:r>
    </w:p>
    <w:p w14:paraId="37498E50" w14:textId="2685B6A4" w:rsidR="009D14F3" w:rsidRPr="009D14F3" w:rsidRDefault="009D14F3" w:rsidP="009D14F3">
      <w:pPr>
        <w:keepNext/>
        <w:keepLines/>
        <w:numPr>
          <w:ilvl w:val="3"/>
          <w:numId w:val="2"/>
        </w:numPr>
        <w:outlineLvl w:val="3"/>
        <w:rPr>
          <w:rFonts w:eastAsiaTheme="majorEastAsia" w:cstheme="majorBidi"/>
          <w:iCs/>
          <w:u w:val="single"/>
        </w:rPr>
      </w:pPr>
      <w:bookmarkStart w:id="156" w:name="_Toc63797031"/>
      <w:bookmarkStart w:id="157" w:name="_Toc63966852"/>
      <w:r w:rsidRPr="009D14F3">
        <w:rPr>
          <w:rFonts w:eastAsiaTheme="majorEastAsia" w:cstheme="majorBidi"/>
          <w:iCs/>
          <w:u w:val="single"/>
        </w:rPr>
        <w:t xml:space="preserve">The panel's reasoning in </w:t>
      </w:r>
      <w:r w:rsidRPr="009D14F3">
        <w:rPr>
          <w:rFonts w:eastAsiaTheme="majorEastAsia" w:cstheme="majorBidi"/>
          <w:i/>
          <w:iCs/>
          <w:u w:val="single"/>
        </w:rPr>
        <w:t>India – Export Related Measures</w:t>
      </w:r>
      <w:r w:rsidRPr="009D14F3">
        <w:rPr>
          <w:rFonts w:eastAsiaTheme="majorEastAsia" w:cstheme="majorBidi"/>
          <w:iCs/>
          <w:u w:val="single"/>
        </w:rPr>
        <w:t xml:space="preserve"> is relevant</w:t>
      </w:r>
      <w:bookmarkEnd w:id="156"/>
      <w:bookmarkEnd w:id="157"/>
    </w:p>
    <w:p w14:paraId="1BE56530" w14:textId="2A352464" w:rsidR="009D14F3" w:rsidRPr="009D14F3" w:rsidRDefault="009D14F3" w:rsidP="009D14F3">
      <w:pPr>
        <w:numPr>
          <w:ilvl w:val="0"/>
          <w:numId w:val="1"/>
        </w:numPr>
      </w:pPr>
      <w:r w:rsidRPr="009D14F3">
        <w:t>Australia's response to India's interpretation of Article 27</w:t>
      </w:r>
      <w:r w:rsidR="00C47EF1">
        <w:t>.2</w:t>
      </w:r>
      <w:r w:rsidRPr="009D14F3">
        <w:t xml:space="preserve">(b) draws, among other things, on the panel's comprehensive and persuasive legal analysis in </w:t>
      </w:r>
      <w:r w:rsidRPr="009D14F3">
        <w:rPr>
          <w:i/>
        </w:rPr>
        <w:t>India – Export Related Measures</w:t>
      </w:r>
      <w:r w:rsidRPr="009D14F3">
        <w:t xml:space="preserve">.  Third parties intervening in this dispute concur with Australia in finding no reason </w:t>
      </w:r>
      <w:r w:rsidR="008772D4">
        <w:t>why this Panel should</w:t>
      </w:r>
      <w:r w:rsidR="008772D4" w:rsidRPr="009D14F3">
        <w:t xml:space="preserve"> </w:t>
      </w:r>
      <w:r w:rsidRPr="009D14F3">
        <w:t>depart from th</w:t>
      </w:r>
      <w:r w:rsidR="00255500">
        <w:t>at</w:t>
      </w:r>
      <w:r w:rsidRPr="009D14F3">
        <w:t xml:space="preserve"> panel's analysis.</w:t>
      </w:r>
      <w:r w:rsidRPr="009D14F3">
        <w:rPr>
          <w:vertAlign w:val="superscript"/>
        </w:rPr>
        <w:footnoteReference w:id="264"/>
      </w:r>
      <w:r w:rsidRPr="009D14F3">
        <w:t xml:space="preserve"> </w:t>
      </w:r>
      <w:r w:rsidR="00B33BBF">
        <w:t xml:space="preserve"> </w:t>
      </w:r>
      <w:r w:rsidRPr="009D14F3">
        <w:t>Far from being "inconsequential",</w:t>
      </w:r>
      <w:r w:rsidR="00C47EF1">
        <w:rPr>
          <w:rStyle w:val="FootnoteReference"/>
        </w:rPr>
        <w:footnoteReference w:id="265"/>
      </w:r>
      <w:r w:rsidRPr="009D14F3">
        <w:t xml:space="preserve"> </w:t>
      </w:r>
      <w:r w:rsidR="00CB0F4E">
        <w:t>that</w:t>
      </w:r>
      <w:r w:rsidR="00CB0F4E" w:rsidRPr="009D14F3">
        <w:t xml:space="preserve"> </w:t>
      </w:r>
      <w:r w:rsidRPr="009D14F3">
        <w:t>panel report, which addresses in detail the manipulation of customary treaty interpretation principles India employs to depart from the ordinary meaning of Article 27</w:t>
      </w:r>
      <w:r w:rsidR="00C47EF1">
        <w:t>.2</w:t>
      </w:r>
      <w:r w:rsidRPr="009D14F3">
        <w:t>(b), is impossible to ignore.</w:t>
      </w:r>
    </w:p>
    <w:p w14:paraId="4A6798E9" w14:textId="77777777" w:rsidR="009D14F3" w:rsidRPr="009D14F3" w:rsidRDefault="009D14F3" w:rsidP="009D14F3">
      <w:pPr>
        <w:keepNext/>
        <w:keepLines/>
        <w:numPr>
          <w:ilvl w:val="3"/>
          <w:numId w:val="2"/>
        </w:numPr>
        <w:outlineLvl w:val="3"/>
        <w:rPr>
          <w:rFonts w:eastAsiaTheme="majorEastAsia" w:cstheme="majorBidi"/>
          <w:iCs/>
          <w:u w:val="single"/>
        </w:rPr>
      </w:pPr>
      <w:bookmarkStart w:id="158" w:name="_Toc63797032"/>
      <w:bookmarkStart w:id="159" w:name="_Toc63966853"/>
      <w:r w:rsidRPr="009D14F3">
        <w:rPr>
          <w:rFonts w:eastAsiaTheme="majorEastAsia" w:cstheme="majorBidi"/>
          <w:iCs/>
          <w:u w:val="single"/>
        </w:rPr>
        <w:t>An ordinary meaning interpretation does not render other parts of the SCM Agreement ineffective</w:t>
      </w:r>
      <w:bookmarkEnd w:id="158"/>
      <w:bookmarkEnd w:id="159"/>
    </w:p>
    <w:p w14:paraId="0361FE83" w14:textId="77777777" w:rsidR="009D14F3" w:rsidRPr="009D14F3" w:rsidRDefault="009D14F3" w:rsidP="009D14F3">
      <w:pPr>
        <w:numPr>
          <w:ilvl w:val="0"/>
          <w:numId w:val="1"/>
        </w:numPr>
      </w:pPr>
      <w:r w:rsidRPr="009D14F3">
        <w:t xml:space="preserve">Flowing from the customary rule enshrined in Article 31(1) of the Vienna Convention is the principle of effectiveness, pursuant to which a treaty interpreter must "read all applicable provisions of a treaty in a way that gives meaning to </w:t>
      </w:r>
      <w:r w:rsidRPr="009D14F3">
        <w:rPr>
          <w:u w:val="single"/>
        </w:rPr>
        <w:t>all</w:t>
      </w:r>
      <w:r w:rsidRPr="009D14F3">
        <w:rPr>
          <w:i/>
          <w:iCs/>
        </w:rPr>
        <w:t xml:space="preserve"> </w:t>
      </w:r>
      <w:r w:rsidRPr="009D14F3">
        <w:t>of them, harmoniously."</w:t>
      </w:r>
      <w:r w:rsidRPr="009D14F3">
        <w:rPr>
          <w:vertAlign w:val="superscript"/>
        </w:rPr>
        <w:footnoteReference w:id="266"/>
      </w:r>
      <w:r w:rsidRPr="009D14F3">
        <w:t xml:space="preserve">  Corollaries of this principle are that a treaty must be read as a whole and that none of its provisions should be rendered useless or redundant.</w:t>
      </w:r>
      <w:r w:rsidRPr="009D14F3">
        <w:rPr>
          <w:vertAlign w:val="superscript"/>
        </w:rPr>
        <w:footnoteReference w:id="267"/>
      </w:r>
      <w:r w:rsidRPr="009D14F3">
        <w:t xml:space="preserve"> </w:t>
      </w:r>
    </w:p>
    <w:p w14:paraId="616D8F3A" w14:textId="77777777" w:rsidR="009D14F3" w:rsidRPr="009D14F3" w:rsidRDefault="009D14F3" w:rsidP="009D14F3">
      <w:pPr>
        <w:numPr>
          <w:ilvl w:val="0"/>
          <w:numId w:val="1"/>
        </w:numPr>
      </w:pPr>
      <w:r w:rsidRPr="009D14F3">
        <w:t>Reading Article 27.2(b) in isolation from "the scheme of organization of Article 27.2, Annex VII(b), and the other provisions of Article 27" would, India argues, undermine the principle of effectiveness, rendering parts of the SCM Agreement useless and redundant vis-à-vis some developing countries.</w:t>
      </w:r>
      <w:r w:rsidRPr="009D14F3">
        <w:rPr>
          <w:vertAlign w:val="superscript"/>
        </w:rPr>
        <w:footnoteReference w:id="268"/>
      </w:r>
      <w:r w:rsidRPr="009D14F3">
        <w:t xml:space="preserve"> </w:t>
      </w:r>
    </w:p>
    <w:p w14:paraId="431C8148" w14:textId="2267824D" w:rsidR="009D14F3" w:rsidRPr="009D14F3" w:rsidRDefault="009D14F3" w:rsidP="009D14F3">
      <w:pPr>
        <w:numPr>
          <w:ilvl w:val="0"/>
          <w:numId w:val="1"/>
        </w:numPr>
      </w:pPr>
      <w:r w:rsidRPr="009D14F3">
        <w:rPr>
          <w:u w:val="single"/>
        </w:rPr>
        <w:t>First</w:t>
      </w:r>
      <w:r w:rsidRPr="009D14F3">
        <w:t>, India argues, it would undermine the mandatory language of Annex VII(b), pursuant to which listed developing countries "</w:t>
      </w:r>
      <w:r w:rsidRPr="009D14F3">
        <w:rPr>
          <w:u w:val="single"/>
        </w:rPr>
        <w:t>shall</w:t>
      </w:r>
      <w:r w:rsidRPr="009D14F3">
        <w:t xml:space="preserve"> be subject to the provisions which are applicable to other developing country Members"</w:t>
      </w:r>
      <w:r w:rsidRPr="009D14F3">
        <w:rPr>
          <w:vertAlign w:val="superscript"/>
        </w:rPr>
        <w:footnoteReference w:id="269"/>
      </w:r>
      <w:r w:rsidR="008772D4">
        <w:t xml:space="preserve"> </w:t>
      </w:r>
      <w:r w:rsidRPr="009D14F3">
        <w:t>upon their graduation from Annex</w:t>
      </w:r>
      <w:r w:rsidR="002A5FFA">
        <w:t> </w:t>
      </w:r>
      <w:r w:rsidRPr="009D14F3">
        <w:t>VII(b).</w:t>
      </w:r>
      <w:r w:rsidRPr="009D14F3">
        <w:rPr>
          <w:vertAlign w:val="superscript"/>
        </w:rPr>
        <w:footnoteReference w:id="270"/>
      </w:r>
      <w:r w:rsidRPr="009D14F3">
        <w:t xml:space="preserve">  </w:t>
      </w:r>
    </w:p>
    <w:p w14:paraId="37987F7F" w14:textId="1ACE423C" w:rsidR="009D14F3" w:rsidRPr="009D14F3" w:rsidRDefault="009D14F3" w:rsidP="009D14F3">
      <w:pPr>
        <w:numPr>
          <w:ilvl w:val="0"/>
          <w:numId w:val="1"/>
        </w:numPr>
      </w:pPr>
      <w:r w:rsidRPr="009D14F3">
        <w:t>Australia disagrees.  India's assertion conflates the content of A</w:t>
      </w:r>
      <w:r w:rsidR="008772D4">
        <w:t>nnex VII</w:t>
      </w:r>
      <w:r w:rsidRPr="009D14F3">
        <w:t>(b) and its applicability.</w:t>
      </w:r>
      <w:r w:rsidRPr="009D14F3">
        <w:rPr>
          <w:vertAlign w:val="superscript"/>
        </w:rPr>
        <w:footnoteReference w:id="271"/>
      </w:r>
      <w:r w:rsidRPr="009D14F3">
        <w:t xml:space="preserve">  The mandatory language – "shall be subject to the provisions" – concerns the applicability to Annex VII(b) developing countries of another provision of the SCM Agreement</w:t>
      </w:r>
      <w:r w:rsidR="00567A24">
        <w:t>:</w:t>
      </w:r>
      <w:r w:rsidR="008772D4">
        <w:t xml:space="preserve"> Article 27.2(b)</w:t>
      </w:r>
      <w:r w:rsidRPr="009D14F3">
        <w:t xml:space="preserve">.  It does not modify the cross-referenced provision's content and, as </w:t>
      </w:r>
      <w:r w:rsidR="0027029C">
        <w:t>Article</w:t>
      </w:r>
      <w:r w:rsidR="00567A24">
        <w:t> </w:t>
      </w:r>
      <w:r w:rsidR="0027029C">
        <w:t>27.2(b)</w:t>
      </w:r>
      <w:r w:rsidRPr="009D14F3">
        <w:t xml:space="preserve"> has a temporal limit, its applicability ceases for any developing country on 1</w:t>
      </w:r>
      <w:r w:rsidR="002A5FFA">
        <w:t> </w:t>
      </w:r>
      <w:r w:rsidRPr="009D14F3">
        <w:t xml:space="preserve">January 2003.  </w:t>
      </w:r>
    </w:p>
    <w:p w14:paraId="70600AE4" w14:textId="3FC8FC1F" w:rsidR="009D14F3" w:rsidRPr="009D14F3" w:rsidRDefault="009D14F3" w:rsidP="009D14F3">
      <w:pPr>
        <w:numPr>
          <w:ilvl w:val="0"/>
          <w:numId w:val="1"/>
        </w:numPr>
      </w:pPr>
      <w:r w:rsidRPr="009D14F3">
        <w:t>Moreover, the addition in Annex VII(b) of the subclause "which are applicable to other developing country Members…</w:t>
      </w:r>
      <w:r w:rsidR="0027029C">
        <w:t xml:space="preserve"> </w:t>
      </w:r>
      <w:r w:rsidRPr="009D14F3">
        <w:t>when GNP per capita has reached $1,000 per annum" qualifies the applicability of Article 27.2(b) to Annex VII(b) countries in two ways.  First, it makes clear that the cross-referenced provision is to apply to Annex VII(b) developing countries on exactly the same terms as it does for "other developing countries", and second, it provides that this is only to happen upon reaching a specified income threshold.</w:t>
      </w:r>
      <w:r w:rsidRPr="009D14F3">
        <w:rPr>
          <w:vertAlign w:val="superscript"/>
        </w:rPr>
        <w:footnoteReference w:id="272"/>
      </w:r>
      <w:r w:rsidRPr="009D14F3">
        <w:t xml:space="preserve">  </w:t>
      </w:r>
    </w:p>
    <w:p w14:paraId="2F8ED247" w14:textId="410799E7" w:rsidR="009D14F3" w:rsidRPr="009D14F3" w:rsidRDefault="009D14F3" w:rsidP="009D14F3">
      <w:pPr>
        <w:numPr>
          <w:ilvl w:val="0"/>
          <w:numId w:val="1"/>
        </w:numPr>
      </w:pPr>
      <w:r w:rsidRPr="009D14F3">
        <w:t>This means that</w:t>
      </w:r>
      <w:r w:rsidR="00567A24">
        <w:t>,</w:t>
      </w:r>
      <w:r w:rsidRPr="009D14F3">
        <w:t xml:space="preserve"> after 1 January 2003, Article 27</w:t>
      </w:r>
      <w:r w:rsidR="0027029C">
        <w:t>.2</w:t>
      </w:r>
      <w:r w:rsidRPr="009D14F3">
        <w:t>(b) ceased to operate both for "other developing countries" and for Annex VII(b) countries having reached GNP $1,000 per capita.  The mandatory applicability language in Annex VII(b), in providing a cross-reference to a time-limited provision, inherently accounts for the possibility that some Annex VII</w:t>
      </w:r>
      <w:r w:rsidR="0027029C">
        <w:t>(b)</w:t>
      </w:r>
      <w:r w:rsidRPr="009D14F3">
        <w:t xml:space="preserve"> developing countries </w:t>
      </w:r>
      <w:r w:rsidR="004752B2">
        <w:t xml:space="preserve">would not </w:t>
      </w:r>
      <w:r w:rsidR="0027029C">
        <w:t>benefit from</w:t>
      </w:r>
      <w:r w:rsidR="0027029C" w:rsidRPr="009D14F3">
        <w:t xml:space="preserve"> </w:t>
      </w:r>
      <w:r w:rsidR="004752B2">
        <w:t xml:space="preserve">the </w:t>
      </w:r>
      <w:r w:rsidRPr="009D14F3">
        <w:t xml:space="preserve">operative eight-year </w:t>
      </w:r>
      <w:r w:rsidR="00AB0985" w:rsidRPr="009D14F3">
        <w:t>phase</w:t>
      </w:r>
      <w:r w:rsidR="00AB0985">
        <w:t>-</w:t>
      </w:r>
      <w:r w:rsidRPr="009D14F3">
        <w:t xml:space="preserve">out </w:t>
      </w:r>
      <w:r w:rsidR="0027029C">
        <w:t>period</w:t>
      </w:r>
      <w:r w:rsidR="004752B2">
        <w:t xml:space="preserve"> if they graduated after it expired</w:t>
      </w:r>
      <w:r w:rsidRPr="009D14F3">
        <w:t>.</w:t>
      </w:r>
      <w:r w:rsidRPr="009D14F3">
        <w:rPr>
          <w:vertAlign w:val="superscript"/>
        </w:rPr>
        <w:footnoteReference w:id="273"/>
      </w:r>
      <w:r w:rsidRPr="009D14F3">
        <w:t xml:space="preserve"> </w:t>
      </w:r>
    </w:p>
    <w:p w14:paraId="1525B49A" w14:textId="073C3833" w:rsidR="009D14F3" w:rsidRPr="009D14F3" w:rsidRDefault="009D14F3" w:rsidP="009D14F3">
      <w:pPr>
        <w:numPr>
          <w:ilvl w:val="0"/>
          <w:numId w:val="1"/>
        </w:numPr>
      </w:pPr>
      <w:r w:rsidRPr="009D14F3">
        <w:rPr>
          <w:u w:val="single"/>
        </w:rPr>
        <w:t>Second</w:t>
      </w:r>
      <w:r w:rsidRPr="009D14F3">
        <w:t>, India argues that, read in context, an ordinary meaning interpretation of Article 27</w:t>
      </w:r>
      <w:r w:rsidR="0027029C">
        <w:t>.2</w:t>
      </w:r>
      <w:r w:rsidRPr="009D14F3">
        <w:t>(b) renders a harmonious reading of the Article as a whole impossible.</w:t>
      </w:r>
      <w:r w:rsidRPr="009D14F3">
        <w:rPr>
          <w:vertAlign w:val="superscript"/>
        </w:rPr>
        <w:footnoteReference w:id="274"/>
      </w:r>
      <w:r w:rsidRPr="009D14F3">
        <w:t xml:space="preserve">  This context includes Articles 27.4 and 27.5, which, India claims, clearly anticipate a progressive approach to phasing out export subsidies, extending over a full eight years, for </w:t>
      </w:r>
      <w:r w:rsidRPr="009D14F3">
        <w:rPr>
          <w:u w:val="single"/>
        </w:rPr>
        <w:t>all</w:t>
      </w:r>
      <w:r w:rsidRPr="009D14F3">
        <w:t xml:space="preserve"> developing country Members, with these eight-year phase-outs taking place at different times.</w:t>
      </w:r>
      <w:r w:rsidRPr="009D14F3">
        <w:rPr>
          <w:vertAlign w:val="superscript"/>
        </w:rPr>
        <w:footnoteReference w:id="275"/>
      </w:r>
      <w:r w:rsidRPr="009D14F3">
        <w:t xml:space="preserve">  Australia </w:t>
      </w:r>
      <w:r w:rsidR="0027029C">
        <w:t>disagrees</w:t>
      </w:r>
      <w:r w:rsidRPr="009D14F3">
        <w:t xml:space="preserve"> with this assertion, which runs counter to the </w:t>
      </w:r>
      <w:r w:rsidR="0027029C">
        <w:t xml:space="preserve">terms used in, and </w:t>
      </w:r>
      <w:r w:rsidRPr="009D14F3">
        <w:t>textual cross-references between</w:t>
      </w:r>
      <w:r w:rsidR="00CB0F4E">
        <w:t>,</w:t>
      </w:r>
      <w:r w:rsidRPr="009D14F3">
        <w:t xml:space="preserve"> Articles 27.2(b) and 27.4.  </w:t>
      </w:r>
    </w:p>
    <w:p w14:paraId="628E445F" w14:textId="0F314B2C" w:rsidR="009D14F3" w:rsidRPr="009D14F3" w:rsidRDefault="009D14F3" w:rsidP="009D14F3">
      <w:pPr>
        <w:numPr>
          <w:ilvl w:val="0"/>
          <w:numId w:val="1"/>
        </w:numPr>
      </w:pPr>
      <w:r w:rsidRPr="009D14F3">
        <w:t xml:space="preserve">The eight-year exemption from the </w:t>
      </w:r>
      <w:r w:rsidR="0027029C">
        <w:t>application of Article 3.1(a)</w:t>
      </w:r>
      <w:r w:rsidRPr="009D14F3">
        <w:t xml:space="preserve"> referred to in Article 27.2(b) is available "subject to compliance with the provisions in paragraph 4."  Far from relaxing the timeframe within which the eight-year </w:t>
      </w:r>
      <w:r w:rsidR="00AB0985" w:rsidRPr="009D14F3">
        <w:t>phase</w:t>
      </w:r>
      <w:r w:rsidR="00AB0985">
        <w:t>-</w:t>
      </w:r>
      <w:r w:rsidRPr="009D14F3">
        <w:t>out must take place, paragraph 4 impose</w:t>
      </w:r>
      <w:r w:rsidR="00C37C93">
        <w:t>d</w:t>
      </w:r>
      <w:r w:rsidRPr="009D14F3">
        <w:t xml:space="preserve"> positive obligations on developing countries that wish</w:t>
      </w:r>
      <w:r w:rsidR="00C37C93">
        <w:t>ed to continue</w:t>
      </w:r>
      <w:r w:rsidRPr="009D14F3">
        <w:t xml:space="preserve"> to benefit from the exemption</w:t>
      </w:r>
      <w:r w:rsidR="00C37C93">
        <w:t xml:space="preserve"> after it expired</w:t>
      </w:r>
      <w:r w:rsidRPr="009D14F3">
        <w:t>.</w:t>
      </w:r>
      <w:r w:rsidRPr="009D14F3">
        <w:rPr>
          <w:vertAlign w:val="superscript"/>
        </w:rPr>
        <w:footnoteReference w:id="276"/>
      </w:r>
      <w:r w:rsidRPr="009D14F3">
        <w:t xml:space="preserve">  Article 27.4 makes its relationship to Article</w:t>
      </w:r>
      <w:r w:rsidR="00C37C93">
        <w:t> </w:t>
      </w:r>
      <w:r w:rsidRPr="009D14F3">
        <w:t>27.2(b) clear by adverting, in its opening sentence, first to developing country Members "referred to in paragraph 2(b)" and then to "</w:t>
      </w:r>
      <w:r w:rsidRPr="009D14F3">
        <w:rPr>
          <w:u w:val="single"/>
        </w:rPr>
        <w:t>the</w:t>
      </w:r>
      <w:r w:rsidRPr="009D14F3">
        <w:t xml:space="preserve"> eight-year period" during which these countries must phase out export subsidies.  Use of the definite article "the" leaves no room for doubt.  Article 27.4 refers to </w:t>
      </w:r>
      <w:r w:rsidRPr="009D14F3">
        <w:rPr>
          <w:u w:val="single"/>
        </w:rPr>
        <w:t>the</w:t>
      </w:r>
      <w:r w:rsidRPr="009D14F3">
        <w:t xml:space="preserve"> specific eight-year period introduced in Article</w:t>
      </w:r>
      <w:r w:rsidR="00C37C93">
        <w:t> </w:t>
      </w:r>
      <w:r w:rsidRPr="009D14F3">
        <w:t>27.2(b).</w:t>
      </w:r>
      <w:r w:rsidRPr="009D14F3">
        <w:rPr>
          <w:vertAlign w:val="superscript"/>
        </w:rPr>
        <w:footnoteReference w:id="277"/>
      </w:r>
      <w:r w:rsidRPr="009D14F3">
        <w:t xml:space="preserve">  </w:t>
      </w:r>
    </w:p>
    <w:p w14:paraId="06E1D4D8" w14:textId="012546EA" w:rsidR="009D14F3" w:rsidRPr="009D14F3" w:rsidRDefault="009D14F3" w:rsidP="009D14F3">
      <w:pPr>
        <w:numPr>
          <w:ilvl w:val="0"/>
          <w:numId w:val="1"/>
        </w:numPr>
      </w:pPr>
      <w:r w:rsidRPr="009D14F3">
        <w:t>India also claims that the ordinary meaning of Article 27.2(b)</w:t>
      </w:r>
      <w:r w:rsidR="00AB0985">
        <w:t>,</w:t>
      </w:r>
      <w:r w:rsidRPr="009D14F3">
        <w:t xml:space="preserve"> when read in context with the second sentence of Article 27.5</w:t>
      </w:r>
      <w:r w:rsidR="00AB0985">
        <w:t xml:space="preserve"> –</w:t>
      </w:r>
      <w:r w:rsidR="00AB0985" w:rsidRPr="009D14F3">
        <w:t xml:space="preserve"> </w:t>
      </w:r>
      <w:r w:rsidRPr="009D14F3">
        <w:t xml:space="preserve">which affords Annex VII developing countries an eight-year </w:t>
      </w:r>
      <w:r w:rsidR="00AB0985" w:rsidRPr="009D14F3">
        <w:t>phase</w:t>
      </w:r>
      <w:r w:rsidR="00AB0985">
        <w:t>-</w:t>
      </w:r>
      <w:r w:rsidRPr="009D14F3">
        <w:t xml:space="preserve">out period for </w:t>
      </w:r>
      <w:r w:rsidR="00F403AF">
        <w:t xml:space="preserve">individual </w:t>
      </w:r>
      <w:r w:rsidRPr="009D14F3">
        <w:t>products that reach export competitiveness</w:t>
      </w:r>
      <w:r w:rsidR="00AB0985">
        <w:t xml:space="preserve"> –</w:t>
      </w:r>
      <w:r w:rsidRPr="009D14F3">
        <w:t xml:space="preserve"> leads to the absurd result of different </w:t>
      </w:r>
      <w:r w:rsidR="00AB0985" w:rsidRPr="009D14F3">
        <w:t>phase</w:t>
      </w:r>
      <w:r w:rsidR="00AB0985">
        <w:t>-</w:t>
      </w:r>
      <w:r w:rsidRPr="009D14F3">
        <w:t>out periods for individual products and export subsidies generally.</w:t>
      </w:r>
      <w:r w:rsidRPr="009D14F3">
        <w:rPr>
          <w:vertAlign w:val="superscript"/>
        </w:rPr>
        <w:footnoteReference w:id="278"/>
      </w:r>
      <w:r w:rsidRPr="009D14F3">
        <w:t xml:space="preserve">  </w:t>
      </w:r>
    </w:p>
    <w:p w14:paraId="20AF1E44" w14:textId="16DEF69F" w:rsidR="009D14F3" w:rsidRPr="009D14F3" w:rsidRDefault="009D14F3" w:rsidP="009D14F3">
      <w:pPr>
        <w:numPr>
          <w:ilvl w:val="0"/>
          <w:numId w:val="1"/>
        </w:numPr>
      </w:pPr>
      <w:r w:rsidRPr="009D14F3">
        <w:t xml:space="preserve">Australia sees no such absurdity.  The flexibility </w:t>
      </w:r>
      <w:r w:rsidR="00F403AF">
        <w:t xml:space="preserve">that </w:t>
      </w:r>
      <w:r w:rsidR="002D288E">
        <w:t xml:space="preserve">the second sentence of </w:t>
      </w:r>
      <w:r w:rsidR="00F403AF">
        <w:t>Article</w:t>
      </w:r>
      <w:r w:rsidR="002D288E">
        <w:t> </w:t>
      </w:r>
      <w:r w:rsidR="00F403AF">
        <w:t xml:space="preserve">27.5 affords </w:t>
      </w:r>
      <w:r w:rsidRPr="009D14F3">
        <w:t>with respect to individual products applies only to Annex VII developing countries.  Once a country graduates from Annex VI</w:t>
      </w:r>
      <w:r w:rsidR="00F403AF">
        <w:t>I</w:t>
      </w:r>
      <w:r w:rsidRPr="009D14F3">
        <w:t xml:space="preserve">, Article 27.5, including its eight-year </w:t>
      </w:r>
      <w:r w:rsidR="00AB0985" w:rsidRPr="009D14F3">
        <w:t>phase</w:t>
      </w:r>
      <w:r w:rsidR="00AB0985">
        <w:t>-</w:t>
      </w:r>
      <w:r w:rsidRPr="009D14F3">
        <w:t>out period for individual products that reach export competitiveness, ceases to apply.</w:t>
      </w:r>
      <w:r w:rsidRPr="009D14F3">
        <w:rPr>
          <w:vertAlign w:val="superscript"/>
        </w:rPr>
        <w:footnoteReference w:id="279"/>
      </w:r>
      <w:r w:rsidRPr="009D14F3">
        <w:t xml:space="preserve">  As with Article 27.4, Article</w:t>
      </w:r>
      <w:r>
        <w:t> </w:t>
      </w:r>
      <w:r w:rsidRPr="009D14F3">
        <w:t>27.5 qualifies</w:t>
      </w:r>
      <w:r w:rsidR="00F403AF">
        <w:t>,</w:t>
      </w:r>
      <w:r w:rsidRPr="009D14F3">
        <w:t xml:space="preserve"> rather than expands</w:t>
      </w:r>
      <w:r w:rsidR="00F403AF">
        <w:t>,</w:t>
      </w:r>
      <w:r w:rsidRPr="009D14F3">
        <w:t xml:space="preserve"> the flexibility available under Article 27.2</w:t>
      </w:r>
      <w:r w:rsidR="000D38E3">
        <w:t>(b)</w:t>
      </w:r>
      <w:r w:rsidRPr="009D14F3">
        <w:t>, by providing that even countries that retain Annex VII status must phase out subsidies for products that reach export competitiveness.</w:t>
      </w:r>
      <w:r w:rsidRPr="009D14F3">
        <w:rPr>
          <w:vertAlign w:val="superscript"/>
        </w:rPr>
        <w:footnoteReference w:id="280"/>
      </w:r>
      <w:r w:rsidRPr="009D14F3">
        <w:t xml:space="preserve">  </w:t>
      </w:r>
    </w:p>
    <w:p w14:paraId="7928C83A" w14:textId="77777777" w:rsidR="009D14F3" w:rsidRPr="009D14F3" w:rsidRDefault="009D14F3" w:rsidP="009D14F3">
      <w:pPr>
        <w:keepNext/>
        <w:keepLines/>
        <w:numPr>
          <w:ilvl w:val="3"/>
          <w:numId w:val="2"/>
        </w:numPr>
        <w:outlineLvl w:val="3"/>
        <w:rPr>
          <w:rFonts w:eastAsiaTheme="majorEastAsia" w:cstheme="majorBidi"/>
          <w:iCs/>
          <w:u w:val="single"/>
        </w:rPr>
      </w:pPr>
      <w:bookmarkStart w:id="160" w:name="_Toc63797033"/>
      <w:bookmarkStart w:id="161" w:name="_Toc63966854"/>
      <w:r w:rsidRPr="009D14F3">
        <w:rPr>
          <w:rFonts w:eastAsiaTheme="majorEastAsia" w:cstheme="majorBidi"/>
          <w:iCs/>
          <w:u w:val="single"/>
        </w:rPr>
        <w:t>The ordinary meaning of Article 27.2(b) is consistent with the SCM Agreement's object and purpose</w:t>
      </w:r>
      <w:bookmarkEnd w:id="160"/>
      <w:bookmarkEnd w:id="161"/>
    </w:p>
    <w:p w14:paraId="2C965BBF" w14:textId="08FA4F32" w:rsidR="009D14F3" w:rsidRPr="009D14F3" w:rsidRDefault="009D14F3" w:rsidP="009D14F3">
      <w:pPr>
        <w:numPr>
          <w:ilvl w:val="0"/>
          <w:numId w:val="1"/>
        </w:numPr>
      </w:pPr>
      <w:r w:rsidRPr="009D14F3">
        <w:t>Finally, India claims, a plain meaning interpretation of Article 27</w:t>
      </w:r>
      <w:r w:rsidR="000D38E3">
        <w:t>.2</w:t>
      </w:r>
      <w:r w:rsidRPr="009D14F3">
        <w:t>(b) denies developing countries equal treatment</w:t>
      </w:r>
      <w:r w:rsidR="00F403AF">
        <w:t xml:space="preserve"> by aff</w:t>
      </w:r>
      <w:r w:rsidRPr="009D14F3">
        <w:t xml:space="preserve">ording those countries that graduated from Annex VII(b) within eight years of 1995 the benefit of a progressive export subsidy </w:t>
      </w:r>
      <w:r w:rsidR="00AB0985" w:rsidRPr="009D14F3">
        <w:t>phase</w:t>
      </w:r>
      <w:r w:rsidR="00AB0985">
        <w:t>-</w:t>
      </w:r>
      <w:r w:rsidRPr="009D14F3">
        <w:t xml:space="preserve">out and denying that benefit to countries that did not.  This unequal treatment would, India argues, run counter to the SCM Agreement's object and purpose, fundamental to which is a recognition that subsidies are critical to developing </w:t>
      </w:r>
      <w:r w:rsidR="00F403AF" w:rsidRPr="009D14F3">
        <w:t>countries</w:t>
      </w:r>
      <w:r w:rsidR="00F403AF">
        <w:t>'</w:t>
      </w:r>
      <w:r w:rsidR="00F403AF" w:rsidRPr="009D14F3">
        <w:t xml:space="preserve"> </w:t>
      </w:r>
      <w:r w:rsidRPr="009D14F3">
        <w:t>economic development.</w:t>
      </w:r>
      <w:r w:rsidRPr="009D14F3">
        <w:rPr>
          <w:vertAlign w:val="superscript"/>
        </w:rPr>
        <w:footnoteReference w:id="281"/>
      </w:r>
      <w:r w:rsidRPr="009D14F3">
        <w:t xml:space="preserve">  </w:t>
      </w:r>
    </w:p>
    <w:p w14:paraId="1F4A7FD6" w14:textId="140551AC" w:rsidR="009D14F3" w:rsidRPr="009D14F3" w:rsidRDefault="009D14F3" w:rsidP="009D14F3">
      <w:pPr>
        <w:numPr>
          <w:ilvl w:val="0"/>
          <w:numId w:val="1"/>
        </w:numPr>
      </w:pPr>
      <w:r w:rsidRPr="009D14F3">
        <w:t xml:space="preserve">India insists its interpretation finds support in the </w:t>
      </w:r>
      <w:r w:rsidR="00181F3F">
        <w:t xml:space="preserve">SCM Agreement's </w:t>
      </w:r>
      <w:r w:rsidR="00F403AF">
        <w:t>negotiating history</w:t>
      </w:r>
      <w:r w:rsidRPr="009D14F3">
        <w:t>,</w:t>
      </w:r>
      <w:r w:rsidRPr="009D14F3">
        <w:rPr>
          <w:vertAlign w:val="superscript"/>
        </w:rPr>
        <w:footnoteReference w:id="282"/>
      </w:r>
      <w:r w:rsidRPr="009D14F3">
        <w:t xml:space="preserve"> which, it claims, shows negotiators intended to apply different export subsidy </w:t>
      </w:r>
      <w:r w:rsidR="00AB0985" w:rsidRPr="009D14F3">
        <w:t>phase</w:t>
      </w:r>
      <w:r w:rsidR="00AB0985">
        <w:t>-</w:t>
      </w:r>
      <w:r w:rsidRPr="009D14F3">
        <w:t>out conditions to different categories of developing countr</w:t>
      </w:r>
      <w:r w:rsidR="005F7172">
        <w:t>ies</w:t>
      </w:r>
      <w:r w:rsidRPr="009D14F3">
        <w:t>.</w:t>
      </w:r>
      <w:r w:rsidRPr="009D14F3">
        <w:rPr>
          <w:vertAlign w:val="superscript"/>
        </w:rPr>
        <w:footnoteReference w:id="283"/>
      </w:r>
      <w:r w:rsidRPr="009D14F3">
        <w:t xml:space="preserve">  India argues that recourse to these supplementary materials – in keeping with the customary principle </w:t>
      </w:r>
      <w:r w:rsidR="00181F3F">
        <w:t>reflected</w:t>
      </w:r>
      <w:r w:rsidR="00181F3F" w:rsidRPr="009D14F3">
        <w:t xml:space="preserve"> </w:t>
      </w:r>
      <w:r w:rsidRPr="009D14F3">
        <w:t xml:space="preserve">in </w:t>
      </w:r>
      <w:r w:rsidR="00181F3F" w:rsidRPr="009D14F3">
        <w:t>Article</w:t>
      </w:r>
      <w:r w:rsidR="00181F3F">
        <w:t> </w:t>
      </w:r>
      <w:r w:rsidRPr="009D14F3">
        <w:t xml:space="preserve">32 of the Vienna Convention – is justified because </w:t>
      </w:r>
      <w:r w:rsidR="00181F3F">
        <w:t xml:space="preserve">a plain textual </w:t>
      </w:r>
      <w:r w:rsidRPr="009D14F3">
        <w:t xml:space="preserve">interpretation </w:t>
      </w:r>
      <w:r w:rsidR="00181F3F">
        <w:t>of</w:t>
      </w:r>
      <w:r w:rsidR="00181F3F" w:rsidRPr="009D14F3">
        <w:t xml:space="preserve"> </w:t>
      </w:r>
      <w:r w:rsidRPr="009D14F3">
        <w:t>Article 27</w:t>
      </w:r>
      <w:r w:rsidR="00181F3F">
        <w:t>.2</w:t>
      </w:r>
      <w:r w:rsidRPr="009D14F3">
        <w:t>(b) yields a manifestly absurd or unreasonable interpretation that under</w:t>
      </w:r>
      <w:r w:rsidR="005F7172">
        <w:t>mines</w:t>
      </w:r>
      <w:r w:rsidRPr="009D14F3">
        <w:t xml:space="preserve"> the SCM Agreement's object and purpose.</w:t>
      </w:r>
      <w:r w:rsidR="00181F3F">
        <w:rPr>
          <w:rStyle w:val="FootnoteReference"/>
        </w:rPr>
        <w:footnoteReference w:id="284"/>
      </w:r>
    </w:p>
    <w:p w14:paraId="0816F93B" w14:textId="21D3896A" w:rsidR="009D14F3" w:rsidRPr="009D14F3" w:rsidRDefault="009D14F3" w:rsidP="009D14F3">
      <w:pPr>
        <w:numPr>
          <w:ilvl w:val="0"/>
          <w:numId w:val="1"/>
        </w:numPr>
      </w:pPr>
      <w:r w:rsidRPr="009D14F3">
        <w:t xml:space="preserve">The plain meaning of Article 27.2(b) is unambiguous.  It is also entirely consistent with the provision's context and the SCM Agreement's object and purpose.  </w:t>
      </w:r>
    </w:p>
    <w:p w14:paraId="746400A8" w14:textId="4E47F6EE" w:rsidR="009D14F3" w:rsidRPr="009D14F3" w:rsidRDefault="009D14F3" w:rsidP="009D14F3">
      <w:pPr>
        <w:numPr>
          <w:ilvl w:val="0"/>
          <w:numId w:val="1"/>
        </w:numPr>
      </w:pPr>
      <w:r w:rsidRPr="009D14F3">
        <w:t>Far from denying special and differential treatment to any developing country, Article 27</w:t>
      </w:r>
      <w:r w:rsidR="00181F3F">
        <w:t xml:space="preserve"> and Annex VII</w:t>
      </w:r>
      <w:r w:rsidRPr="009D14F3">
        <w:t xml:space="preserve"> </w:t>
      </w:r>
      <w:r w:rsidR="00181F3F" w:rsidRPr="009D14F3">
        <w:t>a</w:t>
      </w:r>
      <w:r w:rsidR="00181F3F">
        <w:t>ff</w:t>
      </w:r>
      <w:r w:rsidR="00181F3F" w:rsidRPr="009D14F3">
        <w:t xml:space="preserve">ord </w:t>
      </w:r>
      <w:r w:rsidRPr="009D14F3">
        <w:t xml:space="preserve">different levels of flexibility according to </w:t>
      </w:r>
      <w:r w:rsidR="00181F3F">
        <w:t>Members</w:t>
      </w:r>
      <w:r w:rsidR="00181F3F" w:rsidRPr="009D14F3">
        <w:t xml:space="preserve">' </w:t>
      </w:r>
      <w:r w:rsidRPr="009D14F3">
        <w:t xml:space="preserve">circumstances.  With respect to Annex VII(b) countries, </w:t>
      </w:r>
      <w:r w:rsidR="00181F3F">
        <w:t>Article 27.2(b)</w:t>
      </w:r>
      <w:r w:rsidRPr="009D14F3">
        <w:t xml:space="preserve"> ensures that those graduating rapidly from the Annex enjoy at least the same flexibility with respect to export subsidy </w:t>
      </w:r>
      <w:r w:rsidR="00AB0985" w:rsidRPr="009D14F3">
        <w:t>phase</w:t>
      </w:r>
      <w:r w:rsidR="00AB0985">
        <w:t>-</w:t>
      </w:r>
      <w:r w:rsidRPr="009D14F3">
        <w:t>out as "other developing countries".  Those that do not, meanwhile, have as long as it takes to reach a GNP of $1,000 per capita, even if this proves to be much longer than eight years</w:t>
      </w:r>
      <w:r w:rsidR="00AB0985">
        <w:t>.</w:t>
      </w:r>
      <w:r w:rsidR="00716D8D">
        <w:t xml:space="preserve"> </w:t>
      </w:r>
      <w:r w:rsidR="00AB0985" w:rsidRPr="009D14F3">
        <w:t xml:space="preserve"> </w:t>
      </w:r>
      <w:r w:rsidR="00AB0985">
        <w:t>This</w:t>
      </w:r>
      <w:r w:rsidR="00AB0985" w:rsidRPr="009D14F3">
        <w:t xml:space="preserve"> </w:t>
      </w:r>
      <w:r w:rsidRPr="009D14F3">
        <w:t>arrangement has afforded India an extended exemption appropriate to its evolving income level.</w:t>
      </w:r>
      <w:r w:rsidRPr="009D14F3">
        <w:rPr>
          <w:vertAlign w:val="superscript"/>
        </w:rPr>
        <w:footnoteReference w:id="285"/>
      </w:r>
      <w:r w:rsidRPr="009D14F3">
        <w:t xml:space="preserve">  </w:t>
      </w:r>
    </w:p>
    <w:p w14:paraId="3B7A1E06" w14:textId="2855637E" w:rsidR="009D14F3" w:rsidRPr="009D14F3" w:rsidRDefault="009D14F3" w:rsidP="009D14F3">
      <w:pPr>
        <w:numPr>
          <w:ilvl w:val="0"/>
          <w:numId w:val="1"/>
        </w:numPr>
      </w:pPr>
      <w:r w:rsidRPr="009D14F3">
        <w:t>Nor are Annex VII(b) countries approaching the threshold income level faced with the inequitable prospect – as compared with "other developing countries" – of having to phase out export subsidies "overnight" as India claims.</w:t>
      </w:r>
      <w:r w:rsidRPr="009D14F3">
        <w:rPr>
          <w:vertAlign w:val="superscript"/>
        </w:rPr>
        <w:footnoteReference w:id="286"/>
      </w:r>
      <w:r w:rsidRPr="009D14F3">
        <w:t xml:space="preserve"> </w:t>
      </w:r>
      <w:r w:rsidR="00900FB2">
        <w:t xml:space="preserve"> </w:t>
      </w:r>
      <w:r w:rsidRPr="009D14F3">
        <w:t>The SCM Agreement</w:t>
      </w:r>
      <w:r w:rsidR="00900FB2">
        <w:t xml:space="preserve">, </w:t>
      </w:r>
      <w:r w:rsidRPr="009D14F3">
        <w:t>which is fundamentally concerned with the prohibition of subsidies</w:t>
      </w:r>
      <w:r w:rsidR="00900FB2">
        <w:t xml:space="preserve">, </w:t>
      </w:r>
      <w:r w:rsidRPr="009D14F3">
        <w:t xml:space="preserve">arguably puts </w:t>
      </w:r>
      <w:r w:rsidR="005F7172">
        <w:t xml:space="preserve">developing country </w:t>
      </w:r>
      <w:r w:rsidRPr="009D14F3">
        <w:t xml:space="preserve">Members on notice that they </w:t>
      </w:r>
      <w:r w:rsidR="00900FB2">
        <w:t>will</w:t>
      </w:r>
      <w:r w:rsidRPr="009D14F3">
        <w:t xml:space="preserve"> have to phase out export subsidies</w:t>
      </w:r>
      <w:r w:rsidR="005F7172">
        <w:t xml:space="preserve"> within predictable timeframes</w:t>
      </w:r>
      <w:r w:rsidRPr="009D14F3">
        <w:t xml:space="preserve">.  Also relevant is the 2001 Doha Ministerial Decision on Implementation-Related Issues and Concerns, which proposes that relevant countries reach the threshold income level for </w:t>
      </w:r>
      <w:r w:rsidRPr="009D14F3">
        <w:rPr>
          <w:u w:val="single"/>
        </w:rPr>
        <w:t>three</w:t>
      </w:r>
      <w:r w:rsidRPr="009D14F3">
        <w:t xml:space="preserve"> consecutive years before graduating from Annex VII(b).</w:t>
      </w:r>
      <w:r w:rsidRPr="009D14F3">
        <w:rPr>
          <w:vertAlign w:val="superscript"/>
        </w:rPr>
        <w:footnoteReference w:id="287"/>
      </w:r>
      <w:r w:rsidRPr="009D14F3">
        <w:t xml:space="preserve">  </w:t>
      </w:r>
    </w:p>
    <w:p w14:paraId="56DEA2B9" w14:textId="77777777" w:rsidR="009D14F3" w:rsidRPr="009D14F3" w:rsidRDefault="009D14F3" w:rsidP="009D14F3">
      <w:pPr>
        <w:keepNext/>
        <w:keepLines/>
        <w:numPr>
          <w:ilvl w:val="3"/>
          <w:numId w:val="2"/>
        </w:numPr>
        <w:outlineLvl w:val="3"/>
        <w:rPr>
          <w:rFonts w:eastAsiaTheme="majorEastAsia" w:cstheme="majorBidi"/>
          <w:iCs/>
          <w:u w:val="single"/>
        </w:rPr>
      </w:pPr>
      <w:bookmarkStart w:id="162" w:name="_Toc63797034"/>
      <w:bookmarkStart w:id="163" w:name="_Toc63966855"/>
      <w:r w:rsidRPr="009D14F3">
        <w:rPr>
          <w:rFonts w:eastAsiaTheme="majorEastAsia" w:cstheme="majorBidi"/>
          <w:iCs/>
          <w:u w:val="single"/>
        </w:rPr>
        <w:t>The SCM Agreement provides avenues for developing countries seeking further flexibility</w:t>
      </w:r>
      <w:bookmarkEnd w:id="162"/>
      <w:bookmarkEnd w:id="163"/>
      <w:r w:rsidRPr="009D14F3">
        <w:rPr>
          <w:rFonts w:eastAsiaTheme="majorEastAsia" w:cstheme="majorBidi"/>
          <w:iCs/>
          <w:u w:val="single"/>
        </w:rPr>
        <w:t xml:space="preserve"> </w:t>
      </w:r>
    </w:p>
    <w:p w14:paraId="3615652E" w14:textId="4551580D" w:rsidR="009D14F3" w:rsidRPr="009D14F3" w:rsidRDefault="009D14F3" w:rsidP="009D14F3">
      <w:pPr>
        <w:numPr>
          <w:ilvl w:val="0"/>
          <w:numId w:val="1"/>
        </w:numPr>
      </w:pPr>
      <w:r w:rsidRPr="009D14F3">
        <w:t xml:space="preserve">That developing countries might need more flexibility on the </w:t>
      </w:r>
      <w:r w:rsidR="00AB0985" w:rsidRPr="009D14F3">
        <w:t>phase</w:t>
      </w:r>
      <w:r w:rsidR="00AB0985">
        <w:t>-</w:t>
      </w:r>
      <w:r w:rsidRPr="009D14F3">
        <w:t xml:space="preserve">out of export subsidies than </w:t>
      </w:r>
      <w:r w:rsidRPr="009D14F3">
        <w:rPr>
          <w:u w:val="single"/>
        </w:rPr>
        <w:t>the</w:t>
      </w:r>
      <w:r w:rsidRPr="009D14F3">
        <w:t xml:space="preserve"> eight-year period </w:t>
      </w:r>
      <w:r w:rsidR="00181F3F">
        <w:t>that</w:t>
      </w:r>
      <w:r w:rsidRPr="009D14F3">
        <w:t xml:space="preserve"> Article 27</w:t>
      </w:r>
      <w:r w:rsidR="00181F3F">
        <w:t>.2</w:t>
      </w:r>
      <w:r w:rsidRPr="009D14F3">
        <w:t xml:space="preserve">(b) offers is anticipated by Article 27.4, which allowed such countries to seek an extension, subject to annual review, no later than one year before the </w:t>
      </w:r>
      <w:r w:rsidR="00AB0985" w:rsidRPr="009D14F3">
        <w:t>phase</w:t>
      </w:r>
      <w:r w:rsidR="00AB0985">
        <w:t>-</w:t>
      </w:r>
      <w:r w:rsidRPr="009D14F3">
        <w:t xml:space="preserve">out period's expiry.  Securing such an extension based on a </w:t>
      </w:r>
      <w:r w:rsidR="00C56217">
        <w:t>mis</w:t>
      </w:r>
      <w:r w:rsidRPr="009D14F3">
        <w:t xml:space="preserve">interpretation of Article 27.2(b) that is contrary to its plain meaning is, Australia submits, an unacceptable alternative to the transparent and consultative extension mechanism </w:t>
      </w:r>
      <w:r w:rsidR="00AB0985">
        <w:t xml:space="preserve">that </w:t>
      </w:r>
      <w:r w:rsidRPr="009D14F3">
        <w:t xml:space="preserve">Article 27.4 offered countries anticipating such difficulties.  There is no reason why, as </w:t>
      </w:r>
      <w:r w:rsidR="00AB0985" w:rsidRPr="009D14F3">
        <w:t>1</w:t>
      </w:r>
      <w:r w:rsidR="00AB0985">
        <w:t> </w:t>
      </w:r>
      <w:r w:rsidRPr="009D14F3">
        <w:t xml:space="preserve">January 2003 loomed, even countries yet to graduate from Annex VII, could not have used the consultation mechanism to </w:t>
      </w:r>
      <w:r w:rsidR="00A83647">
        <w:t>explore their options</w:t>
      </w:r>
      <w:r w:rsidRPr="009D14F3">
        <w:t>.</w:t>
      </w:r>
    </w:p>
    <w:p w14:paraId="6DD7649C" w14:textId="77777777" w:rsidR="009D14F3" w:rsidRPr="009D14F3" w:rsidRDefault="009D14F3" w:rsidP="009D14F3">
      <w:pPr>
        <w:numPr>
          <w:ilvl w:val="0"/>
          <w:numId w:val="1"/>
        </w:numPr>
      </w:pPr>
      <w:r w:rsidRPr="009D14F3">
        <w:t xml:space="preserve">In sum, Australia submits that the alleged inequities, internal inconsistencies and potential absurdities upon which India rests its call for an alternative reading of Article 27.2(b) do not survive scrutiny.  </w:t>
      </w:r>
    </w:p>
    <w:p w14:paraId="7B3B98C6" w14:textId="77777777" w:rsidR="009D14F3" w:rsidRPr="009D14F3" w:rsidRDefault="009D14F3" w:rsidP="009D14F3">
      <w:pPr>
        <w:keepNext/>
        <w:keepLines/>
        <w:numPr>
          <w:ilvl w:val="1"/>
          <w:numId w:val="2"/>
        </w:numPr>
        <w:outlineLvl w:val="1"/>
        <w:rPr>
          <w:rFonts w:eastAsiaTheme="majorEastAsia" w:cstheme="majorBidi"/>
          <w:b/>
          <w:smallCaps/>
          <w:sz w:val="28"/>
          <w:szCs w:val="26"/>
        </w:rPr>
      </w:pPr>
      <w:bookmarkStart w:id="164" w:name="_Toc63353647"/>
      <w:bookmarkStart w:id="165" w:name="_Toc63797035"/>
      <w:bookmarkStart w:id="166" w:name="_Ref63861877"/>
      <w:bookmarkStart w:id="167" w:name="_Toc63966856"/>
      <w:r w:rsidRPr="009D14F3">
        <w:rPr>
          <w:rFonts w:eastAsiaTheme="majorEastAsia" w:cstheme="majorBidi"/>
          <w:b/>
          <w:smallCaps/>
          <w:sz w:val="28"/>
          <w:szCs w:val="26"/>
        </w:rPr>
        <w:t>India's export subsidies are prohibited under Article 3.1(a) of the SCM Agreement</w:t>
      </w:r>
      <w:bookmarkEnd w:id="164"/>
      <w:bookmarkEnd w:id="165"/>
      <w:bookmarkEnd w:id="166"/>
      <w:bookmarkEnd w:id="167"/>
    </w:p>
    <w:p w14:paraId="3860D78B" w14:textId="77777777" w:rsidR="009D14F3" w:rsidRPr="009D14F3" w:rsidRDefault="009D14F3" w:rsidP="00F82AAB">
      <w:pPr>
        <w:numPr>
          <w:ilvl w:val="0"/>
          <w:numId w:val="1"/>
        </w:numPr>
      </w:pPr>
      <w:r w:rsidRPr="009D14F3">
        <w:t>Australia has established that India's production and buffer stock subsidies, and its MAEQ and DFIA schemes, are prohibited export subsidies that are inconsistent with India's obligations under Articles 3.1(a) and 3.2 of the SCM Agreement.</w:t>
      </w:r>
      <w:r w:rsidRPr="009D14F3">
        <w:rPr>
          <w:vertAlign w:val="superscript"/>
        </w:rPr>
        <w:footnoteReference w:id="288"/>
      </w:r>
      <w:r w:rsidRPr="009D14F3">
        <w:t xml:space="preserve">  </w:t>
      </w:r>
    </w:p>
    <w:p w14:paraId="7639D3D2" w14:textId="29B4F699" w:rsidR="009D14F3" w:rsidRPr="009D14F3" w:rsidRDefault="00EB1A2E" w:rsidP="00565D70">
      <w:pPr>
        <w:numPr>
          <w:ilvl w:val="2"/>
          <w:numId w:val="2"/>
        </w:numPr>
        <w:outlineLvl w:val="2"/>
        <w:rPr>
          <w:rFonts w:eastAsiaTheme="majorEastAsia" w:cstheme="majorBidi"/>
          <w:b/>
        </w:rPr>
      </w:pPr>
      <w:bookmarkStart w:id="168" w:name="_Toc63353648"/>
      <w:bookmarkStart w:id="169" w:name="_Toc63797036"/>
      <w:bookmarkStart w:id="170" w:name="_Toc63966857"/>
      <w:r>
        <w:rPr>
          <w:rFonts w:eastAsiaTheme="majorEastAsia" w:cstheme="majorBidi"/>
          <w:b/>
        </w:rPr>
        <w:t xml:space="preserve">The </w:t>
      </w:r>
      <w:r w:rsidR="009D14F3" w:rsidRPr="009D14F3">
        <w:rPr>
          <w:rFonts w:eastAsiaTheme="majorEastAsia" w:cstheme="majorBidi"/>
          <w:b/>
        </w:rPr>
        <w:t xml:space="preserve">Panel should reject India's </w:t>
      </w:r>
      <w:r w:rsidR="00EF3415">
        <w:rPr>
          <w:rFonts w:eastAsiaTheme="majorEastAsia" w:cstheme="majorBidi"/>
          <w:b/>
        </w:rPr>
        <w:t xml:space="preserve">misinterpretation of the </w:t>
      </w:r>
      <w:r w:rsidR="009D14F3" w:rsidRPr="009D14F3">
        <w:rPr>
          <w:rFonts w:eastAsiaTheme="majorEastAsia" w:cstheme="majorBidi"/>
          <w:b/>
        </w:rPr>
        <w:t>legal standard</w:t>
      </w:r>
      <w:r w:rsidR="00D42699">
        <w:rPr>
          <w:rFonts w:eastAsiaTheme="majorEastAsia" w:cstheme="majorBidi"/>
          <w:b/>
        </w:rPr>
        <w:t xml:space="preserve"> applicable</w:t>
      </w:r>
      <w:r w:rsidR="009D14F3" w:rsidRPr="009D14F3">
        <w:rPr>
          <w:rFonts w:eastAsiaTheme="majorEastAsia" w:cstheme="majorBidi"/>
          <w:b/>
        </w:rPr>
        <w:t xml:space="preserve"> for establishing the existence of a subsidy under </w:t>
      </w:r>
      <w:r w:rsidR="00D42699" w:rsidRPr="009D14F3">
        <w:rPr>
          <w:rFonts w:eastAsiaTheme="majorEastAsia" w:cstheme="majorBidi"/>
          <w:b/>
        </w:rPr>
        <w:t>Article</w:t>
      </w:r>
      <w:r w:rsidR="00D42699">
        <w:rPr>
          <w:rFonts w:eastAsiaTheme="majorEastAsia" w:cstheme="majorBidi"/>
          <w:b/>
        </w:rPr>
        <w:t> </w:t>
      </w:r>
      <w:r w:rsidR="009D14F3" w:rsidRPr="009D14F3">
        <w:rPr>
          <w:rFonts w:eastAsiaTheme="majorEastAsia" w:cstheme="majorBidi"/>
          <w:b/>
        </w:rPr>
        <w:t>1.1</w:t>
      </w:r>
      <w:bookmarkEnd w:id="168"/>
      <w:bookmarkEnd w:id="169"/>
      <w:bookmarkEnd w:id="170"/>
    </w:p>
    <w:p w14:paraId="238027CF" w14:textId="77777777" w:rsidR="009D14F3" w:rsidRPr="009D14F3" w:rsidRDefault="009D14F3" w:rsidP="00F82AAB">
      <w:pPr>
        <w:numPr>
          <w:ilvl w:val="0"/>
          <w:numId w:val="1"/>
        </w:numPr>
      </w:pPr>
      <w:r w:rsidRPr="009D14F3">
        <w:t>To recall, a measure falling within the definition of "subsidy" under Article 1.1 of the SCM Agreement will comprise:</w:t>
      </w:r>
    </w:p>
    <w:p w14:paraId="0684083E" w14:textId="51F95A9C" w:rsidR="009D14F3" w:rsidRPr="009D14F3" w:rsidRDefault="009D14F3" w:rsidP="00F82AAB">
      <w:pPr>
        <w:numPr>
          <w:ilvl w:val="1"/>
          <w:numId w:val="1"/>
        </w:numPr>
        <w:spacing w:after="120"/>
      </w:pPr>
      <w:r w:rsidRPr="009D14F3">
        <w:t>a "financial contribution"</w:t>
      </w:r>
      <w:r w:rsidR="00C00C65">
        <w:t>;</w:t>
      </w:r>
      <w:r w:rsidRPr="009D14F3">
        <w:rPr>
          <w:vertAlign w:val="superscript"/>
        </w:rPr>
        <w:footnoteReference w:id="289"/>
      </w:r>
    </w:p>
    <w:p w14:paraId="123CF669" w14:textId="00094C27" w:rsidR="009D14F3" w:rsidRPr="009D14F3" w:rsidRDefault="009D14F3" w:rsidP="00F82AAB">
      <w:pPr>
        <w:numPr>
          <w:ilvl w:val="1"/>
          <w:numId w:val="1"/>
        </w:numPr>
        <w:spacing w:after="120"/>
      </w:pPr>
      <w:r w:rsidRPr="009D14F3">
        <w:t>by a "government or any public body"</w:t>
      </w:r>
      <w:r w:rsidR="00C00C65">
        <w:t>;</w:t>
      </w:r>
      <w:r w:rsidRPr="009D14F3">
        <w:rPr>
          <w:vertAlign w:val="superscript"/>
        </w:rPr>
        <w:footnoteReference w:id="290"/>
      </w:r>
      <w:r w:rsidR="00C00C65">
        <w:t xml:space="preserve"> </w:t>
      </w:r>
    </w:p>
    <w:p w14:paraId="47C5E359" w14:textId="77777777" w:rsidR="009D14F3" w:rsidRPr="009D14F3" w:rsidRDefault="009D14F3" w:rsidP="00F82AAB">
      <w:pPr>
        <w:numPr>
          <w:ilvl w:val="1"/>
          <w:numId w:val="1"/>
        </w:numPr>
        <w:spacing w:after="120"/>
      </w:pPr>
      <w:r w:rsidRPr="009D14F3">
        <w:t>that confers a "benefit" on the recipient.</w:t>
      </w:r>
      <w:r w:rsidRPr="009D14F3">
        <w:rPr>
          <w:vertAlign w:val="superscript"/>
        </w:rPr>
        <w:footnoteReference w:id="291"/>
      </w:r>
    </w:p>
    <w:p w14:paraId="0DAFB8EF" w14:textId="77777777" w:rsidR="009D14F3" w:rsidRPr="009D14F3" w:rsidRDefault="009D14F3" w:rsidP="00F82AAB">
      <w:pPr>
        <w:numPr>
          <w:ilvl w:val="0"/>
          <w:numId w:val="1"/>
        </w:numPr>
      </w:pPr>
      <w:r w:rsidRPr="009D14F3">
        <w:t>Article 3.1(a) "prohibits subsidies that are conditional upon… or are dependent for their existence on",</w:t>
      </w:r>
      <w:r w:rsidRPr="009D14F3">
        <w:rPr>
          <w:vertAlign w:val="superscript"/>
        </w:rPr>
        <w:footnoteReference w:id="292"/>
      </w:r>
      <w:r w:rsidRPr="009D14F3">
        <w:t xml:space="preserve"> or "tied to"</w:t>
      </w:r>
      <w:r w:rsidRPr="009D14F3">
        <w:rPr>
          <w:vertAlign w:val="superscript"/>
        </w:rPr>
        <w:footnoteReference w:id="293"/>
      </w:r>
      <w:r w:rsidRPr="009D14F3">
        <w:t xml:space="preserve"> export performance.</w:t>
      </w:r>
      <w:r w:rsidRPr="009D14F3">
        <w:rPr>
          <w:vertAlign w:val="superscript"/>
        </w:rPr>
        <w:footnoteReference w:id="294"/>
      </w:r>
      <w:r w:rsidRPr="009D14F3">
        <w:t xml:space="preserve">  Subsidies prohibited by Article 3 are deemed to be "specific" within the meaning of Article 2.</w:t>
      </w:r>
      <w:r w:rsidRPr="009D14F3">
        <w:rPr>
          <w:vertAlign w:val="superscript"/>
        </w:rPr>
        <w:footnoteReference w:id="295"/>
      </w:r>
    </w:p>
    <w:p w14:paraId="29565602" w14:textId="5C3AA878" w:rsidR="009D14F3" w:rsidRPr="009D14F3" w:rsidRDefault="009D14F3" w:rsidP="009D14F3">
      <w:pPr>
        <w:numPr>
          <w:ilvl w:val="0"/>
          <w:numId w:val="1"/>
        </w:numPr>
      </w:pPr>
      <w:r w:rsidRPr="009D14F3">
        <w:t xml:space="preserve">In short, the Indian government, by means of its production and buffer stock subsidies, and its MAEQ and DFIA schemes, makes financial contributions that benefit </w:t>
      </w:r>
      <w:r w:rsidR="00733957">
        <w:t>mills</w:t>
      </w:r>
      <w:r w:rsidRPr="009D14F3">
        <w:t>, leaving them better off than they would otherwise be with respect to debts owed, funds accrued or import tax liability.  The financial contributions under these schemes are tied to export performance.</w:t>
      </w:r>
    </w:p>
    <w:p w14:paraId="702E5281" w14:textId="6BD4F663" w:rsidR="009D14F3" w:rsidRPr="009D14F3" w:rsidRDefault="009D14F3" w:rsidP="009D14F3">
      <w:pPr>
        <w:numPr>
          <w:ilvl w:val="0"/>
          <w:numId w:val="1"/>
        </w:numPr>
      </w:pPr>
      <w:r w:rsidRPr="009D14F3">
        <w:t xml:space="preserve">To defend Australia's claims under the SCM Agreement in relation to India's </w:t>
      </w:r>
      <w:r w:rsidRPr="009D14F3">
        <w:rPr>
          <w:u w:val="single"/>
        </w:rPr>
        <w:t>production and buffer stock subsidies</w:t>
      </w:r>
      <w:r w:rsidRPr="009D14F3">
        <w:t xml:space="preserve"> and </w:t>
      </w:r>
      <w:r w:rsidRPr="009D14F3">
        <w:rPr>
          <w:u w:val="single"/>
        </w:rPr>
        <w:t>MAEQ scheme</w:t>
      </w:r>
      <w:r w:rsidRPr="009D14F3">
        <w:t xml:space="preserve">, India repeats its flawed argument, based on its incorrect interpretation of Article 1.1(a)(1), that Australia </w:t>
      </w:r>
      <w:r w:rsidR="003A0A1F">
        <w:t xml:space="preserve">is required and </w:t>
      </w:r>
      <w:r w:rsidRPr="009D14F3">
        <w:t xml:space="preserve">has failed to provide evidence of actual disbursements or payments and thus </w:t>
      </w:r>
      <w:r w:rsidR="001610E0">
        <w:t xml:space="preserve">has </w:t>
      </w:r>
      <w:r w:rsidRPr="009D14F3">
        <w:t>failed to establish the existence of a financial contribution.</w:t>
      </w:r>
      <w:r w:rsidRPr="009D14F3">
        <w:rPr>
          <w:vertAlign w:val="superscript"/>
        </w:rPr>
        <w:footnoteReference w:id="296"/>
      </w:r>
      <w:r w:rsidRPr="009D14F3">
        <w:t xml:space="preserve">  </w:t>
      </w:r>
    </w:p>
    <w:p w14:paraId="3C201F84" w14:textId="77777777" w:rsidR="009D14F3" w:rsidRPr="009D14F3" w:rsidRDefault="009D14F3" w:rsidP="009D14F3">
      <w:pPr>
        <w:numPr>
          <w:ilvl w:val="0"/>
          <w:numId w:val="1"/>
        </w:numPr>
      </w:pPr>
      <w:r w:rsidRPr="009D14F3">
        <w:t>India also repeats its argument that Australia has failed to identify, and make a comparison with, a market benchmark in order to establish the existence of a benefit in relation to these measures.</w:t>
      </w:r>
      <w:r w:rsidRPr="009D14F3">
        <w:rPr>
          <w:vertAlign w:val="superscript"/>
        </w:rPr>
        <w:footnoteReference w:id="297"/>
      </w:r>
      <w:r w:rsidRPr="009D14F3">
        <w:t xml:space="preserve"> </w:t>
      </w:r>
    </w:p>
    <w:p w14:paraId="3765E026" w14:textId="4DB6A5D1" w:rsidR="009D14F3" w:rsidRPr="009D14F3" w:rsidRDefault="009D14F3" w:rsidP="009D14F3">
      <w:pPr>
        <w:numPr>
          <w:ilvl w:val="0"/>
          <w:numId w:val="1"/>
        </w:numPr>
      </w:pPr>
      <w:r w:rsidRPr="009D14F3">
        <w:t xml:space="preserve">For the reasons Australia outlined in Section </w:t>
      </w:r>
      <w:r w:rsidR="0003255F">
        <w:fldChar w:fldCharType="begin"/>
      </w:r>
      <w:r w:rsidR="0003255F">
        <w:instrText xml:space="preserve"> REF _Ref63806728 \w \h </w:instrText>
      </w:r>
      <w:r w:rsidR="0003255F">
        <w:fldChar w:fldCharType="separate"/>
      </w:r>
      <w:r w:rsidR="00FF2871">
        <w:t>III.A.3</w:t>
      </w:r>
      <w:r w:rsidR="0003255F">
        <w:fldChar w:fldCharType="end"/>
      </w:r>
      <w:r w:rsidRPr="009D14F3">
        <w:t xml:space="preserve">, the Panel should reject India's argument and find that India's production, buffer stock and MAEQ subsidies are prohibited export subsidies under Article 3.1(a). </w:t>
      </w:r>
    </w:p>
    <w:p w14:paraId="5A54D96F" w14:textId="09134DF9" w:rsidR="009D14F3" w:rsidRPr="009D14F3" w:rsidRDefault="009D14F3" w:rsidP="009D14F3">
      <w:pPr>
        <w:keepNext/>
        <w:keepLines/>
        <w:numPr>
          <w:ilvl w:val="2"/>
          <w:numId w:val="2"/>
        </w:numPr>
        <w:outlineLvl w:val="2"/>
        <w:rPr>
          <w:rFonts w:eastAsiaTheme="majorEastAsia" w:cstheme="majorBidi"/>
          <w:b/>
        </w:rPr>
      </w:pPr>
      <w:bookmarkStart w:id="171" w:name="_Toc63353103"/>
      <w:bookmarkStart w:id="172" w:name="_Toc63353438"/>
      <w:bookmarkStart w:id="173" w:name="_Toc63353649"/>
      <w:bookmarkStart w:id="174" w:name="_Toc63353104"/>
      <w:bookmarkStart w:id="175" w:name="_Toc63353439"/>
      <w:bookmarkStart w:id="176" w:name="_Toc63353650"/>
      <w:bookmarkStart w:id="177" w:name="_Toc63353105"/>
      <w:bookmarkStart w:id="178" w:name="_Toc63353440"/>
      <w:bookmarkStart w:id="179" w:name="_Toc63353651"/>
      <w:bookmarkStart w:id="180" w:name="_Toc63353652"/>
      <w:bookmarkStart w:id="181" w:name="_Toc63797037"/>
      <w:bookmarkStart w:id="182" w:name="_Ref63862018"/>
      <w:bookmarkStart w:id="183" w:name="_Ref63862019"/>
      <w:bookmarkStart w:id="184" w:name="_Toc63966858"/>
      <w:bookmarkStart w:id="185" w:name="_Hlk63350680"/>
      <w:bookmarkEnd w:id="171"/>
      <w:bookmarkEnd w:id="172"/>
      <w:bookmarkEnd w:id="173"/>
      <w:bookmarkEnd w:id="174"/>
      <w:bookmarkEnd w:id="175"/>
      <w:bookmarkEnd w:id="176"/>
      <w:bookmarkEnd w:id="177"/>
      <w:bookmarkEnd w:id="178"/>
      <w:bookmarkEnd w:id="179"/>
      <w:r w:rsidRPr="009D14F3">
        <w:rPr>
          <w:rFonts w:eastAsiaTheme="majorEastAsia" w:cstheme="majorBidi"/>
          <w:b/>
        </w:rPr>
        <w:t>The DFIA scheme does not fall within footnote 1 of the SCM</w:t>
      </w:r>
      <w:r w:rsidR="000B468D">
        <w:rPr>
          <w:rFonts w:eastAsiaTheme="majorEastAsia" w:cstheme="majorBidi"/>
          <w:b/>
        </w:rPr>
        <w:t> </w:t>
      </w:r>
      <w:r w:rsidRPr="009D14F3">
        <w:rPr>
          <w:rFonts w:eastAsiaTheme="majorEastAsia" w:cstheme="majorBidi"/>
          <w:b/>
        </w:rPr>
        <w:t>Agreement</w:t>
      </w:r>
      <w:bookmarkEnd w:id="180"/>
      <w:bookmarkEnd w:id="181"/>
      <w:bookmarkEnd w:id="182"/>
      <w:bookmarkEnd w:id="183"/>
      <w:bookmarkEnd w:id="184"/>
    </w:p>
    <w:p w14:paraId="04266A0B" w14:textId="77777777" w:rsidR="009D14F3" w:rsidRPr="009D14F3" w:rsidRDefault="009D14F3" w:rsidP="009D14F3">
      <w:pPr>
        <w:numPr>
          <w:ilvl w:val="0"/>
          <w:numId w:val="1"/>
        </w:numPr>
      </w:pPr>
      <w:r w:rsidRPr="009D14F3">
        <w:t>Australia has established that the DFIA scheme is a prohibited export subsidy under Article 3.1(a).</w:t>
      </w:r>
      <w:r w:rsidRPr="009D14F3">
        <w:rPr>
          <w:vertAlign w:val="superscript"/>
        </w:rPr>
        <w:footnoteReference w:id="298"/>
      </w:r>
    </w:p>
    <w:p w14:paraId="50BEDEFE" w14:textId="338A92C5" w:rsidR="009D14F3" w:rsidRPr="009D14F3" w:rsidRDefault="009D14F3" w:rsidP="009D14F3">
      <w:pPr>
        <w:numPr>
          <w:ilvl w:val="0"/>
          <w:numId w:val="1"/>
        </w:numPr>
      </w:pPr>
      <w:r w:rsidRPr="009D14F3">
        <w:t xml:space="preserve">In its defence, India argues that the DFIA scheme does not constitute an export subsidy as it falls within the scope of footnote 1 </w:t>
      </w:r>
      <w:r w:rsidR="00900FB2">
        <w:t>to</w:t>
      </w:r>
      <w:r w:rsidRPr="009D14F3">
        <w:t xml:space="preserve"> the SCM Agreement.</w:t>
      </w:r>
      <w:r w:rsidRPr="009D14F3">
        <w:rPr>
          <w:vertAlign w:val="superscript"/>
        </w:rPr>
        <w:footnoteReference w:id="299"/>
      </w:r>
    </w:p>
    <w:p w14:paraId="457D9C8D" w14:textId="77777777" w:rsidR="009D14F3" w:rsidRPr="009D14F3" w:rsidRDefault="009D14F3" w:rsidP="009D14F3">
      <w:pPr>
        <w:keepNext/>
        <w:numPr>
          <w:ilvl w:val="0"/>
          <w:numId w:val="1"/>
        </w:numPr>
      </w:pPr>
      <w:r w:rsidRPr="009D14F3">
        <w:t>Read together with Annex I(i) of the SCM Agreement, footnote 1 provides that a measure will not be deemed to be a subsidy if it comprises:</w:t>
      </w:r>
    </w:p>
    <w:p w14:paraId="7EEBA4BC" w14:textId="42516F7B" w:rsidR="009D14F3" w:rsidRPr="009D14F3" w:rsidRDefault="009D14F3" w:rsidP="009D14F3">
      <w:pPr>
        <w:numPr>
          <w:ilvl w:val="1"/>
          <w:numId w:val="1"/>
        </w:numPr>
        <w:spacing w:after="120"/>
        <w:ind w:left="1702" w:hanging="851"/>
      </w:pPr>
      <w:r w:rsidRPr="009D14F3">
        <w:t>a remission or drawback, including full or partial exemption or deferral</w:t>
      </w:r>
      <w:r w:rsidR="00CB0F4E">
        <w:t>;</w:t>
      </w:r>
    </w:p>
    <w:p w14:paraId="311BC67F" w14:textId="7F7188F0" w:rsidR="009D14F3" w:rsidRPr="009D14F3" w:rsidRDefault="009D14F3" w:rsidP="009D14F3">
      <w:pPr>
        <w:numPr>
          <w:ilvl w:val="1"/>
          <w:numId w:val="1"/>
        </w:numPr>
        <w:spacing w:after="120"/>
        <w:ind w:left="1702" w:hanging="851"/>
      </w:pPr>
      <w:r w:rsidRPr="009D14F3">
        <w:t>of import charges</w:t>
      </w:r>
      <w:r w:rsidR="00CB0F4E">
        <w:t>;</w:t>
      </w:r>
    </w:p>
    <w:p w14:paraId="119AB5E7" w14:textId="02C856F2" w:rsidR="009D14F3" w:rsidRPr="009D14F3" w:rsidRDefault="009D14F3" w:rsidP="009D14F3">
      <w:pPr>
        <w:numPr>
          <w:ilvl w:val="1"/>
          <w:numId w:val="1"/>
        </w:numPr>
        <w:spacing w:after="120"/>
        <w:ind w:left="1702" w:hanging="851"/>
      </w:pPr>
      <w:r w:rsidRPr="009D14F3">
        <w:t>on imported inputs consumed in the production of an exported product</w:t>
      </w:r>
      <w:r w:rsidR="00CB0F4E">
        <w:t>;</w:t>
      </w:r>
      <w:r w:rsidR="00CB0F4E" w:rsidRPr="009D14F3">
        <w:rPr>
          <w:vertAlign w:val="superscript"/>
        </w:rPr>
        <w:footnoteReference w:id="300"/>
      </w:r>
      <w:r w:rsidR="00CB0F4E" w:rsidRPr="009D14F3">
        <w:t xml:space="preserve"> </w:t>
      </w:r>
      <w:r w:rsidRPr="009D14F3">
        <w:t>and</w:t>
      </w:r>
    </w:p>
    <w:p w14:paraId="7741287F" w14:textId="77777777" w:rsidR="009D14F3" w:rsidRPr="009D14F3" w:rsidRDefault="009D14F3" w:rsidP="009D14F3">
      <w:pPr>
        <w:numPr>
          <w:ilvl w:val="1"/>
          <w:numId w:val="1"/>
        </w:numPr>
        <w:spacing w:after="120"/>
        <w:ind w:left="1702" w:hanging="851"/>
      </w:pPr>
      <w:r w:rsidRPr="009D14F3">
        <w:t>the remission or drawback is not in excess of those charges levied on the inputs.</w:t>
      </w:r>
      <w:r w:rsidRPr="009D14F3">
        <w:rPr>
          <w:vertAlign w:val="superscript"/>
        </w:rPr>
        <w:footnoteReference w:id="301"/>
      </w:r>
    </w:p>
    <w:p w14:paraId="19BB7837" w14:textId="5A4B7BB4" w:rsidR="009D14F3" w:rsidRPr="009D14F3" w:rsidRDefault="009D14F3" w:rsidP="009D14F3">
      <w:pPr>
        <w:numPr>
          <w:ilvl w:val="0"/>
          <w:numId w:val="1"/>
        </w:numPr>
      </w:pPr>
      <w:r w:rsidRPr="009D14F3">
        <w:t xml:space="preserve">India argues that the DFIA scheme meets these criteria as the measure provides an exemption </w:t>
      </w:r>
      <w:r w:rsidR="00900FB2">
        <w:t>from</w:t>
      </w:r>
      <w:r w:rsidRPr="009D14F3">
        <w:t xml:space="preserve"> basic customs duty on imported raw sugar used in the production of exported white sugar, and that the exemption does not exceed the customs duty that would otherwise be levied.</w:t>
      </w:r>
      <w:r w:rsidRPr="009D14F3">
        <w:rPr>
          <w:vertAlign w:val="superscript"/>
        </w:rPr>
        <w:footnoteReference w:id="302"/>
      </w:r>
      <w:r w:rsidRPr="009D14F3">
        <w:t xml:space="preserve">  Specifically, India claims that "[t]he exemption from payment of import duty may be claimed </w:t>
      </w:r>
      <w:r w:rsidRPr="009D14F3">
        <w:rPr>
          <w:u w:val="single"/>
        </w:rPr>
        <w:t>subsequent to the export of the finished product that incorporates/utilizes the imported input</w:t>
      </w:r>
      <w:r w:rsidRPr="009D14F3">
        <w:t>."</w:t>
      </w:r>
      <w:r w:rsidRPr="009D14F3">
        <w:rPr>
          <w:vertAlign w:val="superscript"/>
        </w:rPr>
        <w:footnoteReference w:id="303"/>
      </w:r>
    </w:p>
    <w:p w14:paraId="47FF94FF" w14:textId="77777777" w:rsidR="009D14F3" w:rsidRPr="009D14F3" w:rsidRDefault="009D14F3" w:rsidP="009D14F3">
      <w:pPr>
        <w:numPr>
          <w:ilvl w:val="0"/>
          <w:numId w:val="1"/>
        </w:numPr>
      </w:pPr>
      <w:r w:rsidRPr="009D14F3">
        <w:t xml:space="preserve">Australia submits that the evidence of the DFIA scheme's design, structure and operation does not support India's factual characterisation of the measure.  </w:t>
      </w:r>
    </w:p>
    <w:p w14:paraId="3303CB43" w14:textId="77777777" w:rsidR="009D14F3" w:rsidRPr="009D14F3" w:rsidRDefault="009D14F3" w:rsidP="009D14F3">
      <w:pPr>
        <w:numPr>
          <w:ilvl w:val="0"/>
          <w:numId w:val="1"/>
        </w:numPr>
      </w:pPr>
      <w:r w:rsidRPr="009D14F3">
        <w:t xml:space="preserve">Paragraph 4.25(c) of India's Foreign Trade Policy 2015–2020, as amended on 28 March 2018, reads, relevantly: "Export of white sugar under DFIA is allowed… till 30.9.2018 and DFIA in such cases shall be issued only on or after 1.10.2019. </w:t>
      </w:r>
      <w:r w:rsidRPr="009D14F3">
        <w:rPr>
          <w:u w:val="single"/>
        </w:rPr>
        <w:t>Such DFIAs shall be valid for imports till 30.9.2021</w:t>
      </w:r>
      <w:r w:rsidRPr="009D14F3">
        <w:t>."</w:t>
      </w:r>
      <w:r w:rsidRPr="009D14F3">
        <w:rPr>
          <w:vertAlign w:val="superscript"/>
        </w:rPr>
        <w:footnoteReference w:id="304"/>
      </w:r>
    </w:p>
    <w:p w14:paraId="33998DE6" w14:textId="77777777" w:rsidR="009D14F3" w:rsidRPr="009D14F3" w:rsidRDefault="009D14F3" w:rsidP="009D14F3">
      <w:pPr>
        <w:numPr>
          <w:ilvl w:val="0"/>
          <w:numId w:val="1"/>
        </w:numPr>
      </w:pPr>
      <w:r w:rsidRPr="009D14F3">
        <w:t>When paragraph 4.25(c) was amended, certain restrictions on claiming DFIA in relation to raw sugar were also removed.</w:t>
      </w:r>
      <w:r w:rsidRPr="009D14F3">
        <w:rPr>
          <w:vertAlign w:val="superscript"/>
        </w:rPr>
        <w:footnoteReference w:id="305"/>
      </w:r>
    </w:p>
    <w:p w14:paraId="24E5921D" w14:textId="77777777" w:rsidR="009D14F3" w:rsidRPr="009D14F3" w:rsidRDefault="009D14F3" w:rsidP="009D14F3">
      <w:pPr>
        <w:numPr>
          <w:ilvl w:val="0"/>
          <w:numId w:val="1"/>
        </w:numPr>
      </w:pPr>
      <w:r w:rsidRPr="009D14F3">
        <w:t>The effect of those amendments are as follows:</w:t>
      </w:r>
    </w:p>
    <w:p w14:paraId="1623290C" w14:textId="77777777" w:rsidR="009D14F3" w:rsidRPr="009D14F3" w:rsidRDefault="009D14F3" w:rsidP="009D14F3">
      <w:pPr>
        <w:numPr>
          <w:ilvl w:val="1"/>
          <w:numId w:val="1"/>
        </w:numPr>
        <w:spacing w:after="120"/>
      </w:pPr>
      <w:r w:rsidRPr="009D14F3">
        <w:t>Entities that exported white sugar between 28 March 2018 and 30 September 2018 could claim DFIA on raw sugar as a result of having exported during that six-month window.</w:t>
      </w:r>
    </w:p>
    <w:p w14:paraId="5DEA61E9" w14:textId="77777777" w:rsidR="009D14F3" w:rsidRPr="009D14F3" w:rsidRDefault="009D14F3" w:rsidP="009D14F3">
      <w:pPr>
        <w:numPr>
          <w:ilvl w:val="1"/>
          <w:numId w:val="1"/>
        </w:numPr>
        <w:spacing w:after="120"/>
      </w:pPr>
      <w:r w:rsidRPr="009D14F3">
        <w:t>Applications for DFIA on raw sugar could be made after 1 October 2019.  This is because DFIA is available on a post-export basis only.</w:t>
      </w:r>
      <w:r w:rsidRPr="009D14F3">
        <w:rPr>
          <w:vertAlign w:val="superscript"/>
        </w:rPr>
        <w:footnoteReference w:id="306"/>
      </w:r>
    </w:p>
    <w:p w14:paraId="03BB1C76" w14:textId="4DC3CE30" w:rsidR="009D14F3" w:rsidRPr="009D14F3" w:rsidRDefault="009D14F3" w:rsidP="009D14F3">
      <w:pPr>
        <w:numPr>
          <w:ilvl w:val="1"/>
          <w:numId w:val="1"/>
        </w:numPr>
        <w:spacing w:after="120"/>
      </w:pPr>
      <w:r w:rsidRPr="009D14F3">
        <w:t xml:space="preserve">The DFIA granted in respect of 2018 white sugar exports did not result in a remission of the basic customs duty paid on the raw sugar consumed in the production of </w:t>
      </w:r>
      <w:r w:rsidR="00107E85" w:rsidRPr="009D14F3">
        <w:t>th</w:t>
      </w:r>
      <w:r w:rsidR="00107E85">
        <w:t xml:space="preserve">ose </w:t>
      </w:r>
      <w:r w:rsidRPr="009D14F3">
        <w:t xml:space="preserve">sugar exports.  Rather, it authorised a </w:t>
      </w:r>
      <w:r w:rsidRPr="009D14F3">
        <w:rPr>
          <w:u w:val="single"/>
        </w:rPr>
        <w:t>prospective</w:t>
      </w:r>
      <w:r w:rsidRPr="009D14F3">
        <w:t xml:space="preserve"> customs duty exemption on raw sugar imported between 1 October 2019 and 30 September 2021.  This is because DFIA is transferrable.</w:t>
      </w:r>
      <w:r w:rsidRPr="009D14F3">
        <w:rPr>
          <w:vertAlign w:val="superscript"/>
        </w:rPr>
        <w:footnoteReference w:id="307"/>
      </w:r>
      <w:r w:rsidRPr="009D14F3">
        <w:t xml:space="preserve">   </w:t>
      </w:r>
    </w:p>
    <w:p w14:paraId="3C3F9529" w14:textId="54626252" w:rsidR="009D14F3" w:rsidRPr="009D14F3" w:rsidRDefault="009D14F3" w:rsidP="009D14F3">
      <w:pPr>
        <w:numPr>
          <w:ilvl w:val="1"/>
          <w:numId w:val="1"/>
        </w:numPr>
        <w:spacing w:after="120"/>
      </w:pPr>
      <w:r w:rsidRPr="009D14F3">
        <w:t xml:space="preserve">Thus, DFIA attaches not to the raw sugar consumed in producing the white sugar exported in 2018, but rather </w:t>
      </w:r>
      <w:r w:rsidR="009E22B8">
        <w:t xml:space="preserve">to </w:t>
      </w:r>
      <w:r w:rsidRPr="009D14F3">
        <w:t xml:space="preserve">raw sugar subsequently, or yet to be, imported.     </w:t>
      </w:r>
    </w:p>
    <w:p w14:paraId="6E4A2BDF" w14:textId="6D029BA7" w:rsidR="009D14F3" w:rsidRPr="009D14F3" w:rsidRDefault="009D14F3" w:rsidP="009D14F3">
      <w:pPr>
        <w:numPr>
          <w:ilvl w:val="0"/>
          <w:numId w:val="1"/>
        </w:numPr>
      </w:pPr>
      <w:r w:rsidRPr="009D14F3">
        <w:t xml:space="preserve">Put simply, the DFIA scheme permits mills to import </w:t>
      </w:r>
      <w:r w:rsidR="00107E85">
        <w:t xml:space="preserve">customs duty free </w:t>
      </w:r>
      <w:r w:rsidRPr="009D14F3">
        <w:t>raw sugar in the future on account of having exported white sugar in the past.</w:t>
      </w:r>
      <w:r w:rsidRPr="009D14F3">
        <w:rPr>
          <w:vertAlign w:val="superscript"/>
        </w:rPr>
        <w:footnoteReference w:id="308"/>
      </w:r>
      <w:r w:rsidRPr="009D14F3">
        <w:t xml:space="preserve">  Thus, the measure fails to meet the footnote 1 requirement that the remission or drawback be on an imported input that is consumed in the production of an exported product.  Rather than require the duty-exempt imported raw sugar to have been consumed in the production of white sugar for export, the scheme allows exporters to export white sugar first</w:t>
      </w:r>
      <w:r w:rsidR="009E22B8">
        <w:t xml:space="preserve"> and</w:t>
      </w:r>
      <w:r w:rsidRPr="009D14F3">
        <w:t xml:space="preserve"> then claim the exemption on raw sugar they import</w:t>
      </w:r>
      <w:r w:rsidR="00107E85">
        <w:t xml:space="preserve"> at a</w:t>
      </w:r>
      <w:r w:rsidRPr="009D14F3">
        <w:t xml:space="preserve"> later</w:t>
      </w:r>
      <w:r w:rsidR="00107E85">
        <w:t xml:space="preserve"> point in time</w:t>
      </w:r>
      <w:r w:rsidRPr="009D14F3">
        <w:t xml:space="preserve">.  </w:t>
      </w:r>
    </w:p>
    <w:p w14:paraId="2E81EC05" w14:textId="7CE0E3AE" w:rsidR="009D14F3" w:rsidRPr="009D14F3" w:rsidRDefault="009D14F3" w:rsidP="009D14F3">
      <w:pPr>
        <w:numPr>
          <w:ilvl w:val="0"/>
          <w:numId w:val="1"/>
        </w:numPr>
      </w:pPr>
      <w:r w:rsidRPr="009D14F3">
        <w:t xml:space="preserve">Contrary to India's assertions, the DFIA scheme reverses the logic of footnote 1.  It entails a disconnect between imported raw sugar and exported white sugar.  It is physically impossible for raw sugar that is or was imported </w:t>
      </w:r>
      <w:r w:rsidR="00107E85">
        <w:t xml:space="preserve">customs </w:t>
      </w:r>
      <w:r w:rsidRPr="009D14F3">
        <w:t xml:space="preserve">duty free between 1 October 2019 and 30 September 2021 to </w:t>
      </w:r>
      <w:r w:rsidR="009E22B8">
        <w:t xml:space="preserve">have </w:t>
      </w:r>
      <w:r w:rsidRPr="009D14F3">
        <w:t>be</w:t>
      </w:r>
      <w:r w:rsidR="009E22B8">
        <w:t>en</w:t>
      </w:r>
      <w:r w:rsidRPr="009D14F3">
        <w:t xml:space="preserve"> consumed in the production of white sugar exported </w:t>
      </w:r>
      <w:r w:rsidR="009E22B8">
        <w:t>in</w:t>
      </w:r>
      <w:r w:rsidR="009E22B8" w:rsidRPr="009D14F3">
        <w:t xml:space="preserve"> </w:t>
      </w:r>
      <w:r w:rsidRPr="009D14F3">
        <w:t>2018.</w:t>
      </w:r>
      <w:r w:rsidRPr="009D14F3">
        <w:rPr>
          <w:vertAlign w:val="superscript"/>
        </w:rPr>
        <w:footnoteReference w:id="309"/>
      </w:r>
      <w:r w:rsidRPr="009D14F3">
        <w:t xml:space="preserve">  </w:t>
      </w:r>
    </w:p>
    <w:p w14:paraId="494845C5" w14:textId="1DC1A44F" w:rsidR="009D14F3" w:rsidRPr="009D14F3" w:rsidRDefault="009D14F3" w:rsidP="009D14F3">
      <w:pPr>
        <w:numPr>
          <w:ilvl w:val="0"/>
          <w:numId w:val="1"/>
        </w:numPr>
      </w:pPr>
      <w:r w:rsidRPr="009D14F3">
        <w:t>Media reporting in India corroborates Australia's analysis of</w:t>
      </w:r>
      <w:r w:rsidR="00483E8C">
        <w:t xml:space="preserve"> how the scheme operates</w:t>
      </w:r>
      <w:r w:rsidRPr="009D14F3">
        <w:t>.</w:t>
      </w:r>
      <w:r w:rsidRPr="009D14F3">
        <w:rPr>
          <w:vertAlign w:val="superscript"/>
        </w:rPr>
        <w:footnoteReference w:id="310"/>
      </w:r>
    </w:p>
    <w:p w14:paraId="74A97B1E" w14:textId="77777777" w:rsidR="009D14F3" w:rsidRPr="009D14F3" w:rsidRDefault="009D14F3" w:rsidP="009D14F3">
      <w:pPr>
        <w:numPr>
          <w:ilvl w:val="0"/>
          <w:numId w:val="1"/>
        </w:numPr>
      </w:pPr>
      <w:r w:rsidRPr="009D14F3">
        <w:t>For these reasons, the Panel should reject India's defence and find that the DFIA scheme is a prohibited export subsidy under Article 3.1(a).</w:t>
      </w:r>
    </w:p>
    <w:p w14:paraId="24E524F6" w14:textId="07D3FAB1" w:rsidR="009D14F3" w:rsidRPr="009D14F3" w:rsidRDefault="009D14F3" w:rsidP="009D14F3">
      <w:pPr>
        <w:keepNext/>
        <w:keepLines/>
        <w:numPr>
          <w:ilvl w:val="1"/>
          <w:numId w:val="2"/>
        </w:numPr>
        <w:outlineLvl w:val="1"/>
        <w:rPr>
          <w:rFonts w:eastAsiaTheme="majorEastAsia" w:cstheme="majorBidi"/>
          <w:b/>
          <w:smallCaps/>
          <w:sz w:val="28"/>
          <w:szCs w:val="26"/>
        </w:rPr>
      </w:pPr>
      <w:bookmarkStart w:id="186" w:name="_Toc63347268"/>
      <w:bookmarkStart w:id="187" w:name="_Toc63353107"/>
      <w:bookmarkStart w:id="188" w:name="_Toc63353442"/>
      <w:bookmarkStart w:id="189" w:name="_Toc63353653"/>
      <w:bookmarkStart w:id="190" w:name="_Toc63353654"/>
      <w:bookmarkStart w:id="191" w:name="_Toc63797038"/>
      <w:bookmarkStart w:id="192" w:name="_Toc63966859"/>
      <w:bookmarkEnd w:id="185"/>
      <w:bookmarkEnd w:id="186"/>
      <w:bookmarkEnd w:id="187"/>
      <w:bookmarkEnd w:id="188"/>
      <w:bookmarkEnd w:id="189"/>
      <w:r w:rsidRPr="009D14F3">
        <w:rPr>
          <w:rFonts w:eastAsiaTheme="majorEastAsia" w:cstheme="majorBidi"/>
          <w:b/>
          <w:smallCaps/>
          <w:sz w:val="28"/>
          <w:szCs w:val="26"/>
        </w:rPr>
        <w:t>Conclusion</w:t>
      </w:r>
      <w:bookmarkEnd w:id="190"/>
      <w:bookmarkEnd w:id="191"/>
      <w:bookmarkEnd w:id="192"/>
    </w:p>
    <w:p w14:paraId="05C7BCF9" w14:textId="0679107A" w:rsidR="009D14F3" w:rsidRPr="009D14F3" w:rsidRDefault="009D14F3" w:rsidP="009D14F3">
      <w:pPr>
        <w:numPr>
          <w:ilvl w:val="0"/>
          <w:numId w:val="1"/>
        </w:numPr>
      </w:pPr>
      <w:r w:rsidRPr="009D14F3">
        <w:t xml:space="preserve">India's defence of Australia's export subsidy claims rests on a litany of incorrect interpretations of applicable legal standards, and factual mischaracterisations regarding the design, structure and operation of its measures.  India's production and buffer stock subsidies, and its MAEQ and DFIA schemes, are export subsidies within the meaning of Article 9.1(a) of the Agreement on Agriculture and Article 3.1(a) of the SCM Agreement, </w:t>
      </w:r>
      <w:r w:rsidR="009E22B8">
        <w:t>which</w:t>
      </w:r>
      <w:r w:rsidR="009E22B8" w:rsidRPr="009D14F3">
        <w:t xml:space="preserve"> </w:t>
      </w:r>
      <w:r w:rsidRPr="009D14F3">
        <w:t>India provides in violation of its obligations under both Agreements.</w:t>
      </w:r>
    </w:p>
    <w:p w14:paraId="265EAF65" w14:textId="34910B02" w:rsidR="00B104D7" w:rsidRDefault="00B104D7" w:rsidP="00AB5B54">
      <w:pPr>
        <w:pStyle w:val="HL1HeadingLevel1"/>
        <w:keepLines w:val="0"/>
      </w:pPr>
      <w:bookmarkStart w:id="193" w:name="_Toc63966860"/>
      <w:r>
        <w:t xml:space="preserve">INDIA HAS FAILED TO NOTIFY ITS DOMESTIC SUPPORT </w:t>
      </w:r>
      <w:r w:rsidR="00667DE2">
        <w:t>IN FAVOUR OF</w:t>
      </w:r>
      <w:r w:rsidR="006534AA">
        <w:t xml:space="preserve"> sugarcane</w:t>
      </w:r>
      <w:r w:rsidR="00667DE2">
        <w:t xml:space="preserve"> PRODUCERS</w:t>
      </w:r>
      <w:r w:rsidR="006534AA">
        <w:t xml:space="preserve"> </w:t>
      </w:r>
      <w:r>
        <w:t>AND EXPORT SUBSIDIES</w:t>
      </w:r>
      <w:r w:rsidR="006534AA">
        <w:t xml:space="preserve"> for sugar</w:t>
      </w:r>
      <w:r>
        <w:t xml:space="preserve"> IN BREACH OF ITS WTO OBLIGATIONS</w:t>
      </w:r>
      <w:bookmarkEnd w:id="193"/>
    </w:p>
    <w:p w14:paraId="197B84BE" w14:textId="3ECA891A" w:rsidR="009E1EAC" w:rsidRDefault="00324D3B" w:rsidP="00C44437">
      <w:pPr>
        <w:pStyle w:val="P1-N1Paragraph1-Number1"/>
      </w:pPr>
      <w:r w:rsidRPr="00324D3B">
        <w:t xml:space="preserve">Australia has established that India maintains domestic support for sugarcane </w:t>
      </w:r>
      <w:r w:rsidR="00B73C73">
        <w:t xml:space="preserve">producers </w:t>
      </w:r>
      <w:r w:rsidRPr="00324D3B">
        <w:t>and export subsidies for sugar.   India has not submitted notifications of these measures</w:t>
      </w:r>
      <w:r w:rsidR="00483E8C">
        <w:t>,</w:t>
      </w:r>
      <w:r w:rsidRPr="00324D3B">
        <w:t xml:space="preserve"> in breach of its obligations under the Agreement on Agriculture and the SCM Agreement, or, in the alternative, under the GATT 1994.</w:t>
      </w:r>
    </w:p>
    <w:p w14:paraId="32A038B4" w14:textId="2C11B550" w:rsidR="00324D3B" w:rsidRDefault="00324D3B" w:rsidP="00250A39">
      <w:pPr>
        <w:pStyle w:val="HL2HeadingLevel2"/>
        <w:keepLines w:val="0"/>
      </w:pPr>
      <w:bookmarkStart w:id="194" w:name="_Toc63966861"/>
      <w:r>
        <w:t xml:space="preserve">India's </w:t>
      </w:r>
      <w:r w:rsidR="000B468D">
        <w:t>n</w:t>
      </w:r>
      <w:r>
        <w:t xml:space="preserve">otification </w:t>
      </w:r>
      <w:r w:rsidR="000B468D">
        <w:t>o</w:t>
      </w:r>
      <w:r>
        <w:t>bligations under the Agreement on Agriculture, the SCM Agreement and the GATT 1994</w:t>
      </w:r>
      <w:bookmarkEnd w:id="194"/>
    </w:p>
    <w:p w14:paraId="47AC1666" w14:textId="77777777" w:rsidR="00324D3B" w:rsidRDefault="00324D3B" w:rsidP="000C7E34">
      <w:pPr>
        <w:pStyle w:val="HL3HeadingLevel3"/>
        <w:keepLines w:val="0"/>
        <w:ind w:left="2552"/>
      </w:pPr>
      <w:bookmarkStart w:id="195" w:name="_Toc63966862"/>
      <w:r>
        <w:t>Agreement on Agriculture</w:t>
      </w:r>
      <w:bookmarkEnd w:id="195"/>
    </w:p>
    <w:p w14:paraId="2FE42C0F" w14:textId="77777777" w:rsidR="00324D3B" w:rsidRDefault="00324D3B" w:rsidP="00250A39">
      <w:pPr>
        <w:pStyle w:val="P1-N1Paragraph1-Number1"/>
        <w:keepNext/>
      </w:pPr>
      <w:r w:rsidRPr="00324D3B">
        <w:t>Article 18 of the Agreement on Agriculture provides</w:t>
      </w:r>
      <w:r w:rsidR="005C5D38">
        <w:t>, in mandatory terms,</w:t>
      </w:r>
      <w:r w:rsidRPr="00324D3B">
        <w:t xml:space="preserve"> that:</w:t>
      </w:r>
    </w:p>
    <w:p w14:paraId="5F7B0F98" w14:textId="77777777" w:rsidR="00324D3B" w:rsidRDefault="00324D3B" w:rsidP="00C44437">
      <w:pPr>
        <w:pStyle w:val="P2-B1Paragraph2-Bullet1"/>
      </w:pPr>
      <w:r w:rsidRPr="00324D3B">
        <w:t xml:space="preserve">progress in the implementation of commitments negotiated under the Uruguay Round reform programme </w:t>
      </w:r>
      <w:r w:rsidRPr="00324D3B">
        <w:rPr>
          <w:u w:val="single"/>
        </w:rPr>
        <w:t>shall</w:t>
      </w:r>
      <w:r w:rsidRPr="00324D3B">
        <w:t xml:space="preserve"> be reviewed by the Committee on Agriculture (Article 18.1)</w:t>
      </w:r>
      <w:r>
        <w:t>;</w:t>
      </w:r>
    </w:p>
    <w:p w14:paraId="0F121363" w14:textId="77777777" w:rsidR="00324D3B" w:rsidRDefault="00324D3B" w:rsidP="00C44437">
      <w:pPr>
        <w:pStyle w:val="P2-B1Paragraph2-Bullet1"/>
      </w:pPr>
      <w:r>
        <w:rPr>
          <w:lang w:eastAsia="en-AU"/>
        </w:rPr>
        <w:t xml:space="preserve">the review process </w:t>
      </w:r>
      <w:r>
        <w:rPr>
          <w:u w:val="single"/>
          <w:lang w:eastAsia="en-AU"/>
        </w:rPr>
        <w:t>shall</w:t>
      </w:r>
      <w:r>
        <w:rPr>
          <w:lang w:eastAsia="en-AU"/>
        </w:rPr>
        <w:t xml:space="preserve"> be undertaken on the basis of notifications </w:t>
      </w:r>
      <w:r w:rsidRPr="00461F80">
        <w:rPr>
          <w:u w:val="single"/>
          <w:lang w:eastAsia="en-AU"/>
        </w:rPr>
        <w:t xml:space="preserve">submitted </w:t>
      </w:r>
      <w:r w:rsidRPr="005A32F1">
        <w:rPr>
          <w:u w:val="single"/>
          <w:lang w:eastAsia="en-AU"/>
        </w:rPr>
        <w:t>by Members</w:t>
      </w:r>
      <w:r>
        <w:rPr>
          <w:lang w:eastAsia="en-AU"/>
        </w:rPr>
        <w:t xml:space="preserve"> in relation to such matters and at such intervals as </w:t>
      </w:r>
      <w:r w:rsidRPr="00461F80">
        <w:rPr>
          <w:lang w:eastAsia="en-AU"/>
        </w:rPr>
        <w:t>shall</w:t>
      </w:r>
      <w:r>
        <w:rPr>
          <w:lang w:eastAsia="en-AU"/>
        </w:rPr>
        <w:t xml:space="preserve"> be determined (Article 18.2);</w:t>
      </w:r>
    </w:p>
    <w:p w14:paraId="437E7649" w14:textId="77777777" w:rsidR="00324D3B" w:rsidRDefault="00324D3B" w:rsidP="00C44437">
      <w:pPr>
        <w:pStyle w:val="P2-B1Paragraph2-Bullet1"/>
      </w:pPr>
      <w:r>
        <w:rPr>
          <w:lang w:eastAsia="en-AU"/>
        </w:rPr>
        <w:t xml:space="preserve">in addition to the notifications </w:t>
      </w:r>
      <w:r w:rsidRPr="005A32F1">
        <w:rPr>
          <w:u w:val="single"/>
          <w:lang w:eastAsia="en-AU"/>
        </w:rPr>
        <w:t>to be submitted</w:t>
      </w:r>
      <w:r>
        <w:rPr>
          <w:lang w:eastAsia="en-AU"/>
        </w:rPr>
        <w:t xml:space="preserve"> to inform the review process (under Article 18.2), any new domestic support measure, or modification of an existing measure, for which exemption from reduction is claimed </w:t>
      </w:r>
      <w:r>
        <w:rPr>
          <w:u w:val="single"/>
          <w:lang w:eastAsia="en-AU"/>
        </w:rPr>
        <w:t>shall</w:t>
      </w:r>
      <w:r>
        <w:rPr>
          <w:lang w:eastAsia="en-AU"/>
        </w:rPr>
        <w:t xml:space="preserve"> be notified promptly by Members (Article 18.3); and</w:t>
      </w:r>
    </w:p>
    <w:p w14:paraId="658CA6A2" w14:textId="7AAB7401" w:rsidR="00324D3B" w:rsidRDefault="00324D3B" w:rsidP="00C44437">
      <w:pPr>
        <w:pStyle w:val="P2-B1Paragraph2-Bullet1"/>
      </w:pPr>
      <w:r>
        <w:rPr>
          <w:lang w:eastAsia="en-AU"/>
        </w:rPr>
        <w:t xml:space="preserve">domestic support notifications </w:t>
      </w:r>
      <w:r w:rsidRPr="003E1500">
        <w:rPr>
          <w:u w:val="single"/>
          <w:lang w:eastAsia="en-AU"/>
        </w:rPr>
        <w:t>shall</w:t>
      </w:r>
      <w:r>
        <w:rPr>
          <w:lang w:eastAsia="en-AU"/>
        </w:rPr>
        <w:t xml:space="preserve"> contain details of the relevant new or modified measure and its conformity with criteria set out in in the A</w:t>
      </w:r>
      <w:r w:rsidR="00447C2D">
        <w:rPr>
          <w:lang w:eastAsia="en-AU"/>
        </w:rPr>
        <w:t xml:space="preserve">greement </w:t>
      </w:r>
      <w:r>
        <w:rPr>
          <w:lang w:eastAsia="en-AU"/>
        </w:rPr>
        <w:t>o</w:t>
      </w:r>
      <w:r w:rsidR="00447C2D">
        <w:rPr>
          <w:lang w:eastAsia="en-AU"/>
        </w:rPr>
        <w:t xml:space="preserve">n </w:t>
      </w:r>
      <w:r>
        <w:rPr>
          <w:lang w:eastAsia="en-AU"/>
        </w:rPr>
        <w:t>A</w:t>
      </w:r>
      <w:r w:rsidR="00447C2D">
        <w:rPr>
          <w:lang w:eastAsia="en-AU"/>
        </w:rPr>
        <w:t>griculture</w:t>
      </w:r>
      <w:r>
        <w:rPr>
          <w:lang w:eastAsia="en-AU"/>
        </w:rPr>
        <w:t xml:space="preserve"> (Article 18.3).</w:t>
      </w:r>
      <w:r>
        <w:rPr>
          <w:rStyle w:val="FootnoteReference"/>
          <w:lang w:eastAsia="en-AU"/>
        </w:rPr>
        <w:footnoteReference w:id="311"/>
      </w:r>
    </w:p>
    <w:p w14:paraId="5FE18611" w14:textId="77777777" w:rsidR="00324D3B" w:rsidRDefault="005C5D38" w:rsidP="00C44437">
      <w:pPr>
        <w:pStyle w:val="P1-N1Paragraph1-Number1"/>
      </w:pPr>
      <w:r>
        <w:t xml:space="preserve">Accordingly, </w:t>
      </w:r>
      <w:r w:rsidR="00324D3B" w:rsidRPr="00324D3B">
        <w:t xml:space="preserve">India is required to </w:t>
      </w:r>
      <w:r>
        <w:t xml:space="preserve">submit </w:t>
      </w:r>
      <w:r w:rsidRPr="00324D3B">
        <w:t>notif</w:t>
      </w:r>
      <w:r>
        <w:t>ications concerning its</w:t>
      </w:r>
      <w:r w:rsidRPr="00324D3B">
        <w:t xml:space="preserve"> </w:t>
      </w:r>
      <w:r w:rsidR="00324D3B" w:rsidRPr="00324D3B">
        <w:t>domestic support and export subsidies to the Members</w:t>
      </w:r>
      <w:r>
        <w:t>hip</w:t>
      </w:r>
      <w:r w:rsidR="00324D3B" w:rsidRPr="00324D3B">
        <w:t xml:space="preserve"> through </w:t>
      </w:r>
      <w:r>
        <w:t>the</w:t>
      </w:r>
      <w:r w:rsidRPr="00324D3B">
        <w:t xml:space="preserve"> </w:t>
      </w:r>
      <w:r w:rsidR="00324D3B" w:rsidRPr="00324D3B">
        <w:t xml:space="preserve">Committee on Agriculture.  </w:t>
      </w:r>
      <w:r w:rsidR="00C77A74">
        <w:t>Notifications are essential for ensuring transparency and enabling the Committee to monitor the implementation of Members' commitments effectively.</w:t>
      </w:r>
      <w:r w:rsidR="00C77A74">
        <w:rPr>
          <w:rStyle w:val="FootnoteReference"/>
        </w:rPr>
        <w:footnoteReference w:id="312"/>
      </w:r>
    </w:p>
    <w:p w14:paraId="69E1259F" w14:textId="6A7374A2" w:rsidR="00324D3B" w:rsidRDefault="00324D3B" w:rsidP="009D14F3">
      <w:pPr>
        <w:pStyle w:val="HL4HeadingLevel4"/>
        <w:keepLines w:val="0"/>
        <w:ind w:left="3403"/>
      </w:pPr>
      <w:bookmarkStart w:id="196" w:name="_Toc63966863"/>
      <w:r>
        <w:t xml:space="preserve">The Panel should reject India's </w:t>
      </w:r>
      <w:r w:rsidR="00EF3415">
        <w:t>mis</w:t>
      </w:r>
      <w:r>
        <w:t>interpretation of Article 18</w:t>
      </w:r>
      <w:r w:rsidR="002753D6">
        <w:t xml:space="preserve"> of the Agreement on Agriculture</w:t>
      </w:r>
      <w:bookmarkEnd w:id="196"/>
    </w:p>
    <w:p w14:paraId="7D6D30BB" w14:textId="77777777" w:rsidR="00953E16" w:rsidRDefault="002753D6" w:rsidP="00C77A74">
      <w:pPr>
        <w:pStyle w:val="P1-N1Paragraph1-Number1"/>
      </w:pPr>
      <w:r>
        <w:t>India claims that Article 18 of the Agreement on Agriculture does not place any obligations on Members</w:t>
      </w:r>
      <w:r w:rsidR="00953E16">
        <w:t>,</w:t>
      </w:r>
      <w:r>
        <w:t xml:space="preserve"> but </w:t>
      </w:r>
      <w:r w:rsidR="00953E16">
        <w:t>merely "</w:t>
      </w:r>
      <w:r>
        <w:t>vests the Committee on Agriculture with the discretion to determine the conduct of the review process…".</w:t>
      </w:r>
      <w:r>
        <w:rPr>
          <w:rStyle w:val="FootnoteReference"/>
        </w:rPr>
        <w:footnoteReference w:id="313"/>
      </w:r>
      <w:r>
        <w:t xml:space="preserve">  </w:t>
      </w:r>
    </w:p>
    <w:p w14:paraId="60F36C52" w14:textId="77777777" w:rsidR="00E6051B" w:rsidRDefault="00C77A74" w:rsidP="00C44437">
      <w:pPr>
        <w:pStyle w:val="P1-N1Paragraph1-Number1"/>
      </w:pPr>
      <w:r>
        <w:t xml:space="preserve">In making this argument, India </w:t>
      </w:r>
      <w:r w:rsidR="00953E16">
        <w:t xml:space="preserve">quite </w:t>
      </w:r>
      <w:r>
        <w:t>simply ignores the mandatory language</w:t>
      </w:r>
      <w:r w:rsidR="00953E16">
        <w:t xml:space="preserve"> and overall scheme</w:t>
      </w:r>
      <w:r>
        <w:t xml:space="preserve"> of Article 18</w:t>
      </w:r>
      <w:r w:rsidR="00953E16">
        <w:t xml:space="preserve">.  Contrary to India's assertion, the Committee's role is not to be determined as a matter of discretion.  Rather, the Committee </w:t>
      </w:r>
      <w:r w:rsidR="00953E16">
        <w:rPr>
          <w:u w:val="single"/>
        </w:rPr>
        <w:t>shall</w:t>
      </w:r>
      <w:r w:rsidR="00953E16">
        <w:t xml:space="preserve"> review Members' progress in the implementation of their commitments, and its review </w:t>
      </w:r>
      <w:r w:rsidR="00953E16">
        <w:rPr>
          <w:u w:val="single"/>
        </w:rPr>
        <w:t>shall</w:t>
      </w:r>
      <w:r w:rsidR="00953E16">
        <w:t xml:space="preserve"> be undertaken on the basis of notifications </w:t>
      </w:r>
      <w:r w:rsidR="00953E16">
        <w:rPr>
          <w:u w:val="single"/>
        </w:rPr>
        <w:t>to be submitted</w:t>
      </w:r>
      <w:r w:rsidR="00953E16">
        <w:t xml:space="preserve"> by Members.</w:t>
      </w:r>
      <w:r w:rsidR="00953E16">
        <w:rPr>
          <w:rStyle w:val="FootnoteReference"/>
        </w:rPr>
        <w:footnoteReference w:id="314"/>
      </w:r>
      <w:r w:rsidR="00953E16">
        <w:t xml:space="preserve">  If Members had no obligation to submit notifications, </w:t>
      </w:r>
      <w:r w:rsidR="0028066E">
        <w:t>the Committee would be unable to discharge its mandatory function.</w:t>
      </w:r>
    </w:p>
    <w:p w14:paraId="758F5F53" w14:textId="408D27C2" w:rsidR="00C77A74" w:rsidRDefault="002753D6" w:rsidP="00C77A74">
      <w:pPr>
        <w:pStyle w:val="P1-N1Paragraph1-Number1"/>
      </w:pPr>
      <w:r>
        <w:t>Further, India</w:t>
      </w:r>
      <w:r w:rsidR="0028066E">
        <w:t xml:space="preserve"> argues that Committee document G/AG/2, which sets out the notification requirements and formats under Article 18,</w:t>
      </w:r>
      <w:r w:rsidR="0028066E">
        <w:rPr>
          <w:rStyle w:val="FootnoteReference"/>
        </w:rPr>
        <w:footnoteReference w:id="315"/>
      </w:r>
      <w:r>
        <w:t xml:space="preserve"> </w:t>
      </w:r>
      <w:r w:rsidR="0028066E">
        <w:t>uses</w:t>
      </w:r>
      <w:r>
        <w:t xml:space="preserve"> </w:t>
      </w:r>
      <w:r w:rsidR="00483E8C">
        <w:t>"</w:t>
      </w:r>
      <w:r>
        <w:t>hortatory</w:t>
      </w:r>
      <w:r w:rsidR="00483E8C">
        <w:t>"</w:t>
      </w:r>
      <w:r>
        <w:t xml:space="preserve"> language that is "suggestive in nature and not a binding obligation."</w:t>
      </w:r>
      <w:r>
        <w:rPr>
          <w:rStyle w:val="FootnoteReference"/>
        </w:rPr>
        <w:footnoteReference w:id="316"/>
      </w:r>
      <w:r>
        <w:t xml:space="preserve">  </w:t>
      </w:r>
    </w:p>
    <w:p w14:paraId="1848F5AE" w14:textId="069FE105" w:rsidR="002753D6" w:rsidRDefault="0028066E" w:rsidP="00C44437">
      <w:pPr>
        <w:pStyle w:val="P1-N1Paragraph1-Number1"/>
      </w:pPr>
      <w:r>
        <w:t xml:space="preserve">India's argument is </w:t>
      </w:r>
      <w:r w:rsidR="00CB0F4E">
        <w:t>without merit</w:t>
      </w:r>
      <w:r>
        <w:t xml:space="preserve">.  </w:t>
      </w:r>
      <w:r w:rsidR="002753D6">
        <w:t>Australia re-iterates that G/AG/2 is not a treaty-level instrument.</w:t>
      </w:r>
      <w:r w:rsidR="00483E8C">
        <w:t xml:space="preserve">  The document does </w:t>
      </w:r>
      <w:r w:rsidR="00483E8C" w:rsidRPr="005852FA">
        <w:rPr>
          <w:u w:val="single"/>
        </w:rPr>
        <w:t>not</w:t>
      </w:r>
      <w:r w:rsidR="00483E8C">
        <w:t xml:space="preserve"> modify Members' obligations under Article 18.</w:t>
      </w:r>
      <w:r w:rsidR="002753D6">
        <w:t xml:space="preserve">  Australia is not bringing a claim under G/AG/2.  It is bringing a claim under Article 18.</w:t>
      </w:r>
      <w:r w:rsidR="002753D6">
        <w:rPr>
          <w:rStyle w:val="FootnoteReference"/>
        </w:rPr>
        <w:footnoteReference w:id="317"/>
      </w:r>
    </w:p>
    <w:p w14:paraId="4205D7DF" w14:textId="77777777" w:rsidR="002753D6" w:rsidRDefault="00FE1A3F" w:rsidP="00C44437">
      <w:pPr>
        <w:pStyle w:val="P1-N1Paragraph1-Number1"/>
      </w:pPr>
      <w:r w:rsidRPr="00FE1A3F">
        <w:t>For the foregoing reasons, Australia submits that the Panel should reject India's argument that Article 18 does not impose binding obligations on Members.</w:t>
      </w:r>
    </w:p>
    <w:p w14:paraId="753760AC" w14:textId="77777777" w:rsidR="00FE1A3F" w:rsidRDefault="00FE1A3F" w:rsidP="000C7E34">
      <w:pPr>
        <w:pStyle w:val="HL3HeadingLevel3"/>
        <w:keepLines w:val="0"/>
        <w:ind w:left="2552"/>
      </w:pPr>
      <w:bookmarkStart w:id="197" w:name="_Toc63966864"/>
      <w:r>
        <w:t>SCM Agreement</w:t>
      </w:r>
      <w:bookmarkEnd w:id="197"/>
    </w:p>
    <w:p w14:paraId="68849E71" w14:textId="33601B26" w:rsidR="00FE1A3F" w:rsidRDefault="00FE1A3F" w:rsidP="00C44437">
      <w:pPr>
        <w:pStyle w:val="P1-N1Paragraph1-Number1"/>
      </w:pPr>
      <w:r>
        <w:t>Article 25 of the SCM Agreement requires India to notify the Members of subsidies falling within Article 1.1, which are specific within the meaning of Article 2, that India grants or maintains within its territory.</w:t>
      </w:r>
      <w:r>
        <w:rPr>
          <w:rStyle w:val="FootnoteReference"/>
        </w:rPr>
        <w:footnoteReference w:id="318"/>
      </w:r>
    </w:p>
    <w:p w14:paraId="42BF4DE9" w14:textId="77777777" w:rsidR="00FE1A3F" w:rsidRDefault="00FE1A3F" w:rsidP="00C44437">
      <w:pPr>
        <w:pStyle w:val="P1-N1Paragraph1-Number1"/>
      </w:pPr>
      <w:r>
        <w:t>India does not dispute that Article 25 imposes mandatory notification obligations.</w:t>
      </w:r>
      <w:r>
        <w:rPr>
          <w:rStyle w:val="FootnoteReference"/>
        </w:rPr>
        <w:footnoteReference w:id="319"/>
      </w:r>
    </w:p>
    <w:p w14:paraId="401CBCF6" w14:textId="77777777" w:rsidR="00FE1A3F" w:rsidRDefault="00FE1A3F" w:rsidP="000C7E34">
      <w:pPr>
        <w:pStyle w:val="HL3HeadingLevel3"/>
        <w:keepLines w:val="0"/>
        <w:ind w:left="2552"/>
      </w:pPr>
      <w:bookmarkStart w:id="198" w:name="_Toc63966865"/>
      <w:r>
        <w:t>GATT 1994</w:t>
      </w:r>
      <w:bookmarkEnd w:id="198"/>
    </w:p>
    <w:p w14:paraId="2989F0A0" w14:textId="77777777" w:rsidR="00FE1A3F" w:rsidRPr="00FE1A3F" w:rsidRDefault="00FE1A3F" w:rsidP="00C44437">
      <w:pPr>
        <w:pStyle w:val="P1-N1Paragraph1-Number1"/>
      </w:pPr>
      <w:r w:rsidRPr="007A59D5">
        <w:t>Australia recalls th</w:t>
      </w:r>
      <w:r>
        <w:t>at India is obliged under Article XVI:1 of the</w:t>
      </w:r>
      <w:r w:rsidRPr="007A59D5">
        <w:t xml:space="preserve"> GATT </w:t>
      </w:r>
      <w:r>
        <w:t>1994 to notify other</w:t>
      </w:r>
      <w:r w:rsidRPr="007A59D5">
        <w:t xml:space="preserve"> Members </w:t>
      </w:r>
      <w:r>
        <w:t>of the extent, nature and estimated effects on trade, of any subsidy it grants or maintains, including income or price support, which operates directly or indirectly to increase exports of any product from its territory</w:t>
      </w:r>
      <w:r w:rsidRPr="004A0E37">
        <w:rPr>
          <w:rFonts w:asciiTheme="minorHAnsi" w:hAnsiTheme="minorHAnsi" w:cstheme="minorHAnsi"/>
        </w:rPr>
        <w:t>.</w:t>
      </w:r>
      <w:r>
        <w:rPr>
          <w:rStyle w:val="FootnoteReference"/>
          <w:rFonts w:cstheme="minorHAnsi"/>
        </w:rPr>
        <w:footnoteReference w:id="320"/>
      </w:r>
    </w:p>
    <w:p w14:paraId="2BE0FA00" w14:textId="77777777" w:rsidR="00FE1A3F" w:rsidRDefault="00FE1A3F" w:rsidP="00C44437">
      <w:pPr>
        <w:pStyle w:val="P1-N1Paragraph1-Number1"/>
      </w:pPr>
      <w:r>
        <w:t>India also does not dispute that Article XVI imposes mandatory notification obligations.</w:t>
      </w:r>
      <w:r>
        <w:rPr>
          <w:rStyle w:val="FootnoteReference"/>
        </w:rPr>
        <w:footnoteReference w:id="321"/>
      </w:r>
      <w:r>
        <w:t xml:space="preserve"> </w:t>
      </w:r>
    </w:p>
    <w:p w14:paraId="70E39D9A" w14:textId="1CAE083D" w:rsidR="00FE1A3F" w:rsidRDefault="00FE1A3F" w:rsidP="00255500">
      <w:pPr>
        <w:pStyle w:val="HL2HeadingLevel2"/>
        <w:keepLines w:val="0"/>
      </w:pPr>
      <w:bookmarkStart w:id="199" w:name="_Toc63966866"/>
      <w:r w:rsidRPr="00FE1A3F">
        <w:t>I</w:t>
      </w:r>
      <w:r w:rsidR="003F1C3F">
        <w:t>ndia has breached its notification obligations by failing to notify its domestic support in favour of sugarcane producers and its export subsidies for sugar</w:t>
      </w:r>
      <w:bookmarkEnd w:id="199"/>
    </w:p>
    <w:p w14:paraId="67220159" w14:textId="53BA72AE" w:rsidR="00FE1A3F" w:rsidRPr="00FE1A3F" w:rsidRDefault="00FE1A3F" w:rsidP="00C44437">
      <w:pPr>
        <w:pStyle w:val="P1-N1Paragraph1-Number1"/>
      </w:pPr>
      <w:r>
        <w:t xml:space="preserve">India last notified its domestic support </w:t>
      </w:r>
      <w:r w:rsidR="00B01FDC">
        <w:t>to</w:t>
      </w:r>
      <w:r>
        <w:t xml:space="preserve"> sugarcane in its 1995–96 notification to the Committee on Agriculture.</w:t>
      </w:r>
      <w:r>
        <w:rPr>
          <w:rStyle w:val="FootnoteReference"/>
        </w:rPr>
        <w:footnoteReference w:id="322"/>
      </w:r>
      <w:r>
        <w:t xml:space="preserve">  India's most</w:t>
      </w:r>
      <w:r w:rsidR="002047B3">
        <w:t xml:space="preserve"> </w:t>
      </w:r>
      <w:r>
        <w:t xml:space="preserve">recent notification of its export subsidies for sugar was in </w:t>
      </w:r>
      <w:r w:rsidRPr="00250176">
        <w:t>2009–10, which covered the marketing years 2004–05 to 2009–10</w:t>
      </w:r>
      <w:r>
        <w:t>.</w:t>
      </w:r>
      <w:r>
        <w:rPr>
          <w:rStyle w:val="FootnoteReference"/>
        </w:rPr>
        <w:footnoteReference w:id="323"/>
      </w:r>
      <w:r>
        <w:t xml:space="preserve">  India does not dispute these facts.  Thus, </w:t>
      </w:r>
      <w:r w:rsidRPr="002141F5">
        <w:t xml:space="preserve">India has not met its </w:t>
      </w:r>
      <w:r>
        <w:t xml:space="preserve">legal </w:t>
      </w:r>
      <w:r w:rsidRPr="002141F5">
        <w:t xml:space="preserve">obligations to notify the Membership </w:t>
      </w:r>
      <w:r>
        <w:t xml:space="preserve">of </w:t>
      </w:r>
      <w:r w:rsidRPr="002141F5">
        <w:t>its domestic support to sugarcane and its export subsidies for sugar</w:t>
      </w:r>
      <w:r>
        <w:t>.  Australia asks that the Panel find accordingly.</w:t>
      </w:r>
    </w:p>
    <w:p w14:paraId="1E9A9C75" w14:textId="77777777" w:rsidR="000A3EED" w:rsidRDefault="000A3EED" w:rsidP="000C7E34">
      <w:pPr>
        <w:pStyle w:val="HL1HeadingLevel1"/>
        <w:keepLines w:val="0"/>
      </w:pPr>
      <w:bookmarkStart w:id="200" w:name="_Toc63966867"/>
      <w:r>
        <w:t>CONCLUSION</w:t>
      </w:r>
      <w:bookmarkEnd w:id="200"/>
    </w:p>
    <w:p w14:paraId="2C710846" w14:textId="77777777" w:rsidR="000A3EED" w:rsidRDefault="004E7056" w:rsidP="00B01FDC">
      <w:pPr>
        <w:pStyle w:val="P1-N1Paragraph1-Number1"/>
        <w:keepNext/>
      </w:pPr>
      <w:bookmarkStart w:id="201" w:name="_Ref63357419"/>
      <w:r>
        <w:t>For the reasons outlined in this submission, and in Australia's prior submissions, Australia requests that the Panel make the following findings:</w:t>
      </w:r>
      <w:bookmarkEnd w:id="201"/>
      <w:r w:rsidR="00166E3C" w:rsidRPr="00166E3C">
        <w:t xml:space="preserve"> </w:t>
      </w:r>
    </w:p>
    <w:p w14:paraId="0757421F" w14:textId="4F1E286D" w:rsidR="004E7056" w:rsidRDefault="004E7056" w:rsidP="00C44437">
      <w:pPr>
        <w:pStyle w:val="P2-B1Paragraph2-Bullet1"/>
      </w:pPr>
      <w:r w:rsidRPr="004E7056">
        <w:t xml:space="preserve">Through its market price support and other non-exempt </w:t>
      </w:r>
      <w:r w:rsidR="00AD77F0">
        <w:t>domestic support</w:t>
      </w:r>
      <w:r w:rsidRPr="004E7056">
        <w:t xml:space="preserve">, India </w:t>
      </w:r>
      <w:r w:rsidR="00252548">
        <w:t>maintains</w:t>
      </w:r>
      <w:r w:rsidRPr="004E7056">
        <w:t xml:space="preserve"> domestic support for sugarcane</w:t>
      </w:r>
      <w:r w:rsidR="00B73C73">
        <w:t xml:space="preserve"> producers</w:t>
      </w:r>
      <w:r w:rsidRPr="004E7056">
        <w:t xml:space="preserve"> that exceeds the </w:t>
      </w:r>
      <w:r w:rsidRPr="004E7056">
        <w:rPr>
          <w:i/>
          <w:iCs/>
        </w:rPr>
        <w:t>de minimis</w:t>
      </w:r>
      <w:r w:rsidRPr="004E7056">
        <w:t xml:space="preserve"> level of 10 per cent of the value of production </w:t>
      </w:r>
      <w:r w:rsidR="00B73C73">
        <w:t xml:space="preserve">of sugarcane </w:t>
      </w:r>
      <w:r w:rsidRPr="004E7056">
        <w:t>contrary to India's obligation under Article 7.2(b) of the Agreement on Agriculture</w:t>
      </w:r>
      <w:r>
        <w:t>.</w:t>
      </w:r>
    </w:p>
    <w:p w14:paraId="399046D3" w14:textId="6161C776" w:rsidR="004E7056" w:rsidRDefault="004E7056" w:rsidP="000C7E34">
      <w:pPr>
        <w:pStyle w:val="P2-B1Paragraph2-Bullet1"/>
      </w:pPr>
      <w:r>
        <w:t>India’s production and buffer stock subsidies operating in conjunction with the MIEQ orders</w:t>
      </w:r>
      <w:r w:rsidR="00D907DD">
        <w:t>,</w:t>
      </w:r>
      <w:r>
        <w:t xml:space="preserve"> MAEQ</w:t>
      </w:r>
      <w:r w:rsidR="00D907DD">
        <w:t xml:space="preserve"> </w:t>
      </w:r>
      <w:r>
        <w:t>s</w:t>
      </w:r>
      <w:r w:rsidR="00D907DD">
        <w:t xml:space="preserve">cheme </w:t>
      </w:r>
      <w:r>
        <w:t>and DFIA scheme:</w:t>
      </w:r>
    </w:p>
    <w:p w14:paraId="6EF9E2E4" w14:textId="77777777" w:rsidR="004E7056" w:rsidRDefault="004E7056" w:rsidP="00C44437">
      <w:pPr>
        <w:pStyle w:val="P3-B2Paragraph3-Bullet2"/>
      </w:pPr>
      <w:r>
        <w:t>constitute export subsidies within the meaning of Article 9.1(a) of the Agreement on Agriculture, and are therefore inconsistent with India’s obligations under Articles 3.3 and 8 of the Agreement on Agriculture, or, in the alternative Articles 8 and 10.1; and</w:t>
      </w:r>
    </w:p>
    <w:p w14:paraId="038247A8" w14:textId="77777777" w:rsidR="004E7056" w:rsidRDefault="004E7056" w:rsidP="00C44437">
      <w:pPr>
        <w:pStyle w:val="P3-B2Paragraph3-Bullet2"/>
      </w:pPr>
      <w:r>
        <w:t>constitute prohibited export subsidies that are inconsistent with India’s obligations under Articles 3.1(a) and 3.2 of the SCM Agreement.</w:t>
      </w:r>
    </w:p>
    <w:p w14:paraId="3803B134" w14:textId="77777777" w:rsidR="004E7056" w:rsidRDefault="004E7056" w:rsidP="00C44437">
      <w:pPr>
        <w:pStyle w:val="P2-B1Paragraph2-Bullet1"/>
      </w:pPr>
      <w:r>
        <w:t xml:space="preserve">By failing to notify any of its annual domestic support for sugarcane and sugar subsequent to 1995–96 or to submit an export subsidy notification since 2009–10, India has acted inconsistently with its obligations under Articles 18.2 and 18.3 of the Agreement on Agriculture and Article 25 of the SCM Agreement, or, in the alternative, Article XVI:1 of the GATT 1994. </w:t>
      </w:r>
    </w:p>
    <w:p w14:paraId="433A9FA2" w14:textId="17962B76" w:rsidR="00B46002" w:rsidRDefault="004E7056" w:rsidP="00A30823">
      <w:pPr>
        <w:pStyle w:val="P1-N1Paragraph1-Number1"/>
        <w:sectPr w:rsidR="00B46002" w:rsidSect="008F5B14">
          <w:headerReference w:type="default" r:id="rId8"/>
          <w:footerReference w:type="default" r:id="rId9"/>
          <w:pgSz w:w="11906" w:h="16838" w:code="9"/>
          <w:pgMar w:top="1418" w:right="1418" w:bottom="1418" w:left="1418" w:header="567" w:footer="567" w:gutter="0"/>
          <w:cols w:space="708"/>
          <w:titlePg/>
          <w:docGrid w:linePitch="360"/>
        </w:sectPr>
      </w:pPr>
      <w:r>
        <w:t xml:space="preserve">Pursuant to Article 19.1 of the </w:t>
      </w:r>
      <w:r w:rsidRPr="0067489C">
        <w:t>U</w:t>
      </w:r>
      <w:r w:rsidR="002D019F">
        <w:t>nderstanding on Rules and Procedures Governing the Settlement of Disputes</w:t>
      </w:r>
      <w:r>
        <w:t xml:space="preserve">, Australia requests the Panel to recommend that India bring its measures into conformity with the covered agreements mentioned </w:t>
      </w:r>
      <w:r w:rsidR="00CB0F4E">
        <w:t>above</w:t>
      </w:r>
      <w:r>
        <w:t>.</w:t>
      </w:r>
      <w:r w:rsidR="00D8368A">
        <w:t xml:space="preserve"> </w:t>
      </w:r>
      <w:r>
        <w:t xml:space="preserve"> In relation to the export subsidies prohibited by Article 3</w:t>
      </w:r>
      <w:r w:rsidR="00FA4E65">
        <w:t>.1(a)</w:t>
      </w:r>
      <w:r>
        <w:t xml:space="preserve"> of the SCM</w:t>
      </w:r>
      <w:r w:rsidR="00C2299E">
        <w:t> </w:t>
      </w:r>
      <w:r>
        <w:t>Agreement, Australia further requests that the Panel, consistent</w:t>
      </w:r>
      <w:r w:rsidR="00CB0F4E">
        <w:t>ly</w:t>
      </w:r>
      <w:r>
        <w:t xml:space="preserve"> with Article 4.7 of the SCM Agreement, recommend India withdraw those measures without delay and within a time-period specified by the Panel.</w:t>
      </w:r>
      <w:r w:rsidR="00D52A17" w:rsidRPr="0007327B">
        <w:br w:type="page"/>
      </w:r>
    </w:p>
    <w:p w14:paraId="3B0AF48D" w14:textId="48BCA5AC" w:rsidR="00D52A17" w:rsidRPr="0007327B" w:rsidRDefault="00B46002" w:rsidP="00D52A17">
      <w:pPr>
        <w:pStyle w:val="AHL1AnnexHeadingLevel1"/>
      </w:pPr>
      <w:bookmarkStart w:id="202" w:name="_Toc63966868"/>
      <w:r w:rsidRPr="00B46002">
        <w:t>Revised Tables 10, 12, 13, 15, 18, 22, 23 and 24 of Australia's First Written Submission</w:t>
      </w:r>
      <w:r w:rsidR="00AD6F65">
        <w:rPr>
          <w:rStyle w:val="FootnoteReference"/>
        </w:rPr>
        <w:footnoteReference w:id="324"/>
      </w:r>
      <w:bookmarkEnd w:id="202"/>
      <w:r w:rsidRPr="00B46002">
        <w:t xml:space="preserve"> </w:t>
      </w:r>
    </w:p>
    <w:p w14:paraId="2E549D57" w14:textId="77777777" w:rsidR="00B46002" w:rsidRPr="002E64DB" w:rsidRDefault="00B46002" w:rsidP="00B46002">
      <w:pPr>
        <w:pStyle w:val="THTableHeading"/>
        <w:jc w:val="center"/>
        <w:rPr>
          <w:rFonts w:cstheme="minorHAnsi"/>
        </w:rPr>
      </w:pPr>
      <w:r w:rsidRPr="5EC6AFD6">
        <w:t xml:space="preserve">TABLE 10 </w:t>
      </w:r>
      <w:r w:rsidRPr="00D532B1">
        <w:t xml:space="preserve">(Revised) </w:t>
      </w:r>
      <w:r w:rsidRPr="5EC6AFD6">
        <w:t>– Market Price Support calculation with base FRP as AAP</w:t>
      </w:r>
      <w:r w:rsidRPr="5EC6AFD6">
        <w:rPr>
          <w:rStyle w:val="FootnoteReference"/>
          <w:bCs/>
        </w:rPr>
        <w:footnoteReference w:id="325"/>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286"/>
        <w:gridCol w:w="1733"/>
        <w:gridCol w:w="1583"/>
        <w:gridCol w:w="1533"/>
        <w:gridCol w:w="2137"/>
        <w:gridCol w:w="1991"/>
        <w:gridCol w:w="1991"/>
      </w:tblGrid>
      <w:tr w:rsidR="00B46002" w:rsidRPr="00774869" w14:paraId="1220B6A5" w14:textId="77777777" w:rsidTr="00CD4BBD">
        <w:tc>
          <w:tcPr>
            <w:tcW w:w="556" w:type="pct"/>
            <w:vAlign w:val="center"/>
          </w:tcPr>
          <w:p w14:paraId="7F24DD75"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p>
        </w:tc>
        <w:tc>
          <w:tcPr>
            <w:tcW w:w="466" w:type="pct"/>
            <w:vAlign w:val="center"/>
          </w:tcPr>
          <w:p w14:paraId="4450BCF3"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r w:rsidRPr="00774869">
              <w:rPr>
                <w:rFonts w:asciiTheme="minorHAnsi" w:hAnsiTheme="minorHAnsi" w:cstheme="minorHAnsi"/>
                <w:b/>
              </w:rPr>
              <w:t>AAP</w:t>
            </w:r>
          </w:p>
          <w:p w14:paraId="686DA266"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r w:rsidRPr="00774869">
              <w:rPr>
                <w:rFonts w:asciiTheme="minorHAnsi" w:hAnsiTheme="minorHAnsi" w:cstheme="minorHAnsi"/>
                <w:b/>
              </w:rPr>
              <w:t xml:space="preserve">(Base FRP) </w:t>
            </w:r>
          </w:p>
        </w:tc>
        <w:tc>
          <w:tcPr>
            <w:tcW w:w="628" w:type="pct"/>
            <w:vAlign w:val="center"/>
          </w:tcPr>
          <w:p w14:paraId="50FC0104"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r w:rsidRPr="00774869">
              <w:rPr>
                <w:rFonts w:asciiTheme="minorHAnsi" w:hAnsiTheme="minorHAnsi" w:cstheme="minorHAnsi"/>
                <w:b/>
              </w:rPr>
              <w:t>FERP</w:t>
            </w:r>
          </w:p>
          <w:p w14:paraId="6EBFC7BF"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r w:rsidRPr="00774869">
              <w:rPr>
                <w:rFonts w:asciiTheme="minorHAnsi" w:hAnsiTheme="minorHAnsi" w:cstheme="minorHAnsi"/>
                <w:b/>
              </w:rPr>
              <w:t xml:space="preserve">(adjusted for average quality) </w:t>
            </w:r>
          </w:p>
        </w:tc>
        <w:tc>
          <w:tcPr>
            <w:tcW w:w="574" w:type="pct"/>
            <w:vAlign w:val="center"/>
          </w:tcPr>
          <w:p w14:paraId="4E5EEDA9"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r w:rsidRPr="00774869">
              <w:rPr>
                <w:rFonts w:asciiTheme="minorHAnsi" w:hAnsiTheme="minorHAnsi" w:cstheme="minorHAnsi"/>
                <w:b/>
              </w:rPr>
              <w:t xml:space="preserve">Price "gap" </w:t>
            </w:r>
          </w:p>
        </w:tc>
        <w:tc>
          <w:tcPr>
            <w:tcW w:w="556" w:type="pct"/>
            <w:vAlign w:val="center"/>
          </w:tcPr>
          <w:p w14:paraId="2AD04F3A"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r w:rsidRPr="00774869">
              <w:rPr>
                <w:rFonts w:asciiTheme="minorHAnsi" w:hAnsiTheme="minorHAnsi" w:cstheme="minorHAnsi"/>
                <w:b/>
              </w:rPr>
              <w:t xml:space="preserve">Quantity of eligible production </w:t>
            </w:r>
          </w:p>
        </w:tc>
        <w:tc>
          <w:tcPr>
            <w:tcW w:w="775" w:type="pct"/>
            <w:vAlign w:val="center"/>
          </w:tcPr>
          <w:p w14:paraId="147C2DF4"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r w:rsidRPr="00774869">
              <w:rPr>
                <w:rFonts w:asciiTheme="minorHAnsi" w:hAnsiTheme="minorHAnsi" w:cstheme="minorHAnsi"/>
                <w:b/>
              </w:rPr>
              <w:t>MPS</w:t>
            </w:r>
          </w:p>
          <w:p w14:paraId="7AFBA0DC"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p>
        </w:tc>
        <w:tc>
          <w:tcPr>
            <w:tcW w:w="722" w:type="pct"/>
            <w:vAlign w:val="center"/>
          </w:tcPr>
          <w:p w14:paraId="2257131B"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r w:rsidRPr="00774869">
              <w:rPr>
                <w:rFonts w:asciiTheme="minorHAnsi" w:hAnsiTheme="minorHAnsi" w:cstheme="minorHAnsi"/>
                <w:b/>
              </w:rPr>
              <w:t>Total value of sugarcane production</w:t>
            </w:r>
          </w:p>
          <w:p w14:paraId="0184BDF7"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p>
        </w:tc>
        <w:tc>
          <w:tcPr>
            <w:tcW w:w="722" w:type="pct"/>
            <w:vAlign w:val="center"/>
          </w:tcPr>
          <w:p w14:paraId="5C786753"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b/>
              </w:rPr>
            </w:pPr>
            <w:r w:rsidRPr="00774869">
              <w:rPr>
                <w:rFonts w:asciiTheme="minorHAnsi" w:hAnsiTheme="minorHAnsi" w:cstheme="minorHAnsi"/>
                <w:b/>
              </w:rPr>
              <w:t>% of value of sugarcane production</w:t>
            </w:r>
          </w:p>
        </w:tc>
      </w:tr>
      <w:tr w:rsidR="00B46002" w:rsidRPr="00774869" w14:paraId="2B606E3A" w14:textId="77777777" w:rsidTr="00CD4BBD">
        <w:tc>
          <w:tcPr>
            <w:tcW w:w="556" w:type="pct"/>
          </w:tcPr>
          <w:p w14:paraId="0C0B8E91" w14:textId="77777777" w:rsidR="00B46002" w:rsidRPr="00774869" w:rsidRDefault="00B46002" w:rsidP="00CD4BBD">
            <w:pPr>
              <w:pStyle w:val="ListParagraph"/>
              <w:keepNext/>
              <w:keepLines/>
              <w:spacing w:after="0" w:line="276" w:lineRule="auto"/>
              <w:ind w:left="0"/>
              <w:rPr>
                <w:rFonts w:asciiTheme="minorHAnsi" w:hAnsiTheme="minorHAnsi" w:cstheme="minorHAnsi"/>
                <w:b/>
              </w:rPr>
            </w:pPr>
          </w:p>
        </w:tc>
        <w:tc>
          <w:tcPr>
            <w:tcW w:w="466" w:type="pct"/>
          </w:tcPr>
          <w:p w14:paraId="3269141D"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b/>
              </w:rPr>
              <w:t>(INR per mT)</w:t>
            </w:r>
          </w:p>
        </w:tc>
        <w:tc>
          <w:tcPr>
            <w:tcW w:w="628" w:type="pct"/>
          </w:tcPr>
          <w:p w14:paraId="0435624C"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b/>
              </w:rPr>
              <w:t>(INR per mT)</w:t>
            </w:r>
          </w:p>
        </w:tc>
        <w:tc>
          <w:tcPr>
            <w:tcW w:w="574" w:type="pct"/>
          </w:tcPr>
          <w:p w14:paraId="0F08B536"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b/>
              </w:rPr>
              <w:t>(INR per mT)</w:t>
            </w:r>
          </w:p>
        </w:tc>
        <w:tc>
          <w:tcPr>
            <w:tcW w:w="556" w:type="pct"/>
          </w:tcPr>
          <w:p w14:paraId="5C1C838D"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b/>
              </w:rPr>
              <w:t>(mT)</w:t>
            </w:r>
          </w:p>
        </w:tc>
        <w:tc>
          <w:tcPr>
            <w:tcW w:w="775" w:type="pct"/>
          </w:tcPr>
          <w:p w14:paraId="4CEF9522"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b/>
              </w:rPr>
              <w:t>(INR millions)</w:t>
            </w:r>
          </w:p>
        </w:tc>
        <w:tc>
          <w:tcPr>
            <w:tcW w:w="722" w:type="pct"/>
          </w:tcPr>
          <w:p w14:paraId="1E391C2F"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b/>
              </w:rPr>
              <w:t>(INR millions)</w:t>
            </w:r>
          </w:p>
        </w:tc>
        <w:tc>
          <w:tcPr>
            <w:tcW w:w="722" w:type="pct"/>
          </w:tcPr>
          <w:p w14:paraId="0FFB00F5"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p>
        </w:tc>
      </w:tr>
      <w:tr w:rsidR="00B46002" w:rsidRPr="00774869" w14:paraId="4026D350" w14:textId="77777777" w:rsidTr="00CD4BBD">
        <w:tc>
          <w:tcPr>
            <w:tcW w:w="556" w:type="pct"/>
          </w:tcPr>
          <w:p w14:paraId="2D717BE4" w14:textId="77777777" w:rsidR="00B46002" w:rsidRPr="00774869" w:rsidRDefault="00B46002" w:rsidP="00CD4BBD">
            <w:pPr>
              <w:pStyle w:val="ListParagraph"/>
              <w:keepNext/>
              <w:keepLines/>
              <w:spacing w:after="0" w:line="276" w:lineRule="auto"/>
              <w:ind w:left="0"/>
              <w:rPr>
                <w:rFonts w:asciiTheme="minorHAnsi" w:hAnsiTheme="minorHAnsi" w:cstheme="minorHAnsi"/>
              </w:rPr>
            </w:pPr>
            <w:r w:rsidRPr="00774869">
              <w:rPr>
                <w:rFonts w:asciiTheme="minorHAnsi" w:hAnsiTheme="minorHAnsi" w:cstheme="minorHAnsi"/>
                <w:b/>
              </w:rPr>
              <w:t>Sugar season / MY</w:t>
            </w:r>
          </w:p>
        </w:tc>
        <w:tc>
          <w:tcPr>
            <w:tcW w:w="466" w:type="pct"/>
          </w:tcPr>
          <w:p w14:paraId="75AAA4FA"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C1</w:t>
            </w:r>
          </w:p>
        </w:tc>
        <w:tc>
          <w:tcPr>
            <w:tcW w:w="628" w:type="pct"/>
          </w:tcPr>
          <w:p w14:paraId="2E881224"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C2</w:t>
            </w:r>
          </w:p>
        </w:tc>
        <w:tc>
          <w:tcPr>
            <w:tcW w:w="574" w:type="pct"/>
          </w:tcPr>
          <w:p w14:paraId="352CCAB7"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 xml:space="preserve">C3 </w:t>
            </w:r>
          </w:p>
          <w:p w14:paraId="1269ADF1"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(C1–C2)</w:t>
            </w:r>
          </w:p>
        </w:tc>
        <w:tc>
          <w:tcPr>
            <w:tcW w:w="556" w:type="pct"/>
          </w:tcPr>
          <w:p w14:paraId="7B42B9C2"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C4</w:t>
            </w:r>
          </w:p>
        </w:tc>
        <w:tc>
          <w:tcPr>
            <w:tcW w:w="775" w:type="pct"/>
          </w:tcPr>
          <w:p w14:paraId="49DD450E"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 xml:space="preserve">C5 </w:t>
            </w:r>
          </w:p>
          <w:p w14:paraId="48AF1469"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(C3 * C4)</w:t>
            </w:r>
          </w:p>
        </w:tc>
        <w:tc>
          <w:tcPr>
            <w:tcW w:w="722" w:type="pct"/>
          </w:tcPr>
          <w:p w14:paraId="7FAED050"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 xml:space="preserve">C6 </w:t>
            </w:r>
          </w:p>
        </w:tc>
        <w:tc>
          <w:tcPr>
            <w:tcW w:w="722" w:type="pct"/>
          </w:tcPr>
          <w:p w14:paraId="707A9AE6"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 xml:space="preserve"> C7 </w:t>
            </w:r>
          </w:p>
          <w:p w14:paraId="2A9563EA" w14:textId="77777777" w:rsidR="00B46002" w:rsidRPr="00774869" w:rsidRDefault="00B46002" w:rsidP="00CD4BBD">
            <w:pPr>
              <w:pStyle w:val="ListParagraph"/>
              <w:keepNext/>
              <w:keepLines/>
              <w:spacing w:after="0" w:line="276" w:lineRule="auto"/>
              <w:ind w:left="0"/>
              <w:jc w:val="center"/>
              <w:rPr>
                <w:rFonts w:asciiTheme="minorHAnsi" w:hAnsiTheme="minorHAnsi" w:cstheme="minorHAnsi"/>
              </w:rPr>
            </w:pPr>
            <w:r w:rsidRPr="00774869">
              <w:rPr>
                <w:rFonts w:asciiTheme="minorHAnsi" w:hAnsiTheme="minorHAnsi" w:cstheme="minorHAnsi"/>
              </w:rPr>
              <w:t>(C5 / C6 * 100%)</w:t>
            </w:r>
          </w:p>
        </w:tc>
      </w:tr>
      <w:tr w:rsidR="00B46002" w:rsidRPr="00774869" w14:paraId="52B59668" w14:textId="77777777" w:rsidTr="00CD4BBD">
        <w:tc>
          <w:tcPr>
            <w:tcW w:w="556" w:type="pct"/>
          </w:tcPr>
          <w:p w14:paraId="2C856C98" w14:textId="77777777" w:rsidR="00B46002" w:rsidRPr="00774869" w:rsidRDefault="00B46002" w:rsidP="00CD4BBD">
            <w:pPr>
              <w:pStyle w:val="ListParagraph"/>
              <w:keepNext/>
              <w:keepLines/>
              <w:spacing w:after="0"/>
              <w:ind w:left="0"/>
              <w:rPr>
                <w:rFonts w:asciiTheme="minorHAnsi" w:hAnsiTheme="minorHAnsi" w:cstheme="minorHAnsi"/>
                <w:b/>
              </w:rPr>
            </w:pPr>
            <w:r w:rsidRPr="00774869">
              <w:rPr>
                <w:rFonts w:asciiTheme="minorHAnsi" w:hAnsiTheme="minorHAnsi" w:cstheme="minorHAnsi"/>
                <w:b/>
              </w:rPr>
              <w:t>2014–15</w:t>
            </w:r>
          </w:p>
        </w:tc>
        <w:tc>
          <w:tcPr>
            <w:tcW w:w="466" w:type="pct"/>
            <w:vAlign w:val="bottom"/>
          </w:tcPr>
          <w:p w14:paraId="15A3D678"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2200.00</w:t>
            </w:r>
          </w:p>
        </w:tc>
        <w:tc>
          <w:tcPr>
            <w:tcW w:w="628" w:type="pct"/>
            <w:vAlign w:val="bottom"/>
          </w:tcPr>
          <w:p w14:paraId="49676580"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174.46</w:t>
            </w:r>
          </w:p>
        </w:tc>
        <w:tc>
          <w:tcPr>
            <w:tcW w:w="574" w:type="pct"/>
            <w:vAlign w:val="bottom"/>
          </w:tcPr>
          <w:p w14:paraId="1EADCA46"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2025.54</w:t>
            </w:r>
          </w:p>
        </w:tc>
        <w:tc>
          <w:tcPr>
            <w:tcW w:w="556" w:type="pct"/>
            <w:vAlign w:val="bottom"/>
          </w:tcPr>
          <w:p w14:paraId="0C35B30E"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362.330</w:t>
            </w:r>
          </w:p>
        </w:tc>
        <w:tc>
          <w:tcPr>
            <w:tcW w:w="775" w:type="pct"/>
            <w:vAlign w:val="bottom"/>
          </w:tcPr>
          <w:p w14:paraId="0322C87A"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 xml:space="preserve">733,915.32 </w:t>
            </w:r>
          </w:p>
        </w:tc>
        <w:tc>
          <w:tcPr>
            <w:tcW w:w="722" w:type="pct"/>
            <w:vAlign w:val="center"/>
          </w:tcPr>
          <w:p w14:paraId="6871A01F" w14:textId="77777777" w:rsidR="00B46002" w:rsidRPr="00774869" w:rsidRDefault="00B46002" w:rsidP="00CD4BBD">
            <w:pPr>
              <w:keepNext/>
              <w:keepLines/>
              <w:spacing w:after="0"/>
              <w:contextualSpacing/>
              <w:jc w:val="right"/>
              <w:rPr>
                <w:rFonts w:asciiTheme="minorHAnsi" w:hAnsiTheme="minorHAnsi" w:cstheme="minorHAnsi"/>
                <w:color w:val="000000"/>
              </w:rPr>
            </w:pPr>
            <w:r w:rsidRPr="00774869">
              <w:rPr>
                <w:rFonts w:asciiTheme="minorHAnsi" w:hAnsiTheme="minorHAnsi" w:cstheme="minorHAnsi"/>
                <w:color w:val="000000"/>
              </w:rPr>
              <w:t>784,330.00</w:t>
            </w:r>
          </w:p>
        </w:tc>
        <w:tc>
          <w:tcPr>
            <w:tcW w:w="722" w:type="pct"/>
            <w:vAlign w:val="bottom"/>
          </w:tcPr>
          <w:p w14:paraId="6A18C11E" w14:textId="77777777" w:rsidR="00B46002" w:rsidRPr="00774869" w:rsidRDefault="00B46002" w:rsidP="00CD4BBD">
            <w:pPr>
              <w:pStyle w:val="ListParagraph"/>
              <w:keepNext/>
              <w:keepLines/>
              <w:spacing w:after="0"/>
              <w:ind w:left="0"/>
              <w:jc w:val="center"/>
              <w:rPr>
                <w:rFonts w:asciiTheme="minorHAnsi" w:hAnsiTheme="minorHAnsi" w:cstheme="minorHAnsi"/>
                <w:b/>
              </w:rPr>
            </w:pPr>
            <w:r w:rsidRPr="00774869">
              <w:rPr>
                <w:rFonts w:asciiTheme="minorHAnsi" w:hAnsiTheme="minorHAnsi" w:cstheme="minorHAnsi"/>
                <w:b/>
                <w:color w:val="000000"/>
              </w:rPr>
              <w:t>94%</w:t>
            </w:r>
          </w:p>
        </w:tc>
      </w:tr>
      <w:tr w:rsidR="00B46002" w:rsidRPr="00774869" w14:paraId="52D8493D" w14:textId="77777777" w:rsidTr="00CD4BBD">
        <w:tc>
          <w:tcPr>
            <w:tcW w:w="556" w:type="pct"/>
          </w:tcPr>
          <w:p w14:paraId="1B57ECF3" w14:textId="77777777" w:rsidR="00B46002" w:rsidRPr="00774869" w:rsidRDefault="00B46002" w:rsidP="00CD4BBD">
            <w:pPr>
              <w:pStyle w:val="ListParagraph"/>
              <w:keepNext/>
              <w:keepLines/>
              <w:spacing w:after="0"/>
              <w:ind w:left="0"/>
              <w:rPr>
                <w:rFonts w:asciiTheme="minorHAnsi" w:hAnsiTheme="minorHAnsi" w:cstheme="minorHAnsi"/>
                <w:b/>
              </w:rPr>
            </w:pPr>
            <w:r w:rsidRPr="00774869">
              <w:rPr>
                <w:rFonts w:asciiTheme="minorHAnsi" w:hAnsiTheme="minorHAnsi" w:cstheme="minorHAnsi"/>
                <w:b/>
              </w:rPr>
              <w:t>2015–16</w:t>
            </w:r>
          </w:p>
        </w:tc>
        <w:tc>
          <w:tcPr>
            <w:tcW w:w="466" w:type="pct"/>
            <w:vAlign w:val="bottom"/>
          </w:tcPr>
          <w:p w14:paraId="1729DF9A"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2300.00</w:t>
            </w:r>
          </w:p>
        </w:tc>
        <w:tc>
          <w:tcPr>
            <w:tcW w:w="628" w:type="pct"/>
            <w:vAlign w:val="bottom"/>
          </w:tcPr>
          <w:p w14:paraId="3C73C8B3"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174.46</w:t>
            </w:r>
          </w:p>
        </w:tc>
        <w:tc>
          <w:tcPr>
            <w:tcW w:w="574" w:type="pct"/>
            <w:vAlign w:val="bottom"/>
          </w:tcPr>
          <w:p w14:paraId="40E745E2"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2125.54</w:t>
            </w:r>
          </w:p>
        </w:tc>
        <w:tc>
          <w:tcPr>
            <w:tcW w:w="556" w:type="pct"/>
            <w:vAlign w:val="bottom"/>
          </w:tcPr>
          <w:p w14:paraId="0370B431"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348.448</w:t>
            </w:r>
          </w:p>
        </w:tc>
        <w:tc>
          <w:tcPr>
            <w:tcW w:w="775" w:type="pct"/>
            <w:vAlign w:val="bottom"/>
          </w:tcPr>
          <w:p w14:paraId="15BD5B0C"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 xml:space="preserve">740,641.52 </w:t>
            </w:r>
          </w:p>
        </w:tc>
        <w:tc>
          <w:tcPr>
            <w:tcW w:w="722" w:type="pct"/>
            <w:vAlign w:val="center"/>
          </w:tcPr>
          <w:p w14:paraId="1C5AAB63" w14:textId="77777777" w:rsidR="00B46002" w:rsidRPr="00774869" w:rsidRDefault="00B46002" w:rsidP="00CD4BBD">
            <w:pPr>
              <w:keepNext/>
              <w:keepLines/>
              <w:spacing w:after="0"/>
              <w:contextualSpacing/>
              <w:jc w:val="right"/>
              <w:rPr>
                <w:rFonts w:asciiTheme="minorHAnsi" w:hAnsiTheme="minorHAnsi" w:cstheme="minorHAnsi"/>
                <w:color w:val="000000"/>
              </w:rPr>
            </w:pPr>
            <w:r w:rsidRPr="00774869">
              <w:rPr>
                <w:rFonts w:asciiTheme="minorHAnsi" w:hAnsiTheme="minorHAnsi" w:cstheme="minorHAnsi"/>
                <w:color w:val="000000"/>
              </w:rPr>
              <w:t>746,600.00</w:t>
            </w:r>
          </w:p>
        </w:tc>
        <w:tc>
          <w:tcPr>
            <w:tcW w:w="722" w:type="pct"/>
            <w:vAlign w:val="bottom"/>
          </w:tcPr>
          <w:p w14:paraId="5D6DA824" w14:textId="77777777" w:rsidR="00B46002" w:rsidRPr="00774869" w:rsidRDefault="00B46002" w:rsidP="00CD4BBD">
            <w:pPr>
              <w:pStyle w:val="ListParagraph"/>
              <w:keepNext/>
              <w:keepLines/>
              <w:spacing w:after="0"/>
              <w:ind w:left="0"/>
              <w:jc w:val="center"/>
              <w:rPr>
                <w:rFonts w:asciiTheme="minorHAnsi" w:hAnsiTheme="minorHAnsi" w:cstheme="minorHAnsi"/>
                <w:b/>
              </w:rPr>
            </w:pPr>
            <w:r w:rsidRPr="00774869">
              <w:rPr>
                <w:rFonts w:asciiTheme="minorHAnsi" w:hAnsiTheme="minorHAnsi" w:cstheme="minorHAnsi"/>
                <w:b/>
                <w:color w:val="000000"/>
              </w:rPr>
              <w:t>99%</w:t>
            </w:r>
          </w:p>
        </w:tc>
      </w:tr>
      <w:tr w:rsidR="00B46002" w:rsidRPr="00774869" w14:paraId="76179EBA" w14:textId="77777777" w:rsidTr="00CD4BBD">
        <w:tc>
          <w:tcPr>
            <w:tcW w:w="556" w:type="pct"/>
          </w:tcPr>
          <w:p w14:paraId="4E7E9309" w14:textId="77777777" w:rsidR="00B46002" w:rsidRPr="00774869" w:rsidRDefault="00B46002" w:rsidP="00CD4BBD">
            <w:pPr>
              <w:pStyle w:val="ListParagraph"/>
              <w:keepNext/>
              <w:keepLines/>
              <w:spacing w:after="0"/>
              <w:ind w:left="0"/>
              <w:rPr>
                <w:rFonts w:asciiTheme="minorHAnsi" w:hAnsiTheme="minorHAnsi" w:cstheme="minorHAnsi"/>
                <w:b/>
              </w:rPr>
            </w:pPr>
            <w:r w:rsidRPr="00774869">
              <w:rPr>
                <w:rFonts w:asciiTheme="minorHAnsi" w:hAnsiTheme="minorHAnsi" w:cstheme="minorHAnsi"/>
                <w:b/>
              </w:rPr>
              <w:t>2016–17</w:t>
            </w:r>
          </w:p>
        </w:tc>
        <w:tc>
          <w:tcPr>
            <w:tcW w:w="466" w:type="pct"/>
            <w:vAlign w:val="bottom"/>
          </w:tcPr>
          <w:p w14:paraId="68DB8CFE"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2300.00</w:t>
            </w:r>
          </w:p>
        </w:tc>
        <w:tc>
          <w:tcPr>
            <w:tcW w:w="628" w:type="pct"/>
            <w:vAlign w:val="bottom"/>
          </w:tcPr>
          <w:p w14:paraId="49BCEC7A"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174.46</w:t>
            </w:r>
          </w:p>
        </w:tc>
        <w:tc>
          <w:tcPr>
            <w:tcW w:w="574" w:type="pct"/>
            <w:vAlign w:val="bottom"/>
          </w:tcPr>
          <w:p w14:paraId="6FC8D5FD"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2125.54</w:t>
            </w:r>
          </w:p>
        </w:tc>
        <w:tc>
          <w:tcPr>
            <w:tcW w:w="556" w:type="pct"/>
            <w:vAlign w:val="bottom"/>
          </w:tcPr>
          <w:p w14:paraId="06C64AAB"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306.070</w:t>
            </w:r>
          </w:p>
        </w:tc>
        <w:tc>
          <w:tcPr>
            <w:tcW w:w="775" w:type="pct"/>
            <w:vAlign w:val="bottom"/>
          </w:tcPr>
          <w:p w14:paraId="002B2A10"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 xml:space="preserve">650,565.22 </w:t>
            </w:r>
          </w:p>
        </w:tc>
        <w:tc>
          <w:tcPr>
            <w:tcW w:w="722" w:type="pct"/>
            <w:vAlign w:val="center"/>
          </w:tcPr>
          <w:p w14:paraId="12F9542C" w14:textId="77777777" w:rsidR="00B46002" w:rsidRPr="00774869" w:rsidRDefault="00B46002" w:rsidP="00CD4BBD">
            <w:pPr>
              <w:keepNext/>
              <w:keepLines/>
              <w:spacing w:after="0"/>
              <w:contextualSpacing/>
              <w:jc w:val="right"/>
              <w:rPr>
                <w:rFonts w:asciiTheme="minorHAnsi" w:hAnsiTheme="minorHAnsi" w:cstheme="minorHAnsi"/>
                <w:color w:val="000000"/>
              </w:rPr>
            </w:pPr>
            <w:r w:rsidRPr="00201D2E">
              <w:rPr>
                <w:rFonts w:asciiTheme="minorHAnsi" w:hAnsiTheme="minorHAnsi" w:cstheme="minorHAnsi"/>
                <w:color w:val="000000"/>
              </w:rPr>
              <w:t>724,</w:t>
            </w:r>
            <w:r>
              <w:rPr>
                <w:rFonts w:asciiTheme="minorHAnsi" w:hAnsiTheme="minorHAnsi" w:cstheme="minorHAnsi"/>
                <w:color w:val="000000"/>
              </w:rPr>
              <w:t>41</w:t>
            </w:r>
            <w:r w:rsidRPr="00201D2E">
              <w:rPr>
                <w:rFonts w:asciiTheme="minorHAnsi" w:hAnsiTheme="minorHAnsi" w:cstheme="minorHAnsi"/>
                <w:color w:val="000000"/>
              </w:rPr>
              <w:t>0.00</w:t>
            </w:r>
          </w:p>
        </w:tc>
        <w:tc>
          <w:tcPr>
            <w:tcW w:w="722" w:type="pct"/>
            <w:vAlign w:val="bottom"/>
          </w:tcPr>
          <w:p w14:paraId="021EE3D9" w14:textId="77777777" w:rsidR="00B46002" w:rsidRPr="00774869" w:rsidRDefault="00B46002" w:rsidP="00CD4BBD">
            <w:pPr>
              <w:pStyle w:val="ListParagraph"/>
              <w:keepNext/>
              <w:keepLines/>
              <w:spacing w:after="0"/>
              <w:ind w:left="0"/>
              <w:jc w:val="center"/>
              <w:rPr>
                <w:rFonts w:asciiTheme="minorHAnsi" w:hAnsiTheme="minorHAnsi" w:cstheme="minorHAnsi"/>
                <w:b/>
              </w:rPr>
            </w:pPr>
            <w:r w:rsidRPr="00774869">
              <w:rPr>
                <w:rFonts w:asciiTheme="minorHAnsi" w:hAnsiTheme="minorHAnsi" w:cstheme="minorHAnsi"/>
                <w:b/>
                <w:color w:val="000000"/>
              </w:rPr>
              <w:t>90%</w:t>
            </w:r>
          </w:p>
        </w:tc>
      </w:tr>
      <w:tr w:rsidR="00B46002" w:rsidRPr="00774869" w14:paraId="6DE6E4F7" w14:textId="77777777" w:rsidTr="00CD4BBD">
        <w:tc>
          <w:tcPr>
            <w:tcW w:w="556" w:type="pct"/>
          </w:tcPr>
          <w:p w14:paraId="03313FFE" w14:textId="77777777" w:rsidR="00B46002" w:rsidRPr="00774869" w:rsidRDefault="00B46002" w:rsidP="00CD4BBD">
            <w:pPr>
              <w:pStyle w:val="ListParagraph"/>
              <w:keepNext/>
              <w:keepLines/>
              <w:spacing w:after="0"/>
              <w:ind w:left="0"/>
              <w:rPr>
                <w:rFonts w:asciiTheme="minorHAnsi" w:hAnsiTheme="minorHAnsi" w:cstheme="minorHAnsi"/>
                <w:b/>
              </w:rPr>
            </w:pPr>
            <w:r w:rsidRPr="00774869">
              <w:rPr>
                <w:rFonts w:asciiTheme="minorHAnsi" w:hAnsiTheme="minorHAnsi" w:cstheme="minorHAnsi"/>
                <w:b/>
              </w:rPr>
              <w:t>2017–18</w:t>
            </w:r>
          </w:p>
        </w:tc>
        <w:tc>
          <w:tcPr>
            <w:tcW w:w="466" w:type="pct"/>
            <w:vAlign w:val="bottom"/>
          </w:tcPr>
          <w:p w14:paraId="1370979E"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2550.00</w:t>
            </w:r>
          </w:p>
        </w:tc>
        <w:tc>
          <w:tcPr>
            <w:tcW w:w="628" w:type="pct"/>
            <w:vAlign w:val="bottom"/>
          </w:tcPr>
          <w:p w14:paraId="61753F8C"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174.46</w:t>
            </w:r>
          </w:p>
        </w:tc>
        <w:tc>
          <w:tcPr>
            <w:tcW w:w="574" w:type="pct"/>
            <w:vAlign w:val="bottom"/>
          </w:tcPr>
          <w:p w14:paraId="6A13C2B6"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2375.54</w:t>
            </w:r>
          </w:p>
        </w:tc>
        <w:tc>
          <w:tcPr>
            <w:tcW w:w="556" w:type="pct"/>
            <w:vAlign w:val="bottom"/>
          </w:tcPr>
          <w:p w14:paraId="1321ACB1"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379.905</w:t>
            </w:r>
          </w:p>
        </w:tc>
        <w:tc>
          <w:tcPr>
            <w:tcW w:w="775" w:type="pct"/>
            <w:vAlign w:val="bottom"/>
          </w:tcPr>
          <w:p w14:paraId="0DEABD59"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 xml:space="preserve">902,480.77 </w:t>
            </w:r>
          </w:p>
        </w:tc>
        <w:tc>
          <w:tcPr>
            <w:tcW w:w="722" w:type="pct"/>
            <w:vAlign w:val="center"/>
          </w:tcPr>
          <w:p w14:paraId="016EB7E8" w14:textId="77777777" w:rsidR="00B46002" w:rsidRPr="00774869" w:rsidRDefault="00B46002" w:rsidP="00CD4BBD">
            <w:pPr>
              <w:pStyle w:val="ListParagraph"/>
              <w:keepNext/>
              <w:keepLines/>
              <w:spacing w:after="0"/>
              <w:ind w:left="0"/>
              <w:jc w:val="right"/>
              <w:rPr>
                <w:rFonts w:asciiTheme="minorHAnsi" w:hAnsiTheme="minorHAnsi" w:cstheme="minorHAnsi"/>
              </w:rPr>
            </w:pPr>
            <w:r>
              <w:rPr>
                <w:rFonts w:asciiTheme="minorHAnsi" w:hAnsiTheme="minorHAnsi" w:cstheme="minorHAnsi"/>
                <w:color w:val="000000"/>
              </w:rPr>
              <w:t>989,670</w:t>
            </w:r>
            <w:r w:rsidRPr="00201D2E">
              <w:rPr>
                <w:rFonts w:asciiTheme="minorHAnsi" w:hAnsiTheme="minorHAnsi" w:cstheme="minorHAnsi"/>
                <w:color w:val="000000"/>
              </w:rPr>
              <w:t>.00</w:t>
            </w:r>
          </w:p>
        </w:tc>
        <w:tc>
          <w:tcPr>
            <w:tcW w:w="722" w:type="pct"/>
            <w:vAlign w:val="bottom"/>
          </w:tcPr>
          <w:p w14:paraId="0F91F815" w14:textId="77777777" w:rsidR="00B46002" w:rsidRPr="00774869" w:rsidRDefault="00B46002" w:rsidP="00CD4BBD">
            <w:pPr>
              <w:pStyle w:val="ListParagraph"/>
              <w:keepNext/>
              <w:keepLines/>
              <w:spacing w:after="0"/>
              <w:ind w:left="0"/>
              <w:jc w:val="center"/>
              <w:rPr>
                <w:rFonts w:asciiTheme="minorHAnsi" w:hAnsiTheme="minorHAnsi" w:cstheme="minorHAnsi"/>
                <w:b/>
              </w:rPr>
            </w:pPr>
            <w:r>
              <w:rPr>
                <w:rFonts w:asciiTheme="minorHAnsi" w:hAnsiTheme="minorHAnsi" w:cstheme="minorHAnsi"/>
                <w:b/>
                <w:color w:val="000000"/>
              </w:rPr>
              <w:t>91</w:t>
            </w:r>
            <w:r w:rsidRPr="00774869">
              <w:rPr>
                <w:rFonts w:asciiTheme="minorHAnsi" w:hAnsiTheme="minorHAnsi" w:cstheme="minorHAnsi"/>
                <w:b/>
                <w:color w:val="000000"/>
              </w:rPr>
              <w:t>%</w:t>
            </w:r>
          </w:p>
        </w:tc>
      </w:tr>
      <w:tr w:rsidR="00B46002" w:rsidRPr="00774869" w14:paraId="013829A5" w14:textId="77777777" w:rsidTr="00CD4BBD">
        <w:trPr>
          <w:trHeight w:val="195"/>
        </w:trPr>
        <w:tc>
          <w:tcPr>
            <w:tcW w:w="556" w:type="pct"/>
          </w:tcPr>
          <w:p w14:paraId="4DEACAEF" w14:textId="77777777" w:rsidR="00B46002" w:rsidRPr="00774869" w:rsidRDefault="00B46002" w:rsidP="00CD4BBD">
            <w:pPr>
              <w:pStyle w:val="ListParagraph"/>
              <w:keepNext/>
              <w:keepLines/>
              <w:spacing w:after="0"/>
              <w:ind w:left="0"/>
              <w:rPr>
                <w:rFonts w:asciiTheme="minorHAnsi" w:hAnsiTheme="minorHAnsi" w:cstheme="minorHAnsi"/>
                <w:b/>
              </w:rPr>
            </w:pPr>
            <w:r w:rsidRPr="00774869">
              <w:rPr>
                <w:rFonts w:asciiTheme="minorHAnsi" w:hAnsiTheme="minorHAnsi" w:cstheme="minorHAnsi"/>
                <w:b/>
              </w:rPr>
              <w:t>2018–19</w:t>
            </w:r>
          </w:p>
        </w:tc>
        <w:tc>
          <w:tcPr>
            <w:tcW w:w="466" w:type="pct"/>
            <w:vAlign w:val="bottom"/>
          </w:tcPr>
          <w:p w14:paraId="437803F9"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2750.00</w:t>
            </w:r>
          </w:p>
        </w:tc>
        <w:tc>
          <w:tcPr>
            <w:tcW w:w="628" w:type="pct"/>
            <w:vAlign w:val="bottom"/>
          </w:tcPr>
          <w:p w14:paraId="6E3D366E"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color w:val="000000"/>
              </w:rPr>
              <w:t>183.64</w:t>
            </w:r>
          </w:p>
        </w:tc>
        <w:tc>
          <w:tcPr>
            <w:tcW w:w="574" w:type="pct"/>
            <w:vAlign w:val="bottom"/>
          </w:tcPr>
          <w:p w14:paraId="3D5E0509"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rPr>
              <w:t>2566.36</w:t>
            </w:r>
          </w:p>
        </w:tc>
        <w:tc>
          <w:tcPr>
            <w:tcW w:w="556" w:type="pct"/>
            <w:vAlign w:val="bottom"/>
          </w:tcPr>
          <w:p w14:paraId="5AF3F379" w14:textId="77777777" w:rsidR="00B46002" w:rsidRPr="00774869" w:rsidRDefault="00B46002" w:rsidP="00CD4BBD">
            <w:pPr>
              <w:pStyle w:val="ListParagraph"/>
              <w:keepNext/>
              <w:keepLines/>
              <w:spacing w:after="0"/>
              <w:ind w:left="0"/>
              <w:jc w:val="right"/>
              <w:rPr>
                <w:rFonts w:asciiTheme="minorHAnsi" w:hAnsiTheme="minorHAnsi" w:cstheme="minorHAnsi"/>
              </w:rPr>
            </w:pPr>
            <w:r w:rsidRPr="00774869">
              <w:rPr>
                <w:rFonts w:asciiTheme="minorHAnsi" w:hAnsiTheme="minorHAnsi" w:cstheme="minorHAnsi"/>
              </w:rPr>
              <w:t>400.157</w:t>
            </w:r>
          </w:p>
        </w:tc>
        <w:tc>
          <w:tcPr>
            <w:tcW w:w="775" w:type="pct"/>
            <w:vAlign w:val="bottom"/>
          </w:tcPr>
          <w:p w14:paraId="5BD0548D" w14:textId="77777777" w:rsidR="00B46002" w:rsidRPr="00774869" w:rsidRDefault="00B46002" w:rsidP="00CD4BBD">
            <w:pPr>
              <w:pStyle w:val="ListParagraph"/>
              <w:keepNext/>
              <w:keepLines/>
              <w:spacing w:after="0"/>
              <w:ind w:left="0"/>
              <w:jc w:val="right"/>
              <w:rPr>
                <w:rFonts w:asciiTheme="minorHAnsi" w:hAnsiTheme="minorHAnsi" w:cstheme="minorHAnsi"/>
                <w:highlight w:val="yellow"/>
              </w:rPr>
            </w:pPr>
            <w:r w:rsidRPr="00774869">
              <w:rPr>
                <w:rFonts w:asciiTheme="minorHAnsi" w:hAnsiTheme="minorHAnsi" w:cstheme="minorHAnsi"/>
              </w:rPr>
              <w:t>1,026,947.21</w:t>
            </w:r>
          </w:p>
        </w:tc>
        <w:tc>
          <w:tcPr>
            <w:tcW w:w="722" w:type="pct"/>
            <w:vAlign w:val="center"/>
          </w:tcPr>
          <w:p w14:paraId="62489F21" w14:textId="77777777" w:rsidR="00B46002" w:rsidRPr="00774869" w:rsidRDefault="00B46002" w:rsidP="00CD4BBD">
            <w:pPr>
              <w:keepNext/>
              <w:keepLines/>
              <w:spacing w:after="0"/>
              <w:contextualSpacing/>
              <w:jc w:val="right"/>
              <w:rPr>
                <w:rFonts w:asciiTheme="minorHAnsi" w:hAnsiTheme="minorHAnsi" w:cstheme="minorHAnsi"/>
                <w:highlight w:val="yellow"/>
              </w:rPr>
            </w:pPr>
            <w:r>
              <w:rPr>
                <w:rFonts w:asciiTheme="minorHAnsi" w:hAnsiTheme="minorHAnsi" w:cstheme="minorHAnsi"/>
                <w:color w:val="000000"/>
              </w:rPr>
              <w:t>1,055,920</w:t>
            </w:r>
            <w:r w:rsidRPr="00201D2E">
              <w:rPr>
                <w:rFonts w:asciiTheme="minorHAnsi" w:hAnsiTheme="minorHAnsi" w:cstheme="minorHAnsi"/>
                <w:color w:val="000000"/>
              </w:rPr>
              <w:t>.0</w:t>
            </w:r>
            <w:r>
              <w:rPr>
                <w:rFonts w:asciiTheme="minorHAnsi" w:hAnsiTheme="minorHAnsi" w:cstheme="minorHAnsi"/>
                <w:color w:val="000000"/>
              </w:rPr>
              <w:t>0</w:t>
            </w:r>
          </w:p>
        </w:tc>
        <w:tc>
          <w:tcPr>
            <w:tcW w:w="722" w:type="pct"/>
            <w:vAlign w:val="bottom"/>
          </w:tcPr>
          <w:p w14:paraId="170DA323" w14:textId="77777777" w:rsidR="00B46002" w:rsidRPr="00774869" w:rsidRDefault="00B46002" w:rsidP="00CD4BBD">
            <w:pPr>
              <w:pStyle w:val="ListParagraph"/>
              <w:keepNext/>
              <w:keepLines/>
              <w:spacing w:after="0"/>
              <w:ind w:left="0"/>
              <w:jc w:val="center"/>
              <w:rPr>
                <w:rFonts w:asciiTheme="minorHAnsi" w:hAnsiTheme="minorHAnsi" w:cstheme="minorHAnsi"/>
                <w:b/>
                <w:highlight w:val="yellow"/>
              </w:rPr>
            </w:pPr>
            <w:r>
              <w:rPr>
                <w:rFonts w:asciiTheme="minorHAnsi" w:hAnsiTheme="minorHAnsi" w:cstheme="minorHAnsi"/>
                <w:b/>
              </w:rPr>
              <w:t>97</w:t>
            </w:r>
            <w:r w:rsidRPr="00774869">
              <w:rPr>
                <w:rFonts w:asciiTheme="minorHAnsi" w:hAnsiTheme="minorHAnsi" w:cstheme="minorHAnsi"/>
                <w:b/>
              </w:rPr>
              <w:t>%</w:t>
            </w:r>
          </w:p>
        </w:tc>
      </w:tr>
    </w:tbl>
    <w:p w14:paraId="62A24DB2" w14:textId="77777777" w:rsidR="00A910C9" w:rsidRDefault="001D03B3" w:rsidP="00B46002">
      <w:pPr>
        <w:sectPr w:rsidR="00A910C9" w:rsidSect="00B46002">
          <w:headerReference w:type="default" r:id="rId10"/>
          <w:headerReference w:type="first" r:id="rId11"/>
          <w:pgSz w:w="16838" w:h="11906" w:orient="landscape" w:code="9"/>
          <w:pgMar w:top="1418" w:right="1418" w:bottom="1418" w:left="1418" w:header="567" w:footer="567" w:gutter="0"/>
          <w:cols w:space="708"/>
          <w:docGrid w:linePitch="360"/>
        </w:sectPr>
      </w:pPr>
      <w:r w:rsidRPr="00B46002">
        <w:t xml:space="preserve"> </w:t>
      </w:r>
    </w:p>
    <w:p w14:paraId="078B8CB2" w14:textId="77777777" w:rsidR="00A910C9" w:rsidRPr="00A910C9" w:rsidRDefault="00A910C9" w:rsidP="00A910C9">
      <w:pPr>
        <w:pStyle w:val="THTableHeading"/>
        <w:jc w:val="center"/>
      </w:pPr>
      <w:r w:rsidRPr="00A910C9">
        <w:t xml:space="preserve">TABLE 12 </w:t>
      </w:r>
      <w:r w:rsidRPr="00D532B1">
        <w:t xml:space="preserve">(Revised) </w:t>
      </w:r>
      <w:r w:rsidRPr="00A910C9">
        <w:t>– Market price support in terms of FRPs plus average premiums, as a percentage of value of sugarcane production</w:t>
      </w:r>
    </w:p>
    <w:tbl>
      <w:tblPr>
        <w:tblStyle w:val="GridTable1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685"/>
        <w:gridCol w:w="2693"/>
        <w:gridCol w:w="2075"/>
      </w:tblGrid>
      <w:tr w:rsidR="00A910C9" w:rsidRPr="00A910C9" w14:paraId="7240726B" w14:textId="77777777" w:rsidTr="00CD4B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right w:val="single" w:sz="4" w:space="0" w:color="auto"/>
            </w:tcBorders>
            <w:noWrap/>
            <w:vAlign w:val="center"/>
            <w:hideMark/>
          </w:tcPr>
          <w:p w14:paraId="0FA13E3E" w14:textId="77777777" w:rsidR="00A910C9" w:rsidRPr="00A910C9" w:rsidRDefault="00A910C9" w:rsidP="00A910C9">
            <w:pPr>
              <w:jc w:val="center"/>
              <w:rPr>
                <w:rFonts w:eastAsia="Calibri" w:cs="Calibri"/>
                <w:color w:val="000000"/>
              </w:rPr>
            </w:pPr>
          </w:p>
        </w:tc>
        <w:tc>
          <w:tcPr>
            <w:tcW w:w="2685" w:type="dxa"/>
            <w:tcBorders>
              <w:top w:val="single" w:sz="4" w:space="0" w:color="auto"/>
              <w:left w:val="single" w:sz="4" w:space="0" w:color="auto"/>
              <w:right w:val="single" w:sz="4" w:space="0" w:color="auto"/>
            </w:tcBorders>
            <w:noWrap/>
            <w:vAlign w:val="center"/>
            <w:hideMark/>
          </w:tcPr>
          <w:p w14:paraId="37DD7F21" w14:textId="77777777" w:rsidR="00A910C9" w:rsidRPr="00A910C9" w:rsidRDefault="00A910C9" w:rsidP="00A910C9">
            <w:pPr>
              <w:jc w:val="center"/>
              <w:cnfStyle w:val="100000000000" w:firstRow="1"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MPS (INR millions)</w:t>
            </w:r>
          </w:p>
        </w:tc>
        <w:tc>
          <w:tcPr>
            <w:tcW w:w="2693" w:type="dxa"/>
            <w:tcBorders>
              <w:top w:val="single" w:sz="4" w:space="0" w:color="auto"/>
              <w:left w:val="single" w:sz="4" w:space="0" w:color="auto"/>
              <w:right w:val="single" w:sz="4" w:space="0" w:color="auto"/>
            </w:tcBorders>
            <w:noWrap/>
            <w:vAlign w:val="center"/>
            <w:hideMark/>
          </w:tcPr>
          <w:p w14:paraId="4762EE14" w14:textId="77777777" w:rsidR="00A910C9" w:rsidRPr="00A910C9" w:rsidRDefault="00A910C9" w:rsidP="00A910C9">
            <w:pPr>
              <w:jc w:val="center"/>
              <w:cnfStyle w:val="100000000000" w:firstRow="1"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Value of Production (INR millions)</w:t>
            </w:r>
          </w:p>
        </w:tc>
        <w:tc>
          <w:tcPr>
            <w:tcW w:w="2075" w:type="dxa"/>
            <w:tcBorders>
              <w:top w:val="single" w:sz="4" w:space="0" w:color="auto"/>
              <w:left w:val="single" w:sz="4" w:space="0" w:color="auto"/>
              <w:right w:val="single" w:sz="4" w:space="0" w:color="auto"/>
            </w:tcBorders>
            <w:noWrap/>
            <w:vAlign w:val="center"/>
            <w:hideMark/>
          </w:tcPr>
          <w:p w14:paraId="39544DFB" w14:textId="77777777" w:rsidR="00A910C9" w:rsidRPr="00A910C9" w:rsidRDefault="00A910C9" w:rsidP="00A910C9">
            <w:pPr>
              <w:jc w:val="center"/>
              <w:cnfStyle w:val="100000000000" w:firstRow="1"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MPS as a percentage of value of production</w:t>
            </w:r>
          </w:p>
        </w:tc>
      </w:tr>
      <w:tr w:rsidR="00A910C9" w:rsidRPr="00A910C9" w14:paraId="32BD100C"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hideMark/>
          </w:tcPr>
          <w:p w14:paraId="2D7263B7" w14:textId="77777777" w:rsidR="00A910C9" w:rsidRPr="00A910C9" w:rsidRDefault="00A910C9" w:rsidP="00A910C9">
            <w:pPr>
              <w:jc w:val="center"/>
              <w:rPr>
                <w:rFonts w:eastAsia="Calibri" w:cs="Calibri"/>
                <w:color w:val="000000"/>
              </w:rPr>
            </w:pPr>
            <w:r w:rsidRPr="00A910C9">
              <w:rPr>
                <w:rFonts w:eastAsia="Calibri" w:cs="Calibri"/>
                <w:color w:val="000000"/>
              </w:rPr>
              <w:t>2014–15</w:t>
            </w:r>
          </w:p>
        </w:tc>
        <w:tc>
          <w:tcPr>
            <w:tcW w:w="2685" w:type="dxa"/>
            <w:tcBorders>
              <w:top w:val="single" w:sz="4" w:space="0" w:color="auto"/>
              <w:left w:val="single" w:sz="4" w:space="0" w:color="auto"/>
              <w:bottom w:val="single" w:sz="4" w:space="0" w:color="auto"/>
              <w:right w:val="single" w:sz="4" w:space="0" w:color="auto"/>
            </w:tcBorders>
            <w:noWrap/>
            <w:vAlign w:val="center"/>
            <w:hideMark/>
          </w:tcPr>
          <w:p w14:paraId="18682C3D" w14:textId="77777777" w:rsidR="00A910C9" w:rsidRPr="00A910C9"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791,939.81</w:t>
            </w:r>
          </w:p>
        </w:tc>
        <w:tc>
          <w:tcPr>
            <w:tcW w:w="2693" w:type="dxa"/>
            <w:tcBorders>
              <w:top w:val="single" w:sz="4" w:space="0" w:color="auto"/>
              <w:left w:val="single" w:sz="4" w:space="0" w:color="auto"/>
              <w:bottom w:val="single" w:sz="4" w:space="0" w:color="auto"/>
              <w:right w:val="single" w:sz="4" w:space="0" w:color="auto"/>
            </w:tcBorders>
            <w:noWrap/>
            <w:hideMark/>
          </w:tcPr>
          <w:p w14:paraId="6F75E1F2" w14:textId="77777777" w:rsidR="00A910C9" w:rsidRPr="00A910C9"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 xml:space="preserve">784,330.00 </w:t>
            </w:r>
          </w:p>
        </w:tc>
        <w:tc>
          <w:tcPr>
            <w:tcW w:w="2075" w:type="dxa"/>
            <w:tcBorders>
              <w:top w:val="single" w:sz="4" w:space="0" w:color="auto"/>
              <w:left w:val="single" w:sz="4" w:space="0" w:color="auto"/>
              <w:bottom w:val="single" w:sz="4" w:space="0" w:color="auto"/>
              <w:right w:val="single" w:sz="4" w:space="0" w:color="auto"/>
            </w:tcBorders>
            <w:noWrap/>
            <w:vAlign w:val="bottom"/>
            <w:hideMark/>
          </w:tcPr>
          <w:p w14:paraId="1869ED30" w14:textId="77777777" w:rsidR="00A910C9" w:rsidRPr="00A910C9" w:rsidRDefault="00A910C9" w:rsidP="00A910C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100.97%</w:t>
            </w:r>
          </w:p>
        </w:tc>
      </w:tr>
      <w:tr w:rsidR="00A910C9" w:rsidRPr="00A910C9" w14:paraId="1087DDBE"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hideMark/>
          </w:tcPr>
          <w:p w14:paraId="1A1D6C63" w14:textId="77777777" w:rsidR="00A910C9" w:rsidRPr="00A910C9" w:rsidRDefault="00A910C9" w:rsidP="00A910C9">
            <w:pPr>
              <w:jc w:val="center"/>
              <w:rPr>
                <w:rFonts w:eastAsia="Calibri" w:cs="Calibri"/>
                <w:color w:val="000000"/>
              </w:rPr>
            </w:pPr>
            <w:r w:rsidRPr="00A910C9">
              <w:rPr>
                <w:rFonts w:eastAsia="Calibri" w:cs="Calibri"/>
                <w:color w:val="000000"/>
              </w:rPr>
              <w:t>2015–16</w:t>
            </w:r>
          </w:p>
        </w:tc>
        <w:tc>
          <w:tcPr>
            <w:tcW w:w="2685" w:type="dxa"/>
            <w:tcBorders>
              <w:top w:val="single" w:sz="4" w:space="0" w:color="auto"/>
              <w:left w:val="single" w:sz="4" w:space="0" w:color="auto"/>
              <w:bottom w:val="single" w:sz="4" w:space="0" w:color="auto"/>
              <w:right w:val="single" w:sz="4" w:space="0" w:color="auto"/>
            </w:tcBorders>
            <w:noWrap/>
            <w:vAlign w:val="center"/>
            <w:hideMark/>
          </w:tcPr>
          <w:p w14:paraId="75D3C523" w14:textId="77777777" w:rsidR="00A910C9" w:rsidRPr="00A910C9"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 xml:space="preserve">815,274.15 </w:t>
            </w:r>
          </w:p>
        </w:tc>
        <w:tc>
          <w:tcPr>
            <w:tcW w:w="2693" w:type="dxa"/>
            <w:tcBorders>
              <w:top w:val="single" w:sz="4" w:space="0" w:color="auto"/>
              <w:left w:val="single" w:sz="4" w:space="0" w:color="auto"/>
              <w:bottom w:val="single" w:sz="4" w:space="0" w:color="auto"/>
              <w:right w:val="single" w:sz="4" w:space="0" w:color="auto"/>
            </w:tcBorders>
            <w:noWrap/>
            <w:hideMark/>
          </w:tcPr>
          <w:p w14:paraId="583ED23D" w14:textId="77777777" w:rsidR="00A910C9" w:rsidRPr="00A910C9"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 xml:space="preserve">746,600.00 </w:t>
            </w:r>
          </w:p>
        </w:tc>
        <w:tc>
          <w:tcPr>
            <w:tcW w:w="2075" w:type="dxa"/>
            <w:tcBorders>
              <w:top w:val="single" w:sz="4" w:space="0" w:color="auto"/>
              <w:left w:val="single" w:sz="4" w:space="0" w:color="auto"/>
              <w:bottom w:val="single" w:sz="4" w:space="0" w:color="auto"/>
              <w:right w:val="single" w:sz="4" w:space="0" w:color="auto"/>
            </w:tcBorders>
            <w:noWrap/>
            <w:vAlign w:val="bottom"/>
            <w:hideMark/>
          </w:tcPr>
          <w:p w14:paraId="7D14582E" w14:textId="77777777" w:rsidR="00A910C9" w:rsidRPr="00A910C9" w:rsidRDefault="00A910C9" w:rsidP="00A910C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109.20%</w:t>
            </w:r>
          </w:p>
        </w:tc>
      </w:tr>
      <w:tr w:rsidR="00A910C9" w:rsidRPr="00A910C9" w14:paraId="2C11E059"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hideMark/>
          </w:tcPr>
          <w:p w14:paraId="47526D68" w14:textId="77777777" w:rsidR="00A910C9" w:rsidRPr="00A910C9" w:rsidRDefault="00A910C9" w:rsidP="00A910C9">
            <w:pPr>
              <w:jc w:val="center"/>
              <w:rPr>
                <w:rFonts w:eastAsia="Calibri" w:cs="Calibri"/>
                <w:color w:val="000000"/>
              </w:rPr>
            </w:pPr>
            <w:r w:rsidRPr="00A910C9">
              <w:rPr>
                <w:rFonts w:eastAsia="Calibri" w:cs="Calibri"/>
                <w:color w:val="000000"/>
              </w:rPr>
              <w:t>2016–17</w:t>
            </w:r>
          </w:p>
        </w:tc>
        <w:tc>
          <w:tcPr>
            <w:tcW w:w="2685" w:type="dxa"/>
            <w:tcBorders>
              <w:top w:val="single" w:sz="4" w:space="0" w:color="auto"/>
              <w:left w:val="single" w:sz="4" w:space="0" w:color="auto"/>
              <w:bottom w:val="single" w:sz="4" w:space="0" w:color="auto"/>
              <w:right w:val="single" w:sz="4" w:space="0" w:color="auto"/>
            </w:tcBorders>
            <w:noWrap/>
            <w:vAlign w:val="center"/>
            <w:hideMark/>
          </w:tcPr>
          <w:p w14:paraId="403C0F24" w14:textId="77777777" w:rsidR="00A910C9" w:rsidRPr="00A910C9"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 xml:space="preserve">703,846.60 </w:t>
            </w:r>
          </w:p>
        </w:tc>
        <w:tc>
          <w:tcPr>
            <w:tcW w:w="2693" w:type="dxa"/>
            <w:tcBorders>
              <w:top w:val="single" w:sz="4" w:space="0" w:color="auto"/>
              <w:left w:val="single" w:sz="4" w:space="0" w:color="auto"/>
              <w:bottom w:val="single" w:sz="4" w:space="0" w:color="auto"/>
              <w:right w:val="single" w:sz="4" w:space="0" w:color="auto"/>
            </w:tcBorders>
            <w:noWrap/>
            <w:hideMark/>
          </w:tcPr>
          <w:p w14:paraId="5B1DA22E" w14:textId="77777777" w:rsidR="00A910C9" w:rsidRPr="00A910C9"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724,410.00</w:t>
            </w:r>
          </w:p>
        </w:tc>
        <w:tc>
          <w:tcPr>
            <w:tcW w:w="2075" w:type="dxa"/>
            <w:tcBorders>
              <w:top w:val="single" w:sz="4" w:space="0" w:color="auto"/>
              <w:left w:val="single" w:sz="4" w:space="0" w:color="auto"/>
              <w:bottom w:val="single" w:sz="4" w:space="0" w:color="auto"/>
              <w:right w:val="single" w:sz="4" w:space="0" w:color="auto"/>
            </w:tcBorders>
            <w:noWrap/>
            <w:vAlign w:val="bottom"/>
            <w:hideMark/>
          </w:tcPr>
          <w:p w14:paraId="1AE3B134" w14:textId="77777777" w:rsidR="00A910C9" w:rsidRPr="00A910C9" w:rsidRDefault="00A910C9" w:rsidP="00A910C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97.16%</w:t>
            </w:r>
          </w:p>
        </w:tc>
      </w:tr>
      <w:tr w:rsidR="00A910C9" w:rsidRPr="00A910C9" w14:paraId="02EB70D6"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hideMark/>
          </w:tcPr>
          <w:p w14:paraId="44D8829C" w14:textId="77777777" w:rsidR="00A910C9" w:rsidRPr="00A910C9" w:rsidRDefault="00A910C9" w:rsidP="00A910C9">
            <w:pPr>
              <w:jc w:val="center"/>
              <w:rPr>
                <w:rFonts w:eastAsia="Calibri" w:cs="Calibri"/>
                <w:color w:val="000000"/>
              </w:rPr>
            </w:pPr>
            <w:r w:rsidRPr="00A910C9">
              <w:rPr>
                <w:rFonts w:eastAsia="Calibri" w:cs="Calibri"/>
                <w:color w:val="000000"/>
              </w:rPr>
              <w:t>2017–18</w:t>
            </w:r>
          </w:p>
        </w:tc>
        <w:tc>
          <w:tcPr>
            <w:tcW w:w="2685" w:type="dxa"/>
            <w:tcBorders>
              <w:top w:val="single" w:sz="4" w:space="0" w:color="auto"/>
              <w:left w:val="single" w:sz="4" w:space="0" w:color="auto"/>
              <w:bottom w:val="single" w:sz="4" w:space="0" w:color="auto"/>
              <w:right w:val="single" w:sz="4" w:space="0" w:color="auto"/>
            </w:tcBorders>
            <w:noWrap/>
            <w:vAlign w:val="center"/>
            <w:hideMark/>
          </w:tcPr>
          <w:p w14:paraId="41177111" w14:textId="77777777" w:rsidR="00A910C9" w:rsidRPr="00A910C9"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 xml:space="preserve">1,013,490.81 </w:t>
            </w:r>
          </w:p>
        </w:tc>
        <w:tc>
          <w:tcPr>
            <w:tcW w:w="2693" w:type="dxa"/>
            <w:tcBorders>
              <w:top w:val="single" w:sz="4" w:space="0" w:color="auto"/>
              <w:left w:val="single" w:sz="4" w:space="0" w:color="auto"/>
              <w:bottom w:val="single" w:sz="4" w:space="0" w:color="auto"/>
              <w:right w:val="single" w:sz="4" w:space="0" w:color="auto"/>
            </w:tcBorders>
            <w:noWrap/>
            <w:hideMark/>
          </w:tcPr>
          <w:p w14:paraId="3B595D36" w14:textId="77777777" w:rsidR="00A910C9" w:rsidRPr="00A910C9"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 xml:space="preserve">989,670.00  </w:t>
            </w:r>
          </w:p>
        </w:tc>
        <w:tc>
          <w:tcPr>
            <w:tcW w:w="2075" w:type="dxa"/>
            <w:tcBorders>
              <w:top w:val="single" w:sz="4" w:space="0" w:color="auto"/>
              <w:left w:val="single" w:sz="4" w:space="0" w:color="auto"/>
              <w:bottom w:val="single" w:sz="4" w:space="0" w:color="auto"/>
              <w:right w:val="single" w:sz="4" w:space="0" w:color="auto"/>
            </w:tcBorders>
            <w:noWrap/>
            <w:vAlign w:val="bottom"/>
            <w:hideMark/>
          </w:tcPr>
          <w:p w14:paraId="6E59B7C2" w14:textId="77777777" w:rsidR="00A910C9" w:rsidRPr="00A910C9" w:rsidRDefault="00A910C9" w:rsidP="00A910C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102.41%</w:t>
            </w:r>
          </w:p>
        </w:tc>
      </w:tr>
      <w:tr w:rsidR="00A910C9" w:rsidRPr="00A910C9" w14:paraId="71A5F348"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tcPr>
          <w:p w14:paraId="1D546FD3" w14:textId="46278865" w:rsidR="00A910C9" w:rsidRPr="00A910C9" w:rsidRDefault="00A910C9" w:rsidP="00A910C9">
            <w:pPr>
              <w:jc w:val="center"/>
              <w:rPr>
                <w:rFonts w:eastAsia="Calibri" w:cs="Calibri"/>
                <w:color w:val="000000"/>
              </w:rPr>
            </w:pPr>
            <w:r w:rsidRPr="00A910C9">
              <w:rPr>
                <w:rFonts w:eastAsia="Calibri" w:cs="Calibri"/>
                <w:color w:val="000000"/>
              </w:rPr>
              <w:t>201</w:t>
            </w:r>
            <w:r w:rsidR="00CC1C31">
              <w:rPr>
                <w:rFonts w:eastAsia="Calibri" w:cs="Calibri"/>
                <w:color w:val="000000"/>
              </w:rPr>
              <w:t>8</w:t>
            </w:r>
            <w:r w:rsidRPr="00A910C9">
              <w:rPr>
                <w:rFonts w:eastAsia="Calibri" w:cs="Calibri"/>
                <w:color w:val="000000"/>
              </w:rPr>
              <w:t>–1</w:t>
            </w:r>
            <w:r w:rsidR="00CC1C31">
              <w:rPr>
                <w:rFonts w:eastAsia="Calibri" w:cs="Calibri"/>
                <w:color w:val="000000"/>
              </w:rPr>
              <w:t>9</w:t>
            </w:r>
          </w:p>
        </w:tc>
        <w:tc>
          <w:tcPr>
            <w:tcW w:w="2685" w:type="dxa"/>
            <w:tcBorders>
              <w:top w:val="single" w:sz="4" w:space="0" w:color="auto"/>
              <w:left w:val="single" w:sz="4" w:space="0" w:color="auto"/>
              <w:bottom w:val="single" w:sz="4" w:space="0" w:color="auto"/>
              <w:right w:val="single" w:sz="4" w:space="0" w:color="auto"/>
            </w:tcBorders>
            <w:noWrap/>
            <w:vAlign w:val="center"/>
          </w:tcPr>
          <w:p w14:paraId="4B52C054" w14:textId="77777777" w:rsidR="00A910C9" w:rsidRPr="00A910C9"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1,073,486.98</w:t>
            </w:r>
          </w:p>
        </w:tc>
        <w:tc>
          <w:tcPr>
            <w:tcW w:w="2693" w:type="dxa"/>
            <w:tcBorders>
              <w:top w:val="single" w:sz="4" w:space="0" w:color="auto"/>
              <w:left w:val="single" w:sz="4" w:space="0" w:color="auto"/>
              <w:bottom w:val="single" w:sz="4" w:space="0" w:color="auto"/>
              <w:right w:val="single" w:sz="4" w:space="0" w:color="auto"/>
            </w:tcBorders>
            <w:noWrap/>
          </w:tcPr>
          <w:p w14:paraId="40A93CB8" w14:textId="77777777" w:rsidR="00A910C9" w:rsidRPr="00A910C9" w:rsidDel="00B724A5" w:rsidRDefault="00A910C9" w:rsidP="00A910C9">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1,055,920.00</w:t>
            </w:r>
          </w:p>
        </w:tc>
        <w:tc>
          <w:tcPr>
            <w:tcW w:w="2075" w:type="dxa"/>
            <w:tcBorders>
              <w:top w:val="single" w:sz="4" w:space="0" w:color="auto"/>
              <w:left w:val="single" w:sz="4" w:space="0" w:color="auto"/>
              <w:bottom w:val="single" w:sz="4" w:space="0" w:color="auto"/>
              <w:right w:val="single" w:sz="4" w:space="0" w:color="auto"/>
            </w:tcBorders>
            <w:noWrap/>
            <w:vAlign w:val="bottom"/>
          </w:tcPr>
          <w:p w14:paraId="378B2F64" w14:textId="77777777" w:rsidR="00A910C9" w:rsidRPr="00A910C9" w:rsidRDefault="00A910C9" w:rsidP="00A910C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101.66%</w:t>
            </w:r>
          </w:p>
        </w:tc>
      </w:tr>
    </w:tbl>
    <w:p w14:paraId="0672F6D6" w14:textId="77777777" w:rsidR="00A910C9" w:rsidRPr="00A910C9" w:rsidRDefault="00A910C9" w:rsidP="00A910C9">
      <w:pPr>
        <w:rPr>
          <w:rFonts w:eastAsia="Calibri" w:cs="Times New Roman"/>
        </w:rPr>
      </w:pPr>
    </w:p>
    <w:p w14:paraId="037435F4" w14:textId="77777777" w:rsidR="00A910C9" w:rsidRDefault="00A910C9" w:rsidP="00A910C9">
      <w:pPr>
        <w:pStyle w:val="THTableHeading"/>
        <w:jc w:val="center"/>
      </w:pPr>
    </w:p>
    <w:p w14:paraId="1C468CB0" w14:textId="77777777" w:rsidR="00A910C9" w:rsidRDefault="00A910C9" w:rsidP="00A910C9">
      <w:pPr>
        <w:pStyle w:val="THTableHeading"/>
        <w:jc w:val="center"/>
      </w:pPr>
    </w:p>
    <w:p w14:paraId="598FF482" w14:textId="77777777" w:rsidR="00A910C9" w:rsidRDefault="00A910C9" w:rsidP="00A910C9">
      <w:pPr>
        <w:pStyle w:val="THTableHeading"/>
        <w:jc w:val="center"/>
      </w:pPr>
    </w:p>
    <w:p w14:paraId="02A3FE64" w14:textId="77777777" w:rsidR="00A910C9" w:rsidRPr="00A910C9" w:rsidRDefault="00A910C9" w:rsidP="00A910C9">
      <w:pPr>
        <w:pStyle w:val="THTableHeading"/>
        <w:jc w:val="center"/>
      </w:pPr>
      <w:r w:rsidRPr="00A910C9">
        <w:t>TABLE 13 (Revised) – Market price support in terms of FRPs (base FRP plus average premiums) and SAPs where applicable, as a percentage of value of sugarcane production</w:t>
      </w:r>
    </w:p>
    <w:tbl>
      <w:tblPr>
        <w:tblStyle w:val="GridTable1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720"/>
        <w:gridCol w:w="2678"/>
        <w:gridCol w:w="2063"/>
      </w:tblGrid>
      <w:tr w:rsidR="00A910C9" w:rsidRPr="00A910C9" w14:paraId="276D909C" w14:textId="77777777" w:rsidTr="00CD4B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vAlign w:val="center"/>
          </w:tcPr>
          <w:p w14:paraId="6862E9AA" w14:textId="77777777" w:rsidR="00A910C9" w:rsidRPr="00A910C9" w:rsidRDefault="00A910C9" w:rsidP="00A910C9">
            <w:pPr>
              <w:keepNext/>
              <w:keepLines/>
              <w:spacing w:line="276" w:lineRule="auto"/>
              <w:jc w:val="center"/>
              <w:rPr>
                <w:rFonts w:eastAsia="Calibri" w:cs="Calibri"/>
                <w:color w:val="000000"/>
              </w:rPr>
            </w:pPr>
          </w:p>
        </w:tc>
        <w:tc>
          <w:tcPr>
            <w:tcW w:w="2720" w:type="dxa"/>
            <w:noWrap/>
            <w:vAlign w:val="center"/>
          </w:tcPr>
          <w:p w14:paraId="35AB0676" w14:textId="77777777" w:rsidR="00A910C9" w:rsidRPr="00A910C9" w:rsidRDefault="00A910C9" w:rsidP="00A910C9">
            <w:pPr>
              <w:keepNext/>
              <w:keepLines/>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MPS (INR millions)</w:t>
            </w:r>
          </w:p>
        </w:tc>
        <w:tc>
          <w:tcPr>
            <w:tcW w:w="2678" w:type="dxa"/>
            <w:noWrap/>
            <w:vAlign w:val="center"/>
          </w:tcPr>
          <w:p w14:paraId="7D23B654" w14:textId="77777777" w:rsidR="00A910C9" w:rsidRPr="00A910C9" w:rsidRDefault="00A910C9" w:rsidP="00A910C9">
            <w:pPr>
              <w:keepNext/>
              <w:keepLines/>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 xml:space="preserve">Value of Production (INR millions) </w:t>
            </w:r>
          </w:p>
        </w:tc>
        <w:tc>
          <w:tcPr>
            <w:tcW w:w="2063" w:type="dxa"/>
            <w:noWrap/>
            <w:vAlign w:val="center"/>
          </w:tcPr>
          <w:p w14:paraId="5E16B012" w14:textId="77777777" w:rsidR="00A910C9" w:rsidRPr="00A910C9" w:rsidRDefault="00A910C9" w:rsidP="00A910C9">
            <w:pPr>
              <w:keepNext/>
              <w:keepLines/>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MPS as a percentage of value of production</w:t>
            </w:r>
          </w:p>
        </w:tc>
      </w:tr>
      <w:tr w:rsidR="00A910C9" w:rsidRPr="00A910C9" w14:paraId="4BD7E78B"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15183FE" w14:textId="77777777" w:rsidR="00A910C9" w:rsidRPr="00A910C9" w:rsidRDefault="00A910C9" w:rsidP="00A910C9">
            <w:pPr>
              <w:keepNext/>
              <w:keepLines/>
              <w:spacing w:line="276" w:lineRule="auto"/>
              <w:jc w:val="center"/>
              <w:rPr>
                <w:rFonts w:eastAsia="Calibri" w:cs="Calibri"/>
                <w:color w:val="000000"/>
              </w:rPr>
            </w:pPr>
            <w:r w:rsidRPr="00A910C9">
              <w:rPr>
                <w:rFonts w:eastAsia="Calibri" w:cs="Calibri"/>
                <w:color w:val="000000"/>
              </w:rPr>
              <w:t>2014–15</w:t>
            </w:r>
          </w:p>
        </w:tc>
        <w:tc>
          <w:tcPr>
            <w:tcW w:w="2720" w:type="dxa"/>
            <w:noWrap/>
            <w:hideMark/>
          </w:tcPr>
          <w:p w14:paraId="1F418084"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903,751.21</w:t>
            </w:r>
          </w:p>
        </w:tc>
        <w:tc>
          <w:tcPr>
            <w:tcW w:w="2678" w:type="dxa"/>
            <w:noWrap/>
            <w:hideMark/>
          </w:tcPr>
          <w:p w14:paraId="2EEC083E"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highlight w:val="yellow"/>
              </w:rPr>
            </w:pPr>
            <w:r w:rsidRPr="00A910C9">
              <w:rPr>
                <w:rFonts w:eastAsia="Calibri" w:cs="Calibri"/>
                <w:color w:val="000000"/>
              </w:rPr>
              <w:t xml:space="preserve">784,330.00 </w:t>
            </w:r>
          </w:p>
        </w:tc>
        <w:tc>
          <w:tcPr>
            <w:tcW w:w="2063" w:type="dxa"/>
            <w:noWrap/>
            <w:hideMark/>
          </w:tcPr>
          <w:p w14:paraId="30050685" w14:textId="77777777" w:rsidR="00A910C9" w:rsidRPr="00A910C9" w:rsidRDefault="00A910C9" w:rsidP="00A910C9">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115.23%</w:t>
            </w:r>
          </w:p>
        </w:tc>
      </w:tr>
      <w:tr w:rsidR="00A910C9" w:rsidRPr="00A910C9" w14:paraId="7E5B4147"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4DAA76C" w14:textId="77777777" w:rsidR="00A910C9" w:rsidRPr="00A910C9" w:rsidRDefault="00A910C9" w:rsidP="00A910C9">
            <w:pPr>
              <w:keepNext/>
              <w:keepLines/>
              <w:spacing w:line="276" w:lineRule="auto"/>
              <w:jc w:val="center"/>
              <w:rPr>
                <w:rFonts w:eastAsia="Calibri" w:cs="Calibri"/>
                <w:color w:val="000000"/>
              </w:rPr>
            </w:pPr>
            <w:r w:rsidRPr="00A910C9">
              <w:rPr>
                <w:rFonts w:eastAsia="Calibri" w:cs="Calibri"/>
                <w:color w:val="000000"/>
              </w:rPr>
              <w:t>2015–16</w:t>
            </w:r>
          </w:p>
        </w:tc>
        <w:tc>
          <w:tcPr>
            <w:tcW w:w="2720" w:type="dxa"/>
            <w:noWrap/>
            <w:hideMark/>
          </w:tcPr>
          <w:p w14:paraId="4355B19A"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880,418.37</w:t>
            </w:r>
          </w:p>
        </w:tc>
        <w:tc>
          <w:tcPr>
            <w:tcW w:w="2678" w:type="dxa"/>
            <w:noWrap/>
            <w:hideMark/>
          </w:tcPr>
          <w:p w14:paraId="498B32D7"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highlight w:val="yellow"/>
              </w:rPr>
            </w:pPr>
            <w:r w:rsidRPr="00A910C9">
              <w:rPr>
                <w:rFonts w:eastAsia="Calibri" w:cs="Calibri"/>
                <w:color w:val="000000"/>
              </w:rPr>
              <w:t xml:space="preserve">746,600.00 </w:t>
            </w:r>
          </w:p>
        </w:tc>
        <w:tc>
          <w:tcPr>
            <w:tcW w:w="2063" w:type="dxa"/>
            <w:noWrap/>
            <w:hideMark/>
          </w:tcPr>
          <w:p w14:paraId="7C2A5066" w14:textId="77777777" w:rsidR="00A910C9" w:rsidRPr="00A910C9" w:rsidRDefault="00A910C9" w:rsidP="00A910C9">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117.92%</w:t>
            </w:r>
          </w:p>
        </w:tc>
      </w:tr>
      <w:tr w:rsidR="00A910C9" w:rsidRPr="00A910C9" w14:paraId="646F949D"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DE4341C" w14:textId="77777777" w:rsidR="00A910C9" w:rsidRPr="00A910C9" w:rsidRDefault="00A910C9" w:rsidP="00A910C9">
            <w:pPr>
              <w:keepNext/>
              <w:keepLines/>
              <w:spacing w:line="276" w:lineRule="auto"/>
              <w:jc w:val="center"/>
              <w:rPr>
                <w:rFonts w:eastAsia="Calibri" w:cs="Calibri"/>
                <w:color w:val="000000"/>
              </w:rPr>
            </w:pPr>
            <w:r w:rsidRPr="00A910C9">
              <w:rPr>
                <w:rFonts w:eastAsia="Calibri" w:cs="Calibri"/>
                <w:color w:val="000000"/>
              </w:rPr>
              <w:t>2016–17</w:t>
            </w:r>
          </w:p>
        </w:tc>
        <w:tc>
          <w:tcPr>
            <w:tcW w:w="2720" w:type="dxa"/>
            <w:noWrap/>
            <w:hideMark/>
          </w:tcPr>
          <w:p w14:paraId="06AFDEA2"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815,049.84</w:t>
            </w:r>
          </w:p>
        </w:tc>
        <w:tc>
          <w:tcPr>
            <w:tcW w:w="2678" w:type="dxa"/>
            <w:noWrap/>
            <w:hideMark/>
          </w:tcPr>
          <w:p w14:paraId="23FC92C4"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highlight w:val="yellow"/>
              </w:rPr>
            </w:pPr>
            <w:r w:rsidRPr="00A910C9">
              <w:rPr>
                <w:rFonts w:eastAsia="Calibri" w:cs="Calibri"/>
                <w:color w:val="000000"/>
              </w:rPr>
              <w:t>724,410.00</w:t>
            </w:r>
          </w:p>
        </w:tc>
        <w:tc>
          <w:tcPr>
            <w:tcW w:w="2063" w:type="dxa"/>
            <w:noWrap/>
            <w:hideMark/>
          </w:tcPr>
          <w:p w14:paraId="2B973F99" w14:textId="77777777" w:rsidR="00A910C9" w:rsidRPr="00A910C9" w:rsidRDefault="00A910C9" w:rsidP="00A910C9">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112.51%</w:t>
            </w:r>
          </w:p>
        </w:tc>
      </w:tr>
      <w:tr w:rsidR="00A910C9" w:rsidRPr="00A910C9" w14:paraId="4F0DFD37"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7A5488B" w14:textId="77777777" w:rsidR="00A910C9" w:rsidRPr="00A910C9" w:rsidRDefault="00A910C9" w:rsidP="00A910C9">
            <w:pPr>
              <w:keepNext/>
              <w:keepLines/>
              <w:spacing w:line="276" w:lineRule="auto"/>
              <w:jc w:val="center"/>
              <w:rPr>
                <w:rFonts w:eastAsia="Calibri" w:cs="Calibri"/>
                <w:color w:val="000000"/>
              </w:rPr>
            </w:pPr>
            <w:r w:rsidRPr="00A910C9">
              <w:rPr>
                <w:rFonts w:eastAsia="Calibri" w:cs="Calibri"/>
                <w:color w:val="000000"/>
              </w:rPr>
              <w:t>2017–18</w:t>
            </w:r>
          </w:p>
        </w:tc>
        <w:tc>
          <w:tcPr>
            <w:tcW w:w="2720" w:type="dxa"/>
            <w:noWrap/>
            <w:hideMark/>
          </w:tcPr>
          <w:p w14:paraId="0ADCB97E"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1,075,387.11</w:t>
            </w:r>
          </w:p>
        </w:tc>
        <w:tc>
          <w:tcPr>
            <w:tcW w:w="2678" w:type="dxa"/>
            <w:noWrap/>
            <w:hideMark/>
          </w:tcPr>
          <w:p w14:paraId="50C4C4B4"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highlight w:val="yellow"/>
              </w:rPr>
            </w:pPr>
            <w:r w:rsidRPr="00A910C9">
              <w:rPr>
                <w:rFonts w:eastAsia="Calibri" w:cs="Calibri"/>
                <w:color w:val="000000"/>
              </w:rPr>
              <w:t>989,670.00</w:t>
            </w:r>
          </w:p>
        </w:tc>
        <w:tc>
          <w:tcPr>
            <w:tcW w:w="2063" w:type="dxa"/>
            <w:noWrap/>
            <w:hideMark/>
          </w:tcPr>
          <w:p w14:paraId="27BB147E" w14:textId="77777777" w:rsidR="00A910C9" w:rsidRPr="00A910C9" w:rsidRDefault="00A910C9" w:rsidP="00A910C9">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108.66%</w:t>
            </w:r>
          </w:p>
        </w:tc>
      </w:tr>
      <w:tr w:rsidR="00A910C9" w:rsidRPr="00A910C9" w14:paraId="61F6886B" w14:textId="77777777" w:rsidTr="00CD4BBD">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6B7FFD8" w14:textId="77777777" w:rsidR="00A910C9" w:rsidRPr="00A910C9" w:rsidRDefault="00A910C9" w:rsidP="00A910C9">
            <w:pPr>
              <w:keepNext/>
              <w:keepLines/>
              <w:spacing w:line="276" w:lineRule="auto"/>
              <w:jc w:val="center"/>
              <w:rPr>
                <w:rFonts w:eastAsia="Calibri" w:cs="Calibri"/>
                <w:color w:val="000000"/>
              </w:rPr>
            </w:pPr>
            <w:r w:rsidRPr="00A910C9">
              <w:rPr>
                <w:rFonts w:eastAsia="Calibri" w:cs="Calibri"/>
                <w:color w:val="000000"/>
              </w:rPr>
              <w:t>2018–19</w:t>
            </w:r>
          </w:p>
        </w:tc>
        <w:tc>
          <w:tcPr>
            <w:tcW w:w="2720" w:type="dxa"/>
            <w:noWrap/>
            <w:hideMark/>
          </w:tcPr>
          <w:p w14:paraId="3BDEEBA5"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rPr>
            </w:pPr>
            <w:r w:rsidRPr="00A910C9">
              <w:rPr>
                <w:rFonts w:eastAsia="Calibri" w:cs="Calibri"/>
                <w:color w:val="000000"/>
              </w:rPr>
              <w:t>1,145,868.60</w:t>
            </w:r>
          </w:p>
        </w:tc>
        <w:tc>
          <w:tcPr>
            <w:tcW w:w="2678" w:type="dxa"/>
            <w:noWrap/>
            <w:hideMark/>
          </w:tcPr>
          <w:p w14:paraId="7202DB2D" w14:textId="77777777" w:rsidR="00A910C9" w:rsidRPr="00A910C9" w:rsidRDefault="00A910C9" w:rsidP="00A910C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highlight w:val="yellow"/>
              </w:rPr>
            </w:pPr>
            <w:r w:rsidRPr="00A910C9">
              <w:rPr>
                <w:rFonts w:eastAsia="Calibri" w:cs="Calibri"/>
                <w:color w:val="000000"/>
              </w:rPr>
              <w:t>1,055,920.00</w:t>
            </w:r>
          </w:p>
        </w:tc>
        <w:tc>
          <w:tcPr>
            <w:tcW w:w="2063" w:type="dxa"/>
            <w:noWrap/>
            <w:hideMark/>
          </w:tcPr>
          <w:p w14:paraId="729F3D10" w14:textId="77777777" w:rsidR="00A910C9" w:rsidRPr="00A910C9" w:rsidRDefault="00A910C9" w:rsidP="00A910C9">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color w:val="000000"/>
              </w:rPr>
            </w:pPr>
            <w:r w:rsidRPr="00A910C9">
              <w:rPr>
                <w:rFonts w:eastAsia="Calibri" w:cs="Calibri"/>
                <w:b/>
                <w:color w:val="000000"/>
              </w:rPr>
              <w:t>108.52%</w:t>
            </w:r>
          </w:p>
        </w:tc>
      </w:tr>
    </w:tbl>
    <w:p w14:paraId="49DC6995" w14:textId="77777777" w:rsidR="00A910C9" w:rsidRPr="00A910C9" w:rsidRDefault="00A910C9" w:rsidP="00A910C9">
      <w:pPr>
        <w:rPr>
          <w:rFonts w:eastAsia="Calibri" w:cs="Times New Roman"/>
        </w:rPr>
      </w:pPr>
    </w:p>
    <w:p w14:paraId="27CB4482" w14:textId="77777777" w:rsidR="00D52A17" w:rsidRPr="00A910C9" w:rsidRDefault="00D52A17" w:rsidP="00A910C9"/>
    <w:p w14:paraId="3C0FFEBA" w14:textId="77777777" w:rsidR="00D52A17" w:rsidRPr="00A910C9" w:rsidRDefault="00D52A17" w:rsidP="00A910C9"/>
    <w:p w14:paraId="4CABF4B2" w14:textId="77777777" w:rsidR="00A910C9" w:rsidRDefault="00A910C9">
      <w:r>
        <w:br w:type="page"/>
      </w:r>
    </w:p>
    <w:p w14:paraId="7BD7234F" w14:textId="77777777" w:rsidR="00A910C9" w:rsidRPr="00845E18" w:rsidRDefault="00A910C9" w:rsidP="00A910C9">
      <w:pPr>
        <w:pStyle w:val="THTableHeading"/>
        <w:jc w:val="center"/>
      </w:pPr>
      <w:r w:rsidRPr="00845E18">
        <w:t xml:space="preserve">TABLE 15 </w:t>
      </w:r>
      <w:r w:rsidRPr="00D532B1">
        <w:t>(Revised)</w:t>
      </w:r>
      <w:r w:rsidRPr="00845E18">
        <w:t xml:space="preserve"> – Product-specific AMS for sugarcane as a percentage of total value of produc</w:t>
      </w:r>
      <w:r>
        <w:t>tion of sugarcane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567"/>
        <w:gridCol w:w="1424"/>
        <w:gridCol w:w="1567"/>
        <w:gridCol w:w="1566"/>
        <w:gridCol w:w="1658"/>
      </w:tblGrid>
      <w:tr w:rsidR="00A910C9" w:rsidRPr="00845E18" w14:paraId="218495F9" w14:textId="77777777" w:rsidTr="00CD4BBD">
        <w:trPr>
          <w:tblHeader/>
        </w:trPr>
        <w:tc>
          <w:tcPr>
            <w:tcW w:w="705" w:type="pct"/>
            <w:tcBorders>
              <w:top w:val="single" w:sz="4" w:space="0" w:color="auto"/>
              <w:left w:val="single" w:sz="4" w:space="0" w:color="auto"/>
              <w:bottom w:val="single" w:sz="4" w:space="0" w:color="auto"/>
              <w:right w:val="single" w:sz="4" w:space="0" w:color="auto"/>
            </w:tcBorders>
            <w:vAlign w:val="center"/>
          </w:tcPr>
          <w:p w14:paraId="077274F4" w14:textId="77777777" w:rsidR="00A910C9" w:rsidRPr="00845E18" w:rsidRDefault="00A910C9" w:rsidP="00CD4BBD">
            <w:pPr>
              <w:pStyle w:val="ListParagraph"/>
              <w:keepNext/>
              <w:keepLines/>
              <w:spacing w:after="0" w:line="276" w:lineRule="auto"/>
              <w:ind w:left="0"/>
              <w:jc w:val="center"/>
              <w:rPr>
                <w:rFonts w:asciiTheme="minorHAnsi" w:hAnsiTheme="minorHAnsi" w:cstheme="minorHAnsi"/>
                <w:b/>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4CFD73CE" w14:textId="77777777" w:rsidR="00A910C9" w:rsidRDefault="00A910C9" w:rsidP="00CD4BBD">
            <w:pPr>
              <w:pStyle w:val="ListParagraph"/>
              <w:keepNext/>
              <w:keepLines/>
              <w:spacing w:after="0" w:line="276" w:lineRule="auto"/>
              <w:ind w:left="0"/>
              <w:jc w:val="center"/>
              <w:rPr>
                <w:rFonts w:asciiTheme="minorHAnsi" w:hAnsiTheme="minorHAnsi" w:cstheme="minorHAnsi"/>
                <w:b/>
              </w:rPr>
            </w:pPr>
            <w:r w:rsidRPr="00845E18">
              <w:rPr>
                <w:rFonts w:asciiTheme="minorHAnsi" w:hAnsiTheme="minorHAnsi" w:cstheme="minorHAnsi"/>
                <w:b/>
              </w:rPr>
              <w:t>MPS for sugarcane</w:t>
            </w:r>
          </w:p>
          <w:p w14:paraId="32508466" w14:textId="77777777" w:rsidR="00A910C9" w:rsidRPr="00845E18" w:rsidRDefault="00A910C9" w:rsidP="00CD4BBD">
            <w:pPr>
              <w:pStyle w:val="ListParagraph"/>
              <w:keepNext/>
              <w:keepLines/>
              <w:spacing w:after="0" w:line="276" w:lineRule="auto"/>
              <w:ind w:left="0"/>
              <w:jc w:val="center"/>
              <w:rPr>
                <w:rFonts w:asciiTheme="minorHAnsi" w:hAnsiTheme="minorHAnsi" w:cstheme="minorHAnsi"/>
                <w:b/>
              </w:rPr>
            </w:pPr>
            <w:r>
              <w:rPr>
                <w:rFonts w:asciiTheme="minorHAnsi" w:hAnsiTheme="minorHAnsi" w:cstheme="minorHAnsi"/>
                <w:b/>
              </w:rPr>
              <w:t>(INR millions)</w:t>
            </w:r>
          </w:p>
        </w:tc>
        <w:tc>
          <w:tcPr>
            <w:tcW w:w="786" w:type="pct"/>
            <w:tcBorders>
              <w:top w:val="single" w:sz="4" w:space="0" w:color="auto"/>
              <w:left w:val="single" w:sz="4" w:space="0" w:color="auto"/>
              <w:bottom w:val="single" w:sz="4" w:space="0" w:color="auto"/>
              <w:right w:val="single" w:sz="4" w:space="0" w:color="auto"/>
            </w:tcBorders>
            <w:vAlign w:val="center"/>
            <w:hideMark/>
          </w:tcPr>
          <w:p w14:paraId="55F3F95F" w14:textId="77777777" w:rsidR="00A910C9" w:rsidRPr="00845E18" w:rsidRDefault="00A910C9" w:rsidP="00CD4BBD">
            <w:pPr>
              <w:pStyle w:val="ListParagraph"/>
              <w:keepNext/>
              <w:keepLines/>
              <w:spacing w:after="0" w:line="276" w:lineRule="auto"/>
              <w:ind w:left="0"/>
              <w:jc w:val="center"/>
              <w:rPr>
                <w:rFonts w:asciiTheme="minorHAnsi" w:hAnsiTheme="minorHAnsi" w:cstheme="minorHAnsi"/>
                <w:b/>
              </w:rPr>
            </w:pPr>
            <w:r w:rsidRPr="00845E18">
              <w:rPr>
                <w:rFonts w:asciiTheme="minorHAnsi" w:hAnsiTheme="minorHAnsi" w:cstheme="minorHAnsi"/>
                <w:b/>
              </w:rPr>
              <w:t>Non-exempt</w:t>
            </w:r>
          </w:p>
          <w:p w14:paraId="0BB293D2" w14:textId="77777777" w:rsidR="00A910C9" w:rsidRDefault="00A910C9" w:rsidP="00CD4BBD">
            <w:pPr>
              <w:pStyle w:val="ListParagraph"/>
              <w:keepNext/>
              <w:keepLines/>
              <w:spacing w:after="0" w:line="276" w:lineRule="auto"/>
              <w:ind w:left="0"/>
              <w:jc w:val="center"/>
              <w:rPr>
                <w:rFonts w:asciiTheme="minorHAnsi" w:hAnsiTheme="minorHAnsi" w:cstheme="minorHAnsi"/>
                <w:b/>
              </w:rPr>
            </w:pPr>
            <w:r w:rsidRPr="00845E18">
              <w:rPr>
                <w:rFonts w:asciiTheme="minorHAnsi" w:hAnsiTheme="minorHAnsi" w:cstheme="minorHAnsi"/>
                <w:b/>
              </w:rPr>
              <w:t>direct payments for sugarcane</w:t>
            </w:r>
          </w:p>
          <w:p w14:paraId="5CDD9EC0" w14:textId="77777777" w:rsidR="00A910C9" w:rsidRPr="00845E18" w:rsidRDefault="00A910C9" w:rsidP="00CD4BBD">
            <w:pPr>
              <w:pStyle w:val="ListParagraph"/>
              <w:keepNext/>
              <w:keepLines/>
              <w:spacing w:after="0" w:line="276" w:lineRule="auto"/>
              <w:ind w:left="0"/>
              <w:jc w:val="center"/>
              <w:rPr>
                <w:rFonts w:asciiTheme="minorHAnsi" w:hAnsiTheme="minorHAnsi" w:cstheme="minorHAnsi"/>
                <w:b/>
              </w:rPr>
            </w:pPr>
            <w:r>
              <w:rPr>
                <w:rFonts w:asciiTheme="minorHAnsi" w:hAnsiTheme="minorHAnsi" w:cstheme="minorHAnsi"/>
                <w:b/>
              </w:rPr>
              <w:t>(INR millions)</w:t>
            </w:r>
          </w:p>
        </w:tc>
        <w:tc>
          <w:tcPr>
            <w:tcW w:w="865" w:type="pct"/>
            <w:tcBorders>
              <w:top w:val="single" w:sz="4" w:space="0" w:color="auto"/>
              <w:left w:val="single" w:sz="4" w:space="0" w:color="auto"/>
              <w:bottom w:val="single" w:sz="4" w:space="0" w:color="auto"/>
              <w:right w:val="single" w:sz="4" w:space="0" w:color="auto"/>
            </w:tcBorders>
            <w:vAlign w:val="center"/>
            <w:hideMark/>
          </w:tcPr>
          <w:p w14:paraId="3D20262F" w14:textId="77777777" w:rsidR="00A910C9" w:rsidRDefault="00A910C9" w:rsidP="00CD4BBD">
            <w:pPr>
              <w:pStyle w:val="ListParagraph"/>
              <w:keepNext/>
              <w:keepLines/>
              <w:spacing w:after="0" w:line="276" w:lineRule="auto"/>
              <w:ind w:left="0"/>
              <w:jc w:val="center"/>
              <w:rPr>
                <w:rFonts w:asciiTheme="minorHAnsi" w:hAnsiTheme="minorHAnsi" w:cstheme="minorHAnsi"/>
                <w:b/>
              </w:rPr>
            </w:pPr>
            <w:r w:rsidRPr="00845E18">
              <w:rPr>
                <w:rFonts w:asciiTheme="minorHAnsi" w:hAnsiTheme="minorHAnsi" w:cstheme="minorHAnsi"/>
                <w:b/>
              </w:rPr>
              <w:t>AMS for sugarcane</w:t>
            </w:r>
          </w:p>
          <w:p w14:paraId="1565AB46" w14:textId="77777777" w:rsidR="00A910C9" w:rsidRPr="00845E18" w:rsidRDefault="00A910C9" w:rsidP="00CD4BBD">
            <w:pPr>
              <w:pStyle w:val="ListParagraph"/>
              <w:keepNext/>
              <w:keepLines/>
              <w:spacing w:after="0" w:line="276" w:lineRule="auto"/>
              <w:ind w:left="0"/>
              <w:jc w:val="center"/>
              <w:rPr>
                <w:rFonts w:asciiTheme="minorHAnsi" w:hAnsiTheme="minorHAnsi" w:cstheme="minorHAnsi"/>
                <w:b/>
              </w:rPr>
            </w:pPr>
            <w:r>
              <w:rPr>
                <w:rFonts w:asciiTheme="minorHAnsi" w:hAnsiTheme="minorHAnsi" w:cstheme="minorHAnsi"/>
                <w:b/>
              </w:rPr>
              <w:t>(INR millions)</w:t>
            </w:r>
          </w:p>
        </w:tc>
        <w:tc>
          <w:tcPr>
            <w:tcW w:w="864" w:type="pct"/>
            <w:tcBorders>
              <w:top w:val="single" w:sz="4" w:space="0" w:color="auto"/>
              <w:left w:val="single" w:sz="4" w:space="0" w:color="auto"/>
              <w:bottom w:val="single" w:sz="4" w:space="0" w:color="auto"/>
              <w:right w:val="single" w:sz="4" w:space="0" w:color="auto"/>
            </w:tcBorders>
            <w:vAlign w:val="center"/>
            <w:hideMark/>
          </w:tcPr>
          <w:p w14:paraId="786859DE" w14:textId="77777777" w:rsidR="00A910C9" w:rsidRDefault="00A910C9" w:rsidP="00CD4BBD">
            <w:pPr>
              <w:pStyle w:val="ListParagraph"/>
              <w:keepNext/>
              <w:keepLines/>
              <w:spacing w:after="0" w:line="276" w:lineRule="auto"/>
              <w:ind w:left="0"/>
              <w:jc w:val="center"/>
              <w:rPr>
                <w:rFonts w:asciiTheme="minorHAnsi" w:hAnsiTheme="minorHAnsi" w:cstheme="minorHAnsi"/>
                <w:b/>
              </w:rPr>
            </w:pPr>
            <w:r w:rsidRPr="00845E18">
              <w:rPr>
                <w:rFonts w:asciiTheme="minorHAnsi" w:hAnsiTheme="minorHAnsi" w:cstheme="minorHAnsi"/>
                <w:b/>
              </w:rPr>
              <w:t>Total value of production of sugarcane</w:t>
            </w:r>
          </w:p>
          <w:p w14:paraId="564C97C0" w14:textId="77777777" w:rsidR="00A910C9" w:rsidRPr="00845E18" w:rsidRDefault="00A910C9" w:rsidP="00CD4BBD">
            <w:pPr>
              <w:pStyle w:val="ListParagraph"/>
              <w:keepNext/>
              <w:keepLines/>
              <w:spacing w:after="0" w:line="276" w:lineRule="auto"/>
              <w:ind w:left="0"/>
              <w:jc w:val="center"/>
              <w:rPr>
                <w:rFonts w:asciiTheme="minorHAnsi" w:hAnsiTheme="minorHAnsi" w:cstheme="minorHAnsi"/>
                <w:b/>
              </w:rPr>
            </w:pPr>
            <w:r>
              <w:rPr>
                <w:rFonts w:asciiTheme="minorHAnsi" w:hAnsiTheme="minorHAnsi" w:cstheme="minorHAnsi"/>
                <w:b/>
              </w:rPr>
              <w:t>(INR millions)</w:t>
            </w:r>
          </w:p>
        </w:tc>
        <w:tc>
          <w:tcPr>
            <w:tcW w:w="915" w:type="pct"/>
            <w:tcBorders>
              <w:top w:val="single" w:sz="4" w:space="0" w:color="auto"/>
              <w:left w:val="single" w:sz="4" w:space="0" w:color="auto"/>
              <w:bottom w:val="single" w:sz="4" w:space="0" w:color="auto"/>
              <w:right w:val="single" w:sz="4" w:space="0" w:color="auto"/>
            </w:tcBorders>
            <w:vAlign w:val="center"/>
            <w:hideMark/>
          </w:tcPr>
          <w:p w14:paraId="53669590" w14:textId="77777777" w:rsidR="00A910C9" w:rsidRPr="00845E18" w:rsidRDefault="00A910C9" w:rsidP="00CD4BBD">
            <w:pPr>
              <w:pStyle w:val="ListParagraph"/>
              <w:keepNext/>
              <w:keepLines/>
              <w:spacing w:after="0" w:line="276" w:lineRule="auto"/>
              <w:ind w:left="0"/>
              <w:jc w:val="center"/>
              <w:rPr>
                <w:rFonts w:asciiTheme="minorHAnsi" w:hAnsiTheme="minorHAnsi" w:cstheme="minorHAnsi"/>
                <w:b/>
              </w:rPr>
            </w:pPr>
            <w:r w:rsidRPr="00845E18">
              <w:rPr>
                <w:rFonts w:asciiTheme="minorHAnsi" w:hAnsiTheme="minorHAnsi" w:cstheme="minorHAnsi"/>
                <w:b/>
              </w:rPr>
              <w:t xml:space="preserve">AMS for sugarcane as percentage of total value of sugarcane production </w:t>
            </w:r>
          </w:p>
        </w:tc>
      </w:tr>
      <w:tr w:rsidR="00A910C9" w:rsidRPr="00845E18" w14:paraId="030F6C9D" w14:textId="77777777" w:rsidTr="00CD4BBD">
        <w:tc>
          <w:tcPr>
            <w:tcW w:w="705" w:type="pct"/>
            <w:tcBorders>
              <w:top w:val="single" w:sz="4" w:space="0" w:color="auto"/>
              <w:left w:val="single" w:sz="4" w:space="0" w:color="auto"/>
              <w:bottom w:val="single" w:sz="4" w:space="0" w:color="auto"/>
              <w:right w:val="single" w:sz="4" w:space="0" w:color="auto"/>
            </w:tcBorders>
          </w:tcPr>
          <w:p w14:paraId="767A3111" w14:textId="77777777" w:rsidR="00A910C9" w:rsidRPr="00845E18" w:rsidRDefault="00A910C9" w:rsidP="00CD4BBD">
            <w:pPr>
              <w:pStyle w:val="ListParagraph"/>
              <w:spacing w:after="0" w:line="276" w:lineRule="auto"/>
              <w:ind w:left="0"/>
              <w:jc w:val="center"/>
              <w:rPr>
                <w:rFonts w:asciiTheme="minorHAnsi" w:hAnsiTheme="minorHAnsi" w:cstheme="minorHAnsi"/>
                <w:b/>
              </w:rPr>
            </w:pPr>
          </w:p>
        </w:tc>
        <w:tc>
          <w:tcPr>
            <w:tcW w:w="865" w:type="pct"/>
            <w:tcBorders>
              <w:top w:val="single" w:sz="4" w:space="0" w:color="auto"/>
              <w:left w:val="single" w:sz="4" w:space="0" w:color="auto"/>
              <w:bottom w:val="single" w:sz="4" w:space="0" w:color="auto"/>
              <w:right w:val="single" w:sz="4" w:space="0" w:color="auto"/>
            </w:tcBorders>
            <w:hideMark/>
          </w:tcPr>
          <w:p w14:paraId="48B9618C" w14:textId="77777777" w:rsidR="00A910C9" w:rsidRPr="00845E18" w:rsidRDefault="00A910C9" w:rsidP="00CD4BBD">
            <w:pPr>
              <w:pStyle w:val="ListParagraph"/>
              <w:spacing w:after="0" w:line="276" w:lineRule="auto"/>
              <w:ind w:left="0"/>
              <w:jc w:val="center"/>
              <w:rPr>
                <w:rFonts w:asciiTheme="minorHAnsi" w:hAnsiTheme="minorHAnsi" w:cstheme="minorHAnsi"/>
              </w:rPr>
            </w:pPr>
            <w:r w:rsidRPr="00845E18">
              <w:rPr>
                <w:rFonts w:asciiTheme="minorHAnsi" w:hAnsiTheme="minorHAnsi" w:cstheme="minorHAnsi"/>
              </w:rPr>
              <w:t>A</w:t>
            </w:r>
          </w:p>
        </w:tc>
        <w:tc>
          <w:tcPr>
            <w:tcW w:w="786" w:type="pct"/>
            <w:tcBorders>
              <w:top w:val="single" w:sz="4" w:space="0" w:color="auto"/>
              <w:left w:val="single" w:sz="4" w:space="0" w:color="auto"/>
              <w:bottom w:val="single" w:sz="4" w:space="0" w:color="auto"/>
              <w:right w:val="single" w:sz="4" w:space="0" w:color="auto"/>
            </w:tcBorders>
            <w:hideMark/>
          </w:tcPr>
          <w:p w14:paraId="0AE001D1" w14:textId="77777777" w:rsidR="00A910C9" w:rsidRPr="00845E18" w:rsidRDefault="00A910C9" w:rsidP="00CD4BBD">
            <w:pPr>
              <w:pStyle w:val="ListParagraph"/>
              <w:spacing w:after="0" w:line="276" w:lineRule="auto"/>
              <w:ind w:left="0"/>
              <w:jc w:val="center"/>
              <w:rPr>
                <w:rFonts w:asciiTheme="minorHAnsi" w:hAnsiTheme="minorHAnsi" w:cstheme="minorHAnsi"/>
              </w:rPr>
            </w:pPr>
            <w:r w:rsidRPr="00845E18">
              <w:rPr>
                <w:rFonts w:asciiTheme="minorHAnsi" w:hAnsiTheme="minorHAnsi" w:cstheme="minorHAnsi"/>
              </w:rPr>
              <w:t>B</w:t>
            </w:r>
          </w:p>
        </w:tc>
        <w:tc>
          <w:tcPr>
            <w:tcW w:w="865" w:type="pct"/>
            <w:tcBorders>
              <w:top w:val="single" w:sz="4" w:space="0" w:color="auto"/>
              <w:left w:val="single" w:sz="4" w:space="0" w:color="auto"/>
              <w:bottom w:val="single" w:sz="4" w:space="0" w:color="auto"/>
              <w:right w:val="single" w:sz="4" w:space="0" w:color="auto"/>
            </w:tcBorders>
            <w:hideMark/>
          </w:tcPr>
          <w:p w14:paraId="4EB26D1E" w14:textId="77777777" w:rsidR="00A910C9" w:rsidRPr="00845E18" w:rsidRDefault="00A910C9" w:rsidP="00CD4BBD">
            <w:pPr>
              <w:pStyle w:val="ListParagraph"/>
              <w:spacing w:after="0" w:line="276" w:lineRule="auto"/>
              <w:ind w:left="0"/>
              <w:jc w:val="center"/>
              <w:rPr>
                <w:rFonts w:asciiTheme="minorHAnsi" w:hAnsiTheme="minorHAnsi" w:cstheme="minorHAnsi"/>
              </w:rPr>
            </w:pPr>
            <w:r w:rsidRPr="00845E18">
              <w:rPr>
                <w:rFonts w:asciiTheme="minorHAnsi" w:hAnsiTheme="minorHAnsi" w:cstheme="minorHAnsi"/>
              </w:rPr>
              <w:t>C=(A+B)</w:t>
            </w:r>
          </w:p>
        </w:tc>
        <w:tc>
          <w:tcPr>
            <w:tcW w:w="864" w:type="pct"/>
            <w:tcBorders>
              <w:top w:val="single" w:sz="4" w:space="0" w:color="auto"/>
              <w:left w:val="single" w:sz="4" w:space="0" w:color="auto"/>
              <w:bottom w:val="single" w:sz="4" w:space="0" w:color="auto"/>
              <w:right w:val="single" w:sz="4" w:space="0" w:color="auto"/>
            </w:tcBorders>
            <w:hideMark/>
          </w:tcPr>
          <w:p w14:paraId="2E10E899" w14:textId="77777777" w:rsidR="00A910C9" w:rsidRPr="00845E18" w:rsidRDefault="00A910C9" w:rsidP="00CD4BBD">
            <w:pPr>
              <w:pStyle w:val="ListParagraph"/>
              <w:spacing w:after="0" w:line="276" w:lineRule="auto"/>
              <w:ind w:left="0"/>
              <w:jc w:val="center"/>
              <w:rPr>
                <w:rFonts w:asciiTheme="minorHAnsi" w:hAnsiTheme="minorHAnsi" w:cstheme="minorHAnsi"/>
              </w:rPr>
            </w:pPr>
            <w:r w:rsidRPr="00845E18">
              <w:rPr>
                <w:rFonts w:asciiTheme="minorHAnsi" w:hAnsiTheme="minorHAnsi" w:cstheme="minorHAnsi"/>
              </w:rPr>
              <w:t>D</w:t>
            </w:r>
          </w:p>
        </w:tc>
        <w:tc>
          <w:tcPr>
            <w:tcW w:w="915" w:type="pct"/>
            <w:tcBorders>
              <w:top w:val="single" w:sz="4" w:space="0" w:color="auto"/>
              <w:left w:val="single" w:sz="4" w:space="0" w:color="auto"/>
              <w:bottom w:val="single" w:sz="4" w:space="0" w:color="auto"/>
              <w:right w:val="single" w:sz="4" w:space="0" w:color="auto"/>
            </w:tcBorders>
            <w:hideMark/>
          </w:tcPr>
          <w:p w14:paraId="59B8011C" w14:textId="77777777" w:rsidR="00A910C9" w:rsidRPr="00845E18" w:rsidRDefault="00A910C9" w:rsidP="00CD4BBD">
            <w:pPr>
              <w:pStyle w:val="ListParagraph"/>
              <w:spacing w:after="0" w:line="276" w:lineRule="auto"/>
              <w:ind w:left="0"/>
              <w:jc w:val="center"/>
              <w:rPr>
                <w:rFonts w:asciiTheme="minorHAnsi" w:hAnsiTheme="minorHAnsi" w:cstheme="minorHAnsi"/>
              </w:rPr>
            </w:pPr>
            <w:r w:rsidRPr="00845E18">
              <w:rPr>
                <w:rFonts w:asciiTheme="minorHAnsi" w:hAnsiTheme="minorHAnsi" w:cstheme="minorHAnsi"/>
              </w:rPr>
              <w:t>E=(C/D)</w:t>
            </w:r>
          </w:p>
        </w:tc>
      </w:tr>
      <w:tr w:rsidR="00A910C9" w:rsidRPr="00845E18" w14:paraId="74E8EDB0" w14:textId="77777777" w:rsidTr="00CD4BBD">
        <w:tc>
          <w:tcPr>
            <w:tcW w:w="705" w:type="pct"/>
            <w:tcBorders>
              <w:top w:val="single" w:sz="4" w:space="0" w:color="auto"/>
              <w:left w:val="single" w:sz="4" w:space="0" w:color="auto"/>
              <w:bottom w:val="single" w:sz="4" w:space="0" w:color="auto"/>
              <w:right w:val="single" w:sz="4" w:space="0" w:color="auto"/>
            </w:tcBorders>
            <w:hideMark/>
          </w:tcPr>
          <w:p w14:paraId="01C6638F" w14:textId="77777777" w:rsidR="00A910C9" w:rsidRPr="00845E18" w:rsidRDefault="00A910C9" w:rsidP="00CD4BBD">
            <w:pPr>
              <w:pStyle w:val="ListParagraph"/>
              <w:spacing w:after="0" w:line="276" w:lineRule="auto"/>
              <w:ind w:left="0"/>
              <w:rPr>
                <w:rFonts w:asciiTheme="minorHAnsi" w:hAnsiTheme="minorHAnsi" w:cstheme="minorHAnsi"/>
                <w:b/>
              </w:rPr>
            </w:pPr>
            <w:r w:rsidRPr="00845E18">
              <w:rPr>
                <w:rFonts w:asciiTheme="minorHAnsi" w:hAnsiTheme="minorHAnsi" w:cstheme="minorHAnsi"/>
                <w:b/>
              </w:rPr>
              <w:t>2014–15</w:t>
            </w:r>
          </w:p>
        </w:tc>
        <w:tc>
          <w:tcPr>
            <w:tcW w:w="865" w:type="pct"/>
            <w:tcBorders>
              <w:top w:val="single" w:sz="4" w:space="0" w:color="auto"/>
              <w:left w:val="single" w:sz="4" w:space="0" w:color="auto"/>
              <w:bottom w:val="single" w:sz="4" w:space="0" w:color="auto"/>
              <w:right w:val="single" w:sz="4" w:space="0" w:color="auto"/>
            </w:tcBorders>
          </w:tcPr>
          <w:p w14:paraId="32E611FC" w14:textId="77777777" w:rsidR="00A910C9" w:rsidRPr="00845E18" w:rsidRDefault="00A910C9" w:rsidP="00CD4BBD">
            <w:pPr>
              <w:spacing w:after="0" w:line="276" w:lineRule="auto"/>
              <w:jc w:val="right"/>
              <w:rPr>
                <w:rFonts w:asciiTheme="minorHAnsi" w:hAnsiTheme="minorHAnsi" w:cstheme="minorHAnsi"/>
                <w:color w:val="000000"/>
              </w:rPr>
            </w:pPr>
            <w:r w:rsidRPr="00845E18">
              <w:rPr>
                <w:rFonts w:asciiTheme="minorHAnsi" w:hAnsiTheme="minorHAnsi" w:cstheme="minorHAnsi"/>
                <w:color w:val="000000"/>
              </w:rPr>
              <w:t>903,751.21</w:t>
            </w:r>
          </w:p>
        </w:tc>
        <w:tc>
          <w:tcPr>
            <w:tcW w:w="786" w:type="pct"/>
            <w:tcBorders>
              <w:top w:val="single" w:sz="4" w:space="0" w:color="auto"/>
              <w:left w:val="single" w:sz="4" w:space="0" w:color="auto"/>
              <w:bottom w:val="single" w:sz="4" w:space="0" w:color="auto"/>
              <w:right w:val="single" w:sz="4" w:space="0" w:color="auto"/>
            </w:tcBorders>
            <w:hideMark/>
          </w:tcPr>
          <w:p w14:paraId="3F4CC164" w14:textId="77777777" w:rsidR="00A910C9" w:rsidRPr="00845E18" w:rsidRDefault="00A910C9" w:rsidP="00CD4BBD">
            <w:pPr>
              <w:pStyle w:val="ListParagraph"/>
              <w:spacing w:after="0" w:line="276" w:lineRule="auto"/>
              <w:ind w:left="0"/>
              <w:jc w:val="right"/>
              <w:rPr>
                <w:rFonts w:asciiTheme="minorHAnsi" w:hAnsiTheme="minorHAnsi" w:cstheme="minorHAnsi"/>
              </w:rPr>
            </w:pPr>
            <w:r>
              <w:rPr>
                <w:rFonts w:asciiTheme="minorHAnsi" w:hAnsiTheme="minorHAnsi" w:cstheme="minorHAnsi"/>
              </w:rPr>
              <w:t>66</w:t>
            </w:r>
          </w:p>
        </w:tc>
        <w:tc>
          <w:tcPr>
            <w:tcW w:w="865" w:type="pct"/>
            <w:tcBorders>
              <w:top w:val="single" w:sz="4" w:space="0" w:color="auto"/>
              <w:left w:val="single" w:sz="4" w:space="0" w:color="auto"/>
              <w:bottom w:val="single" w:sz="4" w:space="0" w:color="auto"/>
              <w:right w:val="single" w:sz="4" w:space="0" w:color="auto"/>
            </w:tcBorders>
            <w:hideMark/>
          </w:tcPr>
          <w:p w14:paraId="7EA3EB25"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color w:val="000000"/>
              </w:rPr>
              <w:t>903,8</w:t>
            </w:r>
            <w:r>
              <w:rPr>
                <w:rFonts w:asciiTheme="minorHAnsi" w:hAnsiTheme="minorHAnsi" w:cstheme="minorHAnsi"/>
                <w:color w:val="000000"/>
              </w:rPr>
              <w:t>17</w:t>
            </w:r>
            <w:r w:rsidRPr="00845E18">
              <w:rPr>
                <w:rFonts w:asciiTheme="minorHAnsi" w:hAnsiTheme="minorHAnsi" w:cstheme="minorHAnsi"/>
                <w:color w:val="000000"/>
              </w:rPr>
              <w:t>.</w:t>
            </w:r>
            <w:r>
              <w:rPr>
                <w:rFonts w:asciiTheme="minorHAnsi" w:hAnsiTheme="minorHAnsi" w:cstheme="minorHAnsi"/>
                <w:color w:val="000000"/>
              </w:rPr>
              <w:t>2</w:t>
            </w:r>
            <w:r w:rsidRPr="00845E18">
              <w:rPr>
                <w:rFonts w:asciiTheme="minorHAnsi" w:hAnsiTheme="minorHAnsi" w:cstheme="minorHAnsi"/>
                <w:color w:val="000000"/>
              </w:rPr>
              <w:t>1</w:t>
            </w:r>
          </w:p>
        </w:tc>
        <w:tc>
          <w:tcPr>
            <w:tcW w:w="864" w:type="pct"/>
            <w:tcBorders>
              <w:top w:val="single" w:sz="4" w:space="0" w:color="auto"/>
              <w:left w:val="single" w:sz="4" w:space="0" w:color="auto"/>
              <w:bottom w:val="single" w:sz="4" w:space="0" w:color="auto"/>
              <w:right w:val="single" w:sz="4" w:space="0" w:color="auto"/>
            </w:tcBorders>
            <w:hideMark/>
          </w:tcPr>
          <w:p w14:paraId="7180F821"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color w:val="000000"/>
              </w:rPr>
              <w:t xml:space="preserve">784,330.00 </w:t>
            </w:r>
          </w:p>
        </w:tc>
        <w:tc>
          <w:tcPr>
            <w:tcW w:w="915" w:type="pct"/>
            <w:tcBorders>
              <w:top w:val="single" w:sz="4" w:space="0" w:color="auto"/>
              <w:left w:val="single" w:sz="4" w:space="0" w:color="auto"/>
              <w:bottom w:val="single" w:sz="4" w:space="0" w:color="auto"/>
              <w:right w:val="single" w:sz="4" w:space="0" w:color="auto"/>
            </w:tcBorders>
            <w:hideMark/>
          </w:tcPr>
          <w:p w14:paraId="7BBBF668"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b/>
                <w:color w:val="000000"/>
              </w:rPr>
              <w:t>115.2</w:t>
            </w:r>
            <w:r>
              <w:rPr>
                <w:rFonts w:asciiTheme="minorHAnsi" w:hAnsiTheme="minorHAnsi" w:cstheme="minorHAnsi"/>
                <w:b/>
                <w:color w:val="000000"/>
              </w:rPr>
              <w:t>3</w:t>
            </w:r>
            <w:r w:rsidRPr="00845E18">
              <w:rPr>
                <w:rFonts w:asciiTheme="minorHAnsi" w:hAnsiTheme="minorHAnsi" w:cstheme="minorHAnsi"/>
                <w:b/>
                <w:color w:val="000000"/>
              </w:rPr>
              <w:t>%</w:t>
            </w:r>
          </w:p>
        </w:tc>
      </w:tr>
      <w:tr w:rsidR="00A910C9" w:rsidRPr="00845E18" w14:paraId="50AD3A99" w14:textId="77777777" w:rsidTr="00CD4BBD">
        <w:tc>
          <w:tcPr>
            <w:tcW w:w="705" w:type="pct"/>
            <w:tcBorders>
              <w:top w:val="single" w:sz="4" w:space="0" w:color="auto"/>
              <w:left w:val="single" w:sz="4" w:space="0" w:color="auto"/>
              <w:bottom w:val="single" w:sz="4" w:space="0" w:color="auto"/>
              <w:right w:val="single" w:sz="4" w:space="0" w:color="auto"/>
            </w:tcBorders>
            <w:hideMark/>
          </w:tcPr>
          <w:p w14:paraId="26F36729" w14:textId="77777777" w:rsidR="00A910C9" w:rsidRPr="00845E18" w:rsidRDefault="00A910C9" w:rsidP="00CD4BBD">
            <w:pPr>
              <w:pStyle w:val="ListParagraph"/>
              <w:spacing w:after="0" w:line="276" w:lineRule="auto"/>
              <w:ind w:left="0"/>
              <w:rPr>
                <w:rFonts w:asciiTheme="minorHAnsi" w:hAnsiTheme="minorHAnsi" w:cstheme="minorHAnsi"/>
                <w:b/>
              </w:rPr>
            </w:pPr>
            <w:r w:rsidRPr="00845E18">
              <w:rPr>
                <w:rFonts w:asciiTheme="minorHAnsi" w:hAnsiTheme="minorHAnsi" w:cstheme="minorHAnsi"/>
                <w:b/>
              </w:rPr>
              <w:t>2015–16</w:t>
            </w:r>
          </w:p>
        </w:tc>
        <w:tc>
          <w:tcPr>
            <w:tcW w:w="865" w:type="pct"/>
            <w:tcBorders>
              <w:top w:val="single" w:sz="4" w:space="0" w:color="auto"/>
              <w:left w:val="single" w:sz="4" w:space="0" w:color="auto"/>
              <w:bottom w:val="single" w:sz="4" w:space="0" w:color="auto"/>
              <w:right w:val="single" w:sz="4" w:space="0" w:color="auto"/>
            </w:tcBorders>
          </w:tcPr>
          <w:p w14:paraId="62C94ADC" w14:textId="77777777" w:rsidR="00A910C9" w:rsidRPr="00845E18" w:rsidRDefault="00A910C9" w:rsidP="00CD4BBD">
            <w:pPr>
              <w:spacing w:after="0" w:line="276" w:lineRule="auto"/>
              <w:jc w:val="right"/>
              <w:rPr>
                <w:rFonts w:asciiTheme="minorHAnsi" w:hAnsiTheme="minorHAnsi" w:cstheme="minorHAnsi"/>
                <w:color w:val="000000"/>
              </w:rPr>
            </w:pPr>
            <w:r w:rsidRPr="00845E18">
              <w:rPr>
                <w:rFonts w:asciiTheme="minorHAnsi" w:hAnsiTheme="minorHAnsi" w:cstheme="minorHAnsi"/>
                <w:color w:val="000000"/>
              </w:rPr>
              <w:t>880,418.37</w:t>
            </w:r>
          </w:p>
        </w:tc>
        <w:tc>
          <w:tcPr>
            <w:tcW w:w="786" w:type="pct"/>
            <w:tcBorders>
              <w:top w:val="single" w:sz="4" w:space="0" w:color="auto"/>
              <w:left w:val="single" w:sz="4" w:space="0" w:color="auto"/>
              <w:bottom w:val="single" w:sz="4" w:space="0" w:color="auto"/>
              <w:right w:val="single" w:sz="4" w:space="0" w:color="auto"/>
            </w:tcBorders>
            <w:hideMark/>
          </w:tcPr>
          <w:p w14:paraId="5F49D840"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rPr>
              <w:t>66</w:t>
            </w:r>
          </w:p>
        </w:tc>
        <w:tc>
          <w:tcPr>
            <w:tcW w:w="865" w:type="pct"/>
            <w:tcBorders>
              <w:top w:val="single" w:sz="4" w:space="0" w:color="auto"/>
              <w:left w:val="single" w:sz="4" w:space="0" w:color="auto"/>
              <w:bottom w:val="single" w:sz="4" w:space="0" w:color="auto"/>
              <w:right w:val="single" w:sz="4" w:space="0" w:color="auto"/>
            </w:tcBorders>
            <w:hideMark/>
          </w:tcPr>
          <w:p w14:paraId="2EF9F288"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color w:val="000000"/>
              </w:rPr>
              <w:t>880,484.37</w:t>
            </w:r>
          </w:p>
        </w:tc>
        <w:tc>
          <w:tcPr>
            <w:tcW w:w="864" w:type="pct"/>
            <w:tcBorders>
              <w:top w:val="single" w:sz="4" w:space="0" w:color="auto"/>
              <w:left w:val="single" w:sz="4" w:space="0" w:color="auto"/>
              <w:bottom w:val="single" w:sz="4" w:space="0" w:color="auto"/>
              <w:right w:val="single" w:sz="4" w:space="0" w:color="auto"/>
            </w:tcBorders>
            <w:hideMark/>
          </w:tcPr>
          <w:p w14:paraId="45DA18BB"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color w:val="000000"/>
              </w:rPr>
              <w:t xml:space="preserve">746,600.00 </w:t>
            </w:r>
          </w:p>
        </w:tc>
        <w:tc>
          <w:tcPr>
            <w:tcW w:w="915" w:type="pct"/>
            <w:tcBorders>
              <w:top w:val="single" w:sz="4" w:space="0" w:color="auto"/>
              <w:left w:val="single" w:sz="4" w:space="0" w:color="auto"/>
              <w:bottom w:val="single" w:sz="4" w:space="0" w:color="auto"/>
              <w:right w:val="single" w:sz="4" w:space="0" w:color="auto"/>
            </w:tcBorders>
            <w:hideMark/>
          </w:tcPr>
          <w:p w14:paraId="5AF3A928"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b/>
                <w:color w:val="000000"/>
              </w:rPr>
              <w:t>117.93%</w:t>
            </w:r>
          </w:p>
        </w:tc>
      </w:tr>
      <w:tr w:rsidR="00A910C9" w:rsidRPr="00845E18" w14:paraId="7B5568E9" w14:textId="77777777" w:rsidTr="00CD4BBD">
        <w:tc>
          <w:tcPr>
            <w:tcW w:w="705" w:type="pct"/>
            <w:tcBorders>
              <w:top w:val="single" w:sz="4" w:space="0" w:color="auto"/>
              <w:left w:val="single" w:sz="4" w:space="0" w:color="auto"/>
              <w:bottom w:val="single" w:sz="4" w:space="0" w:color="auto"/>
              <w:right w:val="single" w:sz="4" w:space="0" w:color="auto"/>
            </w:tcBorders>
            <w:hideMark/>
          </w:tcPr>
          <w:p w14:paraId="20ADDBF9" w14:textId="77777777" w:rsidR="00A910C9" w:rsidRPr="00845E18" w:rsidRDefault="00A910C9" w:rsidP="00CD4BBD">
            <w:pPr>
              <w:pStyle w:val="ListParagraph"/>
              <w:spacing w:after="0" w:line="276" w:lineRule="auto"/>
              <w:ind w:left="0"/>
              <w:rPr>
                <w:rFonts w:asciiTheme="minorHAnsi" w:hAnsiTheme="minorHAnsi" w:cstheme="minorHAnsi"/>
                <w:b/>
              </w:rPr>
            </w:pPr>
            <w:r w:rsidRPr="00845E18">
              <w:rPr>
                <w:rFonts w:asciiTheme="minorHAnsi" w:hAnsiTheme="minorHAnsi" w:cstheme="minorHAnsi"/>
                <w:b/>
              </w:rPr>
              <w:t>2016–17</w:t>
            </w:r>
          </w:p>
        </w:tc>
        <w:tc>
          <w:tcPr>
            <w:tcW w:w="865" w:type="pct"/>
            <w:tcBorders>
              <w:top w:val="single" w:sz="4" w:space="0" w:color="auto"/>
              <w:left w:val="single" w:sz="4" w:space="0" w:color="auto"/>
              <w:bottom w:val="single" w:sz="4" w:space="0" w:color="auto"/>
              <w:right w:val="single" w:sz="4" w:space="0" w:color="auto"/>
            </w:tcBorders>
          </w:tcPr>
          <w:p w14:paraId="48DC9182" w14:textId="77777777" w:rsidR="00A910C9" w:rsidRPr="00845E18" w:rsidRDefault="00A910C9" w:rsidP="00CD4BBD">
            <w:pPr>
              <w:spacing w:after="0" w:line="276" w:lineRule="auto"/>
              <w:jc w:val="right"/>
              <w:rPr>
                <w:rFonts w:asciiTheme="minorHAnsi" w:hAnsiTheme="minorHAnsi" w:cstheme="minorHAnsi"/>
                <w:color w:val="000000"/>
              </w:rPr>
            </w:pPr>
            <w:r w:rsidRPr="00845E18">
              <w:rPr>
                <w:rFonts w:asciiTheme="minorHAnsi" w:hAnsiTheme="minorHAnsi" w:cstheme="minorHAnsi"/>
                <w:color w:val="000000"/>
              </w:rPr>
              <w:t>815,049.84</w:t>
            </w:r>
          </w:p>
        </w:tc>
        <w:tc>
          <w:tcPr>
            <w:tcW w:w="786" w:type="pct"/>
            <w:tcBorders>
              <w:top w:val="single" w:sz="4" w:space="0" w:color="auto"/>
              <w:left w:val="single" w:sz="4" w:space="0" w:color="auto"/>
              <w:bottom w:val="single" w:sz="4" w:space="0" w:color="auto"/>
              <w:right w:val="single" w:sz="4" w:space="0" w:color="auto"/>
            </w:tcBorders>
            <w:hideMark/>
          </w:tcPr>
          <w:p w14:paraId="50C70EF4" w14:textId="77777777" w:rsidR="00A910C9" w:rsidRPr="00845E18" w:rsidRDefault="00A910C9" w:rsidP="00CD4BBD">
            <w:pPr>
              <w:pStyle w:val="ListParagraph"/>
              <w:spacing w:after="0" w:line="276" w:lineRule="auto"/>
              <w:ind w:left="0"/>
              <w:jc w:val="right"/>
              <w:rPr>
                <w:rFonts w:asciiTheme="minorHAnsi" w:hAnsiTheme="minorHAnsi" w:cstheme="minorHAnsi"/>
              </w:rPr>
            </w:pPr>
            <w:r>
              <w:rPr>
                <w:rFonts w:asciiTheme="minorHAnsi" w:hAnsiTheme="minorHAnsi" w:cstheme="minorHAnsi"/>
              </w:rPr>
              <w:t>0</w:t>
            </w:r>
          </w:p>
        </w:tc>
        <w:tc>
          <w:tcPr>
            <w:tcW w:w="865" w:type="pct"/>
            <w:tcBorders>
              <w:top w:val="single" w:sz="4" w:space="0" w:color="auto"/>
              <w:left w:val="single" w:sz="4" w:space="0" w:color="auto"/>
              <w:bottom w:val="single" w:sz="4" w:space="0" w:color="auto"/>
              <w:right w:val="single" w:sz="4" w:space="0" w:color="auto"/>
            </w:tcBorders>
            <w:hideMark/>
          </w:tcPr>
          <w:p w14:paraId="7F95819A"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color w:val="000000"/>
              </w:rPr>
              <w:t>815,049.84</w:t>
            </w:r>
          </w:p>
        </w:tc>
        <w:tc>
          <w:tcPr>
            <w:tcW w:w="864" w:type="pct"/>
            <w:tcBorders>
              <w:top w:val="single" w:sz="4" w:space="0" w:color="auto"/>
              <w:left w:val="single" w:sz="4" w:space="0" w:color="auto"/>
              <w:bottom w:val="single" w:sz="4" w:space="0" w:color="auto"/>
              <w:right w:val="single" w:sz="4" w:space="0" w:color="auto"/>
            </w:tcBorders>
            <w:hideMark/>
          </w:tcPr>
          <w:p w14:paraId="2599DE6B"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981816">
              <w:rPr>
                <w:rFonts w:cstheme="minorHAnsi"/>
                <w:color w:val="000000"/>
              </w:rPr>
              <w:t>724,410.00</w:t>
            </w:r>
          </w:p>
        </w:tc>
        <w:tc>
          <w:tcPr>
            <w:tcW w:w="915" w:type="pct"/>
            <w:tcBorders>
              <w:top w:val="single" w:sz="4" w:space="0" w:color="auto"/>
              <w:left w:val="single" w:sz="4" w:space="0" w:color="auto"/>
              <w:bottom w:val="single" w:sz="4" w:space="0" w:color="auto"/>
              <w:right w:val="single" w:sz="4" w:space="0" w:color="auto"/>
            </w:tcBorders>
            <w:hideMark/>
          </w:tcPr>
          <w:p w14:paraId="1AF670E3"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b/>
                <w:color w:val="000000"/>
              </w:rPr>
              <w:t>112.</w:t>
            </w:r>
            <w:r>
              <w:rPr>
                <w:rFonts w:asciiTheme="minorHAnsi" w:hAnsiTheme="minorHAnsi" w:cstheme="minorHAnsi"/>
                <w:b/>
                <w:color w:val="000000"/>
              </w:rPr>
              <w:t>51</w:t>
            </w:r>
            <w:r w:rsidRPr="00845E18">
              <w:rPr>
                <w:rFonts w:asciiTheme="minorHAnsi" w:hAnsiTheme="minorHAnsi" w:cstheme="minorHAnsi"/>
                <w:b/>
                <w:color w:val="000000"/>
              </w:rPr>
              <w:t>%</w:t>
            </w:r>
          </w:p>
        </w:tc>
      </w:tr>
      <w:tr w:rsidR="00A910C9" w:rsidRPr="00845E18" w14:paraId="7CB7298B" w14:textId="77777777" w:rsidTr="00CD4BBD">
        <w:tc>
          <w:tcPr>
            <w:tcW w:w="705" w:type="pct"/>
            <w:tcBorders>
              <w:top w:val="single" w:sz="4" w:space="0" w:color="auto"/>
              <w:left w:val="single" w:sz="4" w:space="0" w:color="auto"/>
              <w:bottom w:val="single" w:sz="4" w:space="0" w:color="auto"/>
              <w:right w:val="single" w:sz="4" w:space="0" w:color="auto"/>
            </w:tcBorders>
            <w:hideMark/>
          </w:tcPr>
          <w:p w14:paraId="16A6B88B" w14:textId="77777777" w:rsidR="00A910C9" w:rsidRPr="00845E18" w:rsidRDefault="00A910C9" w:rsidP="00CD4BBD">
            <w:pPr>
              <w:pStyle w:val="ListParagraph"/>
              <w:spacing w:after="0" w:line="276" w:lineRule="auto"/>
              <w:ind w:left="0"/>
              <w:rPr>
                <w:rFonts w:asciiTheme="minorHAnsi" w:hAnsiTheme="minorHAnsi" w:cstheme="minorHAnsi"/>
                <w:b/>
              </w:rPr>
            </w:pPr>
            <w:r w:rsidRPr="00845E18">
              <w:rPr>
                <w:rFonts w:asciiTheme="minorHAnsi" w:hAnsiTheme="minorHAnsi" w:cstheme="minorHAnsi"/>
                <w:b/>
              </w:rPr>
              <w:t>2017–18</w:t>
            </w:r>
          </w:p>
        </w:tc>
        <w:tc>
          <w:tcPr>
            <w:tcW w:w="865" w:type="pct"/>
            <w:tcBorders>
              <w:top w:val="single" w:sz="4" w:space="0" w:color="auto"/>
              <w:left w:val="single" w:sz="4" w:space="0" w:color="auto"/>
              <w:bottom w:val="single" w:sz="4" w:space="0" w:color="auto"/>
              <w:right w:val="single" w:sz="4" w:space="0" w:color="auto"/>
            </w:tcBorders>
          </w:tcPr>
          <w:p w14:paraId="150276C1" w14:textId="77777777" w:rsidR="00A910C9" w:rsidRPr="00845E18" w:rsidRDefault="00A910C9" w:rsidP="00CD4BBD">
            <w:pPr>
              <w:spacing w:after="0" w:line="276" w:lineRule="auto"/>
              <w:jc w:val="right"/>
              <w:rPr>
                <w:rFonts w:asciiTheme="minorHAnsi" w:hAnsiTheme="minorHAnsi" w:cstheme="minorHAnsi"/>
                <w:color w:val="000000"/>
              </w:rPr>
            </w:pPr>
            <w:r w:rsidRPr="00845E18">
              <w:rPr>
                <w:rFonts w:asciiTheme="minorHAnsi" w:hAnsiTheme="minorHAnsi" w:cstheme="minorHAnsi"/>
                <w:color w:val="000000"/>
              </w:rPr>
              <w:t>1,075,387.11</w:t>
            </w:r>
          </w:p>
        </w:tc>
        <w:tc>
          <w:tcPr>
            <w:tcW w:w="786" w:type="pct"/>
            <w:tcBorders>
              <w:top w:val="single" w:sz="4" w:space="0" w:color="auto"/>
              <w:left w:val="single" w:sz="4" w:space="0" w:color="auto"/>
              <w:bottom w:val="single" w:sz="4" w:space="0" w:color="auto"/>
              <w:right w:val="single" w:sz="4" w:space="0" w:color="auto"/>
            </w:tcBorders>
            <w:hideMark/>
          </w:tcPr>
          <w:p w14:paraId="1A927DD1"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rPr>
              <w:t>1,463.3</w:t>
            </w:r>
          </w:p>
        </w:tc>
        <w:tc>
          <w:tcPr>
            <w:tcW w:w="865" w:type="pct"/>
            <w:tcBorders>
              <w:top w:val="single" w:sz="4" w:space="0" w:color="auto"/>
              <w:left w:val="single" w:sz="4" w:space="0" w:color="auto"/>
              <w:bottom w:val="single" w:sz="4" w:space="0" w:color="auto"/>
              <w:right w:val="single" w:sz="4" w:space="0" w:color="auto"/>
            </w:tcBorders>
            <w:hideMark/>
          </w:tcPr>
          <w:p w14:paraId="00F17B25"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color w:val="000000"/>
              </w:rPr>
              <w:t>1,076,850.41</w:t>
            </w:r>
          </w:p>
        </w:tc>
        <w:tc>
          <w:tcPr>
            <w:tcW w:w="864" w:type="pct"/>
            <w:tcBorders>
              <w:top w:val="single" w:sz="4" w:space="0" w:color="auto"/>
              <w:left w:val="single" w:sz="4" w:space="0" w:color="auto"/>
              <w:bottom w:val="single" w:sz="4" w:space="0" w:color="auto"/>
              <w:right w:val="single" w:sz="4" w:space="0" w:color="auto"/>
            </w:tcBorders>
            <w:hideMark/>
          </w:tcPr>
          <w:p w14:paraId="4B0DE11B"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981816">
              <w:rPr>
                <w:rFonts w:cstheme="minorHAnsi"/>
                <w:color w:val="000000"/>
              </w:rPr>
              <w:t>989,670.00</w:t>
            </w:r>
          </w:p>
        </w:tc>
        <w:tc>
          <w:tcPr>
            <w:tcW w:w="915" w:type="pct"/>
            <w:tcBorders>
              <w:top w:val="single" w:sz="4" w:space="0" w:color="auto"/>
              <w:left w:val="single" w:sz="4" w:space="0" w:color="auto"/>
              <w:bottom w:val="single" w:sz="4" w:space="0" w:color="auto"/>
              <w:right w:val="single" w:sz="4" w:space="0" w:color="auto"/>
            </w:tcBorders>
            <w:hideMark/>
          </w:tcPr>
          <w:p w14:paraId="6E819828"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b/>
                <w:color w:val="000000"/>
              </w:rPr>
              <w:t>10</w:t>
            </w:r>
            <w:r>
              <w:rPr>
                <w:rFonts w:asciiTheme="minorHAnsi" w:hAnsiTheme="minorHAnsi" w:cstheme="minorHAnsi"/>
                <w:b/>
                <w:color w:val="000000"/>
              </w:rPr>
              <w:t>8</w:t>
            </w:r>
            <w:r w:rsidRPr="00845E18">
              <w:rPr>
                <w:rFonts w:asciiTheme="minorHAnsi" w:hAnsiTheme="minorHAnsi" w:cstheme="minorHAnsi"/>
                <w:b/>
                <w:color w:val="000000"/>
              </w:rPr>
              <w:t>.</w:t>
            </w:r>
            <w:r>
              <w:rPr>
                <w:rFonts w:asciiTheme="minorHAnsi" w:hAnsiTheme="minorHAnsi" w:cstheme="minorHAnsi"/>
                <w:b/>
                <w:color w:val="000000"/>
              </w:rPr>
              <w:t>81</w:t>
            </w:r>
            <w:r w:rsidRPr="00845E18">
              <w:rPr>
                <w:rFonts w:asciiTheme="minorHAnsi" w:hAnsiTheme="minorHAnsi" w:cstheme="minorHAnsi"/>
                <w:b/>
                <w:color w:val="000000"/>
              </w:rPr>
              <w:t>%</w:t>
            </w:r>
          </w:p>
        </w:tc>
      </w:tr>
      <w:tr w:rsidR="00A910C9" w:rsidRPr="00845E18" w14:paraId="2FD63950" w14:textId="77777777" w:rsidTr="00CD4BBD">
        <w:tc>
          <w:tcPr>
            <w:tcW w:w="705" w:type="pct"/>
            <w:tcBorders>
              <w:top w:val="single" w:sz="4" w:space="0" w:color="auto"/>
              <w:left w:val="single" w:sz="4" w:space="0" w:color="auto"/>
              <w:bottom w:val="single" w:sz="4" w:space="0" w:color="auto"/>
              <w:right w:val="single" w:sz="4" w:space="0" w:color="auto"/>
            </w:tcBorders>
            <w:hideMark/>
          </w:tcPr>
          <w:p w14:paraId="19C1B2CF" w14:textId="77777777" w:rsidR="00A910C9" w:rsidRPr="00845E18" w:rsidRDefault="00A910C9" w:rsidP="00CD4BBD">
            <w:pPr>
              <w:pStyle w:val="ListParagraph"/>
              <w:spacing w:after="0" w:line="276" w:lineRule="auto"/>
              <w:ind w:left="0"/>
              <w:rPr>
                <w:rFonts w:asciiTheme="minorHAnsi" w:hAnsiTheme="minorHAnsi" w:cstheme="minorHAnsi"/>
                <w:b/>
              </w:rPr>
            </w:pPr>
            <w:r w:rsidRPr="00845E18">
              <w:rPr>
                <w:rFonts w:asciiTheme="minorHAnsi" w:hAnsiTheme="minorHAnsi" w:cstheme="minorHAnsi"/>
                <w:b/>
              </w:rPr>
              <w:t>2018–19</w:t>
            </w:r>
          </w:p>
        </w:tc>
        <w:tc>
          <w:tcPr>
            <w:tcW w:w="865" w:type="pct"/>
            <w:tcBorders>
              <w:top w:val="single" w:sz="4" w:space="0" w:color="auto"/>
              <w:left w:val="single" w:sz="4" w:space="0" w:color="auto"/>
              <w:bottom w:val="single" w:sz="4" w:space="0" w:color="auto"/>
              <w:right w:val="single" w:sz="4" w:space="0" w:color="auto"/>
            </w:tcBorders>
          </w:tcPr>
          <w:p w14:paraId="36F565AC" w14:textId="77777777" w:rsidR="00A910C9" w:rsidRPr="00845E18" w:rsidRDefault="00A910C9" w:rsidP="00CD4BBD">
            <w:pPr>
              <w:spacing w:after="0" w:line="276" w:lineRule="auto"/>
              <w:jc w:val="right"/>
              <w:rPr>
                <w:rFonts w:asciiTheme="minorHAnsi" w:hAnsiTheme="minorHAnsi" w:cstheme="minorHAnsi"/>
                <w:color w:val="000000"/>
              </w:rPr>
            </w:pPr>
            <w:r w:rsidRPr="00845E18">
              <w:rPr>
                <w:rFonts w:asciiTheme="minorHAnsi" w:hAnsiTheme="minorHAnsi" w:cstheme="minorHAnsi"/>
                <w:color w:val="000000"/>
              </w:rPr>
              <w:t>1,145,868.60</w:t>
            </w:r>
          </w:p>
        </w:tc>
        <w:tc>
          <w:tcPr>
            <w:tcW w:w="786" w:type="pct"/>
            <w:tcBorders>
              <w:top w:val="single" w:sz="4" w:space="0" w:color="auto"/>
              <w:left w:val="single" w:sz="4" w:space="0" w:color="auto"/>
              <w:bottom w:val="single" w:sz="4" w:space="0" w:color="auto"/>
              <w:right w:val="single" w:sz="4" w:space="0" w:color="auto"/>
            </w:tcBorders>
          </w:tcPr>
          <w:p w14:paraId="7F4A5358"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845E18">
              <w:rPr>
                <w:rFonts w:asciiTheme="minorHAnsi" w:hAnsiTheme="minorHAnsi" w:cstheme="minorHAnsi"/>
              </w:rPr>
              <w:t>2,000</w:t>
            </w:r>
          </w:p>
        </w:tc>
        <w:tc>
          <w:tcPr>
            <w:tcW w:w="865" w:type="pct"/>
            <w:tcBorders>
              <w:top w:val="single" w:sz="4" w:space="0" w:color="auto"/>
              <w:left w:val="single" w:sz="4" w:space="0" w:color="auto"/>
              <w:bottom w:val="single" w:sz="4" w:space="0" w:color="auto"/>
              <w:right w:val="single" w:sz="4" w:space="0" w:color="auto"/>
            </w:tcBorders>
            <w:hideMark/>
          </w:tcPr>
          <w:p w14:paraId="616C4B55" w14:textId="77777777" w:rsidR="00A910C9" w:rsidRPr="00845E18" w:rsidRDefault="00A910C9" w:rsidP="00CD4BBD">
            <w:pPr>
              <w:spacing w:after="0" w:line="276" w:lineRule="auto"/>
              <w:jc w:val="right"/>
              <w:rPr>
                <w:rFonts w:asciiTheme="minorHAnsi" w:hAnsiTheme="minorHAnsi" w:cstheme="minorHAnsi"/>
                <w:color w:val="000000"/>
              </w:rPr>
            </w:pPr>
            <w:r w:rsidRPr="00845E18">
              <w:rPr>
                <w:rFonts w:asciiTheme="minorHAnsi" w:hAnsiTheme="minorHAnsi" w:cstheme="minorHAnsi"/>
                <w:color w:val="000000"/>
              </w:rPr>
              <w:t>1,147,868.60</w:t>
            </w:r>
          </w:p>
        </w:tc>
        <w:tc>
          <w:tcPr>
            <w:tcW w:w="864" w:type="pct"/>
            <w:tcBorders>
              <w:top w:val="single" w:sz="4" w:space="0" w:color="auto"/>
              <w:left w:val="single" w:sz="4" w:space="0" w:color="auto"/>
              <w:bottom w:val="single" w:sz="4" w:space="0" w:color="auto"/>
              <w:right w:val="single" w:sz="4" w:space="0" w:color="auto"/>
            </w:tcBorders>
            <w:hideMark/>
          </w:tcPr>
          <w:p w14:paraId="1292D92B" w14:textId="77777777" w:rsidR="00A910C9" w:rsidRPr="00845E18" w:rsidRDefault="00A910C9" w:rsidP="00CD4BBD">
            <w:pPr>
              <w:pStyle w:val="ListParagraph"/>
              <w:spacing w:after="0" w:line="276" w:lineRule="auto"/>
              <w:ind w:left="0"/>
              <w:jc w:val="right"/>
              <w:rPr>
                <w:rFonts w:asciiTheme="minorHAnsi" w:hAnsiTheme="minorHAnsi" w:cstheme="minorHAnsi"/>
              </w:rPr>
            </w:pPr>
            <w:r w:rsidRPr="00981816">
              <w:rPr>
                <w:rFonts w:cstheme="minorHAnsi"/>
                <w:color w:val="000000"/>
              </w:rPr>
              <w:t>1,055,920.00</w:t>
            </w:r>
          </w:p>
        </w:tc>
        <w:tc>
          <w:tcPr>
            <w:tcW w:w="915" w:type="pct"/>
            <w:tcBorders>
              <w:top w:val="single" w:sz="4" w:space="0" w:color="auto"/>
              <w:left w:val="single" w:sz="4" w:space="0" w:color="auto"/>
              <w:bottom w:val="single" w:sz="4" w:space="0" w:color="auto"/>
              <w:right w:val="single" w:sz="4" w:space="0" w:color="auto"/>
            </w:tcBorders>
            <w:hideMark/>
          </w:tcPr>
          <w:p w14:paraId="26A1FF92" w14:textId="77777777" w:rsidR="00A910C9" w:rsidRPr="00845E18" w:rsidRDefault="00A910C9" w:rsidP="00CD4BBD">
            <w:pPr>
              <w:spacing w:after="0" w:line="276" w:lineRule="auto"/>
              <w:jc w:val="right"/>
              <w:rPr>
                <w:rFonts w:asciiTheme="minorHAnsi" w:hAnsiTheme="minorHAnsi" w:cstheme="minorHAnsi"/>
                <w:b/>
                <w:color w:val="000000"/>
              </w:rPr>
            </w:pPr>
            <w:r>
              <w:rPr>
                <w:rFonts w:asciiTheme="minorHAnsi" w:hAnsiTheme="minorHAnsi" w:cstheme="minorHAnsi"/>
                <w:b/>
                <w:color w:val="000000"/>
              </w:rPr>
              <w:t>108.71</w:t>
            </w:r>
            <w:r w:rsidRPr="00845E18">
              <w:rPr>
                <w:rFonts w:asciiTheme="minorHAnsi" w:hAnsiTheme="minorHAnsi" w:cstheme="minorHAnsi"/>
                <w:b/>
                <w:color w:val="000000"/>
              </w:rPr>
              <w:t>%</w:t>
            </w:r>
          </w:p>
        </w:tc>
      </w:tr>
    </w:tbl>
    <w:p w14:paraId="48619185" w14:textId="77777777" w:rsidR="00A910C9" w:rsidRDefault="00A910C9" w:rsidP="00A910C9">
      <w:pPr>
        <w:pStyle w:val="P1-N1Paragraph1-Number1"/>
        <w:numPr>
          <w:ilvl w:val="0"/>
          <w:numId w:val="0"/>
        </w:numPr>
      </w:pPr>
    </w:p>
    <w:p w14:paraId="621884E3" w14:textId="77777777" w:rsidR="00A910C9" w:rsidRDefault="00A910C9" w:rsidP="00A910C9">
      <w:pPr>
        <w:pStyle w:val="ListParagraph"/>
        <w:keepNext/>
        <w:keepLines/>
        <w:spacing w:line="240" w:lineRule="auto"/>
        <w:ind w:left="0"/>
        <w:jc w:val="center"/>
        <w:rPr>
          <w:rFonts w:asciiTheme="minorHAnsi" w:hAnsiTheme="minorHAnsi" w:cstheme="minorHAnsi"/>
          <w:b/>
        </w:rPr>
      </w:pPr>
    </w:p>
    <w:p w14:paraId="61AEF60B" w14:textId="77777777" w:rsidR="00A910C9" w:rsidRDefault="00A910C9" w:rsidP="00A910C9">
      <w:pPr>
        <w:pStyle w:val="ListParagraph"/>
        <w:keepNext/>
        <w:keepLines/>
        <w:spacing w:line="240" w:lineRule="auto"/>
        <w:ind w:left="0"/>
        <w:jc w:val="center"/>
        <w:rPr>
          <w:rFonts w:asciiTheme="minorHAnsi" w:hAnsiTheme="minorHAnsi" w:cstheme="minorHAnsi"/>
          <w:b/>
        </w:rPr>
      </w:pPr>
    </w:p>
    <w:p w14:paraId="1021EE53" w14:textId="77777777" w:rsidR="00A910C9" w:rsidRPr="00FA7AC1" w:rsidRDefault="00A910C9" w:rsidP="00A910C9">
      <w:pPr>
        <w:pStyle w:val="THTableHeading"/>
        <w:jc w:val="center"/>
        <w:rPr>
          <w:rFonts w:cstheme="minorHAnsi"/>
        </w:rPr>
      </w:pPr>
      <w:r w:rsidRPr="5EC6AFD6">
        <w:t xml:space="preserve">TABLE 18 </w:t>
      </w:r>
      <w:r w:rsidRPr="00D532B1">
        <w:t xml:space="preserve">(Revised) </w:t>
      </w:r>
      <w:r w:rsidRPr="5EC6AFD6">
        <w:t>– Value of Production (Total India) (INR millions)</w:t>
      </w:r>
      <w:r w:rsidRPr="5EC6AFD6">
        <w:rPr>
          <w:rStyle w:val="FootnoteReference"/>
          <w:bCs/>
        </w:rPr>
        <w:footnoteReference w:id="326"/>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0"/>
        <w:gridCol w:w="1510"/>
      </w:tblGrid>
      <w:tr w:rsidR="00A910C9" w:rsidRPr="00FA7AC1" w14:paraId="4E8D4445" w14:textId="77777777" w:rsidTr="00CD4BBD">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833" w:type="pct"/>
            <w:hideMark/>
          </w:tcPr>
          <w:p w14:paraId="00C08FF7" w14:textId="77777777" w:rsidR="00A910C9" w:rsidRPr="00FA7AC1" w:rsidRDefault="00A910C9" w:rsidP="00CD4BBD">
            <w:pPr>
              <w:rPr>
                <w:rFonts w:cstheme="minorHAnsi"/>
                <w:color w:val="000000"/>
              </w:rPr>
            </w:pPr>
            <w:r w:rsidRPr="00FA7AC1">
              <w:rPr>
                <w:rFonts w:cstheme="minorHAnsi"/>
                <w:color w:val="000000"/>
              </w:rPr>
              <w:t> </w:t>
            </w:r>
          </w:p>
        </w:tc>
        <w:tc>
          <w:tcPr>
            <w:tcW w:w="833" w:type="pct"/>
            <w:hideMark/>
          </w:tcPr>
          <w:p w14:paraId="765FB7D7" w14:textId="77777777" w:rsidR="00A910C9" w:rsidRPr="00FA7AC1" w:rsidRDefault="00A910C9" w:rsidP="00CD4BBD">
            <w:pPr>
              <w:jc w:val="right"/>
              <w:cnfStyle w:val="100000000000" w:firstRow="1" w:lastRow="0" w:firstColumn="0" w:lastColumn="0" w:oddVBand="0" w:evenVBand="0" w:oddHBand="0" w:evenHBand="0" w:firstRowFirstColumn="0" w:firstRowLastColumn="0" w:lastRowFirstColumn="0" w:lastRowLastColumn="0"/>
              <w:rPr>
                <w:rFonts w:cstheme="minorHAnsi"/>
                <w:color w:val="000000"/>
              </w:rPr>
            </w:pPr>
            <w:r w:rsidRPr="00FA7AC1">
              <w:rPr>
                <w:rFonts w:cstheme="minorHAnsi"/>
                <w:color w:val="000000"/>
              </w:rPr>
              <w:t>2014–15</w:t>
            </w:r>
          </w:p>
        </w:tc>
        <w:tc>
          <w:tcPr>
            <w:tcW w:w="833" w:type="pct"/>
            <w:hideMark/>
          </w:tcPr>
          <w:p w14:paraId="511CAD64" w14:textId="77777777" w:rsidR="00A910C9" w:rsidRPr="00FA7AC1" w:rsidRDefault="00A910C9" w:rsidP="00CD4BBD">
            <w:pPr>
              <w:jc w:val="right"/>
              <w:cnfStyle w:val="100000000000" w:firstRow="1" w:lastRow="0" w:firstColumn="0" w:lastColumn="0" w:oddVBand="0" w:evenVBand="0" w:oddHBand="0" w:evenHBand="0" w:firstRowFirstColumn="0" w:firstRowLastColumn="0" w:lastRowFirstColumn="0" w:lastRowLastColumn="0"/>
              <w:rPr>
                <w:rFonts w:cstheme="minorHAnsi"/>
                <w:color w:val="000000"/>
              </w:rPr>
            </w:pPr>
            <w:r w:rsidRPr="00FA7AC1">
              <w:rPr>
                <w:rFonts w:cstheme="minorHAnsi"/>
                <w:color w:val="000000"/>
              </w:rPr>
              <w:t>2015–16</w:t>
            </w:r>
          </w:p>
        </w:tc>
        <w:tc>
          <w:tcPr>
            <w:tcW w:w="833" w:type="pct"/>
            <w:hideMark/>
          </w:tcPr>
          <w:p w14:paraId="5434A520" w14:textId="77777777" w:rsidR="00A910C9" w:rsidRPr="00FA7AC1" w:rsidRDefault="00A910C9" w:rsidP="00CD4BBD">
            <w:pPr>
              <w:jc w:val="right"/>
              <w:cnfStyle w:val="100000000000" w:firstRow="1" w:lastRow="0" w:firstColumn="0" w:lastColumn="0" w:oddVBand="0" w:evenVBand="0" w:oddHBand="0" w:evenHBand="0" w:firstRowFirstColumn="0" w:firstRowLastColumn="0" w:lastRowFirstColumn="0" w:lastRowLastColumn="0"/>
              <w:rPr>
                <w:rFonts w:cstheme="minorHAnsi"/>
                <w:color w:val="000000"/>
              </w:rPr>
            </w:pPr>
            <w:r w:rsidRPr="00FA7AC1">
              <w:rPr>
                <w:rFonts w:cstheme="minorHAnsi"/>
                <w:color w:val="000000"/>
              </w:rPr>
              <w:t>2016–17</w:t>
            </w:r>
          </w:p>
        </w:tc>
        <w:tc>
          <w:tcPr>
            <w:tcW w:w="833" w:type="pct"/>
            <w:hideMark/>
          </w:tcPr>
          <w:p w14:paraId="02AFA7A0" w14:textId="77777777" w:rsidR="00A910C9" w:rsidRPr="00FA7AC1" w:rsidRDefault="00A910C9" w:rsidP="00CD4BBD">
            <w:pPr>
              <w:jc w:val="right"/>
              <w:cnfStyle w:val="100000000000" w:firstRow="1" w:lastRow="0" w:firstColumn="0" w:lastColumn="0" w:oddVBand="0" w:evenVBand="0" w:oddHBand="0" w:evenHBand="0" w:firstRowFirstColumn="0" w:firstRowLastColumn="0" w:lastRowFirstColumn="0" w:lastRowLastColumn="0"/>
              <w:rPr>
                <w:rFonts w:cstheme="minorHAnsi"/>
                <w:color w:val="000000"/>
              </w:rPr>
            </w:pPr>
            <w:r w:rsidRPr="00FA7AC1">
              <w:rPr>
                <w:rFonts w:cstheme="minorHAnsi"/>
                <w:color w:val="000000"/>
              </w:rPr>
              <w:t>2017–18</w:t>
            </w:r>
          </w:p>
        </w:tc>
        <w:tc>
          <w:tcPr>
            <w:tcW w:w="833" w:type="pct"/>
            <w:hideMark/>
          </w:tcPr>
          <w:p w14:paraId="27BE674A" w14:textId="77777777" w:rsidR="00A910C9" w:rsidRPr="00FA7AC1" w:rsidRDefault="00A910C9" w:rsidP="00CD4BBD">
            <w:pPr>
              <w:jc w:val="right"/>
              <w:cnfStyle w:val="100000000000" w:firstRow="1" w:lastRow="0" w:firstColumn="0" w:lastColumn="0" w:oddVBand="0" w:evenVBand="0" w:oddHBand="0" w:evenHBand="0" w:firstRowFirstColumn="0" w:firstRowLastColumn="0" w:lastRowFirstColumn="0" w:lastRowLastColumn="0"/>
              <w:rPr>
                <w:rFonts w:cstheme="minorHAnsi"/>
                <w:color w:val="000000"/>
              </w:rPr>
            </w:pPr>
            <w:r w:rsidRPr="00FA7AC1">
              <w:rPr>
                <w:rFonts w:cstheme="minorHAnsi"/>
                <w:color w:val="000000"/>
              </w:rPr>
              <w:t>2018–19</w:t>
            </w:r>
          </w:p>
        </w:tc>
      </w:tr>
      <w:tr w:rsidR="00A910C9" w:rsidRPr="00FA7AC1" w14:paraId="3C0ECD12" w14:textId="77777777" w:rsidTr="00CD4BBD">
        <w:trPr>
          <w:trHeight w:val="298"/>
        </w:trPr>
        <w:tc>
          <w:tcPr>
            <w:cnfStyle w:val="001000000000" w:firstRow="0" w:lastRow="0" w:firstColumn="1" w:lastColumn="0" w:oddVBand="0" w:evenVBand="0" w:oddHBand="0" w:evenHBand="0" w:firstRowFirstColumn="0" w:firstRowLastColumn="0" w:lastRowFirstColumn="0" w:lastRowLastColumn="0"/>
            <w:tcW w:w="833" w:type="pct"/>
            <w:vAlign w:val="center"/>
          </w:tcPr>
          <w:p w14:paraId="1C80F95D" w14:textId="77777777" w:rsidR="00A910C9" w:rsidRPr="00FA7AC1" w:rsidRDefault="00A910C9" w:rsidP="00CD4BBD">
            <w:pPr>
              <w:rPr>
                <w:rFonts w:cstheme="minorHAnsi"/>
                <w:color w:val="000000"/>
              </w:rPr>
            </w:pPr>
            <w:r w:rsidRPr="00FA7AC1">
              <w:rPr>
                <w:rFonts w:cstheme="minorHAnsi"/>
                <w:color w:val="000000"/>
              </w:rPr>
              <w:t>Value of production</w:t>
            </w:r>
          </w:p>
        </w:tc>
        <w:tc>
          <w:tcPr>
            <w:tcW w:w="833" w:type="pct"/>
            <w:vAlign w:val="center"/>
          </w:tcPr>
          <w:p w14:paraId="1AEB26A6" w14:textId="77777777" w:rsidR="00A910C9" w:rsidRPr="00FA7AC1" w:rsidRDefault="00A910C9" w:rsidP="00CD4BBD">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A7AC1">
              <w:rPr>
                <w:rFonts w:cstheme="minorHAnsi"/>
                <w:color w:val="000000"/>
              </w:rPr>
              <w:t xml:space="preserve"> 784,330.00</w:t>
            </w:r>
          </w:p>
        </w:tc>
        <w:tc>
          <w:tcPr>
            <w:tcW w:w="833" w:type="pct"/>
            <w:vAlign w:val="center"/>
          </w:tcPr>
          <w:p w14:paraId="4A367B2E" w14:textId="77777777" w:rsidR="00A910C9" w:rsidRPr="00FA7AC1" w:rsidRDefault="00A910C9" w:rsidP="00CD4BBD">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A7AC1">
              <w:rPr>
                <w:rFonts w:cstheme="minorHAnsi"/>
                <w:color w:val="000000"/>
              </w:rPr>
              <w:t xml:space="preserve">746,600.00 </w:t>
            </w:r>
          </w:p>
        </w:tc>
        <w:tc>
          <w:tcPr>
            <w:tcW w:w="833" w:type="pct"/>
            <w:vAlign w:val="center"/>
          </w:tcPr>
          <w:p w14:paraId="27207B7D" w14:textId="77777777" w:rsidR="00A910C9" w:rsidRPr="00FA7AC1" w:rsidRDefault="00A910C9" w:rsidP="00CD4BBD">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81816">
              <w:rPr>
                <w:rFonts w:cstheme="minorHAnsi"/>
                <w:color w:val="000000"/>
              </w:rPr>
              <w:t>724,410.00</w:t>
            </w:r>
          </w:p>
        </w:tc>
        <w:tc>
          <w:tcPr>
            <w:tcW w:w="833" w:type="pct"/>
            <w:vAlign w:val="center"/>
          </w:tcPr>
          <w:p w14:paraId="242E33D8" w14:textId="77777777" w:rsidR="00A910C9" w:rsidRPr="00FA7AC1" w:rsidRDefault="00A910C9" w:rsidP="00CD4BBD">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A7AC1">
              <w:rPr>
                <w:rFonts w:cstheme="minorHAnsi"/>
                <w:color w:val="000000"/>
              </w:rPr>
              <w:t xml:space="preserve"> </w:t>
            </w:r>
            <w:r w:rsidRPr="00981816">
              <w:rPr>
                <w:rFonts w:cstheme="minorHAnsi"/>
                <w:color w:val="000000"/>
              </w:rPr>
              <w:t>989,670.00</w:t>
            </w:r>
          </w:p>
        </w:tc>
        <w:tc>
          <w:tcPr>
            <w:tcW w:w="833" w:type="pct"/>
            <w:vAlign w:val="center"/>
          </w:tcPr>
          <w:p w14:paraId="1B87993F" w14:textId="77777777" w:rsidR="00A910C9" w:rsidRPr="00FA7AC1" w:rsidRDefault="00A910C9" w:rsidP="00CD4BBD">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81816">
              <w:rPr>
                <w:rFonts w:cstheme="minorHAnsi"/>
                <w:color w:val="000000"/>
              </w:rPr>
              <w:t>1,055,920.00</w:t>
            </w:r>
          </w:p>
        </w:tc>
      </w:tr>
    </w:tbl>
    <w:p w14:paraId="1EDDF472" w14:textId="77777777" w:rsidR="00582786" w:rsidRDefault="00582786" w:rsidP="00A910C9">
      <w:pPr>
        <w:sectPr w:rsidR="00582786" w:rsidSect="00A910C9">
          <w:headerReference w:type="default" r:id="rId12"/>
          <w:pgSz w:w="11906" w:h="16838" w:code="9"/>
          <w:pgMar w:top="1418" w:right="1418" w:bottom="1418" w:left="1418" w:header="567" w:footer="567" w:gutter="0"/>
          <w:cols w:space="708"/>
          <w:docGrid w:linePitch="360"/>
        </w:sectPr>
      </w:pPr>
    </w:p>
    <w:p w14:paraId="43F78923" w14:textId="77777777" w:rsidR="00582786" w:rsidRPr="00FA7AC1" w:rsidRDefault="00582786" w:rsidP="00582786">
      <w:pPr>
        <w:pStyle w:val="ListParagraph"/>
        <w:keepNext/>
        <w:keepLines/>
        <w:spacing w:line="240" w:lineRule="auto"/>
        <w:ind w:left="0"/>
        <w:jc w:val="center"/>
        <w:rPr>
          <w:rFonts w:asciiTheme="minorHAnsi" w:hAnsiTheme="minorHAnsi" w:cstheme="minorHAnsi"/>
          <w:b/>
        </w:rPr>
      </w:pPr>
      <w:r w:rsidRPr="00FA7AC1">
        <w:rPr>
          <w:rFonts w:asciiTheme="minorHAnsi" w:hAnsiTheme="minorHAnsi" w:cstheme="minorHAnsi"/>
          <w:b/>
        </w:rPr>
        <w:t xml:space="preserve">TABLE 22 (Revised) – Calculations showing product-specific domestic support for sugarcane 2016–17 </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850"/>
        <w:gridCol w:w="709"/>
        <w:gridCol w:w="1134"/>
        <w:gridCol w:w="1171"/>
        <w:gridCol w:w="672"/>
        <w:gridCol w:w="708"/>
        <w:gridCol w:w="993"/>
        <w:gridCol w:w="850"/>
        <w:gridCol w:w="709"/>
        <w:gridCol w:w="992"/>
        <w:gridCol w:w="851"/>
        <w:gridCol w:w="992"/>
        <w:gridCol w:w="992"/>
        <w:gridCol w:w="992"/>
      </w:tblGrid>
      <w:tr w:rsidR="00582786" w:rsidRPr="00DB2344" w14:paraId="57F92E5C" w14:textId="77777777" w:rsidTr="00CD4BBD">
        <w:trPr>
          <w:trHeight w:val="300"/>
          <w:tblHeader/>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A54E7BF" w14:textId="77777777" w:rsidR="00582786" w:rsidRPr="00DB2344" w:rsidRDefault="00582786" w:rsidP="00CD4BBD">
            <w:pPr>
              <w:spacing w:after="0" w:line="240" w:lineRule="auto"/>
              <w:rPr>
                <w:rFonts w:asciiTheme="minorHAnsi" w:hAnsiTheme="minorHAnsi" w:cstheme="minorHAnsi"/>
                <w:b/>
                <w:sz w:val="16"/>
                <w:szCs w:val="16"/>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764B50AB" w14:textId="77777777" w:rsidR="00582786" w:rsidRPr="00565D70"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565D70">
              <w:rPr>
                <w:rFonts w:asciiTheme="minorHAnsi" w:eastAsia="Times New Roman" w:hAnsiTheme="minorHAnsi" w:cstheme="minorHAnsi"/>
                <w:b/>
                <w:bCs/>
                <w:color w:val="000000"/>
                <w:sz w:val="16"/>
                <w:szCs w:val="16"/>
                <w:lang w:eastAsia="en-AU"/>
              </w:rPr>
              <w:t>Recovery Rate (RR)</w:t>
            </w:r>
          </w:p>
        </w:tc>
        <w:tc>
          <w:tcPr>
            <w:tcW w:w="3014" w:type="dxa"/>
            <w:gridSpan w:val="3"/>
            <w:tcBorders>
              <w:top w:val="single" w:sz="4" w:space="0" w:color="auto"/>
              <w:left w:val="single" w:sz="4" w:space="0" w:color="auto"/>
              <w:bottom w:val="single" w:sz="4" w:space="0" w:color="auto"/>
              <w:right w:val="single" w:sz="4" w:space="0" w:color="auto"/>
            </w:tcBorders>
            <w:noWrap/>
            <w:vAlign w:val="bottom"/>
            <w:hideMark/>
          </w:tcPr>
          <w:p w14:paraId="4262987F"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AAP = FRP + average FRP premiums</w:t>
            </w:r>
          </w:p>
          <w:p w14:paraId="5B811B06"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b/>
                <w:bCs/>
                <w:color w:val="000000"/>
                <w:sz w:val="16"/>
                <w:szCs w:val="16"/>
                <w:lang w:eastAsia="en-AU"/>
              </w:rPr>
              <w:t>(INR per mT)</w:t>
            </w:r>
          </w:p>
        </w:tc>
        <w:tc>
          <w:tcPr>
            <w:tcW w:w="2373" w:type="dxa"/>
            <w:gridSpan w:val="3"/>
            <w:tcBorders>
              <w:top w:val="single" w:sz="4" w:space="0" w:color="auto"/>
              <w:left w:val="single" w:sz="4" w:space="0" w:color="auto"/>
              <w:bottom w:val="single" w:sz="4" w:space="0" w:color="auto"/>
              <w:right w:val="single" w:sz="4" w:space="0" w:color="auto"/>
            </w:tcBorders>
            <w:noWrap/>
            <w:vAlign w:val="bottom"/>
            <w:hideMark/>
          </w:tcPr>
          <w:p w14:paraId="02F69BB0"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 xml:space="preserve">AAP = FRP or SAPs </w:t>
            </w:r>
          </w:p>
          <w:p w14:paraId="49BF4EA2"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b/>
                <w:bCs/>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B387053"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b/>
                <w:sz w:val="16"/>
                <w:szCs w:val="16"/>
                <w:lang w:eastAsia="en-AU"/>
              </w:rPr>
              <w:t>FERP</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F39F7F8"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b/>
                <w:bCs/>
                <w:color w:val="000000"/>
                <w:sz w:val="16"/>
                <w:szCs w:val="16"/>
                <w:lang w:eastAsia="en-AU"/>
              </w:rPr>
              <w:t>QEP</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DEABA6F"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b/>
                <w:sz w:val="16"/>
                <w:szCs w:val="16"/>
                <w:lang w:eastAsia="en-AU"/>
              </w:rPr>
              <w:t>MPS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0FF3042"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8EB183C"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b/>
                <w:bCs/>
                <w:color w:val="000000"/>
                <w:sz w:val="16"/>
                <w:szCs w:val="16"/>
                <w:lang w:eastAsia="en-AU"/>
              </w:rPr>
              <w:t>Product  specific AMS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E0DA1D7"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b/>
                <w:bCs/>
                <w:color w:val="000000"/>
                <w:sz w:val="16"/>
                <w:szCs w:val="16"/>
                <w:lang w:eastAsia="en-AU"/>
              </w:rPr>
              <w:t>Value of production</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C06B275"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r w:rsidRPr="00DB2344">
              <w:rPr>
                <w:rFonts w:asciiTheme="minorHAnsi" w:eastAsia="Times New Roman" w:hAnsiTheme="minorHAnsi" w:cstheme="minorHAnsi"/>
                <w:b/>
                <w:bCs/>
                <w:color w:val="000000"/>
                <w:sz w:val="16"/>
                <w:szCs w:val="16"/>
                <w:lang w:eastAsia="en-AU"/>
              </w:rPr>
              <w:t>Percentage of value of production</w:t>
            </w:r>
          </w:p>
        </w:tc>
      </w:tr>
      <w:tr w:rsidR="00582786" w:rsidRPr="00DB2344" w14:paraId="78037DC6" w14:textId="77777777" w:rsidTr="00CD4BBD">
        <w:trPr>
          <w:trHeight w:val="300"/>
          <w:tblHeader/>
        </w:trPr>
        <w:tc>
          <w:tcPr>
            <w:tcW w:w="1135" w:type="dxa"/>
            <w:tcBorders>
              <w:top w:val="single" w:sz="4" w:space="0" w:color="auto"/>
              <w:left w:val="single" w:sz="4" w:space="0" w:color="auto"/>
              <w:bottom w:val="single" w:sz="4" w:space="0" w:color="auto"/>
              <w:right w:val="single" w:sz="4" w:space="0" w:color="auto"/>
            </w:tcBorders>
            <w:noWrap/>
            <w:vAlign w:val="bottom"/>
          </w:tcPr>
          <w:p w14:paraId="0D746301"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506E033"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Actual average RR</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3D3DF44"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Base FRP Nominal RR</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2290C44"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xml:space="preserve">Base FRP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BC8815D"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xml:space="preserve">FRP premium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3617C5DF"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xml:space="preserve">AAP in terms of FRP + average FRP premiums </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490EC3DE"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SAP (mid)</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67CFCE8"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xml:space="preserve">Add. Amts (alt. claim) </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13FF2148"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xml:space="preserve">AAP in terms of average FRP or SAPs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DAC8832"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xml:space="preserve">FERP Adjusted for average RR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EF1B31E"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xml:space="preserve">QEP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9714E48"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xml:space="preserve">MPS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AD4E577"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Add. amts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473E0BE"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xml:space="preserve">MPS + additional amounts </w:t>
            </w:r>
          </w:p>
        </w:tc>
        <w:tc>
          <w:tcPr>
            <w:tcW w:w="992" w:type="dxa"/>
            <w:tcBorders>
              <w:top w:val="single" w:sz="4" w:space="0" w:color="auto"/>
              <w:left w:val="single" w:sz="4" w:space="0" w:color="auto"/>
              <w:bottom w:val="single" w:sz="4" w:space="0" w:color="auto"/>
              <w:right w:val="single" w:sz="4" w:space="0" w:color="auto"/>
            </w:tcBorders>
            <w:noWrap/>
            <w:vAlign w:val="bottom"/>
          </w:tcPr>
          <w:p w14:paraId="4C81C30C" w14:textId="77777777" w:rsidR="00582786" w:rsidRPr="00DB2344" w:rsidRDefault="00582786" w:rsidP="00CD4BBD">
            <w:pPr>
              <w:tabs>
                <w:tab w:val="left" w:pos="586"/>
              </w:tabs>
              <w:spacing w:after="0" w:line="240" w:lineRule="auto"/>
              <w:jc w:val="center"/>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29247E06"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r>
      <w:tr w:rsidR="00582786" w:rsidRPr="00DB2344" w14:paraId="39539488" w14:textId="77777777" w:rsidTr="00CD4BBD">
        <w:trPr>
          <w:trHeight w:val="630"/>
          <w:tblHeader/>
        </w:trPr>
        <w:tc>
          <w:tcPr>
            <w:tcW w:w="1135" w:type="dxa"/>
            <w:tcBorders>
              <w:top w:val="single" w:sz="4" w:space="0" w:color="auto"/>
              <w:left w:val="single" w:sz="4" w:space="0" w:color="auto"/>
              <w:bottom w:val="single" w:sz="4" w:space="0" w:color="auto"/>
              <w:right w:val="single" w:sz="4" w:space="0" w:color="auto"/>
            </w:tcBorders>
            <w:noWrap/>
            <w:vAlign w:val="bottom"/>
          </w:tcPr>
          <w:p w14:paraId="38FD0DB7"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F03F7D3"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6474B65"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8243130"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(INR per mT)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F7FF3ED"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(INR per mT per 0.1 % above nominal RR)</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7ABD9DBE"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(INR per mT)</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57596946"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(INR per mT)</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C2887F6"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(INR per mT)</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9F4A090"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8C096FF"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(INR per mT)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F6D7095"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(million mT)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484C399"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Cs/>
                <w:color w:val="000000"/>
                <w:sz w:val="16"/>
                <w:szCs w:val="16"/>
                <w:lang w:eastAsia="en-AU"/>
              </w:rPr>
              <w:t>(INR millions)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450724A"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D3D5314"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tcPr>
          <w:p w14:paraId="14A90A13"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Cs/>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3F42C48"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w:t>
            </w:r>
          </w:p>
        </w:tc>
      </w:tr>
      <w:tr w:rsidR="00582786" w:rsidRPr="00DB2344" w14:paraId="05AB3496" w14:textId="77777777" w:rsidTr="00CD4BBD">
        <w:trPr>
          <w:trHeight w:val="630"/>
          <w:tblHeader/>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5675FF18" w14:textId="77777777" w:rsidR="00582786" w:rsidRPr="00DB2344" w:rsidRDefault="00582786" w:rsidP="00CD4BBD">
            <w:pPr>
              <w:spacing w:after="0" w:line="240" w:lineRule="auto"/>
              <w:rPr>
                <w:rFonts w:asciiTheme="minorHAnsi" w:eastAsia="Times New Roman" w:hAnsiTheme="minorHAnsi" w:cstheme="minorHAnsi"/>
                <w:b/>
                <w:bCs/>
                <w:color w:val="000000"/>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7C825D2"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45FA48F"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438CF6E"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27A5B66"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C4</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7B110083"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 xml:space="preserve">C5 = C3+(C1-C2)/0.1 *C4 (or C3 if </w:t>
            </w:r>
            <w:r w:rsidRPr="00DB2344">
              <w:rPr>
                <w:rFonts w:asciiTheme="minorHAnsi" w:hAnsiTheme="minorHAnsi" w:cstheme="minorHAnsi"/>
                <w:sz w:val="16"/>
                <w:szCs w:val="16"/>
              </w:rPr>
              <w:t xml:space="preserve">≤ </w:t>
            </w:r>
            <w:r w:rsidRPr="00DB2344">
              <w:rPr>
                <w:rFonts w:asciiTheme="minorHAnsi" w:eastAsia="Times New Roman" w:hAnsiTheme="minorHAnsi" w:cstheme="minorHAnsi"/>
                <w:b/>
                <w:bCs/>
                <w:color w:val="000000"/>
                <w:sz w:val="16"/>
                <w:szCs w:val="16"/>
                <w:lang w:eastAsia="en-AU"/>
              </w:rPr>
              <w:t>2300)</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564DA517"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BC334CD"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C7</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0ACD8753"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C8 (C5, or C6 if &gt;C5)</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9CD2F88"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FA5269C"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C10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DC6FCF9"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C11 = (C8-C9)* C10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5E3AF2D"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C12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AC43F91"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C14 = C11 + C12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5C77F03"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C15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16047B2" w14:textId="77777777" w:rsidR="00582786" w:rsidRPr="00DB2344"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C16 = C14/C15</w:t>
            </w:r>
          </w:p>
        </w:tc>
      </w:tr>
      <w:tr w:rsidR="00582786" w:rsidRPr="00DB2344" w14:paraId="6F3D3C68"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40D0575"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Andhra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2971E5D"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9.34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A74ACDB"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39180395"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94E438B"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A821238"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2,300.00*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6B01EFAB"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45460BE"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sz w:val="16"/>
                <w:szCs w:val="16"/>
              </w:rPr>
              <w:t>[60]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41028F8"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2,300.00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B00AB08"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171.52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3AE0BFA"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7.83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70E46E4"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16,666.01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9C28732"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C9785C"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16,666.01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A1B2A2D"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F2DE880"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71126DC4"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B434DAE"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Bihar</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007D545"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9.08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78D6F5D"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17F61E94"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FFC212"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9C5101F"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 2,300.00*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68083818"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2800</w:t>
            </w:r>
          </w:p>
        </w:tc>
        <w:tc>
          <w:tcPr>
            <w:tcW w:w="708" w:type="dxa"/>
            <w:tcBorders>
              <w:top w:val="single" w:sz="4" w:space="0" w:color="auto"/>
              <w:left w:val="single" w:sz="4" w:space="0" w:color="auto"/>
              <w:bottom w:val="single" w:sz="4" w:space="0" w:color="auto"/>
              <w:right w:val="single" w:sz="4" w:space="0" w:color="auto"/>
            </w:tcBorders>
            <w:noWrap/>
            <w:vAlign w:val="center"/>
          </w:tcPr>
          <w:p w14:paraId="1E5CF1D3"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EB5DDDA"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2,800.00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20CE8DC"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166.74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44E12B7"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13.04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30EBAB"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34,327.13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9CDDC42"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987A15A"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 34,327.13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345B736"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4927154"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266E8180"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B09F8A1"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Gujarat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8941F36"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10.56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57E5C04"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3B9CF9F8"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2E63E2"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5EBA7ED6"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2,556.52 </w:t>
            </w:r>
          </w:p>
        </w:tc>
        <w:tc>
          <w:tcPr>
            <w:tcW w:w="672" w:type="dxa"/>
            <w:tcBorders>
              <w:top w:val="single" w:sz="4" w:space="0" w:color="auto"/>
              <w:left w:val="single" w:sz="4" w:space="0" w:color="auto"/>
              <w:bottom w:val="single" w:sz="4" w:space="0" w:color="auto"/>
              <w:right w:val="single" w:sz="4" w:space="0" w:color="auto"/>
            </w:tcBorders>
            <w:noWrap/>
            <w:vAlign w:val="center"/>
          </w:tcPr>
          <w:p w14:paraId="33A0B840"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7C9474B"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FC0CC22"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2,556.52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263FD8E"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193.92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031C2F"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11.95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5D0A9E"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28,233.05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F6D3D8C"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DED7C8"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 28,233.05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C090F23"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29698BE"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6E94A765"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786AC21F"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Haryana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2A60910"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10.19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6B67093"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40096F00"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4F4244C"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5215485"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2,466.98 </w:t>
            </w:r>
          </w:p>
        </w:tc>
        <w:tc>
          <w:tcPr>
            <w:tcW w:w="672" w:type="dxa"/>
            <w:tcBorders>
              <w:top w:val="single" w:sz="4" w:space="0" w:color="auto"/>
              <w:left w:val="single" w:sz="4" w:space="0" w:color="auto"/>
              <w:bottom w:val="single" w:sz="4" w:space="0" w:color="auto"/>
              <w:right w:val="single" w:sz="4" w:space="0" w:color="auto"/>
            </w:tcBorders>
            <w:noWrap/>
            <w:vAlign w:val="center"/>
          </w:tcPr>
          <w:p w14:paraId="4AB45526"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3150</w:t>
            </w:r>
          </w:p>
        </w:tc>
        <w:tc>
          <w:tcPr>
            <w:tcW w:w="708" w:type="dxa"/>
            <w:tcBorders>
              <w:top w:val="single" w:sz="4" w:space="0" w:color="auto"/>
              <w:left w:val="single" w:sz="4" w:space="0" w:color="auto"/>
              <w:bottom w:val="single" w:sz="4" w:space="0" w:color="auto"/>
              <w:right w:val="single" w:sz="4" w:space="0" w:color="auto"/>
            </w:tcBorders>
            <w:noWrap/>
            <w:vAlign w:val="center"/>
          </w:tcPr>
          <w:p w14:paraId="03335CB0"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4778328"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3,150.00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7EF90B7"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187.13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C8F9EA4"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8.22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CC5AB1B"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24,363.70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642071F"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1801B6"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 24,363.70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A06679A"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2C15989"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21B1F3B9"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57E6CA99"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Karnataka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BF721A1"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10.28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2D1F35B"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2B71CA0B"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60D59F"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8F0157E"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2,488.76 </w:t>
            </w:r>
          </w:p>
        </w:tc>
        <w:tc>
          <w:tcPr>
            <w:tcW w:w="672" w:type="dxa"/>
            <w:tcBorders>
              <w:top w:val="single" w:sz="4" w:space="0" w:color="auto"/>
              <w:left w:val="single" w:sz="4" w:space="0" w:color="auto"/>
              <w:bottom w:val="single" w:sz="4" w:space="0" w:color="auto"/>
              <w:right w:val="single" w:sz="4" w:space="0" w:color="auto"/>
            </w:tcBorders>
            <w:noWrap/>
            <w:vAlign w:val="center"/>
          </w:tcPr>
          <w:p w14:paraId="5D756FB8"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D4BC3BA"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EA0A743"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2,488.76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3D965F"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188.78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9BE9CF7"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27.38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98A380"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   62,968.86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AC50AF6"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4278AD"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 62,968.86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51C6D39"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E96FE99"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3DCE5C14"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2DFC644"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Maharashtra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C5F22D"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11.19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E86929"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817284D"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720D14"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16CA2D0"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2,708.98 </w:t>
            </w:r>
          </w:p>
        </w:tc>
        <w:tc>
          <w:tcPr>
            <w:tcW w:w="672" w:type="dxa"/>
            <w:tcBorders>
              <w:top w:val="single" w:sz="4" w:space="0" w:color="auto"/>
              <w:left w:val="single" w:sz="4" w:space="0" w:color="auto"/>
              <w:bottom w:val="single" w:sz="4" w:space="0" w:color="auto"/>
              <w:right w:val="single" w:sz="4" w:space="0" w:color="auto"/>
            </w:tcBorders>
            <w:noWrap/>
            <w:vAlign w:val="center"/>
          </w:tcPr>
          <w:p w14:paraId="7FAEEAA3"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46C70B0"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F2C0B57"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2,708.98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7BC0F1A"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205.49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49C3415"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52.26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786E916"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 130,837.35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DA8DA90"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1D5C3E5"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130,837.35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0C8EC28"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7186458"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01F831A2"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0AF4960"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Punjab</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F9EC71C"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9.34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94951D8"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2CD588B0"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E98AC7"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187DA8AC"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2,300.00*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27BC80B0"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2900</w:t>
            </w:r>
          </w:p>
        </w:tc>
        <w:tc>
          <w:tcPr>
            <w:tcW w:w="708" w:type="dxa"/>
            <w:tcBorders>
              <w:top w:val="single" w:sz="4" w:space="0" w:color="auto"/>
              <w:left w:val="single" w:sz="4" w:space="0" w:color="auto"/>
              <w:bottom w:val="single" w:sz="4" w:space="0" w:color="auto"/>
              <w:right w:val="single" w:sz="4" w:space="0" w:color="auto"/>
            </w:tcBorders>
            <w:noWrap/>
            <w:vAlign w:val="center"/>
          </w:tcPr>
          <w:p w14:paraId="05A1AE3E"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6A62CE2"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2,900.00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014A1F5"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171.52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961543"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7.15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BA7C57"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   19,514.10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740D6A5"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7744E5"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 19,514.10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39ACD92"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4CD45B5"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47E53B83"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2994D783"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Tamil Nadu</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E1C9741"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9.08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9E38137"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7E0E455"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A48A6A"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85ECFCF" w14:textId="77777777" w:rsidR="00582786" w:rsidRPr="00DB2344" w:rsidRDefault="00582786" w:rsidP="00CD4BBD">
            <w:pPr>
              <w:spacing w:after="0" w:line="240" w:lineRule="auto"/>
              <w:jc w:val="right"/>
              <w:rPr>
                <w:rFonts w:asciiTheme="minorHAnsi" w:eastAsia="Times New Roman" w:hAnsiTheme="minorHAnsi" w:cstheme="minorHAnsi"/>
                <w:bCs/>
                <w:color w:val="FF0000"/>
                <w:sz w:val="16"/>
                <w:szCs w:val="16"/>
                <w:lang w:eastAsia="en-AU"/>
              </w:rPr>
            </w:pPr>
            <w:r w:rsidRPr="00DB2344">
              <w:rPr>
                <w:rFonts w:asciiTheme="minorHAnsi" w:hAnsiTheme="minorHAnsi" w:cstheme="minorHAnsi"/>
                <w:bCs/>
                <w:color w:val="000000"/>
                <w:sz w:val="16"/>
                <w:szCs w:val="16"/>
              </w:rPr>
              <w:t>2,300.00*</w:t>
            </w:r>
            <w:r w:rsidRPr="00DB2344">
              <w:rPr>
                <w:rFonts w:asciiTheme="minorHAnsi" w:hAnsiTheme="minorHAnsi" w:cstheme="minorHAnsi"/>
                <w:sz w:val="16"/>
                <w:szCs w:val="16"/>
                <w:highlight w:val="yellow"/>
              </w:rPr>
              <w:t xml:space="preserve"> </w:t>
            </w:r>
            <w:r w:rsidRPr="00DB2344">
              <w:rPr>
                <w:rFonts w:asciiTheme="minorHAnsi" w:hAnsiTheme="minorHAnsi" w:cstheme="minorHAnsi"/>
                <w:bCs/>
                <w:color w:val="000000"/>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68572717"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2850</w:t>
            </w:r>
            <w:r w:rsidRPr="00DB2344">
              <w:rPr>
                <w:rFonts w:asciiTheme="minorHAnsi" w:hAnsiTheme="minorHAnsi" w:cstheme="minorHAnsi"/>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728396F6"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D435401"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2,850.00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AFA6EEC"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166.74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47E354A"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18.99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CF44C2"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   50,949.68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28D7708"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81C3C5B"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 50,949.68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E444FB7"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DB30576"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5E2DE52F"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028DA8B"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Telangana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A54EB0C"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10.33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6CA226C"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339754D7"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9E7A25"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DC0C692"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2,500.86 </w:t>
            </w:r>
          </w:p>
        </w:tc>
        <w:tc>
          <w:tcPr>
            <w:tcW w:w="672" w:type="dxa"/>
            <w:tcBorders>
              <w:top w:val="single" w:sz="4" w:space="0" w:color="auto"/>
              <w:left w:val="single" w:sz="4" w:space="0" w:color="auto"/>
              <w:bottom w:val="single" w:sz="4" w:space="0" w:color="auto"/>
              <w:right w:val="single" w:sz="4" w:space="0" w:color="auto"/>
            </w:tcBorders>
            <w:noWrap/>
            <w:vAlign w:val="center"/>
          </w:tcPr>
          <w:p w14:paraId="378E7C72"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048FE19"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B48F95F"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2,500.86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99387C0"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189.70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CBD394"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2.06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5808DF0"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   4,763.30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FD1FA5D"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7EBB3E"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  4,763.30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9E2244C"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3974B3C"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543FBC66"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21BE123E"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Uttar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CEAA05"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10.26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A5D3EF4"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6451F3C"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CC1FBC"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5EA2818"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2,483.92 </w:t>
            </w:r>
          </w:p>
        </w:tc>
        <w:tc>
          <w:tcPr>
            <w:tcW w:w="672" w:type="dxa"/>
            <w:tcBorders>
              <w:top w:val="single" w:sz="4" w:space="0" w:color="auto"/>
              <w:left w:val="single" w:sz="4" w:space="0" w:color="auto"/>
              <w:bottom w:val="single" w:sz="4" w:space="0" w:color="auto"/>
              <w:right w:val="single" w:sz="4" w:space="0" w:color="auto"/>
            </w:tcBorders>
            <w:noWrap/>
            <w:vAlign w:val="center"/>
          </w:tcPr>
          <w:p w14:paraId="2310EE6C"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3050</w:t>
            </w:r>
          </w:p>
        </w:tc>
        <w:tc>
          <w:tcPr>
            <w:tcW w:w="708" w:type="dxa"/>
            <w:tcBorders>
              <w:top w:val="single" w:sz="4" w:space="0" w:color="auto"/>
              <w:left w:val="single" w:sz="4" w:space="0" w:color="auto"/>
              <w:bottom w:val="single" w:sz="4" w:space="0" w:color="auto"/>
              <w:right w:val="single" w:sz="4" w:space="0" w:color="auto"/>
            </w:tcBorders>
            <w:noWrap/>
            <w:vAlign w:val="center"/>
          </w:tcPr>
          <w:p w14:paraId="5B976692"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A46D7DD"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3,050.00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AD4178B"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188.41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5981CAA"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140.17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79098A0"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 401,105.85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13BF710"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481D87D"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401,105.85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45AE550"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E1C06DA"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55136018"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2C2B81C7"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Uttarakhand</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C1E7847"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8.2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7F8EC1F"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0387412D"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DBFBA4"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051A76E"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2,300.00*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079113B0"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3070</w:t>
            </w:r>
          </w:p>
        </w:tc>
        <w:tc>
          <w:tcPr>
            <w:tcW w:w="708" w:type="dxa"/>
            <w:tcBorders>
              <w:top w:val="single" w:sz="4" w:space="0" w:color="auto"/>
              <w:left w:val="single" w:sz="4" w:space="0" w:color="auto"/>
              <w:bottom w:val="single" w:sz="4" w:space="0" w:color="auto"/>
              <w:right w:val="single" w:sz="4" w:space="0" w:color="auto"/>
            </w:tcBorders>
            <w:noWrap/>
            <w:vAlign w:val="center"/>
          </w:tcPr>
          <w:p w14:paraId="63ACE9A1"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B8BA325"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3,070.00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FEC498"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150.58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6C8C253"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6.48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D3D274"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  18,909.06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F3D7FFC"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63CA33"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   18,909.06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050F6B1"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D14E147"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57E60AFB"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35A69EF"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Other States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E9EE146"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035000A"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1C4F4FA9"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AFB992" w14:textId="77777777" w:rsidR="00582786" w:rsidRPr="00DB2344"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DB2344">
              <w:rPr>
                <w:rFonts w:asciiTheme="minorHAnsi" w:hAnsiTheme="minorHAnsi" w:cstheme="minorHAnsi"/>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556EF233"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DB2344">
              <w:rPr>
                <w:rFonts w:asciiTheme="minorHAnsi" w:hAnsiTheme="minorHAnsi" w:cstheme="minorHAnsi"/>
                <w:bCs/>
                <w:color w:val="000000"/>
                <w:sz w:val="16"/>
                <w:szCs w:val="16"/>
              </w:rPr>
              <w:t xml:space="preserve">2,300.00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1C4E7867" w14:textId="77777777" w:rsidR="00582786" w:rsidRPr="00DB2344" w:rsidRDefault="00582786" w:rsidP="00CD4BBD">
            <w:pPr>
              <w:spacing w:after="0" w:line="240" w:lineRule="auto"/>
              <w:jc w:val="right"/>
              <w:rPr>
                <w:rFonts w:asciiTheme="minorHAnsi" w:eastAsia="Times New Roman" w:hAnsiTheme="minorHAnsi" w:cstheme="minorHAnsi"/>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96DD426" w14:textId="77777777" w:rsidR="00582786" w:rsidRPr="00DB2344"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5706948"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2,300.00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83C0D4"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174.46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D895E67"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color w:val="000000"/>
                <w:sz w:val="16"/>
                <w:szCs w:val="16"/>
              </w:rPr>
              <w:t xml:space="preserve">  10.54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F78A01" w14:textId="77777777" w:rsidR="00582786" w:rsidRPr="00DB2344" w:rsidRDefault="00582786" w:rsidP="00CD4BBD">
            <w:pPr>
              <w:spacing w:after="0" w:line="240" w:lineRule="auto"/>
              <w:jc w:val="right"/>
              <w:rPr>
                <w:rFonts w:asciiTheme="minorHAnsi" w:hAnsiTheme="minorHAnsi" w:cstheme="minorHAnsi"/>
                <w:color w:val="000000"/>
                <w:sz w:val="16"/>
                <w:szCs w:val="16"/>
                <w:highlight w:val="yellow"/>
              </w:rPr>
            </w:pPr>
            <w:r w:rsidRPr="00DB2344">
              <w:rPr>
                <w:rFonts w:asciiTheme="minorHAnsi" w:hAnsiTheme="minorHAnsi" w:cstheme="minorHAnsi"/>
                <w:bCs/>
                <w:color w:val="000000"/>
                <w:sz w:val="16"/>
                <w:szCs w:val="16"/>
              </w:rPr>
              <w:t xml:space="preserve">   22,411.73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8763A7B" w14:textId="77777777" w:rsidR="00582786" w:rsidRPr="00DB2344" w:rsidRDefault="00582786" w:rsidP="00CD4BBD">
            <w:pPr>
              <w:spacing w:after="0" w:line="240" w:lineRule="auto"/>
              <w:rPr>
                <w:rFonts w:asciiTheme="minorHAnsi" w:hAnsiTheme="minorHAnsi" w:cstheme="minorHAnsi"/>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AE4CBC" w14:textId="77777777" w:rsidR="00582786" w:rsidRPr="00DB2344"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Cs/>
                <w:color w:val="000000"/>
                <w:sz w:val="16"/>
                <w:szCs w:val="16"/>
              </w:rPr>
              <w:t xml:space="preserve">   22,411.73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BC2B025" w14:textId="77777777" w:rsidR="00582786" w:rsidRPr="00DB2344"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6EC7234" w14:textId="77777777" w:rsidR="00582786" w:rsidRPr="00DB2344" w:rsidRDefault="00582786" w:rsidP="00CD4BBD">
            <w:pPr>
              <w:spacing w:after="0" w:line="240" w:lineRule="auto"/>
              <w:rPr>
                <w:rFonts w:asciiTheme="minorHAnsi" w:hAnsiTheme="minorHAnsi" w:cstheme="minorHAnsi"/>
                <w:sz w:val="16"/>
                <w:szCs w:val="16"/>
                <w:lang w:eastAsia="en-AU"/>
              </w:rPr>
            </w:pPr>
          </w:p>
        </w:tc>
      </w:tr>
      <w:tr w:rsidR="00582786" w:rsidRPr="00DB2344" w14:paraId="53FE8BC3" w14:textId="77777777" w:rsidTr="00CD4BBD">
        <w:trPr>
          <w:trHeight w:val="457"/>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2F403413" w14:textId="77777777" w:rsidR="00582786" w:rsidRPr="00DB2344" w:rsidRDefault="00582786" w:rsidP="00CD4BBD">
            <w:pPr>
              <w:spacing w:after="0" w:line="240" w:lineRule="auto"/>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Total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D1A7E2A" w14:textId="77777777" w:rsidR="00582786" w:rsidRPr="00DB2344" w:rsidRDefault="00582786" w:rsidP="00CD4BBD">
            <w:pPr>
              <w:spacing w:after="0" w:line="240" w:lineRule="auto"/>
              <w:contextualSpacing/>
              <w:jc w:val="right"/>
              <w:rPr>
                <w:rFonts w:asciiTheme="minorHAnsi" w:eastAsia="Times New Roman" w:hAnsiTheme="minorHAnsi" w:cstheme="minorHAnsi"/>
                <w:b/>
                <w:bCs/>
                <w:color w:val="000000"/>
                <w:sz w:val="16"/>
                <w:szCs w:val="16"/>
                <w:lang w:eastAsia="en-AU"/>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C66F31E" w14:textId="77777777" w:rsidR="00582786" w:rsidRPr="00DB2344" w:rsidRDefault="00582786" w:rsidP="00CD4BBD">
            <w:pPr>
              <w:spacing w:after="0" w:line="240" w:lineRule="auto"/>
              <w:contextualSpacing/>
              <w:jc w:val="center"/>
              <w:rPr>
                <w:rFonts w:asciiTheme="minorHAnsi" w:eastAsia="Times New Roman" w:hAnsiTheme="minorHAnsi" w:cstheme="minorHAnsi"/>
                <w:b/>
                <w:bCs/>
                <w:color w:val="000000"/>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48981EA" w14:textId="77777777" w:rsidR="00582786" w:rsidRPr="00DB2344" w:rsidRDefault="00582786" w:rsidP="00CD4BBD">
            <w:pPr>
              <w:spacing w:after="0" w:line="240" w:lineRule="auto"/>
              <w:contextualSpacing/>
              <w:jc w:val="center"/>
              <w:rPr>
                <w:rFonts w:asciiTheme="minorHAnsi" w:eastAsia="Times New Roman" w:hAnsiTheme="minorHAnsi" w:cstheme="minorHAnsi"/>
                <w:b/>
                <w:bCs/>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49DACF" w14:textId="77777777" w:rsidR="00582786" w:rsidRPr="00DB2344" w:rsidRDefault="00582786" w:rsidP="00CD4BBD">
            <w:pPr>
              <w:spacing w:after="0" w:line="240" w:lineRule="auto"/>
              <w:contextualSpacing/>
              <w:jc w:val="center"/>
              <w:rPr>
                <w:rFonts w:asciiTheme="minorHAnsi" w:eastAsia="Times New Roman" w:hAnsiTheme="minorHAnsi" w:cstheme="minorHAnsi"/>
                <w:b/>
                <w:bCs/>
                <w:color w:val="000000"/>
                <w:sz w:val="16"/>
                <w:szCs w:val="16"/>
                <w:lang w:eastAsia="en-AU"/>
              </w:rPr>
            </w:pPr>
          </w:p>
        </w:tc>
        <w:tc>
          <w:tcPr>
            <w:tcW w:w="1171" w:type="dxa"/>
            <w:tcBorders>
              <w:top w:val="single" w:sz="4" w:space="0" w:color="auto"/>
              <w:left w:val="single" w:sz="4" w:space="0" w:color="auto"/>
              <w:bottom w:val="single" w:sz="4" w:space="0" w:color="auto"/>
              <w:right w:val="single" w:sz="4" w:space="0" w:color="auto"/>
            </w:tcBorders>
            <w:noWrap/>
            <w:vAlign w:val="center"/>
          </w:tcPr>
          <w:p w14:paraId="4E5BE0C9" w14:textId="77777777" w:rsidR="00582786" w:rsidRPr="00DB2344" w:rsidRDefault="00582786" w:rsidP="00CD4BBD">
            <w:pPr>
              <w:spacing w:after="0" w:line="240" w:lineRule="auto"/>
              <w:contextualSpacing/>
              <w:jc w:val="right"/>
              <w:rPr>
                <w:rFonts w:asciiTheme="minorHAnsi" w:eastAsia="Times New Roman" w:hAnsiTheme="minorHAnsi" w:cstheme="minorHAnsi"/>
                <w:b/>
                <w:bCs/>
                <w:color w:val="000000"/>
                <w:sz w:val="16"/>
                <w:szCs w:val="16"/>
                <w:lang w:eastAsia="en-AU"/>
              </w:rPr>
            </w:pP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35CB5197" w14:textId="77777777" w:rsidR="00582786" w:rsidRPr="00DB2344" w:rsidRDefault="00582786" w:rsidP="00CD4BBD">
            <w:pPr>
              <w:spacing w:after="0" w:line="240" w:lineRule="auto"/>
              <w:contextualSpacing/>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tcPr>
          <w:p w14:paraId="5405EE23" w14:textId="77777777" w:rsidR="00582786" w:rsidRPr="00DB2344" w:rsidRDefault="00582786" w:rsidP="00CD4BBD">
            <w:pPr>
              <w:spacing w:after="0" w:line="240" w:lineRule="auto"/>
              <w:contextualSpacing/>
              <w:rPr>
                <w:rFonts w:asciiTheme="minorHAnsi" w:eastAsia="Times New Roman" w:hAnsiTheme="minorHAnsi" w:cstheme="minorHAnsi"/>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028D9E38" w14:textId="77777777" w:rsidR="00582786" w:rsidRPr="00DB2344" w:rsidRDefault="00582786" w:rsidP="00CD4BBD">
            <w:pPr>
              <w:spacing w:after="0" w:line="240" w:lineRule="auto"/>
              <w:contextualSpacing/>
              <w:rPr>
                <w:rFonts w:asciiTheme="minorHAnsi" w:eastAsia="Times New Roman" w:hAnsiTheme="minorHAnsi" w:cstheme="minorHAnsi"/>
                <w:color w:val="000000"/>
                <w:sz w:val="16"/>
                <w:szCs w:val="16"/>
                <w:lang w:eastAsia="en-AU"/>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0DFB743B" w14:textId="77777777" w:rsidR="00582786" w:rsidRPr="00DB2344" w:rsidRDefault="00582786" w:rsidP="00CD4BBD">
            <w:pPr>
              <w:spacing w:after="0" w:line="240" w:lineRule="auto"/>
              <w:contextualSpacing/>
              <w:jc w:val="right"/>
              <w:rPr>
                <w:rFonts w:asciiTheme="minorHAnsi" w:eastAsia="Times New Roman" w:hAnsiTheme="minorHAnsi" w:cstheme="minorHAnsi"/>
                <w:b/>
                <w:bCs/>
                <w:color w:val="000000"/>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2A6C385" w14:textId="77777777" w:rsidR="00582786" w:rsidRPr="00DB2344" w:rsidRDefault="00582786" w:rsidP="00CD4BBD">
            <w:pPr>
              <w:spacing w:after="0" w:line="240" w:lineRule="auto"/>
              <w:contextualSpacing/>
              <w:jc w:val="right"/>
              <w:rPr>
                <w:rFonts w:asciiTheme="minorHAnsi" w:eastAsia="Times New Roman" w:hAnsiTheme="minorHAnsi" w:cstheme="minorHAnsi"/>
                <w:b/>
                <w:bCs/>
                <w:color w:val="000000"/>
                <w:sz w:val="16"/>
                <w:szCs w:val="16"/>
                <w:lang w:eastAsia="en-AU"/>
              </w:rPr>
            </w:pPr>
            <w:r w:rsidRPr="00DB2344">
              <w:rPr>
                <w:rFonts w:asciiTheme="minorHAnsi" w:eastAsia="Times New Roman" w:hAnsiTheme="minorHAnsi" w:cstheme="minorHAnsi"/>
                <w:b/>
                <w:bCs/>
                <w:color w:val="000000"/>
                <w:sz w:val="16"/>
                <w:szCs w:val="16"/>
                <w:lang w:eastAsia="en-AU"/>
              </w:rPr>
              <w:t>306.07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A785C1" w14:textId="77777777" w:rsidR="00582786" w:rsidRPr="00DB2344" w:rsidRDefault="00582786" w:rsidP="00CD4BBD">
            <w:pPr>
              <w:spacing w:after="0" w:line="240" w:lineRule="auto"/>
              <w:contextualSpacing/>
              <w:jc w:val="right"/>
              <w:rPr>
                <w:rFonts w:asciiTheme="minorHAnsi" w:eastAsia="Times New Roman" w:hAnsiTheme="minorHAnsi" w:cstheme="minorHAnsi"/>
                <w:color w:val="000000"/>
                <w:sz w:val="16"/>
                <w:szCs w:val="16"/>
                <w:lang w:eastAsia="en-AU"/>
              </w:rPr>
            </w:pPr>
            <w:r w:rsidRPr="00DB2344">
              <w:rPr>
                <w:rFonts w:asciiTheme="minorHAnsi" w:hAnsiTheme="minorHAnsi" w:cstheme="minorHAnsi"/>
                <w:b/>
                <w:bCs/>
                <w:color w:val="000000"/>
                <w:sz w:val="16"/>
                <w:szCs w:val="16"/>
              </w:rPr>
              <w:t xml:space="preserve"> 815,049.84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FC31F0B" w14:textId="77777777" w:rsidR="00582786" w:rsidRPr="00DB2344" w:rsidRDefault="00582786" w:rsidP="00CD4BBD">
            <w:pPr>
              <w:spacing w:after="0" w:line="240" w:lineRule="auto"/>
              <w:contextualSpacing/>
              <w:jc w:val="right"/>
              <w:rPr>
                <w:rFonts w:asciiTheme="minorHAnsi" w:eastAsia="Times New Roman" w:hAnsiTheme="minorHAnsi" w:cstheme="minorHAnsi"/>
                <w:color w:val="000000"/>
                <w:sz w:val="16"/>
                <w:szCs w:val="16"/>
                <w:lang w:eastAsia="en-AU"/>
              </w:rPr>
            </w:pPr>
            <w:r w:rsidRPr="00DB2344">
              <w:rPr>
                <w:rFonts w:asciiTheme="minorHAnsi" w:eastAsia="Times New Roman" w:hAnsiTheme="minorHAnsi" w:cstheme="minorHAnsi"/>
                <w:color w:val="000000"/>
                <w:sz w:val="16"/>
                <w:szCs w:val="16"/>
                <w:lang w:eastAsia="en-AU"/>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8AE958" w14:textId="77777777" w:rsidR="00582786" w:rsidRPr="00DB2344" w:rsidRDefault="00582786" w:rsidP="00CD4BBD">
            <w:pPr>
              <w:spacing w:after="0" w:line="240" w:lineRule="auto"/>
              <w:contextualSpacing/>
              <w:jc w:val="right"/>
              <w:rPr>
                <w:rFonts w:asciiTheme="minorHAnsi" w:eastAsia="Times New Roman" w:hAnsiTheme="minorHAnsi" w:cstheme="minorHAnsi"/>
                <w:b/>
                <w:color w:val="000000"/>
                <w:sz w:val="16"/>
                <w:szCs w:val="16"/>
                <w:lang w:eastAsia="en-AU"/>
              </w:rPr>
            </w:pPr>
            <w:r w:rsidRPr="00DB2344">
              <w:rPr>
                <w:rFonts w:asciiTheme="minorHAnsi" w:hAnsiTheme="minorHAnsi" w:cstheme="minorHAnsi"/>
                <w:b/>
                <w:bCs/>
                <w:color w:val="000000"/>
                <w:sz w:val="16"/>
                <w:szCs w:val="16"/>
              </w:rPr>
              <w:t xml:space="preserve"> 815,049.84  </w:t>
            </w:r>
          </w:p>
        </w:tc>
        <w:tc>
          <w:tcPr>
            <w:tcW w:w="992" w:type="dxa"/>
            <w:tcBorders>
              <w:top w:val="single" w:sz="4" w:space="0" w:color="auto"/>
              <w:left w:val="single" w:sz="4" w:space="0" w:color="auto"/>
              <w:right w:val="single" w:sz="4" w:space="0" w:color="auto"/>
            </w:tcBorders>
            <w:noWrap/>
            <w:vAlign w:val="center"/>
            <w:hideMark/>
          </w:tcPr>
          <w:p w14:paraId="1B26DB05" w14:textId="77777777" w:rsidR="00582786" w:rsidRPr="00DB2344" w:rsidRDefault="00582786" w:rsidP="00CD4BBD">
            <w:pPr>
              <w:spacing w:after="0" w:line="240" w:lineRule="auto"/>
              <w:contextualSpacing/>
              <w:jc w:val="right"/>
              <w:rPr>
                <w:rFonts w:asciiTheme="minorHAnsi" w:eastAsia="Times New Roman" w:hAnsiTheme="minorHAnsi" w:cstheme="minorHAnsi"/>
                <w:b/>
                <w:bCs/>
                <w:color w:val="000000"/>
                <w:sz w:val="16"/>
                <w:szCs w:val="16"/>
                <w:lang w:eastAsia="en-AU"/>
              </w:rPr>
            </w:pPr>
            <w:r w:rsidRPr="00020784">
              <w:rPr>
                <w:rFonts w:asciiTheme="minorHAnsi" w:hAnsiTheme="minorHAnsi" w:cstheme="minorHAnsi"/>
                <w:b/>
                <w:bCs/>
                <w:color w:val="000000"/>
                <w:sz w:val="16"/>
                <w:szCs w:val="16"/>
              </w:rPr>
              <w:t>724,410.00</w:t>
            </w:r>
          </w:p>
        </w:tc>
        <w:tc>
          <w:tcPr>
            <w:tcW w:w="992" w:type="dxa"/>
            <w:tcBorders>
              <w:top w:val="single" w:sz="4" w:space="0" w:color="auto"/>
              <w:left w:val="single" w:sz="4" w:space="0" w:color="auto"/>
              <w:right w:val="single" w:sz="4" w:space="0" w:color="auto"/>
            </w:tcBorders>
            <w:noWrap/>
            <w:vAlign w:val="center"/>
            <w:hideMark/>
          </w:tcPr>
          <w:p w14:paraId="3CAD00A5" w14:textId="77777777" w:rsidR="00582786" w:rsidRPr="00DB2344" w:rsidRDefault="00582786" w:rsidP="00CD4BBD">
            <w:pPr>
              <w:spacing w:after="0" w:line="240" w:lineRule="auto"/>
              <w:contextualSpacing/>
              <w:jc w:val="right"/>
              <w:rPr>
                <w:rFonts w:asciiTheme="minorHAnsi" w:eastAsia="Times New Roman" w:hAnsiTheme="minorHAnsi" w:cstheme="minorHAnsi"/>
                <w:b/>
                <w:color w:val="000000"/>
                <w:sz w:val="16"/>
                <w:szCs w:val="16"/>
                <w:lang w:eastAsia="en-AU"/>
              </w:rPr>
            </w:pPr>
            <w:r w:rsidRPr="00DB2344">
              <w:rPr>
                <w:rFonts w:asciiTheme="minorHAnsi" w:hAnsiTheme="minorHAnsi" w:cstheme="minorHAnsi"/>
                <w:b/>
                <w:color w:val="000000"/>
                <w:sz w:val="16"/>
                <w:szCs w:val="16"/>
              </w:rPr>
              <w:t>112.</w:t>
            </w:r>
            <w:r>
              <w:rPr>
                <w:rFonts w:asciiTheme="minorHAnsi" w:hAnsiTheme="minorHAnsi" w:cstheme="minorHAnsi"/>
                <w:b/>
                <w:color w:val="000000"/>
                <w:sz w:val="16"/>
                <w:szCs w:val="16"/>
              </w:rPr>
              <w:t>51</w:t>
            </w:r>
            <w:r w:rsidRPr="00DB2344">
              <w:rPr>
                <w:rFonts w:asciiTheme="minorHAnsi" w:hAnsiTheme="minorHAnsi" w:cstheme="minorHAnsi"/>
                <w:b/>
                <w:color w:val="000000"/>
                <w:sz w:val="16"/>
                <w:szCs w:val="16"/>
              </w:rPr>
              <w:t>%</w:t>
            </w:r>
          </w:p>
        </w:tc>
      </w:tr>
    </w:tbl>
    <w:p w14:paraId="67449F2A" w14:textId="77777777" w:rsidR="00582786" w:rsidRPr="00DB2344" w:rsidRDefault="00582786" w:rsidP="00582786">
      <w:pPr>
        <w:spacing w:after="0" w:line="240" w:lineRule="auto"/>
        <w:ind w:left="720" w:hanging="720"/>
        <w:rPr>
          <w:rFonts w:asciiTheme="minorHAnsi" w:hAnsiTheme="minorHAnsi" w:cstheme="minorHAnsi"/>
          <w:sz w:val="16"/>
          <w:szCs w:val="16"/>
        </w:rPr>
      </w:pPr>
    </w:p>
    <w:p w14:paraId="4E9AFA9B" w14:textId="77777777" w:rsidR="00582786" w:rsidRPr="00DB2344" w:rsidRDefault="00582786" w:rsidP="00582786">
      <w:pPr>
        <w:spacing w:after="0" w:line="240" w:lineRule="auto"/>
        <w:ind w:left="720" w:hanging="720"/>
        <w:rPr>
          <w:rFonts w:asciiTheme="minorHAnsi" w:hAnsiTheme="minorHAnsi" w:cstheme="minorHAnsi"/>
          <w:sz w:val="16"/>
          <w:szCs w:val="16"/>
        </w:rPr>
      </w:pPr>
      <w:r w:rsidRPr="00DB2344">
        <w:rPr>
          <w:rFonts w:asciiTheme="minorHAnsi" w:hAnsiTheme="minorHAnsi" w:cstheme="minorHAnsi"/>
          <w:sz w:val="16"/>
          <w:szCs w:val="16"/>
        </w:rPr>
        <w:t xml:space="preserve">Notes: </w:t>
      </w:r>
      <w:r w:rsidRPr="00DB2344">
        <w:rPr>
          <w:rFonts w:asciiTheme="minorHAnsi" w:hAnsiTheme="minorHAnsi" w:cstheme="minorHAnsi"/>
          <w:sz w:val="16"/>
          <w:szCs w:val="16"/>
        </w:rPr>
        <w:tab/>
        <w:t xml:space="preserve">* As the state average recovery rate is below 9.5%, the base FRP amount applies. </w:t>
      </w:r>
    </w:p>
    <w:p w14:paraId="2A8CD8D0" w14:textId="77777777" w:rsidR="00582786" w:rsidRPr="00DB2344" w:rsidRDefault="00582786" w:rsidP="00582786">
      <w:pPr>
        <w:spacing w:after="0" w:line="240" w:lineRule="auto"/>
        <w:ind w:left="720" w:hanging="720"/>
        <w:rPr>
          <w:rFonts w:asciiTheme="minorHAnsi" w:hAnsiTheme="minorHAnsi" w:cstheme="minorHAnsi"/>
          <w:sz w:val="16"/>
          <w:szCs w:val="16"/>
        </w:rPr>
      </w:pPr>
      <w:r w:rsidRPr="00DB2344">
        <w:rPr>
          <w:rFonts w:asciiTheme="minorHAnsi" w:hAnsiTheme="minorHAnsi" w:cstheme="minorHAnsi"/>
          <w:sz w:val="16"/>
          <w:szCs w:val="16"/>
        </w:rPr>
        <w:tab/>
        <w:t>** This calculation assumes that 'other' recovery rates are in line with the nominal recovery rate of 9.5%.</w:t>
      </w:r>
    </w:p>
    <w:p w14:paraId="7866687E" w14:textId="77777777" w:rsidR="00582786" w:rsidRPr="00DB2344" w:rsidRDefault="00582786" w:rsidP="00582786">
      <w:pPr>
        <w:spacing w:after="0" w:line="240" w:lineRule="auto"/>
        <w:ind w:firstLine="720"/>
        <w:rPr>
          <w:rFonts w:asciiTheme="minorHAnsi" w:hAnsiTheme="minorHAnsi" w:cstheme="minorHAnsi"/>
          <w:sz w:val="16"/>
          <w:szCs w:val="16"/>
        </w:rPr>
      </w:pPr>
      <w:r w:rsidRPr="00DB2344">
        <w:rPr>
          <w:rFonts w:asciiTheme="minorHAnsi" w:hAnsiTheme="minorHAnsi" w:cstheme="minorHAnsi"/>
          <w:sz w:val="16"/>
          <w:szCs w:val="16"/>
        </w:rPr>
        <w:t>† This figure does not incorporate a SAP premium amount that would have applied if the state average recovery rate had been above 9.5%, as detailed in Section III.A.2(e)</w:t>
      </w:r>
      <w:r>
        <w:rPr>
          <w:rFonts w:asciiTheme="minorHAnsi" w:hAnsiTheme="minorHAnsi" w:cstheme="minorHAnsi"/>
          <w:sz w:val="16"/>
          <w:szCs w:val="16"/>
        </w:rPr>
        <w:t xml:space="preserve"> </w:t>
      </w:r>
      <w:r w:rsidRPr="007C44F1">
        <w:rPr>
          <w:rFonts w:asciiTheme="minorHAnsi" w:hAnsiTheme="minorHAnsi" w:cstheme="minorHAnsi"/>
          <w:sz w:val="16"/>
          <w:szCs w:val="16"/>
        </w:rPr>
        <w:t>of Australia's first written submission</w:t>
      </w:r>
      <w:r w:rsidRPr="00DB2344">
        <w:rPr>
          <w:rFonts w:asciiTheme="minorHAnsi" w:hAnsiTheme="minorHAnsi" w:cstheme="minorHAnsi"/>
          <w:sz w:val="16"/>
          <w:szCs w:val="16"/>
        </w:rPr>
        <w:t>.</w:t>
      </w:r>
    </w:p>
    <w:p w14:paraId="0BC3AE2D" w14:textId="77777777" w:rsidR="00582786" w:rsidRPr="00FA7AC1" w:rsidRDefault="00582786" w:rsidP="00582786">
      <w:pPr>
        <w:pStyle w:val="THTableHeading"/>
        <w:jc w:val="center"/>
      </w:pPr>
      <w:r w:rsidRPr="00FA7AC1">
        <w:t>TABLE 23</w:t>
      </w:r>
      <w:r>
        <w:t xml:space="preserve"> </w:t>
      </w:r>
      <w:r w:rsidRPr="00D532B1">
        <w:t>(Revised)</w:t>
      </w:r>
      <w:r w:rsidRPr="00FA7AC1">
        <w:t xml:space="preserve"> – Calculations showing product-specific domestic support for sugarcane 2017–18</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850"/>
        <w:gridCol w:w="709"/>
        <w:gridCol w:w="1134"/>
        <w:gridCol w:w="1171"/>
        <w:gridCol w:w="672"/>
        <w:gridCol w:w="708"/>
        <w:gridCol w:w="993"/>
        <w:gridCol w:w="850"/>
        <w:gridCol w:w="709"/>
        <w:gridCol w:w="1134"/>
        <w:gridCol w:w="709"/>
        <w:gridCol w:w="1134"/>
        <w:gridCol w:w="1134"/>
        <w:gridCol w:w="992"/>
      </w:tblGrid>
      <w:tr w:rsidR="00582786" w:rsidRPr="00FA7AC1" w14:paraId="198700C4"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CFDA653" w14:textId="77777777" w:rsidR="00582786" w:rsidRPr="00FA7AC1" w:rsidRDefault="00582786" w:rsidP="00CD4BBD">
            <w:pPr>
              <w:spacing w:after="0" w:line="240" w:lineRule="auto"/>
              <w:rPr>
                <w:rFonts w:asciiTheme="minorHAnsi" w:hAnsiTheme="minorHAnsi" w:cstheme="minorHAnsi"/>
                <w:b/>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59E29DE9" w14:textId="77777777" w:rsidR="00582786" w:rsidRPr="00565D70"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565D70">
              <w:rPr>
                <w:rFonts w:asciiTheme="minorHAnsi" w:eastAsia="Times New Roman" w:hAnsiTheme="minorHAnsi" w:cstheme="minorHAnsi"/>
                <w:b/>
                <w:bCs/>
                <w:color w:val="000000"/>
                <w:sz w:val="16"/>
                <w:szCs w:val="16"/>
                <w:lang w:eastAsia="en-AU"/>
              </w:rPr>
              <w:t>Recovery Rate (RR)</w:t>
            </w:r>
          </w:p>
        </w:tc>
        <w:tc>
          <w:tcPr>
            <w:tcW w:w="3014" w:type="dxa"/>
            <w:gridSpan w:val="3"/>
            <w:tcBorders>
              <w:top w:val="single" w:sz="4" w:space="0" w:color="auto"/>
              <w:left w:val="single" w:sz="4" w:space="0" w:color="auto"/>
              <w:bottom w:val="single" w:sz="4" w:space="0" w:color="auto"/>
              <w:right w:val="single" w:sz="4" w:space="0" w:color="auto"/>
            </w:tcBorders>
            <w:noWrap/>
            <w:vAlign w:val="bottom"/>
            <w:hideMark/>
          </w:tcPr>
          <w:p w14:paraId="65D0D2E0"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AAP = FRP + average FRP premiums</w:t>
            </w:r>
          </w:p>
          <w:p w14:paraId="1736D669"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b/>
                <w:bCs/>
                <w:color w:val="000000"/>
                <w:sz w:val="16"/>
                <w:szCs w:val="16"/>
                <w:lang w:eastAsia="en-AU"/>
              </w:rPr>
              <w:t>(INR per mT)</w:t>
            </w:r>
          </w:p>
        </w:tc>
        <w:tc>
          <w:tcPr>
            <w:tcW w:w="2373" w:type="dxa"/>
            <w:gridSpan w:val="3"/>
            <w:tcBorders>
              <w:top w:val="single" w:sz="4" w:space="0" w:color="auto"/>
              <w:left w:val="single" w:sz="4" w:space="0" w:color="auto"/>
              <w:bottom w:val="single" w:sz="4" w:space="0" w:color="auto"/>
              <w:right w:val="single" w:sz="4" w:space="0" w:color="auto"/>
            </w:tcBorders>
            <w:noWrap/>
            <w:vAlign w:val="bottom"/>
            <w:hideMark/>
          </w:tcPr>
          <w:p w14:paraId="2DCC375D"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 xml:space="preserve">AAP = FRP or SAPs </w:t>
            </w:r>
          </w:p>
          <w:p w14:paraId="0E74ADA0"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b/>
                <w:bCs/>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D358780"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b/>
                <w:sz w:val="16"/>
                <w:szCs w:val="16"/>
                <w:lang w:eastAsia="en-AU"/>
              </w:rPr>
              <w:t>FERP</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99C1210"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b/>
                <w:bCs/>
                <w:color w:val="000000"/>
                <w:sz w:val="16"/>
                <w:szCs w:val="16"/>
                <w:lang w:eastAsia="en-AU"/>
              </w:rPr>
              <w:t>QEP</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6DE479"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b/>
                <w:sz w:val="16"/>
                <w:szCs w:val="16"/>
                <w:lang w:eastAsia="en-AU"/>
              </w:rPr>
              <w:t>MPS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9E2EF1D"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1FC20CC"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b/>
                <w:bCs/>
                <w:color w:val="000000"/>
                <w:sz w:val="16"/>
                <w:szCs w:val="16"/>
                <w:lang w:eastAsia="en-AU"/>
              </w:rPr>
              <w:t>Product  specific AMS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0831636"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b/>
                <w:bCs/>
                <w:color w:val="000000"/>
                <w:sz w:val="16"/>
                <w:szCs w:val="16"/>
                <w:lang w:eastAsia="en-AU"/>
              </w:rPr>
              <w:t>Value of production</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FF8093B"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r w:rsidRPr="00FA7AC1">
              <w:rPr>
                <w:rFonts w:asciiTheme="minorHAnsi" w:eastAsia="Times New Roman" w:hAnsiTheme="minorHAnsi" w:cstheme="minorHAnsi"/>
                <w:b/>
                <w:bCs/>
                <w:color w:val="000000"/>
                <w:sz w:val="16"/>
                <w:szCs w:val="16"/>
                <w:lang w:eastAsia="en-AU"/>
              </w:rPr>
              <w:t>Percentage of value of production</w:t>
            </w:r>
          </w:p>
        </w:tc>
      </w:tr>
      <w:tr w:rsidR="00582786" w:rsidRPr="00FA7AC1" w14:paraId="2DA70B77"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tcPr>
          <w:p w14:paraId="6B351B12"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F5C6065"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Actual average RR</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5EB0165"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Base FRP Nominal RR</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3A15F86"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xml:space="preserve">Base FRP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0DA7DBB"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xml:space="preserve">FRP premium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191657E9"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xml:space="preserve">AAP in terms of FRP + average FRP premiums </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09374B7B"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SAP (mid)</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9576C40"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xml:space="preserve">Add. Amts (alt. claim) </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19E0A06E"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xml:space="preserve">AAP in terms of average FRP or SAPs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97752E2"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xml:space="preserve">FERP Adjusted for average RR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1B38769"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xml:space="preserve">QEP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F5EA2C7"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xml:space="preserve">MPS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C97B21E"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Add. amts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298EC43"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xml:space="preserve">MPS + additional amounts </w:t>
            </w:r>
          </w:p>
        </w:tc>
        <w:tc>
          <w:tcPr>
            <w:tcW w:w="1134" w:type="dxa"/>
            <w:tcBorders>
              <w:top w:val="single" w:sz="4" w:space="0" w:color="auto"/>
              <w:left w:val="single" w:sz="4" w:space="0" w:color="auto"/>
              <w:bottom w:val="single" w:sz="4" w:space="0" w:color="auto"/>
              <w:right w:val="single" w:sz="4" w:space="0" w:color="auto"/>
            </w:tcBorders>
            <w:noWrap/>
            <w:vAlign w:val="bottom"/>
          </w:tcPr>
          <w:p w14:paraId="3FAC8521" w14:textId="77777777" w:rsidR="00582786" w:rsidRPr="00FA7AC1" w:rsidRDefault="00582786" w:rsidP="00CD4BBD">
            <w:pPr>
              <w:tabs>
                <w:tab w:val="left" w:pos="586"/>
              </w:tabs>
              <w:spacing w:after="0" w:line="240" w:lineRule="auto"/>
              <w:jc w:val="center"/>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587C2512"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r>
      <w:tr w:rsidR="00582786" w:rsidRPr="00FA7AC1" w14:paraId="13BDEE84" w14:textId="77777777" w:rsidTr="00CD4BBD">
        <w:trPr>
          <w:trHeight w:val="630"/>
        </w:trPr>
        <w:tc>
          <w:tcPr>
            <w:tcW w:w="1135" w:type="dxa"/>
            <w:tcBorders>
              <w:top w:val="single" w:sz="4" w:space="0" w:color="auto"/>
              <w:left w:val="single" w:sz="4" w:space="0" w:color="auto"/>
              <w:bottom w:val="single" w:sz="4" w:space="0" w:color="auto"/>
              <w:right w:val="single" w:sz="4" w:space="0" w:color="auto"/>
            </w:tcBorders>
            <w:noWrap/>
            <w:vAlign w:val="bottom"/>
          </w:tcPr>
          <w:p w14:paraId="7C6FAB98"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316DE7A"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F61DCB0"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85C3B21"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(INR per mT)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555501C"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(INR per mT per 0.1 % above nominal RR)</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24EF03F6"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(INR per mT)</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0077BA48"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(INR per mT)</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C31FB54"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(INR per mT)</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4838E92"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6016033"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(INR per mT)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DD46F00"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(million mT)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9B3312F"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Cs/>
                <w:color w:val="000000"/>
                <w:sz w:val="16"/>
                <w:szCs w:val="16"/>
                <w:lang w:eastAsia="en-AU"/>
              </w:rPr>
              <w:t>(INR millions)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A72BE46"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(INR millions)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EFA7A58"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color w:val="000000"/>
                <w:sz w:val="16"/>
                <w:szCs w:val="16"/>
                <w:lang w:eastAsia="en-AU"/>
              </w:rPr>
              <w:t>(INR millions)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A343FA3" w14:textId="77777777" w:rsidR="00582786" w:rsidRPr="00FA7AC1" w:rsidRDefault="00582786" w:rsidP="00CD4BBD">
            <w:pPr>
              <w:spacing w:after="0" w:line="240" w:lineRule="auto"/>
              <w:jc w:val="center"/>
              <w:rPr>
                <w:rFonts w:asciiTheme="minorHAnsi" w:eastAsia="Times New Roman" w:hAnsiTheme="minorHAnsi" w:cstheme="minorHAnsi"/>
                <w:bCs/>
                <w:color w:val="000000"/>
                <w:sz w:val="16"/>
                <w:szCs w:val="16"/>
                <w:lang w:eastAsia="en-AU"/>
              </w:rPr>
            </w:pPr>
            <w:r w:rsidRPr="00FA7AC1">
              <w:rPr>
                <w:rFonts w:asciiTheme="minorHAnsi" w:eastAsia="Times New Roman" w:hAnsiTheme="minorHAnsi" w:cstheme="minorHAnsi"/>
                <w:bCs/>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17A1680"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w:t>
            </w:r>
          </w:p>
        </w:tc>
      </w:tr>
      <w:tr w:rsidR="00582786" w:rsidRPr="00FA7AC1" w14:paraId="58227E64" w14:textId="77777777" w:rsidTr="00CD4BBD">
        <w:trPr>
          <w:trHeight w:val="63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7873F266" w14:textId="77777777" w:rsidR="00582786" w:rsidRPr="00FA7AC1" w:rsidRDefault="00582786" w:rsidP="00CD4BBD">
            <w:pPr>
              <w:spacing w:after="0" w:line="240" w:lineRule="auto"/>
              <w:rPr>
                <w:rFonts w:asciiTheme="minorHAnsi" w:eastAsia="Times New Roman" w:hAnsiTheme="minorHAnsi" w:cstheme="minorHAnsi"/>
                <w:b/>
                <w:bCs/>
                <w:color w:val="000000"/>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32738F4"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2C0B2E5"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59BD542"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6510531"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C4</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3D40F5D4"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 xml:space="preserve">C5 = C3+(C1-C2)/0.1 *C4 (or C3 if </w:t>
            </w:r>
            <w:r w:rsidRPr="00FA7AC1">
              <w:rPr>
                <w:rFonts w:asciiTheme="minorHAnsi" w:hAnsiTheme="minorHAnsi" w:cstheme="minorHAnsi"/>
                <w:sz w:val="16"/>
                <w:szCs w:val="16"/>
              </w:rPr>
              <w:t xml:space="preserve">≤ </w:t>
            </w:r>
            <w:r w:rsidRPr="00FA7AC1">
              <w:rPr>
                <w:rFonts w:asciiTheme="minorHAnsi" w:eastAsia="Times New Roman" w:hAnsiTheme="minorHAnsi" w:cstheme="minorHAnsi"/>
                <w:b/>
                <w:bCs/>
                <w:color w:val="000000"/>
                <w:sz w:val="16"/>
                <w:szCs w:val="16"/>
                <w:lang w:eastAsia="en-AU"/>
              </w:rPr>
              <w:t>2550)</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0023955E"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025F855"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C7</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BB4D621"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C8 (C5, or C6 if &gt;C5)</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387A4F3"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5CFECF2"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4C1E49D"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C11 = (C8-C9)* C10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D6C6008"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1ACFCA1"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C14 = C11 + C12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46491A3"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C15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13422A9" w14:textId="77777777" w:rsidR="00582786" w:rsidRPr="00FA7AC1"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C16 = C14/C15</w:t>
            </w:r>
          </w:p>
        </w:tc>
      </w:tr>
      <w:tr w:rsidR="00582786" w:rsidRPr="00FA7AC1" w14:paraId="1FBB0B80"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E57A9BB"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Andhra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41737E3"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9C7C7D8"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104A9525"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18486098"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BAE6AE1"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2,566.08 </w:t>
            </w:r>
          </w:p>
        </w:tc>
        <w:tc>
          <w:tcPr>
            <w:tcW w:w="672" w:type="dxa"/>
            <w:tcBorders>
              <w:top w:val="single" w:sz="4" w:space="0" w:color="auto"/>
              <w:left w:val="single" w:sz="4" w:space="0" w:color="auto"/>
              <w:bottom w:val="single" w:sz="4" w:space="0" w:color="auto"/>
              <w:right w:val="single" w:sz="4" w:space="0" w:color="auto"/>
            </w:tcBorders>
            <w:noWrap/>
            <w:vAlign w:val="bottom"/>
          </w:tcPr>
          <w:p w14:paraId="5D471466"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AE68505"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889BCE0"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2,566.08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71FAFB8"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175.56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5A51796"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7.79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986A4FD"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18,621.21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D747365"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7BE2B4"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18,621.21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6B4D45A"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2436D0A"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2F1C8739"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5B4F282"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Bihar</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9C84A3A"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3D48D94"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4C483FEE"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0AC96D26"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C6CFC8E"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2,550.00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2C21C4CE"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2800</w:t>
            </w:r>
          </w:p>
        </w:tc>
        <w:tc>
          <w:tcPr>
            <w:tcW w:w="708" w:type="dxa"/>
            <w:tcBorders>
              <w:top w:val="single" w:sz="4" w:space="0" w:color="auto"/>
              <w:left w:val="single" w:sz="4" w:space="0" w:color="auto"/>
              <w:bottom w:val="single" w:sz="4" w:space="0" w:color="auto"/>
              <w:right w:val="single" w:sz="4" w:space="0" w:color="auto"/>
            </w:tcBorders>
            <w:noWrap/>
            <w:vAlign w:val="bottom"/>
          </w:tcPr>
          <w:p w14:paraId="2687D7FF"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4761E37"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2,800.00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71EFE3"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170.78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80C8B03"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13.82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43DF119"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36,347.87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75711FE"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5A02D0"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36,347.87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22A8841"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4BA0347"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1300B915"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747C53AB"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Gujarat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0A2CFA4"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10.2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049E9E"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0945FDA7"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5D209282"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5A170D3"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2,737.60 </w:t>
            </w:r>
          </w:p>
        </w:tc>
        <w:tc>
          <w:tcPr>
            <w:tcW w:w="672" w:type="dxa"/>
            <w:tcBorders>
              <w:top w:val="single" w:sz="4" w:space="0" w:color="auto"/>
              <w:left w:val="single" w:sz="4" w:space="0" w:color="auto"/>
              <w:bottom w:val="single" w:sz="4" w:space="0" w:color="auto"/>
              <w:right w:val="single" w:sz="4" w:space="0" w:color="auto"/>
            </w:tcBorders>
            <w:noWrap/>
            <w:vAlign w:val="center"/>
          </w:tcPr>
          <w:p w14:paraId="5D722232"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7E96C64E"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9429EFC"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2,737.60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DA251B"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187.31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ACE4484"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12.07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274F45"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30,787.35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D1909AC"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94CBC7"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30,787.35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B5A3EED"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02CD553"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4E8BE506"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DC90BA2"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Haryana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4D017C0"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10.45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E2BE8AD"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758A436F"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5449ECA3"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3081809"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2,804.60 </w:t>
            </w:r>
          </w:p>
        </w:tc>
        <w:tc>
          <w:tcPr>
            <w:tcW w:w="672" w:type="dxa"/>
            <w:tcBorders>
              <w:top w:val="single" w:sz="4" w:space="0" w:color="auto"/>
              <w:left w:val="single" w:sz="4" w:space="0" w:color="auto"/>
              <w:bottom w:val="single" w:sz="4" w:space="0" w:color="auto"/>
              <w:right w:val="single" w:sz="4" w:space="0" w:color="auto"/>
            </w:tcBorders>
            <w:noWrap/>
            <w:vAlign w:val="center"/>
          </w:tcPr>
          <w:p w14:paraId="588EDD8C"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3250</w:t>
            </w:r>
          </w:p>
        </w:tc>
        <w:tc>
          <w:tcPr>
            <w:tcW w:w="708" w:type="dxa"/>
            <w:tcBorders>
              <w:top w:val="single" w:sz="4" w:space="0" w:color="auto"/>
              <w:left w:val="single" w:sz="4" w:space="0" w:color="auto"/>
              <w:bottom w:val="single" w:sz="4" w:space="0" w:color="auto"/>
              <w:right w:val="single" w:sz="4" w:space="0" w:color="auto"/>
            </w:tcBorders>
            <w:noWrap/>
            <w:vAlign w:val="bottom"/>
          </w:tcPr>
          <w:p w14:paraId="7BD61A40"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FB9F3A6"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3,250.00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BC4FE71"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191.90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F623EC5"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9.63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0EE004"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29,458.36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0B4A1C3"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AEAB68"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29,458.36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3F26809"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58DDE0A"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71EC1A4C"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7DDE447"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Karnataka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68B7479"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10.61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F002962"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7440963A"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6CD01233"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557145C"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2,847.48 </w:t>
            </w:r>
          </w:p>
        </w:tc>
        <w:tc>
          <w:tcPr>
            <w:tcW w:w="672" w:type="dxa"/>
            <w:tcBorders>
              <w:top w:val="single" w:sz="4" w:space="0" w:color="auto"/>
              <w:left w:val="single" w:sz="4" w:space="0" w:color="auto"/>
              <w:bottom w:val="single" w:sz="4" w:space="0" w:color="auto"/>
              <w:right w:val="single" w:sz="4" w:space="0" w:color="auto"/>
            </w:tcBorders>
            <w:noWrap/>
            <w:vAlign w:val="center"/>
          </w:tcPr>
          <w:p w14:paraId="78B4BB33"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487E930E"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ADC5FEB"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2,847.48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358A06D"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194.84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A0F3835"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31.14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4EC3573"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82,590.48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4CB61B4"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sz w:val="16"/>
                <w:szCs w:val="16"/>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7029EF"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82,590.58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F056CBE"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E29BAB3"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3B549D90"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9B9DB6F"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Maharashtra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A23F4AF"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11.25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06EC2BB"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04313BA8"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6FCA4697"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E02EF4A"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3,019.00 </w:t>
            </w:r>
          </w:p>
        </w:tc>
        <w:tc>
          <w:tcPr>
            <w:tcW w:w="672" w:type="dxa"/>
            <w:tcBorders>
              <w:top w:val="single" w:sz="4" w:space="0" w:color="auto"/>
              <w:left w:val="single" w:sz="4" w:space="0" w:color="auto"/>
              <w:bottom w:val="single" w:sz="4" w:space="0" w:color="auto"/>
              <w:right w:val="single" w:sz="4" w:space="0" w:color="auto"/>
            </w:tcBorders>
            <w:noWrap/>
            <w:vAlign w:val="center"/>
          </w:tcPr>
          <w:p w14:paraId="11A2BB09"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2AEDF0E2"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53ED2D1"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3,019.00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2A3EB1"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206.59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B3F0EE"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82.98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2EB220"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233,384.80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9746364"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115F795"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233,384.80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2C7B32B"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23160A0"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75E61B84"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82D6313"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Punjab</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03E9E81"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9.78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D538318"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47D90D74"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6CE5FDE5"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E4A2377"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2,625.04 </w:t>
            </w:r>
          </w:p>
        </w:tc>
        <w:tc>
          <w:tcPr>
            <w:tcW w:w="672" w:type="dxa"/>
            <w:tcBorders>
              <w:top w:val="single" w:sz="4" w:space="0" w:color="auto"/>
              <w:left w:val="single" w:sz="4" w:space="0" w:color="auto"/>
              <w:bottom w:val="single" w:sz="4" w:space="0" w:color="auto"/>
              <w:right w:val="single" w:sz="4" w:space="0" w:color="auto"/>
            </w:tcBorders>
            <w:noWrap/>
            <w:vAlign w:val="center"/>
          </w:tcPr>
          <w:p w14:paraId="0D3F6E04"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3000</w:t>
            </w:r>
          </w:p>
        </w:tc>
        <w:tc>
          <w:tcPr>
            <w:tcW w:w="708" w:type="dxa"/>
            <w:tcBorders>
              <w:top w:val="single" w:sz="4" w:space="0" w:color="auto"/>
              <w:left w:val="single" w:sz="4" w:space="0" w:color="auto"/>
              <w:bottom w:val="single" w:sz="4" w:space="0" w:color="auto"/>
              <w:right w:val="single" w:sz="4" w:space="0" w:color="auto"/>
            </w:tcBorders>
            <w:noWrap/>
            <w:vAlign w:val="bottom"/>
          </w:tcPr>
          <w:p w14:paraId="556C4480"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58CD36B"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3,000.00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6977F71"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179.60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010E82"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8.02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965FD4"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22,630.06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FE7103F"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671E9F"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22,630.06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50E9C85"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C975D61"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4B94490B"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7BA8985"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Tamil Nadu</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A3A82D0"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8.03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B95B0C"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1EE6D45F"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186E0167"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F388B6F" w14:textId="77777777" w:rsidR="00582786" w:rsidRPr="00FA7AC1" w:rsidRDefault="00582786" w:rsidP="00CD4BBD">
            <w:pPr>
              <w:spacing w:after="0" w:line="240" w:lineRule="auto"/>
              <w:jc w:val="right"/>
              <w:rPr>
                <w:rFonts w:asciiTheme="minorHAnsi" w:hAnsiTheme="minorHAnsi" w:cstheme="minorHAnsi"/>
                <w:color w:val="FF0000"/>
                <w:sz w:val="16"/>
                <w:szCs w:val="16"/>
              </w:rPr>
            </w:pPr>
            <w:r w:rsidRPr="00FA7AC1">
              <w:rPr>
                <w:rFonts w:asciiTheme="minorHAnsi" w:eastAsia="Times New Roman" w:hAnsiTheme="minorHAnsi" w:cstheme="minorHAnsi"/>
                <w:bCs/>
                <w:color w:val="000000"/>
                <w:sz w:val="16"/>
                <w:szCs w:val="16"/>
                <w:lang w:eastAsia="en-AU"/>
              </w:rPr>
              <w:t xml:space="preserve">       2,550.00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4749F1F2"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2850</w:t>
            </w:r>
            <w:r w:rsidRPr="00FA7AC1">
              <w:rPr>
                <w:rFonts w:asciiTheme="minorHAnsi" w:hAnsiTheme="minorHAnsi" w:cstheme="minorHAnsi"/>
                <w:sz w:val="16"/>
                <w:szCs w:val="18"/>
              </w:rPr>
              <w:t>†</w:t>
            </w:r>
          </w:p>
        </w:tc>
        <w:tc>
          <w:tcPr>
            <w:tcW w:w="708" w:type="dxa"/>
            <w:tcBorders>
              <w:top w:val="single" w:sz="4" w:space="0" w:color="auto"/>
              <w:left w:val="single" w:sz="4" w:space="0" w:color="auto"/>
              <w:bottom w:val="single" w:sz="4" w:space="0" w:color="auto"/>
              <w:right w:val="single" w:sz="4" w:space="0" w:color="auto"/>
            </w:tcBorders>
            <w:noWrap/>
            <w:vAlign w:val="bottom"/>
          </w:tcPr>
          <w:p w14:paraId="7AD3BBD5" w14:textId="77777777" w:rsidR="00582786" w:rsidRPr="00FA7AC1" w:rsidRDefault="00582786" w:rsidP="00CD4BBD">
            <w:pPr>
              <w:spacing w:after="0" w:line="240" w:lineRule="auto"/>
              <w:jc w:val="center"/>
              <w:rPr>
                <w:rFonts w:asciiTheme="minorHAnsi" w:eastAsia="Times New Roman" w:hAnsiTheme="minorHAnsi" w:cstheme="minorHAnsi"/>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7D9E24D"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2,850.00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CCB6AA1"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147.46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2C68757"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17.15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430154"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46,359.35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696BC80"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hAnsiTheme="minorHAnsi" w:cstheme="minorHAnsi"/>
                <w:sz w:val="16"/>
                <w:szCs w:val="16"/>
              </w:rPr>
              <w:t>1,463.3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CA2AD4"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47,822.65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9D9E6EC"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77CD8C2"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1F91F45A"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2C2F82D"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Telangana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B78D45"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10.84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8B36F61"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6C49183"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1E0F2E0D"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7666BEF"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2,909.12 </w:t>
            </w:r>
          </w:p>
        </w:tc>
        <w:tc>
          <w:tcPr>
            <w:tcW w:w="672" w:type="dxa"/>
            <w:tcBorders>
              <w:top w:val="single" w:sz="4" w:space="0" w:color="auto"/>
              <w:left w:val="single" w:sz="4" w:space="0" w:color="auto"/>
              <w:bottom w:val="single" w:sz="4" w:space="0" w:color="auto"/>
              <w:right w:val="single" w:sz="4" w:space="0" w:color="auto"/>
            </w:tcBorders>
            <w:noWrap/>
            <w:vAlign w:val="center"/>
          </w:tcPr>
          <w:p w14:paraId="3F47870B"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361474F5"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9D7AB2D"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2,909.12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CEC4D2"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199.06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461A693"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2.60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4019A9"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7,058.34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3255471"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254A0A"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7,058.34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3965D6A"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A8A880C"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50DD3EC4"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D57D8D1"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Uttar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E25A5A3"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10.85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55044A5"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3662D1B"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61DD435E"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06E4FD5"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2,911.80 </w:t>
            </w:r>
          </w:p>
        </w:tc>
        <w:tc>
          <w:tcPr>
            <w:tcW w:w="672" w:type="dxa"/>
            <w:tcBorders>
              <w:top w:val="single" w:sz="4" w:space="0" w:color="auto"/>
              <w:left w:val="single" w:sz="4" w:space="0" w:color="auto"/>
              <w:bottom w:val="single" w:sz="4" w:space="0" w:color="auto"/>
              <w:right w:val="single" w:sz="4" w:space="0" w:color="auto"/>
            </w:tcBorders>
            <w:noWrap/>
            <w:vAlign w:val="center"/>
          </w:tcPr>
          <w:p w14:paraId="22F95A53"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3150</w:t>
            </w:r>
          </w:p>
        </w:tc>
        <w:tc>
          <w:tcPr>
            <w:tcW w:w="708" w:type="dxa"/>
            <w:tcBorders>
              <w:top w:val="single" w:sz="4" w:space="0" w:color="auto"/>
              <w:left w:val="single" w:sz="4" w:space="0" w:color="auto"/>
              <w:bottom w:val="single" w:sz="4" w:space="0" w:color="auto"/>
              <w:right w:val="single" w:sz="4" w:space="0" w:color="auto"/>
            </w:tcBorders>
            <w:noWrap/>
            <w:vAlign w:val="bottom"/>
          </w:tcPr>
          <w:p w14:paraId="530AE19E"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37E49F8"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3,150.00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EE88FE6"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199.25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AE55E78"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177.03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65FB70"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522,381.50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F6BA2FF"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58EA07"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522,381.50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116DCC5"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5203D51"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040F8F01"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52BDC616"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Uttarakhand</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5650E83"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0EA8D3C"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13901E0"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6309C85D"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9587766"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2,550.00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21E92ED7"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3160</w:t>
            </w:r>
          </w:p>
        </w:tc>
        <w:tc>
          <w:tcPr>
            <w:tcW w:w="708" w:type="dxa"/>
            <w:tcBorders>
              <w:top w:val="single" w:sz="4" w:space="0" w:color="auto"/>
              <w:left w:val="single" w:sz="4" w:space="0" w:color="auto"/>
              <w:bottom w:val="single" w:sz="4" w:space="0" w:color="auto"/>
              <w:right w:val="single" w:sz="4" w:space="0" w:color="auto"/>
            </w:tcBorders>
            <w:noWrap/>
            <w:vAlign w:val="bottom"/>
          </w:tcPr>
          <w:p w14:paraId="09B6BD15"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2809357"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3,160.00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9A139BC"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172.62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930C5EE"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6.27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25ECC3"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18,735.06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CF8E29B"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1A588F"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18,735.06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4C4305A"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57FD4B2"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1AFC9FDD" w14:textId="77777777" w:rsidTr="00CD4BB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3EDC0C6"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Other States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095A9A"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8E5844A"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810C327"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hAnsiTheme="minorHAnsi" w:cstheme="minorHAnsi"/>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661B98D1" w14:textId="77777777" w:rsidR="00582786" w:rsidRPr="00FA7AC1" w:rsidRDefault="00582786" w:rsidP="00CD4BBD">
            <w:pPr>
              <w:spacing w:after="0" w:line="240" w:lineRule="auto"/>
              <w:jc w:val="center"/>
              <w:rPr>
                <w:rFonts w:asciiTheme="minorHAnsi" w:hAnsiTheme="minorHAnsi" w:cstheme="minorHAnsi"/>
                <w:color w:val="000000"/>
                <w:sz w:val="16"/>
                <w:szCs w:val="16"/>
              </w:rPr>
            </w:pPr>
            <w:r w:rsidRPr="00FA7AC1">
              <w:rPr>
                <w:rFonts w:asciiTheme="minorHAnsi" w:eastAsia="Times New Roman" w:hAnsiTheme="minorHAnsi" w:cstheme="minorHAnsi"/>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BC2681C" w14:textId="77777777" w:rsidR="00582786" w:rsidRPr="00FA7AC1" w:rsidRDefault="00582786" w:rsidP="00CD4BBD">
            <w:pPr>
              <w:spacing w:after="0" w:line="240" w:lineRule="auto"/>
              <w:jc w:val="right"/>
              <w:rPr>
                <w:rFonts w:asciiTheme="minorHAnsi" w:hAnsiTheme="minorHAnsi" w:cstheme="minorHAnsi"/>
                <w:color w:val="000000"/>
                <w:sz w:val="16"/>
                <w:szCs w:val="16"/>
              </w:rPr>
            </w:pPr>
            <w:r w:rsidRPr="00FA7AC1">
              <w:rPr>
                <w:rFonts w:asciiTheme="minorHAnsi" w:eastAsia="Times New Roman" w:hAnsiTheme="minorHAnsi" w:cstheme="minorHAnsi"/>
                <w:bCs/>
                <w:color w:val="000000"/>
                <w:sz w:val="16"/>
                <w:szCs w:val="16"/>
                <w:lang w:eastAsia="en-AU"/>
              </w:rPr>
              <w:t xml:space="preserve">       2,550.00 </w:t>
            </w:r>
          </w:p>
        </w:tc>
        <w:tc>
          <w:tcPr>
            <w:tcW w:w="672" w:type="dxa"/>
            <w:tcBorders>
              <w:top w:val="single" w:sz="4" w:space="0" w:color="auto"/>
              <w:left w:val="single" w:sz="4" w:space="0" w:color="auto"/>
              <w:bottom w:val="single" w:sz="4" w:space="0" w:color="auto"/>
              <w:right w:val="single" w:sz="4" w:space="0" w:color="auto"/>
            </w:tcBorders>
            <w:noWrap/>
            <w:vAlign w:val="bottom"/>
          </w:tcPr>
          <w:p w14:paraId="7C20E05F"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144C936D" w14:textId="77777777" w:rsidR="00582786" w:rsidRPr="00FA7AC1" w:rsidRDefault="00582786" w:rsidP="00CD4BBD">
            <w:pPr>
              <w:spacing w:after="0" w:line="240" w:lineRule="auto"/>
              <w:rPr>
                <w:rFonts w:asciiTheme="minorHAnsi" w:eastAsia="Times New Roman" w:hAnsiTheme="minorHAnsi" w:cstheme="minorHAnsi"/>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8C07A43" w14:textId="77777777" w:rsidR="00582786" w:rsidRPr="00FA7AC1" w:rsidRDefault="00582786" w:rsidP="00CD4BBD">
            <w:pPr>
              <w:spacing w:after="0" w:line="240" w:lineRule="auto"/>
              <w:jc w:val="right"/>
              <w:rPr>
                <w:rFonts w:asciiTheme="minorHAnsi" w:eastAsia="Times New Roman" w:hAnsiTheme="minorHAnsi" w:cstheme="minorHAnsi"/>
                <w:bCs/>
                <w:color w:val="000000"/>
                <w:sz w:val="16"/>
                <w:szCs w:val="16"/>
                <w:lang w:eastAsia="en-AU"/>
              </w:rPr>
            </w:pPr>
            <w:r w:rsidRPr="00FA7AC1">
              <w:rPr>
                <w:rFonts w:asciiTheme="minorHAnsi" w:hAnsiTheme="minorHAnsi" w:cstheme="minorHAnsi"/>
                <w:color w:val="000000"/>
                <w:sz w:val="16"/>
                <w:szCs w:val="16"/>
              </w:rPr>
              <w:t xml:space="preserve">   2,550.00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B1F48FC"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174.46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A3FD3EC"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color w:val="000000"/>
                <w:sz w:val="16"/>
                <w:szCs w:val="16"/>
              </w:rPr>
              <w:t xml:space="preserve">   11.38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B1DF9F"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27,032.74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BDCBD43"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559FC3" w14:textId="77777777" w:rsidR="00582786" w:rsidRPr="00FA7AC1"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FA7AC1">
              <w:rPr>
                <w:rFonts w:asciiTheme="minorHAnsi" w:hAnsiTheme="minorHAnsi" w:cstheme="minorHAnsi"/>
                <w:bCs/>
                <w:color w:val="000000"/>
                <w:sz w:val="16"/>
                <w:szCs w:val="16"/>
              </w:rPr>
              <w:t xml:space="preserve">  27,032.74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5DECF4F" w14:textId="77777777" w:rsidR="00582786" w:rsidRPr="00FA7AC1"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FC3F0DF" w14:textId="77777777" w:rsidR="00582786" w:rsidRPr="00FA7AC1" w:rsidRDefault="00582786" w:rsidP="00CD4BBD">
            <w:pPr>
              <w:spacing w:after="0" w:line="240" w:lineRule="auto"/>
              <w:rPr>
                <w:rFonts w:asciiTheme="minorHAnsi" w:hAnsiTheme="minorHAnsi" w:cstheme="minorHAnsi"/>
                <w:sz w:val="20"/>
                <w:szCs w:val="20"/>
                <w:lang w:eastAsia="en-AU"/>
              </w:rPr>
            </w:pPr>
          </w:p>
        </w:tc>
      </w:tr>
      <w:tr w:rsidR="00582786" w:rsidRPr="00FA7AC1" w14:paraId="35BF7A5F" w14:textId="77777777" w:rsidTr="00CD4BBD">
        <w:trPr>
          <w:trHeight w:val="565"/>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88D96B5" w14:textId="77777777" w:rsidR="00582786" w:rsidRPr="00FA7AC1" w:rsidRDefault="00582786" w:rsidP="00CD4BBD">
            <w:pPr>
              <w:spacing w:after="0" w:line="240" w:lineRule="auto"/>
              <w:rPr>
                <w:rFonts w:asciiTheme="minorHAnsi" w:eastAsia="Times New Roman" w:hAnsiTheme="minorHAnsi" w:cstheme="minorHAnsi"/>
                <w:b/>
                <w:bCs/>
                <w:color w:val="000000"/>
                <w:sz w:val="16"/>
                <w:szCs w:val="16"/>
                <w:lang w:eastAsia="en-AU"/>
              </w:rPr>
            </w:pPr>
            <w:r w:rsidRPr="00FA7AC1">
              <w:rPr>
                <w:rFonts w:asciiTheme="minorHAnsi" w:eastAsia="Times New Roman" w:hAnsiTheme="minorHAnsi" w:cstheme="minorHAnsi"/>
                <w:b/>
                <w:bCs/>
                <w:color w:val="000000"/>
                <w:sz w:val="16"/>
                <w:szCs w:val="16"/>
                <w:lang w:eastAsia="en-AU"/>
              </w:rPr>
              <w:t>Total</w:t>
            </w:r>
          </w:p>
        </w:tc>
        <w:tc>
          <w:tcPr>
            <w:tcW w:w="851" w:type="dxa"/>
            <w:tcBorders>
              <w:top w:val="single" w:sz="4" w:space="0" w:color="auto"/>
              <w:left w:val="single" w:sz="4" w:space="0" w:color="auto"/>
              <w:bottom w:val="single" w:sz="4" w:space="0" w:color="auto"/>
              <w:right w:val="single" w:sz="4" w:space="0" w:color="auto"/>
            </w:tcBorders>
            <w:noWrap/>
            <w:vAlign w:val="bottom"/>
          </w:tcPr>
          <w:p w14:paraId="1ADB8B27" w14:textId="77777777" w:rsidR="00582786" w:rsidRPr="00FA7AC1" w:rsidRDefault="00582786" w:rsidP="00CD4BBD">
            <w:pPr>
              <w:spacing w:after="0" w:line="240" w:lineRule="auto"/>
              <w:contextualSpacing/>
              <w:jc w:val="right"/>
              <w:rPr>
                <w:rFonts w:asciiTheme="minorHAnsi" w:eastAsia="Times New Roman" w:hAnsiTheme="minorHAnsi" w:cstheme="minorHAnsi"/>
                <w:b/>
                <w:bCs/>
                <w:color w:val="000000"/>
                <w:sz w:val="16"/>
                <w:szCs w:val="16"/>
                <w:lang w:eastAsia="en-AU"/>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3761222" w14:textId="77777777" w:rsidR="00582786" w:rsidRPr="00FA7AC1" w:rsidRDefault="00582786" w:rsidP="00CD4BBD">
            <w:pPr>
              <w:spacing w:after="0" w:line="240" w:lineRule="auto"/>
              <w:contextualSpacing/>
              <w:jc w:val="center"/>
              <w:rPr>
                <w:rFonts w:asciiTheme="minorHAnsi" w:eastAsia="Times New Roman" w:hAnsiTheme="minorHAnsi" w:cstheme="minorHAnsi"/>
                <w:b/>
                <w:bCs/>
                <w:color w:val="000000"/>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3A2A0AF" w14:textId="77777777" w:rsidR="00582786" w:rsidRPr="00FA7AC1" w:rsidRDefault="00582786" w:rsidP="00CD4BBD">
            <w:pPr>
              <w:spacing w:after="0" w:line="240" w:lineRule="auto"/>
              <w:contextualSpacing/>
              <w:jc w:val="center"/>
              <w:rPr>
                <w:rFonts w:asciiTheme="minorHAnsi" w:eastAsia="Times New Roman" w:hAnsiTheme="minorHAnsi" w:cstheme="minorHAnsi"/>
                <w:b/>
                <w:bCs/>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0FB16A4" w14:textId="77777777" w:rsidR="00582786" w:rsidRPr="00FA7AC1" w:rsidRDefault="00582786" w:rsidP="00CD4BBD">
            <w:pPr>
              <w:spacing w:after="0" w:line="240" w:lineRule="auto"/>
              <w:contextualSpacing/>
              <w:jc w:val="center"/>
              <w:rPr>
                <w:rFonts w:asciiTheme="minorHAnsi" w:eastAsia="Times New Roman" w:hAnsiTheme="minorHAnsi" w:cstheme="minorHAnsi"/>
                <w:b/>
                <w:bCs/>
                <w:color w:val="000000"/>
                <w:sz w:val="16"/>
                <w:szCs w:val="16"/>
                <w:lang w:eastAsia="en-AU"/>
              </w:rPr>
            </w:pPr>
          </w:p>
        </w:tc>
        <w:tc>
          <w:tcPr>
            <w:tcW w:w="1171" w:type="dxa"/>
            <w:tcBorders>
              <w:top w:val="single" w:sz="4" w:space="0" w:color="auto"/>
              <w:left w:val="single" w:sz="4" w:space="0" w:color="auto"/>
              <w:bottom w:val="single" w:sz="4" w:space="0" w:color="auto"/>
              <w:right w:val="single" w:sz="4" w:space="0" w:color="auto"/>
            </w:tcBorders>
            <w:noWrap/>
            <w:vAlign w:val="bottom"/>
          </w:tcPr>
          <w:p w14:paraId="1BA06CD8" w14:textId="77777777" w:rsidR="00582786" w:rsidRPr="00FA7AC1" w:rsidRDefault="00582786" w:rsidP="00CD4BBD">
            <w:pPr>
              <w:spacing w:after="0" w:line="240" w:lineRule="auto"/>
              <w:contextualSpacing/>
              <w:jc w:val="right"/>
              <w:rPr>
                <w:rFonts w:asciiTheme="minorHAnsi" w:eastAsia="Times New Roman" w:hAnsiTheme="minorHAnsi" w:cstheme="minorHAnsi"/>
                <w:b/>
                <w:bCs/>
                <w:color w:val="000000"/>
                <w:sz w:val="16"/>
                <w:szCs w:val="16"/>
                <w:lang w:eastAsia="en-AU"/>
              </w:rPr>
            </w:pP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747C5715" w14:textId="77777777" w:rsidR="00582786" w:rsidRPr="00FA7AC1" w:rsidRDefault="00582786" w:rsidP="00CD4BBD">
            <w:pPr>
              <w:spacing w:after="0" w:line="240" w:lineRule="auto"/>
              <w:contextualSpacing/>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bottom"/>
          </w:tcPr>
          <w:p w14:paraId="6125BECE" w14:textId="77777777" w:rsidR="00582786" w:rsidRPr="00FA7AC1" w:rsidRDefault="00582786" w:rsidP="00CD4BBD">
            <w:pPr>
              <w:spacing w:after="0" w:line="240" w:lineRule="auto"/>
              <w:contextualSpacing/>
              <w:rPr>
                <w:rFonts w:asciiTheme="minorHAnsi" w:eastAsia="Times New Roman" w:hAnsiTheme="minorHAnsi" w:cstheme="minorHAnsi"/>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bottom"/>
          </w:tcPr>
          <w:p w14:paraId="0015E08C" w14:textId="77777777" w:rsidR="00582786" w:rsidRPr="00FA7AC1" w:rsidRDefault="00582786" w:rsidP="00CD4BBD">
            <w:pPr>
              <w:spacing w:after="0" w:line="240" w:lineRule="auto"/>
              <w:contextualSpacing/>
              <w:rPr>
                <w:rFonts w:asciiTheme="minorHAnsi" w:eastAsia="Times New Roman" w:hAnsiTheme="minorHAnsi" w:cstheme="minorHAnsi"/>
                <w:color w:val="000000"/>
                <w:sz w:val="16"/>
                <w:szCs w:val="16"/>
                <w:lang w:eastAsia="en-AU"/>
              </w:rPr>
            </w:pPr>
          </w:p>
        </w:tc>
        <w:tc>
          <w:tcPr>
            <w:tcW w:w="850" w:type="dxa"/>
            <w:tcBorders>
              <w:top w:val="single" w:sz="4" w:space="0" w:color="auto"/>
              <w:left w:val="single" w:sz="4" w:space="0" w:color="auto"/>
              <w:bottom w:val="single" w:sz="4" w:space="0" w:color="auto"/>
              <w:right w:val="single" w:sz="4" w:space="0" w:color="auto"/>
            </w:tcBorders>
            <w:noWrap/>
            <w:vAlign w:val="bottom"/>
          </w:tcPr>
          <w:p w14:paraId="62540A10" w14:textId="77777777" w:rsidR="00582786" w:rsidRPr="00FA7AC1" w:rsidRDefault="00582786" w:rsidP="00CD4BBD">
            <w:pPr>
              <w:spacing w:after="0" w:line="240" w:lineRule="auto"/>
              <w:contextualSpacing/>
              <w:jc w:val="right"/>
              <w:rPr>
                <w:rFonts w:asciiTheme="minorHAnsi" w:eastAsia="Times New Roman" w:hAnsiTheme="minorHAnsi" w:cstheme="minorHAnsi"/>
                <w:b/>
                <w:bCs/>
                <w:color w:val="000000"/>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D12F249" w14:textId="77777777" w:rsidR="00582786" w:rsidRPr="00FA7AC1" w:rsidRDefault="00582786" w:rsidP="00CD4BBD">
            <w:pPr>
              <w:spacing w:after="0" w:line="240" w:lineRule="auto"/>
              <w:contextualSpacing/>
              <w:jc w:val="right"/>
              <w:rPr>
                <w:rFonts w:asciiTheme="minorHAnsi" w:hAnsiTheme="minorHAnsi" w:cstheme="minorHAnsi"/>
                <w:b/>
                <w:bCs/>
                <w:color w:val="000000"/>
                <w:sz w:val="16"/>
                <w:szCs w:val="16"/>
              </w:rPr>
            </w:pPr>
            <w:r w:rsidRPr="00FA7AC1">
              <w:rPr>
                <w:rFonts w:asciiTheme="minorHAnsi" w:hAnsiTheme="minorHAnsi" w:cstheme="minorHAnsi"/>
                <w:b/>
                <w:bCs/>
                <w:color w:val="000000"/>
                <w:sz w:val="16"/>
                <w:szCs w:val="16"/>
              </w:rPr>
              <w:t>379.90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AE5C644" w14:textId="77777777" w:rsidR="00582786" w:rsidRPr="00FA7AC1" w:rsidRDefault="00582786" w:rsidP="00CD4BBD">
            <w:pPr>
              <w:spacing w:after="0" w:line="240" w:lineRule="auto"/>
              <w:contextualSpacing/>
              <w:jc w:val="right"/>
              <w:rPr>
                <w:rFonts w:asciiTheme="minorHAnsi" w:hAnsiTheme="minorHAnsi" w:cstheme="minorHAnsi"/>
                <w:b/>
                <w:bCs/>
                <w:color w:val="000000"/>
                <w:sz w:val="16"/>
                <w:szCs w:val="16"/>
              </w:rPr>
            </w:pPr>
            <w:r w:rsidRPr="00FA7AC1">
              <w:rPr>
                <w:rFonts w:asciiTheme="minorHAnsi" w:hAnsiTheme="minorHAnsi" w:cstheme="minorHAnsi"/>
                <w:b/>
                <w:bCs/>
                <w:color w:val="000000"/>
                <w:sz w:val="16"/>
                <w:szCs w:val="16"/>
              </w:rPr>
              <w:t>1,075,387.11</w:t>
            </w:r>
          </w:p>
          <w:p w14:paraId="0BF40030" w14:textId="77777777" w:rsidR="00582786" w:rsidRPr="00FA7AC1" w:rsidRDefault="00582786" w:rsidP="00CD4BBD">
            <w:pPr>
              <w:spacing w:after="0" w:line="240" w:lineRule="auto"/>
              <w:contextualSpacing/>
              <w:jc w:val="right"/>
              <w:rPr>
                <w:rFonts w:asciiTheme="minorHAnsi" w:hAnsiTheme="minorHAnsi" w:cstheme="minorHAnsi"/>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AB7F10E" w14:textId="77777777" w:rsidR="00582786" w:rsidRPr="00FA7AC1" w:rsidRDefault="00582786" w:rsidP="00CD4BBD">
            <w:pPr>
              <w:spacing w:after="0" w:line="240" w:lineRule="auto"/>
              <w:contextualSpacing/>
              <w:rPr>
                <w:rFonts w:asciiTheme="minorHAnsi" w:eastAsia="Times New Roman" w:hAnsiTheme="minorHAnsi" w:cstheme="minorHAnsi"/>
                <w:color w:val="000000"/>
                <w:sz w:val="16"/>
                <w:szCs w:val="16"/>
                <w:lang w:eastAsia="en-AU"/>
              </w:rPr>
            </w:pPr>
            <w:r w:rsidRPr="00FA7AC1">
              <w:rPr>
                <w:rFonts w:asciiTheme="minorHAnsi" w:eastAsia="Times New Roman" w:hAnsiTheme="minorHAnsi" w:cstheme="minorHAnsi"/>
                <w:color w:val="000000"/>
                <w:sz w:val="16"/>
                <w:szCs w:val="16"/>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bottom"/>
          </w:tcPr>
          <w:p w14:paraId="6DA761BA" w14:textId="77777777" w:rsidR="00582786" w:rsidRPr="00FA7AC1" w:rsidRDefault="00582786" w:rsidP="00CD4BBD">
            <w:pPr>
              <w:spacing w:after="0" w:line="240" w:lineRule="auto"/>
              <w:contextualSpacing/>
              <w:jc w:val="right"/>
              <w:rPr>
                <w:rFonts w:asciiTheme="minorHAnsi" w:hAnsiTheme="minorHAnsi" w:cstheme="minorHAnsi"/>
                <w:b/>
                <w:color w:val="000000"/>
                <w:sz w:val="16"/>
                <w:szCs w:val="16"/>
              </w:rPr>
            </w:pPr>
            <w:r w:rsidRPr="00FA7AC1">
              <w:rPr>
                <w:rFonts w:asciiTheme="minorHAnsi" w:hAnsiTheme="minorHAnsi" w:cstheme="minorHAnsi"/>
                <w:b/>
                <w:color w:val="000000"/>
                <w:sz w:val="16"/>
                <w:szCs w:val="16"/>
              </w:rPr>
              <w:t>1,076,850.41</w:t>
            </w:r>
          </w:p>
          <w:p w14:paraId="495D0CE3" w14:textId="77777777" w:rsidR="00582786" w:rsidRPr="00FA7AC1" w:rsidRDefault="00582786" w:rsidP="00CD4BBD">
            <w:pPr>
              <w:spacing w:after="0" w:line="240" w:lineRule="auto"/>
              <w:contextualSpacing/>
              <w:jc w:val="right"/>
              <w:rPr>
                <w:rFonts w:asciiTheme="minorHAnsi" w:hAnsiTheme="minorHAnsi" w:cstheme="minorHAnsi"/>
                <w:b/>
                <w:color w:val="000000"/>
                <w:sz w:val="16"/>
                <w:szCs w:val="16"/>
              </w:rPr>
            </w:pPr>
          </w:p>
        </w:tc>
        <w:tc>
          <w:tcPr>
            <w:tcW w:w="1134" w:type="dxa"/>
            <w:tcBorders>
              <w:top w:val="single" w:sz="4" w:space="0" w:color="auto"/>
              <w:left w:val="single" w:sz="4" w:space="0" w:color="auto"/>
              <w:right w:val="single" w:sz="4" w:space="0" w:color="auto"/>
            </w:tcBorders>
            <w:noWrap/>
            <w:vAlign w:val="center"/>
          </w:tcPr>
          <w:p w14:paraId="11C44519" w14:textId="77777777" w:rsidR="00582786" w:rsidRPr="00FA7AC1" w:rsidRDefault="00582786" w:rsidP="00CD4BBD">
            <w:pPr>
              <w:spacing w:after="0" w:line="240" w:lineRule="auto"/>
              <w:contextualSpacing/>
              <w:jc w:val="right"/>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989,670.00</w:t>
            </w:r>
          </w:p>
        </w:tc>
        <w:tc>
          <w:tcPr>
            <w:tcW w:w="992" w:type="dxa"/>
            <w:tcBorders>
              <w:top w:val="single" w:sz="4" w:space="0" w:color="auto"/>
              <w:left w:val="single" w:sz="4" w:space="0" w:color="auto"/>
              <w:right w:val="single" w:sz="4" w:space="0" w:color="auto"/>
            </w:tcBorders>
            <w:noWrap/>
            <w:vAlign w:val="center"/>
          </w:tcPr>
          <w:p w14:paraId="319B8163" w14:textId="77777777" w:rsidR="00582786" w:rsidRPr="00FA7AC1" w:rsidRDefault="00582786" w:rsidP="00CD4BBD">
            <w:pPr>
              <w:spacing w:after="0" w:line="240" w:lineRule="auto"/>
              <w:contextualSpacing/>
              <w:jc w:val="right"/>
              <w:rPr>
                <w:rFonts w:asciiTheme="minorHAnsi" w:hAnsiTheme="minorHAnsi" w:cstheme="minorHAnsi"/>
                <w:b/>
                <w:color w:val="000000"/>
                <w:sz w:val="16"/>
                <w:szCs w:val="16"/>
              </w:rPr>
            </w:pPr>
            <w:r>
              <w:rPr>
                <w:rFonts w:asciiTheme="minorHAnsi" w:hAnsiTheme="minorHAnsi" w:cstheme="minorHAnsi"/>
                <w:b/>
                <w:color w:val="000000"/>
                <w:sz w:val="16"/>
                <w:szCs w:val="16"/>
              </w:rPr>
              <w:t>108.81%</w:t>
            </w:r>
          </w:p>
        </w:tc>
      </w:tr>
    </w:tbl>
    <w:p w14:paraId="0DC66C53" w14:textId="77777777" w:rsidR="00582786" w:rsidRPr="00D91714" w:rsidRDefault="00582786" w:rsidP="00582786">
      <w:pPr>
        <w:spacing w:after="0" w:line="240" w:lineRule="auto"/>
        <w:ind w:left="720" w:hanging="720"/>
        <w:rPr>
          <w:rFonts w:ascii="Times New Roman" w:hAnsi="Times New Roman" w:cs="Times New Roman"/>
          <w:sz w:val="16"/>
          <w:szCs w:val="16"/>
        </w:rPr>
      </w:pPr>
    </w:p>
    <w:p w14:paraId="10366F84" w14:textId="77777777" w:rsidR="00582786" w:rsidRPr="00FA7AC1" w:rsidRDefault="00582786" w:rsidP="00582786">
      <w:pPr>
        <w:spacing w:after="0" w:line="240" w:lineRule="auto"/>
        <w:ind w:left="720" w:hanging="720"/>
        <w:rPr>
          <w:rFonts w:asciiTheme="minorHAnsi" w:hAnsiTheme="minorHAnsi" w:cstheme="minorHAnsi"/>
          <w:sz w:val="16"/>
          <w:szCs w:val="18"/>
        </w:rPr>
      </w:pPr>
      <w:r w:rsidRPr="00FA7AC1">
        <w:rPr>
          <w:rFonts w:asciiTheme="minorHAnsi" w:hAnsiTheme="minorHAnsi" w:cstheme="minorHAnsi"/>
          <w:sz w:val="16"/>
          <w:szCs w:val="18"/>
        </w:rPr>
        <w:t xml:space="preserve">Notes: </w:t>
      </w:r>
      <w:r w:rsidRPr="00FA7AC1">
        <w:rPr>
          <w:rFonts w:asciiTheme="minorHAnsi" w:hAnsiTheme="minorHAnsi" w:cstheme="minorHAnsi"/>
          <w:sz w:val="16"/>
          <w:szCs w:val="18"/>
        </w:rPr>
        <w:tab/>
        <w:t xml:space="preserve">* As the state average recovery rate is below 9.5%, the base FRP amount applies. </w:t>
      </w:r>
    </w:p>
    <w:p w14:paraId="1360D9BF" w14:textId="77777777" w:rsidR="00582786" w:rsidRPr="00FA7AC1" w:rsidRDefault="00582786" w:rsidP="00582786">
      <w:pPr>
        <w:spacing w:after="0" w:line="240" w:lineRule="auto"/>
        <w:ind w:left="720" w:hanging="720"/>
        <w:rPr>
          <w:rFonts w:asciiTheme="minorHAnsi" w:hAnsiTheme="minorHAnsi" w:cstheme="minorHAnsi"/>
          <w:sz w:val="16"/>
          <w:szCs w:val="18"/>
        </w:rPr>
      </w:pPr>
      <w:r w:rsidRPr="00FA7AC1">
        <w:rPr>
          <w:rFonts w:asciiTheme="minorHAnsi" w:hAnsiTheme="minorHAnsi" w:cstheme="minorHAnsi"/>
          <w:sz w:val="16"/>
          <w:szCs w:val="18"/>
        </w:rPr>
        <w:tab/>
        <w:t>** This calculation assumes that 'other' recovery rates are in line with the nominal recovery rate of 9.5%.</w:t>
      </w:r>
    </w:p>
    <w:p w14:paraId="058E301C" w14:textId="77777777" w:rsidR="00582786" w:rsidRPr="00FA7AC1" w:rsidRDefault="00582786" w:rsidP="00582786">
      <w:pPr>
        <w:spacing w:after="0" w:line="240" w:lineRule="auto"/>
        <w:ind w:firstLine="720"/>
        <w:rPr>
          <w:rFonts w:asciiTheme="minorHAnsi" w:hAnsiTheme="minorHAnsi" w:cstheme="minorHAnsi"/>
          <w:sz w:val="16"/>
          <w:szCs w:val="18"/>
        </w:rPr>
      </w:pPr>
      <w:r w:rsidRPr="00FA7AC1">
        <w:rPr>
          <w:rFonts w:asciiTheme="minorHAnsi" w:hAnsiTheme="minorHAnsi" w:cstheme="minorHAnsi"/>
          <w:sz w:val="16"/>
          <w:szCs w:val="18"/>
        </w:rPr>
        <w:t xml:space="preserve">† This figure does not incorporate a SAP premium amount that would have applied if the state average recovery rate had been above 9.5%, as detailed in Section III.A.2(e) </w:t>
      </w:r>
      <w:r>
        <w:rPr>
          <w:rFonts w:asciiTheme="minorHAnsi" w:hAnsiTheme="minorHAnsi" w:cstheme="minorHAnsi"/>
          <w:sz w:val="16"/>
          <w:szCs w:val="18"/>
        </w:rPr>
        <w:t>of Australia's first written submission</w:t>
      </w:r>
      <w:r w:rsidRPr="00FA7AC1">
        <w:rPr>
          <w:rFonts w:asciiTheme="minorHAnsi" w:hAnsiTheme="minorHAnsi" w:cstheme="minorHAnsi"/>
          <w:sz w:val="16"/>
          <w:szCs w:val="18"/>
        </w:rPr>
        <w:t>.</w:t>
      </w:r>
    </w:p>
    <w:p w14:paraId="3AD84CBB" w14:textId="77777777" w:rsidR="00582786" w:rsidRPr="00383A50" w:rsidRDefault="00582786" w:rsidP="00582786">
      <w:pPr>
        <w:pStyle w:val="THTableHeading"/>
        <w:jc w:val="center"/>
      </w:pPr>
      <w:r w:rsidRPr="00383A50">
        <w:t>TABLE 24</w:t>
      </w:r>
      <w:r>
        <w:t xml:space="preserve"> </w:t>
      </w:r>
      <w:r w:rsidRPr="00D532B1">
        <w:t>(Revised)</w:t>
      </w:r>
      <w:r w:rsidRPr="00383A50">
        <w:t xml:space="preserve"> – Calculations showing product-specific domestic support for sugarcane 2018–19</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708"/>
        <w:gridCol w:w="851"/>
        <w:gridCol w:w="1134"/>
        <w:gridCol w:w="1171"/>
        <w:gridCol w:w="672"/>
        <w:gridCol w:w="708"/>
        <w:gridCol w:w="993"/>
        <w:gridCol w:w="850"/>
        <w:gridCol w:w="709"/>
        <w:gridCol w:w="1134"/>
        <w:gridCol w:w="709"/>
        <w:gridCol w:w="1134"/>
        <w:gridCol w:w="1134"/>
        <w:gridCol w:w="992"/>
      </w:tblGrid>
      <w:tr w:rsidR="00582786" w:rsidRPr="00346F6C" w14:paraId="74FFB6E1" w14:textId="77777777" w:rsidTr="00CD4BBD">
        <w:trPr>
          <w:trHeight w:val="300"/>
        </w:trPr>
        <w:tc>
          <w:tcPr>
            <w:tcW w:w="1135" w:type="dxa"/>
            <w:shd w:val="clear" w:color="auto" w:fill="auto"/>
            <w:noWrap/>
            <w:vAlign w:val="bottom"/>
            <w:hideMark/>
          </w:tcPr>
          <w:p w14:paraId="1704825E" w14:textId="77777777" w:rsidR="00582786" w:rsidRPr="00346F6C" w:rsidRDefault="00582786" w:rsidP="00CD4BBD">
            <w:pPr>
              <w:spacing w:after="0" w:line="240" w:lineRule="auto"/>
              <w:rPr>
                <w:rFonts w:asciiTheme="minorHAnsi" w:eastAsia="Times New Roman" w:hAnsiTheme="minorHAnsi" w:cstheme="minorHAnsi"/>
                <w:sz w:val="16"/>
                <w:szCs w:val="16"/>
                <w:lang w:eastAsia="en-AU"/>
              </w:rPr>
            </w:pPr>
          </w:p>
        </w:tc>
        <w:tc>
          <w:tcPr>
            <w:tcW w:w="1559" w:type="dxa"/>
            <w:gridSpan w:val="2"/>
            <w:shd w:val="clear" w:color="auto" w:fill="auto"/>
            <w:noWrap/>
            <w:vAlign w:val="bottom"/>
            <w:hideMark/>
          </w:tcPr>
          <w:p w14:paraId="230A2139" w14:textId="77777777" w:rsidR="00582786" w:rsidRPr="00565D70"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565D70">
              <w:rPr>
                <w:rFonts w:asciiTheme="minorHAnsi" w:eastAsia="Times New Roman" w:hAnsiTheme="minorHAnsi" w:cstheme="minorHAnsi"/>
                <w:b/>
                <w:bCs/>
                <w:color w:val="000000"/>
                <w:sz w:val="16"/>
                <w:szCs w:val="16"/>
                <w:lang w:eastAsia="en-AU"/>
              </w:rPr>
              <w:t>Recovery Rate (RR)</w:t>
            </w:r>
          </w:p>
        </w:tc>
        <w:tc>
          <w:tcPr>
            <w:tcW w:w="3156" w:type="dxa"/>
            <w:gridSpan w:val="3"/>
            <w:shd w:val="clear" w:color="auto" w:fill="auto"/>
            <w:noWrap/>
            <w:vAlign w:val="bottom"/>
            <w:hideMark/>
          </w:tcPr>
          <w:p w14:paraId="56A94FB6"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AAP = FRP + average FRP premiums</w:t>
            </w:r>
          </w:p>
          <w:p w14:paraId="3863E850"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b/>
                <w:bCs/>
                <w:color w:val="000000"/>
                <w:sz w:val="16"/>
                <w:szCs w:val="16"/>
                <w:lang w:eastAsia="en-AU"/>
              </w:rPr>
              <w:t>(INR per mT)</w:t>
            </w:r>
          </w:p>
        </w:tc>
        <w:tc>
          <w:tcPr>
            <w:tcW w:w="2373" w:type="dxa"/>
            <w:gridSpan w:val="3"/>
            <w:shd w:val="clear" w:color="auto" w:fill="auto"/>
            <w:noWrap/>
            <w:vAlign w:val="bottom"/>
            <w:hideMark/>
          </w:tcPr>
          <w:p w14:paraId="6BD40DD1"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 xml:space="preserve">AAP = FRP or SAPs </w:t>
            </w:r>
          </w:p>
          <w:p w14:paraId="4122F314"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b/>
                <w:bCs/>
                <w:color w:val="000000"/>
                <w:sz w:val="16"/>
                <w:szCs w:val="16"/>
                <w:lang w:eastAsia="en-AU"/>
              </w:rPr>
              <w:t>(INR per mT)</w:t>
            </w:r>
          </w:p>
        </w:tc>
        <w:tc>
          <w:tcPr>
            <w:tcW w:w="850" w:type="dxa"/>
            <w:shd w:val="clear" w:color="auto" w:fill="auto"/>
            <w:noWrap/>
            <w:vAlign w:val="bottom"/>
            <w:hideMark/>
          </w:tcPr>
          <w:p w14:paraId="74D40C52"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b/>
                <w:sz w:val="16"/>
                <w:szCs w:val="16"/>
                <w:lang w:eastAsia="en-AU"/>
              </w:rPr>
              <w:t>FERP</w:t>
            </w:r>
          </w:p>
        </w:tc>
        <w:tc>
          <w:tcPr>
            <w:tcW w:w="709" w:type="dxa"/>
            <w:shd w:val="clear" w:color="auto" w:fill="auto"/>
            <w:noWrap/>
            <w:vAlign w:val="bottom"/>
            <w:hideMark/>
          </w:tcPr>
          <w:p w14:paraId="05E99FA0"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b/>
                <w:bCs/>
                <w:color w:val="000000"/>
                <w:sz w:val="16"/>
                <w:szCs w:val="16"/>
                <w:lang w:eastAsia="en-AU"/>
              </w:rPr>
              <w:t>QEP</w:t>
            </w:r>
          </w:p>
        </w:tc>
        <w:tc>
          <w:tcPr>
            <w:tcW w:w="1134" w:type="dxa"/>
            <w:shd w:val="clear" w:color="auto" w:fill="auto"/>
            <w:noWrap/>
            <w:vAlign w:val="bottom"/>
            <w:hideMark/>
          </w:tcPr>
          <w:p w14:paraId="6E9D7E16"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b/>
                <w:sz w:val="16"/>
                <w:szCs w:val="16"/>
                <w:lang w:eastAsia="en-AU"/>
              </w:rPr>
              <w:t>MPS</w:t>
            </w:r>
          </w:p>
        </w:tc>
        <w:tc>
          <w:tcPr>
            <w:tcW w:w="709" w:type="dxa"/>
            <w:shd w:val="clear" w:color="auto" w:fill="auto"/>
            <w:noWrap/>
            <w:vAlign w:val="bottom"/>
            <w:hideMark/>
          </w:tcPr>
          <w:p w14:paraId="2AFAFE57"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p>
        </w:tc>
        <w:tc>
          <w:tcPr>
            <w:tcW w:w="1134" w:type="dxa"/>
            <w:shd w:val="clear" w:color="auto" w:fill="auto"/>
            <w:noWrap/>
            <w:vAlign w:val="bottom"/>
            <w:hideMark/>
          </w:tcPr>
          <w:p w14:paraId="79FC1C41"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b/>
                <w:bCs/>
                <w:color w:val="000000"/>
                <w:sz w:val="16"/>
                <w:szCs w:val="16"/>
                <w:lang w:eastAsia="en-AU"/>
              </w:rPr>
              <w:t>Product  specific AMS</w:t>
            </w:r>
          </w:p>
        </w:tc>
        <w:tc>
          <w:tcPr>
            <w:tcW w:w="1134" w:type="dxa"/>
            <w:shd w:val="clear" w:color="auto" w:fill="auto"/>
            <w:noWrap/>
            <w:vAlign w:val="bottom"/>
            <w:hideMark/>
          </w:tcPr>
          <w:p w14:paraId="57D4E2D9"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b/>
                <w:bCs/>
                <w:color w:val="000000"/>
                <w:sz w:val="16"/>
                <w:szCs w:val="16"/>
                <w:lang w:eastAsia="en-AU"/>
              </w:rPr>
              <w:t>Value of production</w:t>
            </w:r>
          </w:p>
        </w:tc>
        <w:tc>
          <w:tcPr>
            <w:tcW w:w="992" w:type="dxa"/>
            <w:shd w:val="clear" w:color="auto" w:fill="auto"/>
            <w:noWrap/>
            <w:vAlign w:val="bottom"/>
            <w:hideMark/>
          </w:tcPr>
          <w:p w14:paraId="1D0F74C7" w14:textId="77777777" w:rsidR="00582786" w:rsidRPr="00346F6C" w:rsidRDefault="00582786" w:rsidP="00CD4BBD">
            <w:pPr>
              <w:spacing w:after="0" w:line="240" w:lineRule="auto"/>
              <w:rPr>
                <w:rFonts w:asciiTheme="minorHAnsi" w:eastAsia="Times New Roman" w:hAnsiTheme="minorHAnsi" w:cstheme="minorHAnsi"/>
                <w:sz w:val="16"/>
                <w:szCs w:val="16"/>
                <w:lang w:eastAsia="en-AU"/>
              </w:rPr>
            </w:pPr>
            <w:r w:rsidRPr="00346F6C">
              <w:rPr>
                <w:rFonts w:asciiTheme="minorHAnsi" w:eastAsia="Times New Roman" w:hAnsiTheme="minorHAnsi" w:cstheme="minorHAnsi"/>
                <w:b/>
                <w:bCs/>
                <w:color w:val="000000"/>
                <w:sz w:val="16"/>
                <w:szCs w:val="16"/>
                <w:lang w:eastAsia="en-AU"/>
              </w:rPr>
              <w:t>Percentage of value of production</w:t>
            </w:r>
          </w:p>
        </w:tc>
      </w:tr>
      <w:tr w:rsidR="00582786" w:rsidRPr="00346F6C" w14:paraId="603AEEC3" w14:textId="77777777" w:rsidTr="00CD4BBD">
        <w:trPr>
          <w:trHeight w:val="300"/>
        </w:trPr>
        <w:tc>
          <w:tcPr>
            <w:tcW w:w="1135" w:type="dxa"/>
            <w:shd w:val="clear" w:color="auto" w:fill="auto"/>
            <w:noWrap/>
            <w:vAlign w:val="bottom"/>
          </w:tcPr>
          <w:p w14:paraId="1117C59C" w14:textId="77777777" w:rsidR="00582786" w:rsidRPr="00346F6C" w:rsidRDefault="00582786" w:rsidP="00CD4BBD">
            <w:pPr>
              <w:spacing w:after="0" w:line="240" w:lineRule="auto"/>
              <w:rPr>
                <w:rFonts w:asciiTheme="minorHAnsi" w:eastAsia="Times New Roman" w:hAnsiTheme="minorHAnsi" w:cstheme="minorHAnsi"/>
                <w:sz w:val="16"/>
                <w:szCs w:val="16"/>
                <w:lang w:eastAsia="en-AU"/>
              </w:rPr>
            </w:pPr>
          </w:p>
        </w:tc>
        <w:tc>
          <w:tcPr>
            <w:tcW w:w="851" w:type="dxa"/>
            <w:shd w:val="clear" w:color="auto" w:fill="auto"/>
            <w:noWrap/>
            <w:vAlign w:val="bottom"/>
          </w:tcPr>
          <w:p w14:paraId="5804AC7D"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Forecast Actual average RR</w:t>
            </w:r>
          </w:p>
        </w:tc>
        <w:tc>
          <w:tcPr>
            <w:tcW w:w="708" w:type="dxa"/>
            <w:shd w:val="clear" w:color="auto" w:fill="auto"/>
            <w:noWrap/>
            <w:vAlign w:val="bottom"/>
          </w:tcPr>
          <w:p w14:paraId="465A27CD"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Base FRP Nominal RR</w:t>
            </w:r>
          </w:p>
        </w:tc>
        <w:tc>
          <w:tcPr>
            <w:tcW w:w="851" w:type="dxa"/>
            <w:shd w:val="clear" w:color="auto" w:fill="auto"/>
            <w:noWrap/>
            <w:vAlign w:val="bottom"/>
          </w:tcPr>
          <w:p w14:paraId="0BB5CF00"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 xml:space="preserve">Base FRP </w:t>
            </w:r>
          </w:p>
        </w:tc>
        <w:tc>
          <w:tcPr>
            <w:tcW w:w="1134" w:type="dxa"/>
            <w:shd w:val="clear" w:color="auto" w:fill="auto"/>
            <w:noWrap/>
            <w:vAlign w:val="bottom"/>
          </w:tcPr>
          <w:p w14:paraId="58D2D936"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 xml:space="preserve">FRP premium </w:t>
            </w:r>
          </w:p>
        </w:tc>
        <w:tc>
          <w:tcPr>
            <w:tcW w:w="1171" w:type="dxa"/>
            <w:shd w:val="clear" w:color="auto" w:fill="auto"/>
            <w:noWrap/>
            <w:vAlign w:val="bottom"/>
          </w:tcPr>
          <w:p w14:paraId="2BE3DEE2"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 xml:space="preserve">AAP in terms of FRP + average FRP premiums </w:t>
            </w:r>
          </w:p>
        </w:tc>
        <w:tc>
          <w:tcPr>
            <w:tcW w:w="672" w:type="dxa"/>
            <w:shd w:val="clear" w:color="auto" w:fill="auto"/>
            <w:noWrap/>
            <w:vAlign w:val="bottom"/>
          </w:tcPr>
          <w:p w14:paraId="5FEA5E04"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SAP (mid)</w:t>
            </w:r>
          </w:p>
        </w:tc>
        <w:tc>
          <w:tcPr>
            <w:tcW w:w="708" w:type="dxa"/>
            <w:shd w:val="clear" w:color="auto" w:fill="auto"/>
            <w:noWrap/>
            <w:vAlign w:val="bottom"/>
          </w:tcPr>
          <w:p w14:paraId="3D259818"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 xml:space="preserve">Add. Amts (alt. claim) </w:t>
            </w:r>
          </w:p>
        </w:tc>
        <w:tc>
          <w:tcPr>
            <w:tcW w:w="993" w:type="dxa"/>
            <w:shd w:val="clear" w:color="auto" w:fill="auto"/>
            <w:noWrap/>
            <w:vAlign w:val="bottom"/>
          </w:tcPr>
          <w:p w14:paraId="6648A5FC"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 xml:space="preserve">AAP in terms of average FRP or SAPs </w:t>
            </w:r>
          </w:p>
        </w:tc>
        <w:tc>
          <w:tcPr>
            <w:tcW w:w="850" w:type="dxa"/>
            <w:shd w:val="clear" w:color="auto" w:fill="auto"/>
            <w:noWrap/>
            <w:vAlign w:val="bottom"/>
          </w:tcPr>
          <w:p w14:paraId="0C14A983"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 xml:space="preserve">FERP Adjusted for average RR </w:t>
            </w:r>
          </w:p>
        </w:tc>
        <w:tc>
          <w:tcPr>
            <w:tcW w:w="709" w:type="dxa"/>
            <w:shd w:val="clear" w:color="auto" w:fill="auto"/>
            <w:noWrap/>
            <w:vAlign w:val="bottom"/>
          </w:tcPr>
          <w:p w14:paraId="0FB7CED3"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 xml:space="preserve">QEP </w:t>
            </w:r>
          </w:p>
        </w:tc>
        <w:tc>
          <w:tcPr>
            <w:tcW w:w="1134" w:type="dxa"/>
            <w:shd w:val="clear" w:color="auto" w:fill="auto"/>
            <w:noWrap/>
            <w:vAlign w:val="bottom"/>
          </w:tcPr>
          <w:p w14:paraId="19862C07"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 xml:space="preserve">MPS </w:t>
            </w:r>
          </w:p>
        </w:tc>
        <w:tc>
          <w:tcPr>
            <w:tcW w:w="709" w:type="dxa"/>
            <w:shd w:val="clear" w:color="auto" w:fill="auto"/>
            <w:noWrap/>
            <w:vAlign w:val="bottom"/>
          </w:tcPr>
          <w:p w14:paraId="4B53C4EF"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Add. amts</w:t>
            </w:r>
          </w:p>
        </w:tc>
        <w:tc>
          <w:tcPr>
            <w:tcW w:w="1134" w:type="dxa"/>
            <w:shd w:val="clear" w:color="auto" w:fill="auto"/>
            <w:noWrap/>
            <w:vAlign w:val="bottom"/>
          </w:tcPr>
          <w:p w14:paraId="67B6EE19"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 xml:space="preserve">MPS + additional amounts </w:t>
            </w:r>
          </w:p>
        </w:tc>
        <w:tc>
          <w:tcPr>
            <w:tcW w:w="1134" w:type="dxa"/>
            <w:shd w:val="clear" w:color="auto" w:fill="auto"/>
            <w:noWrap/>
            <w:vAlign w:val="bottom"/>
          </w:tcPr>
          <w:p w14:paraId="6FD916C9" w14:textId="77777777" w:rsidR="00582786" w:rsidRPr="00346F6C" w:rsidRDefault="00582786" w:rsidP="00CD4BBD">
            <w:pPr>
              <w:tabs>
                <w:tab w:val="left" w:pos="586"/>
              </w:tabs>
              <w:spacing w:after="0" w:line="240" w:lineRule="auto"/>
              <w:jc w:val="center"/>
              <w:rPr>
                <w:rFonts w:asciiTheme="minorHAnsi" w:eastAsia="Times New Roman" w:hAnsiTheme="minorHAnsi" w:cstheme="minorHAnsi"/>
                <w:color w:val="000000"/>
                <w:sz w:val="16"/>
                <w:szCs w:val="16"/>
                <w:lang w:eastAsia="en-AU"/>
              </w:rPr>
            </w:pPr>
          </w:p>
        </w:tc>
        <w:tc>
          <w:tcPr>
            <w:tcW w:w="992" w:type="dxa"/>
            <w:shd w:val="clear" w:color="auto" w:fill="auto"/>
            <w:noWrap/>
            <w:vAlign w:val="bottom"/>
          </w:tcPr>
          <w:p w14:paraId="764C17D3" w14:textId="77777777" w:rsidR="00582786" w:rsidRPr="00346F6C" w:rsidRDefault="00582786" w:rsidP="00CD4BBD">
            <w:pPr>
              <w:spacing w:after="0" w:line="240" w:lineRule="auto"/>
              <w:rPr>
                <w:rFonts w:asciiTheme="minorHAnsi" w:eastAsia="Times New Roman" w:hAnsiTheme="minorHAnsi" w:cstheme="minorHAnsi"/>
                <w:sz w:val="16"/>
                <w:szCs w:val="16"/>
                <w:lang w:eastAsia="en-AU"/>
              </w:rPr>
            </w:pPr>
          </w:p>
        </w:tc>
      </w:tr>
      <w:tr w:rsidR="00582786" w:rsidRPr="00346F6C" w14:paraId="7D4B287F" w14:textId="77777777" w:rsidTr="00CD4BBD">
        <w:trPr>
          <w:trHeight w:val="630"/>
        </w:trPr>
        <w:tc>
          <w:tcPr>
            <w:tcW w:w="1135" w:type="dxa"/>
            <w:shd w:val="clear" w:color="auto" w:fill="auto"/>
            <w:noWrap/>
            <w:vAlign w:val="bottom"/>
          </w:tcPr>
          <w:p w14:paraId="4FE6AB72" w14:textId="77777777" w:rsidR="00582786" w:rsidRPr="00346F6C" w:rsidRDefault="00582786" w:rsidP="00CD4BBD">
            <w:pPr>
              <w:spacing w:after="0" w:line="240" w:lineRule="auto"/>
              <w:rPr>
                <w:rFonts w:asciiTheme="minorHAnsi" w:eastAsia="Times New Roman" w:hAnsiTheme="minorHAnsi" w:cstheme="minorHAnsi"/>
                <w:sz w:val="16"/>
                <w:szCs w:val="16"/>
                <w:lang w:eastAsia="en-AU"/>
              </w:rPr>
            </w:pPr>
          </w:p>
        </w:tc>
        <w:tc>
          <w:tcPr>
            <w:tcW w:w="851" w:type="dxa"/>
            <w:shd w:val="clear" w:color="auto" w:fill="auto"/>
            <w:noWrap/>
            <w:vAlign w:val="bottom"/>
          </w:tcPr>
          <w:p w14:paraId="5F4C10E0"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w:t>
            </w:r>
          </w:p>
        </w:tc>
        <w:tc>
          <w:tcPr>
            <w:tcW w:w="708" w:type="dxa"/>
            <w:shd w:val="clear" w:color="auto" w:fill="auto"/>
            <w:noWrap/>
            <w:vAlign w:val="bottom"/>
          </w:tcPr>
          <w:p w14:paraId="043040C3"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w:t>
            </w:r>
          </w:p>
        </w:tc>
        <w:tc>
          <w:tcPr>
            <w:tcW w:w="851" w:type="dxa"/>
            <w:shd w:val="clear" w:color="auto" w:fill="auto"/>
            <w:noWrap/>
            <w:vAlign w:val="bottom"/>
          </w:tcPr>
          <w:p w14:paraId="4A313515"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(INR per mT)</w:t>
            </w:r>
          </w:p>
        </w:tc>
        <w:tc>
          <w:tcPr>
            <w:tcW w:w="1134" w:type="dxa"/>
            <w:shd w:val="clear" w:color="auto" w:fill="auto"/>
            <w:noWrap/>
            <w:vAlign w:val="bottom"/>
          </w:tcPr>
          <w:p w14:paraId="5CCE41F7"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(INR per mT per 0.1 % above nominal RR)</w:t>
            </w:r>
          </w:p>
        </w:tc>
        <w:tc>
          <w:tcPr>
            <w:tcW w:w="1171" w:type="dxa"/>
            <w:shd w:val="clear" w:color="auto" w:fill="auto"/>
            <w:noWrap/>
            <w:vAlign w:val="bottom"/>
          </w:tcPr>
          <w:p w14:paraId="6FC58AAD"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(INR per mT)</w:t>
            </w:r>
          </w:p>
        </w:tc>
        <w:tc>
          <w:tcPr>
            <w:tcW w:w="672" w:type="dxa"/>
            <w:shd w:val="clear" w:color="auto" w:fill="auto"/>
            <w:noWrap/>
            <w:vAlign w:val="bottom"/>
          </w:tcPr>
          <w:p w14:paraId="086608E9"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(INR per mT)</w:t>
            </w:r>
          </w:p>
        </w:tc>
        <w:tc>
          <w:tcPr>
            <w:tcW w:w="708" w:type="dxa"/>
            <w:shd w:val="clear" w:color="auto" w:fill="auto"/>
            <w:noWrap/>
            <w:vAlign w:val="bottom"/>
          </w:tcPr>
          <w:p w14:paraId="4D708213"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(INR per mT)</w:t>
            </w:r>
          </w:p>
        </w:tc>
        <w:tc>
          <w:tcPr>
            <w:tcW w:w="993" w:type="dxa"/>
            <w:shd w:val="clear" w:color="auto" w:fill="auto"/>
            <w:noWrap/>
            <w:vAlign w:val="bottom"/>
          </w:tcPr>
          <w:p w14:paraId="703AEBEA"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(INR per mT)</w:t>
            </w:r>
          </w:p>
        </w:tc>
        <w:tc>
          <w:tcPr>
            <w:tcW w:w="850" w:type="dxa"/>
            <w:shd w:val="clear" w:color="auto" w:fill="auto"/>
            <w:noWrap/>
            <w:vAlign w:val="bottom"/>
          </w:tcPr>
          <w:p w14:paraId="1F79681F"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(INR per mT)</w:t>
            </w:r>
          </w:p>
        </w:tc>
        <w:tc>
          <w:tcPr>
            <w:tcW w:w="709" w:type="dxa"/>
            <w:shd w:val="clear" w:color="auto" w:fill="auto"/>
            <w:noWrap/>
            <w:vAlign w:val="bottom"/>
          </w:tcPr>
          <w:p w14:paraId="0F9C2756"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(million mT)</w:t>
            </w:r>
          </w:p>
        </w:tc>
        <w:tc>
          <w:tcPr>
            <w:tcW w:w="1134" w:type="dxa"/>
            <w:shd w:val="clear" w:color="auto" w:fill="auto"/>
            <w:noWrap/>
            <w:vAlign w:val="bottom"/>
          </w:tcPr>
          <w:p w14:paraId="749DB8F3"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Cs/>
                <w:color w:val="000000"/>
                <w:sz w:val="16"/>
                <w:szCs w:val="16"/>
                <w:lang w:eastAsia="en-AU"/>
              </w:rPr>
              <w:t>(INR millions)</w:t>
            </w:r>
          </w:p>
        </w:tc>
        <w:tc>
          <w:tcPr>
            <w:tcW w:w="709" w:type="dxa"/>
            <w:shd w:val="clear" w:color="auto" w:fill="auto"/>
            <w:noWrap/>
            <w:vAlign w:val="bottom"/>
          </w:tcPr>
          <w:p w14:paraId="61CD30A5"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(INR millions)</w:t>
            </w:r>
          </w:p>
        </w:tc>
        <w:tc>
          <w:tcPr>
            <w:tcW w:w="1134" w:type="dxa"/>
            <w:shd w:val="clear" w:color="auto" w:fill="auto"/>
            <w:noWrap/>
            <w:vAlign w:val="bottom"/>
          </w:tcPr>
          <w:p w14:paraId="17D01936"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color w:val="000000"/>
                <w:sz w:val="16"/>
                <w:szCs w:val="16"/>
                <w:lang w:eastAsia="en-AU"/>
              </w:rPr>
              <w:t>(INR millions)</w:t>
            </w:r>
          </w:p>
        </w:tc>
        <w:tc>
          <w:tcPr>
            <w:tcW w:w="1134" w:type="dxa"/>
            <w:shd w:val="clear" w:color="auto" w:fill="auto"/>
            <w:noWrap/>
            <w:vAlign w:val="bottom"/>
          </w:tcPr>
          <w:p w14:paraId="2563FC58"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Cs/>
                <w:color w:val="000000"/>
                <w:sz w:val="16"/>
                <w:szCs w:val="16"/>
                <w:lang w:eastAsia="en-AU"/>
              </w:rPr>
              <w:t>(INR millions)</w:t>
            </w:r>
          </w:p>
        </w:tc>
        <w:tc>
          <w:tcPr>
            <w:tcW w:w="992" w:type="dxa"/>
            <w:shd w:val="clear" w:color="auto" w:fill="auto"/>
            <w:noWrap/>
            <w:vAlign w:val="bottom"/>
          </w:tcPr>
          <w:p w14:paraId="07D479A3"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w:t>
            </w:r>
          </w:p>
        </w:tc>
      </w:tr>
      <w:tr w:rsidR="00582786" w:rsidRPr="00346F6C" w14:paraId="0F1125A0" w14:textId="77777777" w:rsidTr="00CD4BBD">
        <w:trPr>
          <w:trHeight w:val="630"/>
        </w:trPr>
        <w:tc>
          <w:tcPr>
            <w:tcW w:w="1135" w:type="dxa"/>
            <w:shd w:val="clear" w:color="auto" w:fill="auto"/>
            <w:noWrap/>
            <w:vAlign w:val="bottom"/>
            <w:hideMark/>
          </w:tcPr>
          <w:p w14:paraId="475D7883" w14:textId="77777777" w:rsidR="00582786" w:rsidRPr="00346F6C" w:rsidRDefault="00582786" w:rsidP="00CD4BBD">
            <w:pPr>
              <w:spacing w:after="0" w:line="240" w:lineRule="auto"/>
              <w:rPr>
                <w:rFonts w:asciiTheme="minorHAnsi" w:eastAsia="Times New Roman" w:hAnsiTheme="minorHAnsi" w:cstheme="minorHAnsi"/>
                <w:sz w:val="16"/>
                <w:szCs w:val="16"/>
                <w:lang w:eastAsia="en-AU"/>
              </w:rPr>
            </w:pPr>
          </w:p>
        </w:tc>
        <w:tc>
          <w:tcPr>
            <w:tcW w:w="851" w:type="dxa"/>
            <w:shd w:val="clear" w:color="auto" w:fill="auto"/>
            <w:noWrap/>
            <w:vAlign w:val="bottom"/>
            <w:hideMark/>
          </w:tcPr>
          <w:p w14:paraId="67E5147A"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C1</w:t>
            </w:r>
          </w:p>
        </w:tc>
        <w:tc>
          <w:tcPr>
            <w:tcW w:w="708" w:type="dxa"/>
            <w:shd w:val="clear" w:color="auto" w:fill="auto"/>
            <w:noWrap/>
            <w:vAlign w:val="bottom"/>
            <w:hideMark/>
          </w:tcPr>
          <w:p w14:paraId="5A4F72D2"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C2</w:t>
            </w:r>
          </w:p>
        </w:tc>
        <w:tc>
          <w:tcPr>
            <w:tcW w:w="851" w:type="dxa"/>
            <w:shd w:val="clear" w:color="auto" w:fill="auto"/>
            <w:noWrap/>
            <w:vAlign w:val="bottom"/>
            <w:hideMark/>
          </w:tcPr>
          <w:p w14:paraId="34F4CEB6"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C3</w:t>
            </w:r>
          </w:p>
        </w:tc>
        <w:tc>
          <w:tcPr>
            <w:tcW w:w="1134" w:type="dxa"/>
            <w:shd w:val="clear" w:color="auto" w:fill="auto"/>
            <w:noWrap/>
            <w:vAlign w:val="bottom"/>
            <w:hideMark/>
          </w:tcPr>
          <w:p w14:paraId="2EAAEF97"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C4</w:t>
            </w:r>
          </w:p>
        </w:tc>
        <w:tc>
          <w:tcPr>
            <w:tcW w:w="1171" w:type="dxa"/>
            <w:shd w:val="clear" w:color="auto" w:fill="auto"/>
            <w:noWrap/>
            <w:vAlign w:val="bottom"/>
            <w:hideMark/>
          </w:tcPr>
          <w:p w14:paraId="6EB634AA"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 xml:space="preserve">C5 = C3+(C1-C2)/0.1 *C4 (or C3 if </w:t>
            </w:r>
            <w:r w:rsidRPr="00346F6C">
              <w:rPr>
                <w:rFonts w:asciiTheme="minorHAnsi" w:hAnsiTheme="minorHAnsi" w:cstheme="minorHAnsi"/>
                <w:sz w:val="16"/>
              </w:rPr>
              <w:t>≤</w:t>
            </w:r>
            <w:r w:rsidRPr="00346F6C">
              <w:rPr>
                <w:rFonts w:asciiTheme="minorHAnsi" w:hAnsiTheme="minorHAnsi" w:cstheme="minorHAnsi"/>
              </w:rPr>
              <w:t xml:space="preserve"> </w:t>
            </w:r>
            <w:r w:rsidRPr="00346F6C">
              <w:rPr>
                <w:rFonts w:asciiTheme="minorHAnsi" w:eastAsia="Times New Roman" w:hAnsiTheme="minorHAnsi" w:cstheme="minorHAnsi"/>
                <w:b/>
                <w:bCs/>
                <w:color w:val="000000"/>
                <w:sz w:val="16"/>
                <w:szCs w:val="16"/>
                <w:lang w:eastAsia="en-AU"/>
              </w:rPr>
              <w:t>2300)</w:t>
            </w:r>
          </w:p>
        </w:tc>
        <w:tc>
          <w:tcPr>
            <w:tcW w:w="672" w:type="dxa"/>
            <w:shd w:val="clear" w:color="auto" w:fill="auto"/>
            <w:noWrap/>
            <w:vAlign w:val="bottom"/>
            <w:hideMark/>
          </w:tcPr>
          <w:p w14:paraId="5F0F6287"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C6</w:t>
            </w:r>
          </w:p>
        </w:tc>
        <w:tc>
          <w:tcPr>
            <w:tcW w:w="708" w:type="dxa"/>
            <w:shd w:val="clear" w:color="auto" w:fill="auto"/>
            <w:noWrap/>
            <w:vAlign w:val="bottom"/>
            <w:hideMark/>
          </w:tcPr>
          <w:p w14:paraId="6C43D026"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C7</w:t>
            </w:r>
          </w:p>
        </w:tc>
        <w:tc>
          <w:tcPr>
            <w:tcW w:w="993" w:type="dxa"/>
            <w:shd w:val="clear" w:color="auto" w:fill="auto"/>
            <w:noWrap/>
            <w:vAlign w:val="bottom"/>
            <w:hideMark/>
          </w:tcPr>
          <w:p w14:paraId="00952C5B"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C8 (C5, or C6 if &gt;C5)</w:t>
            </w:r>
          </w:p>
        </w:tc>
        <w:tc>
          <w:tcPr>
            <w:tcW w:w="850" w:type="dxa"/>
            <w:shd w:val="clear" w:color="auto" w:fill="auto"/>
            <w:noWrap/>
            <w:vAlign w:val="bottom"/>
            <w:hideMark/>
          </w:tcPr>
          <w:p w14:paraId="75D35DEC"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C9</w:t>
            </w:r>
          </w:p>
        </w:tc>
        <w:tc>
          <w:tcPr>
            <w:tcW w:w="709" w:type="dxa"/>
            <w:shd w:val="clear" w:color="auto" w:fill="auto"/>
            <w:noWrap/>
            <w:vAlign w:val="bottom"/>
            <w:hideMark/>
          </w:tcPr>
          <w:p w14:paraId="48C70FC9"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C10</w:t>
            </w:r>
          </w:p>
        </w:tc>
        <w:tc>
          <w:tcPr>
            <w:tcW w:w="1134" w:type="dxa"/>
            <w:shd w:val="clear" w:color="auto" w:fill="auto"/>
            <w:noWrap/>
            <w:vAlign w:val="bottom"/>
            <w:hideMark/>
          </w:tcPr>
          <w:p w14:paraId="17B56A5D"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C11 = (C8-C9)* C10</w:t>
            </w:r>
          </w:p>
        </w:tc>
        <w:tc>
          <w:tcPr>
            <w:tcW w:w="709" w:type="dxa"/>
            <w:shd w:val="clear" w:color="auto" w:fill="auto"/>
            <w:noWrap/>
            <w:vAlign w:val="bottom"/>
            <w:hideMark/>
          </w:tcPr>
          <w:p w14:paraId="25BE2B2F"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C12</w:t>
            </w:r>
          </w:p>
        </w:tc>
        <w:tc>
          <w:tcPr>
            <w:tcW w:w="1134" w:type="dxa"/>
            <w:shd w:val="clear" w:color="auto" w:fill="auto"/>
            <w:noWrap/>
            <w:vAlign w:val="bottom"/>
            <w:hideMark/>
          </w:tcPr>
          <w:p w14:paraId="0B8B62CC"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C14 = C11 + C12</w:t>
            </w:r>
          </w:p>
        </w:tc>
        <w:tc>
          <w:tcPr>
            <w:tcW w:w="1134" w:type="dxa"/>
            <w:shd w:val="clear" w:color="auto" w:fill="auto"/>
            <w:noWrap/>
            <w:vAlign w:val="bottom"/>
            <w:hideMark/>
          </w:tcPr>
          <w:p w14:paraId="7D59F2D7"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C15</w:t>
            </w:r>
          </w:p>
        </w:tc>
        <w:tc>
          <w:tcPr>
            <w:tcW w:w="992" w:type="dxa"/>
            <w:shd w:val="clear" w:color="auto" w:fill="auto"/>
            <w:noWrap/>
            <w:vAlign w:val="bottom"/>
            <w:hideMark/>
          </w:tcPr>
          <w:p w14:paraId="7EC60DEC"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C16 = C14/C15</w:t>
            </w:r>
          </w:p>
        </w:tc>
      </w:tr>
      <w:tr w:rsidR="00582786" w:rsidRPr="00346F6C" w14:paraId="2CA41073" w14:textId="77777777" w:rsidTr="00CD4BBD">
        <w:trPr>
          <w:trHeight w:val="300"/>
        </w:trPr>
        <w:tc>
          <w:tcPr>
            <w:tcW w:w="1135" w:type="dxa"/>
            <w:shd w:val="clear" w:color="auto" w:fill="auto"/>
            <w:noWrap/>
            <w:vAlign w:val="bottom"/>
            <w:hideMark/>
          </w:tcPr>
          <w:p w14:paraId="1FDD2D97"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Andhra Pradesh</w:t>
            </w:r>
          </w:p>
        </w:tc>
        <w:tc>
          <w:tcPr>
            <w:tcW w:w="851" w:type="dxa"/>
            <w:shd w:val="clear" w:color="auto" w:fill="auto"/>
            <w:noWrap/>
            <w:vAlign w:val="center"/>
          </w:tcPr>
          <w:p w14:paraId="032AB1C2"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9.48</w:t>
            </w:r>
          </w:p>
        </w:tc>
        <w:tc>
          <w:tcPr>
            <w:tcW w:w="708" w:type="dxa"/>
            <w:shd w:val="clear" w:color="auto" w:fill="auto"/>
            <w:noWrap/>
            <w:vAlign w:val="center"/>
          </w:tcPr>
          <w:p w14:paraId="17F1FFEC"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39F3CD2A"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5912993A"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398D1F29"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2,612.50* </w:t>
            </w:r>
          </w:p>
        </w:tc>
        <w:tc>
          <w:tcPr>
            <w:tcW w:w="672" w:type="dxa"/>
            <w:shd w:val="clear" w:color="auto" w:fill="auto"/>
            <w:noWrap/>
            <w:vAlign w:val="center"/>
          </w:tcPr>
          <w:p w14:paraId="75F1409B"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708" w:type="dxa"/>
            <w:shd w:val="clear" w:color="auto" w:fill="auto"/>
            <w:noWrap/>
            <w:vAlign w:val="center"/>
          </w:tcPr>
          <w:p w14:paraId="43487CE9"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3" w:type="dxa"/>
            <w:shd w:val="clear" w:color="auto" w:fill="auto"/>
            <w:noWrap/>
            <w:vAlign w:val="center"/>
          </w:tcPr>
          <w:p w14:paraId="4EECC133"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2,612.50 </w:t>
            </w:r>
          </w:p>
        </w:tc>
        <w:tc>
          <w:tcPr>
            <w:tcW w:w="850" w:type="dxa"/>
            <w:shd w:val="clear" w:color="auto" w:fill="auto"/>
            <w:noWrap/>
            <w:vAlign w:val="center"/>
          </w:tcPr>
          <w:p w14:paraId="6BBC9119"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174.13 </w:t>
            </w:r>
          </w:p>
        </w:tc>
        <w:tc>
          <w:tcPr>
            <w:tcW w:w="709" w:type="dxa"/>
            <w:shd w:val="clear" w:color="auto" w:fill="auto"/>
            <w:noWrap/>
            <w:vAlign w:val="center"/>
          </w:tcPr>
          <w:p w14:paraId="3C17688A"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8.09 </w:t>
            </w:r>
          </w:p>
        </w:tc>
        <w:tc>
          <w:tcPr>
            <w:tcW w:w="1134" w:type="dxa"/>
            <w:shd w:val="clear" w:color="auto" w:fill="auto"/>
            <w:noWrap/>
            <w:vAlign w:val="center"/>
          </w:tcPr>
          <w:p w14:paraId="691244BB"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19,729.30 </w:t>
            </w:r>
          </w:p>
        </w:tc>
        <w:tc>
          <w:tcPr>
            <w:tcW w:w="709" w:type="dxa"/>
            <w:shd w:val="clear" w:color="auto" w:fill="auto"/>
            <w:noWrap/>
            <w:vAlign w:val="center"/>
            <w:hideMark/>
          </w:tcPr>
          <w:p w14:paraId="7CE3A886"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44C520C7"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19,729.30 </w:t>
            </w:r>
          </w:p>
        </w:tc>
        <w:tc>
          <w:tcPr>
            <w:tcW w:w="1134" w:type="dxa"/>
            <w:shd w:val="clear" w:color="auto" w:fill="auto"/>
            <w:noWrap/>
            <w:vAlign w:val="center"/>
            <w:hideMark/>
          </w:tcPr>
          <w:p w14:paraId="5987551F"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37D97681"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080F85E0" w14:textId="77777777" w:rsidTr="00CD4BBD">
        <w:trPr>
          <w:trHeight w:val="300"/>
        </w:trPr>
        <w:tc>
          <w:tcPr>
            <w:tcW w:w="1135" w:type="dxa"/>
            <w:shd w:val="clear" w:color="auto" w:fill="auto"/>
            <w:noWrap/>
            <w:vAlign w:val="bottom"/>
            <w:hideMark/>
          </w:tcPr>
          <w:p w14:paraId="2D17E099"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Bihar</w:t>
            </w:r>
          </w:p>
        </w:tc>
        <w:tc>
          <w:tcPr>
            <w:tcW w:w="851" w:type="dxa"/>
            <w:shd w:val="clear" w:color="auto" w:fill="auto"/>
            <w:noWrap/>
            <w:vAlign w:val="center"/>
          </w:tcPr>
          <w:p w14:paraId="081018BD"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9.29</w:t>
            </w:r>
          </w:p>
        </w:tc>
        <w:tc>
          <w:tcPr>
            <w:tcW w:w="708" w:type="dxa"/>
            <w:shd w:val="clear" w:color="auto" w:fill="auto"/>
            <w:noWrap/>
            <w:vAlign w:val="center"/>
          </w:tcPr>
          <w:p w14:paraId="6C91C540"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2F492A1A"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24E0F90B"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65BEED6A"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2,612.50* </w:t>
            </w:r>
          </w:p>
        </w:tc>
        <w:tc>
          <w:tcPr>
            <w:tcW w:w="672" w:type="dxa"/>
            <w:shd w:val="clear" w:color="auto" w:fill="auto"/>
            <w:noWrap/>
            <w:vAlign w:val="center"/>
          </w:tcPr>
          <w:p w14:paraId="68A6F437"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2900</w:t>
            </w:r>
          </w:p>
        </w:tc>
        <w:tc>
          <w:tcPr>
            <w:tcW w:w="708" w:type="dxa"/>
            <w:shd w:val="clear" w:color="auto" w:fill="auto"/>
            <w:noWrap/>
            <w:vAlign w:val="center"/>
          </w:tcPr>
          <w:p w14:paraId="67F3D3B8"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100E2FB6"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2,900.00 </w:t>
            </w:r>
          </w:p>
        </w:tc>
        <w:tc>
          <w:tcPr>
            <w:tcW w:w="850" w:type="dxa"/>
            <w:shd w:val="clear" w:color="auto" w:fill="auto"/>
            <w:noWrap/>
            <w:vAlign w:val="center"/>
          </w:tcPr>
          <w:p w14:paraId="0B4901E2"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170.65 </w:t>
            </w:r>
          </w:p>
        </w:tc>
        <w:tc>
          <w:tcPr>
            <w:tcW w:w="709" w:type="dxa"/>
            <w:shd w:val="clear" w:color="auto" w:fill="auto"/>
            <w:noWrap/>
            <w:vAlign w:val="center"/>
          </w:tcPr>
          <w:p w14:paraId="0AD9E763"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11.66 </w:t>
            </w:r>
          </w:p>
        </w:tc>
        <w:tc>
          <w:tcPr>
            <w:tcW w:w="1134" w:type="dxa"/>
            <w:shd w:val="clear" w:color="auto" w:fill="auto"/>
            <w:noWrap/>
            <w:vAlign w:val="center"/>
          </w:tcPr>
          <w:p w14:paraId="648E81DA"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31,826.73 </w:t>
            </w:r>
          </w:p>
        </w:tc>
        <w:tc>
          <w:tcPr>
            <w:tcW w:w="709" w:type="dxa"/>
            <w:shd w:val="clear" w:color="auto" w:fill="auto"/>
            <w:noWrap/>
            <w:vAlign w:val="center"/>
            <w:hideMark/>
          </w:tcPr>
          <w:p w14:paraId="4A186D93"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26307107"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31,826.73 </w:t>
            </w:r>
          </w:p>
        </w:tc>
        <w:tc>
          <w:tcPr>
            <w:tcW w:w="1134" w:type="dxa"/>
            <w:shd w:val="clear" w:color="auto" w:fill="auto"/>
            <w:noWrap/>
            <w:vAlign w:val="center"/>
            <w:hideMark/>
          </w:tcPr>
          <w:p w14:paraId="2B6CDE1B"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0A916D01"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33E372C2" w14:textId="77777777" w:rsidTr="00CD4BBD">
        <w:trPr>
          <w:trHeight w:val="300"/>
        </w:trPr>
        <w:tc>
          <w:tcPr>
            <w:tcW w:w="1135" w:type="dxa"/>
            <w:shd w:val="clear" w:color="auto" w:fill="auto"/>
            <w:noWrap/>
            <w:vAlign w:val="bottom"/>
            <w:hideMark/>
          </w:tcPr>
          <w:p w14:paraId="568F92ED"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Gujarat</w:t>
            </w:r>
          </w:p>
        </w:tc>
        <w:tc>
          <w:tcPr>
            <w:tcW w:w="851" w:type="dxa"/>
            <w:shd w:val="clear" w:color="auto" w:fill="auto"/>
            <w:noWrap/>
            <w:vAlign w:val="center"/>
          </w:tcPr>
          <w:p w14:paraId="5D0482E9"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10.40</w:t>
            </w:r>
          </w:p>
        </w:tc>
        <w:tc>
          <w:tcPr>
            <w:tcW w:w="708" w:type="dxa"/>
            <w:shd w:val="clear" w:color="auto" w:fill="auto"/>
            <w:noWrap/>
            <w:vAlign w:val="center"/>
          </w:tcPr>
          <w:p w14:paraId="111F054E"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6E1B40F3"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26978C49"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1EED967A"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2,860.69 </w:t>
            </w:r>
          </w:p>
        </w:tc>
        <w:tc>
          <w:tcPr>
            <w:tcW w:w="672" w:type="dxa"/>
            <w:shd w:val="clear" w:color="auto" w:fill="auto"/>
            <w:noWrap/>
            <w:vAlign w:val="center"/>
          </w:tcPr>
          <w:p w14:paraId="1BB28483"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p>
        </w:tc>
        <w:tc>
          <w:tcPr>
            <w:tcW w:w="708" w:type="dxa"/>
            <w:shd w:val="clear" w:color="auto" w:fill="auto"/>
            <w:noWrap/>
            <w:vAlign w:val="center"/>
          </w:tcPr>
          <w:p w14:paraId="2A92664A"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4D6AF069"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2,860.69 </w:t>
            </w:r>
          </w:p>
        </w:tc>
        <w:tc>
          <w:tcPr>
            <w:tcW w:w="850" w:type="dxa"/>
            <w:shd w:val="clear" w:color="auto" w:fill="auto"/>
            <w:noWrap/>
            <w:vAlign w:val="center"/>
          </w:tcPr>
          <w:p w14:paraId="1A95C995"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191.03 </w:t>
            </w:r>
          </w:p>
        </w:tc>
        <w:tc>
          <w:tcPr>
            <w:tcW w:w="709" w:type="dxa"/>
            <w:shd w:val="clear" w:color="auto" w:fill="auto"/>
            <w:noWrap/>
            <w:vAlign w:val="center"/>
          </w:tcPr>
          <w:p w14:paraId="7F632002"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12.04 </w:t>
            </w:r>
          </w:p>
        </w:tc>
        <w:tc>
          <w:tcPr>
            <w:tcW w:w="1134" w:type="dxa"/>
            <w:shd w:val="clear" w:color="auto" w:fill="auto"/>
            <w:noWrap/>
            <w:vAlign w:val="center"/>
          </w:tcPr>
          <w:p w14:paraId="18CFE67D"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32,133.07 </w:t>
            </w:r>
          </w:p>
        </w:tc>
        <w:tc>
          <w:tcPr>
            <w:tcW w:w="709" w:type="dxa"/>
            <w:shd w:val="clear" w:color="auto" w:fill="auto"/>
            <w:noWrap/>
            <w:vAlign w:val="center"/>
            <w:hideMark/>
          </w:tcPr>
          <w:p w14:paraId="7ACA0354"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32EE9704"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32,133.07 </w:t>
            </w:r>
          </w:p>
        </w:tc>
        <w:tc>
          <w:tcPr>
            <w:tcW w:w="1134" w:type="dxa"/>
            <w:shd w:val="clear" w:color="auto" w:fill="auto"/>
            <w:noWrap/>
            <w:vAlign w:val="center"/>
            <w:hideMark/>
          </w:tcPr>
          <w:p w14:paraId="062444B5"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386C7579"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36FA0B53" w14:textId="77777777" w:rsidTr="00CD4BBD">
        <w:trPr>
          <w:trHeight w:val="300"/>
        </w:trPr>
        <w:tc>
          <w:tcPr>
            <w:tcW w:w="1135" w:type="dxa"/>
            <w:shd w:val="clear" w:color="auto" w:fill="auto"/>
            <w:noWrap/>
            <w:vAlign w:val="bottom"/>
            <w:hideMark/>
          </w:tcPr>
          <w:p w14:paraId="37B6411D"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Haryana</w:t>
            </w:r>
          </w:p>
        </w:tc>
        <w:tc>
          <w:tcPr>
            <w:tcW w:w="851" w:type="dxa"/>
            <w:shd w:val="clear" w:color="auto" w:fill="auto"/>
            <w:noWrap/>
            <w:vAlign w:val="center"/>
          </w:tcPr>
          <w:p w14:paraId="65ECB7B2"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9.98</w:t>
            </w:r>
          </w:p>
        </w:tc>
        <w:tc>
          <w:tcPr>
            <w:tcW w:w="708" w:type="dxa"/>
            <w:shd w:val="clear" w:color="auto" w:fill="auto"/>
            <w:noWrap/>
            <w:vAlign w:val="center"/>
          </w:tcPr>
          <w:p w14:paraId="4550106A"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2B9289CD"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2FBD4867"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0B8F6379"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2,744.50</w:t>
            </w:r>
            <w:r w:rsidRPr="00346F6C">
              <w:rPr>
                <w:rFonts w:asciiTheme="minorHAnsi" w:hAnsiTheme="minorHAnsi" w:cstheme="minorHAnsi"/>
                <w:sz w:val="16"/>
                <w:szCs w:val="18"/>
              </w:rPr>
              <w:t xml:space="preserve">† </w:t>
            </w:r>
            <w:r w:rsidRPr="00346F6C">
              <w:rPr>
                <w:rFonts w:asciiTheme="minorHAnsi" w:hAnsiTheme="minorHAnsi" w:cstheme="minorHAnsi"/>
                <w:b/>
                <w:sz w:val="16"/>
                <w:szCs w:val="16"/>
              </w:rPr>
              <w:t xml:space="preserve"> </w:t>
            </w:r>
          </w:p>
        </w:tc>
        <w:tc>
          <w:tcPr>
            <w:tcW w:w="672" w:type="dxa"/>
            <w:shd w:val="clear" w:color="auto" w:fill="auto"/>
            <w:noWrap/>
            <w:vAlign w:val="center"/>
          </w:tcPr>
          <w:p w14:paraId="16E7DA72"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3350</w:t>
            </w:r>
          </w:p>
        </w:tc>
        <w:tc>
          <w:tcPr>
            <w:tcW w:w="708" w:type="dxa"/>
            <w:shd w:val="clear" w:color="auto" w:fill="auto"/>
            <w:noWrap/>
            <w:vAlign w:val="center"/>
          </w:tcPr>
          <w:p w14:paraId="57B417D0"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33025C95"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3,350.00 </w:t>
            </w:r>
          </w:p>
        </w:tc>
        <w:tc>
          <w:tcPr>
            <w:tcW w:w="850" w:type="dxa"/>
            <w:shd w:val="clear" w:color="auto" w:fill="auto"/>
            <w:noWrap/>
            <w:vAlign w:val="center"/>
          </w:tcPr>
          <w:p w14:paraId="7CA687AF"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183.27 </w:t>
            </w:r>
          </w:p>
        </w:tc>
        <w:tc>
          <w:tcPr>
            <w:tcW w:w="709" w:type="dxa"/>
            <w:shd w:val="clear" w:color="auto" w:fill="auto"/>
            <w:noWrap/>
            <w:vAlign w:val="center"/>
          </w:tcPr>
          <w:p w14:paraId="1BB03053"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7.57 </w:t>
            </w:r>
          </w:p>
        </w:tc>
        <w:tc>
          <w:tcPr>
            <w:tcW w:w="1134" w:type="dxa"/>
            <w:shd w:val="clear" w:color="auto" w:fill="auto"/>
            <w:noWrap/>
            <w:vAlign w:val="center"/>
          </w:tcPr>
          <w:p w14:paraId="513A9B6B"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23,974.04 </w:t>
            </w:r>
          </w:p>
        </w:tc>
        <w:tc>
          <w:tcPr>
            <w:tcW w:w="709" w:type="dxa"/>
            <w:shd w:val="clear" w:color="auto" w:fill="auto"/>
            <w:noWrap/>
            <w:vAlign w:val="center"/>
            <w:hideMark/>
          </w:tcPr>
          <w:p w14:paraId="50694BB6"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728A57E9"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23,974.04 </w:t>
            </w:r>
          </w:p>
        </w:tc>
        <w:tc>
          <w:tcPr>
            <w:tcW w:w="1134" w:type="dxa"/>
            <w:shd w:val="clear" w:color="auto" w:fill="auto"/>
            <w:noWrap/>
            <w:vAlign w:val="center"/>
            <w:hideMark/>
          </w:tcPr>
          <w:p w14:paraId="405B7AD5"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10841A85"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5E4172E0" w14:textId="77777777" w:rsidTr="00CD4BBD">
        <w:trPr>
          <w:trHeight w:val="300"/>
        </w:trPr>
        <w:tc>
          <w:tcPr>
            <w:tcW w:w="1135" w:type="dxa"/>
            <w:shd w:val="clear" w:color="auto" w:fill="auto"/>
            <w:noWrap/>
            <w:vAlign w:val="bottom"/>
            <w:hideMark/>
          </w:tcPr>
          <w:p w14:paraId="31915308"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Karnataka</w:t>
            </w:r>
          </w:p>
        </w:tc>
        <w:tc>
          <w:tcPr>
            <w:tcW w:w="851" w:type="dxa"/>
            <w:shd w:val="clear" w:color="auto" w:fill="auto"/>
            <w:noWrap/>
            <w:vAlign w:val="center"/>
          </w:tcPr>
          <w:p w14:paraId="2F2B389E"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10.60</w:t>
            </w:r>
          </w:p>
        </w:tc>
        <w:tc>
          <w:tcPr>
            <w:tcW w:w="708" w:type="dxa"/>
            <w:shd w:val="clear" w:color="auto" w:fill="auto"/>
            <w:noWrap/>
            <w:vAlign w:val="center"/>
          </w:tcPr>
          <w:p w14:paraId="2827CFA7"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1A5613BC"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733FD382"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72A2159D"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2,913.63 </w:t>
            </w:r>
          </w:p>
        </w:tc>
        <w:tc>
          <w:tcPr>
            <w:tcW w:w="672" w:type="dxa"/>
            <w:shd w:val="clear" w:color="auto" w:fill="auto"/>
            <w:noWrap/>
            <w:vAlign w:val="center"/>
          </w:tcPr>
          <w:p w14:paraId="4F241DBF"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p>
        </w:tc>
        <w:tc>
          <w:tcPr>
            <w:tcW w:w="708" w:type="dxa"/>
            <w:shd w:val="clear" w:color="auto" w:fill="auto"/>
            <w:noWrap/>
            <w:vAlign w:val="center"/>
          </w:tcPr>
          <w:p w14:paraId="37961003"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12F124F3"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2,913.63 </w:t>
            </w:r>
          </w:p>
        </w:tc>
        <w:tc>
          <w:tcPr>
            <w:tcW w:w="850" w:type="dxa"/>
            <w:shd w:val="clear" w:color="auto" w:fill="auto"/>
            <w:noWrap/>
            <w:vAlign w:val="center"/>
          </w:tcPr>
          <w:p w14:paraId="48233A4B"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194.56 </w:t>
            </w:r>
          </w:p>
        </w:tc>
        <w:tc>
          <w:tcPr>
            <w:tcW w:w="709" w:type="dxa"/>
            <w:shd w:val="clear" w:color="auto" w:fill="auto"/>
            <w:noWrap/>
            <w:vAlign w:val="center"/>
          </w:tcPr>
          <w:p w14:paraId="0A803C0C"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42.01 </w:t>
            </w:r>
          </w:p>
        </w:tc>
        <w:tc>
          <w:tcPr>
            <w:tcW w:w="1134" w:type="dxa"/>
            <w:shd w:val="clear" w:color="auto" w:fill="auto"/>
            <w:noWrap/>
            <w:vAlign w:val="center"/>
          </w:tcPr>
          <w:p w14:paraId="748C41F1"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114,217.67 </w:t>
            </w:r>
          </w:p>
        </w:tc>
        <w:tc>
          <w:tcPr>
            <w:tcW w:w="709" w:type="dxa"/>
            <w:shd w:val="clear" w:color="auto" w:fill="auto"/>
            <w:noWrap/>
            <w:vAlign w:val="center"/>
            <w:hideMark/>
          </w:tcPr>
          <w:p w14:paraId="43CAB37C"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52547C7B"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114,217.67 </w:t>
            </w:r>
          </w:p>
        </w:tc>
        <w:tc>
          <w:tcPr>
            <w:tcW w:w="1134" w:type="dxa"/>
            <w:shd w:val="clear" w:color="auto" w:fill="auto"/>
            <w:noWrap/>
            <w:vAlign w:val="center"/>
            <w:hideMark/>
          </w:tcPr>
          <w:p w14:paraId="0E384BC2"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20BF197C"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0802CC5F" w14:textId="77777777" w:rsidTr="00CD4BBD">
        <w:trPr>
          <w:trHeight w:val="300"/>
        </w:trPr>
        <w:tc>
          <w:tcPr>
            <w:tcW w:w="1135" w:type="dxa"/>
            <w:shd w:val="clear" w:color="auto" w:fill="auto"/>
            <w:noWrap/>
            <w:vAlign w:val="bottom"/>
            <w:hideMark/>
          </w:tcPr>
          <w:p w14:paraId="0FE0EA7F"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Maharashtra</w:t>
            </w:r>
          </w:p>
        </w:tc>
        <w:tc>
          <w:tcPr>
            <w:tcW w:w="851" w:type="dxa"/>
            <w:shd w:val="clear" w:color="auto" w:fill="auto"/>
            <w:noWrap/>
            <w:vAlign w:val="center"/>
          </w:tcPr>
          <w:p w14:paraId="4290CBED"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11.33</w:t>
            </w:r>
          </w:p>
        </w:tc>
        <w:tc>
          <w:tcPr>
            <w:tcW w:w="708" w:type="dxa"/>
            <w:shd w:val="clear" w:color="auto" w:fill="auto"/>
            <w:noWrap/>
            <w:vAlign w:val="center"/>
          </w:tcPr>
          <w:p w14:paraId="47EC0901"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45225743"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517A6E65"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60E9F65A"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3,114.38 </w:t>
            </w:r>
          </w:p>
        </w:tc>
        <w:tc>
          <w:tcPr>
            <w:tcW w:w="672" w:type="dxa"/>
            <w:shd w:val="clear" w:color="auto" w:fill="auto"/>
            <w:noWrap/>
            <w:vAlign w:val="center"/>
          </w:tcPr>
          <w:p w14:paraId="0A9CB67C"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p>
        </w:tc>
        <w:tc>
          <w:tcPr>
            <w:tcW w:w="708" w:type="dxa"/>
            <w:shd w:val="clear" w:color="auto" w:fill="auto"/>
            <w:noWrap/>
            <w:vAlign w:val="center"/>
          </w:tcPr>
          <w:p w14:paraId="39117A14"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6E853298"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3,114.38 </w:t>
            </w:r>
          </w:p>
        </w:tc>
        <w:tc>
          <w:tcPr>
            <w:tcW w:w="850" w:type="dxa"/>
            <w:shd w:val="clear" w:color="auto" w:fill="auto"/>
            <w:noWrap/>
            <w:vAlign w:val="center"/>
          </w:tcPr>
          <w:p w14:paraId="06F2EF8D"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207.97 </w:t>
            </w:r>
          </w:p>
        </w:tc>
        <w:tc>
          <w:tcPr>
            <w:tcW w:w="709" w:type="dxa"/>
            <w:shd w:val="clear" w:color="auto" w:fill="auto"/>
            <w:noWrap/>
            <w:vAlign w:val="center"/>
          </w:tcPr>
          <w:p w14:paraId="30DCB14A"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92.44 </w:t>
            </w:r>
          </w:p>
        </w:tc>
        <w:tc>
          <w:tcPr>
            <w:tcW w:w="1134" w:type="dxa"/>
            <w:shd w:val="clear" w:color="auto" w:fill="auto"/>
            <w:noWrap/>
            <w:vAlign w:val="center"/>
          </w:tcPr>
          <w:p w14:paraId="1D8A3F26"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268,675.63 </w:t>
            </w:r>
          </w:p>
        </w:tc>
        <w:tc>
          <w:tcPr>
            <w:tcW w:w="709" w:type="dxa"/>
            <w:shd w:val="clear" w:color="auto" w:fill="auto"/>
            <w:noWrap/>
            <w:vAlign w:val="center"/>
            <w:hideMark/>
          </w:tcPr>
          <w:p w14:paraId="5BA5516C"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7031740C"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268,675.63 </w:t>
            </w:r>
          </w:p>
        </w:tc>
        <w:tc>
          <w:tcPr>
            <w:tcW w:w="1134" w:type="dxa"/>
            <w:shd w:val="clear" w:color="auto" w:fill="auto"/>
            <w:noWrap/>
            <w:vAlign w:val="center"/>
            <w:hideMark/>
          </w:tcPr>
          <w:p w14:paraId="343DEC11"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46961DD2"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7C6A3C68" w14:textId="77777777" w:rsidTr="00CD4BBD">
        <w:trPr>
          <w:trHeight w:val="300"/>
        </w:trPr>
        <w:tc>
          <w:tcPr>
            <w:tcW w:w="1135" w:type="dxa"/>
            <w:shd w:val="clear" w:color="auto" w:fill="auto"/>
            <w:noWrap/>
            <w:vAlign w:val="bottom"/>
            <w:hideMark/>
          </w:tcPr>
          <w:p w14:paraId="6E670C23"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Punjab</w:t>
            </w:r>
          </w:p>
        </w:tc>
        <w:tc>
          <w:tcPr>
            <w:tcW w:w="851" w:type="dxa"/>
            <w:shd w:val="clear" w:color="auto" w:fill="auto"/>
            <w:noWrap/>
            <w:vAlign w:val="center"/>
          </w:tcPr>
          <w:p w14:paraId="02497A54"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9.63</w:t>
            </w:r>
          </w:p>
        </w:tc>
        <w:tc>
          <w:tcPr>
            <w:tcW w:w="708" w:type="dxa"/>
            <w:shd w:val="clear" w:color="auto" w:fill="auto"/>
            <w:noWrap/>
            <w:vAlign w:val="center"/>
          </w:tcPr>
          <w:p w14:paraId="57E6934C"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43ADBFF3"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7BA9A8FC"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36C4D857"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2,646.88</w:t>
            </w:r>
            <w:r w:rsidRPr="00346F6C">
              <w:rPr>
                <w:rFonts w:asciiTheme="minorHAnsi" w:hAnsiTheme="minorHAnsi" w:cstheme="minorHAnsi"/>
                <w:sz w:val="16"/>
                <w:szCs w:val="18"/>
              </w:rPr>
              <w:t xml:space="preserve">† </w:t>
            </w:r>
            <w:r w:rsidRPr="00346F6C">
              <w:rPr>
                <w:rFonts w:asciiTheme="minorHAnsi" w:hAnsiTheme="minorHAnsi" w:cstheme="minorHAnsi"/>
                <w:b/>
                <w:sz w:val="16"/>
                <w:szCs w:val="16"/>
              </w:rPr>
              <w:t xml:space="preserve"> </w:t>
            </w:r>
          </w:p>
        </w:tc>
        <w:tc>
          <w:tcPr>
            <w:tcW w:w="672" w:type="dxa"/>
            <w:shd w:val="clear" w:color="auto" w:fill="auto"/>
            <w:noWrap/>
            <w:vAlign w:val="center"/>
          </w:tcPr>
          <w:p w14:paraId="38AC40C5"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3000</w:t>
            </w:r>
          </w:p>
        </w:tc>
        <w:tc>
          <w:tcPr>
            <w:tcW w:w="708" w:type="dxa"/>
            <w:shd w:val="clear" w:color="auto" w:fill="auto"/>
            <w:noWrap/>
            <w:vAlign w:val="center"/>
          </w:tcPr>
          <w:p w14:paraId="433DA420"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2ECE424F"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3,000.00 </w:t>
            </w:r>
          </w:p>
        </w:tc>
        <w:tc>
          <w:tcPr>
            <w:tcW w:w="850" w:type="dxa"/>
            <w:shd w:val="clear" w:color="auto" w:fill="auto"/>
            <w:noWrap/>
            <w:vAlign w:val="center"/>
          </w:tcPr>
          <w:p w14:paraId="39D28CA4"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176.75 </w:t>
            </w:r>
          </w:p>
        </w:tc>
        <w:tc>
          <w:tcPr>
            <w:tcW w:w="709" w:type="dxa"/>
            <w:shd w:val="clear" w:color="auto" w:fill="auto"/>
            <w:noWrap/>
            <w:vAlign w:val="center"/>
          </w:tcPr>
          <w:p w14:paraId="5D6A5567"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7.77 </w:t>
            </w:r>
          </w:p>
        </w:tc>
        <w:tc>
          <w:tcPr>
            <w:tcW w:w="1134" w:type="dxa"/>
            <w:shd w:val="clear" w:color="auto" w:fill="auto"/>
            <w:noWrap/>
            <w:vAlign w:val="center"/>
          </w:tcPr>
          <w:p w14:paraId="535B4ADA"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21,947.09 </w:t>
            </w:r>
          </w:p>
        </w:tc>
        <w:tc>
          <w:tcPr>
            <w:tcW w:w="709" w:type="dxa"/>
            <w:shd w:val="clear" w:color="auto" w:fill="auto"/>
            <w:noWrap/>
            <w:vAlign w:val="center"/>
            <w:hideMark/>
          </w:tcPr>
          <w:p w14:paraId="70535F64"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497F6322"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21,947.09 </w:t>
            </w:r>
          </w:p>
        </w:tc>
        <w:tc>
          <w:tcPr>
            <w:tcW w:w="1134" w:type="dxa"/>
            <w:shd w:val="clear" w:color="auto" w:fill="auto"/>
            <w:noWrap/>
            <w:vAlign w:val="center"/>
            <w:hideMark/>
          </w:tcPr>
          <w:p w14:paraId="370AE718"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38505218"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2991137B" w14:textId="77777777" w:rsidTr="00CD4BBD">
        <w:trPr>
          <w:trHeight w:val="300"/>
        </w:trPr>
        <w:tc>
          <w:tcPr>
            <w:tcW w:w="1135" w:type="dxa"/>
            <w:shd w:val="clear" w:color="auto" w:fill="auto"/>
            <w:noWrap/>
            <w:vAlign w:val="bottom"/>
            <w:hideMark/>
          </w:tcPr>
          <w:p w14:paraId="129C4BE2"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Tamil Nadu</w:t>
            </w:r>
          </w:p>
        </w:tc>
        <w:tc>
          <w:tcPr>
            <w:tcW w:w="851" w:type="dxa"/>
            <w:shd w:val="clear" w:color="auto" w:fill="auto"/>
            <w:noWrap/>
            <w:vAlign w:val="center"/>
          </w:tcPr>
          <w:p w14:paraId="1117D85F"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8.42</w:t>
            </w:r>
          </w:p>
        </w:tc>
        <w:tc>
          <w:tcPr>
            <w:tcW w:w="708" w:type="dxa"/>
            <w:shd w:val="clear" w:color="auto" w:fill="auto"/>
            <w:noWrap/>
            <w:vAlign w:val="center"/>
          </w:tcPr>
          <w:p w14:paraId="5AD481FC"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258B99B5"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77948393"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1788A1E7" w14:textId="77777777" w:rsidR="00582786" w:rsidRPr="00346F6C" w:rsidRDefault="00582786" w:rsidP="00CD4BBD">
            <w:pPr>
              <w:spacing w:after="0" w:line="240" w:lineRule="auto"/>
              <w:jc w:val="right"/>
              <w:rPr>
                <w:rFonts w:asciiTheme="minorHAnsi" w:eastAsia="Times New Roman" w:hAnsiTheme="minorHAnsi" w:cstheme="minorHAnsi"/>
                <w:b/>
                <w:bCs/>
                <w:color w:val="FF0000"/>
                <w:sz w:val="16"/>
                <w:szCs w:val="16"/>
                <w:lang w:eastAsia="en-AU"/>
              </w:rPr>
            </w:pPr>
            <w:r w:rsidRPr="00346F6C">
              <w:rPr>
                <w:rFonts w:asciiTheme="minorHAnsi" w:hAnsiTheme="minorHAnsi" w:cstheme="minorHAnsi"/>
                <w:b/>
                <w:sz w:val="16"/>
                <w:szCs w:val="16"/>
              </w:rPr>
              <w:t xml:space="preserve">     2,612.50* </w:t>
            </w:r>
          </w:p>
        </w:tc>
        <w:tc>
          <w:tcPr>
            <w:tcW w:w="672" w:type="dxa"/>
            <w:shd w:val="clear" w:color="auto" w:fill="auto"/>
            <w:noWrap/>
            <w:vAlign w:val="center"/>
          </w:tcPr>
          <w:p w14:paraId="6FB7EC5D"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708" w:type="dxa"/>
            <w:shd w:val="clear" w:color="auto" w:fill="auto"/>
            <w:noWrap/>
            <w:vAlign w:val="center"/>
          </w:tcPr>
          <w:p w14:paraId="7DF396A1"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3" w:type="dxa"/>
            <w:shd w:val="clear" w:color="auto" w:fill="auto"/>
            <w:noWrap/>
            <w:vAlign w:val="center"/>
          </w:tcPr>
          <w:p w14:paraId="04E69F98"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2,612.50 </w:t>
            </w:r>
          </w:p>
        </w:tc>
        <w:tc>
          <w:tcPr>
            <w:tcW w:w="850" w:type="dxa"/>
            <w:shd w:val="clear" w:color="auto" w:fill="auto"/>
            <w:noWrap/>
            <w:vAlign w:val="center"/>
          </w:tcPr>
          <w:p w14:paraId="1E853C7F"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154.62 </w:t>
            </w:r>
          </w:p>
        </w:tc>
        <w:tc>
          <w:tcPr>
            <w:tcW w:w="709" w:type="dxa"/>
            <w:shd w:val="clear" w:color="auto" w:fill="auto"/>
            <w:noWrap/>
            <w:vAlign w:val="center"/>
          </w:tcPr>
          <w:p w14:paraId="786EA967"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16.21 </w:t>
            </w:r>
          </w:p>
        </w:tc>
        <w:tc>
          <w:tcPr>
            <w:tcW w:w="1134" w:type="dxa"/>
            <w:shd w:val="clear" w:color="auto" w:fill="auto"/>
            <w:noWrap/>
            <w:vAlign w:val="center"/>
          </w:tcPr>
          <w:p w14:paraId="4865C961"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39,836.28 </w:t>
            </w:r>
          </w:p>
        </w:tc>
        <w:tc>
          <w:tcPr>
            <w:tcW w:w="709" w:type="dxa"/>
            <w:shd w:val="clear" w:color="auto" w:fill="auto"/>
            <w:noWrap/>
            <w:vAlign w:val="center"/>
            <w:hideMark/>
          </w:tcPr>
          <w:p w14:paraId="03EB7CE9" w14:textId="77777777" w:rsidR="00582786" w:rsidRPr="00346F6C" w:rsidRDefault="00582786" w:rsidP="00CD4BBD">
            <w:pPr>
              <w:spacing w:after="0" w:line="240" w:lineRule="auto"/>
              <w:jc w:val="right"/>
              <w:rPr>
                <w:rFonts w:asciiTheme="minorHAnsi" w:hAnsiTheme="minorHAnsi" w:cstheme="minorHAnsi"/>
                <w:color w:val="000000"/>
                <w:sz w:val="16"/>
                <w:szCs w:val="16"/>
              </w:rPr>
            </w:pPr>
            <w:r w:rsidRPr="00346F6C">
              <w:rPr>
                <w:rFonts w:asciiTheme="minorHAnsi" w:hAnsiTheme="minorHAnsi" w:cstheme="minorHAnsi"/>
                <w:color w:val="000000"/>
                <w:sz w:val="16"/>
                <w:szCs w:val="16"/>
              </w:rPr>
              <w:t>2000</w:t>
            </w:r>
          </w:p>
        </w:tc>
        <w:tc>
          <w:tcPr>
            <w:tcW w:w="1134" w:type="dxa"/>
            <w:shd w:val="clear" w:color="auto" w:fill="auto"/>
            <w:noWrap/>
            <w:vAlign w:val="center"/>
          </w:tcPr>
          <w:p w14:paraId="7C23B4FB" w14:textId="77777777" w:rsidR="00582786" w:rsidRPr="00346F6C" w:rsidRDefault="00582786" w:rsidP="00CD4BBD">
            <w:pPr>
              <w:spacing w:after="0" w:line="240" w:lineRule="auto"/>
              <w:jc w:val="right"/>
              <w:rPr>
                <w:rFonts w:asciiTheme="minorHAnsi" w:hAnsiTheme="minorHAnsi" w:cstheme="minorHAnsi"/>
                <w:b/>
                <w:color w:val="000000"/>
                <w:sz w:val="16"/>
                <w:szCs w:val="16"/>
              </w:rPr>
            </w:pPr>
            <w:r w:rsidRPr="00346F6C">
              <w:rPr>
                <w:rFonts w:asciiTheme="minorHAnsi" w:hAnsiTheme="minorHAnsi" w:cstheme="minorHAnsi"/>
                <w:b/>
                <w:color w:val="000000"/>
                <w:sz w:val="16"/>
                <w:szCs w:val="16"/>
              </w:rPr>
              <w:t xml:space="preserve">41,836.28 </w:t>
            </w:r>
          </w:p>
        </w:tc>
        <w:tc>
          <w:tcPr>
            <w:tcW w:w="1134" w:type="dxa"/>
            <w:shd w:val="clear" w:color="auto" w:fill="auto"/>
            <w:noWrap/>
            <w:vAlign w:val="center"/>
            <w:hideMark/>
          </w:tcPr>
          <w:p w14:paraId="00E3062F"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2070FC70"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3FF42946" w14:textId="77777777" w:rsidTr="00CD4BBD">
        <w:trPr>
          <w:trHeight w:val="300"/>
        </w:trPr>
        <w:tc>
          <w:tcPr>
            <w:tcW w:w="1135" w:type="dxa"/>
            <w:shd w:val="clear" w:color="auto" w:fill="auto"/>
            <w:noWrap/>
            <w:vAlign w:val="bottom"/>
            <w:hideMark/>
          </w:tcPr>
          <w:p w14:paraId="3DA51CE7"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Telangana</w:t>
            </w:r>
          </w:p>
        </w:tc>
        <w:tc>
          <w:tcPr>
            <w:tcW w:w="851" w:type="dxa"/>
            <w:shd w:val="clear" w:color="auto" w:fill="auto"/>
            <w:noWrap/>
            <w:vAlign w:val="center"/>
          </w:tcPr>
          <w:p w14:paraId="0252A97E"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10.62</w:t>
            </w:r>
          </w:p>
        </w:tc>
        <w:tc>
          <w:tcPr>
            <w:tcW w:w="708" w:type="dxa"/>
            <w:shd w:val="clear" w:color="auto" w:fill="auto"/>
            <w:noWrap/>
            <w:vAlign w:val="center"/>
          </w:tcPr>
          <w:p w14:paraId="383D0138"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17648EE6"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07CAD7F6"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0BCBBA02"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2,919.81 </w:t>
            </w:r>
          </w:p>
        </w:tc>
        <w:tc>
          <w:tcPr>
            <w:tcW w:w="672" w:type="dxa"/>
            <w:shd w:val="clear" w:color="auto" w:fill="auto"/>
            <w:noWrap/>
            <w:vAlign w:val="center"/>
          </w:tcPr>
          <w:p w14:paraId="21AB96B3"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708" w:type="dxa"/>
            <w:shd w:val="clear" w:color="auto" w:fill="auto"/>
            <w:noWrap/>
            <w:vAlign w:val="center"/>
          </w:tcPr>
          <w:p w14:paraId="4EC11ECD"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61C78D24"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2,919.81 </w:t>
            </w:r>
          </w:p>
        </w:tc>
        <w:tc>
          <w:tcPr>
            <w:tcW w:w="850" w:type="dxa"/>
            <w:shd w:val="clear" w:color="auto" w:fill="auto"/>
            <w:noWrap/>
            <w:vAlign w:val="center"/>
          </w:tcPr>
          <w:p w14:paraId="3F7E82C8"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194.98 </w:t>
            </w:r>
          </w:p>
        </w:tc>
        <w:tc>
          <w:tcPr>
            <w:tcW w:w="709" w:type="dxa"/>
            <w:shd w:val="clear" w:color="auto" w:fill="auto"/>
            <w:noWrap/>
            <w:vAlign w:val="center"/>
          </w:tcPr>
          <w:p w14:paraId="736C114A"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2.80 </w:t>
            </w:r>
          </w:p>
        </w:tc>
        <w:tc>
          <w:tcPr>
            <w:tcW w:w="1134" w:type="dxa"/>
            <w:shd w:val="clear" w:color="auto" w:fill="auto"/>
            <w:noWrap/>
            <w:vAlign w:val="center"/>
          </w:tcPr>
          <w:p w14:paraId="13E02D89"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7,629.54 </w:t>
            </w:r>
          </w:p>
        </w:tc>
        <w:tc>
          <w:tcPr>
            <w:tcW w:w="709" w:type="dxa"/>
            <w:shd w:val="clear" w:color="auto" w:fill="auto"/>
            <w:noWrap/>
            <w:vAlign w:val="center"/>
            <w:hideMark/>
          </w:tcPr>
          <w:p w14:paraId="1A3F98BE"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14D37ECD"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7,629.54 </w:t>
            </w:r>
          </w:p>
        </w:tc>
        <w:tc>
          <w:tcPr>
            <w:tcW w:w="1134" w:type="dxa"/>
            <w:shd w:val="clear" w:color="auto" w:fill="auto"/>
            <w:noWrap/>
            <w:vAlign w:val="center"/>
            <w:hideMark/>
          </w:tcPr>
          <w:p w14:paraId="10B446C8"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6F0C24FE"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635B31F9" w14:textId="77777777" w:rsidTr="00CD4BBD">
        <w:trPr>
          <w:trHeight w:val="300"/>
        </w:trPr>
        <w:tc>
          <w:tcPr>
            <w:tcW w:w="1135" w:type="dxa"/>
            <w:shd w:val="clear" w:color="auto" w:fill="auto"/>
            <w:noWrap/>
            <w:vAlign w:val="bottom"/>
            <w:hideMark/>
          </w:tcPr>
          <w:p w14:paraId="14E025CB"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Uttar Pradesh</w:t>
            </w:r>
          </w:p>
        </w:tc>
        <w:tc>
          <w:tcPr>
            <w:tcW w:w="851" w:type="dxa"/>
            <w:shd w:val="clear" w:color="auto" w:fill="auto"/>
            <w:noWrap/>
            <w:vAlign w:val="center"/>
          </w:tcPr>
          <w:p w14:paraId="76169B88"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10.28</w:t>
            </w:r>
          </w:p>
        </w:tc>
        <w:tc>
          <w:tcPr>
            <w:tcW w:w="708" w:type="dxa"/>
            <w:shd w:val="clear" w:color="auto" w:fill="auto"/>
            <w:noWrap/>
            <w:vAlign w:val="center"/>
          </w:tcPr>
          <w:p w14:paraId="5C59B8D9"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79155431"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424BC334"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6F8C6ED7"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2,826.31 </w:t>
            </w:r>
          </w:p>
        </w:tc>
        <w:tc>
          <w:tcPr>
            <w:tcW w:w="672" w:type="dxa"/>
            <w:shd w:val="clear" w:color="auto" w:fill="auto"/>
            <w:noWrap/>
            <w:vAlign w:val="center"/>
          </w:tcPr>
          <w:p w14:paraId="79851CD9"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3150</w:t>
            </w:r>
          </w:p>
        </w:tc>
        <w:tc>
          <w:tcPr>
            <w:tcW w:w="708" w:type="dxa"/>
            <w:shd w:val="clear" w:color="auto" w:fill="auto"/>
            <w:noWrap/>
            <w:vAlign w:val="center"/>
          </w:tcPr>
          <w:p w14:paraId="02B09CA8"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4C769B31"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3,150.00 </w:t>
            </w:r>
          </w:p>
        </w:tc>
        <w:tc>
          <w:tcPr>
            <w:tcW w:w="850" w:type="dxa"/>
            <w:shd w:val="clear" w:color="auto" w:fill="auto"/>
            <w:noWrap/>
            <w:vAlign w:val="center"/>
          </w:tcPr>
          <w:p w14:paraId="7D2C8F8D"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188.73 </w:t>
            </w:r>
          </w:p>
        </w:tc>
        <w:tc>
          <w:tcPr>
            <w:tcW w:w="709" w:type="dxa"/>
            <w:shd w:val="clear" w:color="auto" w:fill="auto"/>
            <w:noWrap/>
            <w:vAlign w:val="center"/>
          </w:tcPr>
          <w:p w14:paraId="318C0285"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179.71 </w:t>
            </w:r>
          </w:p>
        </w:tc>
        <w:tc>
          <w:tcPr>
            <w:tcW w:w="1134" w:type="dxa"/>
            <w:shd w:val="clear" w:color="auto" w:fill="auto"/>
            <w:noWrap/>
            <w:vAlign w:val="center"/>
          </w:tcPr>
          <w:p w14:paraId="63496A2D"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532,183.34 </w:t>
            </w:r>
          </w:p>
        </w:tc>
        <w:tc>
          <w:tcPr>
            <w:tcW w:w="709" w:type="dxa"/>
            <w:shd w:val="clear" w:color="auto" w:fill="auto"/>
            <w:noWrap/>
            <w:vAlign w:val="center"/>
            <w:hideMark/>
          </w:tcPr>
          <w:p w14:paraId="127B3397"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1B76E945"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532,183.34 </w:t>
            </w:r>
          </w:p>
        </w:tc>
        <w:tc>
          <w:tcPr>
            <w:tcW w:w="1134" w:type="dxa"/>
            <w:shd w:val="clear" w:color="auto" w:fill="auto"/>
            <w:noWrap/>
            <w:vAlign w:val="center"/>
            <w:hideMark/>
          </w:tcPr>
          <w:p w14:paraId="3BDFC57F"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12A87347"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098DC34E" w14:textId="77777777" w:rsidTr="00CD4BBD">
        <w:trPr>
          <w:trHeight w:val="300"/>
        </w:trPr>
        <w:tc>
          <w:tcPr>
            <w:tcW w:w="1135" w:type="dxa"/>
            <w:shd w:val="clear" w:color="auto" w:fill="auto"/>
            <w:noWrap/>
            <w:vAlign w:val="bottom"/>
            <w:hideMark/>
          </w:tcPr>
          <w:p w14:paraId="3C990CBA"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Uttarakhand</w:t>
            </w:r>
          </w:p>
        </w:tc>
        <w:tc>
          <w:tcPr>
            <w:tcW w:w="851" w:type="dxa"/>
            <w:shd w:val="clear" w:color="auto" w:fill="auto"/>
            <w:noWrap/>
            <w:vAlign w:val="center"/>
          </w:tcPr>
          <w:p w14:paraId="568A0B4B"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9.07</w:t>
            </w:r>
          </w:p>
        </w:tc>
        <w:tc>
          <w:tcPr>
            <w:tcW w:w="708" w:type="dxa"/>
            <w:shd w:val="clear" w:color="auto" w:fill="auto"/>
            <w:noWrap/>
            <w:vAlign w:val="center"/>
          </w:tcPr>
          <w:p w14:paraId="08E02047"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19430A14"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3BE66347"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107B759C"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2,612.50* </w:t>
            </w:r>
          </w:p>
        </w:tc>
        <w:tc>
          <w:tcPr>
            <w:tcW w:w="672" w:type="dxa"/>
            <w:shd w:val="clear" w:color="auto" w:fill="auto"/>
            <w:noWrap/>
            <w:vAlign w:val="center"/>
          </w:tcPr>
          <w:p w14:paraId="6B5B9AD7"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3170</w:t>
            </w:r>
          </w:p>
        </w:tc>
        <w:tc>
          <w:tcPr>
            <w:tcW w:w="708" w:type="dxa"/>
            <w:shd w:val="clear" w:color="auto" w:fill="auto"/>
            <w:noWrap/>
            <w:vAlign w:val="center"/>
          </w:tcPr>
          <w:p w14:paraId="34501AA6"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001B258E"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3,170.00 </w:t>
            </w:r>
          </w:p>
        </w:tc>
        <w:tc>
          <w:tcPr>
            <w:tcW w:w="850" w:type="dxa"/>
            <w:shd w:val="clear" w:color="auto" w:fill="auto"/>
            <w:noWrap/>
            <w:vAlign w:val="center"/>
          </w:tcPr>
          <w:p w14:paraId="2C7C647F"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166.51 </w:t>
            </w:r>
          </w:p>
        </w:tc>
        <w:tc>
          <w:tcPr>
            <w:tcW w:w="709" w:type="dxa"/>
            <w:shd w:val="clear" w:color="auto" w:fill="auto"/>
            <w:noWrap/>
            <w:vAlign w:val="center"/>
          </w:tcPr>
          <w:p w14:paraId="3B28208C"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6.33 </w:t>
            </w:r>
          </w:p>
        </w:tc>
        <w:tc>
          <w:tcPr>
            <w:tcW w:w="1134" w:type="dxa"/>
            <w:shd w:val="clear" w:color="auto" w:fill="auto"/>
            <w:noWrap/>
            <w:vAlign w:val="center"/>
          </w:tcPr>
          <w:p w14:paraId="0D757CDE"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19,009.97 </w:t>
            </w:r>
          </w:p>
        </w:tc>
        <w:tc>
          <w:tcPr>
            <w:tcW w:w="709" w:type="dxa"/>
            <w:shd w:val="clear" w:color="auto" w:fill="auto"/>
            <w:noWrap/>
            <w:vAlign w:val="center"/>
            <w:hideMark/>
          </w:tcPr>
          <w:p w14:paraId="6F441A9A"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22BD6A80"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19,009.97 </w:t>
            </w:r>
          </w:p>
        </w:tc>
        <w:tc>
          <w:tcPr>
            <w:tcW w:w="1134" w:type="dxa"/>
            <w:shd w:val="clear" w:color="auto" w:fill="auto"/>
            <w:noWrap/>
            <w:vAlign w:val="center"/>
            <w:hideMark/>
          </w:tcPr>
          <w:p w14:paraId="57AB8159"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698E0CCB"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38618B73" w14:textId="77777777" w:rsidTr="00CD4BBD">
        <w:trPr>
          <w:trHeight w:val="300"/>
        </w:trPr>
        <w:tc>
          <w:tcPr>
            <w:tcW w:w="1135" w:type="dxa"/>
            <w:shd w:val="clear" w:color="auto" w:fill="auto"/>
            <w:noWrap/>
            <w:vAlign w:val="bottom"/>
            <w:hideMark/>
          </w:tcPr>
          <w:p w14:paraId="1E8A4EF8"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Other States</w:t>
            </w:r>
          </w:p>
        </w:tc>
        <w:tc>
          <w:tcPr>
            <w:tcW w:w="851" w:type="dxa"/>
            <w:shd w:val="clear" w:color="auto" w:fill="auto"/>
            <w:noWrap/>
            <w:vAlign w:val="center"/>
          </w:tcPr>
          <w:p w14:paraId="3B044C72"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10.00**</w:t>
            </w:r>
          </w:p>
        </w:tc>
        <w:tc>
          <w:tcPr>
            <w:tcW w:w="708" w:type="dxa"/>
            <w:shd w:val="clear" w:color="auto" w:fill="auto"/>
            <w:noWrap/>
            <w:vAlign w:val="center"/>
          </w:tcPr>
          <w:p w14:paraId="2EF58EC7"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10</w:t>
            </w:r>
          </w:p>
        </w:tc>
        <w:tc>
          <w:tcPr>
            <w:tcW w:w="851" w:type="dxa"/>
            <w:shd w:val="clear" w:color="auto" w:fill="auto"/>
            <w:noWrap/>
            <w:vAlign w:val="center"/>
          </w:tcPr>
          <w:p w14:paraId="1D732836" w14:textId="77777777" w:rsidR="00582786" w:rsidRPr="00346F6C" w:rsidRDefault="00582786" w:rsidP="00CD4BBD">
            <w:pPr>
              <w:spacing w:after="0" w:line="240" w:lineRule="auto"/>
              <w:jc w:val="center"/>
              <w:rPr>
                <w:rFonts w:asciiTheme="minorHAnsi" w:hAnsiTheme="minorHAnsi" w:cstheme="minorHAnsi"/>
                <w:color w:val="000000"/>
                <w:sz w:val="16"/>
                <w:szCs w:val="16"/>
              </w:rPr>
            </w:pPr>
            <w:r w:rsidRPr="00346F6C">
              <w:rPr>
                <w:rFonts w:asciiTheme="minorHAnsi" w:hAnsiTheme="minorHAnsi" w:cstheme="minorHAnsi"/>
                <w:color w:val="000000"/>
                <w:sz w:val="16"/>
                <w:szCs w:val="16"/>
              </w:rPr>
              <w:t>2750</w:t>
            </w:r>
          </w:p>
        </w:tc>
        <w:tc>
          <w:tcPr>
            <w:tcW w:w="1134" w:type="dxa"/>
            <w:shd w:val="clear" w:color="auto" w:fill="auto"/>
            <w:noWrap/>
            <w:vAlign w:val="center"/>
          </w:tcPr>
          <w:p w14:paraId="65DA50C5" w14:textId="77777777" w:rsidR="00582786" w:rsidRPr="00346F6C" w:rsidRDefault="00582786" w:rsidP="00CD4BBD">
            <w:pPr>
              <w:spacing w:after="0" w:line="240" w:lineRule="auto"/>
              <w:jc w:val="center"/>
              <w:rPr>
                <w:rFonts w:asciiTheme="minorHAnsi" w:eastAsia="Times New Roman" w:hAnsiTheme="minorHAnsi" w:cstheme="minorHAnsi"/>
                <w:color w:val="000000"/>
                <w:sz w:val="16"/>
                <w:szCs w:val="16"/>
                <w:lang w:eastAsia="en-AU"/>
              </w:rPr>
            </w:pPr>
            <w:r w:rsidRPr="00346F6C">
              <w:rPr>
                <w:rFonts w:asciiTheme="minorHAnsi" w:eastAsia="Times New Roman" w:hAnsiTheme="minorHAnsi" w:cstheme="minorHAnsi"/>
                <w:color w:val="000000"/>
                <w:sz w:val="16"/>
                <w:szCs w:val="16"/>
                <w:lang w:eastAsia="en-AU"/>
              </w:rPr>
              <w:t>27.5</w:t>
            </w:r>
          </w:p>
        </w:tc>
        <w:tc>
          <w:tcPr>
            <w:tcW w:w="1171" w:type="dxa"/>
            <w:shd w:val="clear" w:color="auto" w:fill="auto"/>
            <w:noWrap/>
            <w:vAlign w:val="center"/>
          </w:tcPr>
          <w:p w14:paraId="03597567"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     2,750.00 </w:t>
            </w:r>
          </w:p>
        </w:tc>
        <w:tc>
          <w:tcPr>
            <w:tcW w:w="672" w:type="dxa"/>
            <w:shd w:val="clear" w:color="auto" w:fill="auto"/>
            <w:noWrap/>
            <w:vAlign w:val="center"/>
          </w:tcPr>
          <w:p w14:paraId="19F9B01C"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p>
        </w:tc>
        <w:tc>
          <w:tcPr>
            <w:tcW w:w="708" w:type="dxa"/>
            <w:shd w:val="clear" w:color="auto" w:fill="auto"/>
            <w:noWrap/>
            <w:vAlign w:val="center"/>
          </w:tcPr>
          <w:p w14:paraId="1AE5E4C9"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c>
          <w:tcPr>
            <w:tcW w:w="993" w:type="dxa"/>
            <w:shd w:val="clear" w:color="auto" w:fill="auto"/>
            <w:noWrap/>
            <w:vAlign w:val="center"/>
          </w:tcPr>
          <w:p w14:paraId="0086B8DB"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hAnsiTheme="minorHAnsi" w:cstheme="minorHAnsi"/>
                <w:b/>
                <w:sz w:val="16"/>
                <w:szCs w:val="16"/>
              </w:rPr>
              <w:t xml:space="preserve">2,750.00 </w:t>
            </w:r>
          </w:p>
        </w:tc>
        <w:tc>
          <w:tcPr>
            <w:tcW w:w="850" w:type="dxa"/>
            <w:shd w:val="clear" w:color="auto" w:fill="auto"/>
            <w:noWrap/>
            <w:vAlign w:val="center"/>
          </w:tcPr>
          <w:p w14:paraId="4B6E6820"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 183.64 </w:t>
            </w:r>
          </w:p>
        </w:tc>
        <w:tc>
          <w:tcPr>
            <w:tcW w:w="709" w:type="dxa"/>
            <w:shd w:val="clear" w:color="auto" w:fill="auto"/>
            <w:noWrap/>
            <w:vAlign w:val="center"/>
          </w:tcPr>
          <w:p w14:paraId="659D60CD"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r w:rsidRPr="00346F6C">
              <w:rPr>
                <w:rFonts w:asciiTheme="minorHAnsi" w:hAnsiTheme="minorHAnsi" w:cstheme="minorHAnsi"/>
                <w:sz w:val="16"/>
                <w:szCs w:val="16"/>
              </w:rPr>
              <w:t xml:space="preserve">13.52 </w:t>
            </w:r>
          </w:p>
        </w:tc>
        <w:tc>
          <w:tcPr>
            <w:tcW w:w="1134" w:type="dxa"/>
            <w:shd w:val="clear" w:color="auto" w:fill="auto"/>
            <w:noWrap/>
            <w:vAlign w:val="center"/>
          </w:tcPr>
          <w:p w14:paraId="61978138"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  34,705.94 </w:t>
            </w:r>
          </w:p>
        </w:tc>
        <w:tc>
          <w:tcPr>
            <w:tcW w:w="709" w:type="dxa"/>
            <w:shd w:val="clear" w:color="auto" w:fill="auto"/>
            <w:noWrap/>
            <w:vAlign w:val="center"/>
            <w:hideMark/>
          </w:tcPr>
          <w:p w14:paraId="0C453F01"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1134" w:type="dxa"/>
            <w:shd w:val="clear" w:color="auto" w:fill="auto"/>
            <w:noWrap/>
            <w:vAlign w:val="center"/>
          </w:tcPr>
          <w:p w14:paraId="578EADED"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hAnsiTheme="minorHAnsi" w:cstheme="minorHAnsi"/>
                <w:b/>
                <w:sz w:val="16"/>
                <w:szCs w:val="16"/>
              </w:rPr>
              <w:t xml:space="preserve">34,705.94 </w:t>
            </w:r>
          </w:p>
        </w:tc>
        <w:tc>
          <w:tcPr>
            <w:tcW w:w="1134" w:type="dxa"/>
            <w:shd w:val="clear" w:color="auto" w:fill="auto"/>
            <w:noWrap/>
            <w:vAlign w:val="center"/>
            <w:hideMark/>
          </w:tcPr>
          <w:p w14:paraId="17B34F84" w14:textId="77777777" w:rsidR="00582786" w:rsidRPr="00346F6C" w:rsidRDefault="00582786" w:rsidP="00CD4BBD">
            <w:pPr>
              <w:spacing w:after="0" w:line="240" w:lineRule="auto"/>
              <w:jc w:val="right"/>
              <w:rPr>
                <w:rFonts w:asciiTheme="minorHAnsi" w:eastAsia="Times New Roman" w:hAnsiTheme="minorHAnsi" w:cstheme="minorHAnsi"/>
                <w:color w:val="000000"/>
                <w:sz w:val="16"/>
                <w:szCs w:val="16"/>
                <w:lang w:eastAsia="en-AU"/>
              </w:rPr>
            </w:pPr>
          </w:p>
        </w:tc>
        <w:tc>
          <w:tcPr>
            <w:tcW w:w="992" w:type="dxa"/>
            <w:shd w:val="clear" w:color="auto" w:fill="auto"/>
            <w:noWrap/>
            <w:vAlign w:val="center"/>
            <w:hideMark/>
          </w:tcPr>
          <w:p w14:paraId="54FE3C71" w14:textId="77777777" w:rsidR="00582786" w:rsidRPr="00346F6C" w:rsidRDefault="00582786" w:rsidP="00CD4BBD">
            <w:pPr>
              <w:spacing w:after="0" w:line="240" w:lineRule="auto"/>
              <w:jc w:val="right"/>
              <w:rPr>
                <w:rFonts w:asciiTheme="minorHAnsi" w:eastAsia="Times New Roman" w:hAnsiTheme="minorHAnsi" w:cstheme="minorHAnsi"/>
                <w:sz w:val="16"/>
                <w:szCs w:val="16"/>
                <w:lang w:eastAsia="en-AU"/>
              </w:rPr>
            </w:pPr>
          </w:p>
        </w:tc>
      </w:tr>
      <w:tr w:rsidR="00582786" w:rsidRPr="00346F6C" w14:paraId="36B8B774" w14:textId="77777777" w:rsidTr="00CD4BBD">
        <w:trPr>
          <w:trHeight w:val="644"/>
        </w:trPr>
        <w:tc>
          <w:tcPr>
            <w:tcW w:w="1135" w:type="dxa"/>
            <w:shd w:val="clear" w:color="auto" w:fill="auto"/>
            <w:noWrap/>
            <w:vAlign w:val="center"/>
            <w:hideMark/>
          </w:tcPr>
          <w:p w14:paraId="112F90CC" w14:textId="77777777" w:rsidR="00582786" w:rsidRPr="00346F6C" w:rsidRDefault="00582786" w:rsidP="00CD4BBD">
            <w:pPr>
              <w:spacing w:after="0" w:line="240" w:lineRule="auto"/>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Total</w:t>
            </w:r>
          </w:p>
        </w:tc>
        <w:tc>
          <w:tcPr>
            <w:tcW w:w="851" w:type="dxa"/>
            <w:shd w:val="clear" w:color="auto" w:fill="auto"/>
            <w:noWrap/>
            <w:vAlign w:val="center"/>
          </w:tcPr>
          <w:p w14:paraId="68D2A9AA"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p>
        </w:tc>
        <w:tc>
          <w:tcPr>
            <w:tcW w:w="708" w:type="dxa"/>
            <w:shd w:val="clear" w:color="auto" w:fill="auto"/>
            <w:noWrap/>
            <w:vAlign w:val="center"/>
          </w:tcPr>
          <w:p w14:paraId="74C3CA80" w14:textId="77777777" w:rsidR="00582786" w:rsidRPr="00346F6C" w:rsidRDefault="00582786" w:rsidP="00CD4BBD">
            <w:pPr>
              <w:spacing w:after="0" w:line="240" w:lineRule="auto"/>
              <w:jc w:val="center"/>
              <w:rPr>
                <w:rFonts w:asciiTheme="minorHAnsi" w:eastAsia="Times New Roman" w:hAnsiTheme="minorHAnsi" w:cstheme="minorHAnsi"/>
                <w:b/>
                <w:bCs/>
                <w:color w:val="000000"/>
                <w:sz w:val="16"/>
                <w:szCs w:val="16"/>
                <w:lang w:eastAsia="en-AU"/>
              </w:rPr>
            </w:pPr>
          </w:p>
        </w:tc>
        <w:tc>
          <w:tcPr>
            <w:tcW w:w="851" w:type="dxa"/>
            <w:shd w:val="clear" w:color="auto" w:fill="auto"/>
            <w:noWrap/>
            <w:vAlign w:val="center"/>
          </w:tcPr>
          <w:p w14:paraId="163C9859" w14:textId="77777777" w:rsidR="00582786" w:rsidRPr="00346F6C" w:rsidRDefault="00582786" w:rsidP="00CD4BBD">
            <w:pPr>
              <w:spacing w:after="0" w:line="240" w:lineRule="auto"/>
              <w:jc w:val="center"/>
              <w:rPr>
                <w:rFonts w:asciiTheme="minorHAnsi" w:hAnsiTheme="minorHAnsi" w:cstheme="minorHAnsi"/>
                <w:color w:val="000000"/>
                <w:sz w:val="16"/>
                <w:szCs w:val="16"/>
              </w:rPr>
            </w:pPr>
          </w:p>
        </w:tc>
        <w:tc>
          <w:tcPr>
            <w:tcW w:w="1134" w:type="dxa"/>
            <w:shd w:val="clear" w:color="auto" w:fill="auto"/>
            <w:noWrap/>
            <w:vAlign w:val="center"/>
          </w:tcPr>
          <w:p w14:paraId="2DAD4DF3" w14:textId="77777777" w:rsidR="00582786" w:rsidRPr="00346F6C" w:rsidRDefault="00582786" w:rsidP="00CD4BBD">
            <w:pPr>
              <w:spacing w:after="0" w:line="240" w:lineRule="auto"/>
              <w:rPr>
                <w:rFonts w:asciiTheme="minorHAnsi" w:eastAsia="Times New Roman" w:hAnsiTheme="minorHAnsi" w:cstheme="minorHAnsi"/>
                <w:b/>
                <w:bCs/>
                <w:color w:val="000000"/>
                <w:sz w:val="16"/>
                <w:szCs w:val="16"/>
                <w:lang w:eastAsia="en-AU"/>
              </w:rPr>
            </w:pPr>
          </w:p>
        </w:tc>
        <w:tc>
          <w:tcPr>
            <w:tcW w:w="1171" w:type="dxa"/>
            <w:shd w:val="clear" w:color="auto" w:fill="auto"/>
            <w:noWrap/>
            <w:vAlign w:val="center"/>
          </w:tcPr>
          <w:p w14:paraId="6C941EEB"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p>
        </w:tc>
        <w:tc>
          <w:tcPr>
            <w:tcW w:w="672" w:type="dxa"/>
            <w:shd w:val="clear" w:color="auto" w:fill="auto"/>
            <w:noWrap/>
            <w:vAlign w:val="center"/>
            <w:hideMark/>
          </w:tcPr>
          <w:p w14:paraId="09730DB1"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708" w:type="dxa"/>
            <w:shd w:val="clear" w:color="auto" w:fill="auto"/>
            <w:noWrap/>
            <w:vAlign w:val="center"/>
          </w:tcPr>
          <w:p w14:paraId="1DE0FD92"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993" w:type="dxa"/>
            <w:shd w:val="clear" w:color="auto" w:fill="auto"/>
            <w:noWrap/>
            <w:vAlign w:val="center"/>
          </w:tcPr>
          <w:p w14:paraId="5B6C7B57" w14:textId="77777777" w:rsidR="00582786" w:rsidRPr="00346F6C" w:rsidRDefault="00582786" w:rsidP="00CD4BBD">
            <w:pPr>
              <w:spacing w:after="0" w:line="240" w:lineRule="auto"/>
              <w:rPr>
                <w:rFonts w:asciiTheme="minorHAnsi" w:eastAsia="Times New Roman" w:hAnsiTheme="minorHAnsi" w:cstheme="minorHAnsi"/>
                <w:color w:val="000000"/>
                <w:sz w:val="16"/>
                <w:szCs w:val="16"/>
                <w:lang w:eastAsia="en-AU"/>
              </w:rPr>
            </w:pPr>
          </w:p>
        </w:tc>
        <w:tc>
          <w:tcPr>
            <w:tcW w:w="850" w:type="dxa"/>
            <w:shd w:val="clear" w:color="auto" w:fill="auto"/>
            <w:noWrap/>
            <w:vAlign w:val="center"/>
          </w:tcPr>
          <w:p w14:paraId="6BC4A660"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p>
        </w:tc>
        <w:tc>
          <w:tcPr>
            <w:tcW w:w="709" w:type="dxa"/>
            <w:shd w:val="clear" w:color="auto" w:fill="auto"/>
            <w:noWrap/>
            <w:vAlign w:val="center"/>
          </w:tcPr>
          <w:p w14:paraId="722F8EAF"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400.16</w:t>
            </w:r>
          </w:p>
        </w:tc>
        <w:tc>
          <w:tcPr>
            <w:tcW w:w="1134" w:type="dxa"/>
            <w:shd w:val="clear" w:color="auto" w:fill="auto"/>
            <w:noWrap/>
            <w:vAlign w:val="center"/>
            <w:hideMark/>
          </w:tcPr>
          <w:p w14:paraId="2581B94D" w14:textId="77777777" w:rsidR="00582786" w:rsidRPr="00346F6C" w:rsidRDefault="00582786" w:rsidP="00CD4BBD">
            <w:pPr>
              <w:spacing w:after="0" w:line="240" w:lineRule="auto"/>
              <w:jc w:val="right"/>
              <w:rPr>
                <w:rFonts w:asciiTheme="minorHAnsi" w:hAnsiTheme="minorHAnsi" w:cstheme="minorHAnsi"/>
                <w:b/>
                <w:color w:val="000000"/>
                <w:sz w:val="16"/>
                <w:szCs w:val="16"/>
              </w:rPr>
            </w:pPr>
            <w:r w:rsidRPr="00346F6C">
              <w:rPr>
                <w:rFonts w:asciiTheme="minorHAnsi" w:hAnsiTheme="minorHAnsi" w:cstheme="minorHAnsi"/>
                <w:b/>
                <w:color w:val="000000"/>
                <w:sz w:val="16"/>
                <w:szCs w:val="16"/>
              </w:rPr>
              <w:t xml:space="preserve">1,145,868.60 </w:t>
            </w:r>
          </w:p>
        </w:tc>
        <w:tc>
          <w:tcPr>
            <w:tcW w:w="709" w:type="dxa"/>
            <w:shd w:val="clear" w:color="auto" w:fill="auto"/>
            <w:noWrap/>
            <w:vAlign w:val="center"/>
            <w:hideMark/>
          </w:tcPr>
          <w:p w14:paraId="7CAE7DD6" w14:textId="77777777" w:rsidR="00582786" w:rsidRPr="00346F6C" w:rsidRDefault="00582786" w:rsidP="00CD4BBD">
            <w:pPr>
              <w:spacing w:after="0" w:line="240" w:lineRule="auto"/>
              <w:jc w:val="right"/>
              <w:rPr>
                <w:rFonts w:asciiTheme="minorHAnsi" w:eastAsia="Times New Roman" w:hAnsiTheme="minorHAnsi" w:cstheme="minorHAnsi"/>
                <w:b/>
                <w:color w:val="000000"/>
                <w:sz w:val="16"/>
                <w:szCs w:val="16"/>
                <w:lang w:eastAsia="en-AU"/>
              </w:rPr>
            </w:pPr>
            <w:r w:rsidRPr="00346F6C">
              <w:rPr>
                <w:rFonts w:asciiTheme="minorHAnsi" w:eastAsia="Times New Roman" w:hAnsiTheme="minorHAnsi" w:cstheme="minorHAnsi"/>
                <w:b/>
                <w:color w:val="000000"/>
                <w:sz w:val="16"/>
                <w:szCs w:val="16"/>
                <w:lang w:eastAsia="en-AU"/>
              </w:rPr>
              <w:t> </w:t>
            </w:r>
          </w:p>
        </w:tc>
        <w:tc>
          <w:tcPr>
            <w:tcW w:w="1134" w:type="dxa"/>
            <w:shd w:val="clear" w:color="auto" w:fill="auto"/>
            <w:noWrap/>
            <w:vAlign w:val="center"/>
          </w:tcPr>
          <w:p w14:paraId="4D1E63CB" w14:textId="77777777" w:rsidR="00582786" w:rsidRPr="00346F6C" w:rsidRDefault="00582786" w:rsidP="00CD4BBD">
            <w:pPr>
              <w:spacing w:after="0" w:line="240" w:lineRule="auto"/>
              <w:jc w:val="right"/>
              <w:rPr>
                <w:rFonts w:asciiTheme="minorHAnsi" w:hAnsiTheme="minorHAnsi" w:cstheme="minorHAnsi"/>
                <w:b/>
                <w:color w:val="000000"/>
                <w:sz w:val="16"/>
                <w:szCs w:val="16"/>
              </w:rPr>
            </w:pPr>
            <w:r w:rsidRPr="00346F6C">
              <w:rPr>
                <w:rFonts w:asciiTheme="minorHAnsi" w:hAnsiTheme="minorHAnsi" w:cstheme="minorHAnsi"/>
                <w:b/>
                <w:color w:val="000000"/>
                <w:sz w:val="16"/>
                <w:szCs w:val="16"/>
              </w:rPr>
              <w:t>1,147,868.60</w:t>
            </w:r>
          </w:p>
        </w:tc>
        <w:tc>
          <w:tcPr>
            <w:tcW w:w="1134" w:type="dxa"/>
            <w:shd w:val="clear" w:color="auto" w:fill="auto"/>
            <w:noWrap/>
            <w:vAlign w:val="center"/>
            <w:hideMark/>
          </w:tcPr>
          <w:p w14:paraId="21E72FB3" w14:textId="77777777" w:rsidR="00582786" w:rsidRPr="00346F6C" w:rsidRDefault="00582786" w:rsidP="00CD4BBD">
            <w:pPr>
              <w:spacing w:after="0" w:line="240" w:lineRule="auto"/>
              <w:jc w:val="right"/>
              <w:rPr>
                <w:rFonts w:asciiTheme="minorHAnsi" w:eastAsia="Times New Roman" w:hAnsiTheme="minorHAnsi" w:cstheme="minorHAnsi"/>
                <w:b/>
                <w:bCs/>
                <w:color w:val="000000"/>
                <w:sz w:val="16"/>
                <w:szCs w:val="16"/>
                <w:lang w:eastAsia="en-AU"/>
              </w:rPr>
            </w:pPr>
            <w:r w:rsidRPr="00346F6C">
              <w:rPr>
                <w:rFonts w:asciiTheme="minorHAnsi" w:eastAsia="Times New Roman" w:hAnsiTheme="minorHAnsi" w:cstheme="minorHAnsi"/>
                <w:b/>
                <w:bCs/>
                <w:color w:val="000000"/>
                <w:sz w:val="16"/>
                <w:szCs w:val="16"/>
                <w:lang w:eastAsia="en-AU"/>
              </w:rPr>
              <w:t>1,055,920.00</w:t>
            </w:r>
          </w:p>
        </w:tc>
        <w:tc>
          <w:tcPr>
            <w:tcW w:w="992" w:type="dxa"/>
            <w:shd w:val="clear" w:color="auto" w:fill="auto"/>
            <w:noWrap/>
            <w:vAlign w:val="center"/>
            <w:hideMark/>
          </w:tcPr>
          <w:p w14:paraId="3D1DAE69" w14:textId="77777777" w:rsidR="00582786" w:rsidRPr="00346F6C" w:rsidRDefault="00582786" w:rsidP="00CD4BBD">
            <w:pPr>
              <w:spacing w:after="0" w:line="240" w:lineRule="auto"/>
              <w:jc w:val="right"/>
              <w:rPr>
                <w:rFonts w:asciiTheme="minorHAnsi" w:hAnsiTheme="minorHAnsi" w:cstheme="minorHAnsi"/>
                <w:b/>
                <w:color w:val="000000"/>
                <w:sz w:val="16"/>
                <w:szCs w:val="16"/>
              </w:rPr>
            </w:pPr>
            <w:r>
              <w:rPr>
                <w:rFonts w:asciiTheme="minorHAnsi" w:hAnsiTheme="minorHAnsi" w:cstheme="minorHAnsi"/>
                <w:b/>
                <w:color w:val="000000"/>
                <w:sz w:val="16"/>
                <w:szCs w:val="16"/>
              </w:rPr>
              <w:t>108.71</w:t>
            </w:r>
            <w:r w:rsidRPr="00346F6C">
              <w:rPr>
                <w:rFonts w:asciiTheme="minorHAnsi" w:hAnsiTheme="minorHAnsi" w:cstheme="minorHAnsi"/>
                <w:b/>
                <w:color w:val="000000"/>
                <w:sz w:val="16"/>
                <w:szCs w:val="16"/>
              </w:rPr>
              <w:t>%</w:t>
            </w:r>
          </w:p>
        </w:tc>
      </w:tr>
    </w:tbl>
    <w:p w14:paraId="6762B7A7" w14:textId="77777777" w:rsidR="00582786" w:rsidRPr="00346F6C" w:rsidRDefault="00582786" w:rsidP="00582786">
      <w:pPr>
        <w:spacing w:after="0" w:line="240" w:lineRule="auto"/>
        <w:ind w:left="720" w:hanging="720"/>
        <w:rPr>
          <w:rFonts w:asciiTheme="minorHAnsi" w:hAnsiTheme="minorHAnsi" w:cstheme="minorHAnsi"/>
          <w:sz w:val="16"/>
          <w:szCs w:val="18"/>
        </w:rPr>
      </w:pPr>
    </w:p>
    <w:p w14:paraId="512C6BB1" w14:textId="77777777" w:rsidR="00582786" w:rsidRPr="00346F6C" w:rsidRDefault="00582786" w:rsidP="00582786">
      <w:pPr>
        <w:spacing w:after="0" w:line="240" w:lineRule="auto"/>
        <w:ind w:left="720" w:hanging="720"/>
        <w:rPr>
          <w:rFonts w:asciiTheme="minorHAnsi" w:hAnsiTheme="minorHAnsi" w:cstheme="minorHAnsi"/>
          <w:sz w:val="16"/>
          <w:szCs w:val="18"/>
        </w:rPr>
      </w:pPr>
      <w:r w:rsidRPr="00346F6C">
        <w:rPr>
          <w:rFonts w:asciiTheme="minorHAnsi" w:hAnsiTheme="minorHAnsi" w:cstheme="minorHAnsi"/>
          <w:sz w:val="16"/>
          <w:szCs w:val="18"/>
        </w:rPr>
        <w:t xml:space="preserve">Notes: </w:t>
      </w:r>
      <w:r w:rsidRPr="00346F6C">
        <w:rPr>
          <w:rFonts w:asciiTheme="minorHAnsi" w:hAnsiTheme="minorHAnsi" w:cstheme="minorHAnsi"/>
          <w:sz w:val="16"/>
          <w:szCs w:val="18"/>
        </w:rPr>
        <w:tab/>
        <w:t xml:space="preserve">* As the state average recovery rate is below 9.5%, the applicable amount is 2,612.50, as detailed in Section III.A.1 </w:t>
      </w:r>
      <w:bookmarkStart w:id="203" w:name="_Hlk56500038"/>
      <w:r w:rsidRPr="00346F6C">
        <w:rPr>
          <w:rFonts w:asciiTheme="minorHAnsi" w:hAnsiTheme="minorHAnsi" w:cstheme="minorHAnsi"/>
          <w:sz w:val="16"/>
          <w:szCs w:val="18"/>
        </w:rPr>
        <w:t>of Australia's first written submission</w:t>
      </w:r>
      <w:bookmarkEnd w:id="203"/>
      <w:r w:rsidRPr="00346F6C">
        <w:rPr>
          <w:rFonts w:asciiTheme="minorHAnsi" w:hAnsiTheme="minorHAnsi" w:cstheme="minorHAnsi"/>
          <w:sz w:val="16"/>
          <w:szCs w:val="18"/>
        </w:rPr>
        <w:t xml:space="preserve">. </w:t>
      </w:r>
    </w:p>
    <w:p w14:paraId="302C3FF7" w14:textId="77777777" w:rsidR="00582786" w:rsidRPr="00346F6C" w:rsidRDefault="00582786" w:rsidP="00582786">
      <w:pPr>
        <w:spacing w:after="0" w:line="240" w:lineRule="auto"/>
        <w:ind w:left="720" w:hanging="720"/>
        <w:rPr>
          <w:rFonts w:asciiTheme="minorHAnsi" w:hAnsiTheme="minorHAnsi" w:cstheme="minorHAnsi"/>
          <w:sz w:val="16"/>
          <w:szCs w:val="18"/>
        </w:rPr>
      </w:pPr>
      <w:r w:rsidRPr="00346F6C">
        <w:rPr>
          <w:rFonts w:asciiTheme="minorHAnsi" w:hAnsiTheme="minorHAnsi" w:cstheme="minorHAnsi"/>
          <w:sz w:val="16"/>
          <w:szCs w:val="18"/>
        </w:rPr>
        <w:tab/>
        <w:t>** This calculation assumes that 'other' recovery rates are in line with the nominal recovery rate of 10%.</w:t>
      </w:r>
    </w:p>
    <w:p w14:paraId="2C9EB854" w14:textId="77777777" w:rsidR="00D52A17" w:rsidRPr="00A910C9" w:rsidRDefault="00582786" w:rsidP="00582786">
      <w:pPr>
        <w:spacing w:after="0" w:line="240" w:lineRule="auto"/>
        <w:ind w:left="720"/>
      </w:pPr>
      <w:r w:rsidRPr="00346F6C">
        <w:rPr>
          <w:rFonts w:asciiTheme="minorHAnsi" w:hAnsiTheme="minorHAnsi" w:cstheme="minorHAnsi"/>
          <w:sz w:val="16"/>
          <w:szCs w:val="18"/>
        </w:rPr>
        <w:t>† This figure includes a proportionate reduction of INR 27.5 for every 0.1% decrease in the recovery rate, in respect of those mills with a recovery rate below the nominal rate of 10% but above 9.5%.</w:t>
      </w:r>
    </w:p>
    <w:sectPr w:rsidR="00D52A17" w:rsidRPr="00A910C9" w:rsidSect="00582786">
      <w:headerReference w:type="default" r:id="rId13"/>
      <w:pgSz w:w="16838" w:h="11906" w:orient="landscape"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60AA0" w14:textId="77777777" w:rsidR="009F2B4B" w:rsidRDefault="009F2B4B" w:rsidP="00006269">
      <w:pPr>
        <w:spacing w:after="0" w:line="240" w:lineRule="auto"/>
      </w:pPr>
      <w:r>
        <w:separator/>
      </w:r>
    </w:p>
  </w:endnote>
  <w:endnote w:type="continuationSeparator" w:id="0">
    <w:p w14:paraId="3B57890B" w14:textId="77777777" w:rsidR="009F2B4B" w:rsidRDefault="009F2B4B"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BF2B7" w14:textId="4A3FD445" w:rsidR="009F2B4B" w:rsidRDefault="009F2B4B">
    <w:pPr>
      <w:pStyle w:val="Footer"/>
    </w:pPr>
    <w:r>
      <w:ptab w:relativeTo="margin" w:alignment="right" w:leader="none"/>
    </w:r>
    <w:r w:rsidRPr="00006269">
      <w:fldChar w:fldCharType="begin"/>
    </w:r>
    <w:r w:rsidRPr="00006269">
      <w:instrText xml:space="preserve"> PAGE   \* MERGEFORMAT </w:instrText>
    </w:r>
    <w:r w:rsidRPr="00006269">
      <w:fldChar w:fldCharType="separate"/>
    </w:r>
    <w:r>
      <w:rPr>
        <w:noProof/>
      </w:rPr>
      <w:t>43</w:t>
    </w:r>
    <w:r w:rsidRPr="00006269">
      <w:rPr>
        <w:noProof/>
      </w:rPr>
      <w:fldChar w:fldCharType="end"/>
    </w:r>
  </w:p>
  <w:p w14:paraId="73BB27DA" w14:textId="77777777" w:rsidR="009F2B4B" w:rsidRDefault="009F2B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82280" w14:textId="77777777" w:rsidR="009F2B4B" w:rsidRDefault="009F2B4B" w:rsidP="00006269">
      <w:pPr>
        <w:spacing w:after="0" w:line="240" w:lineRule="auto"/>
      </w:pPr>
      <w:r>
        <w:separator/>
      </w:r>
    </w:p>
  </w:footnote>
  <w:footnote w:type="continuationSeparator" w:id="0">
    <w:p w14:paraId="0619FC36" w14:textId="77777777" w:rsidR="009F2B4B" w:rsidRDefault="009F2B4B" w:rsidP="00006269">
      <w:pPr>
        <w:spacing w:after="0" w:line="240" w:lineRule="auto"/>
      </w:pPr>
      <w:r>
        <w:continuationSeparator/>
      </w:r>
    </w:p>
  </w:footnote>
  <w:footnote w:id="1">
    <w:p w14:paraId="39DFC4A9" w14:textId="77777777" w:rsidR="009F2B4B" w:rsidRDefault="009F2B4B" w:rsidP="00FE517F">
      <w:pPr>
        <w:pStyle w:val="FootnoteText"/>
      </w:pPr>
      <w:r>
        <w:rPr>
          <w:rStyle w:val="FootnoteReference"/>
        </w:rPr>
        <w:footnoteRef/>
      </w:r>
      <w:r>
        <w:t xml:space="preserve"> Australia's opening statement at the first substantive meeting, para. 19.</w:t>
      </w:r>
    </w:p>
  </w:footnote>
  <w:footnote w:id="2">
    <w:p w14:paraId="357B3ACE" w14:textId="0D7DDF7C" w:rsidR="009F2B4B" w:rsidRDefault="009F2B4B">
      <w:pPr>
        <w:pStyle w:val="FootnoteText"/>
      </w:pPr>
      <w:r>
        <w:rPr>
          <w:rStyle w:val="FootnoteReference"/>
        </w:rPr>
        <w:footnoteRef/>
      </w:r>
      <w:r>
        <w:t xml:space="preserve"> </w:t>
      </w:r>
      <w:r w:rsidRPr="000F28D5">
        <w:t>Australia's domestic support calculations, Microsoft Excel workbooks, Revision 2 (</w:t>
      </w:r>
      <w:r w:rsidRPr="000F28D5">
        <w:rPr>
          <w:b/>
          <w:bCs/>
        </w:rPr>
        <w:t>Exhibit AUS-1 (Revision 2)</w:t>
      </w:r>
      <w:r w:rsidRPr="000F28D5">
        <w:t>).</w:t>
      </w:r>
    </w:p>
  </w:footnote>
  <w:footnote w:id="3">
    <w:p w14:paraId="66B1940E" w14:textId="77777777" w:rsidR="009F2B4B" w:rsidRDefault="009F2B4B">
      <w:pPr>
        <w:pStyle w:val="FootnoteText"/>
      </w:pPr>
      <w:r>
        <w:rPr>
          <w:rStyle w:val="FootnoteReference"/>
        </w:rPr>
        <w:footnoteRef/>
      </w:r>
      <w:r>
        <w:t xml:space="preserve"> This Table 1 replaces the Table 1 revised by Australia's response to Panel question 28(d), para. 89, as originally presented in Australia's first written submission, para. 13.  </w:t>
      </w:r>
      <w:r w:rsidRPr="00E33A43">
        <w:rPr>
          <w:i/>
          <w:iCs/>
        </w:rPr>
        <w:t>See also</w:t>
      </w:r>
      <w:r>
        <w:t xml:space="preserve">, Australia's </w:t>
      </w:r>
      <w:r w:rsidRPr="00E33A43">
        <w:t>domestic support calculations, Microsoft Excel workbooks, Revision 2 (</w:t>
      </w:r>
      <w:r w:rsidRPr="00E33A43">
        <w:rPr>
          <w:b/>
          <w:bCs/>
        </w:rPr>
        <w:t>Exhibit AUS-1 (Revision 2)</w:t>
      </w:r>
      <w:r w:rsidRPr="00E33A43">
        <w:t>).</w:t>
      </w:r>
    </w:p>
  </w:footnote>
  <w:footnote w:id="4">
    <w:p w14:paraId="4589D439" w14:textId="77777777" w:rsidR="009F2B4B" w:rsidRPr="00832EBB" w:rsidRDefault="009F2B4B" w:rsidP="00F7394A">
      <w:pPr>
        <w:pStyle w:val="FootnoteText"/>
      </w:pPr>
      <w:r w:rsidRPr="00832EBB">
        <w:rPr>
          <w:rStyle w:val="FootnoteReference"/>
        </w:rPr>
        <w:footnoteRef/>
      </w:r>
      <w:r w:rsidRPr="00832EBB">
        <w:rPr>
          <w:rStyle w:val="FootnoteReference"/>
        </w:rPr>
        <w:t xml:space="preserve"> </w:t>
      </w:r>
      <w:r w:rsidRPr="00832EBB">
        <w:t>Figures in this column have been rounded to the nearest percentage.</w:t>
      </w:r>
    </w:p>
  </w:footnote>
  <w:footnote w:id="5">
    <w:p w14:paraId="539F6134" w14:textId="77777777" w:rsidR="009F2B4B" w:rsidRDefault="009F2B4B" w:rsidP="001B544F">
      <w:pPr>
        <w:pStyle w:val="FootnoteText"/>
      </w:pPr>
      <w:r>
        <w:rPr>
          <w:rStyle w:val="FootnoteReference"/>
        </w:rPr>
        <w:footnoteRef/>
      </w:r>
      <w:r>
        <w:t xml:space="preserve"> Australia's first written submission, paras. 107–108 and 110.</w:t>
      </w:r>
    </w:p>
  </w:footnote>
  <w:footnote w:id="6">
    <w:p w14:paraId="2460E135" w14:textId="77777777" w:rsidR="009F2B4B" w:rsidRDefault="009F2B4B" w:rsidP="00416E0F">
      <w:pPr>
        <w:pStyle w:val="FootnoteText"/>
      </w:pPr>
      <w:r>
        <w:rPr>
          <w:rStyle w:val="FootnoteReference"/>
        </w:rPr>
        <w:footnoteRef/>
      </w:r>
      <w:r>
        <w:t xml:space="preserve"> India's first written submission, paras. 54 and 57; India's response to Panel question 15(a), p. 13 and question 46, p. 4.</w:t>
      </w:r>
    </w:p>
  </w:footnote>
  <w:footnote w:id="7">
    <w:p w14:paraId="33AC7583" w14:textId="77777777" w:rsidR="009F2B4B" w:rsidRDefault="009F2B4B" w:rsidP="00686107">
      <w:pPr>
        <w:pStyle w:val="FootnoteText"/>
      </w:pPr>
      <w:r>
        <w:rPr>
          <w:rStyle w:val="FootnoteReference"/>
        </w:rPr>
        <w:footnoteRef/>
      </w:r>
      <w:r>
        <w:t xml:space="preserve"> India's first written submission, para. 51. </w:t>
      </w:r>
      <w:r w:rsidRPr="00D6709B">
        <w:rPr>
          <w:i/>
          <w:iCs/>
        </w:rPr>
        <w:t>See also</w:t>
      </w:r>
      <w:r>
        <w:t>, India's opening statement at the first substantive meeting, paras. 8 and 11.</w:t>
      </w:r>
    </w:p>
  </w:footnote>
  <w:footnote w:id="8">
    <w:p w14:paraId="7A24F276" w14:textId="77777777" w:rsidR="009F2B4B" w:rsidRDefault="009F2B4B">
      <w:pPr>
        <w:pStyle w:val="FootnoteText"/>
      </w:pPr>
      <w:r>
        <w:rPr>
          <w:rStyle w:val="FootnoteReference"/>
        </w:rPr>
        <w:footnoteRef/>
      </w:r>
      <w:r>
        <w:t xml:space="preserve"> India's response to Panel question 18(c), p. 14.</w:t>
      </w:r>
    </w:p>
  </w:footnote>
  <w:footnote w:id="9">
    <w:p w14:paraId="76768AD5" w14:textId="77777777" w:rsidR="009F2B4B" w:rsidRDefault="009F2B4B">
      <w:pPr>
        <w:pStyle w:val="FootnoteText"/>
      </w:pPr>
      <w:r>
        <w:rPr>
          <w:rStyle w:val="FootnoteReference"/>
        </w:rPr>
        <w:footnoteRef/>
      </w:r>
      <w:r>
        <w:t xml:space="preserve"> The three State programmes are the Andhra Pradesh purchase tax remittance, the Karnataka incentive price payment and the Tamil Nadu production incentive payment: Australia's first written submission, paras. 189–203. </w:t>
      </w:r>
    </w:p>
  </w:footnote>
  <w:footnote w:id="10">
    <w:p w14:paraId="3CB8F1DC" w14:textId="7194036F" w:rsidR="009F2B4B" w:rsidRDefault="009F2B4B">
      <w:pPr>
        <w:pStyle w:val="FootnoteText"/>
      </w:pPr>
      <w:r>
        <w:rPr>
          <w:rStyle w:val="FootnoteReference"/>
        </w:rPr>
        <w:footnoteRef/>
      </w:r>
      <w:r>
        <w:t xml:space="preserve"> </w:t>
      </w:r>
      <w:r w:rsidRPr="00606AC4">
        <w:t xml:space="preserve">For example, total and </w:t>
      </w:r>
      <w:r w:rsidR="00F878FA">
        <w:t>s</w:t>
      </w:r>
      <w:r w:rsidRPr="00606AC4">
        <w:t>tate-wise sugar production, and the value of production: Australia's domestic support calculations, Microsoft Excel workbooks, Revision 2 (</w:t>
      </w:r>
      <w:r w:rsidRPr="00606AC4">
        <w:rPr>
          <w:b/>
          <w:bCs/>
        </w:rPr>
        <w:t>Exhibit AUS-1 (Revision 2)</w:t>
      </w:r>
      <w:r w:rsidRPr="00606AC4">
        <w:t>).</w:t>
      </w:r>
    </w:p>
  </w:footnote>
  <w:footnote w:id="11">
    <w:p w14:paraId="1E234EBB" w14:textId="77777777" w:rsidR="009F2B4B" w:rsidRDefault="009F2B4B">
      <w:pPr>
        <w:pStyle w:val="FootnoteText"/>
      </w:pPr>
      <w:r>
        <w:rPr>
          <w:rStyle w:val="FootnoteReference"/>
        </w:rPr>
        <w:footnoteRef/>
      </w:r>
      <w:r>
        <w:t xml:space="preserve"> India's closing statement at the first substantive meeting, para. 5.</w:t>
      </w:r>
    </w:p>
  </w:footnote>
  <w:footnote w:id="12">
    <w:p w14:paraId="5A1C6EDB" w14:textId="77777777" w:rsidR="009F2B4B" w:rsidRDefault="009F2B4B" w:rsidP="000F28D5">
      <w:pPr>
        <w:pStyle w:val="FootnoteText"/>
      </w:pPr>
      <w:r>
        <w:rPr>
          <w:rStyle w:val="FootnoteReference"/>
        </w:rPr>
        <w:footnoteRef/>
      </w:r>
      <w:r>
        <w:t xml:space="preserve"> </w:t>
      </w:r>
      <w:r w:rsidRPr="00BF33E1">
        <w:t>Australia has adduced sufficient evidence regarding India's domestic support measures to raise a presumption that what is claimed is true. India has failed to adduce sufficient evidence to rebut th</w:t>
      </w:r>
      <w:r>
        <w:t>is</w:t>
      </w:r>
      <w:r w:rsidRPr="00BF33E1">
        <w:t xml:space="preserve"> presumption. See Appellate Body Report, </w:t>
      </w:r>
      <w:r w:rsidRPr="00705FCF">
        <w:rPr>
          <w:i/>
          <w:iCs/>
        </w:rPr>
        <w:t>US – Wool Shirts and Blouses</w:t>
      </w:r>
      <w:r w:rsidRPr="00BF33E1">
        <w:t>, p. 14.</w:t>
      </w:r>
    </w:p>
  </w:footnote>
  <w:footnote w:id="13">
    <w:p w14:paraId="4B900C30" w14:textId="77777777" w:rsidR="009F2B4B" w:rsidRDefault="009F2B4B">
      <w:pPr>
        <w:pStyle w:val="FootnoteText"/>
      </w:pPr>
      <w:r>
        <w:rPr>
          <w:rStyle w:val="FootnoteReference"/>
        </w:rPr>
        <w:footnoteRef/>
      </w:r>
      <w:r>
        <w:t xml:space="preserve"> </w:t>
      </w:r>
      <w:r w:rsidRPr="00E17426">
        <w:t>India's response to Panel question 45, p. 4</w:t>
      </w:r>
      <w:r>
        <w:t xml:space="preserve">. </w:t>
      </w:r>
      <w:r w:rsidRPr="00E17426">
        <w:rPr>
          <w:i/>
          <w:iCs/>
        </w:rPr>
        <w:t>See also</w:t>
      </w:r>
      <w:r>
        <w:t>, India's response to Panel question 25(b), p. 18.</w:t>
      </w:r>
    </w:p>
  </w:footnote>
  <w:footnote w:id="14">
    <w:p w14:paraId="70306660" w14:textId="77777777" w:rsidR="009F2B4B" w:rsidRDefault="009F2B4B" w:rsidP="0005741B">
      <w:pPr>
        <w:pStyle w:val="FootnoteText"/>
      </w:pPr>
      <w:r>
        <w:rPr>
          <w:rStyle w:val="FootnoteReference"/>
        </w:rPr>
        <w:footnoteRef/>
      </w:r>
      <w:r>
        <w:t xml:space="preserve"> India's first written submission, paras. 16–18, 41. </w:t>
      </w:r>
    </w:p>
  </w:footnote>
  <w:footnote w:id="15">
    <w:p w14:paraId="0BD46205" w14:textId="77777777" w:rsidR="009F2B4B" w:rsidRDefault="009F2B4B" w:rsidP="0005741B">
      <w:pPr>
        <w:pStyle w:val="FootnoteText"/>
      </w:pPr>
      <w:r>
        <w:rPr>
          <w:rStyle w:val="FootnoteReference"/>
        </w:rPr>
        <w:footnoteRef/>
      </w:r>
      <w:r>
        <w:t xml:space="preserve"> India's first written submission, paras. 29–30.</w:t>
      </w:r>
    </w:p>
  </w:footnote>
  <w:footnote w:id="16">
    <w:p w14:paraId="6DC11814" w14:textId="77777777" w:rsidR="009F2B4B" w:rsidRDefault="009F2B4B" w:rsidP="0005741B">
      <w:pPr>
        <w:pStyle w:val="FootnoteText"/>
      </w:pPr>
      <w:r>
        <w:rPr>
          <w:rStyle w:val="FootnoteReference"/>
        </w:rPr>
        <w:footnoteRef/>
      </w:r>
      <w:r>
        <w:t xml:space="preserve"> India's first written submission, paras. 29–30, 42(v), 42(vi) and 42(viii). </w:t>
      </w:r>
    </w:p>
  </w:footnote>
  <w:footnote w:id="17">
    <w:p w14:paraId="23C5B54C" w14:textId="77777777" w:rsidR="009F2B4B" w:rsidRDefault="009F2B4B" w:rsidP="0005741B">
      <w:pPr>
        <w:pStyle w:val="FootnoteText"/>
      </w:pPr>
      <w:r>
        <w:rPr>
          <w:rStyle w:val="FootnoteReference"/>
        </w:rPr>
        <w:footnoteRef/>
      </w:r>
      <w:r>
        <w:t xml:space="preserve"> India's first written submission, para. 42(vii). </w:t>
      </w:r>
    </w:p>
  </w:footnote>
  <w:footnote w:id="18">
    <w:p w14:paraId="72C8EC2A" w14:textId="03C40F70" w:rsidR="009F2B4B" w:rsidRDefault="009F2B4B" w:rsidP="0005741B">
      <w:pPr>
        <w:pStyle w:val="FootnoteText"/>
      </w:pPr>
      <w:r>
        <w:rPr>
          <w:rStyle w:val="FootnoteReference"/>
        </w:rPr>
        <w:footnoteRef/>
      </w:r>
      <w:r>
        <w:t xml:space="preserve"> India argues that Bihar "no longer sets an SAP": India's first written submission, para. 30. </w:t>
      </w:r>
      <w:r>
        <w:rPr>
          <w:i/>
          <w:iCs/>
        </w:rPr>
        <w:t>S</w:t>
      </w:r>
      <w:r w:rsidRPr="001136BA">
        <w:rPr>
          <w:i/>
          <w:iCs/>
        </w:rPr>
        <w:t>ee also</w:t>
      </w:r>
      <w:r>
        <w:t xml:space="preserve">, India's response to Panel question 6, p. 8. Australia disagrees: see Australia's comments on India's request for a preliminary ruling, para. 49. </w:t>
      </w:r>
      <w:r w:rsidRPr="00C22AE4">
        <w:rPr>
          <w:i/>
          <w:iCs/>
        </w:rPr>
        <w:t>See also</w:t>
      </w:r>
      <w:r>
        <w:t>, Australia's first written submission, paras. 48–49, including Table 4 and the exhibits cited therein; Australia's opening statement at the first substantive meeting, para. 27.</w:t>
      </w:r>
    </w:p>
  </w:footnote>
  <w:footnote w:id="19">
    <w:p w14:paraId="2118F302" w14:textId="77777777" w:rsidR="009F2B4B" w:rsidRDefault="009F2B4B">
      <w:pPr>
        <w:pStyle w:val="FootnoteText"/>
      </w:pPr>
      <w:r>
        <w:rPr>
          <w:rStyle w:val="FootnoteReference"/>
        </w:rPr>
        <w:footnoteRef/>
      </w:r>
      <w:r>
        <w:t xml:space="preserve"> Australia's response to Panel question 28(d), paras. 87–91.</w:t>
      </w:r>
    </w:p>
  </w:footnote>
  <w:footnote w:id="20">
    <w:p w14:paraId="552F4EFE" w14:textId="77777777" w:rsidR="009F2B4B" w:rsidRDefault="009F2B4B">
      <w:pPr>
        <w:pStyle w:val="FootnoteText"/>
      </w:pPr>
      <w:r>
        <w:rPr>
          <w:rStyle w:val="FootnoteReference"/>
        </w:rPr>
        <w:footnoteRef/>
      </w:r>
      <w:r>
        <w:t xml:space="preserve"> India's response to Panel question 25(a), pp. 17–18. </w:t>
      </w:r>
    </w:p>
  </w:footnote>
  <w:footnote w:id="21">
    <w:p w14:paraId="12F65A1E" w14:textId="77777777" w:rsidR="009F2B4B" w:rsidRDefault="009F2B4B">
      <w:pPr>
        <w:pStyle w:val="FootnoteText"/>
      </w:pPr>
      <w:r>
        <w:rPr>
          <w:rStyle w:val="FootnoteReference"/>
        </w:rPr>
        <w:footnoteRef/>
      </w:r>
      <w:r>
        <w:t xml:space="preserve"> India's response to Panel question 49, pp. 6–7. </w:t>
      </w:r>
    </w:p>
  </w:footnote>
  <w:footnote w:id="22">
    <w:p w14:paraId="0FEBDD56" w14:textId="77777777" w:rsidR="009F2B4B" w:rsidRDefault="009F2B4B" w:rsidP="000F0D6E">
      <w:pPr>
        <w:pStyle w:val="FootnoteText"/>
      </w:pPr>
      <w:r>
        <w:rPr>
          <w:rStyle w:val="FootnoteReference"/>
        </w:rPr>
        <w:footnoteRef/>
      </w:r>
      <w:r>
        <w:t xml:space="preserve"> Australia's first written submission, paras. 181–187; Australia's response to Panel question 20, paras. 46–52; Australia's opening statement at the first substantive meeting, paras. 30–32. </w:t>
      </w:r>
    </w:p>
  </w:footnote>
  <w:footnote w:id="23">
    <w:p w14:paraId="6696D4B4" w14:textId="77777777" w:rsidR="009F2B4B" w:rsidRDefault="009F2B4B" w:rsidP="004F55B2">
      <w:pPr>
        <w:pStyle w:val="FootnoteText"/>
      </w:pPr>
      <w:r>
        <w:rPr>
          <w:rStyle w:val="FootnoteReference"/>
        </w:rPr>
        <w:footnoteRef/>
      </w:r>
      <w:r>
        <w:t xml:space="preserve"> </w:t>
      </w:r>
      <w:r w:rsidRPr="00E433EE">
        <w:t>India's first written submission, para. 43.</w:t>
      </w:r>
    </w:p>
  </w:footnote>
  <w:footnote w:id="24">
    <w:p w14:paraId="436ADA87" w14:textId="7FBEA233" w:rsidR="009F2B4B" w:rsidRDefault="009F2B4B">
      <w:pPr>
        <w:pStyle w:val="FootnoteText"/>
      </w:pPr>
      <w:r>
        <w:rPr>
          <w:rStyle w:val="FootnoteReference"/>
        </w:rPr>
        <w:footnoteRef/>
      </w:r>
      <w:r>
        <w:t xml:space="preserve"> Australia considers that the purchase tax remission schemes in four states constitute non-exempt measures involving payments to maintain the sugarcane price "gap" during the sugar seasons identified in paragraph 183 of Australia's first written submission. Of those schemes, Australia has presented evidence that Telangana's scheme existed in the 2018–19 sugar season. </w:t>
      </w:r>
      <w:r w:rsidRPr="009E2F3C">
        <w:rPr>
          <w:i/>
          <w:iCs/>
        </w:rPr>
        <w:t>See also</w:t>
      </w:r>
      <w:r>
        <w:t xml:space="preserve">, Australia's first written submission, paras. 184–186. </w:t>
      </w:r>
    </w:p>
  </w:footnote>
  <w:footnote w:id="25">
    <w:p w14:paraId="754E3E6A" w14:textId="5654B6E7" w:rsidR="009F2B4B" w:rsidRDefault="009F2B4B">
      <w:pPr>
        <w:pStyle w:val="FootnoteText"/>
      </w:pPr>
      <w:r>
        <w:rPr>
          <w:rStyle w:val="FootnoteReference"/>
        </w:rPr>
        <w:footnoteRef/>
      </w:r>
      <w:r>
        <w:t xml:space="preserve"> India's first written submission, paras. 60–65; India's response to Panel question 18(a), p. 14 and question 18(c), p. 14; India's </w:t>
      </w:r>
      <w:r w:rsidRPr="00B976BF">
        <w:t>opening statement at the first substantive meeting, para.</w:t>
      </w:r>
      <w:r>
        <w:t xml:space="preserve"> 9; India's closing statement at the first substantive meeting, paras. 24–28. </w:t>
      </w:r>
    </w:p>
  </w:footnote>
  <w:footnote w:id="26">
    <w:p w14:paraId="55BD4C63" w14:textId="77777777" w:rsidR="009F2B4B" w:rsidRDefault="009F2B4B">
      <w:pPr>
        <w:pStyle w:val="FootnoteText"/>
      </w:pPr>
      <w:r>
        <w:rPr>
          <w:rStyle w:val="FootnoteReference"/>
        </w:rPr>
        <w:footnoteRef/>
      </w:r>
      <w:r>
        <w:t xml:space="preserve"> </w:t>
      </w:r>
      <w:r w:rsidRPr="00FB445A">
        <w:t>India's closing statement at the first substantive meeting, para. 14</w:t>
      </w:r>
      <w:r>
        <w:t xml:space="preserve"> (emphasis added). </w:t>
      </w:r>
      <w:r w:rsidRPr="00DE7E67">
        <w:rPr>
          <w:i/>
          <w:iCs/>
        </w:rPr>
        <w:t>See also</w:t>
      </w:r>
      <w:r>
        <w:t xml:space="preserve">, India's response to Panel question 48(b), p. 5. </w:t>
      </w:r>
    </w:p>
  </w:footnote>
  <w:footnote w:id="27">
    <w:p w14:paraId="5A2850BF" w14:textId="77777777" w:rsidR="009F2B4B" w:rsidRDefault="009F2B4B" w:rsidP="00A934B1">
      <w:pPr>
        <w:pStyle w:val="FootnoteText"/>
      </w:pPr>
      <w:r>
        <w:rPr>
          <w:rStyle w:val="FootnoteReference"/>
        </w:rPr>
        <w:footnoteRef/>
      </w:r>
      <w:r>
        <w:t xml:space="preserve"> India's closing statement at the first substantive meeting, para. 13. </w:t>
      </w:r>
      <w:r w:rsidRPr="00D6709B">
        <w:rPr>
          <w:i/>
          <w:iCs/>
        </w:rPr>
        <w:t>See also</w:t>
      </w:r>
      <w:r>
        <w:t>, paras. 17–18.</w:t>
      </w:r>
    </w:p>
  </w:footnote>
  <w:footnote w:id="28">
    <w:p w14:paraId="57AEA6F9" w14:textId="77777777" w:rsidR="009F2B4B" w:rsidRDefault="009F2B4B">
      <w:pPr>
        <w:pStyle w:val="FootnoteText"/>
      </w:pPr>
      <w:r>
        <w:rPr>
          <w:rStyle w:val="FootnoteReference"/>
        </w:rPr>
        <w:footnoteRef/>
      </w:r>
      <w:r>
        <w:t xml:space="preserve"> </w:t>
      </w:r>
      <w:r w:rsidRPr="00FB445A">
        <w:t>India's closing statement at the first substantive meeting, para</w:t>
      </w:r>
      <w:r>
        <w:t>s</w:t>
      </w:r>
      <w:r w:rsidRPr="00FB445A">
        <w:t>. 14</w:t>
      </w:r>
      <w:r>
        <w:t xml:space="preserve"> and 16</w:t>
      </w:r>
      <w:r w:rsidRPr="00FB445A">
        <w:t>.</w:t>
      </w:r>
      <w:r>
        <w:t xml:space="preserve"> </w:t>
      </w:r>
      <w:r w:rsidRPr="008C56D7">
        <w:rPr>
          <w:i/>
          <w:iCs/>
        </w:rPr>
        <w:t>See also</w:t>
      </w:r>
      <w:r>
        <w:t xml:space="preserve">, para. 18. </w:t>
      </w:r>
    </w:p>
  </w:footnote>
  <w:footnote w:id="29">
    <w:p w14:paraId="62487466" w14:textId="77777777" w:rsidR="009F2B4B" w:rsidRDefault="009F2B4B">
      <w:pPr>
        <w:pStyle w:val="FootnoteText"/>
      </w:pPr>
      <w:r>
        <w:rPr>
          <w:rStyle w:val="FootnoteReference"/>
        </w:rPr>
        <w:footnoteRef/>
      </w:r>
      <w:r>
        <w:t xml:space="preserve"> India's </w:t>
      </w:r>
      <w:r w:rsidRPr="009A51FD">
        <w:t>closing statement at the first substantive meeting, para.</w:t>
      </w:r>
      <w:r>
        <w:t xml:space="preserve"> 31 (emphasis original). </w:t>
      </w:r>
    </w:p>
  </w:footnote>
  <w:footnote w:id="30">
    <w:p w14:paraId="10A65402" w14:textId="77777777" w:rsidR="009F2B4B" w:rsidRDefault="009F2B4B">
      <w:pPr>
        <w:pStyle w:val="FootnoteText"/>
      </w:pPr>
      <w:r>
        <w:rPr>
          <w:rStyle w:val="FootnoteReference"/>
        </w:rPr>
        <w:footnoteRef/>
      </w:r>
      <w:r>
        <w:t xml:space="preserve"> India's response to Panel question 48(a), p. 5. </w:t>
      </w:r>
    </w:p>
  </w:footnote>
  <w:footnote w:id="31">
    <w:p w14:paraId="57F19A3B" w14:textId="77777777" w:rsidR="009F2B4B" w:rsidRDefault="009F2B4B">
      <w:pPr>
        <w:pStyle w:val="FootnoteText"/>
      </w:pPr>
      <w:r>
        <w:rPr>
          <w:rStyle w:val="FootnoteReference"/>
        </w:rPr>
        <w:footnoteRef/>
      </w:r>
      <w:r>
        <w:t xml:space="preserve"> India's first written submission, para. 67. </w:t>
      </w:r>
      <w:r w:rsidRPr="00E54340">
        <w:rPr>
          <w:i/>
          <w:iCs/>
        </w:rPr>
        <w:t>See also</w:t>
      </w:r>
      <w:r>
        <w:t xml:space="preserve">, India's closing statement at the first substantive meeting, paras. 35–36. </w:t>
      </w:r>
    </w:p>
  </w:footnote>
  <w:footnote w:id="32">
    <w:p w14:paraId="6AB6AA8A" w14:textId="4F617969" w:rsidR="009F2B4B" w:rsidRDefault="009F2B4B">
      <w:pPr>
        <w:pStyle w:val="FootnoteText"/>
      </w:pPr>
      <w:r>
        <w:rPr>
          <w:rStyle w:val="FootnoteReference"/>
        </w:rPr>
        <w:footnoteRef/>
      </w:r>
      <w:r>
        <w:t xml:space="preserve"> Article 31(1) of the Vienna Convention on the Law of Treaties forms part of the customary rules of interpretation of public international law: Appellate Body Report, </w:t>
      </w:r>
      <w:r w:rsidRPr="00366DD6">
        <w:rPr>
          <w:i/>
          <w:iCs/>
        </w:rPr>
        <w:t>US – Gasoline</w:t>
      </w:r>
      <w:r>
        <w:t xml:space="preserve">, p. 17. Article 3.2 of the Understanding on Rules and Procedures Governing the Settlement of Disputes provides that the WTO covered agreements are to be interpreted in accordance with these rules. </w:t>
      </w:r>
    </w:p>
  </w:footnote>
  <w:footnote w:id="33">
    <w:p w14:paraId="7CB9598E" w14:textId="77777777" w:rsidR="009F2B4B" w:rsidRDefault="009F2B4B" w:rsidP="000D1216">
      <w:pPr>
        <w:pStyle w:val="FootnoteText"/>
      </w:pPr>
      <w:r>
        <w:rPr>
          <w:rStyle w:val="FootnoteReference"/>
        </w:rPr>
        <w:footnoteRef/>
      </w:r>
      <w:r>
        <w:t xml:space="preserve"> Agreement on Agriculture, Annex 4, para. 1. </w:t>
      </w:r>
    </w:p>
  </w:footnote>
  <w:footnote w:id="34">
    <w:p w14:paraId="6DAD8C3A" w14:textId="77777777" w:rsidR="009F2B4B" w:rsidRDefault="009F2B4B">
      <w:pPr>
        <w:pStyle w:val="FootnoteText"/>
      </w:pPr>
      <w:r>
        <w:rPr>
          <w:rStyle w:val="FootnoteReference"/>
        </w:rPr>
        <w:footnoteRef/>
      </w:r>
      <w:r>
        <w:t xml:space="preserve"> Australia's opening statement at the first substantive meeting, para. 42.</w:t>
      </w:r>
    </w:p>
  </w:footnote>
  <w:footnote w:id="35">
    <w:p w14:paraId="1611AB6A" w14:textId="2F9E04D5" w:rsidR="009F2B4B" w:rsidRDefault="009F2B4B">
      <w:pPr>
        <w:pStyle w:val="FootnoteText"/>
      </w:pPr>
      <w:r>
        <w:rPr>
          <w:rStyle w:val="FootnoteReference"/>
        </w:rPr>
        <w:footnoteRef/>
      </w:r>
      <w:r>
        <w:t xml:space="preserve"> Article 1(a)(ii) of the Agreement on Agriculture provides that AMS is "calculated in accordance with the provisions of Annex 3 of this Agreement…".</w:t>
      </w:r>
    </w:p>
  </w:footnote>
  <w:footnote w:id="36">
    <w:p w14:paraId="35E97FC9" w14:textId="77777777" w:rsidR="009F2B4B" w:rsidRDefault="009F2B4B">
      <w:pPr>
        <w:pStyle w:val="FootnoteText"/>
      </w:pPr>
      <w:r>
        <w:rPr>
          <w:rStyle w:val="FootnoteReference"/>
        </w:rPr>
        <w:footnoteRef/>
      </w:r>
      <w:r>
        <w:t xml:space="preserve"> Australia's first written submission, para. 135; </w:t>
      </w:r>
      <w:r w:rsidRPr="0079505B">
        <w:t>Australia's opening statement at the first substantive meeting, para. 42.</w:t>
      </w:r>
      <w:r>
        <w:t xml:space="preserve"> </w:t>
      </w:r>
      <w:r w:rsidRPr="000F0D6E">
        <w:rPr>
          <w:i/>
          <w:iCs/>
        </w:rPr>
        <w:t>See also</w:t>
      </w:r>
      <w:r>
        <w:t>, European Union's third party submission, para. 45; European Union's third party oral statement, para. 7.</w:t>
      </w:r>
    </w:p>
  </w:footnote>
  <w:footnote w:id="37">
    <w:p w14:paraId="3F34ECFC" w14:textId="30365D9D" w:rsidR="009F2B4B" w:rsidRDefault="009F2B4B">
      <w:pPr>
        <w:pStyle w:val="FootnoteText"/>
      </w:pPr>
      <w:r>
        <w:rPr>
          <w:rStyle w:val="FootnoteReference"/>
        </w:rPr>
        <w:footnoteRef/>
      </w:r>
      <w:r>
        <w:t xml:space="preserve"> For non-exempt direct payments, paragraphs 10 and 12 apply. For other non-exempt policies or measures, paragraph 13 applies. </w:t>
      </w:r>
    </w:p>
  </w:footnote>
  <w:footnote w:id="38">
    <w:p w14:paraId="59D81F74" w14:textId="77777777" w:rsidR="009F2B4B" w:rsidRDefault="009F2B4B">
      <w:pPr>
        <w:pStyle w:val="FootnoteText"/>
      </w:pPr>
      <w:r>
        <w:rPr>
          <w:rStyle w:val="FootnoteReference"/>
        </w:rPr>
        <w:footnoteRef/>
      </w:r>
      <w:r>
        <w:t xml:space="preserve"> Australia's first written submission, paras. 120–122. </w:t>
      </w:r>
    </w:p>
  </w:footnote>
  <w:footnote w:id="39">
    <w:p w14:paraId="533B9263" w14:textId="0AF9A63F" w:rsidR="009F2B4B" w:rsidRDefault="009F2B4B" w:rsidP="00594E97">
      <w:pPr>
        <w:pStyle w:val="FootnoteText"/>
      </w:pPr>
      <w:r>
        <w:rPr>
          <w:rStyle w:val="FootnoteReference"/>
        </w:rPr>
        <w:footnoteRef/>
      </w:r>
      <w:r>
        <w:t xml:space="preserve"> Australia's first written submission, paras. 118–119. </w:t>
      </w:r>
      <w:r w:rsidRPr="006F4589">
        <w:rPr>
          <w:i/>
          <w:iCs/>
        </w:rPr>
        <w:t>See also</w:t>
      </w:r>
      <w:r w:rsidRPr="008208C5">
        <w:t>, United States' third party submission, para.</w:t>
      </w:r>
      <w:r>
        <w:t> 1</w:t>
      </w:r>
      <w:r w:rsidRPr="008208C5">
        <w:t>5.</w:t>
      </w:r>
    </w:p>
  </w:footnote>
  <w:footnote w:id="40">
    <w:p w14:paraId="2F6BB35D" w14:textId="3AB82F6E" w:rsidR="009F2B4B" w:rsidRDefault="009F2B4B">
      <w:pPr>
        <w:pStyle w:val="FootnoteText"/>
      </w:pPr>
      <w:r>
        <w:rPr>
          <w:rStyle w:val="FootnoteReference"/>
        </w:rPr>
        <w:footnoteRef/>
      </w:r>
      <w:r>
        <w:t xml:space="preserve"> </w:t>
      </w:r>
      <w:r w:rsidRPr="001775FD">
        <w:t>Australia's first written submission, paras. 1</w:t>
      </w:r>
      <w:r>
        <w:t>23</w:t>
      </w:r>
      <w:r w:rsidRPr="001775FD">
        <w:t>–1</w:t>
      </w:r>
      <w:r>
        <w:t>30</w:t>
      </w:r>
      <w:r w:rsidRPr="001775FD">
        <w:t>.</w:t>
      </w:r>
      <w:r w:rsidR="00F27C5B">
        <w:t xml:space="preserve"> </w:t>
      </w:r>
      <w:r w:rsidR="00F27C5B" w:rsidRPr="005852FA">
        <w:rPr>
          <w:i/>
          <w:iCs/>
        </w:rPr>
        <w:t>See also</w:t>
      </w:r>
      <w:r w:rsidR="00F27C5B">
        <w:t>, United States' third party submission, para. 15.</w:t>
      </w:r>
    </w:p>
  </w:footnote>
  <w:footnote w:id="41">
    <w:p w14:paraId="51CCB0A1" w14:textId="6239495E" w:rsidR="009F2B4B" w:rsidRDefault="009F2B4B">
      <w:pPr>
        <w:pStyle w:val="FootnoteText"/>
      </w:pPr>
      <w:r>
        <w:rPr>
          <w:rStyle w:val="FootnoteReference"/>
        </w:rPr>
        <w:footnoteRef/>
      </w:r>
      <w:r>
        <w:t xml:space="preserve"> See </w:t>
      </w:r>
      <w:r w:rsidRPr="005B03F7">
        <w:t xml:space="preserve">United States' third party </w:t>
      </w:r>
      <w:r>
        <w:t>submission, para. 16; United States' third party executive summary, para. 15.  Market price support may also exist in the absence of a FERP, in which case such support is calculated in accordance with the Agreement on Agriculture, Annex 4, para. 2</w:t>
      </w:r>
      <w:r w:rsidR="008757F2">
        <w:t>. S</w:t>
      </w:r>
      <w:r w:rsidRPr="00BD6EDB">
        <w:t>ee paragraph </w:t>
      </w:r>
      <w:r w:rsidRPr="00BD6EDB">
        <w:fldChar w:fldCharType="begin"/>
      </w:r>
      <w:r w:rsidRPr="00BD6EDB">
        <w:instrText xml:space="preserve"> REF _Ref63281042 \r \h  \* MERGEFORMAT </w:instrText>
      </w:r>
      <w:r w:rsidRPr="00BD6EDB">
        <w:fldChar w:fldCharType="separate"/>
      </w:r>
      <w:r w:rsidR="00FF2871">
        <w:t>42</w:t>
      </w:r>
      <w:r w:rsidRPr="00BD6EDB">
        <w:fldChar w:fldCharType="end"/>
      </w:r>
      <w:r w:rsidRPr="00BD6EDB">
        <w:t xml:space="preserve"> below</w:t>
      </w:r>
      <w:r>
        <w:t xml:space="preserve">. </w:t>
      </w:r>
    </w:p>
  </w:footnote>
  <w:footnote w:id="42">
    <w:p w14:paraId="34A0F305" w14:textId="14239C7D" w:rsidR="009F2B4B" w:rsidRDefault="009F2B4B">
      <w:pPr>
        <w:pStyle w:val="FootnoteText"/>
      </w:pPr>
      <w:r>
        <w:rPr>
          <w:rStyle w:val="FootnoteReference"/>
        </w:rPr>
        <w:footnoteRef/>
      </w:r>
      <w:r>
        <w:t xml:space="preserve"> European Union's third party submission, para. 51; United States' third party submission, para. 25.</w:t>
      </w:r>
    </w:p>
  </w:footnote>
  <w:footnote w:id="43">
    <w:p w14:paraId="1D97DB30" w14:textId="77777777" w:rsidR="009F2B4B" w:rsidRDefault="009F2B4B">
      <w:pPr>
        <w:pStyle w:val="FootnoteText"/>
      </w:pPr>
      <w:r>
        <w:rPr>
          <w:rStyle w:val="FootnoteReference"/>
        </w:rPr>
        <w:footnoteRef/>
      </w:r>
      <w:r>
        <w:t xml:space="preserve"> Australia's first written submission, paras. </w:t>
      </w:r>
      <w:r w:rsidRPr="00731133">
        <w:t>113–115</w:t>
      </w:r>
      <w:r>
        <w:t>; Australia's</w:t>
      </w:r>
      <w:r w:rsidRPr="00E9014F">
        <w:t xml:space="preserve"> opening statement at the first substantive meeting, para.</w:t>
      </w:r>
      <w:r>
        <w:t> 49</w:t>
      </w:r>
      <w:r w:rsidRPr="00E9014F">
        <w:t>.</w:t>
      </w:r>
    </w:p>
  </w:footnote>
  <w:footnote w:id="44">
    <w:p w14:paraId="65C08824" w14:textId="35373676" w:rsidR="009F2B4B" w:rsidRDefault="009F2B4B">
      <w:pPr>
        <w:pStyle w:val="FootnoteText"/>
      </w:pPr>
      <w:r>
        <w:rPr>
          <w:rStyle w:val="FootnoteReference"/>
        </w:rPr>
        <w:footnoteRef/>
      </w:r>
      <w:r>
        <w:t xml:space="preserve"> See Australia's response to Panel question 47, para. 5.  </w:t>
      </w:r>
      <w:r w:rsidRPr="008208C5">
        <w:rPr>
          <w:i/>
          <w:iCs/>
        </w:rPr>
        <w:t>See also</w:t>
      </w:r>
      <w:r>
        <w:t xml:space="preserve">, </w:t>
      </w:r>
      <w:r w:rsidRPr="005B03F7">
        <w:t>United States</w:t>
      </w:r>
      <w:r>
        <w:t>'</w:t>
      </w:r>
      <w:r w:rsidRPr="005B03F7">
        <w:t xml:space="preserve"> third party submission, para. 25.</w:t>
      </w:r>
    </w:p>
  </w:footnote>
  <w:footnote w:id="45">
    <w:p w14:paraId="2633C6C3" w14:textId="77777777" w:rsidR="009F2B4B" w:rsidRDefault="009F2B4B">
      <w:pPr>
        <w:pStyle w:val="FootnoteText"/>
      </w:pPr>
      <w:r>
        <w:rPr>
          <w:rStyle w:val="FootnoteReference"/>
        </w:rPr>
        <w:footnoteRef/>
      </w:r>
      <w:r>
        <w:t xml:space="preserve"> </w:t>
      </w:r>
      <w:r w:rsidRPr="007A0BF6">
        <w:t xml:space="preserve">India's first written submission, para. </w:t>
      </w:r>
      <w:r>
        <w:t>63</w:t>
      </w:r>
      <w:r w:rsidRPr="007A0BF6">
        <w:t>.</w:t>
      </w:r>
    </w:p>
  </w:footnote>
  <w:footnote w:id="46">
    <w:p w14:paraId="2B5D0015" w14:textId="77777777" w:rsidR="009F2B4B" w:rsidRDefault="009F2B4B">
      <w:pPr>
        <w:pStyle w:val="FootnoteText"/>
      </w:pPr>
      <w:r>
        <w:rPr>
          <w:rStyle w:val="FootnoteReference"/>
        </w:rPr>
        <w:footnoteRef/>
      </w:r>
      <w:r>
        <w:t xml:space="preserve"> India's first written submission, para. 51. </w:t>
      </w:r>
    </w:p>
  </w:footnote>
  <w:footnote w:id="47">
    <w:p w14:paraId="29D8E5EB" w14:textId="77777777" w:rsidR="009F2B4B" w:rsidRDefault="009F2B4B">
      <w:pPr>
        <w:pStyle w:val="FootnoteText"/>
      </w:pPr>
      <w:r>
        <w:rPr>
          <w:rStyle w:val="FootnoteReference"/>
        </w:rPr>
        <w:footnoteRef/>
      </w:r>
      <w:r>
        <w:t xml:space="preserve"> India's first written submission, paras. 52–65.</w:t>
      </w:r>
    </w:p>
  </w:footnote>
  <w:footnote w:id="48">
    <w:p w14:paraId="472FF69E" w14:textId="552C75E2" w:rsidR="009F2B4B" w:rsidRDefault="009F2B4B">
      <w:pPr>
        <w:pStyle w:val="FootnoteText"/>
      </w:pPr>
      <w:r>
        <w:rPr>
          <w:rStyle w:val="FootnoteReference"/>
        </w:rPr>
        <w:footnoteRef/>
      </w:r>
      <w:r>
        <w:t xml:space="preserve"> Agreement on Agriculture, Annex 3, para. 1. See paragraph </w:t>
      </w:r>
      <w:r>
        <w:fldChar w:fldCharType="begin"/>
      </w:r>
      <w:r>
        <w:instrText xml:space="preserve"> REF _Ref63764132 \r \p \h </w:instrText>
      </w:r>
      <w:r>
        <w:fldChar w:fldCharType="separate"/>
      </w:r>
      <w:r w:rsidR="00FF2871">
        <w:t>30</w:t>
      </w:r>
      <w:r>
        <w:fldChar w:fldCharType="end"/>
      </w:r>
      <w:r>
        <w:t xml:space="preserve"> above. </w:t>
      </w:r>
    </w:p>
  </w:footnote>
  <w:footnote w:id="49">
    <w:p w14:paraId="3440CA56" w14:textId="1DC93C66" w:rsidR="009F2B4B" w:rsidRDefault="009F2B4B">
      <w:pPr>
        <w:pStyle w:val="FootnoteText"/>
      </w:pPr>
      <w:r>
        <w:rPr>
          <w:rStyle w:val="FootnoteReference"/>
        </w:rPr>
        <w:footnoteRef/>
      </w:r>
      <w:r>
        <w:t xml:space="preserve"> Agreement on Agriculture, Article 6.1 (emphasis added). </w:t>
      </w:r>
    </w:p>
  </w:footnote>
  <w:footnote w:id="50">
    <w:p w14:paraId="7B1953B9" w14:textId="5698FC03" w:rsidR="009F2B4B" w:rsidRDefault="009F2B4B">
      <w:pPr>
        <w:pStyle w:val="FootnoteText"/>
      </w:pPr>
      <w:r>
        <w:rPr>
          <w:rStyle w:val="FootnoteReference"/>
        </w:rPr>
        <w:footnoteRef/>
      </w:r>
      <w:r>
        <w:t xml:space="preserve"> Australia's response to Panel question 26(b), paras. 64–66. </w:t>
      </w:r>
    </w:p>
  </w:footnote>
  <w:footnote w:id="51">
    <w:p w14:paraId="473251A9" w14:textId="3CFB1ACB" w:rsidR="009F2B4B" w:rsidRDefault="009F2B4B">
      <w:pPr>
        <w:pStyle w:val="FootnoteText"/>
      </w:pPr>
      <w:r>
        <w:rPr>
          <w:rStyle w:val="FootnoteReference"/>
        </w:rPr>
        <w:footnoteRef/>
      </w:r>
      <w:r>
        <w:t xml:space="preserve"> Australia's response to Panel question 51, paras. 16–17. </w:t>
      </w:r>
    </w:p>
  </w:footnote>
  <w:footnote w:id="52">
    <w:p w14:paraId="34C717C6" w14:textId="0F2E472C" w:rsidR="009F2B4B" w:rsidRDefault="009F2B4B">
      <w:pPr>
        <w:pStyle w:val="FootnoteText"/>
      </w:pPr>
      <w:r>
        <w:rPr>
          <w:rStyle w:val="FootnoteReference"/>
        </w:rPr>
        <w:footnoteRef/>
      </w:r>
      <w:r>
        <w:t xml:space="preserve"> The Agreement on Agriculture divides domestic support measures into four categories broadly reflecting their potential to distort trade.  Measures exempt under Annex 2 are "green box"; measures exempt under Article 6.5 are "blue box"; and developing country Members can benefit from the exemptions under Article 6.2 (the "development box"). "The remaining domestic support measures fall into a less precisely defined residual category (often called the amber box) of interventions and subsidies…": David Orden, David Blandford and Tim Josling, "Introduction" in Order, Blandford and Josling (eds.), </w:t>
      </w:r>
      <w:r w:rsidRPr="00842765">
        <w:rPr>
          <w:i/>
          <w:iCs/>
        </w:rPr>
        <w:t>WTO Disciplines on Agricultural Support: Seeking a Fair Basis for Trade</w:t>
      </w:r>
      <w:r>
        <w:t xml:space="preserve"> (Cambridge University Press, 2011) (</w:t>
      </w:r>
      <w:r w:rsidRPr="00842765">
        <w:rPr>
          <w:b/>
          <w:bCs/>
        </w:rPr>
        <w:t>Exhibit AUS-12</w:t>
      </w:r>
      <w:r>
        <w:t xml:space="preserve">), pp. 4–5. </w:t>
      </w:r>
      <w:r w:rsidRPr="00842765">
        <w:rPr>
          <w:i/>
          <w:iCs/>
        </w:rPr>
        <w:t>See also</w:t>
      </w:r>
      <w:r>
        <w:t>, World Trade Organization, The WTO Agreements Series: 3. Agriculture (World Trade Organization, 2003) (</w:t>
      </w:r>
      <w:r w:rsidRPr="00842765">
        <w:rPr>
          <w:b/>
          <w:bCs/>
        </w:rPr>
        <w:t>Exhibit</w:t>
      </w:r>
      <w:r>
        <w:rPr>
          <w:b/>
          <w:bCs/>
        </w:rPr>
        <w:t> </w:t>
      </w:r>
      <w:r w:rsidRPr="00842765">
        <w:rPr>
          <w:b/>
          <w:bCs/>
        </w:rPr>
        <w:t>AUS-13</w:t>
      </w:r>
      <w:r>
        <w:t>), p. 13: "All domestic support measures in favour of agricultural producers that do not fit into any of the above exempt categories are subject to reduction commitments." This understanding is confirmed by the Agreement on Agriculture's negotiating history. The negotiators acknowledged that if the "green box" was defined – as ultimately occurred – "the residual is amber": Chairman’s note on options in the agricultural negotiations, MTN.GNG/AG/W/1, 24 June 1991 (</w:t>
      </w:r>
      <w:r w:rsidRPr="00842765">
        <w:rPr>
          <w:b/>
          <w:bCs/>
        </w:rPr>
        <w:t>Exhibit JE-</w:t>
      </w:r>
      <w:r w:rsidRPr="0054656E">
        <w:rPr>
          <w:b/>
          <w:bCs/>
        </w:rPr>
        <w:t>154</w:t>
      </w:r>
      <w:r w:rsidRPr="0023436C">
        <w:t>),</w:t>
      </w:r>
      <w:r>
        <w:t xml:space="preserve"> para. 9.</w:t>
      </w:r>
    </w:p>
  </w:footnote>
  <w:footnote w:id="53">
    <w:p w14:paraId="00F93C5F" w14:textId="77777777" w:rsidR="009F2B4B" w:rsidRDefault="009F2B4B">
      <w:pPr>
        <w:pStyle w:val="FootnoteText"/>
      </w:pPr>
      <w:r>
        <w:rPr>
          <w:rStyle w:val="FootnoteReference"/>
        </w:rPr>
        <w:footnoteRef/>
      </w:r>
      <w:r>
        <w:t xml:space="preserve"> See Australia's response to Panel question 51, paras. 18–19. </w:t>
      </w:r>
      <w:r w:rsidRPr="009F5F83">
        <w:rPr>
          <w:i/>
          <w:iCs/>
        </w:rPr>
        <w:t>See also</w:t>
      </w:r>
      <w:r>
        <w:t>, Brazil's response to Panel question 51, para. 36; Guatemala's response to Panel question 51, para. 19.</w:t>
      </w:r>
    </w:p>
  </w:footnote>
  <w:footnote w:id="54">
    <w:p w14:paraId="748DAD60" w14:textId="77777777" w:rsidR="009F2B4B" w:rsidRDefault="009F2B4B">
      <w:pPr>
        <w:pStyle w:val="FootnoteText"/>
      </w:pPr>
      <w:r>
        <w:rPr>
          <w:rStyle w:val="FootnoteReference"/>
        </w:rPr>
        <w:footnoteRef/>
      </w:r>
      <w:r>
        <w:t xml:space="preserve"> European Union's third party submission, para. 49. </w:t>
      </w:r>
      <w:r w:rsidRPr="006F4589">
        <w:rPr>
          <w:i/>
          <w:iCs/>
        </w:rPr>
        <w:t>See also</w:t>
      </w:r>
      <w:r>
        <w:t>, Brazil's opening statement at the first substantive meeting, para. 26.</w:t>
      </w:r>
    </w:p>
  </w:footnote>
  <w:footnote w:id="55">
    <w:p w14:paraId="7A4123CC" w14:textId="77777777" w:rsidR="009F2B4B" w:rsidRDefault="009F2B4B">
      <w:pPr>
        <w:pStyle w:val="FootnoteText"/>
      </w:pPr>
      <w:r>
        <w:rPr>
          <w:rStyle w:val="FootnoteReference"/>
        </w:rPr>
        <w:footnoteRef/>
      </w:r>
      <w:r>
        <w:t xml:space="preserve"> Agreement on Agriculture, Annex 4, para. 1. </w:t>
      </w:r>
    </w:p>
  </w:footnote>
  <w:footnote w:id="56">
    <w:p w14:paraId="30075274" w14:textId="77777777" w:rsidR="009F2B4B" w:rsidRDefault="009F2B4B">
      <w:pPr>
        <w:pStyle w:val="FootnoteText"/>
      </w:pPr>
      <w:r>
        <w:rPr>
          <w:rStyle w:val="FootnoteReference"/>
        </w:rPr>
        <w:footnoteRef/>
      </w:r>
      <w:r>
        <w:t xml:space="preserve"> </w:t>
      </w:r>
      <w:r w:rsidRPr="00C64D7C">
        <w:t>Agreement on Agriculture, Annex 4, para. 2.</w:t>
      </w:r>
    </w:p>
  </w:footnote>
  <w:footnote w:id="57">
    <w:p w14:paraId="23F30409" w14:textId="77777777" w:rsidR="009F2B4B" w:rsidRDefault="009F2B4B">
      <w:pPr>
        <w:pStyle w:val="FootnoteText"/>
      </w:pPr>
      <w:r>
        <w:rPr>
          <w:rStyle w:val="FootnoteReference"/>
        </w:rPr>
        <w:footnoteRef/>
      </w:r>
      <w:r>
        <w:t xml:space="preserve"> </w:t>
      </w:r>
      <w:r w:rsidRPr="0065427E">
        <w:t xml:space="preserve">Agreement on Agriculture, Annex 4, para. </w:t>
      </w:r>
      <w:r>
        <w:t>2</w:t>
      </w:r>
      <w:r w:rsidRPr="0065427E">
        <w:t>.</w:t>
      </w:r>
    </w:p>
  </w:footnote>
  <w:footnote w:id="58">
    <w:p w14:paraId="3CEE8338" w14:textId="77777777" w:rsidR="009F2B4B" w:rsidRDefault="009F2B4B">
      <w:pPr>
        <w:pStyle w:val="FootnoteText"/>
      </w:pPr>
      <w:r>
        <w:rPr>
          <w:rStyle w:val="FootnoteReference"/>
        </w:rPr>
        <w:footnoteRef/>
      </w:r>
      <w:r>
        <w:t xml:space="preserve"> See Brazil's opening statement at the first substantive meeting, paras. 19–21. </w:t>
      </w:r>
    </w:p>
  </w:footnote>
  <w:footnote w:id="59">
    <w:p w14:paraId="252CCCCB" w14:textId="32C44963" w:rsidR="009F2B4B" w:rsidRDefault="009F2B4B">
      <w:pPr>
        <w:pStyle w:val="FootnoteText"/>
      </w:pPr>
      <w:r>
        <w:rPr>
          <w:rStyle w:val="FootnoteReference"/>
        </w:rPr>
        <w:footnoteRef/>
      </w:r>
      <w:r>
        <w:t xml:space="preserve"> G/AG/AGST/IND, p. 28 incorporated by reference by India's Schedule, Part IV, Section I, Column 3. In notifying its market price support for the base period (1986–88), in a table titled "Aggregate Measurement of Support: Market Price Support", India lists the prices fixed by the Sugarcane (Control) Order 1966 then in force as an "Applied administered price" and uses that price to calculate its market price support for sugarcane.  </w:t>
      </w:r>
    </w:p>
  </w:footnote>
  <w:footnote w:id="60">
    <w:p w14:paraId="42B94C3B" w14:textId="77777777" w:rsidR="009F2B4B" w:rsidRDefault="009F2B4B">
      <w:pPr>
        <w:pStyle w:val="FootnoteText"/>
      </w:pPr>
      <w:r>
        <w:rPr>
          <w:rStyle w:val="FootnoteReference"/>
        </w:rPr>
        <w:footnoteRef/>
      </w:r>
      <w:r>
        <w:t xml:space="preserve"> See Australia's first written submission, para. 25.</w:t>
      </w:r>
    </w:p>
  </w:footnote>
  <w:footnote w:id="61">
    <w:p w14:paraId="59AE4E05" w14:textId="77777777" w:rsidR="009F2B4B" w:rsidRDefault="009F2B4B">
      <w:pPr>
        <w:pStyle w:val="FootnoteText"/>
      </w:pPr>
      <w:r>
        <w:rPr>
          <w:rStyle w:val="FootnoteReference"/>
        </w:rPr>
        <w:footnoteRef/>
      </w:r>
      <w:r>
        <w:t xml:space="preserve"> Sugarcane (Control) Order 1966 (</w:t>
      </w:r>
      <w:r w:rsidRPr="00040871">
        <w:rPr>
          <w:b/>
          <w:bCs/>
        </w:rPr>
        <w:t>Exhibit JE-148</w:t>
      </w:r>
      <w:r>
        <w:t xml:space="preserve">), Clause 3(1). </w:t>
      </w:r>
    </w:p>
  </w:footnote>
  <w:footnote w:id="62">
    <w:p w14:paraId="0EF406D0" w14:textId="77777777" w:rsidR="009F2B4B" w:rsidRDefault="009F2B4B">
      <w:pPr>
        <w:pStyle w:val="FootnoteText"/>
      </w:pPr>
      <w:r>
        <w:rPr>
          <w:rStyle w:val="FootnoteReference"/>
        </w:rPr>
        <w:footnoteRef/>
      </w:r>
      <w:r>
        <w:t xml:space="preserve"> See Australia's opening statement at the first substantive meeting, paras. 53–54. </w:t>
      </w:r>
      <w:r w:rsidRPr="00086778">
        <w:rPr>
          <w:i/>
          <w:iCs/>
        </w:rPr>
        <w:t>See also</w:t>
      </w:r>
      <w:r>
        <w:t xml:space="preserve">, Brazil's opening statement at the first substantive meeting, paras. 22–23; Guatemala's </w:t>
      </w:r>
      <w:r w:rsidRPr="00086778">
        <w:t>opening statement at the first substantive meeting, para.</w:t>
      </w:r>
      <w:r>
        <w:t xml:space="preserve"> 3.12. </w:t>
      </w:r>
    </w:p>
  </w:footnote>
  <w:footnote w:id="63">
    <w:p w14:paraId="42B609BE" w14:textId="072C6739" w:rsidR="009F2B4B" w:rsidRDefault="009F2B4B">
      <w:pPr>
        <w:pStyle w:val="FootnoteText"/>
      </w:pPr>
      <w:r>
        <w:rPr>
          <w:rStyle w:val="FootnoteReference"/>
        </w:rPr>
        <w:footnoteRef/>
      </w:r>
      <w:r>
        <w:t xml:space="preserve"> India's closing statement at the first substantive meeting, para. 37; India's response to Panel question 48(c), p. 5.</w:t>
      </w:r>
    </w:p>
  </w:footnote>
  <w:footnote w:id="64">
    <w:p w14:paraId="5CA08FFE" w14:textId="77777777" w:rsidR="009F2B4B" w:rsidRDefault="009F2B4B">
      <w:pPr>
        <w:pStyle w:val="FootnoteText"/>
      </w:pPr>
      <w:r>
        <w:rPr>
          <w:rStyle w:val="FootnoteReference"/>
        </w:rPr>
        <w:footnoteRef/>
      </w:r>
      <w:r>
        <w:t xml:space="preserve"> </w:t>
      </w:r>
      <w:r w:rsidRPr="00FF641E">
        <w:t>India's response to Panel question 48(e), p. 6.</w:t>
      </w:r>
    </w:p>
  </w:footnote>
  <w:footnote w:id="65">
    <w:p w14:paraId="3EFA94BB" w14:textId="64B0DF98" w:rsidR="009F2B4B" w:rsidRDefault="009F2B4B">
      <w:pPr>
        <w:pStyle w:val="FootnoteText"/>
      </w:pPr>
      <w:r>
        <w:rPr>
          <w:rStyle w:val="FootnoteReference"/>
        </w:rPr>
        <w:footnoteRef/>
      </w:r>
      <w:r>
        <w:t xml:space="preserve"> Panel Report, </w:t>
      </w:r>
      <w:r w:rsidRPr="00842765">
        <w:rPr>
          <w:i/>
          <w:iCs/>
        </w:rPr>
        <w:t>China – Agricultural Producers</w:t>
      </w:r>
      <w:r>
        <w:t xml:space="preserve">, para. 7.263, citing Appellate Body Report, </w:t>
      </w:r>
      <w:r w:rsidRPr="00842765">
        <w:rPr>
          <w:i/>
          <w:iCs/>
        </w:rPr>
        <w:t>US – Gambling</w:t>
      </w:r>
      <w:r>
        <w:t>, paras. 178 and 182.</w:t>
      </w:r>
    </w:p>
  </w:footnote>
  <w:footnote w:id="66">
    <w:p w14:paraId="16C0F88A" w14:textId="77777777" w:rsidR="009F2B4B" w:rsidRDefault="009F2B4B">
      <w:pPr>
        <w:pStyle w:val="FootnoteText"/>
      </w:pPr>
      <w:r>
        <w:rPr>
          <w:rStyle w:val="FootnoteReference"/>
        </w:rPr>
        <w:footnoteRef/>
      </w:r>
      <w:r>
        <w:t xml:space="preserve"> Agreement on Agriculture, Preamble, recitals 2 and 3. </w:t>
      </w:r>
      <w:r w:rsidRPr="003B208A">
        <w:rPr>
          <w:i/>
          <w:iCs/>
        </w:rPr>
        <w:t>See also</w:t>
      </w:r>
      <w:r>
        <w:t>, Australia's first written submission, para. 126.</w:t>
      </w:r>
    </w:p>
  </w:footnote>
  <w:footnote w:id="67">
    <w:p w14:paraId="040B83E1" w14:textId="77777777" w:rsidR="009F2B4B" w:rsidRDefault="009F2B4B">
      <w:pPr>
        <w:pStyle w:val="FootnoteText"/>
      </w:pPr>
      <w:r>
        <w:rPr>
          <w:rStyle w:val="FootnoteReference"/>
        </w:rPr>
        <w:footnoteRef/>
      </w:r>
      <w:r>
        <w:t xml:space="preserve"> Agreement on Agriculture, Annex 2, para. 1. </w:t>
      </w:r>
      <w:r w:rsidRPr="00222A10">
        <w:rPr>
          <w:i/>
          <w:iCs/>
        </w:rPr>
        <w:t>See also</w:t>
      </w:r>
      <w:r>
        <w:t xml:space="preserve">, </w:t>
      </w:r>
      <w:r w:rsidRPr="003B208A">
        <w:t>Australia's first written submission, para. 126.</w:t>
      </w:r>
    </w:p>
  </w:footnote>
  <w:footnote w:id="68">
    <w:p w14:paraId="48CEF5A0" w14:textId="77777777" w:rsidR="009F2B4B" w:rsidRDefault="009F2B4B">
      <w:pPr>
        <w:pStyle w:val="FootnoteText"/>
      </w:pPr>
      <w:r>
        <w:rPr>
          <w:rStyle w:val="FootnoteReference"/>
        </w:rPr>
        <w:footnoteRef/>
      </w:r>
      <w:r>
        <w:t xml:space="preserve"> See the evidence that India's FRP and SAP measures impact production decisions cited in footnote 171 of Australia's first written submission, para. 126.</w:t>
      </w:r>
    </w:p>
  </w:footnote>
  <w:footnote w:id="69">
    <w:p w14:paraId="46B1DF61" w14:textId="5A51F3FB" w:rsidR="009F2B4B" w:rsidRDefault="009F2B4B">
      <w:pPr>
        <w:pStyle w:val="FootnoteText"/>
      </w:pPr>
      <w:r>
        <w:rPr>
          <w:rStyle w:val="FootnoteReference"/>
        </w:rPr>
        <w:footnoteRef/>
      </w:r>
      <w:r>
        <w:t xml:space="preserve"> See Brazil's opening statement at the first substantive meeting, paras. 27–28; Guatemala's opening statement </w:t>
      </w:r>
      <w:r w:rsidRPr="000C33B6">
        <w:t>at the first substantive meeting</w:t>
      </w:r>
      <w:r>
        <w:t>, para. 3.13.</w:t>
      </w:r>
    </w:p>
  </w:footnote>
  <w:footnote w:id="70">
    <w:p w14:paraId="30D3676D" w14:textId="77777777" w:rsidR="009F2B4B" w:rsidRDefault="009F2B4B">
      <w:pPr>
        <w:pStyle w:val="FootnoteText"/>
      </w:pPr>
      <w:r>
        <w:rPr>
          <w:rStyle w:val="FootnoteReference"/>
        </w:rPr>
        <w:footnoteRef/>
      </w:r>
      <w:r>
        <w:t xml:space="preserve"> India's closing statement at the first substantive meeting, para. 18.</w:t>
      </w:r>
    </w:p>
  </w:footnote>
  <w:footnote w:id="71">
    <w:p w14:paraId="39339C9C" w14:textId="2231188C" w:rsidR="009F2B4B" w:rsidRDefault="009F2B4B">
      <w:pPr>
        <w:pStyle w:val="FootnoteText"/>
      </w:pPr>
      <w:r>
        <w:rPr>
          <w:rStyle w:val="FootnoteReference"/>
        </w:rPr>
        <w:footnoteRef/>
      </w:r>
      <w:r>
        <w:t xml:space="preserve"> India's first written submission, paras. 62–63; India's response to Panel question 18(a), p. 14 and question 25(b), p. 18; India's opening statement at the first substantive meeting, para. 9; India's closing statement at the first substantive meeting, paras. 24–28.</w:t>
      </w:r>
    </w:p>
  </w:footnote>
  <w:footnote w:id="72">
    <w:p w14:paraId="0C0BE89D" w14:textId="77777777" w:rsidR="009F2B4B" w:rsidRDefault="009F2B4B">
      <w:pPr>
        <w:pStyle w:val="FootnoteText"/>
      </w:pPr>
      <w:r>
        <w:rPr>
          <w:rStyle w:val="FootnoteReference"/>
        </w:rPr>
        <w:footnoteRef/>
      </w:r>
      <w:r>
        <w:t xml:space="preserve"> India's first written submission, para. 63; India's response to Panel question 25(a), p. 18. </w:t>
      </w:r>
    </w:p>
  </w:footnote>
  <w:footnote w:id="73">
    <w:p w14:paraId="3FE77DA4" w14:textId="09F15477" w:rsidR="009F2B4B" w:rsidRDefault="009F2B4B">
      <w:pPr>
        <w:pStyle w:val="FootnoteText"/>
      </w:pPr>
      <w:r>
        <w:rPr>
          <w:rStyle w:val="FootnoteReference"/>
        </w:rPr>
        <w:footnoteRef/>
      </w:r>
      <w:r>
        <w:t xml:space="preserve"> India's response to Panel question 18(a) and 18(c), p. 14; India's opening statement at the first substantive meeting, paras. 24–25.</w:t>
      </w:r>
    </w:p>
  </w:footnote>
  <w:footnote w:id="74">
    <w:p w14:paraId="2ECBD5AB" w14:textId="6737ABBF" w:rsidR="009F2B4B" w:rsidRDefault="009F2B4B" w:rsidP="0017559D">
      <w:pPr>
        <w:pStyle w:val="FootnoteText"/>
      </w:pPr>
      <w:r>
        <w:rPr>
          <w:rStyle w:val="FootnoteReference"/>
        </w:rPr>
        <w:footnoteRef/>
      </w:r>
      <w:r>
        <w:t xml:space="preserve"> </w:t>
      </w:r>
      <w:r w:rsidRPr="00BD6EDB">
        <w:t xml:space="preserve">See paragraph </w:t>
      </w:r>
      <w:r w:rsidRPr="00BD6EDB">
        <w:fldChar w:fldCharType="begin"/>
      </w:r>
      <w:r w:rsidRPr="00BD6EDB">
        <w:instrText xml:space="preserve"> REF _Ref63241102 \w \h  \* MERGEFORMAT </w:instrText>
      </w:r>
      <w:r w:rsidRPr="00BD6EDB">
        <w:fldChar w:fldCharType="separate"/>
      </w:r>
      <w:r w:rsidR="00FF2871">
        <w:t>30</w:t>
      </w:r>
      <w:r w:rsidRPr="00BD6EDB">
        <w:fldChar w:fldCharType="end"/>
      </w:r>
      <w:r w:rsidRPr="00BD6EDB">
        <w:t xml:space="preserve"> above.</w:t>
      </w:r>
      <w:r>
        <w:t xml:space="preserve"> </w:t>
      </w:r>
    </w:p>
  </w:footnote>
  <w:footnote w:id="75">
    <w:p w14:paraId="3FA3C95D" w14:textId="3DD74DB2" w:rsidR="009F2B4B" w:rsidRDefault="009F2B4B">
      <w:pPr>
        <w:pStyle w:val="FootnoteText"/>
      </w:pPr>
      <w:r>
        <w:rPr>
          <w:rStyle w:val="FootnoteReference"/>
        </w:rPr>
        <w:footnoteRef/>
      </w:r>
      <w:r>
        <w:t xml:space="preserve"> "Recourse may be had to supplementary means of interpretation… in order to confirm the meaning resulting from the application of article 31…": Vienna Convention on the Law of Treaties, Article 32.</w:t>
      </w:r>
    </w:p>
  </w:footnote>
  <w:footnote w:id="76">
    <w:p w14:paraId="40077108" w14:textId="5FD85C29" w:rsidR="009F2B4B" w:rsidRDefault="009F2B4B">
      <w:pPr>
        <w:pStyle w:val="FootnoteText"/>
      </w:pPr>
      <w:r>
        <w:rPr>
          <w:rStyle w:val="FootnoteReference"/>
        </w:rPr>
        <w:footnoteRef/>
      </w:r>
      <w:r>
        <w:t xml:space="preserve"> Chairman’s note on options in the agricultural negotiations, MTN.GNG/AG/W/1/Add.4 (</w:t>
      </w:r>
      <w:r w:rsidRPr="00842765">
        <w:rPr>
          <w:b/>
          <w:bCs/>
        </w:rPr>
        <w:t>Exhibit JE-</w:t>
      </w:r>
      <w:r w:rsidRPr="0054656E">
        <w:rPr>
          <w:b/>
          <w:bCs/>
        </w:rPr>
        <w:t>156</w:t>
      </w:r>
      <w:r>
        <w:t>), para. 3.</w:t>
      </w:r>
      <w:r w:rsidRPr="00D42AC7">
        <w:rPr>
          <w:i/>
          <w:iCs/>
        </w:rPr>
        <w:t xml:space="preserve"> </w:t>
      </w:r>
      <w:r>
        <w:rPr>
          <w:i/>
          <w:iCs/>
        </w:rPr>
        <w:t>See also,</w:t>
      </w:r>
      <w:r>
        <w:t xml:space="preserve"> Chairman’s note on options in the agricultural negotiations, MTN.GNG/AG/W/1, 24 June 1991 (</w:t>
      </w:r>
      <w:r w:rsidRPr="00701FFE">
        <w:rPr>
          <w:b/>
          <w:bCs/>
        </w:rPr>
        <w:t>Exhibit JE-</w:t>
      </w:r>
      <w:r w:rsidRPr="0054656E">
        <w:rPr>
          <w:b/>
          <w:bCs/>
        </w:rPr>
        <w:t>154</w:t>
      </w:r>
      <w:r>
        <w:t>), para. 18.</w:t>
      </w:r>
    </w:p>
  </w:footnote>
  <w:footnote w:id="77">
    <w:p w14:paraId="5CD0D9D6" w14:textId="4D4722FA" w:rsidR="009F2B4B" w:rsidRPr="003B1979" w:rsidRDefault="009F2B4B" w:rsidP="00026779">
      <w:pPr>
        <w:pStyle w:val="FootnoteText"/>
      </w:pPr>
      <w:r>
        <w:rPr>
          <w:rStyle w:val="FootnoteReference"/>
        </w:rPr>
        <w:footnoteRef/>
      </w:r>
      <w:r>
        <w:t xml:space="preserve"> Agreement on Agriculture, Annex 3, para. 13. </w:t>
      </w:r>
    </w:p>
  </w:footnote>
  <w:footnote w:id="78">
    <w:p w14:paraId="5341C2FA" w14:textId="77777777" w:rsidR="009F2B4B" w:rsidRDefault="009F2B4B">
      <w:pPr>
        <w:pStyle w:val="FootnoteText"/>
      </w:pPr>
      <w:r>
        <w:rPr>
          <w:rStyle w:val="FootnoteReference"/>
        </w:rPr>
        <w:footnoteRef/>
      </w:r>
      <w:r>
        <w:t xml:space="preserve"> Agreement on Agriculture, Preamble, recitals 3 and 4. </w:t>
      </w:r>
    </w:p>
  </w:footnote>
  <w:footnote w:id="79">
    <w:p w14:paraId="1CE1E1AA" w14:textId="77777777" w:rsidR="009F2B4B" w:rsidRDefault="009F2B4B" w:rsidP="00026779">
      <w:pPr>
        <w:pStyle w:val="FootnoteText"/>
      </w:pPr>
      <w:r>
        <w:rPr>
          <w:rStyle w:val="FootnoteReference"/>
        </w:rPr>
        <w:footnoteRef/>
      </w:r>
      <w:r>
        <w:t xml:space="preserve"> European Union's third party submission, para. 43; European Union's third party oral statement, para. 6.</w:t>
      </w:r>
    </w:p>
  </w:footnote>
  <w:footnote w:id="80">
    <w:p w14:paraId="209AFF5E" w14:textId="77777777" w:rsidR="009F2B4B" w:rsidRDefault="009F2B4B">
      <w:pPr>
        <w:pStyle w:val="FootnoteText"/>
      </w:pPr>
      <w:r>
        <w:rPr>
          <w:rStyle w:val="FootnoteReference"/>
        </w:rPr>
        <w:footnoteRef/>
      </w:r>
      <w:r>
        <w:t xml:space="preserve"> India's first written submission, para. 62. </w:t>
      </w:r>
      <w:r w:rsidRPr="00F416DD">
        <w:rPr>
          <w:i/>
          <w:iCs/>
        </w:rPr>
        <w:t>See also</w:t>
      </w:r>
      <w:r>
        <w:t>, India's response to Panel question 26(a), p. 18; India's opening statement at the first substantive meeting, para. 9.</w:t>
      </w:r>
    </w:p>
  </w:footnote>
  <w:footnote w:id="81">
    <w:p w14:paraId="75436CFF" w14:textId="45DF7278" w:rsidR="009F2B4B" w:rsidRDefault="009F2B4B" w:rsidP="00434137">
      <w:pPr>
        <w:pStyle w:val="FootnoteText"/>
      </w:pPr>
      <w:r>
        <w:rPr>
          <w:rStyle w:val="FootnoteReference"/>
        </w:rPr>
        <w:footnoteRef/>
      </w:r>
      <w:r>
        <w:t xml:space="preserve"> India's opening statement at the first substantive meeting, paras. 26–28; India's closing statement first substantive meeting, para. 28.</w:t>
      </w:r>
    </w:p>
  </w:footnote>
  <w:footnote w:id="82">
    <w:p w14:paraId="36B96727" w14:textId="508777DE" w:rsidR="009F2B4B" w:rsidRDefault="009F2B4B" w:rsidP="00026779">
      <w:pPr>
        <w:pStyle w:val="FootnoteText"/>
      </w:pPr>
      <w:r>
        <w:rPr>
          <w:rStyle w:val="FootnoteReference"/>
        </w:rPr>
        <w:footnoteRef/>
      </w:r>
      <w:r>
        <w:t xml:space="preserve"> Guatemala's opening statement at the first substantive meeting, para. 3.8</w:t>
      </w:r>
      <w:r w:rsidR="00A258ED">
        <w:t xml:space="preserve"> (</w:t>
      </w:r>
      <w:r>
        <w:t>footnotes omitted</w:t>
      </w:r>
      <w:r w:rsidR="00A258ED">
        <w:t>)</w:t>
      </w:r>
      <w:r>
        <w:t>.</w:t>
      </w:r>
    </w:p>
  </w:footnote>
  <w:footnote w:id="83">
    <w:p w14:paraId="01B70808" w14:textId="62EAA1A8" w:rsidR="009F2B4B" w:rsidRPr="005B1E36" w:rsidRDefault="009F2B4B" w:rsidP="00E43AE5">
      <w:pPr>
        <w:pStyle w:val="FootnoteText"/>
        <w:rPr>
          <w:color w:val="000000" w:themeColor="text1"/>
        </w:rPr>
      </w:pPr>
      <w:r>
        <w:rPr>
          <w:rStyle w:val="FootnoteReference"/>
        </w:rPr>
        <w:footnoteRef/>
      </w:r>
      <w:r>
        <w:t xml:space="preserve"> </w:t>
      </w:r>
      <w:r w:rsidRPr="00DC19D6">
        <w:rPr>
          <w:color w:val="000000" w:themeColor="text1"/>
        </w:rPr>
        <w:t>Canada's third party submission, para</w:t>
      </w:r>
      <w:r>
        <w:rPr>
          <w:color w:val="000000" w:themeColor="text1"/>
        </w:rPr>
        <w:t>s</w:t>
      </w:r>
      <w:r w:rsidRPr="00DC19D6">
        <w:rPr>
          <w:color w:val="000000" w:themeColor="text1"/>
        </w:rPr>
        <w:t>. 7</w:t>
      </w:r>
      <w:r w:rsidRPr="004A321B">
        <w:rPr>
          <w:color w:val="000000" w:themeColor="text1"/>
        </w:rPr>
        <w:t>–</w:t>
      </w:r>
      <w:r w:rsidRPr="00DC19D6">
        <w:rPr>
          <w:color w:val="000000" w:themeColor="text1"/>
        </w:rPr>
        <w:t>12</w:t>
      </w:r>
      <w:r>
        <w:rPr>
          <w:color w:val="000000" w:themeColor="text1"/>
        </w:rPr>
        <w:t>;</w:t>
      </w:r>
      <w:r w:rsidRPr="00525B5F">
        <w:rPr>
          <w:color w:val="000000" w:themeColor="text1"/>
        </w:rPr>
        <w:t xml:space="preserve"> Canada's third party </w:t>
      </w:r>
      <w:r>
        <w:rPr>
          <w:color w:val="000000" w:themeColor="text1"/>
        </w:rPr>
        <w:t xml:space="preserve">oral </w:t>
      </w:r>
      <w:r w:rsidRPr="00525B5F">
        <w:rPr>
          <w:color w:val="000000" w:themeColor="text1"/>
        </w:rPr>
        <w:t>statement, para</w:t>
      </w:r>
      <w:r>
        <w:rPr>
          <w:color w:val="000000" w:themeColor="text1"/>
        </w:rPr>
        <w:t>s</w:t>
      </w:r>
      <w:r w:rsidRPr="00525B5F">
        <w:rPr>
          <w:color w:val="000000" w:themeColor="text1"/>
        </w:rPr>
        <w:t>. 3</w:t>
      </w:r>
      <w:r w:rsidRPr="004A321B">
        <w:rPr>
          <w:color w:val="000000" w:themeColor="text1"/>
        </w:rPr>
        <w:t>–</w:t>
      </w:r>
      <w:r w:rsidRPr="00525B5F">
        <w:rPr>
          <w:color w:val="000000" w:themeColor="text1"/>
        </w:rPr>
        <w:t xml:space="preserve">7; </w:t>
      </w:r>
      <w:r>
        <w:t xml:space="preserve">European Union's third party submission, para. 46; </w:t>
      </w:r>
      <w:r w:rsidRPr="00525B5F">
        <w:rPr>
          <w:color w:val="000000" w:themeColor="text1"/>
        </w:rPr>
        <w:t>Japan's third party</w:t>
      </w:r>
      <w:r>
        <w:rPr>
          <w:color w:val="000000" w:themeColor="text1"/>
        </w:rPr>
        <w:t xml:space="preserve"> oral</w:t>
      </w:r>
      <w:r w:rsidRPr="00525B5F">
        <w:rPr>
          <w:color w:val="000000" w:themeColor="text1"/>
        </w:rPr>
        <w:t xml:space="preserve"> statement, para</w:t>
      </w:r>
      <w:r>
        <w:rPr>
          <w:color w:val="000000" w:themeColor="text1"/>
        </w:rPr>
        <w:t>s</w:t>
      </w:r>
      <w:r w:rsidRPr="00525B5F">
        <w:rPr>
          <w:color w:val="000000" w:themeColor="text1"/>
        </w:rPr>
        <w:t>. 3</w:t>
      </w:r>
      <w:r w:rsidRPr="004A321B">
        <w:rPr>
          <w:color w:val="000000" w:themeColor="text1"/>
        </w:rPr>
        <w:t>–</w:t>
      </w:r>
      <w:r w:rsidRPr="00525B5F">
        <w:rPr>
          <w:color w:val="000000" w:themeColor="text1"/>
        </w:rPr>
        <w:t>6</w:t>
      </w:r>
      <w:r>
        <w:rPr>
          <w:color w:val="000000" w:themeColor="text1"/>
        </w:rPr>
        <w:t>;</w:t>
      </w:r>
      <w:r w:rsidRPr="00525B5F">
        <w:rPr>
          <w:color w:val="000000" w:themeColor="text1"/>
        </w:rPr>
        <w:t xml:space="preserve"> U</w:t>
      </w:r>
      <w:r>
        <w:rPr>
          <w:color w:val="000000" w:themeColor="text1"/>
        </w:rPr>
        <w:t>nited States'</w:t>
      </w:r>
      <w:r w:rsidRPr="00525B5F">
        <w:rPr>
          <w:color w:val="000000" w:themeColor="text1"/>
        </w:rPr>
        <w:t xml:space="preserve"> third part</w:t>
      </w:r>
      <w:r>
        <w:rPr>
          <w:color w:val="000000" w:themeColor="text1"/>
        </w:rPr>
        <w:t>y</w:t>
      </w:r>
      <w:r w:rsidRPr="00525B5F">
        <w:rPr>
          <w:color w:val="000000" w:themeColor="text1"/>
        </w:rPr>
        <w:t xml:space="preserve"> submission, para</w:t>
      </w:r>
      <w:r>
        <w:rPr>
          <w:color w:val="000000" w:themeColor="text1"/>
        </w:rPr>
        <w:t>.</w:t>
      </w:r>
      <w:r w:rsidRPr="00525B5F">
        <w:rPr>
          <w:color w:val="000000" w:themeColor="text1"/>
        </w:rPr>
        <w:t xml:space="preserve"> 22.</w:t>
      </w:r>
    </w:p>
  </w:footnote>
  <w:footnote w:id="84">
    <w:p w14:paraId="65BBCB9C" w14:textId="77777777" w:rsidR="009F2B4B" w:rsidRDefault="009F2B4B">
      <w:pPr>
        <w:pStyle w:val="FootnoteText"/>
      </w:pPr>
      <w:r>
        <w:rPr>
          <w:rStyle w:val="FootnoteReference"/>
        </w:rPr>
        <w:footnoteRef/>
      </w:r>
      <w:r>
        <w:t xml:space="preserve"> India's closing statement at the first substantive meeting, para. 27 (emphasis added).</w:t>
      </w:r>
    </w:p>
  </w:footnote>
  <w:footnote w:id="85">
    <w:p w14:paraId="707EFC0F" w14:textId="77777777" w:rsidR="009F2B4B" w:rsidRDefault="009F2B4B">
      <w:pPr>
        <w:pStyle w:val="FootnoteText"/>
      </w:pPr>
      <w:r>
        <w:rPr>
          <w:rStyle w:val="FootnoteReference"/>
        </w:rPr>
        <w:footnoteRef/>
      </w:r>
      <w:r>
        <w:t xml:space="preserve"> </w:t>
      </w:r>
      <w:r w:rsidRPr="00B202AC">
        <w:t>India's closing statement at the first substantive meeting, para. 27.</w:t>
      </w:r>
    </w:p>
  </w:footnote>
  <w:footnote w:id="86">
    <w:p w14:paraId="5298BADE" w14:textId="031C3A3A" w:rsidR="009F2B4B" w:rsidRDefault="009F2B4B" w:rsidP="00026779">
      <w:pPr>
        <w:pStyle w:val="FootnoteText"/>
      </w:pPr>
      <w:r>
        <w:rPr>
          <w:rStyle w:val="FootnoteReference"/>
        </w:rPr>
        <w:footnoteRef/>
      </w:r>
      <w:r>
        <w:t xml:space="preserve"> Oxford English Dictionary, OED Online, "both, pron., adv., and adj." (</w:t>
      </w:r>
      <w:r w:rsidRPr="00470B15">
        <w:rPr>
          <w:b/>
          <w:bCs/>
        </w:rPr>
        <w:t xml:space="preserve">Exhibit </w:t>
      </w:r>
      <w:r>
        <w:rPr>
          <w:b/>
          <w:bCs/>
        </w:rPr>
        <w:t>JE</w:t>
      </w:r>
      <w:r w:rsidRPr="0054656E">
        <w:rPr>
          <w:b/>
          <w:bCs/>
        </w:rPr>
        <w:t>-155</w:t>
      </w:r>
      <w:r>
        <w:t>).</w:t>
      </w:r>
    </w:p>
  </w:footnote>
  <w:footnote w:id="87">
    <w:p w14:paraId="1C820C4D" w14:textId="5E4B91ED" w:rsidR="009F2B4B" w:rsidRDefault="009F2B4B">
      <w:pPr>
        <w:pStyle w:val="FootnoteText"/>
      </w:pPr>
      <w:r>
        <w:rPr>
          <w:rStyle w:val="FootnoteReference"/>
        </w:rPr>
        <w:footnoteRef/>
      </w:r>
      <w:r>
        <w:t xml:space="preserve"> Subject to meeting the other requirement, criteria and conditions in Annex 2. </w:t>
      </w:r>
    </w:p>
  </w:footnote>
  <w:footnote w:id="88">
    <w:p w14:paraId="3F4832DE" w14:textId="6E629181" w:rsidR="009F2B4B" w:rsidRDefault="009F2B4B" w:rsidP="00F6081E">
      <w:pPr>
        <w:pStyle w:val="FootnoteText"/>
      </w:pPr>
      <w:r>
        <w:rPr>
          <w:rStyle w:val="FootnoteReference"/>
        </w:rPr>
        <w:footnoteRef/>
      </w:r>
      <w:r>
        <w:t xml:space="preserve"> In listing the "three broad groups of polic[i]es" that would form part of the AMS calculation, non-exempt direct payments and other non-exempt policies are identified as "including revenue foregone" or "including non-exempt revenue foregone", as well as "budgetary outlays". The description of market price support, by contrast, refers to neither budgetary outlays nor revenue foregone: Chairman’s note on options in the agricultural negotiations, MTN.GNG/AG/W/1/Add.4 (</w:t>
      </w:r>
      <w:r w:rsidRPr="00F056C0">
        <w:rPr>
          <w:b/>
          <w:bCs/>
        </w:rPr>
        <w:t>Exhibit JE-</w:t>
      </w:r>
      <w:r w:rsidRPr="0054656E">
        <w:rPr>
          <w:b/>
          <w:bCs/>
        </w:rPr>
        <w:t>156</w:t>
      </w:r>
      <w:r w:rsidRPr="0023436C">
        <w:t>),</w:t>
      </w:r>
      <w:r>
        <w:t xml:space="preserve"> paras. 3–6. </w:t>
      </w:r>
    </w:p>
  </w:footnote>
  <w:footnote w:id="89">
    <w:p w14:paraId="282BF65D" w14:textId="5DBE274F" w:rsidR="009F2B4B" w:rsidRDefault="009F2B4B">
      <w:pPr>
        <w:pStyle w:val="FootnoteText"/>
      </w:pPr>
      <w:r>
        <w:rPr>
          <w:rStyle w:val="FootnoteReference"/>
        </w:rPr>
        <w:footnoteRef/>
      </w:r>
      <w:r>
        <w:t xml:space="preserve"> Chairman’s note on options in the agricultural negotiations, MTN.GNG/AG/W/1/Add.4</w:t>
      </w:r>
      <w:r w:rsidRPr="0074455D">
        <w:t xml:space="preserve"> (</w:t>
      </w:r>
      <w:r w:rsidRPr="00842765">
        <w:rPr>
          <w:b/>
          <w:bCs/>
        </w:rPr>
        <w:t>Exhibit JE-</w:t>
      </w:r>
      <w:r w:rsidRPr="0054656E">
        <w:rPr>
          <w:b/>
          <w:bCs/>
        </w:rPr>
        <w:t>156</w:t>
      </w:r>
      <w:r w:rsidRPr="0074455D">
        <w:t xml:space="preserve">), para. </w:t>
      </w:r>
      <w:r>
        <w:t>4.</w:t>
      </w:r>
    </w:p>
  </w:footnote>
  <w:footnote w:id="90">
    <w:p w14:paraId="4845B462" w14:textId="77777777" w:rsidR="009F2B4B" w:rsidRDefault="009F2B4B">
      <w:pPr>
        <w:pStyle w:val="FootnoteText"/>
      </w:pPr>
      <w:r>
        <w:rPr>
          <w:rStyle w:val="FootnoteReference"/>
        </w:rPr>
        <w:footnoteRef/>
      </w:r>
      <w:r>
        <w:t xml:space="preserve"> </w:t>
      </w:r>
      <w:r w:rsidRPr="00EB1B1B">
        <w:t>India's closing statement at the first substantive meeting, para</w:t>
      </w:r>
      <w:r>
        <w:t>s. 13–14, 16 and 30.</w:t>
      </w:r>
    </w:p>
  </w:footnote>
  <w:footnote w:id="91">
    <w:p w14:paraId="3525F65C" w14:textId="77777777" w:rsidR="009F2B4B" w:rsidRDefault="009F2B4B">
      <w:pPr>
        <w:pStyle w:val="FootnoteText"/>
      </w:pPr>
      <w:r>
        <w:rPr>
          <w:rStyle w:val="FootnoteReference"/>
        </w:rPr>
        <w:footnoteRef/>
      </w:r>
      <w:r>
        <w:t xml:space="preserve"> India's closing statement at the first substantive meeting, para. 14.</w:t>
      </w:r>
    </w:p>
  </w:footnote>
  <w:footnote w:id="92">
    <w:p w14:paraId="0C68EA56" w14:textId="77777777" w:rsidR="009F2B4B" w:rsidRDefault="009F2B4B">
      <w:pPr>
        <w:pStyle w:val="FootnoteText"/>
      </w:pPr>
      <w:r>
        <w:rPr>
          <w:rStyle w:val="FootnoteReference"/>
        </w:rPr>
        <w:footnoteRef/>
      </w:r>
      <w:r>
        <w:t xml:space="preserve"> </w:t>
      </w:r>
      <w:r w:rsidRPr="00EB1B1B">
        <w:t>India's closing statement at the first substantive meeting, para. 14.</w:t>
      </w:r>
    </w:p>
  </w:footnote>
  <w:footnote w:id="93">
    <w:p w14:paraId="2FF2A096" w14:textId="77777777" w:rsidR="009F2B4B" w:rsidRDefault="009F2B4B">
      <w:pPr>
        <w:pStyle w:val="FootnoteText"/>
      </w:pPr>
      <w:r>
        <w:rPr>
          <w:rStyle w:val="FootnoteReference"/>
        </w:rPr>
        <w:footnoteRef/>
      </w:r>
      <w:r>
        <w:t xml:space="preserve"> </w:t>
      </w:r>
      <w:r w:rsidRPr="00EB1B1B">
        <w:t>India's closing statement at the first substantive meeting, para. 14</w:t>
      </w:r>
      <w:r>
        <w:t xml:space="preserve"> (emphasis original)</w:t>
      </w:r>
      <w:r w:rsidRPr="00EB1B1B">
        <w:t>.</w:t>
      </w:r>
    </w:p>
  </w:footnote>
  <w:footnote w:id="94">
    <w:p w14:paraId="0A076EF1" w14:textId="77777777" w:rsidR="009F2B4B" w:rsidRDefault="009F2B4B">
      <w:pPr>
        <w:pStyle w:val="FootnoteText"/>
      </w:pPr>
      <w:r>
        <w:rPr>
          <w:rStyle w:val="FootnoteReference"/>
        </w:rPr>
        <w:footnoteRef/>
      </w:r>
      <w:r>
        <w:t xml:space="preserve"> India's response to Panel question 48(b), p. 5.</w:t>
      </w:r>
    </w:p>
  </w:footnote>
  <w:footnote w:id="95">
    <w:p w14:paraId="5A37BBDC" w14:textId="5E5DA935" w:rsidR="009F2B4B" w:rsidRDefault="009F2B4B">
      <w:pPr>
        <w:pStyle w:val="FootnoteText"/>
      </w:pPr>
      <w:r>
        <w:rPr>
          <w:rStyle w:val="FootnoteReference"/>
        </w:rPr>
        <w:footnoteRef/>
      </w:r>
      <w:r>
        <w:t xml:space="preserve"> See paragraph </w:t>
      </w:r>
      <w:r>
        <w:fldChar w:fldCharType="begin"/>
      </w:r>
      <w:r>
        <w:instrText xml:space="preserve"> REF _Ref63241203 \w \h </w:instrText>
      </w:r>
      <w:r>
        <w:fldChar w:fldCharType="separate"/>
      </w:r>
      <w:r w:rsidR="00FF2871">
        <w:t>29</w:t>
      </w:r>
      <w:r>
        <w:fldChar w:fldCharType="end"/>
      </w:r>
      <w:r>
        <w:t xml:space="preserve"> above. </w:t>
      </w:r>
    </w:p>
  </w:footnote>
  <w:footnote w:id="96">
    <w:p w14:paraId="74B34AA4" w14:textId="60EB8264" w:rsidR="009F2B4B" w:rsidRDefault="009F2B4B">
      <w:pPr>
        <w:pStyle w:val="FootnoteText"/>
      </w:pPr>
      <w:r>
        <w:rPr>
          <w:rStyle w:val="FootnoteReference"/>
        </w:rPr>
        <w:footnoteRef/>
      </w:r>
      <w:r>
        <w:t xml:space="preserve"> See paragraph </w:t>
      </w:r>
      <w:r>
        <w:fldChar w:fldCharType="begin"/>
      </w:r>
      <w:r>
        <w:instrText xml:space="preserve"> REF _Ref63783409 \r \h </w:instrText>
      </w:r>
      <w:r>
        <w:fldChar w:fldCharType="separate"/>
      </w:r>
      <w:r w:rsidR="00FF2871">
        <w:t>33</w:t>
      </w:r>
      <w:r>
        <w:fldChar w:fldCharType="end"/>
      </w:r>
      <w:r>
        <w:t xml:space="preserve"> above.</w:t>
      </w:r>
    </w:p>
  </w:footnote>
  <w:footnote w:id="97">
    <w:p w14:paraId="272EDC7C" w14:textId="77777777" w:rsidR="009F2B4B" w:rsidRDefault="009F2B4B">
      <w:pPr>
        <w:pStyle w:val="FootnoteText"/>
      </w:pPr>
      <w:r>
        <w:rPr>
          <w:rStyle w:val="FootnoteReference"/>
        </w:rPr>
        <w:footnoteRef/>
      </w:r>
      <w:r>
        <w:t xml:space="preserve"> India's closing statement at the first substantive meeting, para. 31. </w:t>
      </w:r>
    </w:p>
  </w:footnote>
  <w:footnote w:id="98">
    <w:p w14:paraId="4BCD5AA9" w14:textId="77777777" w:rsidR="009F2B4B" w:rsidRDefault="009F2B4B">
      <w:pPr>
        <w:pStyle w:val="FootnoteText"/>
      </w:pPr>
      <w:r>
        <w:rPr>
          <w:rStyle w:val="FootnoteReference"/>
        </w:rPr>
        <w:footnoteRef/>
      </w:r>
      <w:r>
        <w:t xml:space="preserve"> </w:t>
      </w:r>
      <w:r w:rsidRPr="00CF4887">
        <w:t>India's closing statement at the first substantive meeting, para. 31.</w:t>
      </w:r>
    </w:p>
  </w:footnote>
  <w:footnote w:id="99">
    <w:p w14:paraId="201BE887" w14:textId="77777777" w:rsidR="009F2B4B" w:rsidRDefault="009F2B4B">
      <w:pPr>
        <w:pStyle w:val="FootnoteText"/>
      </w:pPr>
      <w:r>
        <w:rPr>
          <w:rStyle w:val="FootnoteReference"/>
        </w:rPr>
        <w:footnoteRef/>
      </w:r>
      <w:r>
        <w:t xml:space="preserve"> </w:t>
      </w:r>
      <w:r w:rsidRPr="001903AF">
        <w:t>India's response to Panel question 47, p. 4</w:t>
      </w:r>
      <w:r>
        <w:t xml:space="preserve"> (emphasis added)</w:t>
      </w:r>
      <w:r w:rsidRPr="001903AF">
        <w:t>.</w:t>
      </w:r>
      <w:r>
        <w:t xml:space="preserve"> </w:t>
      </w:r>
      <w:r w:rsidRPr="00672783">
        <w:rPr>
          <w:i/>
          <w:iCs/>
        </w:rPr>
        <w:t>See also</w:t>
      </w:r>
      <w:r>
        <w:t>, India's response to Panel question 18(c), p. 14.</w:t>
      </w:r>
    </w:p>
  </w:footnote>
  <w:footnote w:id="100">
    <w:p w14:paraId="69B4426E" w14:textId="77777777" w:rsidR="009F2B4B" w:rsidRDefault="009F2B4B">
      <w:pPr>
        <w:pStyle w:val="FootnoteText"/>
      </w:pPr>
      <w:r>
        <w:rPr>
          <w:rStyle w:val="FootnoteReference"/>
        </w:rPr>
        <w:footnoteRef/>
      </w:r>
      <w:r>
        <w:t xml:space="preserve"> </w:t>
      </w:r>
      <w:r w:rsidRPr="001903AF">
        <w:t>India's response to Panel question 47, p. 4.</w:t>
      </w:r>
    </w:p>
  </w:footnote>
  <w:footnote w:id="101">
    <w:p w14:paraId="4365696D" w14:textId="77777777" w:rsidR="009F2B4B" w:rsidRDefault="009F2B4B">
      <w:pPr>
        <w:pStyle w:val="FootnoteText"/>
      </w:pPr>
      <w:r>
        <w:rPr>
          <w:rStyle w:val="FootnoteReference"/>
        </w:rPr>
        <w:footnoteRef/>
      </w:r>
      <w:r>
        <w:t xml:space="preserve"> Emphasis added. </w:t>
      </w:r>
    </w:p>
  </w:footnote>
  <w:footnote w:id="102">
    <w:p w14:paraId="248A50EB" w14:textId="77777777" w:rsidR="009F2B4B" w:rsidRDefault="009F2B4B">
      <w:pPr>
        <w:pStyle w:val="FootnoteText"/>
      </w:pPr>
      <w:r>
        <w:rPr>
          <w:rStyle w:val="FootnoteReference"/>
        </w:rPr>
        <w:footnoteRef/>
      </w:r>
      <w:r>
        <w:t xml:space="preserve"> See Australia's first written submission, paras. 131–133. </w:t>
      </w:r>
    </w:p>
  </w:footnote>
  <w:footnote w:id="103">
    <w:p w14:paraId="694F046F" w14:textId="77777777" w:rsidR="009F2B4B" w:rsidRDefault="009F2B4B">
      <w:pPr>
        <w:pStyle w:val="FootnoteText"/>
      </w:pPr>
      <w:r>
        <w:rPr>
          <w:rStyle w:val="FootnoteReference"/>
        </w:rPr>
        <w:footnoteRef/>
      </w:r>
      <w:r>
        <w:t xml:space="preserve"> Australia's response to Panel question 47, para. 4.</w:t>
      </w:r>
    </w:p>
  </w:footnote>
  <w:footnote w:id="104">
    <w:p w14:paraId="176A17F4" w14:textId="77777777" w:rsidR="009F2B4B" w:rsidRDefault="009F2B4B">
      <w:pPr>
        <w:pStyle w:val="FootnoteText"/>
      </w:pPr>
      <w:r>
        <w:rPr>
          <w:rStyle w:val="FootnoteReference"/>
        </w:rPr>
        <w:footnoteRef/>
      </w:r>
      <w:r>
        <w:t xml:space="preserve"> India's first written submission, para. 67. </w:t>
      </w:r>
      <w:r w:rsidRPr="0005105C">
        <w:rPr>
          <w:i/>
          <w:iCs/>
        </w:rPr>
        <w:t>See also</w:t>
      </w:r>
      <w:r>
        <w:t xml:space="preserve">, </w:t>
      </w:r>
      <w:r w:rsidRPr="00CD4BBD">
        <w:t>India's closing statement at the first substantive meeting, para. 3</w:t>
      </w:r>
      <w:r>
        <w:t>6</w:t>
      </w:r>
      <w:r w:rsidRPr="00CD4BBD">
        <w:t>.</w:t>
      </w:r>
    </w:p>
  </w:footnote>
  <w:footnote w:id="105">
    <w:p w14:paraId="5C25A842" w14:textId="77777777" w:rsidR="009F2B4B" w:rsidRDefault="009F2B4B" w:rsidP="00B6759D">
      <w:pPr>
        <w:pStyle w:val="FootnoteText"/>
      </w:pPr>
      <w:r>
        <w:rPr>
          <w:rStyle w:val="FootnoteReference"/>
        </w:rPr>
        <w:footnoteRef/>
      </w:r>
      <w:r>
        <w:t xml:space="preserve"> India's first written submission, para. 67.</w:t>
      </w:r>
    </w:p>
  </w:footnote>
  <w:footnote w:id="106">
    <w:p w14:paraId="2BB4C3CB" w14:textId="77777777" w:rsidR="009F2B4B" w:rsidRDefault="009F2B4B" w:rsidP="00B6759D">
      <w:pPr>
        <w:pStyle w:val="FootnoteText"/>
      </w:pPr>
      <w:r>
        <w:rPr>
          <w:rStyle w:val="FootnoteReference"/>
        </w:rPr>
        <w:footnoteRef/>
      </w:r>
      <w:r>
        <w:t xml:space="preserve"> India's closing statement at the first substantive meeting, para. 35. </w:t>
      </w:r>
    </w:p>
  </w:footnote>
  <w:footnote w:id="107">
    <w:p w14:paraId="50C81817" w14:textId="77777777" w:rsidR="009F2B4B" w:rsidRDefault="009F2B4B" w:rsidP="00B6759D">
      <w:pPr>
        <w:pStyle w:val="FootnoteText"/>
      </w:pPr>
      <w:r>
        <w:rPr>
          <w:rStyle w:val="FootnoteReference"/>
        </w:rPr>
        <w:footnoteRef/>
      </w:r>
      <w:r>
        <w:t xml:space="preserve"> Understanding on Rules and Procedures Governing the Settlement of Disputes, Article 11.</w:t>
      </w:r>
    </w:p>
  </w:footnote>
  <w:footnote w:id="108">
    <w:p w14:paraId="2750FFED" w14:textId="35AF9385" w:rsidR="009F2B4B" w:rsidRDefault="009F2B4B" w:rsidP="00B6759D">
      <w:pPr>
        <w:pStyle w:val="FootnoteText"/>
      </w:pPr>
      <w:r>
        <w:rPr>
          <w:rStyle w:val="FootnoteReference"/>
        </w:rPr>
        <w:footnoteRef/>
      </w:r>
      <w:r>
        <w:t xml:space="preserve"> See Guatemala's opening statement at the first substantive meeting, para. 3.17.</w:t>
      </w:r>
    </w:p>
  </w:footnote>
  <w:footnote w:id="109">
    <w:p w14:paraId="6976EB35" w14:textId="77777777" w:rsidR="009F2B4B" w:rsidRDefault="009F2B4B" w:rsidP="00B6759D">
      <w:pPr>
        <w:pStyle w:val="FootnoteText"/>
      </w:pPr>
      <w:r>
        <w:rPr>
          <w:rStyle w:val="FootnoteReference"/>
        </w:rPr>
        <w:footnoteRef/>
      </w:r>
      <w:r>
        <w:t xml:space="preserve"> </w:t>
      </w:r>
      <w:bookmarkStart w:id="36" w:name="_Hlk63333734"/>
      <w:r>
        <w:t xml:space="preserve">Appellate Body Report, </w:t>
      </w:r>
      <w:bookmarkStart w:id="37" w:name="_Hlk63333726"/>
      <w:bookmarkEnd w:id="36"/>
      <w:r>
        <w:rPr>
          <w:i/>
          <w:iCs/>
        </w:rPr>
        <w:t>Japan – Alcoholic Beverages II</w:t>
      </w:r>
      <w:bookmarkEnd w:id="37"/>
      <w:r>
        <w:t xml:space="preserve">, p. 14. </w:t>
      </w:r>
    </w:p>
  </w:footnote>
  <w:footnote w:id="110">
    <w:p w14:paraId="122A2E5E" w14:textId="77777777" w:rsidR="009F2B4B" w:rsidRDefault="009F2B4B" w:rsidP="00B6759D">
      <w:pPr>
        <w:pStyle w:val="FootnoteText"/>
      </w:pPr>
      <w:r>
        <w:rPr>
          <w:rStyle w:val="FootnoteReference"/>
        </w:rPr>
        <w:footnoteRef/>
      </w:r>
      <w:r>
        <w:rPr>
          <w:rFonts w:cstheme="minorHAnsi"/>
          <w:szCs w:val="18"/>
        </w:rPr>
        <w:t xml:space="preserve"> </w:t>
      </w:r>
      <w:r w:rsidRPr="00A33037">
        <w:rPr>
          <w:rFonts w:cstheme="minorHAnsi"/>
          <w:szCs w:val="18"/>
        </w:rPr>
        <w:t xml:space="preserve">Panel Report, </w:t>
      </w:r>
      <w:r w:rsidRPr="00A33037">
        <w:rPr>
          <w:rFonts w:cstheme="minorHAnsi"/>
          <w:i/>
          <w:szCs w:val="18"/>
        </w:rPr>
        <w:t>China – Agricultural Producers</w:t>
      </w:r>
      <w:r w:rsidRPr="00A33037">
        <w:rPr>
          <w:rFonts w:cstheme="minorHAnsi"/>
          <w:szCs w:val="18"/>
        </w:rPr>
        <w:t>, para. 7.17</w:t>
      </w:r>
      <w:r>
        <w:rPr>
          <w:rFonts w:cstheme="minorHAnsi"/>
          <w:szCs w:val="18"/>
        </w:rPr>
        <w:t xml:space="preserve">7. </w:t>
      </w:r>
      <w:r w:rsidRPr="00250CDE">
        <w:rPr>
          <w:rFonts w:cstheme="minorHAnsi"/>
          <w:i/>
          <w:iCs/>
          <w:szCs w:val="18"/>
        </w:rPr>
        <w:t>See also</w:t>
      </w:r>
      <w:r>
        <w:rPr>
          <w:rFonts w:cstheme="minorHAnsi"/>
          <w:szCs w:val="18"/>
        </w:rPr>
        <w:t xml:space="preserve">, </w:t>
      </w:r>
      <w:r w:rsidRPr="00A33037">
        <w:rPr>
          <w:rFonts w:cstheme="minorHAnsi"/>
          <w:szCs w:val="18"/>
        </w:rPr>
        <w:t xml:space="preserve">Australia's </w:t>
      </w:r>
      <w:r>
        <w:rPr>
          <w:rFonts w:cstheme="minorHAnsi"/>
          <w:szCs w:val="18"/>
        </w:rPr>
        <w:t>f</w:t>
      </w:r>
      <w:r w:rsidRPr="00A33037">
        <w:rPr>
          <w:rFonts w:cstheme="minorHAnsi"/>
          <w:szCs w:val="18"/>
        </w:rPr>
        <w:t xml:space="preserve">irst </w:t>
      </w:r>
      <w:r>
        <w:rPr>
          <w:rFonts w:cstheme="minorHAnsi"/>
          <w:szCs w:val="18"/>
        </w:rPr>
        <w:t>w</w:t>
      </w:r>
      <w:r w:rsidRPr="00A33037">
        <w:rPr>
          <w:rFonts w:cstheme="minorHAnsi"/>
          <w:szCs w:val="18"/>
        </w:rPr>
        <w:t xml:space="preserve">ritten </w:t>
      </w:r>
      <w:r>
        <w:rPr>
          <w:rFonts w:cstheme="minorHAnsi"/>
          <w:szCs w:val="18"/>
        </w:rPr>
        <w:t>s</w:t>
      </w:r>
      <w:r w:rsidRPr="00A33037">
        <w:rPr>
          <w:rFonts w:cstheme="minorHAnsi"/>
          <w:szCs w:val="18"/>
        </w:rPr>
        <w:t>ubmission</w:t>
      </w:r>
      <w:r>
        <w:rPr>
          <w:rFonts w:cstheme="minorHAnsi"/>
          <w:szCs w:val="18"/>
        </w:rPr>
        <w:t>,</w:t>
      </w:r>
      <w:r w:rsidRPr="00A33037">
        <w:rPr>
          <w:rFonts w:cstheme="minorHAnsi"/>
          <w:szCs w:val="18"/>
        </w:rPr>
        <w:t xml:space="preserve"> para</w:t>
      </w:r>
      <w:r>
        <w:rPr>
          <w:rFonts w:cstheme="minorHAnsi"/>
          <w:szCs w:val="18"/>
        </w:rPr>
        <w:t>.</w:t>
      </w:r>
      <w:r w:rsidRPr="00A33037">
        <w:rPr>
          <w:rFonts w:cstheme="minorHAnsi"/>
          <w:szCs w:val="18"/>
        </w:rPr>
        <w:t xml:space="preserve"> 117</w:t>
      </w:r>
      <w:r>
        <w:rPr>
          <w:rFonts w:cstheme="minorHAnsi"/>
          <w:szCs w:val="18"/>
        </w:rPr>
        <w:t>.</w:t>
      </w:r>
    </w:p>
  </w:footnote>
  <w:footnote w:id="111">
    <w:p w14:paraId="77418504" w14:textId="77777777" w:rsidR="009F2B4B" w:rsidRDefault="009F2B4B" w:rsidP="00B6759D">
      <w:pPr>
        <w:pStyle w:val="FootnoteText"/>
      </w:pPr>
      <w:r>
        <w:rPr>
          <w:rStyle w:val="FootnoteReference"/>
        </w:rPr>
        <w:footnoteRef/>
      </w:r>
      <w:r>
        <w:t xml:space="preserve"> India's first written submission, para. 69.</w:t>
      </w:r>
    </w:p>
  </w:footnote>
  <w:footnote w:id="112">
    <w:p w14:paraId="2798E57D" w14:textId="77777777" w:rsidR="009F2B4B" w:rsidRDefault="009F2B4B" w:rsidP="00B6759D">
      <w:pPr>
        <w:pStyle w:val="FootnoteText"/>
      </w:pPr>
      <w:r>
        <w:rPr>
          <w:rStyle w:val="FootnoteReference"/>
        </w:rPr>
        <w:footnoteRef/>
      </w:r>
      <w:r>
        <w:t xml:space="preserve"> China's third party oral statement, para. 5;</w:t>
      </w:r>
      <w:r w:rsidRPr="00A33037">
        <w:rPr>
          <w:szCs w:val="18"/>
        </w:rPr>
        <w:t xml:space="preserve"> </w:t>
      </w:r>
      <w:r w:rsidRPr="00A33037">
        <w:rPr>
          <w:rFonts w:cstheme="minorHAnsi"/>
          <w:szCs w:val="18"/>
        </w:rPr>
        <w:t xml:space="preserve">Panel Report, </w:t>
      </w:r>
      <w:r w:rsidRPr="00A33037">
        <w:rPr>
          <w:rFonts w:cstheme="minorHAnsi"/>
          <w:i/>
          <w:szCs w:val="18"/>
        </w:rPr>
        <w:t>China – Agricultural Producers</w:t>
      </w:r>
      <w:r w:rsidRPr="00A33037">
        <w:rPr>
          <w:rFonts w:cstheme="minorHAnsi"/>
          <w:szCs w:val="18"/>
        </w:rPr>
        <w:t>, para.</w:t>
      </w:r>
      <w:r>
        <w:rPr>
          <w:rFonts w:cstheme="minorHAnsi"/>
          <w:szCs w:val="18"/>
        </w:rPr>
        <w:t> </w:t>
      </w:r>
      <w:r w:rsidRPr="00A33037">
        <w:rPr>
          <w:rFonts w:cstheme="minorHAnsi"/>
          <w:szCs w:val="18"/>
        </w:rPr>
        <w:t>7.177</w:t>
      </w:r>
      <w:r>
        <w:rPr>
          <w:rFonts w:cstheme="minorHAnsi"/>
          <w:szCs w:val="18"/>
        </w:rPr>
        <w:t>;</w:t>
      </w:r>
      <w:r w:rsidRPr="00A33037">
        <w:rPr>
          <w:rFonts w:cstheme="minorHAnsi"/>
          <w:szCs w:val="18"/>
        </w:rPr>
        <w:t xml:space="preserve"> Australia's </w:t>
      </w:r>
      <w:r>
        <w:rPr>
          <w:rFonts w:cstheme="minorHAnsi"/>
          <w:szCs w:val="18"/>
        </w:rPr>
        <w:t>f</w:t>
      </w:r>
      <w:r w:rsidRPr="00A33037">
        <w:rPr>
          <w:rFonts w:cstheme="minorHAnsi"/>
          <w:szCs w:val="18"/>
        </w:rPr>
        <w:t xml:space="preserve">irst </w:t>
      </w:r>
      <w:r>
        <w:rPr>
          <w:rFonts w:cstheme="minorHAnsi"/>
          <w:szCs w:val="18"/>
        </w:rPr>
        <w:t>w</w:t>
      </w:r>
      <w:r w:rsidRPr="00A33037">
        <w:rPr>
          <w:rFonts w:cstheme="minorHAnsi"/>
          <w:szCs w:val="18"/>
        </w:rPr>
        <w:t xml:space="preserve">ritten </w:t>
      </w:r>
      <w:r>
        <w:rPr>
          <w:rFonts w:cstheme="minorHAnsi"/>
          <w:szCs w:val="18"/>
        </w:rPr>
        <w:t>s</w:t>
      </w:r>
      <w:r w:rsidRPr="00A33037">
        <w:rPr>
          <w:rFonts w:cstheme="minorHAnsi"/>
          <w:szCs w:val="18"/>
        </w:rPr>
        <w:t>ubmission</w:t>
      </w:r>
      <w:r>
        <w:rPr>
          <w:rFonts w:cstheme="minorHAnsi"/>
          <w:szCs w:val="18"/>
        </w:rPr>
        <w:t>,</w:t>
      </w:r>
      <w:r w:rsidRPr="00A33037">
        <w:rPr>
          <w:rFonts w:cstheme="minorHAnsi"/>
          <w:szCs w:val="18"/>
        </w:rPr>
        <w:t xml:space="preserve"> para</w:t>
      </w:r>
      <w:r>
        <w:rPr>
          <w:rFonts w:cstheme="minorHAnsi"/>
          <w:szCs w:val="18"/>
        </w:rPr>
        <w:t>.</w:t>
      </w:r>
      <w:r w:rsidRPr="00A33037">
        <w:rPr>
          <w:rFonts w:cstheme="minorHAnsi"/>
          <w:szCs w:val="18"/>
        </w:rPr>
        <w:t xml:space="preserve"> 117.</w:t>
      </w:r>
      <w:r>
        <w:t xml:space="preserve"> </w:t>
      </w:r>
    </w:p>
  </w:footnote>
  <w:footnote w:id="113">
    <w:p w14:paraId="2FA8A9C7" w14:textId="77777777" w:rsidR="009F2B4B" w:rsidRPr="00BE5EC1" w:rsidRDefault="009F2B4B" w:rsidP="00B6759D">
      <w:pPr>
        <w:pStyle w:val="FootnoteText"/>
        <w:rPr>
          <w:rFonts w:ascii="Times New Roman" w:hAnsi="Times New Roman" w:cs="Times New Roman"/>
          <w:szCs w:val="18"/>
        </w:rPr>
      </w:pPr>
      <w:r>
        <w:rPr>
          <w:rStyle w:val="FootnoteReference"/>
        </w:rPr>
        <w:footnoteRef/>
      </w:r>
      <w:r>
        <w:rPr>
          <w:rFonts w:asciiTheme="minorHAnsi" w:hAnsiTheme="minorHAnsi" w:cs="Times New Roman"/>
          <w:szCs w:val="18"/>
        </w:rPr>
        <w:t xml:space="preserve"> </w:t>
      </w:r>
      <w:r w:rsidRPr="00BE5EC1">
        <w:rPr>
          <w:rFonts w:asciiTheme="minorHAnsi" w:hAnsiTheme="minorHAnsi" w:cs="Times New Roman"/>
          <w:szCs w:val="18"/>
        </w:rPr>
        <w:t>Vienna Convention on the Law of Treaties, Article 31.</w:t>
      </w:r>
      <w:r>
        <w:rPr>
          <w:rFonts w:asciiTheme="minorHAnsi" w:hAnsiTheme="minorHAnsi" w:cs="Times New Roman"/>
          <w:szCs w:val="18"/>
        </w:rPr>
        <w:t xml:space="preserve"> </w:t>
      </w:r>
    </w:p>
  </w:footnote>
  <w:footnote w:id="114">
    <w:p w14:paraId="74860810" w14:textId="77777777" w:rsidR="009F2B4B" w:rsidRDefault="009F2B4B" w:rsidP="00B6759D">
      <w:pPr>
        <w:pStyle w:val="FootnoteText"/>
      </w:pPr>
      <w:r>
        <w:rPr>
          <w:rStyle w:val="FootnoteReference"/>
        </w:rPr>
        <w:footnoteRef/>
      </w:r>
      <w:r>
        <w:t xml:space="preserve"> European Union's third party submission, para. 56.</w:t>
      </w:r>
    </w:p>
  </w:footnote>
  <w:footnote w:id="115">
    <w:p w14:paraId="54F046AC" w14:textId="77777777" w:rsidR="009F2B4B" w:rsidRDefault="009F2B4B">
      <w:pPr>
        <w:pStyle w:val="FootnoteText"/>
      </w:pPr>
      <w:r>
        <w:rPr>
          <w:rStyle w:val="FootnoteReference"/>
        </w:rPr>
        <w:footnoteRef/>
      </w:r>
      <w:r>
        <w:t xml:space="preserve"> See Guatemala's opening statement at the first substantive meeting, para. 3.17.</w:t>
      </w:r>
    </w:p>
  </w:footnote>
  <w:footnote w:id="116">
    <w:p w14:paraId="20D40DE0" w14:textId="77777777" w:rsidR="009F2B4B" w:rsidRDefault="009F2B4B" w:rsidP="00B6759D">
      <w:pPr>
        <w:pStyle w:val="FootnoteText"/>
      </w:pPr>
      <w:r>
        <w:rPr>
          <w:rStyle w:val="FootnoteReference"/>
        </w:rPr>
        <w:footnoteRef/>
      </w:r>
      <w:r>
        <w:t xml:space="preserve"> India's first written submission, para. 71.</w:t>
      </w:r>
    </w:p>
  </w:footnote>
  <w:footnote w:id="117">
    <w:p w14:paraId="0225189B" w14:textId="77777777" w:rsidR="009F2B4B" w:rsidRDefault="009F2B4B" w:rsidP="00B6759D">
      <w:pPr>
        <w:pStyle w:val="FootnoteText"/>
      </w:pPr>
      <w:r>
        <w:rPr>
          <w:rStyle w:val="FootnoteReference"/>
        </w:rPr>
        <w:footnoteRef/>
      </w:r>
      <w:r>
        <w:t xml:space="preserve"> </w:t>
      </w:r>
      <w:r w:rsidRPr="00A33037">
        <w:rPr>
          <w:rFonts w:cstheme="minorHAnsi"/>
          <w:szCs w:val="18"/>
        </w:rPr>
        <w:t xml:space="preserve">Panel Report, </w:t>
      </w:r>
      <w:r w:rsidRPr="00A33037">
        <w:rPr>
          <w:rFonts w:cstheme="minorHAnsi"/>
          <w:i/>
          <w:szCs w:val="18"/>
        </w:rPr>
        <w:t>China – Agricultural Producers</w:t>
      </w:r>
      <w:r w:rsidRPr="00A33037">
        <w:rPr>
          <w:rFonts w:cstheme="minorHAnsi"/>
          <w:szCs w:val="18"/>
        </w:rPr>
        <w:t>, para. 7.17</w:t>
      </w:r>
      <w:r>
        <w:rPr>
          <w:rFonts w:cstheme="minorHAnsi"/>
          <w:szCs w:val="18"/>
        </w:rPr>
        <w:t>7.</w:t>
      </w:r>
    </w:p>
  </w:footnote>
  <w:footnote w:id="118">
    <w:p w14:paraId="642D97B2" w14:textId="77777777" w:rsidR="009F2B4B" w:rsidRDefault="009F2B4B">
      <w:pPr>
        <w:pStyle w:val="FootnoteText"/>
      </w:pPr>
      <w:r>
        <w:rPr>
          <w:rStyle w:val="FootnoteReference"/>
        </w:rPr>
        <w:footnoteRef/>
      </w:r>
      <w:r>
        <w:t xml:space="preserve"> </w:t>
      </w:r>
      <w:r w:rsidRPr="008D478B">
        <w:t xml:space="preserve">Panel Report, </w:t>
      </w:r>
      <w:r w:rsidRPr="008D478B">
        <w:rPr>
          <w:i/>
          <w:iCs/>
        </w:rPr>
        <w:t>Korea – Various Measures on Beef</w:t>
      </w:r>
      <w:r w:rsidRPr="008D478B">
        <w:t>, para. 827.</w:t>
      </w:r>
    </w:p>
  </w:footnote>
  <w:footnote w:id="119">
    <w:p w14:paraId="44217A02" w14:textId="0F7E0256" w:rsidR="009F2B4B" w:rsidRDefault="009F2B4B">
      <w:pPr>
        <w:pStyle w:val="FootnoteText"/>
      </w:pPr>
      <w:r>
        <w:rPr>
          <w:rStyle w:val="FootnoteReference"/>
        </w:rPr>
        <w:footnoteRef/>
      </w:r>
      <w:r>
        <w:t xml:space="preserve"> India's first written submission, para. 74 (footnotes omitted). </w:t>
      </w:r>
    </w:p>
  </w:footnote>
  <w:footnote w:id="120">
    <w:p w14:paraId="5352703F" w14:textId="2BBB1528" w:rsidR="009F2B4B" w:rsidRDefault="009F2B4B">
      <w:pPr>
        <w:pStyle w:val="FootnoteText"/>
      </w:pPr>
      <w:r>
        <w:rPr>
          <w:rStyle w:val="FootnoteReference"/>
        </w:rPr>
        <w:footnoteRef/>
      </w:r>
      <w:r>
        <w:t xml:space="preserve"> </w:t>
      </w:r>
      <w:r w:rsidRPr="009B3A97">
        <w:t xml:space="preserve">Panel Report, </w:t>
      </w:r>
      <w:r w:rsidRPr="009B3A97">
        <w:rPr>
          <w:i/>
          <w:iCs/>
        </w:rPr>
        <w:t>Korea – Various Measures on Beef</w:t>
      </w:r>
      <w:r w:rsidRPr="009B3A97">
        <w:t>, para. 827.</w:t>
      </w:r>
      <w:r>
        <w:t xml:space="preserve"> </w:t>
      </w:r>
      <w:r w:rsidRPr="00842765">
        <w:rPr>
          <w:i/>
          <w:iCs/>
        </w:rPr>
        <w:t>See also</w:t>
      </w:r>
      <w:r>
        <w:t>, Chairman’s note on options in the agricultural negotiations, MTN.GNG/AG/W/1, 24 June 1991MTN.GNG/AG/W/1 (</w:t>
      </w:r>
      <w:r w:rsidRPr="00842765">
        <w:rPr>
          <w:b/>
          <w:bCs/>
        </w:rPr>
        <w:t>Exhibit JE-</w:t>
      </w:r>
      <w:r w:rsidRPr="0054656E">
        <w:rPr>
          <w:b/>
          <w:bCs/>
        </w:rPr>
        <w:t>154</w:t>
      </w:r>
      <w:r>
        <w:t>), p. 4, para. 18: "The AMS includes the effects of policies in three broad groups which are market price support, non-exempt direct payments and other non-exempt policies."</w:t>
      </w:r>
    </w:p>
  </w:footnote>
  <w:footnote w:id="121">
    <w:p w14:paraId="1CA912B5" w14:textId="77777777" w:rsidR="009F2B4B" w:rsidRDefault="009F2B4B">
      <w:pPr>
        <w:pStyle w:val="FootnoteText"/>
      </w:pPr>
      <w:r>
        <w:rPr>
          <w:rStyle w:val="FootnoteReference"/>
        </w:rPr>
        <w:footnoteRef/>
      </w:r>
      <w:r>
        <w:t xml:space="preserve"> See the European Union's third party submission, paras. 57–58. </w:t>
      </w:r>
    </w:p>
  </w:footnote>
  <w:footnote w:id="122">
    <w:p w14:paraId="1D3F59DC" w14:textId="77777777" w:rsidR="009F2B4B" w:rsidRDefault="009F2B4B" w:rsidP="00B6759D">
      <w:pPr>
        <w:pStyle w:val="FootnoteText"/>
      </w:pPr>
      <w:r>
        <w:rPr>
          <w:rStyle w:val="FootnoteReference"/>
        </w:rPr>
        <w:footnoteRef/>
      </w:r>
      <w:r>
        <w:t xml:space="preserve"> India's first written submission, para 76.</w:t>
      </w:r>
    </w:p>
  </w:footnote>
  <w:footnote w:id="123">
    <w:p w14:paraId="226717ED" w14:textId="77777777" w:rsidR="009F2B4B" w:rsidRDefault="009F2B4B" w:rsidP="00B6759D">
      <w:pPr>
        <w:pStyle w:val="FootnoteText"/>
      </w:pPr>
      <w:r>
        <w:rPr>
          <w:rStyle w:val="FootnoteReference"/>
        </w:rPr>
        <w:footnoteRef/>
      </w:r>
      <w:r>
        <w:t xml:space="preserve"> Panel Repor</w:t>
      </w:r>
      <w:r w:rsidRPr="00BE5EC1">
        <w:rPr>
          <w:rFonts w:asciiTheme="minorHAnsi" w:hAnsiTheme="minorHAnsi"/>
        </w:rPr>
        <w:t>t,</w:t>
      </w:r>
      <w:r w:rsidRPr="00BE5EC1">
        <w:rPr>
          <w:rFonts w:asciiTheme="minorHAnsi" w:hAnsiTheme="minorHAnsi" w:cs="Times New Roman"/>
          <w:szCs w:val="18"/>
        </w:rPr>
        <w:t xml:space="preserve"> </w:t>
      </w:r>
      <w:r w:rsidRPr="00BE5EC1">
        <w:rPr>
          <w:rFonts w:asciiTheme="minorHAnsi" w:hAnsiTheme="minorHAnsi" w:cs="Times New Roman"/>
          <w:i/>
          <w:szCs w:val="18"/>
          <w:lang w:val="en-US"/>
        </w:rPr>
        <w:t>Korea – Various Measures on Beef</w:t>
      </w:r>
      <w:r>
        <w:t>, para 827.</w:t>
      </w:r>
    </w:p>
  </w:footnote>
  <w:footnote w:id="124">
    <w:p w14:paraId="680DB21E" w14:textId="77777777" w:rsidR="009F2B4B" w:rsidRDefault="009F2B4B" w:rsidP="00B6759D">
      <w:pPr>
        <w:pStyle w:val="FootnoteText"/>
      </w:pPr>
      <w:r>
        <w:rPr>
          <w:rStyle w:val="FootnoteReference"/>
        </w:rPr>
        <w:footnoteRef/>
      </w:r>
      <w:r>
        <w:t xml:space="preserve"> </w:t>
      </w:r>
      <w:r w:rsidRPr="00DC19D6">
        <w:t>E</w:t>
      </w:r>
      <w:r>
        <w:t xml:space="preserve">uropean </w:t>
      </w:r>
      <w:r w:rsidRPr="00DC19D6">
        <w:t>U</w:t>
      </w:r>
      <w:r>
        <w:t>nion</w:t>
      </w:r>
      <w:r w:rsidRPr="00DC19D6">
        <w:t xml:space="preserve">'s </w:t>
      </w:r>
      <w:r>
        <w:t xml:space="preserve">third party submission, para. 55; </w:t>
      </w:r>
      <w:r w:rsidRPr="00DC19D6">
        <w:t xml:space="preserve">European Union's third party </w:t>
      </w:r>
      <w:r>
        <w:t xml:space="preserve">oral </w:t>
      </w:r>
      <w:r w:rsidRPr="00DC19D6">
        <w:t>statement, para. 1</w:t>
      </w:r>
      <w:r>
        <w:t>2.</w:t>
      </w:r>
    </w:p>
  </w:footnote>
  <w:footnote w:id="125">
    <w:p w14:paraId="4BB1BC9E" w14:textId="1B18E9A0" w:rsidR="009F2B4B" w:rsidRDefault="009F2B4B" w:rsidP="009D14F3">
      <w:pPr>
        <w:pStyle w:val="FootnoteText"/>
      </w:pPr>
      <w:r>
        <w:rPr>
          <w:rStyle w:val="FootnoteReference"/>
        </w:rPr>
        <w:footnoteRef/>
      </w:r>
      <w:r>
        <w:t xml:space="preserve"> </w:t>
      </w:r>
      <w:r w:rsidR="00E03C85" w:rsidRPr="00E03C85">
        <w:t>Agreement on Agriculture, Article 21.1</w:t>
      </w:r>
      <w:r w:rsidR="00E03C85">
        <w:t xml:space="preserve">; </w:t>
      </w:r>
      <w:r>
        <w:t>Australia’s first written submission, paras. 210</w:t>
      </w:r>
      <w:r>
        <w:softHyphen/>
        <w:t>–216.</w:t>
      </w:r>
    </w:p>
  </w:footnote>
  <w:footnote w:id="126">
    <w:p w14:paraId="7C9DC5F9" w14:textId="5B382ED0" w:rsidR="009F2B4B" w:rsidRDefault="009F2B4B" w:rsidP="009D14F3">
      <w:pPr>
        <w:pStyle w:val="FootnoteText"/>
      </w:pPr>
      <w:r>
        <w:rPr>
          <w:rStyle w:val="FootnoteReference"/>
        </w:rPr>
        <w:footnoteRef/>
      </w:r>
      <w:r w:rsidR="00E03C85">
        <w:t xml:space="preserve"> </w:t>
      </w:r>
      <w:r>
        <w:t>India's first written submission, paras. 91–92.</w:t>
      </w:r>
    </w:p>
  </w:footnote>
  <w:footnote w:id="127">
    <w:p w14:paraId="4BC0D3B9" w14:textId="77777777" w:rsidR="009F2B4B" w:rsidRDefault="009F2B4B" w:rsidP="009D14F3">
      <w:pPr>
        <w:pStyle w:val="FootnoteText"/>
      </w:pPr>
      <w:r>
        <w:rPr>
          <w:rStyle w:val="FootnoteReference"/>
        </w:rPr>
        <w:footnoteRef/>
      </w:r>
      <w:r>
        <w:t xml:space="preserve"> See Agreement on Agriculture, Articles 3.1 and 8; Australia’s first written submission, paras. 236–239.</w:t>
      </w:r>
    </w:p>
  </w:footnote>
  <w:footnote w:id="128">
    <w:p w14:paraId="3F873A32" w14:textId="77777777" w:rsidR="009F2B4B" w:rsidRPr="00CE0952" w:rsidRDefault="009F2B4B" w:rsidP="009D14F3">
      <w:pPr>
        <w:pStyle w:val="FootnoteText"/>
      </w:pPr>
      <w:r>
        <w:rPr>
          <w:rStyle w:val="FootnoteReference"/>
        </w:rPr>
        <w:footnoteRef/>
      </w:r>
      <w:r>
        <w:t xml:space="preserve"> See Agreement on Agriculture, Article 3.3; Australia’s first written submission, para. 242; Appellate Body Report, </w:t>
      </w:r>
      <w:r>
        <w:rPr>
          <w:i/>
        </w:rPr>
        <w:t>US – FSC</w:t>
      </w:r>
      <w:r>
        <w:t xml:space="preserve">, paras. 145 –146. </w:t>
      </w:r>
    </w:p>
  </w:footnote>
  <w:footnote w:id="129">
    <w:p w14:paraId="41D06FC6" w14:textId="77777777" w:rsidR="009F2B4B" w:rsidRDefault="009F2B4B" w:rsidP="009D14F3">
      <w:pPr>
        <w:pStyle w:val="FootnoteText"/>
      </w:pPr>
      <w:r>
        <w:rPr>
          <w:rStyle w:val="FootnoteReference"/>
        </w:rPr>
        <w:footnoteRef/>
      </w:r>
      <w:r>
        <w:t xml:space="preserve"> See Agreement on Agriculture, Article 10.1; Australia’s first written submission, para. 246.</w:t>
      </w:r>
    </w:p>
  </w:footnote>
  <w:footnote w:id="130">
    <w:p w14:paraId="745CD013" w14:textId="2EB8B4F8" w:rsidR="009F2B4B" w:rsidRDefault="009F2B4B" w:rsidP="009D14F3">
      <w:pPr>
        <w:pStyle w:val="FootnoteText"/>
      </w:pPr>
      <w:r>
        <w:rPr>
          <w:rStyle w:val="FootnoteReference"/>
        </w:rPr>
        <w:footnoteRef/>
      </w:r>
      <w:r>
        <w:t xml:space="preserve"> India's response to Panel question 38, pp. 25–26. </w:t>
      </w:r>
    </w:p>
  </w:footnote>
  <w:footnote w:id="131">
    <w:p w14:paraId="27A75E3E" w14:textId="77777777" w:rsidR="009F2B4B" w:rsidRDefault="009F2B4B" w:rsidP="009D14F3">
      <w:pPr>
        <w:pStyle w:val="FootnoteText"/>
      </w:pPr>
      <w:r>
        <w:rPr>
          <w:rStyle w:val="FootnoteReference"/>
        </w:rPr>
        <w:footnoteRef/>
      </w:r>
      <w:r>
        <w:t xml:space="preserve"> Agreement on Agriculture, Article 1(e).</w:t>
      </w:r>
    </w:p>
  </w:footnote>
  <w:footnote w:id="132">
    <w:p w14:paraId="5AD73562" w14:textId="77777777" w:rsidR="009F2B4B" w:rsidRDefault="009F2B4B" w:rsidP="009D14F3">
      <w:pPr>
        <w:pStyle w:val="FootnoteText"/>
      </w:pPr>
      <w:r>
        <w:rPr>
          <w:rStyle w:val="FootnoteReference"/>
        </w:rPr>
        <w:footnoteRef/>
      </w:r>
      <w:r>
        <w:t xml:space="preserve"> Australia's first written submission, paras. 261–272.</w:t>
      </w:r>
    </w:p>
  </w:footnote>
  <w:footnote w:id="133">
    <w:p w14:paraId="0D27C7AC" w14:textId="77777777" w:rsidR="009F2B4B" w:rsidRDefault="009F2B4B" w:rsidP="009D14F3">
      <w:pPr>
        <w:pStyle w:val="FootnoteText"/>
      </w:pPr>
      <w:r>
        <w:rPr>
          <w:rStyle w:val="FootnoteReference"/>
        </w:rPr>
        <w:footnoteRef/>
      </w:r>
      <w:r>
        <w:t xml:space="preserve"> Australia's first written submission, paras. 258–260. </w:t>
      </w:r>
    </w:p>
  </w:footnote>
  <w:footnote w:id="134">
    <w:p w14:paraId="4A23C782" w14:textId="77777777" w:rsidR="009F2B4B" w:rsidRDefault="009F2B4B" w:rsidP="009D14F3">
      <w:pPr>
        <w:pStyle w:val="FootnoteText"/>
      </w:pPr>
      <w:r>
        <w:rPr>
          <w:rStyle w:val="FootnoteReference"/>
        </w:rPr>
        <w:footnoteRef/>
      </w:r>
      <w:r>
        <w:t xml:space="preserve"> Australia's first written submission, paras. 273–275.</w:t>
      </w:r>
    </w:p>
  </w:footnote>
  <w:footnote w:id="135">
    <w:p w14:paraId="59A99EA4" w14:textId="77777777" w:rsidR="009F2B4B" w:rsidRDefault="009F2B4B" w:rsidP="009D14F3">
      <w:pPr>
        <w:pStyle w:val="FootnoteText"/>
      </w:pPr>
      <w:r>
        <w:rPr>
          <w:rStyle w:val="FootnoteReference"/>
        </w:rPr>
        <w:footnoteRef/>
      </w:r>
      <w:r>
        <w:t xml:space="preserve"> Australia's first written submission, paras. 276–284.</w:t>
      </w:r>
    </w:p>
  </w:footnote>
  <w:footnote w:id="136">
    <w:p w14:paraId="5B37E04E" w14:textId="77777777" w:rsidR="009F2B4B" w:rsidRDefault="009F2B4B" w:rsidP="009D14F3">
      <w:pPr>
        <w:pStyle w:val="FootnoteText"/>
      </w:pPr>
      <w:r>
        <w:rPr>
          <w:rStyle w:val="FootnoteReference"/>
        </w:rPr>
        <w:footnoteRef/>
      </w:r>
      <w:r>
        <w:t xml:space="preserve"> India has not contested Australia's assertion that sugar mills are the recipients of India's production and buffer stock and MAEQ scheme subsidies (Australia's response to Panel question 55, paras. 26–33). India has merely asserted that this fact is for Australia to establish (India's response to Panel question 55, p. 9). In the absence of any evidence or argument to the contrary, Australia submits that the Panel should accept Australia's assertion.</w:t>
      </w:r>
    </w:p>
  </w:footnote>
  <w:footnote w:id="137">
    <w:p w14:paraId="1FBB95AE" w14:textId="40E3E0C3" w:rsidR="009F2B4B" w:rsidRDefault="009F2B4B">
      <w:pPr>
        <w:pStyle w:val="FootnoteText"/>
      </w:pPr>
      <w:r>
        <w:rPr>
          <w:rStyle w:val="FootnoteReference"/>
        </w:rPr>
        <w:footnoteRef/>
      </w:r>
      <w:r>
        <w:t xml:space="preserve"> Australia's first written submission, paras. 291–294.</w:t>
      </w:r>
    </w:p>
  </w:footnote>
  <w:footnote w:id="138">
    <w:p w14:paraId="24323532" w14:textId="59B7A20D" w:rsidR="009F2B4B" w:rsidRDefault="009F2B4B">
      <w:pPr>
        <w:pStyle w:val="FootnoteText"/>
      </w:pPr>
      <w:r>
        <w:rPr>
          <w:rStyle w:val="FootnoteReference"/>
        </w:rPr>
        <w:footnoteRef/>
      </w:r>
      <w:r>
        <w:t xml:space="preserve"> Australia's first written submission, paras. 307–308. </w:t>
      </w:r>
    </w:p>
  </w:footnote>
  <w:footnote w:id="139">
    <w:p w14:paraId="6240BBF3" w14:textId="0FB095DB" w:rsidR="009F2B4B" w:rsidRDefault="009F2B4B">
      <w:pPr>
        <w:pStyle w:val="FootnoteText"/>
      </w:pPr>
      <w:r>
        <w:rPr>
          <w:rStyle w:val="FootnoteReference"/>
        </w:rPr>
        <w:footnoteRef/>
      </w:r>
      <w:r>
        <w:t xml:space="preserve"> Australia's first written submission, paras. 345–346. </w:t>
      </w:r>
    </w:p>
  </w:footnote>
  <w:footnote w:id="140">
    <w:p w14:paraId="5C2D8415" w14:textId="3EA88F4C" w:rsidR="009F2B4B" w:rsidRDefault="009F2B4B">
      <w:pPr>
        <w:pStyle w:val="FootnoteText"/>
      </w:pPr>
      <w:r>
        <w:rPr>
          <w:rStyle w:val="FootnoteReference"/>
        </w:rPr>
        <w:footnoteRef/>
      </w:r>
      <w:r>
        <w:t xml:space="preserve"> Australia's first written submission, 354–361.</w:t>
      </w:r>
    </w:p>
  </w:footnote>
  <w:footnote w:id="141">
    <w:p w14:paraId="429640A1" w14:textId="1134007A" w:rsidR="009F2B4B" w:rsidRDefault="009F2B4B">
      <w:pPr>
        <w:pStyle w:val="FootnoteText"/>
      </w:pPr>
      <w:r>
        <w:rPr>
          <w:rStyle w:val="FootnoteReference"/>
        </w:rPr>
        <w:footnoteRef/>
      </w:r>
      <w:r>
        <w:t xml:space="preserve"> Australia's first written submission, paras. 291–294, 307–308, 345–346 and 354–361.  </w:t>
      </w:r>
    </w:p>
  </w:footnote>
  <w:footnote w:id="142">
    <w:p w14:paraId="30FB7FE4" w14:textId="601C39FD" w:rsidR="009F2B4B" w:rsidRDefault="009F2B4B">
      <w:pPr>
        <w:pStyle w:val="FootnoteText"/>
      </w:pPr>
      <w:r>
        <w:rPr>
          <w:rStyle w:val="FootnoteReference"/>
        </w:rPr>
        <w:footnoteRef/>
      </w:r>
      <w:r>
        <w:t xml:space="preserve"> Australia's first written submission, paras. 295–296, 309, 347 and 362.</w:t>
      </w:r>
    </w:p>
  </w:footnote>
  <w:footnote w:id="143">
    <w:p w14:paraId="16E3B015" w14:textId="4323DB11" w:rsidR="009F2B4B" w:rsidRDefault="009F2B4B" w:rsidP="009D14F3">
      <w:pPr>
        <w:pStyle w:val="FootnoteText"/>
      </w:pPr>
      <w:r>
        <w:rPr>
          <w:rStyle w:val="FootnoteReference"/>
        </w:rPr>
        <w:footnoteRef/>
      </w:r>
      <w:r>
        <w:t xml:space="preserve"> Australia's first written submission, paras. 297–304, 310–342, 348–351 and 363–365; Australia's response to Panel question 8, paras. 17–19.  India argues that its production and buffer stock subsidies "do not contain any requirement to export"</w:t>
      </w:r>
      <w:r w:rsidR="00ED4CAC">
        <w:t>:</w:t>
      </w:r>
      <w:r>
        <w:t xml:space="preserve"> India's response to Panel question 32(b), p. 22.  Australia has rebutted this assertion comprehensively</w:t>
      </w:r>
      <w:r w:rsidR="00ED4CAC">
        <w:t>:</w:t>
      </w:r>
      <w:r>
        <w:t xml:space="preserve"> see Australia's opening statement at the first substantive meeting, paras. 57–67.  In the absence of any evidence or argument to the contrary, Australia submits that the Panel should accept Australia's explanation of the relevant facts underpinning the production and buffer stock subsidies' export contingency.   </w:t>
      </w:r>
    </w:p>
  </w:footnote>
  <w:footnote w:id="144">
    <w:p w14:paraId="36F81D39" w14:textId="77777777" w:rsidR="00ED4CAC" w:rsidRDefault="00ED4CAC" w:rsidP="00ED4CAC">
      <w:pPr>
        <w:pStyle w:val="FootnoteText"/>
      </w:pPr>
      <w:r>
        <w:rPr>
          <w:rStyle w:val="FootnoteReference"/>
        </w:rPr>
        <w:footnoteRef/>
      </w:r>
      <w:r>
        <w:t xml:space="preserve"> India's response to Panel question 29, p. 21.</w:t>
      </w:r>
    </w:p>
  </w:footnote>
  <w:footnote w:id="145">
    <w:p w14:paraId="2DE8A986" w14:textId="5197E3B5" w:rsidR="009F2B4B" w:rsidRDefault="009F2B4B" w:rsidP="009D14F3">
      <w:pPr>
        <w:pStyle w:val="FootnoteText"/>
      </w:pPr>
      <w:r>
        <w:rPr>
          <w:rStyle w:val="FootnoteReference"/>
        </w:rPr>
        <w:footnoteRef/>
      </w:r>
      <w:r>
        <w:t xml:space="preserve"> Australia's first written submission, para. 256; India's first written submission, para. 100; India's response to Panel question 54(a), p. 9.  India has declined to engage directly with the Panel's questions regarding "overlap" between the categories of subsidy recipients under Article 9.1(a). Although sugar mills are capable of satisfying many of the recipient types identified in Article 9.1(a), Australia does not consider it necessary for the Panel to determine which term best describes India's sugar mills, who are the recipients of India's export subsidies: Australia's response to Panel question 54(a)–(b), paras. 24–25 and question 55, paras. 26–33. </w:t>
      </w:r>
    </w:p>
  </w:footnote>
  <w:footnote w:id="146">
    <w:p w14:paraId="51BC36F8" w14:textId="77777777" w:rsidR="009F2B4B" w:rsidRDefault="009F2B4B" w:rsidP="009D14F3">
      <w:pPr>
        <w:pStyle w:val="FootnoteText"/>
      </w:pPr>
      <w:r>
        <w:rPr>
          <w:rStyle w:val="FootnoteReference"/>
        </w:rPr>
        <w:footnoteRef/>
      </w:r>
      <w:r>
        <w:t xml:space="preserve"> Australia’s first written submission, para. 266; India’s first written submission, paras. 93–96.</w:t>
      </w:r>
    </w:p>
  </w:footnote>
  <w:footnote w:id="147">
    <w:p w14:paraId="3C95B843" w14:textId="77777777" w:rsidR="009F2B4B" w:rsidRDefault="009F2B4B" w:rsidP="009D14F3">
      <w:pPr>
        <w:pStyle w:val="FootnoteText"/>
      </w:pPr>
      <w:r>
        <w:rPr>
          <w:rStyle w:val="FootnoteReference"/>
        </w:rPr>
        <w:footnoteRef/>
      </w:r>
      <w:r>
        <w:t xml:space="preserve"> India's first written submission, para. 107 (emphasis original).</w:t>
      </w:r>
    </w:p>
  </w:footnote>
  <w:footnote w:id="148">
    <w:p w14:paraId="56CAB8F5" w14:textId="77777777" w:rsidR="009F2B4B" w:rsidRDefault="009F2B4B" w:rsidP="009D14F3">
      <w:pPr>
        <w:pStyle w:val="FootnoteText"/>
      </w:pPr>
      <w:r>
        <w:rPr>
          <w:rStyle w:val="FootnoteReference"/>
        </w:rPr>
        <w:footnoteRef/>
      </w:r>
      <w:r>
        <w:t xml:space="preserve"> India's first written submission, paras. 107–109; India's response to Panel question 39, p. 26; India's opening statement at the first substantive meeting, para. 13.</w:t>
      </w:r>
    </w:p>
  </w:footnote>
  <w:footnote w:id="149">
    <w:p w14:paraId="3A2667F2" w14:textId="77777777" w:rsidR="009F2B4B" w:rsidRDefault="009F2B4B" w:rsidP="009D14F3">
      <w:pPr>
        <w:pStyle w:val="FootnoteText"/>
      </w:pPr>
      <w:r>
        <w:rPr>
          <w:rStyle w:val="FootnoteReference"/>
        </w:rPr>
        <w:footnoteRef/>
      </w:r>
      <w:r>
        <w:t xml:space="preserve"> India's first written submission, paras. 107–109; India's response to Panel question 39, p. 26; India's opening statement at the first substantive meeting, para. 13.</w:t>
      </w:r>
    </w:p>
  </w:footnote>
  <w:footnote w:id="150">
    <w:p w14:paraId="6E6E79B1" w14:textId="77777777" w:rsidR="009F2B4B" w:rsidRDefault="009F2B4B" w:rsidP="009D14F3">
      <w:pPr>
        <w:pStyle w:val="FootnoteText"/>
      </w:pPr>
      <w:r>
        <w:rPr>
          <w:rStyle w:val="FootnoteReference"/>
        </w:rPr>
        <w:footnoteRef/>
      </w:r>
      <w:r>
        <w:t xml:space="preserve"> India's first written submission, paras. 107–109; India's response to Panel question 39, p. 26; India's opening statement at the first substantive meeting, para. 13.</w:t>
      </w:r>
    </w:p>
  </w:footnote>
  <w:footnote w:id="151">
    <w:p w14:paraId="1F3F5FC8" w14:textId="767A5445" w:rsidR="009F2B4B" w:rsidRDefault="009F2B4B" w:rsidP="009D14F3">
      <w:pPr>
        <w:pStyle w:val="FootnoteText"/>
      </w:pPr>
      <w:r>
        <w:rPr>
          <w:rStyle w:val="FootnoteReference"/>
        </w:rPr>
        <w:footnoteRef/>
      </w:r>
      <w:r>
        <w:t xml:space="preserve"> Oxford English Dictionary, OED Online, </w:t>
      </w:r>
      <w:r w:rsidR="007A655B">
        <w:t>"</w:t>
      </w:r>
      <w:r>
        <w:t>provide, v.</w:t>
      </w:r>
      <w:r w:rsidR="007A655B">
        <w:t>"</w:t>
      </w:r>
      <w:r>
        <w:t xml:space="preserve">, available at: https://www.oed.com/view, last viewed 25 November 2020 </w:t>
      </w:r>
      <w:r w:rsidRPr="00C446BB">
        <w:rPr>
          <w:bCs/>
        </w:rPr>
        <w:t>(</w:t>
      </w:r>
      <w:r>
        <w:rPr>
          <w:b/>
        </w:rPr>
        <w:t>Exhibit BRA-3</w:t>
      </w:r>
      <w:r w:rsidRPr="00C446BB">
        <w:rPr>
          <w:bCs/>
        </w:rPr>
        <w:t>)</w:t>
      </w:r>
      <w:r>
        <w:rPr>
          <w:bCs/>
        </w:rPr>
        <w:t xml:space="preserve">. The Appellate Body has accepted both government conduct by which financial resources are "made available" to a recipient, and a measure under which some disbursements are yet to be made, as comprising direct transfers of funds: </w:t>
      </w:r>
      <w:r>
        <w:t xml:space="preserve">Appellate Body Report, </w:t>
      </w:r>
      <w:r w:rsidRPr="008A12FC">
        <w:rPr>
          <w:i/>
        </w:rPr>
        <w:t>US – Large Civil Aircraft (2nd complaint)</w:t>
      </w:r>
      <w:r>
        <w:t>, para. 614; Panel Report</w:t>
      </w:r>
      <w:r w:rsidRPr="008A12FC">
        <w:rPr>
          <w:i/>
        </w:rPr>
        <w:t>, EC and certain member States – Large Civil Aircraft (Article 21.5 – US)</w:t>
      </w:r>
      <w:r>
        <w:t>, para. 6.290. See also Australia's response to Panel question 59, para. 77.</w:t>
      </w:r>
    </w:p>
  </w:footnote>
  <w:footnote w:id="152">
    <w:p w14:paraId="5D4A4576" w14:textId="77777777" w:rsidR="009F2B4B" w:rsidRDefault="009F2B4B" w:rsidP="009D14F3">
      <w:pPr>
        <w:pStyle w:val="FootnoteText"/>
      </w:pPr>
      <w:r>
        <w:rPr>
          <w:rStyle w:val="FootnoteReference"/>
        </w:rPr>
        <w:footnoteRef/>
      </w:r>
      <w:r>
        <w:t xml:space="preserve"> Brazil's opening statement at the first substantive meeting, para. 41.</w:t>
      </w:r>
    </w:p>
  </w:footnote>
  <w:footnote w:id="153">
    <w:p w14:paraId="0557967D" w14:textId="77777777" w:rsidR="009F2B4B" w:rsidRDefault="009F2B4B" w:rsidP="009D14F3">
      <w:pPr>
        <w:pStyle w:val="FootnoteText"/>
      </w:pPr>
      <w:r>
        <w:rPr>
          <w:rStyle w:val="FootnoteReference"/>
        </w:rPr>
        <w:footnoteRef/>
      </w:r>
      <w:r>
        <w:t xml:space="preserve"> Article 9.2(a)(i) (emphasis added).</w:t>
      </w:r>
    </w:p>
  </w:footnote>
  <w:footnote w:id="154">
    <w:p w14:paraId="0C34EBFE" w14:textId="77777777" w:rsidR="009F2B4B" w:rsidRDefault="009F2B4B" w:rsidP="009D14F3">
      <w:pPr>
        <w:pStyle w:val="FootnoteText"/>
      </w:pPr>
      <w:r>
        <w:rPr>
          <w:rStyle w:val="FootnoteReference"/>
        </w:rPr>
        <w:footnoteRef/>
      </w:r>
      <w:r>
        <w:t xml:space="preserve"> Agreement on Agriculture, Article 9.2(a)(i); Australia's opening statement at the first substantive meeting, paras. 87–88; Australia's response to Panel question 59, paras. 70–73.</w:t>
      </w:r>
    </w:p>
  </w:footnote>
  <w:footnote w:id="155">
    <w:p w14:paraId="654E13B0" w14:textId="77777777" w:rsidR="009F2B4B" w:rsidRDefault="009F2B4B" w:rsidP="009D14F3">
      <w:pPr>
        <w:pStyle w:val="FootnoteText"/>
      </w:pPr>
      <w:r>
        <w:rPr>
          <w:rStyle w:val="FootnoteReference"/>
        </w:rPr>
        <w:footnoteRef/>
      </w:r>
      <w:r>
        <w:t xml:space="preserve"> Australia's opening statement at the first substantive meeting, para. 89; Australia's response to Panel question 59, para. 76; Australia's closing statement at the first substantive meeting, para. 23.</w:t>
      </w:r>
    </w:p>
  </w:footnote>
  <w:footnote w:id="156">
    <w:p w14:paraId="7F562B6A" w14:textId="77777777" w:rsidR="009F2B4B" w:rsidRDefault="009F2B4B" w:rsidP="009D14F3">
      <w:pPr>
        <w:pStyle w:val="FootnoteText"/>
      </w:pPr>
      <w:r>
        <w:rPr>
          <w:rStyle w:val="FootnoteReference"/>
        </w:rPr>
        <w:footnoteRef/>
      </w:r>
      <w:r>
        <w:t xml:space="preserve"> Australia's opening statement at the first substantive meeting, para. 89; Australia's response to Panel question 59, para. 76; Panel Report, </w:t>
      </w:r>
      <w:r>
        <w:rPr>
          <w:i/>
          <w:iCs/>
        </w:rPr>
        <w:t>US – Large Civil Aircraft (2</w:t>
      </w:r>
      <w:r w:rsidRPr="00C446BB">
        <w:rPr>
          <w:i/>
          <w:iCs/>
          <w:vertAlign w:val="superscript"/>
        </w:rPr>
        <w:t>nd</w:t>
      </w:r>
      <w:r>
        <w:rPr>
          <w:i/>
          <w:iCs/>
        </w:rPr>
        <w:t xml:space="preserve"> Complaint)</w:t>
      </w:r>
      <w:r>
        <w:t>, para. 7.164.</w:t>
      </w:r>
    </w:p>
  </w:footnote>
  <w:footnote w:id="157">
    <w:p w14:paraId="27CC719A" w14:textId="4DFFC5D7" w:rsidR="009F2B4B" w:rsidRDefault="009F2B4B" w:rsidP="009D14F3">
      <w:pPr>
        <w:pStyle w:val="FootnoteText"/>
      </w:pPr>
      <w:r>
        <w:rPr>
          <w:rStyle w:val="FootnoteReference"/>
        </w:rPr>
        <w:footnoteRef/>
      </w:r>
      <w:r>
        <w:t xml:space="preserve"> Costa Rica's third party submission, paras. 17–25; Japan's third party oral statement, paras. 7–9; United States' third party submission, paras. 47–54.</w:t>
      </w:r>
    </w:p>
  </w:footnote>
  <w:footnote w:id="158">
    <w:p w14:paraId="692EF098" w14:textId="77777777" w:rsidR="009F2B4B" w:rsidRDefault="009F2B4B" w:rsidP="009D14F3">
      <w:pPr>
        <w:pStyle w:val="FootnoteText"/>
      </w:pPr>
      <w:r>
        <w:rPr>
          <w:rStyle w:val="FootnoteReference"/>
        </w:rPr>
        <w:footnoteRef/>
      </w:r>
      <w:r>
        <w:t xml:space="preserve"> SCM Agreement, Article 1.1(b); India's first written submission, paras. 94–96.</w:t>
      </w:r>
    </w:p>
  </w:footnote>
  <w:footnote w:id="159">
    <w:p w14:paraId="48D0D448" w14:textId="77777777" w:rsidR="009F2B4B" w:rsidRDefault="009F2B4B" w:rsidP="009D14F3">
      <w:pPr>
        <w:pStyle w:val="FootnoteText"/>
      </w:pPr>
      <w:r>
        <w:rPr>
          <w:rStyle w:val="FootnoteReference"/>
        </w:rPr>
        <w:footnoteRef/>
      </w:r>
      <w:r>
        <w:t xml:space="preserve"> Australia's first written submission, para. 266. </w:t>
      </w:r>
    </w:p>
  </w:footnote>
  <w:footnote w:id="160">
    <w:p w14:paraId="0E6C9890" w14:textId="25AA8BE0" w:rsidR="009F2B4B" w:rsidRDefault="009F2B4B" w:rsidP="009D14F3">
      <w:pPr>
        <w:pStyle w:val="FootnoteText"/>
      </w:pPr>
      <w:r>
        <w:rPr>
          <w:rStyle w:val="FootnoteReference"/>
        </w:rPr>
        <w:footnoteRef/>
      </w:r>
      <w:r>
        <w:t xml:space="preserve"> Australia's first written submission, para. 383; Australia's response to Panel question 53, para. 20. Australia notes, however, that Article 14 </w:t>
      </w:r>
      <w:r w:rsidR="00555FC0">
        <w:t xml:space="preserve">of the SCM Agreement </w:t>
      </w:r>
      <w:r>
        <w:t xml:space="preserve">establishes market benchmarks for limited classes of subsidies, namely governmental provision of equity capital (Article 14(a)), government loans and loan guarantees (Article 14(b)) and governmental provision of goods or services or purchases of goods (Article 14(d)). </w:t>
      </w:r>
    </w:p>
  </w:footnote>
  <w:footnote w:id="161">
    <w:p w14:paraId="49AB296A" w14:textId="77777777" w:rsidR="009F2B4B" w:rsidRDefault="009F2B4B" w:rsidP="00694BD0">
      <w:pPr>
        <w:pStyle w:val="FootnoteText"/>
      </w:pPr>
      <w:r>
        <w:rPr>
          <w:rStyle w:val="FootnoteReference"/>
        </w:rPr>
        <w:footnoteRef/>
      </w:r>
      <w:r>
        <w:t xml:space="preserve"> India's first written submission, paras. 111–113.</w:t>
      </w:r>
    </w:p>
  </w:footnote>
  <w:footnote w:id="162">
    <w:p w14:paraId="76C3819C" w14:textId="32E6FE03" w:rsidR="009F2B4B" w:rsidRDefault="009F2B4B" w:rsidP="009D14F3">
      <w:pPr>
        <w:pStyle w:val="FootnoteText"/>
      </w:pPr>
      <w:r>
        <w:rPr>
          <w:rStyle w:val="FootnoteReference"/>
        </w:rPr>
        <w:footnoteRef/>
      </w:r>
      <w:r>
        <w:t xml:space="preserve"> Australia's first written submission, para. 269, citing </w:t>
      </w:r>
      <w:r>
        <w:rPr>
          <w:szCs w:val="18"/>
        </w:rPr>
        <w:t xml:space="preserve">Panel Report, </w:t>
      </w:r>
      <w:r>
        <w:rPr>
          <w:i/>
          <w:iCs/>
          <w:szCs w:val="18"/>
        </w:rPr>
        <w:t>EC and certain member States – Large Civil Aircraft</w:t>
      </w:r>
      <w:r w:rsidR="00CC123D">
        <w:rPr>
          <w:i/>
          <w:iCs/>
          <w:szCs w:val="18"/>
        </w:rPr>
        <w:t xml:space="preserve"> (Article 21.5 – US)</w:t>
      </w:r>
      <w:r>
        <w:rPr>
          <w:szCs w:val="18"/>
        </w:rPr>
        <w:t xml:space="preserve">, para. 7.1501; </w:t>
      </w:r>
      <w:r>
        <w:t>Australia's response to Panel question 53, paras. 21–22.</w:t>
      </w:r>
    </w:p>
  </w:footnote>
  <w:footnote w:id="163">
    <w:p w14:paraId="455031E3" w14:textId="77777777" w:rsidR="009F2B4B" w:rsidRDefault="009F2B4B" w:rsidP="009D14F3">
      <w:pPr>
        <w:pStyle w:val="FootnoteText"/>
      </w:pPr>
      <w:r>
        <w:rPr>
          <w:rStyle w:val="FootnoteReference"/>
        </w:rPr>
        <w:footnoteRef/>
      </w:r>
      <w:r>
        <w:t xml:space="preserve"> India's first written submission, para. 112, citing </w:t>
      </w:r>
      <w:r w:rsidRPr="00FE4CC6">
        <w:t>Appellate Body Report,</w:t>
      </w:r>
      <w:r w:rsidRPr="00FE4CC6">
        <w:rPr>
          <w:i/>
        </w:rPr>
        <w:t xml:space="preserve"> Canada – Feed-in-Tariff Program</w:t>
      </w:r>
      <w:r>
        <w:t>, para. 5.164.</w:t>
      </w:r>
    </w:p>
  </w:footnote>
  <w:footnote w:id="164">
    <w:p w14:paraId="3096A0D1" w14:textId="77777777" w:rsidR="009F2B4B" w:rsidRPr="00BB327C" w:rsidRDefault="009F2B4B" w:rsidP="009D14F3">
      <w:pPr>
        <w:pStyle w:val="FootnoteText"/>
      </w:pPr>
      <w:r>
        <w:rPr>
          <w:rStyle w:val="FootnoteReference"/>
        </w:rPr>
        <w:footnoteRef/>
      </w:r>
      <w:r>
        <w:t xml:space="preserve"> Appellate Body Report, </w:t>
      </w:r>
      <w:r>
        <w:rPr>
          <w:i/>
          <w:iCs/>
        </w:rPr>
        <w:t>Canada – Feed-in-Tariff Program</w:t>
      </w:r>
      <w:r>
        <w:t>, para. 5.128.</w:t>
      </w:r>
    </w:p>
  </w:footnote>
  <w:footnote w:id="165">
    <w:p w14:paraId="1DA4331E" w14:textId="77777777" w:rsidR="009F2B4B" w:rsidRDefault="009F2B4B" w:rsidP="009D14F3">
      <w:pPr>
        <w:pStyle w:val="FootnoteText"/>
      </w:pPr>
      <w:r>
        <w:rPr>
          <w:rStyle w:val="FootnoteReference"/>
        </w:rPr>
        <w:footnoteRef/>
      </w:r>
      <w:r>
        <w:t xml:space="preserve"> See Australia's response to Panel question 59, para. 82.</w:t>
      </w:r>
    </w:p>
  </w:footnote>
  <w:footnote w:id="166">
    <w:p w14:paraId="3F49BA6C" w14:textId="77777777" w:rsidR="009F2B4B" w:rsidRPr="00AF4054" w:rsidRDefault="009F2B4B" w:rsidP="009D14F3">
      <w:pPr>
        <w:pStyle w:val="FootnoteText"/>
      </w:pPr>
      <w:r>
        <w:rPr>
          <w:rStyle w:val="FootnoteReference"/>
        </w:rPr>
        <w:footnoteRef/>
      </w:r>
      <w:r>
        <w:t xml:space="preserve"> </w:t>
      </w:r>
      <w:r w:rsidRPr="00E83B04">
        <w:rPr>
          <w:rFonts w:asciiTheme="minorHAnsi" w:hAnsiTheme="minorHAnsi" w:cstheme="minorHAnsi"/>
          <w:szCs w:val="18"/>
        </w:rPr>
        <w:t>The Central Government of India’s 2019-20 Expenditure Budget</w:t>
      </w:r>
      <w:r>
        <w:rPr>
          <w:rFonts w:asciiTheme="minorHAnsi" w:hAnsiTheme="minorHAnsi" w:cstheme="minorHAnsi"/>
          <w:szCs w:val="18"/>
        </w:rPr>
        <w:t xml:space="preserve"> (</w:t>
      </w:r>
      <w:r w:rsidRPr="00C446BB">
        <w:rPr>
          <w:rFonts w:asciiTheme="minorHAnsi" w:hAnsiTheme="minorHAnsi" w:cstheme="minorHAnsi"/>
          <w:b/>
          <w:bCs/>
          <w:szCs w:val="18"/>
        </w:rPr>
        <w:t xml:space="preserve">Exhibit </w:t>
      </w:r>
      <w:r>
        <w:rPr>
          <w:rFonts w:asciiTheme="minorHAnsi" w:hAnsiTheme="minorHAnsi" w:cstheme="minorHAnsi"/>
          <w:b/>
          <w:bCs/>
          <w:szCs w:val="18"/>
        </w:rPr>
        <w:t>JE-121</w:t>
      </w:r>
      <w:r>
        <w:rPr>
          <w:rFonts w:asciiTheme="minorHAnsi" w:hAnsiTheme="minorHAnsi" w:cstheme="minorHAnsi"/>
          <w:szCs w:val="18"/>
        </w:rPr>
        <w:t xml:space="preserve">), line 15.04. </w:t>
      </w:r>
      <w:r>
        <w:rPr>
          <w:szCs w:val="18"/>
        </w:rPr>
        <w:t>The budget paper entry reads "Production Subsidy to Sugar Mills to offset cost of Cane and facilitate timely payment of cane price dues of farmers". This language mirrors Notification No. 20(43)/2015-S.P.-I of the Ministry of Consumer Affairs, Food &amp; Public Distribution, Department of Food &amp; Public Distribution of 2 December 2015 (</w:t>
      </w:r>
      <w:r>
        <w:rPr>
          <w:b/>
          <w:bCs/>
          <w:szCs w:val="18"/>
        </w:rPr>
        <w:t>Exhibit JE-76</w:t>
      </w:r>
      <w:r>
        <w:rPr>
          <w:szCs w:val="18"/>
        </w:rPr>
        <w:t xml:space="preserve">), chapeau. </w:t>
      </w:r>
      <w:r>
        <w:t xml:space="preserve"> </w:t>
      </w:r>
    </w:p>
  </w:footnote>
  <w:footnote w:id="167">
    <w:p w14:paraId="0A81A7BD" w14:textId="77777777" w:rsidR="009F2B4B" w:rsidRPr="00AF4054" w:rsidRDefault="009F2B4B" w:rsidP="009D14F3">
      <w:pPr>
        <w:pStyle w:val="FootnoteText"/>
      </w:pPr>
      <w:r>
        <w:rPr>
          <w:rStyle w:val="FootnoteReference"/>
        </w:rPr>
        <w:footnoteRef/>
      </w:r>
      <w:r>
        <w:t xml:space="preserve"> Central Government of India's 2018-19 Expenditure Budget (</w:t>
      </w:r>
      <w:r>
        <w:rPr>
          <w:b/>
          <w:bCs/>
        </w:rPr>
        <w:t>Exhibit AUS-48</w:t>
      </w:r>
      <w:r>
        <w:t>), line 11.05; Expenditure Budget 2020–2021 for the Department of Food and Public Distribution, Ministry of Consumer Affairs, Food and Public Distribution (</w:t>
      </w:r>
      <w:r>
        <w:rPr>
          <w:b/>
          <w:bCs/>
        </w:rPr>
        <w:t>Exhibit JE-142</w:t>
      </w:r>
      <w:r>
        <w:t xml:space="preserve">), line 10. </w:t>
      </w:r>
    </w:p>
  </w:footnote>
  <w:footnote w:id="168">
    <w:p w14:paraId="2B0CC3B8" w14:textId="6D0FD4D6" w:rsidR="009F2B4B" w:rsidRDefault="009F2B4B" w:rsidP="009D14F3">
      <w:pPr>
        <w:pStyle w:val="FootnoteText"/>
      </w:pPr>
      <w:r>
        <w:rPr>
          <w:rStyle w:val="FootnoteReference"/>
        </w:rPr>
        <w:footnoteRef/>
      </w:r>
      <w:r>
        <w:t xml:space="preserve"> </w:t>
      </w:r>
      <w:r>
        <w:rPr>
          <w:szCs w:val="18"/>
        </w:rPr>
        <w:t>Dhampur Sugar Mills Limited, Annual Report 2019–20 (</w:t>
      </w:r>
      <w:r>
        <w:rPr>
          <w:b/>
          <w:bCs/>
          <w:szCs w:val="18"/>
        </w:rPr>
        <w:t>Exhibit JE-149</w:t>
      </w:r>
      <w:r>
        <w:rPr>
          <w:szCs w:val="18"/>
        </w:rPr>
        <w:t>), p</w:t>
      </w:r>
      <w:r w:rsidR="00B913FE">
        <w:rPr>
          <w:szCs w:val="18"/>
        </w:rPr>
        <w:t>p</w:t>
      </w:r>
      <w:r>
        <w:rPr>
          <w:szCs w:val="18"/>
        </w:rPr>
        <w:t>. 161–162, line i., read together with note (a)</w:t>
      </w:r>
      <w:r w:rsidR="00B913FE">
        <w:rPr>
          <w:szCs w:val="18"/>
        </w:rPr>
        <w:t>.</w:t>
      </w:r>
      <w:r>
        <w:rPr>
          <w:szCs w:val="18"/>
        </w:rPr>
        <w:t xml:space="preserve"> </w:t>
      </w:r>
      <w:r>
        <w:t xml:space="preserve"> </w:t>
      </w:r>
    </w:p>
  </w:footnote>
  <w:footnote w:id="169">
    <w:p w14:paraId="23BD3D51" w14:textId="7A353E44" w:rsidR="009F2B4B" w:rsidRDefault="009F2B4B" w:rsidP="009D14F3">
      <w:pPr>
        <w:pStyle w:val="FootnoteText"/>
      </w:pPr>
      <w:r>
        <w:rPr>
          <w:rStyle w:val="FootnoteReference"/>
        </w:rPr>
        <w:footnoteRef/>
      </w:r>
      <w:r>
        <w:t xml:space="preserve"> Central Government of India's 2018-19 Expenditure Budget (</w:t>
      </w:r>
      <w:r>
        <w:rPr>
          <w:b/>
          <w:bCs/>
        </w:rPr>
        <w:t>Exhibit AUS-48</w:t>
      </w:r>
      <w:r>
        <w:t>), line 11.05; Expenditure Budget 2020–2021 for the Department of Food and Public Distribution, Ministry of Consumer Affairs, Food and Public Distribution (</w:t>
      </w:r>
      <w:r>
        <w:rPr>
          <w:b/>
          <w:bCs/>
        </w:rPr>
        <w:t>Exhibit JE-142</w:t>
      </w:r>
      <w:r>
        <w:t xml:space="preserve">), line 13; </w:t>
      </w:r>
      <w:r>
        <w:rPr>
          <w:szCs w:val="18"/>
        </w:rPr>
        <w:t>Dhampur Sugar Mills Limited, Annual Report 2019–20 (</w:t>
      </w:r>
      <w:r>
        <w:rPr>
          <w:b/>
          <w:bCs/>
          <w:szCs w:val="18"/>
        </w:rPr>
        <w:t>Exhibit JE-149</w:t>
      </w:r>
      <w:r>
        <w:rPr>
          <w:szCs w:val="18"/>
        </w:rPr>
        <w:t>), pp. 161–162, lines v(a)–(b), read together with note (d).</w:t>
      </w:r>
    </w:p>
  </w:footnote>
  <w:footnote w:id="170">
    <w:p w14:paraId="2DE60D3D" w14:textId="61F9733A" w:rsidR="009F2B4B" w:rsidRDefault="009F2B4B" w:rsidP="009D14F3">
      <w:pPr>
        <w:pStyle w:val="FootnoteText"/>
      </w:pPr>
      <w:r>
        <w:rPr>
          <w:rStyle w:val="FootnoteReference"/>
        </w:rPr>
        <w:footnoteRef/>
      </w:r>
      <w:r>
        <w:t xml:space="preserve"> </w:t>
      </w:r>
      <w:r>
        <w:rPr>
          <w:szCs w:val="18"/>
        </w:rPr>
        <w:t>Dhampur Sugar Mills Limited, Annual Report 2019–20 (</w:t>
      </w:r>
      <w:r>
        <w:rPr>
          <w:b/>
          <w:bCs/>
          <w:szCs w:val="18"/>
        </w:rPr>
        <w:t>Exhibit JE-149</w:t>
      </w:r>
      <w:r>
        <w:rPr>
          <w:szCs w:val="18"/>
        </w:rPr>
        <w:t>), pp. 161–162, line iii., read together with note (c).</w:t>
      </w:r>
    </w:p>
  </w:footnote>
  <w:footnote w:id="171">
    <w:p w14:paraId="6D96BB91" w14:textId="1EA0CE3C" w:rsidR="009F2B4B" w:rsidRDefault="009F2B4B" w:rsidP="009D14F3">
      <w:pPr>
        <w:pStyle w:val="FootnoteText"/>
      </w:pPr>
      <w:r>
        <w:rPr>
          <w:rStyle w:val="FootnoteReference"/>
        </w:rPr>
        <w:footnoteRef/>
      </w:r>
      <w:r>
        <w:t xml:space="preserve"> India's first written submission, paras. 97–98, 124–125, 149–155; India's opening statement at the first substantive meeting, para 18; India's closing statement at the first substantive meeting, paras. 42 – 43; India's response to Panel question 53(b), p. 8; India's response to Panel question 58(c), pp. 12–13.</w:t>
      </w:r>
    </w:p>
  </w:footnote>
  <w:footnote w:id="172">
    <w:p w14:paraId="760C7747" w14:textId="77777777" w:rsidR="009F2B4B" w:rsidRDefault="009F2B4B" w:rsidP="009D14F3">
      <w:pPr>
        <w:pStyle w:val="FootnoteText"/>
      </w:pPr>
      <w:r>
        <w:rPr>
          <w:rStyle w:val="FootnoteReference"/>
        </w:rPr>
        <w:footnoteRef/>
      </w:r>
      <w:r>
        <w:t xml:space="preserve"> Australia's first written submission, paras. 343–351. </w:t>
      </w:r>
    </w:p>
  </w:footnote>
  <w:footnote w:id="173">
    <w:p w14:paraId="5748CAD7" w14:textId="27503C69" w:rsidR="009F2B4B" w:rsidRDefault="009F2B4B" w:rsidP="009D14F3">
      <w:pPr>
        <w:pStyle w:val="FootnoteText"/>
      </w:pPr>
      <w:r>
        <w:rPr>
          <w:rStyle w:val="FootnoteReference"/>
        </w:rPr>
        <w:footnoteRef/>
      </w:r>
      <w:r>
        <w:t xml:space="preserve"> Australia's first written submission, para</w:t>
      </w:r>
      <w:r w:rsidR="00B913FE">
        <w:t>s</w:t>
      </w:r>
      <w:r>
        <w:t>. 345 and 501; India's response to Panel question 29, p. 21.</w:t>
      </w:r>
    </w:p>
  </w:footnote>
  <w:footnote w:id="174">
    <w:p w14:paraId="1E9A7140" w14:textId="68559CCC" w:rsidR="009F2B4B" w:rsidRDefault="009F2B4B" w:rsidP="009D14F3">
      <w:pPr>
        <w:pStyle w:val="FootnoteText"/>
      </w:pPr>
      <w:r>
        <w:rPr>
          <w:rStyle w:val="FootnoteReference"/>
        </w:rPr>
        <w:footnoteRef/>
      </w:r>
      <w:r>
        <w:t xml:space="preserve"> Australia's first written submission, para</w:t>
      </w:r>
      <w:r w:rsidR="00B913FE">
        <w:t>s</w:t>
      </w:r>
      <w:r>
        <w:t>. 234 and 504; India's response to Panel question 29, p. 21 and question 32(a), p. 22.</w:t>
      </w:r>
    </w:p>
  </w:footnote>
  <w:footnote w:id="175">
    <w:p w14:paraId="25F7613E" w14:textId="77777777" w:rsidR="009F2B4B" w:rsidRDefault="009F2B4B" w:rsidP="009D14F3">
      <w:pPr>
        <w:pStyle w:val="FootnoteText"/>
      </w:pPr>
      <w:r>
        <w:rPr>
          <w:rStyle w:val="FootnoteReference"/>
        </w:rPr>
        <w:footnoteRef/>
      </w:r>
      <w:r>
        <w:t xml:space="preserve"> India's first written submission, para. 115.</w:t>
      </w:r>
    </w:p>
  </w:footnote>
  <w:footnote w:id="176">
    <w:p w14:paraId="1E5A5BD2" w14:textId="376D3A31" w:rsidR="009F2B4B" w:rsidRDefault="009F2B4B" w:rsidP="009D14F3">
      <w:pPr>
        <w:pStyle w:val="FootnoteText"/>
      </w:pPr>
      <w:r>
        <w:rPr>
          <w:rStyle w:val="FootnoteReference"/>
        </w:rPr>
        <w:footnoteRef/>
      </w:r>
      <w:r>
        <w:t xml:space="preserve"> India's first written submission, paras. 114–123; India's response to the complainants' comments on India's request for a preliminary ruling, paras. 51–56; India's response to Panel question 32(c), p. 23</w:t>
      </w:r>
      <w:r w:rsidR="006A155A">
        <w:t xml:space="preserve">, </w:t>
      </w:r>
      <w:r>
        <w:t>question 35, p. 24, question 38, pp. 25–26, question 41, pp. 27–28, question 42(b), pp. 29–30, question 56,</w:t>
      </w:r>
      <w:r w:rsidRPr="00BB327C">
        <w:t xml:space="preserve"> </w:t>
      </w:r>
      <w:r>
        <w:t xml:space="preserve">pp. 10–11 and question 57, pp. 11–12; India's opening statement at the first substantive meeting, </w:t>
      </w:r>
      <w:r w:rsidRPr="00BC1B05">
        <w:t>paras. 14–15;</w:t>
      </w:r>
      <w:r>
        <w:t xml:space="preserve"> India's closing statement at the first substantive meeting, paras. 38–41.</w:t>
      </w:r>
    </w:p>
  </w:footnote>
  <w:footnote w:id="177">
    <w:p w14:paraId="0B814808" w14:textId="77777777" w:rsidR="009F2B4B" w:rsidRDefault="009F2B4B" w:rsidP="009D14F3">
      <w:pPr>
        <w:pStyle w:val="FootnoteText"/>
      </w:pPr>
      <w:r>
        <w:rPr>
          <w:rStyle w:val="FootnoteReference"/>
        </w:rPr>
        <w:footnoteRef/>
      </w:r>
      <w:r>
        <w:t xml:space="preserve"> Appellate Body Report, </w:t>
      </w:r>
      <w:r w:rsidRPr="001D01A6">
        <w:rPr>
          <w:i/>
          <w:iCs/>
        </w:rPr>
        <w:t>US – Wool Shirts and Blouses</w:t>
      </w:r>
      <w:r>
        <w:t>, p. 14.</w:t>
      </w:r>
    </w:p>
  </w:footnote>
  <w:footnote w:id="178">
    <w:p w14:paraId="79B50BFB" w14:textId="77777777" w:rsidR="009F2B4B" w:rsidRDefault="009F2B4B" w:rsidP="009D14F3">
      <w:pPr>
        <w:pStyle w:val="FootnoteText"/>
      </w:pPr>
      <w:r>
        <w:rPr>
          <w:rStyle w:val="FootnoteReference"/>
        </w:rPr>
        <w:footnoteRef/>
      </w:r>
      <w:r>
        <w:t xml:space="preserve"> Panel Report, </w:t>
      </w:r>
      <w:r w:rsidRPr="001D01A6">
        <w:rPr>
          <w:i/>
          <w:iCs/>
        </w:rPr>
        <w:t>US – Large Civil Aircraft (2nd complaint)</w:t>
      </w:r>
      <w:r>
        <w:t>, para. 7.13.</w:t>
      </w:r>
    </w:p>
  </w:footnote>
  <w:footnote w:id="179">
    <w:p w14:paraId="31999B6A" w14:textId="77777777" w:rsidR="009F2B4B" w:rsidRDefault="009F2B4B" w:rsidP="009D14F3">
      <w:pPr>
        <w:pStyle w:val="FootnoteText"/>
      </w:pPr>
      <w:r>
        <w:rPr>
          <w:rStyle w:val="FootnoteReference"/>
        </w:rPr>
        <w:footnoteRef/>
      </w:r>
      <w:r>
        <w:t xml:space="preserve"> Appellate Body Report, </w:t>
      </w:r>
      <w:r w:rsidRPr="001D01A6">
        <w:rPr>
          <w:i/>
          <w:iCs/>
        </w:rPr>
        <w:t>EC – Hormones</w:t>
      </w:r>
      <w:r>
        <w:t>, para. 98.</w:t>
      </w:r>
    </w:p>
  </w:footnote>
  <w:footnote w:id="180">
    <w:p w14:paraId="6CEBF577" w14:textId="77777777" w:rsidR="009F2B4B" w:rsidRDefault="009F2B4B" w:rsidP="009D14F3">
      <w:pPr>
        <w:pStyle w:val="FootnoteText"/>
      </w:pPr>
      <w:r>
        <w:rPr>
          <w:rStyle w:val="FootnoteReference"/>
        </w:rPr>
        <w:footnoteRef/>
      </w:r>
      <w:r>
        <w:t xml:space="preserve"> India's response to Panel question 26(b), p. 19.</w:t>
      </w:r>
    </w:p>
  </w:footnote>
  <w:footnote w:id="181">
    <w:p w14:paraId="3334CCC5" w14:textId="745E3BD8" w:rsidR="009F2B4B" w:rsidRDefault="009F2B4B" w:rsidP="009D14F3">
      <w:pPr>
        <w:pStyle w:val="FootnoteText"/>
      </w:pPr>
      <w:r>
        <w:rPr>
          <w:rStyle w:val="FootnoteReference"/>
        </w:rPr>
        <w:footnoteRef/>
      </w:r>
      <w:r>
        <w:t xml:space="preserve"> India's first written submission, para. 123; India's response to Panel question 35, p. 24 and question 57(a), p. 11; India's opening statement at the first substantive meeting, para. 17.</w:t>
      </w:r>
    </w:p>
  </w:footnote>
  <w:footnote w:id="182">
    <w:p w14:paraId="0BA062D5" w14:textId="77777777" w:rsidR="009F2B4B" w:rsidRPr="00E7166E" w:rsidRDefault="009F2B4B" w:rsidP="009D14F3">
      <w:pPr>
        <w:pStyle w:val="FootnoteText"/>
      </w:pPr>
      <w:r>
        <w:rPr>
          <w:rStyle w:val="FootnoteReference"/>
        </w:rPr>
        <w:footnoteRef/>
      </w:r>
      <w:r>
        <w:t xml:space="preserve"> Appellate Body Report, </w:t>
      </w:r>
      <w:r>
        <w:rPr>
          <w:i/>
          <w:iCs/>
        </w:rPr>
        <w:t>Japan – Apples</w:t>
      </w:r>
      <w:r>
        <w:t>, para. 157.</w:t>
      </w:r>
    </w:p>
  </w:footnote>
  <w:footnote w:id="183">
    <w:p w14:paraId="22FC40E0" w14:textId="219AE2BB" w:rsidR="009F2B4B" w:rsidRDefault="009F2B4B" w:rsidP="009D14F3">
      <w:pPr>
        <w:pStyle w:val="FootnoteText"/>
      </w:pPr>
      <w:r>
        <w:rPr>
          <w:rStyle w:val="FootnoteReference"/>
        </w:rPr>
        <w:footnoteRef/>
      </w:r>
      <w:r>
        <w:t xml:space="preserve"> Panel Report, </w:t>
      </w:r>
      <w:r w:rsidRPr="001D01A6">
        <w:rPr>
          <w:i/>
          <w:iCs/>
        </w:rPr>
        <w:t>Turkey – Textiles</w:t>
      </w:r>
      <w:r>
        <w:t xml:space="preserve">, para. 9.57. </w:t>
      </w:r>
      <w:r w:rsidRPr="005852FA">
        <w:rPr>
          <w:i/>
          <w:iCs/>
        </w:rPr>
        <w:t>See also</w:t>
      </w:r>
      <w:r w:rsidR="00B913FE">
        <w:t>,</w:t>
      </w:r>
      <w:r>
        <w:t xml:space="preserve"> Panel Report, </w:t>
      </w:r>
      <w:r w:rsidRPr="001D01A6">
        <w:rPr>
          <w:i/>
          <w:iCs/>
        </w:rPr>
        <w:t>Argentina – Textiles and Apparel</w:t>
      </w:r>
      <w:r>
        <w:t>, paras. 6.34–6.40.</w:t>
      </w:r>
    </w:p>
  </w:footnote>
  <w:footnote w:id="184">
    <w:p w14:paraId="42518D65" w14:textId="77777777" w:rsidR="009F2B4B" w:rsidRDefault="009F2B4B" w:rsidP="009D14F3">
      <w:pPr>
        <w:pStyle w:val="FootnoteText"/>
      </w:pPr>
      <w:r>
        <w:rPr>
          <w:rStyle w:val="FootnoteReference"/>
        </w:rPr>
        <w:footnoteRef/>
      </w:r>
      <w:r>
        <w:t xml:space="preserve"> Australia's response to Panel question 56(a), paras. 34–45.</w:t>
      </w:r>
    </w:p>
  </w:footnote>
  <w:footnote w:id="185">
    <w:p w14:paraId="4DAA2220" w14:textId="5E2AC9B3" w:rsidR="009F2B4B" w:rsidRDefault="009F2B4B" w:rsidP="009D14F3">
      <w:pPr>
        <w:pStyle w:val="FootnoteText"/>
      </w:pPr>
      <w:r>
        <w:rPr>
          <w:rStyle w:val="FootnoteReference"/>
        </w:rPr>
        <w:footnoteRef/>
      </w:r>
      <w:r>
        <w:t xml:space="preserve"> India's response to Panel question 35, p. 24 and question 56(a), p. 10.</w:t>
      </w:r>
    </w:p>
  </w:footnote>
  <w:footnote w:id="186">
    <w:p w14:paraId="12EBF594" w14:textId="5A0DD875" w:rsidR="009F2B4B" w:rsidRDefault="009F2B4B" w:rsidP="009D14F3">
      <w:pPr>
        <w:pStyle w:val="FootnoteText"/>
      </w:pPr>
      <w:r>
        <w:rPr>
          <w:rStyle w:val="FootnoteReference"/>
        </w:rPr>
        <w:footnoteRef/>
      </w:r>
      <w:r>
        <w:t xml:space="preserve"> Australia's comments on India's request for a preliminary ruling, paras. 73–80; Australia's comments on India's response regarding India's request for a preliminary ruling, paras. 59–78; Australia's response to Panel question 43, paras. 123–134; Australia's opening statement at the first substantive meeting, paras. 92–102; Australia's closing statement at the first substantive meeting, paras. 26–27.</w:t>
      </w:r>
    </w:p>
  </w:footnote>
  <w:footnote w:id="187">
    <w:p w14:paraId="0138DAFA" w14:textId="77777777" w:rsidR="009F2B4B" w:rsidRDefault="009F2B4B" w:rsidP="009D14F3">
      <w:pPr>
        <w:pStyle w:val="FootnoteText"/>
      </w:pPr>
      <w:r>
        <w:rPr>
          <w:rStyle w:val="FootnoteReference"/>
        </w:rPr>
        <w:footnoteRef/>
      </w:r>
      <w:r>
        <w:t xml:space="preserve"> Australia's comments on India's request for a preliminary ruling, paras. 73–80; Australia's comments on India's response regarding India's request for a preliminary ruling, paras. 59–78.</w:t>
      </w:r>
    </w:p>
  </w:footnote>
  <w:footnote w:id="188">
    <w:p w14:paraId="7D3562BD" w14:textId="77777777" w:rsidR="009F2B4B" w:rsidRDefault="009F2B4B" w:rsidP="009D14F3">
      <w:pPr>
        <w:pStyle w:val="FootnoteText"/>
      </w:pPr>
      <w:r>
        <w:rPr>
          <w:rStyle w:val="FootnoteReference"/>
        </w:rPr>
        <w:footnoteRef/>
      </w:r>
      <w:r>
        <w:t xml:space="preserve"> In its closing statement at the first substantive meeting, India stated at para. 39 that "Australia… notes that it does not dispute key differences in eligibility criteria, amounts of assistance and the methodologies used to determine these".  This is an attempt by India to mischaracterise Australia's submissions on the matter.  Australia does not consider these to be "key" differences at all; in fact, in its opening statement at the first substantive meeting, Australia quite clearly stated at para. 71 that such differences "are immaterial to the key issues to be determined".  Previously, Australia has provided detailed comments on why it considers differences in eligibility criteria, amounts of assistance and methodologies for determining these do not render India's production subsidies, buffer stock subsidies and MAEQ scheme distinct from each other. All three measures are emanations, or seasonal iterations, of India's ongoing policy of subsidising sugar exports: Australia's comments on India's response regarding India's request for a preliminary ruling, paras. 59–78.    </w:t>
      </w:r>
    </w:p>
  </w:footnote>
  <w:footnote w:id="189">
    <w:p w14:paraId="0419D62A" w14:textId="77777777" w:rsidR="009F2B4B" w:rsidRDefault="009F2B4B" w:rsidP="009D14F3">
      <w:pPr>
        <w:pStyle w:val="FootnoteText"/>
      </w:pPr>
      <w:r>
        <w:rPr>
          <w:rStyle w:val="FootnoteReference"/>
        </w:rPr>
        <w:footnoteRef/>
      </w:r>
      <w:r>
        <w:t xml:space="preserve"> </w:t>
      </w:r>
      <w:r>
        <w:rPr>
          <w:szCs w:val="18"/>
        </w:rPr>
        <w:t>Notification No. 1(14)/2019-S.P.-I. of the Ministry of Consumer Affairs, Food &amp; Public Distribution, Department of Food &amp; Public Distribution of 12 September 2019 (</w:t>
      </w:r>
      <w:r>
        <w:rPr>
          <w:b/>
          <w:bCs/>
          <w:szCs w:val="18"/>
        </w:rPr>
        <w:t>Exhibit JE-114</w:t>
      </w:r>
      <w:r>
        <w:rPr>
          <w:szCs w:val="18"/>
        </w:rPr>
        <w:t xml:space="preserve">), para. 3; India's first written submission, paras. 119–120 and 122; India's response to the complainants' comments on India's request for a preliminary ruling, para. 53. </w:t>
      </w:r>
    </w:p>
  </w:footnote>
  <w:footnote w:id="190">
    <w:p w14:paraId="6E39BEAE" w14:textId="77777777" w:rsidR="009F2B4B" w:rsidRDefault="009F2B4B" w:rsidP="009D14F3">
      <w:pPr>
        <w:pStyle w:val="FootnoteText"/>
      </w:pPr>
      <w:r>
        <w:rPr>
          <w:rStyle w:val="FootnoteReference"/>
        </w:rPr>
        <w:footnoteRef/>
      </w:r>
      <w:r>
        <w:t xml:space="preserve"> India's response to Panel question 57(b), p. 12.</w:t>
      </w:r>
    </w:p>
  </w:footnote>
  <w:footnote w:id="191">
    <w:p w14:paraId="3855069B" w14:textId="010481F1" w:rsidR="009F2B4B" w:rsidRDefault="009F2B4B" w:rsidP="009D14F3">
      <w:pPr>
        <w:pStyle w:val="FootnoteText"/>
      </w:pPr>
      <w:r>
        <w:rPr>
          <w:rStyle w:val="FootnoteReference"/>
        </w:rPr>
        <w:footnoteRef/>
      </w:r>
      <w:r>
        <w:t xml:space="preserve"> </w:t>
      </w:r>
      <w:r w:rsidRPr="00A50D31">
        <w:t xml:space="preserve">Appellate Body Report, </w:t>
      </w:r>
      <w:r w:rsidRPr="00A50D31">
        <w:rPr>
          <w:i/>
          <w:iCs/>
        </w:rPr>
        <w:t>US – Carbon Steel (India)</w:t>
      </w:r>
      <w:r w:rsidRPr="00A50D31">
        <w:t>, para. 4.445</w:t>
      </w:r>
      <w:r w:rsidR="002A75CB">
        <w:t>, citing</w:t>
      </w:r>
      <w:r w:rsidRPr="00A50D31">
        <w:t xml:space="preserve"> Appellate Body Report, </w:t>
      </w:r>
      <w:r w:rsidRPr="00A50D31">
        <w:rPr>
          <w:i/>
          <w:iCs/>
        </w:rPr>
        <w:t>India – Patents (US)</w:t>
      </w:r>
      <w:r w:rsidRPr="00A50D31">
        <w:t>, para. 66</w:t>
      </w:r>
      <w:r>
        <w:t>; Guatemala's opening statement at the first substantive meeting, para. 4.22.</w:t>
      </w:r>
    </w:p>
  </w:footnote>
  <w:footnote w:id="192">
    <w:p w14:paraId="30EB49A4" w14:textId="77777777" w:rsidR="009F2B4B" w:rsidRPr="00573EC6" w:rsidRDefault="009F2B4B" w:rsidP="009D14F3">
      <w:pPr>
        <w:pStyle w:val="FootnoteText"/>
        <w:rPr>
          <w:szCs w:val="18"/>
        </w:rPr>
      </w:pPr>
      <w:r>
        <w:rPr>
          <w:rStyle w:val="FootnoteReference"/>
        </w:rPr>
        <w:footnoteRef/>
      </w:r>
      <w:r>
        <w:t xml:space="preserve"> </w:t>
      </w:r>
      <w:r>
        <w:rPr>
          <w:szCs w:val="18"/>
        </w:rPr>
        <w:t>Notification No. 1(14)/2019-S.P.-I. of the Ministry of Consumer Affairs, Food &amp; Public Distribution, Department of Food &amp; Public Distribution of 12 September 2019 (</w:t>
      </w:r>
      <w:r>
        <w:rPr>
          <w:b/>
          <w:bCs/>
          <w:szCs w:val="18"/>
        </w:rPr>
        <w:t>Exhibit JE-114</w:t>
      </w:r>
      <w:r>
        <w:rPr>
          <w:szCs w:val="18"/>
        </w:rPr>
        <w:t xml:space="preserve">), para. 1; Australia's response to Panel question 43(a), paras. 128–130.  </w:t>
      </w:r>
      <w:r>
        <w:t xml:space="preserve"> </w:t>
      </w:r>
    </w:p>
  </w:footnote>
  <w:footnote w:id="193">
    <w:p w14:paraId="4D74F08B" w14:textId="77777777" w:rsidR="009F2B4B" w:rsidRDefault="009F2B4B" w:rsidP="009D14F3">
      <w:pPr>
        <w:pStyle w:val="FootnoteText"/>
      </w:pPr>
      <w:r>
        <w:rPr>
          <w:rStyle w:val="FootnoteReference"/>
        </w:rPr>
        <w:footnoteRef/>
      </w:r>
      <w:r>
        <w:t xml:space="preserve"> </w:t>
      </w:r>
      <w:r>
        <w:rPr>
          <w:szCs w:val="18"/>
        </w:rPr>
        <w:t>Notification No. 1(14)/2019-S.P.-I. of the Ministry of Consumer Affairs, Food &amp; Public Distribution, Department of Food &amp; Public Distribution of 12 September 2019 (</w:t>
      </w:r>
      <w:r>
        <w:rPr>
          <w:b/>
          <w:bCs/>
          <w:szCs w:val="18"/>
        </w:rPr>
        <w:t>Exhibit JE-114</w:t>
      </w:r>
      <w:r>
        <w:rPr>
          <w:szCs w:val="18"/>
        </w:rPr>
        <w:t>), para. 5.</w:t>
      </w:r>
    </w:p>
  </w:footnote>
  <w:footnote w:id="194">
    <w:p w14:paraId="1A3CE7C7" w14:textId="77777777" w:rsidR="009F2B4B" w:rsidRDefault="009F2B4B" w:rsidP="009D14F3">
      <w:pPr>
        <w:pStyle w:val="FootnoteText"/>
      </w:pPr>
      <w:r>
        <w:rPr>
          <w:rStyle w:val="FootnoteReference"/>
        </w:rPr>
        <w:footnoteRef/>
      </w:r>
      <w:r>
        <w:t xml:space="preserve"> </w:t>
      </w:r>
      <w:r>
        <w:rPr>
          <w:szCs w:val="18"/>
        </w:rPr>
        <w:t>Notification No. 1(14)/2019-S.P.-I. of the Ministry of Consumer Affairs, Food &amp; Public Distribution, Department of Food &amp; Public Distribution of 12 September 2019 (</w:t>
      </w:r>
      <w:r>
        <w:rPr>
          <w:b/>
          <w:bCs/>
          <w:szCs w:val="18"/>
        </w:rPr>
        <w:t>Exhibit JE-114</w:t>
      </w:r>
      <w:r>
        <w:rPr>
          <w:szCs w:val="18"/>
        </w:rPr>
        <w:t>), para. 6; Notification No. 1(14)/2019-SP-I of the Department of Food and Public Distribution, Ministry of Consumer Affairs, Food and Public Distribution, 5 November 2019 (</w:t>
      </w:r>
      <w:r>
        <w:rPr>
          <w:b/>
          <w:bCs/>
          <w:szCs w:val="18"/>
        </w:rPr>
        <w:t>Exhibit JE-143</w:t>
      </w:r>
      <w:r>
        <w:rPr>
          <w:szCs w:val="18"/>
        </w:rPr>
        <w:t>), p. 2.</w:t>
      </w:r>
    </w:p>
  </w:footnote>
  <w:footnote w:id="195">
    <w:p w14:paraId="2D948A9F" w14:textId="77777777" w:rsidR="009F2B4B" w:rsidRDefault="009F2B4B" w:rsidP="009D14F3">
      <w:pPr>
        <w:pStyle w:val="FootnoteText"/>
      </w:pPr>
      <w:r>
        <w:rPr>
          <w:rStyle w:val="FootnoteReference"/>
        </w:rPr>
        <w:footnoteRef/>
      </w:r>
      <w:r>
        <w:t xml:space="preserve"> Australia's opening statement at the first substantive meeting, para. 95.</w:t>
      </w:r>
    </w:p>
  </w:footnote>
  <w:footnote w:id="196">
    <w:p w14:paraId="3696BA9F" w14:textId="77777777" w:rsidR="009F2B4B" w:rsidRDefault="009F2B4B" w:rsidP="009D14F3">
      <w:pPr>
        <w:pStyle w:val="FootnoteText"/>
      </w:pPr>
      <w:r>
        <w:rPr>
          <w:rStyle w:val="FootnoteReference"/>
        </w:rPr>
        <w:footnoteRef/>
      </w:r>
      <w:r>
        <w:t xml:space="preserve"> </w:t>
      </w:r>
      <w:r>
        <w:rPr>
          <w:szCs w:val="18"/>
        </w:rPr>
        <w:t>Notification No. 1(14)/2019-S.P.-I. of the Ministry of Consumer Affairs, Food &amp; Public Distribution, Department of Food &amp; Public Distribution of 12 September 2019 (</w:t>
      </w:r>
      <w:r>
        <w:rPr>
          <w:b/>
          <w:bCs/>
          <w:szCs w:val="18"/>
        </w:rPr>
        <w:t>Exhibit JE-114</w:t>
      </w:r>
      <w:r>
        <w:rPr>
          <w:szCs w:val="18"/>
        </w:rPr>
        <w:t>), Proforma-A.</w:t>
      </w:r>
    </w:p>
  </w:footnote>
  <w:footnote w:id="197">
    <w:p w14:paraId="4F823CD4" w14:textId="77777777" w:rsidR="009F2B4B" w:rsidRDefault="009F2B4B" w:rsidP="009D14F3">
      <w:pPr>
        <w:pStyle w:val="FootnoteText"/>
      </w:pPr>
      <w:r>
        <w:rPr>
          <w:rStyle w:val="FootnoteReference"/>
        </w:rPr>
        <w:footnoteRef/>
      </w:r>
      <w:r>
        <w:t xml:space="preserve"> </w:t>
      </w:r>
      <w:r>
        <w:rPr>
          <w:szCs w:val="18"/>
        </w:rPr>
        <w:t>Notification No. 1(14)/2019-S.P.-I. of the Ministry of Consumer Affairs, Food &amp; Public Distribution, Department of Food &amp; Public Distribution of 12 September 2019 (</w:t>
      </w:r>
      <w:r>
        <w:rPr>
          <w:b/>
          <w:bCs/>
          <w:szCs w:val="18"/>
        </w:rPr>
        <w:t>Exhibit JE-114</w:t>
      </w:r>
      <w:r>
        <w:rPr>
          <w:szCs w:val="18"/>
        </w:rPr>
        <w:t>), para. 3, Proforma-A.</w:t>
      </w:r>
    </w:p>
  </w:footnote>
  <w:footnote w:id="198">
    <w:p w14:paraId="52646D67" w14:textId="07F3A307" w:rsidR="009F2B4B" w:rsidRDefault="009F2B4B" w:rsidP="009D14F3">
      <w:pPr>
        <w:pStyle w:val="FootnoteText"/>
      </w:pPr>
      <w:r>
        <w:rPr>
          <w:rStyle w:val="FootnoteReference"/>
        </w:rPr>
        <w:footnoteRef/>
      </w:r>
      <w:r>
        <w:t xml:space="preserve"> </w:t>
      </w:r>
      <w:r w:rsidR="005354E0">
        <w:t xml:space="preserve">See </w:t>
      </w:r>
      <w:r>
        <w:t>Guatemala's opening statement at the first substantive meeting, para. 4.24; Brazil's response to Panel question 56, para. 58.</w:t>
      </w:r>
    </w:p>
  </w:footnote>
  <w:footnote w:id="199">
    <w:p w14:paraId="71C5E0D5" w14:textId="77777777" w:rsidR="009F2B4B" w:rsidRDefault="009F2B4B" w:rsidP="009D14F3">
      <w:pPr>
        <w:pStyle w:val="FootnoteText"/>
      </w:pPr>
      <w:r>
        <w:rPr>
          <w:rStyle w:val="FootnoteReference"/>
        </w:rPr>
        <w:footnoteRef/>
      </w:r>
      <w:r>
        <w:t xml:space="preserve"> India's response to Panel question 57(b), p. 12.</w:t>
      </w:r>
    </w:p>
  </w:footnote>
  <w:footnote w:id="200">
    <w:p w14:paraId="4F4F321B" w14:textId="77777777" w:rsidR="009F2B4B" w:rsidRPr="00636DE8" w:rsidRDefault="009F2B4B" w:rsidP="009D14F3">
      <w:pPr>
        <w:pStyle w:val="FootnoteText"/>
      </w:pPr>
      <w:r>
        <w:rPr>
          <w:rStyle w:val="FootnoteReference"/>
        </w:rPr>
        <w:footnoteRef/>
      </w:r>
      <w:r>
        <w:t xml:space="preserve"> Australia's comments on India's request for a preliminary ruling, para. 6, citing, for example, Panel Report, </w:t>
      </w:r>
      <w:r>
        <w:rPr>
          <w:i/>
          <w:iCs/>
        </w:rPr>
        <w:t>China – Agricultural Producers</w:t>
      </w:r>
      <w:r>
        <w:t>, para. 7.83.</w:t>
      </w:r>
    </w:p>
  </w:footnote>
  <w:footnote w:id="201">
    <w:p w14:paraId="2C4210D9" w14:textId="3333B106" w:rsidR="009F2B4B" w:rsidRDefault="009F2B4B" w:rsidP="009D14F3">
      <w:pPr>
        <w:pStyle w:val="FootnoteText"/>
      </w:pPr>
      <w:r>
        <w:rPr>
          <w:rStyle w:val="FootnoteReference"/>
        </w:rPr>
        <w:footnoteRef/>
      </w:r>
      <w:r>
        <w:t xml:space="preserve"> India's opening statement at the first substantive meeting, para. 15.</w:t>
      </w:r>
    </w:p>
  </w:footnote>
  <w:footnote w:id="202">
    <w:p w14:paraId="7D8D22E7" w14:textId="77777777" w:rsidR="009F2B4B" w:rsidRDefault="009F2B4B" w:rsidP="009D14F3">
      <w:pPr>
        <w:pStyle w:val="FootnoteText"/>
      </w:pPr>
      <w:r>
        <w:rPr>
          <w:rStyle w:val="FootnoteReference"/>
        </w:rPr>
        <w:footnoteRef/>
      </w:r>
      <w:r>
        <w:t xml:space="preserve"> India's opening statement at the first substantive meeting, para. 17.</w:t>
      </w:r>
    </w:p>
  </w:footnote>
  <w:footnote w:id="203">
    <w:p w14:paraId="2A810276" w14:textId="77777777" w:rsidR="009F2B4B" w:rsidRDefault="009F2B4B" w:rsidP="009D14F3">
      <w:pPr>
        <w:pStyle w:val="FootnoteText"/>
      </w:pPr>
      <w:r>
        <w:rPr>
          <w:rStyle w:val="FootnoteReference"/>
        </w:rPr>
        <w:footnoteRef/>
      </w:r>
      <w:r>
        <w:t xml:space="preserve"> India's opening statement at the first substantive meeting, para. 15.</w:t>
      </w:r>
    </w:p>
  </w:footnote>
  <w:footnote w:id="204">
    <w:p w14:paraId="32483D2A" w14:textId="77777777" w:rsidR="009F2B4B" w:rsidRPr="00937EDA" w:rsidRDefault="009F2B4B" w:rsidP="009D14F3">
      <w:pPr>
        <w:pStyle w:val="FootnoteText"/>
      </w:pPr>
      <w:r>
        <w:rPr>
          <w:rStyle w:val="FootnoteReference"/>
        </w:rPr>
        <w:footnoteRef/>
      </w:r>
      <w:r>
        <w:t xml:space="preserve"> Australia's response to Panel question 56(a), para. 38, citing Appellate Body Report, </w:t>
      </w:r>
      <w:r>
        <w:rPr>
          <w:i/>
          <w:iCs/>
        </w:rPr>
        <w:t>US – FSC</w:t>
      </w:r>
      <w:r>
        <w:t>, paras. 129–131 (emphasis original).</w:t>
      </w:r>
    </w:p>
  </w:footnote>
  <w:footnote w:id="205">
    <w:p w14:paraId="185F3500" w14:textId="77777777" w:rsidR="009F2B4B" w:rsidRDefault="009F2B4B" w:rsidP="009D14F3">
      <w:pPr>
        <w:pStyle w:val="FootnoteText"/>
      </w:pPr>
      <w:r>
        <w:rPr>
          <w:rStyle w:val="FootnoteReference"/>
        </w:rPr>
        <w:footnoteRef/>
      </w:r>
      <w:r>
        <w:t xml:space="preserve"> Australia's first written submission, para. 6.</w:t>
      </w:r>
    </w:p>
  </w:footnote>
  <w:footnote w:id="206">
    <w:p w14:paraId="1780F215" w14:textId="77777777" w:rsidR="009F2B4B" w:rsidRDefault="009F2B4B" w:rsidP="009D14F3">
      <w:pPr>
        <w:pStyle w:val="FootnoteText"/>
      </w:pPr>
      <w:r>
        <w:rPr>
          <w:rStyle w:val="FootnoteReference"/>
        </w:rPr>
        <w:footnoteRef/>
      </w:r>
      <w:r>
        <w:t xml:space="preserve"> </w:t>
      </w:r>
      <w:r w:rsidRPr="00126F21">
        <w:rPr>
          <w:szCs w:val="18"/>
        </w:rPr>
        <w:t xml:space="preserve">Appellate Body Report, </w:t>
      </w:r>
      <w:r w:rsidRPr="00126F21">
        <w:rPr>
          <w:i/>
          <w:iCs/>
          <w:szCs w:val="18"/>
        </w:rPr>
        <w:t>US – FSC</w:t>
      </w:r>
      <w:r w:rsidRPr="00126F21">
        <w:rPr>
          <w:szCs w:val="18"/>
        </w:rPr>
        <w:t>, para. 131;</w:t>
      </w:r>
      <w:r>
        <w:rPr>
          <w:sz w:val="20"/>
        </w:rPr>
        <w:t xml:space="preserve"> </w:t>
      </w:r>
      <w:r>
        <w:t>Brazil's response to Panel question 56, para. 60.</w:t>
      </w:r>
    </w:p>
  </w:footnote>
  <w:footnote w:id="207">
    <w:p w14:paraId="48D3C221" w14:textId="77777777" w:rsidR="009F2B4B" w:rsidRDefault="009F2B4B" w:rsidP="009D14F3">
      <w:pPr>
        <w:pStyle w:val="FootnoteText"/>
      </w:pPr>
      <w:r>
        <w:rPr>
          <w:rStyle w:val="FootnoteReference"/>
        </w:rPr>
        <w:footnoteRef/>
      </w:r>
      <w:r>
        <w:t xml:space="preserve"> India's opening statement at the first substantive meeting, para. 15.</w:t>
      </w:r>
    </w:p>
  </w:footnote>
  <w:footnote w:id="208">
    <w:p w14:paraId="7ECB5628" w14:textId="77777777" w:rsidR="009F2B4B" w:rsidRDefault="009F2B4B" w:rsidP="009D14F3">
      <w:pPr>
        <w:pStyle w:val="FootnoteText"/>
      </w:pPr>
      <w:r>
        <w:rPr>
          <w:rStyle w:val="FootnoteReference"/>
        </w:rPr>
        <w:footnoteRef/>
      </w:r>
      <w:r>
        <w:t xml:space="preserve"> India's opening statement at the first substantive meeting, para. 17.</w:t>
      </w:r>
    </w:p>
  </w:footnote>
  <w:footnote w:id="209">
    <w:p w14:paraId="59B54B7E" w14:textId="24F99BAC" w:rsidR="009F2B4B" w:rsidRPr="00BC3060" w:rsidRDefault="009F2B4B" w:rsidP="009D14F3">
      <w:pPr>
        <w:pStyle w:val="Default"/>
        <w:jc w:val="both"/>
        <w:rPr>
          <w:sz w:val="18"/>
          <w:szCs w:val="18"/>
        </w:rPr>
      </w:pPr>
      <w:r w:rsidRPr="00BC3060">
        <w:rPr>
          <w:rStyle w:val="FootnoteReference"/>
          <w:sz w:val="18"/>
          <w:szCs w:val="18"/>
        </w:rPr>
        <w:footnoteRef/>
      </w:r>
      <w:r w:rsidRPr="00BC3060">
        <w:rPr>
          <w:sz w:val="18"/>
          <w:szCs w:val="18"/>
        </w:rPr>
        <w:t xml:space="preserve"> </w:t>
      </w:r>
      <w:r w:rsidRPr="00BC3060">
        <w:rPr>
          <w:rFonts w:ascii="Calibri" w:hAnsi="Calibri" w:cstheme="minorBidi"/>
          <w:color w:val="auto"/>
          <w:sz w:val="18"/>
          <w:szCs w:val="18"/>
        </w:rPr>
        <w:t>Communication from Department of Food &amp; Public Distribution dated 25 June 2019 to Food Corporation of India (</w:t>
      </w:r>
      <w:r w:rsidRPr="00BC3060">
        <w:rPr>
          <w:rFonts w:ascii="Calibri" w:hAnsi="Calibri" w:cstheme="minorBidi"/>
          <w:b/>
          <w:bCs/>
          <w:color w:val="auto"/>
          <w:sz w:val="18"/>
          <w:szCs w:val="18"/>
        </w:rPr>
        <w:t>Exhibit IND-15</w:t>
      </w:r>
      <w:r w:rsidRPr="00BC3060">
        <w:rPr>
          <w:rFonts w:ascii="Calibri" w:hAnsi="Calibri" w:cstheme="minorBidi"/>
          <w:color w:val="auto"/>
          <w:sz w:val="18"/>
          <w:szCs w:val="18"/>
        </w:rPr>
        <w:t>); Communications from Department of Food &amp; Public Distribution dated 26 and 27 June 2019 to Ministry of Railways (</w:t>
      </w:r>
      <w:r w:rsidRPr="00BC3060">
        <w:rPr>
          <w:rFonts w:ascii="Calibri" w:hAnsi="Calibri" w:cstheme="minorBidi"/>
          <w:b/>
          <w:bCs/>
          <w:color w:val="auto"/>
          <w:sz w:val="18"/>
          <w:szCs w:val="18"/>
        </w:rPr>
        <w:t>Exhibit IND-16</w:t>
      </w:r>
      <w:r w:rsidRPr="00BC3060">
        <w:rPr>
          <w:rFonts w:ascii="Calibri" w:hAnsi="Calibri" w:cstheme="minorBidi"/>
          <w:color w:val="auto"/>
          <w:sz w:val="18"/>
          <w:szCs w:val="18"/>
        </w:rPr>
        <w:t>); Communication from Department of Food &amp; Public Distribution dated 11 July 2019 to Metals and Minerals Trading Corporation of India Ltd (</w:t>
      </w:r>
      <w:r w:rsidRPr="00BC3060">
        <w:rPr>
          <w:rFonts w:ascii="Calibri" w:hAnsi="Calibri" w:cstheme="minorBidi"/>
          <w:b/>
          <w:bCs/>
          <w:color w:val="auto"/>
          <w:sz w:val="18"/>
          <w:szCs w:val="18"/>
        </w:rPr>
        <w:t>Exhibit IND-17</w:t>
      </w:r>
      <w:r w:rsidRPr="00BC3060">
        <w:rPr>
          <w:rFonts w:ascii="Calibri" w:hAnsi="Calibri" w:cstheme="minorBidi"/>
          <w:color w:val="auto"/>
          <w:sz w:val="18"/>
          <w:szCs w:val="18"/>
        </w:rPr>
        <w:t>); Communication from Department of Food &amp; Public Distribution dated 11 July 2019 to State Trading Corporation of India Ltd (</w:t>
      </w:r>
      <w:r w:rsidRPr="00BC3060">
        <w:rPr>
          <w:rFonts w:ascii="Calibri" w:hAnsi="Calibri" w:cstheme="minorBidi"/>
          <w:b/>
          <w:bCs/>
          <w:color w:val="auto"/>
          <w:sz w:val="18"/>
          <w:szCs w:val="18"/>
        </w:rPr>
        <w:t>Exhibit IND-18</w:t>
      </w:r>
      <w:r w:rsidRPr="00BC3060">
        <w:rPr>
          <w:rFonts w:ascii="Calibri" w:hAnsi="Calibri" w:cstheme="minorBidi"/>
          <w:color w:val="auto"/>
          <w:sz w:val="18"/>
          <w:szCs w:val="18"/>
        </w:rPr>
        <w:t>).</w:t>
      </w:r>
    </w:p>
  </w:footnote>
  <w:footnote w:id="210">
    <w:p w14:paraId="1B1E107E" w14:textId="77777777" w:rsidR="009F2B4B" w:rsidRDefault="009F2B4B" w:rsidP="009D14F3">
      <w:pPr>
        <w:pStyle w:val="FootnoteText"/>
      </w:pPr>
      <w:r>
        <w:rPr>
          <w:rStyle w:val="FootnoteReference"/>
        </w:rPr>
        <w:footnoteRef/>
      </w:r>
      <w:r>
        <w:t xml:space="preserve"> India's response to Panel question 57(a), p. 11.</w:t>
      </w:r>
    </w:p>
  </w:footnote>
  <w:footnote w:id="211">
    <w:p w14:paraId="6B6B84F1" w14:textId="16D5D3E7" w:rsidR="009F2B4B" w:rsidRPr="00753F1C" w:rsidRDefault="009F2B4B" w:rsidP="009D14F3">
      <w:pPr>
        <w:pStyle w:val="FootnoteText"/>
        <w:rPr>
          <w:b/>
          <w:bCs/>
        </w:rPr>
      </w:pPr>
      <w:r>
        <w:rPr>
          <w:rStyle w:val="FootnoteReference"/>
        </w:rPr>
        <w:footnoteRef/>
      </w:r>
      <w:r>
        <w:t xml:space="preserve"> </w:t>
      </w:r>
      <w:r w:rsidRPr="00DB7D67">
        <w:t>Communication from Department of Food &amp; Public Distribution dated 25 June 2019 to Food Corporation of India (</w:t>
      </w:r>
      <w:r w:rsidRPr="00DB7D67">
        <w:rPr>
          <w:b/>
          <w:bCs/>
        </w:rPr>
        <w:t>Exhibit IND-15</w:t>
      </w:r>
      <w:r w:rsidRPr="00DB7D67">
        <w:t>)</w:t>
      </w:r>
      <w:r>
        <w:t xml:space="preserve">, subject line, paras. 1 and 2; </w:t>
      </w:r>
      <w:r w:rsidRPr="00DB7D67">
        <w:t>Communications from Department of Food &amp; Public Distribution dated 26 and 27 June 2019 to Ministry of Railways (</w:t>
      </w:r>
      <w:r w:rsidRPr="00DB7D67">
        <w:rPr>
          <w:b/>
          <w:bCs/>
        </w:rPr>
        <w:t>Exhibit IND-16</w:t>
      </w:r>
      <w:r w:rsidRPr="00DB7D67">
        <w:t>)</w:t>
      </w:r>
      <w:r>
        <w:t xml:space="preserve">, subject line and paras. 1 and 2; </w:t>
      </w:r>
      <w:r w:rsidRPr="00DB7D67">
        <w:t>Communication from Department of Food &amp; Public Distribution dated 11 July 2019 to Metals and Minerals Trading Corporation of India Ltd (</w:t>
      </w:r>
      <w:r w:rsidRPr="00DB7D67">
        <w:rPr>
          <w:b/>
          <w:bCs/>
        </w:rPr>
        <w:t>Exhibit IND-17</w:t>
      </w:r>
      <w:r w:rsidRPr="00DB7D67">
        <w:t>)</w:t>
      </w:r>
      <w:r>
        <w:t xml:space="preserve">, para. 3; </w:t>
      </w:r>
      <w:r w:rsidRPr="00DB7D67">
        <w:t>Communication from Department of Food &amp; Public Distribution dated 11 July 2019 to State Trading Corporation of India Ltd (</w:t>
      </w:r>
      <w:r w:rsidRPr="00DB7D67">
        <w:rPr>
          <w:b/>
          <w:bCs/>
        </w:rPr>
        <w:t>Exhibit IND-18</w:t>
      </w:r>
      <w:r w:rsidRPr="00DB7D67">
        <w:t>)</w:t>
      </w:r>
      <w:r>
        <w:t>, para. 3.</w:t>
      </w:r>
    </w:p>
  </w:footnote>
  <w:footnote w:id="212">
    <w:p w14:paraId="16D80338" w14:textId="77777777" w:rsidR="009F2B4B" w:rsidRDefault="009F2B4B" w:rsidP="009D14F3">
      <w:pPr>
        <w:pStyle w:val="FootnoteText"/>
      </w:pPr>
      <w:r>
        <w:rPr>
          <w:rStyle w:val="FootnoteReference"/>
        </w:rPr>
        <w:footnoteRef/>
      </w:r>
      <w:r>
        <w:t xml:space="preserve"> </w:t>
      </w:r>
      <w:r w:rsidRPr="00DB7D67">
        <w:t>Communication from Department of Food &amp; Public Distribution dated 25 June 2019 to Food Corporation of India (</w:t>
      </w:r>
      <w:r w:rsidRPr="00DB7D67">
        <w:rPr>
          <w:b/>
          <w:bCs/>
        </w:rPr>
        <w:t>Exhibit IND-15</w:t>
      </w:r>
      <w:r w:rsidRPr="00DB7D67">
        <w:t>)</w:t>
      </w:r>
      <w:r>
        <w:t>.</w:t>
      </w:r>
    </w:p>
  </w:footnote>
  <w:footnote w:id="213">
    <w:p w14:paraId="780043F2" w14:textId="77777777" w:rsidR="009F2B4B" w:rsidRDefault="009F2B4B" w:rsidP="009D14F3">
      <w:pPr>
        <w:pStyle w:val="FootnoteText"/>
      </w:pPr>
      <w:r>
        <w:rPr>
          <w:rStyle w:val="FootnoteReference"/>
        </w:rPr>
        <w:footnoteRef/>
      </w:r>
      <w:r>
        <w:t xml:space="preserve"> </w:t>
      </w:r>
      <w:r w:rsidRPr="00DB7D67">
        <w:t>Communications from Department of Food &amp; Public Distribution dated 26 and 27 June 2019 to Ministry of Railways (</w:t>
      </w:r>
      <w:r w:rsidRPr="00DB7D67">
        <w:rPr>
          <w:b/>
          <w:bCs/>
        </w:rPr>
        <w:t>Exhibit IND-16</w:t>
      </w:r>
      <w:r w:rsidRPr="00DB7D67">
        <w:t>)</w:t>
      </w:r>
      <w:r>
        <w:t>.</w:t>
      </w:r>
    </w:p>
  </w:footnote>
  <w:footnote w:id="214">
    <w:p w14:paraId="3D3B9B7E" w14:textId="77777777" w:rsidR="009F2B4B" w:rsidRDefault="009F2B4B" w:rsidP="009D14F3">
      <w:pPr>
        <w:pStyle w:val="FootnoteText"/>
      </w:pPr>
      <w:r>
        <w:rPr>
          <w:rStyle w:val="FootnoteReference"/>
        </w:rPr>
        <w:footnoteRef/>
      </w:r>
      <w:r>
        <w:t xml:space="preserve"> </w:t>
      </w:r>
      <w:r w:rsidRPr="00DB7D67">
        <w:t>Communication from Department of Food &amp; Public Distribution dated 11 July 2019 to Metals and Minerals Trading Corporation of India Ltd (</w:t>
      </w:r>
      <w:r w:rsidRPr="00DB7D67">
        <w:rPr>
          <w:b/>
          <w:bCs/>
        </w:rPr>
        <w:t>Exhibit IND-17</w:t>
      </w:r>
      <w:r w:rsidRPr="00DB7D67">
        <w:t>)</w:t>
      </w:r>
      <w:r>
        <w:t>.</w:t>
      </w:r>
    </w:p>
  </w:footnote>
  <w:footnote w:id="215">
    <w:p w14:paraId="32C8FEED" w14:textId="242F0FA9" w:rsidR="009F2B4B" w:rsidRDefault="009F2B4B" w:rsidP="009D14F3">
      <w:pPr>
        <w:pStyle w:val="FootnoteText"/>
      </w:pPr>
      <w:r>
        <w:rPr>
          <w:rStyle w:val="FootnoteReference"/>
        </w:rPr>
        <w:footnoteRef/>
      </w:r>
      <w:r>
        <w:t xml:space="preserve"> </w:t>
      </w:r>
      <w:r w:rsidRPr="00DB7D67">
        <w:t>Communication from Department of Food &amp; Public Distribution dated 11 July 2019 to State Trading Corporation of India Ltd (</w:t>
      </w:r>
      <w:r w:rsidRPr="00DB7D67">
        <w:rPr>
          <w:b/>
          <w:bCs/>
        </w:rPr>
        <w:t>Exhibit IND-18</w:t>
      </w:r>
      <w:r w:rsidRPr="00DB7D67">
        <w:t>)</w:t>
      </w:r>
      <w:r>
        <w:t>.</w:t>
      </w:r>
    </w:p>
  </w:footnote>
  <w:footnote w:id="216">
    <w:p w14:paraId="63E88EE1" w14:textId="77777777" w:rsidR="009F2B4B" w:rsidRPr="00AF4054" w:rsidRDefault="009F2B4B" w:rsidP="009D14F3">
      <w:pPr>
        <w:pStyle w:val="FootnoteText"/>
      </w:pPr>
      <w:r>
        <w:rPr>
          <w:rStyle w:val="FootnoteReference"/>
        </w:rPr>
        <w:footnoteRef/>
      </w:r>
      <w:r>
        <w:t xml:space="preserve"> See, for example, </w:t>
      </w:r>
      <w:r w:rsidRPr="00E83B04">
        <w:rPr>
          <w:rFonts w:asciiTheme="minorHAnsi" w:hAnsiTheme="minorHAnsi" w:cstheme="minorHAnsi"/>
          <w:szCs w:val="18"/>
        </w:rPr>
        <w:t>Notification F.No.1(14)/2019-SP-I of the Ministry of Consumer Affairs, Food &amp; Public Distribution, Department of Food &amp; Public Distribution of 16 September 2019</w:t>
      </w:r>
      <w:r>
        <w:rPr>
          <w:rFonts w:asciiTheme="minorHAnsi" w:hAnsiTheme="minorHAnsi" w:cstheme="minorHAnsi"/>
          <w:szCs w:val="18"/>
        </w:rPr>
        <w:t xml:space="preserve"> (</w:t>
      </w:r>
      <w:r>
        <w:rPr>
          <w:rFonts w:asciiTheme="minorHAnsi" w:hAnsiTheme="minorHAnsi" w:cstheme="minorHAnsi"/>
          <w:b/>
          <w:bCs/>
          <w:szCs w:val="18"/>
        </w:rPr>
        <w:t>Exhibit JE-115</w:t>
      </w:r>
      <w:r>
        <w:rPr>
          <w:rFonts w:asciiTheme="minorHAnsi" w:hAnsiTheme="minorHAnsi" w:cstheme="minorHAnsi"/>
          <w:szCs w:val="18"/>
        </w:rPr>
        <w:t xml:space="preserve">), annexure, and </w:t>
      </w:r>
      <w:r w:rsidRPr="00E83B04">
        <w:rPr>
          <w:rFonts w:asciiTheme="minorHAnsi" w:hAnsiTheme="minorHAnsi" w:cstheme="minorHAnsi"/>
          <w:szCs w:val="18"/>
        </w:rPr>
        <w:t>DFPD Order of 29 June 2018 regarding the final allocation of 30 Lakh MT of buffer stock to sugar mills</w:t>
      </w:r>
      <w:r>
        <w:rPr>
          <w:rFonts w:asciiTheme="minorHAnsi" w:hAnsiTheme="minorHAnsi" w:cstheme="minorHAnsi"/>
          <w:szCs w:val="18"/>
        </w:rPr>
        <w:t xml:space="preserve"> (</w:t>
      </w:r>
      <w:r>
        <w:rPr>
          <w:rFonts w:asciiTheme="minorHAnsi" w:hAnsiTheme="minorHAnsi" w:cstheme="minorHAnsi"/>
          <w:b/>
          <w:bCs/>
          <w:szCs w:val="18"/>
        </w:rPr>
        <w:t>Exhibit JE-123</w:t>
      </w:r>
      <w:r>
        <w:rPr>
          <w:rFonts w:asciiTheme="minorHAnsi" w:hAnsiTheme="minorHAnsi" w:cstheme="minorHAnsi"/>
          <w:szCs w:val="18"/>
        </w:rPr>
        <w:t>), annexure.</w:t>
      </w:r>
    </w:p>
  </w:footnote>
  <w:footnote w:id="217">
    <w:p w14:paraId="6BBE4433" w14:textId="77777777" w:rsidR="009F2B4B" w:rsidRPr="004B18E8" w:rsidRDefault="009F2B4B" w:rsidP="009D14F3">
      <w:pPr>
        <w:pStyle w:val="FootnoteText"/>
      </w:pPr>
      <w:r>
        <w:rPr>
          <w:rStyle w:val="FootnoteReference"/>
        </w:rPr>
        <w:footnoteRef/>
      </w:r>
      <w:r>
        <w:t xml:space="preserve"> See Appellate Body Report, </w:t>
      </w:r>
      <w:r>
        <w:rPr>
          <w:i/>
          <w:iCs/>
        </w:rPr>
        <w:t>Canada – Aircraft</w:t>
      </w:r>
      <w:r>
        <w:t xml:space="preserve">, paras. 198 and 203; Panel Report, </w:t>
      </w:r>
      <w:r>
        <w:rPr>
          <w:i/>
          <w:iCs/>
        </w:rPr>
        <w:t>Argentina – Textiles and Apparel</w:t>
      </w:r>
      <w:r>
        <w:t>, para. 6.39.</w:t>
      </w:r>
    </w:p>
  </w:footnote>
  <w:footnote w:id="218">
    <w:p w14:paraId="7D4B3908" w14:textId="77777777" w:rsidR="009F2B4B" w:rsidRDefault="009F2B4B" w:rsidP="009D14F3">
      <w:pPr>
        <w:pStyle w:val="FootnoteText"/>
      </w:pPr>
      <w:r>
        <w:rPr>
          <w:rStyle w:val="FootnoteReference"/>
        </w:rPr>
        <w:footnoteRef/>
      </w:r>
      <w:r>
        <w:t xml:space="preserve"> India's opening statement at the first substantive meeting, para. 17 (emphasis added). India repeated this assertion in its closing statement at the first substantive meeting, at para. 41: "As India has stated previously, the amounts provided under the MAEQ Scheme have been determined on the basis of extensive stakeholder consultations such that the lump sum amount arrived at </w:t>
      </w:r>
      <w:r w:rsidRPr="004F0A50">
        <w:rPr>
          <w:u w:val="single"/>
        </w:rPr>
        <w:t>does not exceed</w:t>
      </w:r>
      <w:r>
        <w:t xml:space="preserve"> the costs typically incurred by a sugar mill towards such expenses" (emphasis added).</w:t>
      </w:r>
    </w:p>
  </w:footnote>
  <w:footnote w:id="219">
    <w:p w14:paraId="49D7E64F" w14:textId="77777777" w:rsidR="009F2B4B" w:rsidRDefault="009F2B4B" w:rsidP="009D14F3">
      <w:pPr>
        <w:pStyle w:val="FootnoteText"/>
      </w:pPr>
      <w:r>
        <w:rPr>
          <w:rStyle w:val="FootnoteReference"/>
        </w:rPr>
        <w:footnoteRef/>
      </w:r>
      <w:r>
        <w:t xml:space="preserve"> </w:t>
      </w:r>
      <w:r>
        <w:rPr>
          <w:szCs w:val="18"/>
        </w:rPr>
        <w:t xml:space="preserve">Notification No. 1(14)/2019-S.P.-I. of the Ministry of Consumer Affairs, Food &amp; Public Distribution, Department of Food &amp; Public Distribution of 12 September 2019 </w:t>
      </w:r>
      <w:r w:rsidRPr="00C446BB">
        <w:rPr>
          <w:szCs w:val="18"/>
        </w:rPr>
        <w:t>(</w:t>
      </w:r>
      <w:r>
        <w:rPr>
          <w:b/>
          <w:bCs/>
          <w:szCs w:val="18"/>
        </w:rPr>
        <w:t>Exhibit JE-114</w:t>
      </w:r>
      <w:r w:rsidRPr="00C446BB">
        <w:rPr>
          <w:szCs w:val="18"/>
        </w:rPr>
        <w:t>)</w:t>
      </w:r>
      <w:r>
        <w:rPr>
          <w:szCs w:val="18"/>
        </w:rPr>
        <w:t xml:space="preserve">, para. 3(i)(b). </w:t>
      </w:r>
    </w:p>
  </w:footnote>
  <w:footnote w:id="220">
    <w:p w14:paraId="7AAB4F05" w14:textId="77777777" w:rsidR="009F2B4B" w:rsidRDefault="009F2B4B" w:rsidP="009D14F3">
      <w:pPr>
        <w:pStyle w:val="FootnoteText"/>
      </w:pPr>
      <w:r>
        <w:rPr>
          <w:rStyle w:val="FootnoteReference"/>
        </w:rPr>
        <w:footnoteRef/>
      </w:r>
      <w:r>
        <w:t xml:space="preserve"> India's first written submission, paras. 121–122.</w:t>
      </w:r>
    </w:p>
  </w:footnote>
  <w:footnote w:id="221">
    <w:p w14:paraId="1903695B" w14:textId="1212AD8F" w:rsidR="009F2B4B" w:rsidRPr="0084432F" w:rsidRDefault="009F2B4B" w:rsidP="009D14F3">
      <w:pPr>
        <w:pStyle w:val="FootnoteText"/>
      </w:pPr>
      <w:r>
        <w:rPr>
          <w:rStyle w:val="FootnoteReference"/>
        </w:rPr>
        <w:footnoteRef/>
      </w:r>
      <w:r>
        <w:t xml:space="preserve"> International Chamber of Commerce (ICC), Incoterms Rules, Rules for any mode or modes of transport  (</w:t>
      </w:r>
      <w:r w:rsidRPr="0054656E">
        <w:rPr>
          <w:b/>
          <w:bCs/>
        </w:rPr>
        <w:t>Exhibit JE-159</w:t>
      </w:r>
      <w:r w:rsidRPr="00825E7F">
        <w:t>).</w:t>
      </w:r>
    </w:p>
  </w:footnote>
  <w:footnote w:id="222">
    <w:p w14:paraId="32ED8952" w14:textId="77777777" w:rsidR="009F2B4B" w:rsidRPr="00AF4054" w:rsidRDefault="009F2B4B" w:rsidP="009D14F3">
      <w:pPr>
        <w:pStyle w:val="FootnoteText"/>
      </w:pPr>
      <w:r>
        <w:rPr>
          <w:rStyle w:val="FootnoteReference"/>
        </w:rPr>
        <w:footnoteRef/>
      </w:r>
      <w:r>
        <w:t xml:space="preserve"> </w:t>
      </w:r>
      <w:r w:rsidRPr="00E83B04">
        <w:rPr>
          <w:rFonts w:asciiTheme="minorHAnsi" w:hAnsiTheme="minorHAnsi" w:cstheme="minorHAnsi"/>
          <w:szCs w:val="18"/>
        </w:rPr>
        <w:t>Notification F.No.1(14)/2019-SP-I of the Ministry of Consumer Affairs, Food &amp; Public Distribution, Department of Food &amp; Public Distribution of 16 September 2019</w:t>
      </w:r>
      <w:r>
        <w:rPr>
          <w:rFonts w:asciiTheme="minorHAnsi" w:hAnsiTheme="minorHAnsi" w:cstheme="minorHAnsi"/>
          <w:szCs w:val="18"/>
        </w:rPr>
        <w:t xml:space="preserve"> (</w:t>
      </w:r>
      <w:r>
        <w:rPr>
          <w:rFonts w:asciiTheme="minorHAnsi" w:hAnsiTheme="minorHAnsi" w:cstheme="minorHAnsi"/>
          <w:b/>
          <w:bCs/>
          <w:szCs w:val="18"/>
        </w:rPr>
        <w:t>Exhibit JE-115</w:t>
      </w:r>
      <w:r>
        <w:rPr>
          <w:rFonts w:asciiTheme="minorHAnsi" w:hAnsiTheme="minorHAnsi" w:cstheme="minorHAnsi"/>
          <w:szCs w:val="18"/>
        </w:rPr>
        <w:t>), annexure, line 192.</w:t>
      </w:r>
    </w:p>
  </w:footnote>
  <w:footnote w:id="223">
    <w:p w14:paraId="5DB9F0A5" w14:textId="7198FF5E" w:rsidR="009F2B4B" w:rsidRPr="00AF4054" w:rsidRDefault="009F2B4B" w:rsidP="009D14F3">
      <w:pPr>
        <w:pStyle w:val="FootnoteText"/>
      </w:pPr>
      <w:r>
        <w:rPr>
          <w:rStyle w:val="FootnoteReference"/>
        </w:rPr>
        <w:footnoteRef/>
      </w:r>
      <w:r>
        <w:t xml:space="preserve"> </w:t>
      </w:r>
      <w:r w:rsidRPr="0054656E">
        <w:t>Tender Notice for Sale of Raw Sugar or White Sugar for Export (Shree Datta S.S.S.K. Ltd)</w:t>
      </w:r>
      <w:r w:rsidRPr="00825E7F">
        <w:t xml:space="preserve"> (</w:t>
      </w:r>
      <w:r w:rsidRPr="0054656E">
        <w:rPr>
          <w:b/>
          <w:bCs/>
        </w:rPr>
        <w:t>Exhibit JE-161</w:t>
      </w:r>
      <w:r w:rsidRPr="00825E7F">
        <w:t>),</w:t>
      </w:r>
      <w:r>
        <w:t xml:space="preserve"> p.1. </w:t>
      </w:r>
    </w:p>
  </w:footnote>
  <w:footnote w:id="224">
    <w:p w14:paraId="4151CC53" w14:textId="1589B0BD" w:rsidR="009F2B4B" w:rsidRDefault="009F2B4B" w:rsidP="009D14F3">
      <w:pPr>
        <w:pStyle w:val="FootnoteText"/>
      </w:pPr>
      <w:r>
        <w:rPr>
          <w:rStyle w:val="FootnoteReference"/>
        </w:rPr>
        <w:footnoteRef/>
      </w:r>
      <w:r>
        <w:t xml:space="preserve"> </w:t>
      </w:r>
      <w:r w:rsidRPr="0054656E">
        <w:t>Tender Notice for Sale of Raw Sugar or White Sugar for Export (Shree Datta S.S.S.K. Ltd)</w:t>
      </w:r>
      <w:r w:rsidRPr="00825E7F">
        <w:t xml:space="preserve"> (</w:t>
      </w:r>
      <w:r w:rsidRPr="0054656E">
        <w:rPr>
          <w:b/>
          <w:bCs/>
        </w:rPr>
        <w:t>Exhibit JE-161</w:t>
      </w:r>
      <w:r>
        <w:t>), lines 8.5 and 8.6.</w:t>
      </w:r>
    </w:p>
  </w:footnote>
  <w:footnote w:id="225">
    <w:p w14:paraId="7A185295" w14:textId="5E4DF23D" w:rsidR="009F2B4B" w:rsidRDefault="009F2B4B" w:rsidP="009D14F3">
      <w:pPr>
        <w:pStyle w:val="FootnoteText"/>
      </w:pPr>
      <w:r>
        <w:rPr>
          <w:rStyle w:val="FootnoteReference"/>
        </w:rPr>
        <w:footnoteRef/>
      </w:r>
      <w:r>
        <w:t xml:space="preserve"> </w:t>
      </w:r>
      <w:r w:rsidRPr="0054656E">
        <w:t>Tender Notice for Sale of Raw Sugar or White Sugar for Export (Shree Datta S.S.S.K. Ltd)</w:t>
      </w:r>
      <w:r w:rsidRPr="00825E7F">
        <w:t xml:space="preserve"> (</w:t>
      </w:r>
      <w:r w:rsidRPr="0054656E">
        <w:rPr>
          <w:b/>
          <w:bCs/>
        </w:rPr>
        <w:t>Exhibit JE-161</w:t>
      </w:r>
      <w:r>
        <w:t>), line 10.</w:t>
      </w:r>
    </w:p>
  </w:footnote>
  <w:footnote w:id="226">
    <w:p w14:paraId="12251472" w14:textId="77777777" w:rsidR="009F2B4B" w:rsidRDefault="009F2B4B" w:rsidP="009D14F3">
      <w:pPr>
        <w:pStyle w:val="FootnoteText"/>
      </w:pPr>
      <w:r>
        <w:rPr>
          <w:rStyle w:val="FootnoteReference"/>
        </w:rPr>
        <w:footnoteRef/>
      </w:r>
      <w:r>
        <w:t xml:space="preserve"> </w:t>
      </w:r>
      <w:r w:rsidRPr="00E83B04">
        <w:rPr>
          <w:rFonts w:asciiTheme="minorHAnsi" w:hAnsiTheme="minorHAnsi" w:cstheme="minorHAnsi"/>
          <w:szCs w:val="18"/>
        </w:rPr>
        <w:t>Notification F.No.1(14)/2019-SP-I of the Ministry of Consumer Affairs, Food &amp; Public Distribution, Department of Food &amp; Public Distribution of 16 September 2019</w:t>
      </w:r>
      <w:r>
        <w:rPr>
          <w:rFonts w:asciiTheme="minorHAnsi" w:hAnsiTheme="minorHAnsi" w:cstheme="minorHAnsi"/>
          <w:szCs w:val="18"/>
        </w:rPr>
        <w:t xml:space="preserve"> (</w:t>
      </w:r>
      <w:r>
        <w:rPr>
          <w:rFonts w:asciiTheme="minorHAnsi" w:hAnsiTheme="minorHAnsi" w:cstheme="minorHAnsi"/>
          <w:b/>
          <w:bCs/>
          <w:szCs w:val="18"/>
        </w:rPr>
        <w:t>Exhibit JE-115</w:t>
      </w:r>
      <w:r>
        <w:rPr>
          <w:rFonts w:asciiTheme="minorHAnsi" w:hAnsiTheme="minorHAnsi" w:cstheme="minorHAnsi"/>
          <w:szCs w:val="18"/>
        </w:rPr>
        <w:t>), annexure, line 508.</w:t>
      </w:r>
    </w:p>
  </w:footnote>
  <w:footnote w:id="227">
    <w:p w14:paraId="338E05B3" w14:textId="6F52F51C" w:rsidR="009F2B4B" w:rsidRPr="00AF4054" w:rsidRDefault="009F2B4B" w:rsidP="009D14F3">
      <w:pPr>
        <w:pStyle w:val="FootnoteText"/>
      </w:pPr>
      <w:r>
        <w:rPr>
          <w:rStyle w:val="FootnoteReference"/>
        </w:rPr>
        <w:footnoteRef/>
      </w:r>
      <w:r>
        <w:t xml:space="preserve"> Tender Notice for Export of Sugar (Jawahar S.S.S.K. Ltd) (</w:t>
      </w:r>
      <w:r w:rsidRPr="0054656E">
        <w:rPr>
          <w:b/>
          <w:bCs/>
        </w:rPr>
        <w:t>Exhibit JE-160</w:t>
      </w:r>
      <w:r>
        <w:t>), para. 4.</w:t>
      </w:r>
    </w:p>
  </w:footnote>
  <w:footnote w:id="228">
    <w:p w14:paraId="6A7D64EA" w14:textId="77777777" w:rsidR="009F2B4B" w:rsidRDefault="009F2B4B" w:rsidP="009D14F3">
      <w:pPr>
        <w:pStyle w:val="FootnoteText"/>
      </w:pPr>
      <w:r>
        <w:rPr>
          <w:rStyle w:val="FootnoteReference"/>
        </w:rPr>
        <w:footnoteRef/>
      </w:r>
      <w:r>
        <w:t xml:space="preserve"> </w:t>
      </w:r>
      <w:r w:rsidRPr="00E83B04">
        <w:rPr>
          <w:rFonts w:asciiTheme="minorHAnsi" w:hAnsiTheme="minorHAnsi" w:cstheme="minorHAnsi"/>
          <w:szCs w:val="18"/>
        </w:rPr>
        <w:t>Notification F.No.1(14)/2019-SP-I of the Ministry of Consumer Affairs, Food &amp; Public Distribution, Department of Food &amp; Public Distribution of 16 September 2019</w:t>
      </w:r>
      <w:r>
        <w:rPr>
          <w:rFonts w:asciiTheme="minorHAnsi" w:hAnsiTheme="minorHAnsi" w:cstheme="minorHAnsi"/>
          <w:szCs w:val="18"/>
        </w:rPr>
        <w:t xml:space="preserve"> (</w:t>
      </w:r>
      <w:r>
        <w:rPr>
          <w:rFonts w:asciiTheme="minorHAnsi" w:hAnsiTheme="minorHAnsi" w:cstheme="minorHAnsi"/>
          <w:b/>
          <w:bCs/>
          <w:szCs w:val="18"/>
        </w:rPr>
        <w:t>Exhibit JE-115</w:t>
      </w:r>
      <w:r>
        <w:rPr>
          <w:rFonts w:asciiTheme="minorHAnsi" w:hAnsiTheme="minorHAnsi" w:cstheme="minorHAnsi"/>
          <w:szCs w:val="18"/>
        </w:rPr>
        <w:t>), annexure, lines 20 and 19.</w:t>
      </w:r>
    </w:p>
  </w:footnote>
  <w:footnote w:id="229">
    <w:p w14:paraId="67954A62" w14:textId="5C92230A" w:rsidR="009F2B4B" w:rsidRDefault="009F2B4B" w:rsidP="009D14F3">
      <w:pPr>
        <w:pStyle w:val="FootnoteText"/>
      </w:pPr>
      <w:r>
        <w:rPr>
          <w:rStyle w:val="FootnoteReference"/>
        </w:rPr>
        <w:footnoteRef/>
      </w:r>
      <w:r w:rsidRPr="0054656E">
        <w:rPr>
          <w:lang w:val="fr-FR"/>
        </w:rPr>
        <w:t xml:space="preserve"> HPCL Biofuels Ltd Sugar Export Contracts Specifications (</w:t>
      </w:r>
      <w:r w:rsidRPr="0054656E">
        <w:rPr>
          <w:b/>
          <w:bCs/>
          <w:lang w:val="fr-FR"/>
        </w:rPr>
        <w:t>Exhibit JE-162</w:t>
      </w:r>
      <w:r w:rsidRPr="0054656E">
        <w:rPr>
          <w:lang w:val="fr-FR"/>
        </w:rPr>
        <w:t xml:space="preserve">), paras. </w:t>
      </w:r>
      <w:r>
        <w:t xml:space="preserve">3.11.7 and 3.11.8. </w:t>
      </w:r>
    </w:p>
  </w:footnote>
  <w:footnote w:id="230">
    <w:p w14:paraId="65538896" w14:textId="6D5717D0" w:rsidR="009F2B4B" w:rsidRDefault="009F2B4B" w:rsidP="009D14F3">
      <w:pPr>
        <w:pStyle w:val="FootnoteText"/>
      </w:pPr>
      <w:r>
        <w:rPr>
          <w:rStyle w:val="FootnoteReference"/>
        </w:rPr>
        <w:footnoteRef/>
      </w:r>
      <w:r w:rsidRPr="005852FA">
        <w:t xml:space="preserve"> HPCL Biofuels Ltd Sugar Export Contracts Specifications (</w:t>
      </w:r>
      <w:r w:rsidRPr="005852FA">
        <w:rPr>
          <w:b/>
          <w:bCs/>
        </w:rPr>
        <w:t>Exhibit JE-162</w:t>
      </w:r>
      <w:r w:rsidRPr="005852FA">
        <w:t xml:space="preserve">), paras. </w:t>
      </w:r>
      <w:r>
        <w:t>7.1.4, 7.1.5 and 7.1.7.</w:t>
      </w:r>
    </w:p>
  </w:footnote>
  <w:footnote w:id="231">
    <w:p w14:paraId="0C3CC6F9" w14:textId="77777777" w:rsidR="008459E9" w:rsidRDefault="008459E9" w:rsidP="008459E9">
      <w:pPr>
        <w:pStyle w:val="FootnoteText"/>
      </w:pPr>
      <w:r>
        <w:rPr>
          <w:rStyle w:val="FootnoteReference"/>
        </w:rPr>
        <w:footnoteRef/>
      </w:r>
      <w:r>
        <w:t xml:space="preserve"> India's opening statement at the first substantive meeting, para. 15.</w:t>
      </w:r>
    </w:p>
  </w:footnote>
  <w:footnote w:id="232">
    <w:p w14:paraId="731C7ECF" w14:textId="3A50EBC7" w:rsidR="008459E9" w:rsidRDefault="008459E9">
      <w:pPr>
        <w:pStyle w:val="FootnoteText"/>
      </w:pPr>
      <w:r>
        <w:rPr>
          <w:rStyle w:val="FootnoteReference"/>
        </w:rPr>
        <w:footnoteRef/>
      </w:r>
      <w:r>
        <w:t xml:space="preserve"> </w:t>
      </w:r>
      <w:r w:rsidRPr="008459E9">
        <w:t>India's opening statement at the first substantive meeting, para. 1</w:t>
      </w:r>
      <w:r>
        <w:t>7.</w:t>
      </w:r>
    </w:p>
  </w:footnote>
  <w:footnote w:id="233">
    <w:p w14:paraId="69F43D10" w14:textId="54955A29" w:rsidR="009F2B4B" w:rsidRDefault="009F2B4B" w:rsidP="009D14F3">
      <w:pPr>
        <w:pStyle w:val="FootnoteText"/>
      </w:pPr>
      <w:r>
        <w:rPr>
          <w:rStyle w:val="FootnoteReference"/>
        </w:rPr>
        <w:footnoteRef/>
      </w:r>
      <w:r>
        <w:t xml:space="preserve"> International Chamber of Commerce (ICC), Incoterms Rules, Rules for any mode or modes of transport " (</w:t>
      </w:r>
      <w:r w:rsidRPr="0054656E">
        <w:rPr>
          <w:b/>
          <w:bCs/>
        </w:rPr>
        <w:t>Exhibit JE-159</w:t>
      </w:r>
      <w:r>
        <w:t>).</w:t>
      </w:r>
    </w:p>
  </w:footnote>
  <w:footnote w:id="234">
    <w:p w14:paraId="59D77BAF" w14:textId="77777777" w:rsidR="009F2B4B" w:rsidRDefault="009F2B4B" w:rsidP="009D14F3">
      <w:pPr>
        <w:pStyle w:val="FootnoteText"/>
      </w:pPr>
      <w:r>
        <w:rPr>
          <w:rStyle w:val="FootnoteReference"/>
        </w:rPr>
        <w:footnoteRef/>
      </w:r>
      <w:r>
        <w:t xml:space="preserve"> Guatemala's opening statement at the first substantive meeting, para. 4.25.</w:t>
      </w:r>
    </w:p>
  </w:footnote>
  <w:footnote w:id="235">
    <w:p w14:paraId="3AB0BF7E" w14:textId="193BE2A6" w:rsidR="009F2B4B" w:rsidRPr="005B1CEB" w:rsidRDefault="009F2B4B" w:rsidP="009D14F3">
      <w:pPr>
        <w:pStyle w:val="FootnoteText"/>
      </w:pPr>
      <w:r>
        <w:rPr>
          <w:rStyle w:val="FootnoteReference"/>
        </w:rPr>
        <w:footnoteRef/>
      </w:r>
      <w:r>
        <w:t xml:space="preserve"> Green Pool Commodity Specialists, Consultancy Report, February 2021 (</w:t>
      </w:r>
      <w:r w:rsidRPr="0054656E">
        <w:rPr>
          <w:b/>
          <w:bCs/>
        </w:rPr>
        <w:t>Exhibit JE-165</w:t>
      </w:r>
      <w:r w:rsidRPr="00825E7F">
        <w:t>),</w:t>
      </w:r>
      <w:r>
        <w:t xml:space="preserve"> Table 1.</w:t>
      </w:r>
    </w:p>
  </w:footnote>
  <w:footnote w:id="236">
    <w:p w14:paraId="29AF133A" w14:textId="2F848EB4" w:rsidR="009F2B4B" w:rsidRDefault="009F2B4B" w:rsidP="009D14F3">
      <w:pPr>
        <w:pStyle w:val="FootnoteText"/>
      </w:pPr>
      <w:r>
        <w:rPr>
          <w:rStyle w:val="FootnoteReference"/>
        </w:rPr>
        <w:footnoteRef/>
      </w:r>
      <w:r>
        <w:t xml:space="preserve"> Green Pool Commodity Specialists, Consultancy Report, February 2021 (</w:t>
      </w:r>
      <w:r w:rsidRPr="0054656E">
        <w:rPr>
          <w:b/>
          <w:bCs/>
        </w:rPr>
        <w:t>Exhibit JE-165</w:t>
      </w:r>
      <w:r>
        <w:t>), Table 1.</w:t>
      </w:r>
    </w:p>
  </w:footnote>
  <w:footnote w:id="237">
    <w:p w14:paraId="3C81525D" w14:textId="7B8BAEEC" w:rsidR="009F2B4B" w:rsidRDefault="009F2B4B" w:rsidP="009D14F3">
      <w:pPr>
        <w:pStyle w:val="FootnoteText"/>
      </w:pPr>
      <w:r>
        <w:rPr>
          <w:rStyle w:val="FootnoteReference"/>
        </w:rPr>
        <w:footnoteRef/>
      </w:r>
      <w:r>
        <w:t xml:space="preserve"> Green Pool Commodity Specialists, Consultancy Report, February 2021 (</w:t>
      </w:r>
      <w:r w:rsidRPr="0054656E">
        <w:rPr>
          <w:b/>
          <w:bCs/>
        </w:rPr>
        <w:t>Exhibit JE-165</w:t>
      </w:r>
      <w:r>
        <w:t>), Table 1.</w:t>
      </w:r>
    </w:p>
  </w:footnote>
  <w:footnote w:id="238">
    <w:p w14:paraId="48419FC3" w14:textId="1BED1D40" w:rsidR="009F2B4B" w:rsidRDefault="009F2B4B" w:rsidP="009D14F3">
      <w:pPr>
        <w:pStyle w:val="FootnoteText"/>
      </w:pPr>
      <w:r>
        <w:rPr>
          <w:rStyle w:val="FootnoteReference"/>
        </w:rPr>
        <w:footnoteRef/>
      </w:r>
      <w:r>
        <w:t xml:space="preserve"> Green Pool Commodity Specialists, Consultancy Report, February 2021 (</w:t>
      </w:r>
      <w:r w:rsidRPr="0054656E">
        <w:rPr>
          <w:b/>
          <w:bCs/>
        </w:rPr>
        <w:t>Exhibit JE-165</w:t>
      </w:r>
      <w:r>
        <w:t>), Table 3.</w:t>
      </w:r>
    </w:p>
  </w:footnote>
  <w:footnote w:id="239">
    <w:p w14:paraId="189ADDD9" w14:textId="58596932" w:rsidR="009F2B4B" w:rsidRDefault="009F2B4B" w:rsidP="009D14F3">
      <w:pPr>
        <w:pStyle w:val="FootnoteText"/>
      </w:pPr>
      <w:r>
        <w:rPr>
          <w:rStyle w:val="FootnoteReference"/>
        </w:rPr>
        <w:footnoteRef/>
      </w:r>
      <w:r>
        <w:t xml:space="preserve"> Green Pool Commodity Specialists, Consultancy Report, February 2021 (</w:t>
      </w:r>
      <w:r w:rsidRPr="0054656E">
        <w:rPr>
          <w:b/>
          <w:bCs/>
        </w:rPr>
        <w:t xml:space="preserve">Exhibit </w:t>
      </w:r>
      <w:r>
        <w:rPr>
          <w:b/>
          <w:bCs/>
        </w:rPr>
        <w:t>JE</w:t>
      </w:r>
      <w:r w:rsidRPr="0054656E">
        <w:rPr>
          <w:b/>
          <w:bCs/>
        </w:rPr>
        <w:t>-165</w:t>
      </w:r>
      <w:r>
        <w:t>), Table 4 and Appendices 1–21 (</w:t>
      </w:r>
      <w:r w:rsidRPr="00404DD2">
        <w:rPr>
          <w:b/>
          <w:bCs/>
        </w:rPr>
        <w:t xml:space="preserve">Exhibit </w:t>
      </w:r>
      <w:r>
        <w:rPr>
          <w:b/>
          <w:bCs/>
        </w:rPr>
        <w:t>JE</w:t>
      </w:r>
      <w:r w:rsidRPr="00404DD2">
        <w:rPr>
          <w:b/>
          <w:bCs/>
        </w:rPr>
        <w:t>-165</w:t>
      </w:r>
      <w:r>
        <w:rPr>
          <w:b/>
          <w:bCs/>
        </w:rPr>
        <w:t xml:space="preserve"> Appendices 1</w:t>
      </w:r>
      <w:r w:rsidRPr="00452152">
        <w:rPr>
          <w:b/>
          <w:bCs/>
        </w:rPr>
        <w:t>–</w:t>
      </w:r>
      <w:r>
        <w:rPr>
          <w:b/>
          <w:bCs/>
        </w:rPr>
        <w:t>21</w:t>
      </w:r>
      <w:r w:rsidRPr="0054656E">
        <w:t>)</w:t>
      </w:r>
      <w:r>
        <w:t>.</w:t>
      </w:r>
    </w:p>
  </w:footnote>
  <w:footnote w:id="240">
    <w:p w14:paraId="083D97CA" w14:textId="2D6D4A38" w:rsidR="009F2B4B" w:rsidRDefault="009F2B4B" w:rsidP="009D14F3">
      <w:pPr>
        <w:pStyle w:val="FootnoteText"/>
      </w:pPr>
      <w:r>
        <w:rPr>
          <w:rStyle w:val="FootnoteReference"/>
        </w:rPr>
        <w:footnoteRef/>
      </w:r>
      <w:r>
        <w:t xml:space="preserve"> Green Pool Commodity Specialists, Consultancy Report, February 2021 (</w:t>
      </w:r>
      <w:r w:rsidRPr="0054656E">
        <w:rPr>
          <w:b/>
          <w:bCs/>
        </w:rPr>
        <w:t>Exhibit JE-165</w:t>
      </w:r>
      <w:r>
        <w:t>), p. 5, note 4.</w:t>
      </w:r>
    </w:p>
  </w:footnote>
  <w:footnote w:id="241">
    <w:p w14:paraId="3DF4DE93" w14:textId="77777777" w:rsidR="009F2B4B" w:rsidRDefault="009F2B4B" w:rsidP="009D14F3">
      <w:pPr>
        <w:pStyle w:val="FootnoteText"/>
      </w:pPr>
      <w:r>
        <w:rPr>
          <w:rStyle w:val="FootnoteReference"/>
        </w:rPr>
        <w:footnoteRef/>
      </w:r>
      <w:r>
        <w:t xml:space="preserve"> Australia's response to Panel question 56(a), paras. 43–45.</w:t>
      </w:r>
    </w:p>
  </w:footnote>
  <w:footnote w:id="242">
    <w:p w14:paraId="760B7E19" w14:textId="77777777" w:rsidR="009F2B4B" w:rsidRDefault="009F2B4B" w:rsidP="009D14F3">
      <w:pPr>
        <w:pStyle w:val="FootnoteText"/>
      </w:pPr>
      <w:r>
        <w:rPr>
          <w:rStyle w:val="FootnoteReference"/>
        </w:rPr>
        <w:footnoteRef/>
      </w:r>
      <w:r>
        <w:t xml:space="preserve"> Agreement on Agriculture, Article 9.1(d); Australia's response to Panel question 56(a), para. 37.</w:t>
      </w:r>
    </w:p>
  </w:footnote>
  <w:footnote w:id="243">
    <w:p w14:paraId="31F176F9" w14:textId="77777777" w:rsidR="009F2B4B" w:rsidRDefault="009F2B4B" w:rsidP="009D14F3">
      <w:pPr>
        <w:pStyle w:val="FootnoteText"/>
      </w:pPr>
      <w:r>
        <w:rPr>
          <w:rStyle w:val="FootnoteReference"/>
        </w:rPr>
        <w:footnoteRef/>
      </w:r>
      <w:r>
        <w:t xml:space="preserve"> </w:t>
      </w:r>
      <w:r>
        <w:rPr>
          <w:szCs w:val="18"/>
        </w:rPr>
        <w:t xml:space="preserve">Notification No. 1(14)/2019-S.P.-I. of the Ministry of Consumer Affairs, Food &amp; Public Distribution, Department of Food &amp; Public Distribution of 12 September 2019 </w:t>
      </w:r>
      <w:r w:rsidRPr="00F044E7">
        <w:rPr>
          <w:szCs w:val="18"/>
        </w:rPr>
        <w:t>(</w:t>
      </w:r>
      <w:r>
        <w:rPr>
          <w:b/>
          <w:bCs/>
          <w:szCs w:val="18"/>
        </w:rPr>
        <w:t>Exhibit JE-114</w:t>
      </w:r>
      <w:r w:rsidRPr="00F044E7">
        <w:rPr>
          <w:szCs w:val="18"/>
        </w:rPr>
        <w:t>)</w:t>
      </w:r>
      <w:r>
        <w:rPr>
          <w:szCs w:val="18"/>
        </w:rPr>
        <w:t>, paras. 3(i)(c).</w:t>
      </w:r>
    </w:p>
  </w:footnote>
  <w:footnote w:id="244">
    <w:p w14:paraId="176E0BE5" w14:textId="77777777" w:rsidR="009F2B4B" w:rsidRDefault="009F2B4B" w:rsidP="009D14F3">
      <w:pPr>
        <w:pStyle w:val="FootnoteText"/>
      </w:pPr>
      <w:r>
        <w:rPr>
          <w:rStyle w:val="FootnoteReference"/>
        </w:rPr>
        <w:footnoteRef/>
      </w:r>
      <w:r>
        <w:t xml:space="preserve"> India's first written submission, paras. 118 and 120.</w:t>
      </w:r>
    </w:p>
  </w:footnote>
  <w:footnote w:id="245">
    <w:p w14:paraId="73CB1712" w14:textId="273D1619" w:rsidR="009F2B4B" w:rsidRDefault="009F2B4B" w:rsidP="009D14F3">
      <w:pPr>
        <w:pStyle w:val="FootnoteText"/>
      </w:pPr>
      <w:r>
        <w:rPr>
          <w:rStyle w:val="FootnoteReference"/>
        </w:rPr>
        <w:footnoteRef/>
      </w:r>
      <w:r>
        <w:t xml:space="preserve"> International Chamber of Commerce (ICC), Incoterms Rules, Rules for any mode or modes of transport (</w:t>
      </w:r>
      <w:r w:rsidRPr="0054656E">
        <w:rPr>
          <w:b/>
          <w:bCs/>
        </w:rPr>
        <w:t>Exhibit JE-159</w:t>
      </w:r>
      <w:r>
        <w:t>).</w:t>
      </w:r>
    </w:p>
  </w:footnote>
  <w:footnote w:id="246">
    <w:p w14:paraId="5141074C" w14:textId="4BFBD488" w:rsidR="009F2B4B" w:rsidRDefault="009F2B4B" w:rsidP="009D14F3">
      <w:pPr>
        <w:pStyle w:val="FootnoteText"/>
      </w:pPr>
      <w:r>
        <w:rPr>
          <w:rStyle w:val="FootnoteReference"/>
        </w:rPr>
        <w:footnoteRef/>
      </w:r>
      <w:r>
        <w:t xml:space="preserve"> See Reuters, "Indian sugar mills clinch export deals as prices jump – industry", 7 January 2021 (</w:t>
      </w:r>
      <w:r w:rsidRPr="0054656E">
        <w:rPr>
          <w:b/>
          <w:bCs/>
        </w:rPr>
        <w:t>Exhibit JE-163</w:t>
      </w:r>
      <w:r>
        <w:t xml:space="preserve">): "Contracts were signed between $375 and $395 a tonne </w:t>
      </w:r>
      <w:r w:rsidRPr="00C446BB">
        <w:rPr>
          <w:u w:val="single"/>
        </w:rPr>
        <w:t>on a free-on-board (FOB) basis</w:t>
      </w:r>
      <w:r>
        <w:t xml:space="preserve">, three dealers directly involved in the deals said." (emphasis added). </w:t>
      </w:r>
      <w:r w:rsidRPr="005852FA">
        <w:rPr>
          <w:i/>
          <w:iCs/>
        </w:rPr>
        <w:t>See also</w:t>
      </w:r>
      <w:r w:rsidR="006B6CBF">
        <w:t>,</w:t>
      </w:r>
      <w:r>
        <w:t xml:space="preserve"> Reuters, "Indian sugar exports poised to hit record 5 million tonnes by this year", 17 December 2019 (</w:t>
      </w:r>
      <w:r w:rsidRPr="0054656E">
        <w:rPr>
          <w:b/>
          <w:bCs/>
        </w:rPr>
        <w:t>Exhibit JE-164</w:t>
      </w:r>
      <w:r>
        <w:t xml:space="preserve">): "Traders have contracted to export raw sugar at an average $300 a tonne and white sugar $300 a tonne </w:t>
      </w:r>
      <w:r w:rsidRPr="00C446BB">
        <w:rPr>
          <w:u w:val="single"/>
        </w:rPr>
        <w:t>on a free-on-board (FOB) basis</w:t>
      </w:r>
      <w:r>
        <w:t xml:space="preserve">, three dealers directly involved in the deals said" (emphasis added).  </w:t>
      </w:r>
    </w:p>
  </w:footnote>
  <w:footnote w:id="247">
    <w:p w14:paraId="46C1CEE4" w14:textId="77777777" w:rsidR="009F2B4B" w:rsidRDefault="009F2B4B" w:rsidP="009D14F3">
      <w:pPr>
        <w:pStyle w:val="FootnoteText"/>
      </w:pPr>
      <w:r>
        <w:rPr>
          <w:rStyle w:val="FootnoteReference"/>
        </w:rPr>
        <w:footnoteRef/>
      </w:r>
      <w:r>
        <w:t xml:space="preserve"> India's opening statement at the first substantive meeting, para. 15.</w:t>
      </w:r>
    </w:p>
  </w:footnote>
  <w:footnote w:id="248">
    <w:p w14:paraId="142AEA55" w14:textId="4B65997B" w:rsidR="009F2B4B" w:rsidRDefault="009F2B4B" w:rsidP="009D14F3">
      <w:pPr>
        <w:pStyle w:val="FootnoteText"/>
      </w:pPr>
      <w:r>
        <w:rPr>
          <w:rStyle w:val="FootnoteReference"/>
        </w:rPr>
        <w:footnoteRef/>
      </w:r>
      <w:r>
        <w:t xml:space="preserve"> Avadh Sugar &amp; Energy Limited Annual Report 2019–20 (</w:t>
      </w:r>
      <w:r w:rsidRPr="0054656E">
        <w:rPr>
          <w:b/>
          <w:bCs/>
        </w:rPr>
        <w:t>Exhibit JE-158</w:t>
      </w:r>
      <w:r w:rsidRPr="00825E7F">
        <w:t>),</w:t>
      </w:r>
      <w:r>
        <w:t xml:space="preserve"> p. 92, note 3.14.</w:t>
      </w:r>
    </w:p>
  </w:footnote>
  <w:footnote w:id="249">
    <w:p w14:paraId="4D6C68C3" w14:textId="17A5E207" w:rsidR="009F2B4B" w:rsidRDefault="009F2B4B" w:rsidP="009D14F3">
      <w:pPr>
        <w:pStyle w:val="FootnoteText"/>
      </w:pPr>
      <w:r>
        <w:rPr>
          <w:rStyle w:val="FootnoteReference"/>
        </w:rPr>
        <w:footnoteRef/>
      </w:r>
      <w:r>
        <w:t xml:space="preserve"> Avadh Sugar &amp; Energy Limited Annual Report 2019–20 (</w:t>
      </w:r>
      <w:r w:rsidRPr="0054656E">
        <w:rPr>
          <w:b/>
          <w:bCs/>
        </w:rPr>
        <w:t>Exhibit JE-158</w:t>
      </w:r>
      <w:r w:rsidRPr="00825E7F">
        <w:t>),</w:t>
      </w:r>
      <w:r>
        <w:t xml:space="preserve"> p. 125, note 46(b), read together with p. 111, note 28.</w:t>
      </w:r>
    </w:p>
  </w:footnote>
  <w:footnote w:id="250">
    <w:p w14:paraId="0999E5C3" w14:textId="77777777" w:rsidR="009F2B4B" w:rsidRPr="00D61392" w:rsidRDefault="009F2B4B" w:rsidP="00CC1F0D">
      <w:pPr>
        <w:pStyle w:val="FootnoteText"/>
      </w:pPr>
      <w:r>
        <w:rPr>
          <w:rStyle w:val="FootnoteReference"/>
        </w:rPr>
        <w:footnoteRef/>
      </w:r>
      <w:r>
        <w:t xml:space="preserve"> Balrampur Chini Mills Limited 2019–20 (</w:t>
      </w:r>
      <w:r>
        <w:rPr>
          <w:b/>
          <w:bCs/>
        </w:rPr>
        <w:t>Exhibit JE-157</w:t>
      </w:r>
      <w:r>
        <w:t>), p. 206, note 36, Table 8, item (e), read together with p. 207, fn. (vii).</w:t>
      </w:r>
    </w:p>
  </w:footnote>
  <w:footnote w:id="251">
    <w:p w14:paraId="5BB7D4E8" w14:textId="77777777" w:rsidR="009F2B4B" w:rsidRDefault="009F2B4B" w:rsidP="00CC1F0D">
      <w:pPr>
        <w:pStyle w:val="FootnoteText"/>
      </w:pPr>
      <w:r>
        <w:rPr>
          <w:rStyle w:val="FootnoteReference"/>
        </w:rPr>
        <w:footnoteRef/>
      </w:r>
      <w:r>
        <w:t xml:space="preserve"> Dhampur Sugar Mills Limited Annual Report 2019-20 </w:t>
      </w:r>
      <w:r w:rsidRPr="00C446BB">
        <w:rPr>
          <w:bCs/>
        </w:rPr>
        <w:t>(</w:t>
      </w:r>
      <w:r>
        <w:rPr>
          <w:b/>
        </w:rPr>
        <w:t>Exhibit JE-149</w:t>
      </w:r>
      <w:r w:rsidRPr="00C446BB">
        <w:rPr>
          <w:bCs/>
        </w:rPr>
        <w:t>)</w:t>
      </w:r>
      <w:r>
        <w:t>, p. 161, note 40, item 1(iii) and p. 162, note (c).</w:t>
      </w:r>
    </w:p>
  </w:footnote>
  <w:footnote w:id="252">
    <w:p w14:paraId="31369A74" w14:textId="77777777" w:rsidR="009F2B4B" w:rsidRPr="00D61392" w:rsidRDefault="009F2B4B" w:rsidP="00CC1F0D">
      <w:pPr>
        <w:pStyle w:val="FootnoteText"/>
      </w:pPr>
      <w:r>
        <w:rPr>
          <w:rStyle w:val="FootnoteReference"/>
        </w:rPr>
        <w:footnoteRef/>
      </w:r>
      <w:r>
        <w:t xml:space="preserve"> Fundoodata, Top 10 Sugar Companies in India (</w:t>
      </w:r>
      <w:r>
        <w:rPr>
          <w:b/>
          <w:bCs/>
        </w:rPr>
        <w:t>Exhibit JE-166</w:t>
      </w:r>
      <w:r>
        <w:t>).</w:t>
      </w:r>
    </w:p>
  </w:footnote>
  <w:footnote w:id="253">
    <w:p w14:paraId="285498C3" w14:textId="77777777" w:rsidR="009F2B4B" w:rsidRDefault="009F2B4B" w:rsidP="009D14F3">
      <w:pPr>
        <w:pStyle w:val="FootnoteText"/>
      </w:pPr>
      <w:r>
        <w:rPr>
          <w:rStyle w:val="FootnoteReference"/>
        </w:rPr>
        <w:footnoteRef/>
      </w:r>
      <w:r>
        <w:t xml:space="preserve"> Australia’s first written submission, paras. 210</w:t>
      </w:r>
      <w:r>
        <w:softHyphen/>
        <w:t>–216.</w:t>
      </w:r>
    </w:p>
  </w:footnote>
  <w:footnote w:id="254">
    <w:p w14:paraId="5075334D" w14:textId="3C789435" w:rsidR="009F2B4B" w:rsidRDefault="009F2B4B" w:rsidP="009D14F3">
      <w:pPr>
        <w:pStyle w:val="FootnoteText"/>
      </w:pPr>
      <w:r>
        <w:rPr>
          <w:rStyle w:val="FootnoteReference"/>
        </w:rPr>
        <w:footnoteRef/>
      </w:r>
      <w:r>
        <w:t xml:space="preserve"> SCM Agreement, Article 27.1.</w:t>
      </w:r>
    </w:p>
  </w:footnote>
  <w:footnote w:id="255">
    <w:p w14:paraId="3B3DEF3C" w14:textId="7475447E" w:rsidR="009F2B4B" w:rsidRDefault="009F2B4B" w:rsidP="009D14F3">
      <w:pPr>
        <w:pStyle w:val="FootnoteText"/>
      </w:pPr>
      <w:r>
        <w:rPr>
          <w:rStyle w:val="FootnoteReference"/>
        </w:rPr>
        <w:footnoteRef/>
      </w:r>
      <w:r>
        <w:t xml:space="preserve"> SCM Agreement, Articles 27.2(b) and 27.4.</w:t>
      </w:r>
    </w:p>
  </w:footnote>
  <w:footnote w:id="256">
    <w:p w14:paraId="520F979A" w14:textId="51D1844B" w:rsidR="009F2B4B" w:rsidRDefault="009F2B4B" w:rsidP="009D14F3">
      <w:pPr>
        <w:pStyle w:val="FootnoteText"/>
      </w:pPr>
      <w:r>
        <w:rPr>
          <w:rStyle w:val="FootnoteReference"/>
        </w:rPr>
        <w:footnoteRef/>
      </w:r>
      <w:r>
        <w:t xml:space="preserve"> SCM Agreement, Annex VII(b).</w:t>
      </w:r>
    </w:p>
  </w:footnote>
  <w:footnote w:id="257">
    <w:p w14:paraId="3B37E1BC" w14:textId="77777777" w:rsidR="009F2B4B" w:rsidRDefault="009F2B4B" w:rsidP="009D14F3">
      <w:pPr>
        <w:pStyle w:val="FootnoteText"/>
      </w:pPr>
      <w:r>
        <w:rPr>
          <w:rStyle w:val="FootnoteReference"/>
        </w:rPr>
        <w:footnoteRef/>
      </w:r>
      <w:r>
        <w:t xml:space="preserve"> India's first written submission, para. 132.</w:t>
      </w:r>
    </w:p>
  </w:footnote>
  <w:footnote w:id="258">
    <w:p w14:paraId="69DBCDA0" w14:textId="77777777" w:rsidR="009F2B4B" w:rsidRDefault="009F2B4B" w:rsidP="009D14F3">
      <w:pPr>
        <w:pStyle w:val="FootnoteText"/>
      </w:pPr>
      <w:r>
        <w:rPr>
          <w:rStyle w:val="FootnoteReference"/>
        </w:rPr>
        <w:footnoteRef/>
      </w:r>
      <w:r>
        <w:t xml:space="preserve"> India's first written submission, para. 144.</w:t>
      </w:r>
    </w:p>
  </w:footnote>
  <w:footnote w:id="259">
    <w:p w14:paraId="306C5548" w14:textId="0E9193DF" w:rsidR="009F2B4B" w:rsidRDefault="009F2B4B" w:rsidP="009D14F3">
      <w:pPr>
        <w:pStyle w:val="FootnoteText"/>
      </w:pPr>
      <w:r>
        <w:rPr>
          <w:rStyle w:val="FootnoteReference"/>
        </w:rPr>
        <w:footnoteRef/>
      </w:r>
      <w:r>
        <w:t xml:space="preserve"> See footnote </w:t>
      </w:r>
      <w:r>
        <w:fldChar w:fldCharType="begin"/>
      </w:r>
      <w:r>
        <w:instrText xml:space="preserve"> NOTEREF _Ref63622584 \h </w:instrText>
      </w:r>
      <w:r>
        <w:fldChar w:fldCharType="separate"/>
      </w:r>
      <w:r w:rsidR="00FF2871">
        <w:t>32</w:t>
      </w:r>
      <w:r>
        <w:fldChar w:fldCharType="end"/>
      </w:r>
      <w:r>
        <w:t xml:space="preserve"> above. </w:t>
      </w:r>
    </w:p>
  </w:footnote>
  <w:footnote w:id="260">
    <w:p w14:paraId="3D42AD55" w14:textId="77777777" w:rsidR="009F2B4B" w:rsidRPr="00447FEF" w:rsidRDefault="009F2B4B" w:rsidP="008772D4">
      <w:pPr>
        <w:pStyle w:val="FootnoteText"/>
      </w:pPr>
      <w:r>
        <w:rPr>
          <w:rStyle w:val="FootnoteReference"/>
        </w:rPr>
        <w:footnoteRef/>
      </w:r>
      <w:r>
        <w:t xml:space="preserve"> Appellate Body Report, </w:t>
      </w:r>
      <w:r>
        <w:rPr>
          <w:i/>
        </w:rPr>
        <w:t xml:space="preserve">Peru – Agricultural Products, </w:t>
      </w:r>
      <w:r>
        <w:t>para. 5.94.</w:t>
      </w:r>
    </w:p>
  </w:footnote>
  <w:footnote w:id="261">
    <w:p w14:paraId="42005D10" w14:textId="77777777" w:rsidR="009F2B4B" w:rsidRDefault="009F2B4B" w:rsidP="008772D4">
      <w:pPr>
        <w:pStyle w:val="FootnoteText"/>
      </w:pPr>
      <w:r>
        <w:rPr>
          <w:rStyle w:val="FootnoteReference"/>
        </w:rPr>
        <w:footnoteRef/>
      </w:r>
      <w:r>
        <w:t xml:space="preserve"> Appellate Body Report, </w:t>
      </w:r>
      <w:r>
        <w:rPr>
          <w:i/>
        </w:rPr>
        <w:t xml:space="preserve">Peru – Agricultural Products, </w:t>
      </w:r>
      <w:r>
        <w:t xml:space="preserve">para. 5.94. </w:t>
      </w:r>
      <w:r w:rsidRPr="000C7E34">
        <w:rPr>
          <w:i/>
          <w:iCs/>
        </w:rPr>
        <w:t>See also</w:t>
      </w:r>
      <w:r>
        <w:t xml:space="preserve">, United States' third party submission, paras. 68–69. </w:t>
      </w:r>
    </w:p>
  </w:footnote>
  <w:footnote w:id="262">
    <w:p w14:paraId="56177AEE" w14:textId="40A09EB7" w:rsidR="009F2B4B" w:rsidRPr="001D01A6" w:rsidRDefault="009F2B4B" w:rsidP="009D14F3">
      <w:pPr>
        <w:pStyle w:val="FootnoteText"/>
      </w:pPr>
      <w:r>
        <w:rPr>
          <w:rStyle w:val="FootnoteReference"/>
        </w:rPr>
        <w:footnoteRef/>
      </w:r>
      <w:r>
        <w:t xml:space="preserve"> See Appellate Body Report, </w:t>
      </w:r>
      <w:r>
        <w:rPr>
          <w:i/>
        </w:rPr>
        <w:t xml:space="preserve">Brazil – Aircraft, </w:t>
      </w:r>
      <w:r>
        <w:t>para. 139.</w:t>
      </w:r>
    </w:p>
  </w:footnote>
  <w:footnote w:id="263">
    <w:p w14:paraId="5DD3E74F" w14:textId="77777777" w:rsidR="009F2B4B" w:rsidRDefault="009F2B4B" w:rsidP="009D14F3">
      <w:pPr>
        <w:pStyle w:val="FootnoteText"/>
      </w:pPr>
      <w:r>
        <w:rPr>
          <w:rStyle w:val="FootnoteReference"/>
        </w:rPr>
        <w:footnoteRef/>
      </w:r>
      <w:r>
        <w:t xml:space="preserve"> Canada's third party submission, paras. 30–38; Canada's oral statement at the first substantive meeting, paras. 10–11; Costa Rica's third party submission, paras. 28–30; European Union's third party submission, paras. 78–80; Japan's oral statement at the first substantive meeting, paras. 10–12; United States' third party submission, paras. 59–62.</w:t>
      </w:r>
    </w:p>
  </w:footnote>
  <w:footnote w:id="264">
    <w:p w14:paraId="255D9C4A" w14:textId="00C51777" w:rsidR="009F2B4B" w:rsidRDefault="009F2B4B" w:rsidP="009D14F3">
      <w:pPr>
        <w:pStyle w:val="FootnoteText"/>
      </w:pPr>
      <w:r>
        <w:rPr>
          <w:rStyle w:val="FootnoteReference"/>
        </w:rPr>
        <w:footnoteRef/>
      </w:r>
      <w:r>
        <w:t xml:space="preserve"> Canada's third party submission, para. 33; Costa Rica's third party submission, para. 30; European Union's third party submission, para. 33; Japan's oral statement at the first substantive meeting, para. 12; United States' third party submission, paras. 65–68.  </w:t>
      </w:r>
      <w:r>
        <w:rPr>
          <w:i/>
          <w:iCs/>
        </w:rPr>
        <w:t xml:space="preserve"> </w:t>
      </w:r>
      <w:r>
        <w:t xml:space="preserve">   </w:t>
      </w:r>
    </w:p>
  </w:footnote>
  <w:footnote w:id="265">
    <w:p w14:paraId="29DD021C" w14:textId="6DBC21D6" w:rsidR="009F2B4B" w:rsidRDefault="009F2B4B">
      <w:pPr>
        <w:pStyle w:val="FootnoteText"/>
      </w:pPr>
      <w:r>
        <w:rPr>
          <w:rStyle w:val="FootnoteReference"/>
        </w:rPr>
        <w:footnoteRef/>
      </w:r>
      <w:r>
        <w:t xml:space="preserve"> India emphasises that the </w:t>
      </w:r>
      <w:r>
        <w:rPr>
          <w:i/>
          <w:iCs/>
        </w:rPr>
        <w:t>India – Export Related Measures</w:t>
      </w:r>
      <w:r>
        <w:t xml:space="preserve"> panel report has not been adopted and is under appeal, arguing that "reliance on this panel report is inconsequential" (India's first written submission, para. 144) and that "[t]he Panel must independently examine the arguments presented by India and other parties" (India's closing statement at the first substantive meeting, para. 43).  Australia agrees that panels should reach their own interpretations independently.  However, Australia does not consider that this Panel is precluded in any way from following interpretations of prior panels, insofar as the Panel assesses them to be persuasive and finds they align with the Panel's own interpretation: see Panel Report, </w:t>
      </w:r>
      <w:r>
        <w:rPr>
          <w:i/>
          <w:iCs/>
        </w:rPr>
        <w:t>Thailand – Cigarettes (Philippines) (Article 21.5 – Philippines II)</w:t>
      </w:r>
      <w:r>
        <w:t xml:space="preserve">, para. 7.19.  On the matter of the </w:t>
      </w:r>
      <w:r>
        <w:rPr>
          <w:i/>
          <w:iCs/>
        </w:rPr>
        <w:t>India – Export Related Measures</w:t>
      </w:r>
      <w:r>
        <w:t xml:space="preserve"> report's unadopted status, Australia notes that the Appellate Body has agreed that "a panel could… find useful guidance in the reasoning of an unadopted panel report that it considered to be relevant": Appellate Body Report, </w:t>
      </w:r>
      <w:r>
        <w:rPr>
          <w:i/>
          <w:iCs/>
        </w:rPr>
        <w:t>Japan – Alcoholic Beverages II</w:t>
      </w:r>
      <w:r>
        <w:t>, p. 14.</w:t>
      </w:r>
    </w:p>
  </w:footnote>
  <w:footnote w:id="266">
    <w:p w14:paraId="13418D84" w14:textId="77777777" w:rsidR="009F2B4B" w:rsidRDefault="009F2B4B" w:rsidP="009D14F3">
      <w:pPr>
        <w:pStyle w:val="FootnoteText"/>
      </w:pPr>
      <w:r>
        <w:rPr>
          <w:rStyle w:val="FootnoteReference"/>
        </w:rPr>
        <w:footnoteRef/>
      </w:r>
      <w:r>
        <w:t xml:space="preserve"> Appellate Body Report, </w:t>
      </w:r>
      <w:r w:rsidRPr="000C7E34">
        <w:rPr>
          <w:i/>
          <w:iCs/>
        </w:rPr>
        <w:t>Argentina – Footwear (EC)</w:t>
      </w:r>
      <w:r>
        <w:t>, para. 81 (emphasis original).</w:t>
      </w:r>
    </w:p>
  </w:footnote>
  <w:footnote w:id="267">
    <w:p w14:paraId="54DEB122" w14:textId="77777777" w:rsidR="009F2B4B" w:rsidRDefault="009F2B4B" w:rsidP="009D14F3">
      <w:pPr>
        <w:pStyle w:val="FootnoteText"/>
      </w:pPr>
      <w:r>
        <w:rPr>
          <w:rStyle w:val="FootnoteReference"/>
        </w:rPr>
        <w:footnoteRef/>
      </w:r>
      <w:r>
        <w:t xml:space="preserve"> Appellate Body Report, </w:t>
      </w:r>
      <w:r>
        <w:rPr>
          <w:i/>
          <w:iCs/>
        </w:rPr>
        <w:t>Korea – Dairy</w:t>
      </w:r>
      <w:r>
        <w:t>, para. 81; India's first written submission, paras. 136–137.</w:t>
      </w:r>
    </w:p>
  </w:footnote>
  <w:footnote w:id="268">
    <w:p w14:paraId="7E3E3752" w14:textId="77777777" w:rsidR="009F2B4B" w:rsidRDefault="009F2B4B" w:rsidP="009D14F3">
      <w:pPr>
        <w:pStyle w:val="FootnoteText"/>
      </w:pPr>
      <w:r>
        <w:rPr>
          <w:rStyle w:val="FootnoteReference"/>
        </w:rPr>
        <w:footnoteRef/>
      </w:r>
      <w:r>
        <w:t xml:space="preserve"> India's first written submission, para. 137.</w:t>
      </w:r>
    </w:p>
  </w:footnote>
  <w:footnote w:id="269">
    <w:p w14:paraId="33DD3A0E" w14:textId="77777777" w:rsidR="009F2B4B" w:rsidRDefault="009F2B4B" w:rsidP="009D14F3">
      <w:pPr>
        <w:pStyle w:val="FootnoteText"/>
      </w:pPr>
      <w:r>
        <w:rPr>
          <w:rStyle w:val="FootnoteReference"/>
        </w:rPr>
        <w:footnoteRef/>
      </w:r>
      <w:r>
        <w:t xml:space="preserve"> Emphasis added. </w:t>
      </w:r>
    </w:p>
  </w:footnote>
  <w:footnote w:id="270">
    <w:p w14:paraId="4908E8E7" w14:textId="77777777" w:rsidR="009F2B4B" w:rsidRDefault="009F2B4B" w:rsidP="009D14F3">
      <w:pPr>
        <w:pStyle w:val="FootnoteText"/>
      </w:pPr>
      <w:r>
        <w:rPr>
          <w:rStyle w:val="FootnoteReference"/>
        </w:rPr>
        <w:footnoteRef/>
      </w:r>
      <w:r>
        <w:t xml:space="preserve"> India's first written submission, paras. 138–139.</w:t>
      </w:r>
    </w:p>
  </w:footnote>
  <w:footnote w:id="271">
    <w:p w14:paraId="75DBBA22" w14:textId="77777777" w:rsidR="009F2B4B" w:rsidRPr="00A6079D" w:rsidRDefault="009F2B4B" w:rsidP="009D14F3">
      <w:pPr>
        <w:pStyle w:val="FootnoteText"/>
      </w:pPr>
      <w:r>
        <w:rPr>
          <w:rStyle w:val="FootnoteReference"/>
        </w:rPr>
        <w:footnoteRef/>
      </w:r>
      <w:r>
        <w:t xml:space="preserve"> Panel Report, </w:t>
      </w:r>
      <w:r>
        <w:rPr>
          <w:i/>
        </w:rPr>
        <w:t>India – Export Related Measures</w:t>
      </w:r>
      <w:r>
        <w:t>, para. 7.45.</w:t>
      </w:r>
    </w:p>
  </w:footnote>
  <w:footnote w:id="272">
    <w:p w14:paraId="0980B0DA" w14:textId="77777777" w:rsidR="009F2B4B" w:rsidRPr="00BC26E8" w:rsidRDefault="009F2B4B" w:rsidP="009D14F3">
      <w:pPr>
        <w:pStyle w:val="FootnoteText"/>
      </w:pPr>
      <w:r>
        <w:rPr>
          <w:rStyle w:val="FootnoteReference"/>
        </w:rPr>
        <w:footnoteRef/>
      </w:r>
      <w:r>
        <w:t xml:space="preserve"> Panel Report, </w:t>
      </w:r>
      <w:r>
        <w:rPr>
          <w:i/>
        </w:rPr>
        <w:t>India – Export Related Measures</w:t>
      </w:r>
      <w:r>
        <w:t>, para.  7.46.</w:t>
      </w:r>
    </w:p>
  </w:footnote>
  <w:footnote w:id="273">
    <w:p w14:paraId="290D5079" w14:textId="77777777" w:rsidR="009F2B4B" w:rsidRPr="004178F8" w:rsidRDefault="009F2B4B" w:rsidP="009D14F3">
      <w:pPr>
        <w:pStyle w:val="FootnoteText"/>
      </w:pPr>
      <w:r>
        <w:rPr>
          <w:rStyle w:val="FootnoteReference"/>
        </w:rPr>
        <w:footnoteRef/>
      </w:r>
      <w:r>
        <w:t xml:space="preserve"> Panel Report, </w:t>
      </w:r>
      <w:r>
        <w:rPr>
          <w:i/>
        </w:rPr>
        <w:t>India- Export Related Measures</w:t>
      </w:r>
      <w:r>
        <w:t>, para. 7.47.</w:t>
      </w:r>
    </w:p>
  </w:footnote>
  <w:footnote w:id="274">
    <w:p w14:paraId="7ED4EB0D" w14:textId="77777777" w:rsidR="009F2B4B" w:rsidRDefault="009F2B4B" w:rsidP="009D14F3">
      <w:pPr>
        <w:pStyle w:val="FootnoteText"/>
      </w:pPr>
      <w:r>
        <w:rPr>
          <w:rStyle w:val="FootnoteReference"/>
        </w:rPr>
        <w:footnoteRef/>
      </w:r>
      <w:r>
        <w:t xml:space="preserve"> India's first written submission, para. 141.</w:t>
      </w:r>
    </w:p>
  </w:footnote>
  <w:footnote w:id="275">
    <w:p w14:paraId="494A3B4C" w14:textId="77777777" w:rsidR="009F2B4B" w:rsidRDefault="009F2B4B" w:rsidP="009D14F3">
      <w:pPr>
        <w:pStyle w:val="FootnoteText"/>
      </w:pPr>
      <w:r>
        <w:rPr>
          <w:rStyle w:val="FootnoteReference"/>
        </w:rPr>
        <w:footnoteRef/>
      </w:r>
      <w:r>
        <w:t xml:space="preserve"> India's first written submission, para. 141.</w:t>
      </w:r>
    </w:p>
  </w:footnote>
  <w:footnote w:id="276">
    <w:p w14:paraId="3FD1A9E7" w14:textId="77777777" w:rsidR="009F2B4B" w:rsidRPr="00E946B3" w:rsidRDefault="009F2B4B" w:rsidP="009D14F3">
      <w:pPr>
        <w:pStyle w:val="FootnoteText"/>
      </w:pPr>
      <w:r>
        <w:rPr>
          <w:rStyle w:val="FootnoteReference"/>
        </w:rPr>
        <w:footnoteRef/>
      </w:r>
      <w:r>
        <w:t xml:space="preserve"> Appellate Body Report, </w:t>
      </w:r>
      <w:r>
        <w:rPr>
          <w:i/>
        </w:rPr>
        <w:t>Brazil – Aircraft</w:t>
      </w:r>
      <w:r>
        <w:t>, para. 140.</w:t>
      </w:r>
    </w:p>
  </w:footnote>
  <w:footnote w:id="277">
    <w:p w14:paraId="696FCDD8" w14:textId="77777777" w:rsidR="009F2B4B" w:rsidRPr="001350B4" w:rsidRDefault="009F2B4B" w:rsidP="009D14F3">
      <w:pPr>
        <w:pStyle w:val="FootnoteText"/>
      </w:pPr>
      <w:r>
        <w:rPr>
          <w:rStyle w:val="FootnoteReference"/>
        </w:rPr>
        <w:footnoteRef/>
      </w:r>
      <w:r>
        <w:t xml:space="preserve"> Panel Report, </w:t>
      </w:r>
      <w:r>
        <w:rPr>
          <w:i/>
        </w:rPr>
        <w:t>India – Exported Related Measures</w:t>
      </w:r>
      <w:r>
        <w:t>, paras. 7.57–7.58.</w:t>
      </w:r>
    </w:p>
  </w:footnote>
  <w:footnote w:id="278">
    <w:p w14:paraId="0138C9E3" w14:textId="77777777" w:rsidR="009F2B4B" w:rsidRDefault="009F2B4B" w:rsidP="009D14F3">
      <w:pPr>
        <w:pStyle w:val="FootnoteText"/>
      </w:pPr>
      <w:r>
        <w:rPr>
          <w:rStyle w:val="FootnoteReference"/>
        </w:rPr>
        <w:footnoteRef/>
      </w:r>
      <w:r>
        <w:t xml:space="preserve"> India's first written submission, para. 141.</w:t>
      </w:r>
    </w:p>
  </w:footnote>
  <w:footnote w:id="279">
    <w:p w14:paraId="7AA5CAF3" w14:textId="656AF3AB" w:rsidR="009F2B4B" w:rsidRPr="005A6ADD" w:rsidRDefault="009F2B4B" w:rsidP="009D14F3">
      <w:pPr>
        <w:pStyle w:val="FootnoteText"/>
      </w:pPr>
      <w:r>
        <w:rPr>
          <w:rStyle w:val="FootnoteReference"/>
        </w:rPr>
        <w:footnoteRef/>
      </w:r>
      <w:r>
        <w:t xml:space="preserve"> Panel Report, </w:t>
      </w:r>
      <w:r>
        <w:rPr>
          <w:i/>
        </w:rPr>
        <w:t>India – Export Related Measures</w:t>
      </w:r>
      <w:r>
        <w:t>, para. 7.62; Japan's oral statement at the first substantive meeting, para.</w:t>
      </w:r>
      <w:r w:rsidR="00381E35">
        <w:t> </w:t>
      </w:r>
      <w:r>
        <w:t>11.</w:t>
      </w:r>
    </w:p>
  </w:footnote>
  <w:footnote w:id="280">
    <w:p w14:paraId="4567C30A" w14:textId="77777777" w:rsidR="009F2B4B" w:rsidRPr="00631C55" w:rsidRDefault="009F2B4B" w:rsidP="009D14F3">
      <w:pPr>
        <w:pStyle w:val="FootnoteText"/>
      </w:pPr>
      <w:r>
        <w:rPr>
          <w:rStyle w:val="FootnoteReference"/>
        </w:rPr>
        <w:footnoteRef/>
      </w:r>
      <w:r>
        <w:t xml:space="preserve"> Panel Report, </w:t>
      </w:r>
      <w:r>
        <w:rPr>
          <w:i/>
        </w:rPr>
        <w:t xml:space="preserve">India – Export Related Measures, </w:t>
      </w:r>
      <w:r>
        <w:t xml:space="preserve">para. 7.63. </w:t>
      </w:r>
    </w:p>
  </w:footnote>
  <w:footnote w:id="281">
    <w:p w14:paraId="38B23844" w14:textId="77777777" w:rsidR="009F2B4B" w:rsidRDefault="009F2B4B" w:rsidP="009D14F3">
      <w:pPr>
        <w:pStyle w:val="FootnoteText"/>
      </w:pPr>
      <w:r>
        <w:rPr>
          <w:rStyle w:val="FootnoteReference"/>
        </w:rPr>
        <w:footnoteRef/>
      </w:r>
      <w:r>
        <w:t xml:space="preserve"> India's first written submission, paras. 139–140.</w:t>
      </w:r>
    </w:p>
  </w:footnote>
  <w:footnote w:id="282">
    <w:p w14:paraId="2825562E" w14:textId="77777777" w:rsidR="009F2B4B" w:rsidRDefault="009F2B4B" w:rsidP="009D14F3">
      <w:pPr>
        <w:pStyle w:val="FootnoteText"/>
      </w:pPr>
      <w:r>
        <w:rPr>
          <w:rStyle w:val="FootnoteReference"/>
        </w:rPr>
        <w:footnoteRef/>
      </w:r>
      <w:r>
        <w:t xml:space="preserve"> India's first written submission, para. 142.</w:t>
      </w:r>
    </w:p>
  </w:footnote>
  <w:footnote w:id="283">
    <w:p w14:paraId="3B67F582" w14:textId="77777777" w:rsidR="009F2B4B" w:rsidRDefault="009F2B4B" w:rsidP="009D14F3">
      <w:pPr>
        <w:pStyle w:val="FootnoteText"/>
      </w:pPr>
      <w:r>
        <w:rPr>
          <w:rStyle w:val="FootnoteReference"/>
        </w:rPr>
        <w:footnoteRef/>
      </w:r>
      <w:r>
        <w:t xml:space="preserve"> India's first written submission, para. 143.</w:t>
      </w:r>
    </w:p>
  </w:footnote>
  <w:footnote w:id="284">
    <w:p w14:paraId="50278475" w14:textId="44FF3CE5" w:rsidR="009F2B4B" w:rsidRDefault="009F2B4B">
      <w:pPr>
        <w:pStyle w:val="FootnoteText"/>
      </w:pPr>
      <w:r>
        <w:rPr>
          <w:rStyle w:val="FootnoteReference"/>
        </w:rPr>
        <w:footnoteRef/>
      </w:r>
      <w:r>
        <w:t xml:space="preserve"> India's first written submission, para. 142.</w:t>
      </w:r>
    </w:p>
  </w:footnote>
  <w:footnote w:id="285">
    <w:p w14:paraId="1E424B0E" w14:textId="77777777" w:rsidR="009F2B4B" w:rsidRPr="000F0028" w:rsidRDefault="009F2B4B" w:rsidP="009D14F3">
      <w:pPr>
        <w:pStyle w:val="FootnoteText"/>
      </w:pPr>
      <w:r>
        <w:rPr>
          <w:rStyle w:val="FootnoteReference"/>
        </w:rPr>
        <w:footnoteRef/>
      </w:r>
      <w:r>
        <w:t xml:space="preserve"> Panel Report, </w:t>
      </w:r>
      <w:r>
        <w:rPr>
          <w:i/>
        </w:rPr>
        <w:t xml:space="preserve">India – Export Related Measures, </w:t>
      </w:r>
      <w:r>
        <w:t>paras. 7.50–7.51; Canada's third party submission, para. 36; Costa Rica's third party submission, para. 29; United States' third party submission, paras. 64–67.</w:t>
      </w:r>
    </w:p>
  </w:footnote>
  <w:footnote w:id="286">
    <w:p w14:paraId="70460EDB" w14:textId="77777777" w:rsidR="009F2B4B" w:rsidRDefault="009F2B4B" w:rsidP="009D14F3">
      <w:pPr>
        <w:pStyle w:val="FootnoteText"/>
      </w:pPr>
      <w:r>
        <w:rPr>
          <w:rStyle w:val="FootnoteReference"/>
        </w:rPr>
        <w:footnoteRef/>
      </w:r>
      <w:r>
        <w:t xml:space="preserve"> India's first written submission, paras. 139–143. </w:t>
      </w:r>
    </w:p>
  </w:footnote>
  <w:footnote w:id="287">
    <w:p w14:paraId="4AB4DF4B" w14:textId="5312DABC" w:rsidR="009F2B4B" w:rsidRPr="00C3636D" w:rsidRDefault="009F2B4B" w:rsidP="009D14F3">
      <w:pPr>
        <w:pStyle w:val="FootnoteText"/>
      </w:pPr>
      <w:r>
        <w:rPr>
          <w:rStyle w:val="FootnoteReference"/>
        </w:rPr>
        <w:footnoteRef/>
      </w:r>
      <w:r>
        <w:t xml:space="preserve"> WT/MIN(01)/17, cited in Panel Report, </w:t>
      </w:r>
      <w:r>
        <w:rPr>
          <w:i/>
        </w:rPr>
        <w:t>India – Export Related Measures</w:t>
      </w:r>
      <w:r>
        <w:t>, para. 7.53; Canada's third party submission, para.</w:t>
      </w:r>
      <w:r w:rsidR="00381E35">
        <w:t> </w:t>
      </w:r>
      <w:r>
        <w:t xml:space="preserve">37. </w:t>
      </w:r>
    </w:p>
  </w:footnote>
  <w:footnote w:id="288">
    <w:p w14:paraId="17E72447" w14:textId="77777777" w:rsidR="009F2B4B" w:rsidRDefault="009F2B4B" w:rsidP="009D14F3">
      <w:pPr>
        <w:pStyle w:val="FootnoteText"/>
      </w:pPr>
      <w:r>
        <w:rPr>
          <w:rStyle w:val="FootnoteReference"/>
        </w:rPr>
        <w:footnoteRef/>
      </w:r>
      <w:r>
        <w:t xml:space="preserve"> Australia's first written submission, paras. 391–431.</w:t>
      </w:r>
    </w:p>
  </w:footnote>
  <w:footnote w:id="289">
    <w:p w14:paraId="19677E14" w14:textId="77777777" w:rsidR="009F2B4B" w:rsidRDefault="009F2B4B" w:rsidP="009D14F3">
      <w:pPr>
        <w:pStyle w:val="FootnoteText"/>
      </w:pPr>
      <w:r>
        <w:rPr>
          <w:rStyle w:val="FootnoteReference"/>
        </w:rPr>
        <w:footnoteRef/>
      </w:r>
      <w:r>
        <w:t xml:space="preserve"> Australia's first written submission, paras. 375–379.</w:t>
      </w:r>
    </w:p>
  </w:footnote>
  <w:footnote w:id="290">
    <w:p w14:paraId="325C8747" w14:textId="77777777" w:rsidR="009F2B4B" w:rsidRDefault="009F2B4B" w:rsidP="009D14F3">
      <w:pPr>
        <w:pStyle w:val="FootnoteText"/>
      </w:pPr>
      <w:r>
        <w:rPr>
          <w:rStyle w:val="FootnoteReference"/>
        </w:rPr>
        <w:footnoteRef/>
      </w:r>
      <w:r>
        <w:t xml:space="preserve"> Australia's first written submission, paras. 380–381.</w:t>
      </w:r>
    </w:p>
  </w:footnote>
  <w:footnote w:id="291">
    <w:p w14:paraId="22BE899C" w14:textId="77777777" w:rsidR="009F2B4B" w:rsidRDefault="009F2B4B" w:rsidP="009D14F3">
      <w:pPr>
        <w:pStyle w:val="FootnoteText"/>
      </w:pPr>
      <w:r>
        <w:rPr>
          <w:rStyle w:val="FootnoteReference"/>
        </w:rPr>
        <w:footnoteRef/>
      </w:r>
      <w:r>
        <w:t xml:space="preserve"> Australia's first written submission, paras. 382–384.</w:t>
      </w:r>
    </w:p>
  </w:footnote>
  <w:footnote w:id="292">
    <w:p w14:paraId="02B1DED9" w14:textId="77777777" w:rsidR="009F2B4B" w:rsidRDefault="009F2B4B" w:rsidP="009D14F3">
      <w:pPr>
        <w:pStyle w:val="FootnoteText"/>
      </w:pPr>
      <w:r>
        <w:rPr>
          <w:rStyle w:val="FootnoteReference"/>
        </w:rPr>
        <w:footnoteRef/>
      </w:r>
      <w:r>
        <w:t xml:space="preserve"> </w:t>
      </w:r>
      <w:r>
        <w:rPr>
          <w:szCs w:val="18"/>
        </w:rPr>
        <w:t xml:space="preserve">Appellate Body Report, </w:t>
      </w:r>
      <w:r>
        <w:rPr>
          <w:i/>
          <w:iCs/>
          <w:szCs w:val="18"/>
        </w:rPr>
        <w:t>US – Upland Cotton</w:t>
      </w:r>
      <w:r>
        <w:rPr>
          <w:szCs w:val="18"/>
        </w:rPr>
        <w:t xml:space="preserve">, para. 572. See also Appellate Body Report, </w:t>
      </w:r>
      <w:r>
        <w:rPr>
          <w:i/>
          <w:iCs/>
          <w:szCs w:val="18"/>
        </w:rPr>
        <w:t>Canada – Aircraft (Article 21.5 – Brazil)</w:t>
      </w:r>
      <w:r>
        <w:rPr>
          <w:szCs w:val="18"/>
        </w:rPr>
        <w:t xml:space="preserve">, para. 47 and Appellate Body Report, </w:t>
      </w:r>
      <w:r>
        <w:rPr>
          <w:i/>
          <w:iCs/>
          <w:szCs w:val="18"/>
        </w:rPr>
        <w:t>Canada – Aircraft</w:t>
      </w:r>
      <w:r>
        <w:rPr>
          <w:szCs w:val="18"/>
        </w:rPr>
        <w:t xml:space="preserve">, para. 166. </w:t>
      </w:r>
    </w:p>
  </w:footnote>
  <w:footnote w:id="293">
    <w:p w14:paraId="7CBECEA5" w14:textId="77777777" w:rsidR="009F2B4B" w:rsidRDefault="009F2B4B" w:rsidP="009D14F3">
      <w:pPr>
        <w:pStyle w:val="FootnoteText"/>
      </w:pPr>
      <w:r>
        <w:rPr>
          <w:rStyle w:val="FootnoteReference"/>
        </w:rPr>
        <w:footnoteRef/>
      </w:r>
      <w:r>
        <w:t xml:space="preserve"> </w:t>
      </w:r>
      <w:r>
        <w:rPr>
          <w:szCs w:val="18"/>
        </w:rPr>
        <w:t xml:space="preserve">Appellate Body Report, </w:t>
      </w:r>
      <w:r>
        <w:rPr>
          <w:i/>
          <w:iCs/>
          <w:szCs w:val="18"/>
        </w:rPr>
        <w:t>Canada – Aircraft (Article 21.5 – Brazil)</w:t>
      </w:r>
      <w:r>
        <w:rPr>
          <w:szCs w:val="18"/>
        </w:rPr>
        <w:t xml:space="preserve">, para. 47 (quoting Appellate Body Report, </w:t>
      </w:r>
      <w:r>
        <w:rPr>
          <w:i/>
          <w:iCs/>
          <w:szCs w:val="18"/>
        </w:rPr>
        <w:t>Canada – Aircraft</w:t>
      </w:r>
      <w:r>
        <w:rPr>
          <w:szCs w:val="18"/>
        </w:rPr>
        <w:t>, para. 171).</w:t>
      </w:r>
    </w:p>
  </w:footnote>
  <w:footnote w:id="294">
    <w:p w14:paraId="3F0A8967" w14:textId="77777777" w:rsidR="009F2B4B" w:rsidRDefault="009F2B4B" w:rsidP="009D14F3">
      <w:pPr>
        <w:pStyle w:val="FootnoteText"/>
      </w:pPr>
      <w:r>
        <w:rPr>
          <w:rStyle w:val="FootnoteReference"/>
        </w:rPr>
        <w:footnoteRef/>
      </w:r>
      <w:r>
        <w:t xml:space="preserve"> Australia's first written submission, paras. 277 and 385–388.</w:t>
      </w:r>
    </w:p>
  </w:footnote>
  <w:footnote w:id="295">
    <w:p w14:paraId="12460FC2" w14:textId="77777777" w:rsidR="009F2B4B" w:rsidRDefault="009F2B4B" w:rsidP="009D14F3">
      <w:pPr>
        <w:pStyle w:val="FootnoteText"/>
      </w:pPr>
      <w:r>
        <w:rPr>
          <w:rStyle w:val="FootnoteReference"/>
        </w:rPr>
        <w:footnoteRef/>
      </w:r>
      <w:r>
        <w:t xml:space="preserve"> SCM Agreement, Article 2.3.</w:t>
      </w:r>
    </w:p>
  </w:footnote>
  <w:footnote w:id="296">
    <w:p w14:paraId="24D74910" w14:textId="77777777" w:rsidR="009F2B4B" w:rsidRDefault="009F2B4B" w:rsidP="009D14F3">
      <w:pPr>
        <w:pStyle w:val="FootnoteText"/>
      </w:pPr>
      <w:r>
        <w:rPr>
          <w:rStyle w:val="FootnoteReference"/>
        </w:rPr>
        <w:footnoteRef/>
      </w:r>
      <w:r>
        <w:t xml:space="preserve"> India's first written submission, paras. 146–147.</w:t>
      </w:r>
    </w:p>
  </w:footnote>
  <w:footnote w:id="297">
    <w:p w14:paraId="721ABE81" w14:textId="77777777" w:rsidR="009F2B4B" w:rsidRDefault="009F2B4B" w:rsidP="009D14F3">
      <w:pPr>
        <w:pStyle w:val="FootnoteText"/>
      </w:pPr>
      <w:r>
        <w:rPr>
          <w:rStyle w:val="FootnoteReference"/>
        </w:rPr>
        <w:footnoteRef/>
      </w:r>
      <w:r>
        <w:t xml:space="preserve"> India's first written submission, paras. 110–112.</w:t>
      </w:r>
    </w:p>
  </w:footnote>
  <w:footnote w:id="298">
    <w:p w14:paraId="070B56F3" w14:textId="155E428E" w:rsidR="009F2B4B" w:rsidRDefault="009F2B4B" w:rsidP="009D14F3">
      <w:pPr>
        <w:pStyle w:val="FootnoteText"/>
      </w:pPr>
      <w:r>
        <w:rPr>
          <w:rStyle w:val="FootnoteReference"/>
        </w:rPr>
        <w:footnoteRef/>
      </w:r>
      <w:r>
        <w:t xml:space="preserve"> Australia's first written submission, paras. 353–365</w:t>
      </w:r>
      <w:r w:rsidR="00381E35">
        <w:t xml:space="preserve"> and</w:t>
      </w:r>
      <w:r>
        <w:t xml:space="preserve"> 424–431.</w:t>
      </w:r>
    </w:p>
  </w:footnote>
  <w:footnote w:id="299">
    <w:p w14:paraId="591353F6" w14:textId="10283879" w:rsidR="009F2B4B" w:rsidRDefault="009F2B4B" w:rsidP="009D14F3">
      <w:pPr>
        <w:pStyle w:val="FootnoteText"/>
      </w:pPr>
      <w:r>
        <w:rPr>
          <w:rStyle w:val="FootnoteReference"/>
        </w:rPr>
        <w:footnoteRef/>
      </w:r>
      <w:r>
        <w:t xml:space="preserve"> India's first written submission, paras. 97–98, 124–125</w:t>
      </w:r>
      <w:r w:rsidR="00381E35">
        <w:t xml:space="preserve"> and</w:t>
      </w:r>
      <w:r>
        <w:t xml:space="preserve"> 149–155; India's opening statement at the first substantive meeting, para 18; India's closing statement at the first substantive meeting, paras. 42–43; India's response to Panel question 53(b), p. 8 and question 58(c), pp. 12–13.</w:t>
      </w:r>
    </w:p>
  </w:footnote>
  <w:footnote w:id="300">
    <w:p w14:paraId="70A74EC7" w14:textId="77777777" w:rsidR="009F2B4B" w:rsidRDefault="009F2B4B" w:rsidP="009D14F3">
      <w:pPr>
        <w:pStyle w:val="FootnoteText"/>
      </w:pPr>
      <w:r>
        <w:rPr>
          <w:rStyle w:val="FootnoteReference"/>
        </w:rPr>
        <w:footnoteRef/>
      </w:r>
      <w:r>
        <w:t xml:space="preserve"> Footnote 61 of the SCM Agreement provides: "Inputs consumed in the production process are </w:t>
      </w:r>
      <w:r w:rsidRPr="00A603BE">
        <w:rPr>
          <w:u w:val="single"/>
        </w:rPr>
        <w:t>inputs physically incorporated</w:t>
      </w:r>
      <w:r>
        <w:t xml:space="preserve">, energy, fuels and oil used in the production process and catalysts which are consumed in the course of their use to obtain the exported product" (emphasis added). </w:t>
      </w:r>
    </w:p>
  </w:footnote>
  <w:footnote w:id="301">
    <w:p w14:paraId="7E290FC7" w14:textId="77777777" w:rsidR="009F2B4B" w:rsidRPr="002372BD" w:rsidRDefault="009F2B4B" w:rsidP="009D14F3">
      <w:pPr>
        <w:pStyle w:val="FootnoteText"/>
      </w:pPr>
      <w:r>
        <w:rPr>
          <w:rStyle w:val="FootnoteReference"/>
        </w:rPr>
        <w:footnoteRef/>
      </w:r>
      <w:r>
        <w:t xml:space="preserve"> Panel Report, </w:t>
      </w:r>
      <w:r>
        <w:rPr>
          <w:i/>
          <w:iCs/>
        </w:rPr>
        <w:t>India – Export Related Measures</w:t>
      </w:r>
      <w:r>
        <w:t xml:space="preserve">, para. 7.178 and Table 2; Australia's response to Panel question 58(b), paras. 61–65. </w:t>
      </w:r>
    </w:p>
  </w:footnote>
  <w:footnote w:id="302">
    <w:p w14:paraId="084F3949" w14:textId="77777777" w:rsidR="009F2B4B" w:rsidRDefault="009F2B4B" w:rsidP="009D14F3">
      <w:pPr>
        <w:pStyle w:val="FootnoteText"/>
      </w:pPr>
      <w:r>
        <w:rPr>
          <w:rStyle w:val="FootnoteReference"/>
        </w:rPr>
        <w:footnoteRef/>
      </w:r>
      <w:r>
        <w:t xml:space="preserve"> India's first written submission, para. 154.</w:t>
      </w:r>
    </w:p>
  </w:footnote>
  <w:footnote w:id="303">
    <w:p w14:paraId="62555FE3" w14:textId="77777777" w:rsidR="009F2B4B" w:rsidRDefault="009F2B4B" w:rsidP="009D14F3">
      <w:pPr>
        <w:pStyle w:val="FootnoteText"/>
      </w:pPr>
      <w:r>
        <w:rPr>
          <w:rStyle w:val="FootnoteReference"/>
        </w:rPr>
        <w:footnoteRef/>
      </w:r>
      <w:r>
        <w:t xml:space="preserve"> India's first written submission, para. 154 (emphasis added).</w:t>
      </w:r>
    </w:p>
  </w:footnote>
  <w:footnote w:id="304">
    <w:p w14:paraId="004C746A" w14:textId="77777777" w:rsidR="009F2B4B" w:rsidRDefault="009F2B4B" w:rsidP="009D14F3">
      <w:pPr>
        <w:pStyle w:val="FootnoteText"/>
      </w:pPr>
      <w:r>
        <w:rPr>
          <w:rStyle w:val="FootnoteReference"/>
        </w:rPr>
        <w:footnoteRef/>
      </w:r>
      <w:r>
        <w:t xml:space="preserve"> </w:t>
      </w:r>
      <w:r>
        <w:rPr>
          <w:szCs w:val="18"/>
        </w:rPr>
        <w:t xml:space="preserve">Notification No. 57/2015-2020, Department of Commerce, 28 March 2018 </w:t>
      </w:r>
      <w:r w:rsidRPr="00D92A5A">
        <w:rPr>
          <w:szCs w:val="18"/>
        </w:rPr>
        <w:t>(</w:t>
      </w:r>
      <w:r>
        <w:rPr>
          <w:b/>
          <w:bCs/>
          <w:szCs w:val="18"/>
        </w:rPr>
        <w:t>Exhibit AUS-41</w:t>
      </w:r>
      <w:r w:rsidRPr="00D92A5A">
        <w:rPr>
          <w:szCs w:val="18"/>
        </w:rPr>
        <w:t>)</w:t>
      </w:r>
      <w:r>
        <w:rPr>
          <w:szCs w:val="18"/>
        </w:rPr>
        <w:t>, para. 1 (emphasis added).</w:t>
      </w:r>
    </w:p>
  </w:footnote>
  <w:footnote w:id="305">
    <w:p w14:paraId="101ABE08" w14:textId="77777777" w:rsidR="009F2B4B" w:rsidRDefault="009F2B4B" w:rsidP="009D14F3">
      <w:pPr>
        <w:pStyle w:val="FootnoteText"/>
      </w:pPr>
      <w:r>
        <w:rPr>
          <w:rStyle w:val="FootnoteReference"/>
        </w:rPr>
        <w:footnoteRef/>
      </w:r>
      <w:r>
        <w:t xml:space="preserve"> </w:t>
      </w:r>
      <w:r>
        <w:rPr>
          <w:szCs w:val="18"/>
        </w:rPr>
        <w:t xml:space="preserve">Notification No. 57/2015-2020, Department of Commerce, 28 March 2018 </w:t>
      </w:r>
      <w:r w:rsidRPr="00D92A5A">
        <w:rPr>
          <w:szCs w:val="18"/>
        </w:rPr>
        <w:t>(</w:t>
      </w:r>
      <w:r>
        <w:rPr>
          <w:b/>
          <w:bCs/>
          <w:szCs w:val="18"/>
        </w:rPr>
        <w:t>Exhibit AUS-41</w:t>
      </w:r>
      <w:r w:rsidRPr="00D92A5A">
        <w:rPr>
          <w:szCs w:val="18"/>
        </w:rPr>
        <w:t>)</w:t>
      </w:r>
      <w:r>
        <w:rPr>
          <w:szCs w:val="18"/>
        </w:rPr>
        <w:t>, para. 2.</w:t>
      </w:r>
    </w:p>
  </w:footnote>
  <w:footnote w:id="306">
    <w:p w14:paraId="6CF9033C" w14:textId="77777777" w:rsidR="009F2B4B" w:rsidRDefault="009F2B4B" w:rsidP="009D14F3">
      <w:pPr>
        <w:pStyle w:val="FootnoteText"/>
      </w:pPr>
      <w:r>
        <w:rPr>
          <w:rStyle w:val="FootnoteReference"/>
        </w:rPr>
        <w:footnoteRef/>
      </w:r>
      <w:r>
        <w:t xml:space="preserve"> </w:t>
      </w:r>
      <w:r>
        <w:rPr>
          <w:szCs w:val="18"/>
        </w:rPr>
        <w:t xml:space="preserve">Notification 01/2015-2020, Foreign Trade Policy, 2015-2020 </w:t>
      </w:r>
      <w:r>
        <w:rPr>
          <w:b/>
          <w:bCs/>
          <w:szCs w:val="18"/>
        </w:rPr>
        <w:t>(Exhibit AUS-40)</w:t>
      </w:r>
      <w:r>
        <w:rPr>
          <w:szCs w:val="18"/>
        </w:rPr>
        <w:t xml:space="preserve">, p. 84, para 4.27(i). </w:t>
      </w:r>
      <w:r>
        <w:t xml:space="preserve"> </w:t>
      </w:r>
    </w:p>
  </w:footnote>
  <w:footnote w:id="307">
    <w:p w14:paraId="27FE0433" w14:textId="77777777" w:rsidR="009F2B4B" w:rsidRDefault="009F2B4B" w:rsidP="009D14F3">
      <w:pPr>
        <w:pStyle w:val="FootnoteText"/>
      </w:pPr>
      <w:r>
        <w:rPr>
          <w:rStyle w:val="FootnoteReference"/>
        </w:rPr>
        <w:footnoteRef/>
      </w:r>
      <w:r>
        <w:t xml:space="preserve"> </w:t>
      </w:r>
      <w:r>
        <w:rPr>
          <w:szCs w:val="18"/>
        </w:rPr>
        <w:t>Notification 01/2015-2020, Foreign Trade Policy, 2015-2020 (</w:t>
      </w:r>
      <w:r>
        <w:rPr>
          <w:b/>
          <w:bCs/>
          <w:szCs w:val="18"/>
        </w:rPr>
        <w:t>Exhibit AUS-40</w:t>
      </w:r>
      <w:r>
        <w:rPr>
          <w:szCs w:val="18"/>
        </w:rPr>
        <w:t xml:space="preserve">), para. 4.29. </w:t>
      </w:r>
      <w:r>
        <w:t xml:space="preserve"> </w:t>
      </w:r>
    </w:p>
  </w:footnote>
  <w:footnote w:id="308">
    <w:p w14:paraId="56F3D7B1" w14:textId="77777777" w:rsidR="009F2B4B" w:rsidRDefault="009F2B4B" w:rsidP="009D14F3">
      <w:pPr>
        <w:pStyle w:val="FootnoteText"/>
      </w:pPr>
      <w:r>
        <w:rPr>
          <w:rStyle w:val="FootnoteReference"/>
        </w:rPr>
        <w:footnoteRef/>
      </w:r>
      <w:r>
        <w:rPr>
          <w:szCs w:val="18"/>
        </w:rPr>
        <w:t xml:space="preserve">Australia's first written submission, para. 364; </w:t>
      </w:r>
      <w:r>
        <w:t>Australia's response to Panel question 58(b), para. 66.</w:t>
      </w:r>
    </w:p>
  </w:footnote>
  <w:footnote w:id="309">
    <w:p w14:paraId="63A67FDC" w14:textId="77777777" w:rsidR="009F2B4B" w:rsidRDefault="009F2B4B" w:rsidP="009D14F3">
      <w:pPr>
        <w:pStyle w:val="FootnoteText"/>
      </w:pPr>
      <w:r>
        <w:rPr>
          <w:rStyle w:val="FootnoteReference"/>
        </w:rPr>
        <w:footnoteRef/>
      </w:r>
      <w:r>
        <w:t xml:space="preserve"> Australia's response to Panel question 58(b), para. 67.</w:t>
      </w:r>
    </w:p>
  </w:footnote>
  <w:footnote w:id="310">
    <w:p w14:paraId="0583FD9B" w14:textId="311FF567" w:rsidR="009F2B4B" w:rsidRPr="00923A1D" w:rsidRDefault="009F2B4B" w:rsidP="009D14F3">
      <w:pPr>
        <w:pStyle w:val="FootnoteText"/>
      </w:pPr>
      <w:r>
        <w:rPr>
          <w:rStyle w:val="FootnoteReference"/>
        </w:rPr>
        <w:footnoteRef/>
      </w:r>
      <w:r>
        <w:t xml:space="preserve"> Hindu Business Line, </w:t>
      </w:r>
      <w:r w:rsidR="00FA4E65">
        <w:t>"</w:t>
      </w:r>
      <w:r>
        <w:t>Govt allows export of 2 million tonnes of sugar</w:t>
      </w:r>
      <w:r w:rsidR="00FA4E65">
        <w:t>"</w:t>
      </w:r>
      <w:r>
        <w:t xml:space="preserve"> (</w:t>
      </w:r>
      <w:r>
        <w:rPr>
          <w:b/>
          <w:bCs/>
        </w:rPr>
        <w:t>Exhibit AUS-</w:t>
      </w:r>
      <w:r w:rsidRPr="0054656E">
        <w:rPr>
          <w:b/>
          <w:bCs/>
        </w:rPr>
        <w:t>102</w:t>
      </w:r>
      <w:r>
        <w:t>).</w:t>
      </w:r>
    </w:p>
  </w:footnote>
  <w:footnote w:id="311">
    <w:p w14:paraId="6F0D9793" w14:textId="77777777" w:rsidR="009F2B4B" w:rsidRDefault="009F2B4B" w:rsidP="00324D3B">
      <w:pPr>
        <w:pStyle w:val="FootnoteText"/>
      </w:pPr>
      <w:r>
        <w:rPr>
          <w:rStyle w:val="FootnoteReference"/>
        </w:rPr>
        <w:footnoteRef/>
      </w:r>
      <w:r>
        <w:t xml:space="preserve"> See Australia's response to Panel question 44(b), para. 141.</w:t>
      </w:r>
    </w:p>
  </w:footnote>
  <w:footnote w:id="312">
    <w:p w14:paraId="777CC2C2" w14:textId="77777777" w:rsidR="009F2B4B" w:rsidRDefault="009F2B4B" w:rsidP="00C77A74">
      <w:pPr>
        <w:pStyle w:val="FootnoteText"/>
      </w:pPr>
      <w:r>
        <w:rPr>
          <w:rStyle w:val="FootnoteReference"/>
        </w:rPr>
        <w:footnoteRef/>
      </w:r>
      <w:r>
        <w:t xml:space="preserve"> Canada's third party submission, paras. 43–46.</w:t>
      </w:r>
    </w:p>
  </w:footnote>
  <w:footnote w:id="313">
    <w:p w14:paraId="08487D19" w14:textId="77777777" w:rsidR="009F2B4B" w:rsidRDefault="009F2B4B" w:rsidP="002753D6">
      <w:pPr>
        <w:pStyle w:val="FootnoteText"/>
      </w:pPr>
      <w:r>
        <w:rPr>
          <w:rStyle w:val="FootnoteReference"/>
        </w:rPr>
        <w:footnoteRef/>
      </w:r>
      <w:r>
        <w:t xml:space="preserve"> India's first written submission, para. 158.</w:t>
      </w:r>
    </w:p>
  </w:footnote>
  <w:footnote w:id="314">
    <w:p w14:paraId="5FF3DBDB" w14:textId="77777777" w:rsidR="009F2B4B" w:rsidRDefault="009F2B4B">
      <w:pPr>
        <w:pStyle w:val="FootnoteText"/>
      </w:pPr>
      <w:r>
        <w:rPr>
          <w:rStyle w:val="FootnoteReference"/>
        </w:rPr>
        <w:footnoteRef/>
      </w:r>
      <w:r>
        <w:t xml:space="preserve"> Agreement on Agriculture, Articles 18.1 and 18.2.</w:t>
      </w:r>
    </w:p>
  </w:footnote>
  <w:footnote w:id="315">
    <w:p w14:paraId="29464E1B" w14:textId="77777777" w:rsidR="009F2B4B" w:rsidRDefault="009F2B4B" w:rsidP="0028066E">
      <w:pPr>
        <w:pStyle w:val="FootnoteText"/>
      </w:pPr>
      <w:r>
        <w:rPr>
          <w:rStyle w:val="FootnoteReference"/>
        </w:rPr>
        <w:footnoteRef/>
      </w:r>
      <w:r>
        <w:t xml:space="preserve"> </w:t>
      </w:r>
      <w:r w:rsidRPr="0061059A">
        <w:t>G/AG/2, 30 June 1995, p. 24.</w:t>
      </w:r>
    </w:p>
  </w:footnote>
  <w:footnote w:id="316">
    <w:p w14:paraId="092F2AB8" w14:textId="77777777" w:rsidR="009F2B4B" w:rsidRDefault="009F2B4B" w:rsidP="002753D6">
      <w:pPr>
        <w:pStyle w:val="FootnoteText"/>
      </w:pPr>
      <w:r>
        <w:rPr>
          <w:rStyle w:val="FootnoteReference"/>
        </w:rPr>
        <w:footnoteRef/>
      </w:r>
      <w:r>
        <w:t xml:space="preserve"> India's first written submission, para. 158.</w:t>
      </w:r>
    </w:p>
  </w:footnote>
  <w:footnote w:id="317">
    <w:p w14:paraId="71867E34" w14:textId="77777777" w:rsidR="009F2B4B" w:rsidRDefault="009F2B4B" w:rsidP="002753D6">
      <w:pPr>
        <w:pStyle w:val="FootnoteText"/>
      </w:pPr>
      <w:r>
        <w:rPr>
          <w:rStyle w:val="FootnoteReference"/>
        </w:rPr>
        <w:footnoteRef/>
      </w:r>
      <w:r>
        <w:t xml:space="preserve"> Australia's response to Panel question 44(b), para. 140.</w:t>
      </w:r>
    </w:p>
  </w:footnote>
  <w:footnote w:id="318">
    <w:p w14:paraId="4FA474EB" w14:textId="77777777" w:rsidR="009F2B4B" w:rsidRDefault="009F2B4B" w:rsidP="00FE1A3F">
      <w:pPr>
        <w:pStyle w:val="FootnoteText"/>
      </w:pPr>
      <w:r>
        <w:rPr>
          <w:rStyle w:val="FootnoteReference"/>
        </w:rPr>
        <w:footnoteRef/>
      </w:r>
      <w:r>
        <w:t xml:space="preserve"> Australia's first written submission, paras. 444–446. </w:t>
      </w:r>
    </w:p>
  </w:footnote>
  <w:footnote w:id="319">
    <w:p w14:paraId="73264817" w14:textId="77777777" w:rsidR="009F2B4B" w:rsidRDefault="009F2B4B" w:rsidP="00FE1A3F">
      <w:pPr>
        <w:pStyle w:val="FootnoteText"/>
      </w:pPr>
      <w:r>
        <w:rPr>
          <w:rStyle w:val="FootnoteReference"/>
        </w:rPr>
        <w:footnoteRef/>
      </w:r>
      <w:r>
        <w:t xml:space="preserve"> India's first written submission, para. 157.</w:t>
      </w:r>
    </w:p>
  </w:footnote>
  <w:footnote w:id="320">
    <w:p w14:paraId="1EA889B4" w14:textId="77777777" w:rsidR="009F2B4B" w:rsidRDefault="009F2B4B" w:rsidP="00FE1A3F">
      <w:pPr>
        <w:pStyle w:val="FootnoteText"/>
      </w:pPr>
      <w:r>
        <w:rPr>
          <w:rStyle w:val="FootnoteReference"/>
        </w:rPr>
        <w:footnoteRef/>
      </w:r>
      <w:r>
        <w:t xml:space="preserve"> Australia's first written submission, paras. 447–448.</w:t>
      </w:r>
    </w:p>
  </w:footnote>
  <w:footnote w:id="321">
    <w:p w14:paraId="42B76EDF" w14:textId="77777777" w:rsidR="009F2B4B" w:rsidRDefault="009F2B4B" w:rsidP="00FE1A3F">
      <w:pPr>
        <w:pStyle w:val="FootnoteText"/>
      </w:pPr>
      <w:r>
        <w:rPr>
          <w:rStyle w:val="FootnoteReference"/>
        </w:rPr>
        <w:footnoteRef/>
      </w:r>
      <w:r>
        <w:t xml:space="preserve"> India's first written submission, para. 157.</w:t>
      </w:r>
    </w:p>
  </w:footnote>
  <w:footnote w:id="322">
    <w:p w14:paraId="1225287F" w14:textId="77777777" w:rsidR="009F2B4B" w:rsidRDefault="009F2B4B" w:rsidP="00FE1A3F">
      <w:pPr>
        <w:pStyle w:val="FootnoteText"/>
      </w:pPr>
      <w:r>
        <w:rPr>
          <w:rStyle w:val="FootnoteReference"/>
        </w:rPr>
        <w:footnoteRef/>
      </w:r>
      <w:r>
        <w:t xml:space="preserve"> Australia's first written submission, para. 451.</w:t>
      </w:r>
    </w:p>
  </w:footnote>
  <w:footnote w:id="323">
    <w:p w14:paraId="368F4E8E" w14:textId="77777777" w:rsidR="009F2B4B" w:rsidRDefault="009F2B4B" w:rsidP="00FE1A3F">
      <w:pPr>
        <w:pStyle w:val="FootnoteText"/>
      </w:pPr>
      <w:r>
        <w:rPr>
          <w:rStyle w:val="FootnoteReference"/>
        </w:rPr>
        <w:footnoteRef/>
      </w:r>
      <w:r>
        <w:t xml:space="preserve"> </w:t>
      </w:r>
      <w:r w:rsidRPr="001F5374">
        <w:t>Australia's first written submission, para. 45</w:t>
      </w:r>
      <w:r>
        <w:t>4</w:t>
      </w:r>
      <w:r w:rsidRPr="001F5374">
        <w:t>.</w:t>
      </w:r>
    </w:p>
  </w:footnote>
  <w:footnote w:id="324">
    <w:p w14:paraId="082C85A3" w14:textId="1E15D4F7" w:rsidR="009F2B4B" w:rsidRDefault="009F2B4B">
      <w:pPr>
        <w:pStyle w:val="FootnoteText"/>
      </w:pPr>
      <w:r>
        <w:rPr>
          <w:rStyle w:val="FootnoteReference"/>
        </w:rPr>
        <w:footnoteRef/>
      </w:r>
      <w:r>
        <w:t xml:space="preserve"> </w:t>
      </w:r>
      <w:r w:rsidRPr="00AD6F65">
        <w:t>Th</w:t>
      </w:r>
      <w:r>
        <w:t>e</w:t>
      </w:r>
      <w:r w:rsidRPr="00AD6F65">
        <w:t xml:space="preserve"> Table</w:t>
      </w:r>
      <w:r>
        <w:t>s in this Annex</w:t>
      </w:r>
      <w:r w:rsidRPr="00AD6F65">
        <w:t xml:space="preserve"> replace </w:t>
      </w:r>
      <w:r>
        <w:t xml:space="preserve">the relevant Tables as originally presented in </w:t>
      </w:r>
      <w:r w:rsidRPr="00AD6F65">
        <w:t>Australia's first written submission</w:t>
      </w:r>
      <w:r>
        <w:t>, and, in the case of Tables 15 and 22, as revised by</w:t>
      </w:r>
      <w:r w:rsidRPr="00AD6F65">
        <w:t xml:space="preserve"> Australia's response</w:t>
      </w:r>
      <w:r>
        <w:t>s</w:t>
      </w:r>
      <w:r w:rsidRPr="00AD6F65">
        <w:t xml:space="preserve"> to Panel question</w:t>
      </w:r>
      <w:r>
        <w:t>s 1 to 44 (response to question</w:t>
      </w:r>
      <w:r w:rsidRPr="00AD6F65">
        <w:t xml:space="preserve"> 28(d), para. 89</w:t>
      </w:r>
      <w:r>
        <w:t>, and Annex A)</w:t>
      </w:r>
      <w:r w:rsidRPr="00AD6F65">
        <w:t xml:space="preserve">. </w:t>
      </w:r>
      <w:r w:rsidRPr="00AD6F65">
        <w:rPr>
          <w:i/>
          <w:iCs/>
        </w:rPr>
        <w:t>See also</w:t>
      </w:r>
      <w:r w:rsidRPr="00AD6F65">
        <w:t>, Australia's domestic support calculations, Microsoft Excel workbooks, Revision 2 (</w:t>
      </w:r>
      <w:r w:rsidRPr="00AD6F65">
        <w:rPr>
          <w:b/>
          <w:bCs/>
        </w:rPr>
        <w:t>Exhibit AUS-1 (Revision</w:t>
      </w:r>
      <w:r>
        <w:rPr>
          <w:b/>
          <w:bCs/>
        </w:rPr>
        <w:t> </w:t>
      </w:r>
      <w:r w:rsidRPr="00AD6F65">
        <w:rPr>
          <w:b/>
          <w:bCs/>
        </w:rPr>
        <w:t>2)</w:t>
      </w:r>
      <w:r w:rsidRPr="00AD6F65">
        <w:t>).</w:t>
      </w:r>
    </w:p>
  </w:footnote>
  <w:footnote w:id="325">
    <w:p w14:paraId="32C55CD4" w14:textId="77777777" w:rsidR="009F2B4B" w:rsidRDefault="009F2B4B" w:rsidP="00B46002">
      <w:pPr>
        <w:pStyle w:val="FootnoteText"/>
      </w:pPr>
      <w:r>
        <w:rPr>
          <w:rStyle w:val="FootnoteReference"/>
        </w:rPr>
        <w:footnoteRef/>
      </w:r>
      <w:r>
        <w:t xml:space="preserve"> </w:t>
      </w:r>
      <w:r w:rsidRPr="00FD1C8B">
        <w:rPr>
          <w:rFonts w:asciiTheme="minorHAnsi" w:hAnsiTheme="minorHAnsi" w:cstheme="minorHAnsi"/>
          <w:szCs w:val="18"/>
        </w:rPr>
        <w:t xml:space="preserve">This illustrative table provides the national averages. Data at the state level are provided in </w:t>
      </w:r>
      <w:r w:rsidRPr="00FD1C8B">
        <w:rPr>
          <w:rFonts w:asciiTheme="minorHAnsi" w:hAnsiTheme="minorHAnsi" w:cstheme="minorHAnsi"/>
          <w:b/>
          <w:szCs w:val="18"/>
        </w:rPr>
        <w:t>Annex H</w:t>
      </w:r>
      <w:r w:rsidRPr="00FD1C8B">
        <w:rPr>
          <w:rFonts w:asciiTheme="minorHAnsi" w:hAnsiTheme="minorHAnsi" w:cstheme="minorHAnsi"/>
          <w:szCs w:val="18"/>
        </w:rPr>
        <w:t xml:space="preserve">, </w:t>
      </w:r>
      <w:r w:rsidRPr="00FD1C8B">
        <w:rPr>
          <w:rFonts w:asciiTheme="minorHAnsi" w:hAnsiTheme="minorHAnsi" w:cstheme="minorHAnsi"/>
          <w:b/>
          <w:szCs w:val="18"/>
        </w:rPr>
        <w:t>Tables 20–24</w:t>
      </w:r>
      <w:r>
        <w:rPr>
          <w:rFonts w:asciiTheme="minorHAnsi" w:hAnsiTheme="minorHAnsi" w:cstheme="minorHAnsi"/>
          <w:bCs/>
          <w:szCs w:val="18"/>
        </w:rPr>
        <w:t xml:space="preserve"> of Australia's first written submission</w:t>
      </w:r>
      <w:r w:rsidRPr="00FD1C8B">
        <w:rPr>
          <w:rFonts w:asciiTheme="minorHAnsi" w:hAnsiTheme="minorHAnsi" w:cstheme="minorHAnsi"/>
          <w:szCs w:val="18"/>
        </w:rPr>
        <w:t>, and in Australia's domestic support calculations, Microsoft Excel workbooks</w:t>
      </w:r>
      <w:r w:rsidRPr="00FD1C8B">
        <w:rPr>
          <w:rFonts w:asciiTheme="minorHAnsi" w:hAnsiTheme="minorHAnsi" w:cstheme="minorHAnsi"/>
          <w:b/>
          <w:szCs w:val="18"/>
        </w:rPr>
        <w:t xml:space="preserve"> </w:t>
      </w:r>
      <w:r w:rsidRPr="00A910C9">
        <w:rPr>
          <w:rFonts w:asciiTheme="minorHAnsi" w:hAnsiTheme="minorHAnsi" w:cstheme="minorHAnsi"/>
          <w:bCs/>
          <w:szCs w:val="18"/>
        </w:rPr>
        <w:t>(</w:t>
      </w:r>
      <w:r w:rsidRPr="00FD1C8B">
        <w:rPr>
          <w:rFonts w:asciiTheme="minorHAnsi" w:hAnsiTheme="minorHAnsi" w:cstheme="minorHAnsi"/>
          <w:b/>
          <w:szCs w:val="18"/>
        </w:rPr>
        <w:t>Exhibit AUS-1</w:t>
      </w:r>
      <w:r>
        <w:rPr>
          <w:rFonts w:asciiTheme="minorHAnsi" w:hAnsiTheme="minorHAnsi" w:cstheme="minorHAnsi"/>
          <w:b/>
          <w:szCs w:val="18"/>
        </w:rPr>
        <w:t xml:space="preserve"> (Revision 2)</w:t>
      </w:r>
      <w:r w:rsidRPr="00A910C9">
        <w:rPr>
          <w:rFonts w:asciiTheme="minorHAnsi" w:hAnsiTheme="minorHAnsi" w:cstheme="minorHAnsi"/>
          <w:bCs/>
          <w:szCs w:val="18"/>
        </w:rPr>
        <w:t>)</w:t>
      </w:r>
      <w:r w:rsidRPr="00FD1C8B">
        <w:rPr>
          <w:rFonts w:asciiTheme="minorHAnsi" w:hAnsiTheme="minorHAnsi" w:cstheme="minorHAnsi"/>
          <w:szCs w:val="18"/>
        </w:rPr>
        <w:t xml:space="preserve">. Percentages have been rounded to the nearest percentage. Quantity of eligible production figures are based on all sugarcane production. These figures are drawn from Indian Government sources. Eligible production figures are sourced from Department of Agriculture &amp; Farmers Welfare, Directorate of Sugarcane Development, Sugarcane in India: State wise Production </w:t>
      </w:r>
      <w:r w:rsidRPr="00A910C9">
        <w:rPr>
          <w:rFonts w:asciiTheme="minorHAnsi" w:hAnsiTheme="minorHAnsi" w:cstheme="minorHAnsi"/>
          <w:bCs/>
          <w:szCs w:val="18"/>
        </w:rPr>
        <w:t>(</w:t>
      </w:r>
      <w:r w:rsidRPr="00FD1C8B">
        <w:rPr>
          <w:rFonts w:asciiTheme="minorHAnsi" w:hAnsiTheme="minorHAnsi" w:cstheme="minorHAnsi"/>
          <w:b/>
          <w:szCs w:val="18"/>
        </w:rPr>
        <w:t>Exhibit JE-140</w:t>
      </w:r>
      <w:r w:rsidRPr="00A910C9">
        <w:rPr>
          <w:rFonts w:asciiTheme="minorHAnsi" w:hAnsiTheme="minorHAnsi" w:cstheme="minorHAnsi"/>
          <w:bCs/>
          <w:szCs w:val="18"/>
        </w:rPr>
        <w:t>)</w:t>
      </w:r>
      <w:r w:rsidRPr="00FD1C8B">
        <w:rPr>
          <w:rFonts w:asciiTheme="minorHAnsi" w:hAnsiTheme="minorHAnsi" w:cstheme="minorHAnsi"/>
          <w:szCs w:val="18"/>
        </w:rPr>
        <w:t xml:space="preserve"> and</w:t>
      </w:r>
      <w:r w:rsidRPr="00FD1C8B">
        <w:rPr>
          <w:rFonts w:asciiTheme="minorHAnsi" w:hAnsiTheme="minorHAnsi" w:cstheme="minorHAnsi"/>
          <w:b/>
          <w:szCs w:val="18"/>
        </w:rPr>
        <w:t xml:space="preserve"> </w:t>
      </w:r>
      <w:r w:rsidRPr="00FD1C8B">
        <w:rPr>
          <w:rFonts w:asciiTheme="minorHAnsi" w:hAnsiTheme="minorHAnsi" w:cstheme="minorHAnsi"/>
          <w:szCs w:val="18"/>
        </w:rPr>
        <w:t xml:space="preserve">Department of Agriculture &amp; Farmers Welfare, 1st advance estimates for 2019–20 </w:t>
      </w:r>
      <w:r w:rsidRPr="00A910C9">
        <w:rPr>
          <w:rFonts w:asciiTheme="minorHAnsi" w:hAnsiTheme="minorHAnsi" w:cstheme="minorHAnsi"/>
          <w:bCs/>
          <w:szCs w:val="18"/>
        </w:rPr>
        <w:t>(</w:t>
      </w:r>
      <w:r w:rsidRPr="00FD1C8B">
        <w:rPr>
          <w:rFonts w:asciiTheme="minorHAnsi" w:hAnsiTheme="minorHAnsi" w:cstheme="minorHAnsi"/>
          <w:b/>
          <w:szCs w:val="18"/>
        </w:rPr>
        <w:t>Exhibit JE-141</w:t>
      </w:r>
      <w:r w:rsidRPr="00A910C9">
        <w:rPr>
          <w:rFonts w:asciiTheme="minorHAnsi" w:hAnsiTheme="minorHAnsi" w:cstheme="minorHAnsi"/>
          <w:bCs/>
          <w:szCs w:val="18"/>
        </w:rPr>
        <w:t>).</w:t>
      </w:r>
      <w:r w:rsidRPr="00FD1C8B">
        <w:rPr>
          <w:rFonts w:asciiTheme="minorHAnsi" w:hAnsiTheme="minorHAnsi" w:cstheme="minorHAnsi"/>
          <w:szCs w:val="18"/>
        </w:rPr>
        <w:t xml:space="preserve"> See also First Advance Estimates of Production of Foodgrains for 2019–20, Ministry of Agriculture and Farmers Welfare, 23 September 2019 </w:t>
      </w:r>
      <w:r w:rsidRPr="00A910C9">
        <w:rPr>
          <w:rFonts w:asciiTheme="minorHAnsi" w:hAnsiTheme="minorHAnsi" w:cstheme="minorHAnsi"/>
          <w:bCs/>
          <w:szCs w:val="18"/>
        </w:rPr>
        <w:t>(</w:t>
      </w:r>
      <w:r w:rsidRPr="00FD1C8B">
        <w:rPr>
          <w:rFonts w:asciiTheme="minorHAnsi" w:hAnsiTheme="minorHAnsi" w:cstheme="minorHAnsi"/>
          <w:b/>
          <w:szCs w:val="18"/>
        </w:rPr>
        <w:t>Exhibit AUS-49</w:t>
      </w:r>
      <w:r w:rsidRPr="00A910C9">
        <w:rPr>
          <w:rFonts w:asciiTheme="minorHAnsi" w:hAnsiTheme="minorHAnsi" w:cstheme="minorHAnsi"/>
          <w:bCs/>
          <w:szCs w:val="18"/>
        </w:rPr>
        <w:t>)</w:t>
      </w:r>
      <w:r w:rsidRPr="00FD1C8B">
        <w:rPr>
          <w:rFonts w:asciiTheme="minorHAnsi" w:hAnsiTheme="minorHAnsi" w:cstheme="minorHAnsi"/>
          <w:szCs w:val="18"/>
        </w:rPr>
        <w:t xml:space="preserve">. Value of production figures are sourced from Ministry of Statistics and Programme Implementation, National Accounts Statistics 2020, Statement 8.1.2 Crop-wise value of output </w:t>
      </w:r>
      <w:r w:rsidRPr="00A910C9">
        <w:rPr>
          <w:rFonts w:asciiTheme="minorHAnsi" w:hAnsiTheme="minorHAnsi" w:cstheme="minorHAnsi"/>
          <w:bCs/>
          <w:szCs w:val="18"/>
        </w:rPr>
        <w:t>(</w:t>
      </w:r>
      <w:r w:rsidRPr="00FD1C8B">
        <w:rPr>
          <w:rFonts w:asciiTheme="minorHAnsi" w:hAnsiTheme="minorHAnsi" w:cstheme="minorHAnsi"/>
          <w:b/>
          <w:szCs w:val="18"/>
        </w:rPr>
        <w:t>Exhibit JE-</w:t>
      </w:r>
      <w:r>
        <w:rPr>
          <w:rFonts w:asciiTheme="minorHAnsi" w:hAnsiTheme="minorHAnsi" w:cstheme="minorHAnsi"/>
          <w:b/>
          <w:szCs w:val="18"/>
        </w:rPr>
        <w:t>147</w:t>
      </w:r>
      <w:r w:rsidRPr="00A910C9">
        <w:rPr>
          <w:rFonts w:asciiTheme="minorHAnsi" w:hAnsiTheme="minorHAnsi" w:cstheme="minorHAnsi"/>
          <w:bCs/>
          <w:szCs w:val="18"/>
        </w:rPr>
        <w:t>).</w:t>
      </w:r>
    </w:p>
  </w:footnote>
  <w:footnote w:id="326">
    <w:p w14:paraId="5886F02E" w14:textId="77777777" w:rsidR="009F2B4B" w:rsidRDefault="009F2B4B" w:rsidP="00A910C9">
      <w:pPr>
        <w:pStyle w:val="FootnoteText"/>
      </w:pPr>
      <w:r>
        <w:rPr>
          <w:rStyle w:val="FootnoteReference"/>
        </w:rPr>
        <w:footnoteRef/>
      </w:r>
      <w:r>
        <w:t xml:space="preserve"> Figures sourced from </w:t>
      </w:r>
      <w:r w:rsidRPr="00F50B09">
        <w:t>Ministry of Statistics and Programme Implementation, National Accounts Statistics 20</w:t>
      </w:r>
      <w:r>
        <w:t>20</w:t>
      </w:r>
      <w:r w:rsidRPr="00F50B09">
        <w:t>, Statement</w:t>
      </w:r>
      <w:r>
        <w:t> </w:t>
      </w:r>
      <w:r w:rsidRPr="00F50B09">
        <w:t xml:space="preserve">8.1.2 Crop-wise value of output </w:t>
      </w:r>
      <w:r w:rsidRPr="00A910C9">
        <w:t>(</w:t>
      </w:r>
      <w:r w:rsidRPr="00F50B09">
        <w:rPr>
          <w:b/>
          <w:bCs/>
        </w:rPr>
        <w:t>Exhibit JE-</w:t>
      </w:r>
      <w:r>
        <w:rPr>
          <w:b/>
          <w:bCs/>
        </w:rPr>
        <w:t>147</w:t>
      </w:r>
      <w:r w:rsidRPr="00A910C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FC8B" w14:textId="53C3D4D1" w:rsidR="009F2B4B" w:rsidRPr="002A03DD" w:rsidRDefault="009F2B4B">
    <w:pPr>
      <w:pStyle w:val="Header"/>
      <w:rPr>
        <w:sz w:val="18"/>
        <w:szCs w:val="18"/>
      </w:rPr>
    </w:pPr>
    <w:r w:rsidRPr="002A03DD">
      <w:rPr>
        <w:i/>
        <w:iCs/>
        <w:sz w:val="18"/>
        <w:szCs w:val="18"/>
      </w:rPr>
      <w:fldChar w:fldCharType="begin"/>
    </w:r>
    <w:r w:rsidRPr="002A03DD">
      <w:rPr>
        <w:i/>
        <w:iCs/>
        <w:sz w:val="18"/>
        <w:szCs w:val="18"/>
      </w:rPr>
      <w:instrText xml:space="preserve"> STYLEREF  "[WTODT] WTO Dispute Title"  \* MERGEFORMAT </w:instrText>
    </w:r>
    <w:r w:rsidRPr="002A03DD">
      <w:rPr>
        <w:i/>
        <w:iCs/>
        <w:sz w:val="18"/>
        <w:szCs w:val="18"/>
      </w:rPr>
      <w:fldChar w:fldCharType="separate"/>
    </w:r>
    <w:r w:rsidR="005B64B3">
      <w:rPr>
        <w:i/>
        <w:iCs/>
        <w:noProof/>
        <w:sz w:val="18"/>
        <w:szCs w:val="18"/>
      </w:rPr>
      <w:t>India – Measures Concerning Sugar and Sugarcane</w:t>
    </w:r>
    <w:r w:rsidRPr="002A03DD">
      <w:rPr>
        <w:i/>
        <w:iCs/>
        <w:sz w:val="18"/>
        <w:szCs w:val="18"/>
      </w:rPr>
      <w:fldChar w:fldCharType="end"/>
    </w:r>
    <w:r w:rsidRPr="002A03DD">
      <w:rPr>
        <w:sz w:val="18"/>
        <w:szCs w:val="18"/>
      </w:rPr>
      <w:ptab w:relativeTo="margin" w:alignment="right" w:leader="none"/>
    </w:r>
    <w:r w:rsidRPr="002A03DD">
      <w:rPr>
        <w:sz w:val="18"/>
        <w:szCs w:val="18"/>
      </w:rPr>
      <w:fldChar w:fldCharType="begin"/>
    </w:r>
    <w:r w:rsidRPr="002A03DD">
      <w:rPr>
        <w:sz w:val="18"/>
        <w:szCs w:val="18"/>
      </w:rPr>
      <w:instrText xml:space="preserve"> STYLEREF  "[DT] Document Title"  \* MERGEFORMAT </w:instrText>
    </w:r>
    <w:r w:rsidRPr="002A03DD">
      <w:rPr>
        <w:sz w:val="18"/>
        <w:szCs w:val="18"/>
      </w:rPr>
      <w:fldChar w:fldCharType="separate"/>
    </w:r>
    <w:r w:rsidR="005B64B3">
      <w:rPr>
        <w:noProof/>
        <w:sz w:val="18"/>
        <w:szCs w:val="18"/>
      </w:rPr>
      <w:t>Australia's Second Written Submission</w:t>
    </w:r>
    <w:r w:rsidRPr="002A03DD">
      <w:rPr>
        <w:noProof/>
        <w:sz w:val="18"/>
        <w:szCs w:val="18"/>
      </w:rPr>
      <w:fldChar w:fldCharType="end"/>
    </w:r>
  </w:p>
  <w:p w14:paraId="37345DA1" w14:textId="2768DEC3" w:rsidR="009F2B4B" w:rsidRPr="002A03DD" w:rsidRDefault="009F2B4B">
    <w:pPr>
      <w:pStyle w:val="Header"/>
      <w:rPr>
        <w:sz w:val="18"/>
        <w:szCs w:val="18"/>
      </w:rPr>
    </w:pPr>
    <w:r w:rsidRPr="002A03DD">
      <w:rPr>
        <w:sz w:val="18"/>
        <w:szCs w:val="18"/>
      </w:rPr>
      <w:fldChar w:fldCharType="begin"/>
    </w:r>
    <w:r w:rsidRPr="002A03DD">
      <w:rPr>
        <w:sz w:val="18"/>
        <w:szCs w:val="18"/>
      </w:rPr>
      <w:instrText xml:space="preserve"> STYLEREF  "[DSN] DS Number"  \* MERGEFORMAT </w:instrText>
    </w:r>
    <w:r w:rsidRPr="002A03DD">
      <w:rPr>
        <w:sz w:val="18"/>
        <w:szCs w:val="18"/>
      </w:rPr>
      <w:fldChar w:fldCharType="separate"/>
    </w:r>
    <w:r w:rsidR="005B64B3">
      <w:rPr>
        <w:noProof/>
        <w:sz w:val="18"/>
        <w:szCs w:val="18"/>
      </w:rPr>
      <w:t>(DS580)</w:t>
    </w:r>
    <w:r w:rsidRPr="002A03DD">
      <w:rPr>
        <w:noProof/>
        <w:sz w:val="18"/>
        <w:szCs w:val="18"/>
      </w:rPr>
      <w:fldChar w:fldCharType="end"/>
    </w:r>
    <w:r w:rsidRPr="002A03DD">
      <w:rPr>
        <w:sz w:val="18"/>
        <w:szCs w:val="18"/>
      </w:rPr>
      <w:ptab w:relativeTo="margin" w:alignment="right" w:leader="none"/>
    </w:r>
    <w:r w:rsidRPr="002A03DD">
      <w:rPr>
        <w:sz w:val="18"/>
        <w:szCs w:val="18"/>
      </w:rPr>
      <w:fldChar w:fldCharType="begin"/>
    </w:r>
    <w:r w:rsidRPr="002A03DD">
      <w:rPr>
        <w:sz w:val="18"/>
        <w:szCs w:val="18"/>
      </w:rPr>
      <w:instrText xml:space="preserve"> STYLEREF  "[DD] Document Date"  \* MERGEFORMAT </w:instrText>
    </w:r>
    <w:r w:rsidRPr="002A03DD">
      <w:rPr>
        <w:sz w:val="18"/>
        <w:szCs w:val="18"/>
      </w:rPr>
      <w:fldChar w:fldCharType="separate"/>
    </w:r>
    <w:r w:rsidR="005B64B3">
      <w:rPr>
        <w:noProof/>
        <w:sz w:val="18"/>
        <w:szCs w:val="18"/>
      </w:rPr>
      <w:t>11 February 2021</w:t>
    </w:r>
    <w:r w:rsidRPr="002A03DD">
      <w:rPr>
        <w:noProof/>
        <w:sz w:val="18"/>
        <w:szCs w:val="18"/>
      </w:rPr>
      <w:fldChar w:fldCharType="end"/>
    </w:r>
  </w:p>
  <w:p w14:paraId="6EF8AA26" w14:textId="77777777" w:rsidR="009F2B4B" w:rsidRDefault="009F2B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49AF" w14:textId="0D75A773" w:rsidR="009F2B4B" w:rsidRPr="002A03DD" w:rsidRDefault="009F2B4B">
    <w:pPr>
      <w:pStyle w:val="Header"/>
      <w:rPr>
        <w:sz w:val="18"/>
        <w:szCs w:val="18"/>
      </w:rPr>
    </w:pPr>
    <w:r w:rsidRPr="002A03DD">
      <w:rPr>
        <w:i/>
        <w:iCs/>
        <w:sz w:val="18"/>
        <w:szCs w:val="18"/>
      </w:rPr>
      <w:fldChar w:fldCharType="begin"/>
    </w:r>
    <w:r w:rsidRPr="002A03DD">
      <w:rPr>
        <w:i/>
        <w:iCs/>
        <w:sz w:val="18"/>
        <w:szCs w:val="18"/>
      </w:rPr>
      <w:instrText xml:space="preserve"> STYLEREF  "[WTODT] WTO Dispute Title"  \* MERGEFORMAT </w:instrText>
    </w:r>
    <w:r w:rsidRPr="002A03DD">
      <w:rPr>
        <w:i/>
        <w:iCs/>
        <w:sz w:val="18"/>
        <w:szCs w:val="18"/>
      </w:rPr>
      <w:fldChar w:fldCharType="separate"/>
    </w:r>
    <w:r w:rsidR="005B64B3">
      <w:rPr>
        <w:i/>
        <w:iCs/>
        <w:noProof/>
        <w:sz w:val="18"/>
        <w:szCs w:val="18"/>
      </w:rPr>
      <w:t>India – Measures Concerning Sugar and Sugarcane</w:t>
    </w:r>
    <w:r w:rsidRPr="002A03DD">
      <w:rPr>
        <w:i/>
        <w:iCs/>
        <w:sz w:val="18"/>
        <w:szCs w:val="18"/>
      </w:rPr>
      <w:fldChar w:fldCharType="end"/>
    </w:r>
    <w:r w:rsidRPr="002A03DD">
      <w:rPr>
        <w:sz w:val="18"/>
        <w:szCs w:val="18"/>
      </w:rPr>
      <w:ptab w:relativeTo="margin" w:alignment="right" w:leader="none"/>
    </w:r>
    <w:r w:rsidRPr="002A03DD">
      <w:rPr>
        <w:sz w:val="18"/>
        <w:szCs w:val="18"/>
      </w:rPr>
      <w:fldChar w:fldCharType="begin"/>
    </w:r>
    <w:r w:rsidRPr="002A03DD">
      <w:rPr>
        <w:sz w:val="18"/>
        <w:szCs w:val="18"/>
      </w:rPr>
      <w:instrText xml:space="preserve"> STYLEREF  "[DT] Document Title"  \* MERGEFORMAT </w:instrText>
    </w:r>
    <w:r w:rsidRPr="002A03DD">
      <w:rPr>
        <w:sz w:val="18"/>
        <w:szCs w:val="18"/>
      </w:rPr>
      <w:fldChar w:fldCharType="separate"/>
    </w:r>
    <w:r w:rsidR="005B64B3">
      <w:rPr>
        <w:noProof/>
        <w:sz w:val="18"/>
        <w:szCs w:val="18"/>
      </w:rPr>
      <w:t>Australia's Second Written Submission</w:t>
    </w:r>
    <w:r w:rsidRPr="002A03DD">
      <w:rPr>
        <w:noProof/>
        <w:sz w:val="18"/>
        <w:szCs w:val="18"/>
      </w:rPr>
      <w:fldChar w:fldCharType="end"/>
    </w:r>
  </w:p>
  <w:p w14:paraId="0D7EB63D" w14:textId="15706D08" w:rsidR="009F2B4B" w:rsidRPr="002A03DD" w:rsidRDefault="009F2B4B">
    <w:pPr>
      <w:pStyle w:val="Header"/>
      <w:rPr>
        <w:sz w:val="18"/>
        <w:szCs w:val="18"/>
      </w:rPr>
    </w:pPr>
    <w:r w:rsidRPr="002A03DD">
      <w:rPr>
        <w:sz w:val="18"/>
        <w:szCs w:val="18"/>
      </w:rPr>
      <w:fldChar w:fldCharType="begin"/>
    </w:r>
    <w:r w:rsidRPr="002A03DD">
      <w:rPr>
        <w:sz w:val="18"/>
        <w:szCs w:val="18"/>
      </w:rPr>
      <w:instrText xml:space="preserve"> STYLEREF  "[DSN] DS Number"  \* MERGEFORMAT </w:instrText>
    </w:r>
    <w:r w:rsidRPr="002A03DD">
      <w:rPr>
        <w:sz w:val="18"/>
        <w:szCs w:val="18"/>
      </w:rPr>
      <w:fldChar w:fldCharType="separate"/>
    </w:r>
    <w:r w:rsidR="005B64B3">
      <w:rPr>
        <w:noProof/>
        <w:sz w:val="18"/>
        <w:szCs w:val="18"/>
      </w:rPr>
      <w:t>(DS580)</w:t>
    </w:r>
    <w:r w:rsidRPr="002A03DD">
      <w:rPr>
        <w:noProof/>
        <w:sz w:val="18"/>
        <w:szCs w:val="18"/>
      </w:rPr>
      <w:fldChar w:fldCharType="end"/>
    </w:r>
    <w:r w:rsidRPr="002A03DD">
      <w:rPr>
        <w:sz w:val="18"/>
        <w:szCs w:val="18"/>
      </w:rPr>
      <w:ptab w:relativeTo="margin" w:alignment="right" w:leader="none"/>
    </w:r>
    <w:r w:rsidRPr="002A03DD">
      <w:rPr>
        <w:sz w:val="18"/>
        <w:szCs w:val="18"/>
      </w:rPr>
      <w:fldChar w:fldCharType="begin"/>
    </w:r>
    <w:r w:rsidRPr="002A03DD">
      <w:rPr>
        <w:sz w:val="18"/>
        <w:szCs w:val="18"/>
      </w:rPr>
      <w:instrText xml:space="preserve"> STYLEREF  "[DD] Document Date"  \* MERGEFORMAT </w:instrText>
    </w:r>
    <w:r w:rsidRPr="002A03DD">
      <w:rPr>
        <w:sz w:val="18"/>
        <w:szCs w:val="18"/>
      </w:rPr>
      <w:fldChar w:fldCharType="separate"/>
    </w:r>
    <w:r w:rsidR="005B64B3">
      <w:rPr>
        <w:noProof/>
        <w:sz w:val="18"/>
        <w:szCs w:val="18"/>
      </w:rPr>
      <w:t>11 February 2021</w:t>
    </w:r>
    <w:r w:rsidRPr="002A03DD">
      <w:rPr>
        <w:noProof/>
        <w:sz w:val="18"/>
        <w:szCs w:val="18"/>
      </w:rPr>
      <w:fldChar w:fldCharType="end"/>
    </w:r>
  </w:p>
  <w:p w14:paraId="5121F8B5" w14:textId="77777777" w:rsidR="009F2B4B" w:rsidRDefault="009F2B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BB65F" w14:textId="77777777" w:rsidR="009F2B4B" w:rsidRDefault="009F2B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4EBE6" w14:textId="7716FECC" w:rsidR="009F2B4B" w:rsidRPr="002A03DD" w:rsidRDefault="009F2B4B">
    <w:pPr>
      <w:pStyle w:val="Header"/>
      <w:rPr>
        <w:sz w:val="18"/>
        <w:szCs w:val="18"/>
      </w:rPr>
    </w:pPr>
    <w:r w:rsidRPr="002A03DD">
      <w:rPr>
        <w:i/>
        <w:iCs/>
        <w:sz w:val="18"/>
        <w:szCs w:val="18"/>
      </w:rPr>
      <w:fldChar w:fldCharType="begin"/>
    </w:r>
    <w:r w:rsidRPr="002A03DD">
      <w:rPr>
        <w:i/>
        <w:iCs/>
        <w:sz w:val="18"/>
        <w:szCs w:val="18"/>
      </w:rPr>
      <w:instrText xml:space="preserve"> STYLEREF  "[WTODT] WTO Dispute Title"  \* MERGEFORMAT </w:instrText>
    </w:r>
    <w:r w:rsidRPr="002A03DD">
      <w:rPr>
        <w:i/>
        <w:iCs/>
        <w:sz w:val="18"/>
        <w:szCs w:val="18"/>
      </w:rPr>
      <w:fldChar w:fldCharType="separate"/>
    </w:r>
    <w:r w:rsidR="005B64B3">
      <w:rPr>
        <w:i/>
        <w:iCs/>
        <w:noProof/>
        <w:sz w:val="18"/>
        <w:szCs w:val="18"/>
      </w:rPr>
      <w:t>India – Measures Concerning Sugar and Sugarcane</w:t>
    </w:r>
    <w:r w:rsidRPr="002A03DD">
      <w:rPr>
        <w:i/>
        <w:iCs/>
        <w:sz w:val="18"/>
        <w:szCs w:val="18"/>
      </w:rPr>
      <w:fldChar w:fldCharType="end"/>
    </w:r>
    <w:r w:rsidRPr="002A03DD">
      <w:rPr>
        <w:sz w:val="18"/>
        <w:szCs w:val="18"/>
      </w:rPr>
      <w:ptab w:relativeTo="margin" w:alignment="right" w:leader="none"/>
    </w:r>
    <w:r w:rsidRPr="002A03DD">
      <w:rPr>
        <w:sz w:val="18"/>
        <w:szCs w:val="18"/>
      </w:rPr>
      <w:fldChar w:fldCharType="begin"/>
    </w:r>
    <w:r w:rsidRPr="002A03DD">
      <w:rPr>
        <w:sz w:val="18"/>
        <w:szCs w:val="18"/>
      </w:rPr>
      <w:instrText xml:space="preserve"> STYLEREF  "[DT] Document Title"  \* MERGEFORMAT </w:instrText>
    </w:r>
    <w:r w:rsidRPr="002A03DD">
      <w:rPr>
        <w:sz w:val="18"/>
        <w:szCs w:val="18"/>
      </w:rPr>
      <w:fldChar w:fldCharType="separate"/>
    </w:r>
    <w:r w:rsidR="005B64B3">
      <w:rPr>
        <w:noProof/>
        <w:sz w:val="18"/>
        <w:szCs w:val="18"/>
      </w:rPr>
      <w:t>Australia's Second Written Submission</w:t>
    </w:r>
    <w:r w:rsidRPr="002A03DD">
      <w:rPr>
        <w:noProof/>
        <w:sz w:val="18"/>
        <w:szCs w:val="18"/>
      </w:rPr>
      <w:fldChar w:fldCharType="end"/>
    </w:r>
  </w:p>
  <w:p w14:paraId="5A5AC812" w14:textId="6F4BA2FD" w:rsidR="009F2B4B" w:rsidRPr="002A03DD" w:rsidRDefault="009F2B4B">
    <w:pPr>
      <w:pStyle w:val="Header"/>
      <w:rPr>
        <w:sz w:val="18"/>
        <w:szCs w:val="18"/>
      </w:rPr>
    </w:pPr>
    <w:r w:rsidRPr="002A03DD">
      <w:rPr>
        <w:sz w:val="18"/>
        <w:szCs w:val="18"/>
      </w:rPr>
      <w:fldChar w:fldCharType="begin"/>
    </w:r>
    <w:r w:rsidRPr="002A03DD">
      <w:rPr>
        <w:sz w:val="18"/>
        <w:szCs w:val="18"/>
      </w:rPr>
      <w:instrText xml:space="preserve"> STYLEREF  "[DSN] DS Number"  \* MERGEFORMAT </w:instrText>
    </w:r>
    <w:r w:rsidRPr="002A03DD">
      <w:rPr>
        <w:sz w:val="18"/>
        <w:szCs w:val="18"/>
      </w:rPr>
      <w:fldChar w:fldCharType="separate"/>
    </w:r>
    <w:r w:rsidR="005B64B3">
      <w:rPr>
        <w:noProof/>
        <w:sz w:val="18"/>
        <w:szCs w:val="18"/>
      </w:rPr>
      <w:t>(DS580)</w:t>
    </w:r>
    <w:r w:rsidRPr="002A03DD">
      <w:rPr>
        <w:noProof/>
        <w:sz w:val="18"/>
        <w:szCs w:val="18"/>
      </w:rPr>
      <w:fldChar w:fldCharType="end"/>
    </w:r>
    <w:r w:rsidRPr="002A03DD">
      <w:rPr>
        <w:sz w:val="18"/>
        <w:szCs w:val="18"/>
      </w:rPr>
      <w:ptab w:relativeTo="margin" w:alignment="right" w:leader="none"/>
    </w:r>
    <w:r w:rsidRPr="002A03DD">
      <w:rPr>
        <w:sz w:val="18"/>
        <w:szCs w:val="18"/>
      </w:rPr>
      <w:fldChar w:fldCharType="begin"/>
    </w:r>
    <w:r w:rsidRPr="002A03DD">
      <w:rPr>
        <w:sz w:val="18"/>
        <w:szCs w:val="18"/>
      </w:rPr>
      <w:instrText xml:space="preserve"> STYLEREF  "[DD] Document Date"  \* MERGEFORMAT </w:instrText>
    </w:r>
    <w:r w:rsidRPr="002A03DD">
      <w:rPr>
        <w:sz w:val="18"/>
        <w:szCs w:val="18"/>
      </w:rPr>
      <w:fldChar w:fldCharType="separate"/>
    </w:r>
    <w:r w:rsidR="005B64B3">
      <w:rPr>
        <w:noProof/>
        <w:sz w:val="18"/>
        <w:szCs w:val="18"/>
      </w:rPr>
      <w:t>11 February 2021</w:t>
    </w:r>
    <w:r w:rsidRPr="002A03DD">
      <w:rPr>
        <w:noProof/>
        <w:sz w:val="18"/>
        <w:szCs w:val="18"/>
      </w:rPr>
      <w:fldChar w:fldCharType="end"/>
    </w:r>
  </w:p>
  <w:p w14:paraId="67BA3B7F" w14:textId="77777777" w:rsidR="009F2B4B" w:rsidRDefault="009F2B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95A6" w14:textId="02BAFE2F" w:rsidR="009F2B4B" w:rsidRPr="002A03DD" w:rsidRDefault="009F2B4B">
    <w:pPr>
      <w:pStyle w:val="Header"/>
      <w:rPr>
        <w:sz w:val="18"/>
        <w:szCs w:val="18"/>
      </w:rPr>
    </w:pPr>
    <w:r w:rsidRPr="002A03DD">
      <w:rPr>
        <w:i/>
        <w:iCs/>
        <w:sz w:val="18"/>
        <w:szCs w:val="18"/>
      </w:rPr>
      <w:fldChar w:fldCharType="begin"/>
    </w:r>
    <w:r w:rsidRPr="002A03DD">
      <w:rPr>
        <w:i/>
        <w:iCs/>
        <w:sz w:val="18"/>
        <w:szCs w:val="18"/>
      </w:rPr>
      <w:instrText xml:space="preserve"> STYLEREF  "[WTODT] WTO Dispute Title"  \* MERGEFORMAT </w:instrText>
    </w:r>
    <w:r w:rsidRPr="002A03DD">
      <w:rPr>
        <w:i/>
        <w:iCs/>
        <w:sz w:val="18"/>
        <w:szCs w:val="18"/>
      </w:rPr>
      <w:fldChar w:fldCharType="separate"/>
    </w:r>
    <w:r w:rsidR="005B64B3">
      <w:rPr>
        <w:i/>
        <w:iCs/>
        <w:noProof/>
        <w:sz w:val="18"/>
        <w:szCs w:val="18"/>
      </w:rPr>
      <w:t>India – Measures Concerning Sugar and Sugarcane</w:t>
    </w:r>
    <w:r w:rsidRPr="002A03DD">
      <w:rPr>
        <w:i/>
        <w:iCs/>
        <w:sz w:val="18"/>
        <w:szCs w:val="18"/>
      </w:rPr>
      <w:fldChar w:fldCharType="end"/>
    </w:r>
    <w:r w:rsidRPr="002A03DD">
      <w:rPr>
        <w:sz w:val="18"/>
        <w:szCs w:val="18"/>
      </w:rPr>
      <w:ptab w:relativeTo="margin" w:alignment="right" w:leader="none"/>
    </w:r>
    <w:r w:rsidRPr="002A03DD">
      <w:rPr>
        <w:sz w:val="18"/>
        <w:szCs w:val="18"/>
      </w:rPr>
      <w:fldChar w:fldCharType="begin"/>
    </w:r>
    <w:r w:rsidRPr="002A03DD">
      <w:rPr>
        <w:sz w:val="18"/>
        <w:szCs w:val="18"/>
      </w:rPr>
      <w:instrText xml:space="preserve"> STYLEREF  "[DT] Document Title"  \* MERGEFORMAT </w:instrText>
    </w:r>
    <w:r w:rsidRPr="002A03DD">
      <w:rPr>
        <w:sz w:val="18"/>
        <w:szCs w:val="18"/>
      </w:rPr>
      <w:fldChar w:fldCharType="separate"/>
    </w:r>
    <w:r w:rsidR="005B64B3">
      <w:rPr>
        <w:noProof/>
        <w:sz w:val="18"/>
        <w:szCs w:val="18"/>
      </w:rPr>
      <w:t>Australia's Second Written Submission</w:t>
    </w:r>
    <w:r w:rsidRPr="002A03DD">
      <w:rPr>
        <w:noProof/>
        <w:sz w:val="18"/>
        <w:szCs w:val="18"/>
      </w:rPr>
      <w:fldChar w:fldCharType="end"/>
    </w:r>
  </w:p>
  <w:p w14:paraId="4700CCC2" w14:textId="53659D8B" w:rsidR="009F2B4B" w:rsidRPr="002A03DD" w:rsidRDefault="009F2B4B">
    <w:pPr>
      <w:pStyle w:val="Header"/>
      <w:rPr>
        <w:sz w:val="18"/>
        <w:szCs w:val="18"/>
      </w:rPr>
    </w:pPr>
    <w:r w:rsidRPr="002A03DD">
      <w:rPr>
        <w:sz w:val="18"/>
        <w:szCs w:val="18"/>
      </w:rPr>
      <w:fldChar w:fldCharType="begin"/>
    </w:r>
    <w:r w:rsidRPr="002A03DD">
      <w:rPr>
        <w:sz w:val="18"/>
        <w:szCs w:val="18"/>
      </w:rPr>
      <w:instrText xml:space="preserve"> STYLEREF  "[DSN] DS Number"  \* MERGEFORMAT </w:instrText>
    </w:r>
    <w:r w:rsidRPr="002A03DD">
      <w:rPr>
        <w:sz w:val="18"/>
        <w:szCs w:val="18"/>
      </w:rPr>
      <w:fldChar w:fldCharType="separate"/>
    </w:r>
    <w:r w:rsidR="005B64B3">
      <w:rPr>
        <w:noProof/>
        <w:sz w:val="18"/>
        <w:szCs w:val="18"/>
      </w:rPr>
      <w:t>(DS580)</w:t>
    </w:r>
    <w:r w:rsidRPr="002A03DD">
      <w:rPr>
        <w:noProof/>
        <w:sz w:val="18"/>
        <w:szCs w:val="18"/>
      </w:rPr>
      <w:fldChar w:fldCharType="end"/>
    </w:r>
    <w:r w:rsidRPr="002A03DD">
      <w:rPr>
        <w:sz w:val="18"/>
        <w:szCs w:val="18"/>
      </w:rPr>
      <w:ptab w:relativeTo="margin" w:alignment="right" w:leader="none"/>
    </w:r>
    <w:r w:rsidRPr="002A03DD">
      <w:rPr>
        <w:sz w:val="18"/>
        <w:szCs w:val="18"/>
      </w:rPr>
      <w:fldChar w:fldCharType="begin"/>
    </w:r>
    <w:r w:rsidRPr="002A03DD">
      <w:rPr>
        <w:sz w:val="18"/>
        <w:szCs w:val="18"/>
      </w:rPr>
      <w:instrText xml:space="preserve"> STYLEREF  "[DD] Document Date"  \* MERGEFORMAT </w:instrText>
    </w:r>
    <w:r w:rsidRPr="002A03DD">
      <w:rPr>
        <w:sz w:val="18"/>
        <w:szCs w:val="18"/>
      </w:rPr>
      <w:fldChar w:fldCharType="separate"/>
    </w:r>
    <w:r w:rsidR="005B64B3">
      <w:rPr>
        <w:noProof/>
        <w:sz w:val="18"/>
        <w:szCs w:val="18"/>
      </w:rPr>
      <w:t>11 February 2021</w:t>
    </w:r>
    <w:r w:rsidRPr="002A03DD">
      <w:rPr>
        <w:noProof/>
        <w:sz w:val="18"/>
        <w:szCs w:val="18"/>
      </w:rPr>
      <w:fldChar w:fldCharType="end"/>
    </w:r>
  </w:p>
  <w:p w14:paraId="04BC04F3" w14:textId="77777777" w:rsidR="009F2B4B" w:rsidRDefault="009F2B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45B0"/>
    <w:multiLevelType w:val="hybridMultilevel"/>
    <w:tmpl w:val="47249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43D4C"/>
    <w:multiLevelType w:val="hybridMultilevel"/>
    <w:tmpl w:val="AAAE7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4" w15:restartNumberingAfterBreak="0">
    <w:nsid w:val="11907D2B"/>
    <w:multiLevelType w:val="hybridMultilevel"/>
    <w:tmpl w:val="5EAC4D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E520B1"/>
    <w:multiLevelType w:val="hybridMultilevel"/>
    <w:tmpl w:val="B99C100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841A8"/>
    <w:multiLevelType w:val="hybridMultilevel"/>
    <w:tmpl w:val="0DC6B558"/>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8243105"/>
    <w:multiLevelType w:val="hybridMultilevel"/>
    <w:tmpl w:val="8E56E39C"/>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8" w15:restartNumberingAfterBreak="0">
    <w:nsid w:val="40442D58"/>
    <w:multiLevelType w:val="hybridMultilevel"/>
    <w:tmpl w:val="A494707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524D161B"/>
    <w:multiLevelType w:val="hybridMultilevel"/>
    <w:tmpl w:val="A6E666A2"/>
    <w:lvl w:ilvl="0" w:tplc="E3AE501C">
      <w:start w:val="1"/>
      <w:numFmt w:val="decimal"/>
      <w:lvlText w:val="%1."/>
      <w:lvlJc w:val="left"/>
      <w:pPr>
        <w:ind w:left="360" w:hanging="360"/>
      </w:pPr>
      <w:rPr>
        <w:rFonts w:hint="default"/>
        <w:b w:val="0"/>
        <w:i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9D04C4"/>
    <w:multiLevelType w:val="hybridMultilevel"/>
    <w:tmpl w:val="F3D4C19E"/>
    <w:lvl w:ilvl="0" w:tplc="087A8F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2"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CE295C"/>
    <w:multiLevelType w:val="hybridMultilevel"/>
    <w:tmpl w:val="F720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7"/>
    <w:lvlOverride w:ilvl="0">
      <w:startOverride w:val="1"/>
    </w:lvlOverride>
  </w:num>
  <w:num w:numId="4">
    <w:abstractNumId w:val="1"/>
  </w:num>
  <w:num w:numId="5">
    <w:abstractNumId w:val="12"/>
  </w:num>
  <w:num w:numId="6">
    <w:abstractNumId w:val="11"/>
  </w:num>
  <w:num w:numId="7">
    <w:abstractNumId w:val="11"/>
  </w:num>
  <w:num w:numId="8">
    <w:abstractNumId w:val="3"/>
  </w:num>
  <w:num w:numId="9">
    <w:abstractNumId w:val="3"/>
  </w:num>
  <w:num w:numId="10">
    <w:abstractNumId w:val="3"/>
  </w:num>
  <w:num w:numId="11">
    <w:abstractNumId w:val="3"/>
  </w:num>
  <w:num w:numId="12">
    <w:abstractNumId w:val="3"/>
  </w:num>
  <w:num w:numId="13">
    <w:abstractNumId w:val="9"/>
  </w:num>
  <w:num w:numId="14">
    <w:abstractNumId w:val="3"/>
  </w:num>
  <w:num w:numId="15">
    <w:abstractNumId w:val="7"/>
  </w:num>
  <w:num w:numId="16">
    <w:abstractNumId w:val="7"/>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2"/>
  </w:num>
  <w:num w:numId="21">
    <w:abstractNumId w:val="8"/>
  </w:num>
  <w:num w:numId="22">
    <w:abstractNumId w:val="6"/>
  </w:num>
  <w:num w:numId="23">
    <w:abstractNumId w:val="5"/>
  </w:num>
  <w:num w:numId="24">
    <w:abstractNumId w:val="10"/>
  </w:num>
  <w:num w:numId="25">
    <w:abstractNumId w:val="0"/>
  </w:num>
  <w:num w:numId="26">
    <w:abstractNumId w:val="4"/>
  </w:num>
  <w:num w:numId="27">
    <w:abstractNumId w:val="13"/>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efaultTabStop w:val="85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CA"/>
    <w:rsid w:val="00003662"/>
    <w:rsid w:val="00004009"/>
    <w:rsid w:val="000042E4"/>
    <w:rsid w:val="000058D1"/>
    <w:rsid w:val="00006269"/>
    <w:rsid w:val="00007293"/>
    <w:rsid w:val="00007B9D"/>
    <w:rsid w:val="00013F6E"/>
    <w:rsid w:val="00023C47"/>
    <w:rsid w:val="00024048"/>
    <w:rsid w:val="00025483"/>
    <w:rsid w:val="00026779"/>
    <w:rsid w:val="00030A32"/>
    <w:rsid w:val="00030D8F"/>
    <w:rsid w:val="000314F3"/>
    <w:rsid w:val="00031577"/>
    <w:rsid w:val="00032044"/>
    <w:rsid w:val="00032159"/>
    <w:rsid w:val="0003255F"/>
    <w:rsid w:val="00035FDC"/>
    <w:rsid w:val="000368FF"/>
    <w:rsid w:val="00040482"/>
    <w:rsid w:val="00040871"/>
    <w:rsid w:val="000410E5"/>
    <w:rsid w:val="00043F7E"/>
    <w:rsid w:val="0004483D"/>
    <w:rsid w:val="000453F8"/>
    <w:rsid w:val="00046BAF"/>
    <w:rsid w:val="00047F64"/>
    <w:rsid w:val="00050E1B"/>
    <w:rsid w:val="0005105C"/>
    <w:rsid w:val="000511B4"/>
    <w:rsid w:val="00053CAD"/>
    <w:rsid w:val="000542A0"/>
    <w:rsid w:val="000573E7"/>
    <w:rsid w:val="0005741B"/>
    <w:rsid w:val="000577BC"/>
    <w:rsid w:val="0006037B"/>
    <w:rsid w:val="00065141"/>
    <w:rsid w:val="000654BB"/>
    <w:rsid w:val="00065BCB"/>
    <w:rsid w:val="00065DB8"/>
    <w:rsid w:val="000662B0"/>
    <w:rsid w:val="00067EB4"/>
    <w:rsid w:val="00071147"/>
    <w:rsid w:val="000716BD"/>
    <w:rsid w:val="0007327B"/>
    <w:rsid w:val="00081602"/>
    <w:rsid w:val="00082549"/>
    <w:rsid w:val="00085A43"/>
    <w:rsid w:val="00086778"/>
    <w:rsid w:val="000912EA"/>
    <w:rsid w:val="00093175"/>
    <w:rsid w:val="000937E2"/>
    <w:rsid w:val="000950D2"/>
    <w:rsid w:val="000955D9"/>
    <w:rsid w:val="00095DEF"/>
    <w:rsid w:val="000A29F3"/>
    <w:rsid w:val="000A29FF"/>
    <w:rsid w:val="000A2F9A"/>
    <w:rsid w:val="000A3EED"/>
    <w:rsid w:val="000A5421"/>
    <w:rsid w:val="000B0D74"/>
    <w:rsid w:val="000B1345"/>
    <w:rsid w:val="000B26EE"/>
    <w:rsid w:val="000B3C0D"/>
    <w:rsid w:val="000B422A"/>
    <w:rsid w:val="000B468D"/>
    <w:rsid w:val="000C14F5"/>
    <w:rsid w:val="000C33B6"/>
    <w:rsid w:val="000C69EE"/>
    <w:rsid w:val="000C7E34"/>
    <w:rsid w:val="000D101E"/>
    <w:rsid w:val="000D1216"/>
    <w:rsid w:val="000D2079"/>
    <w:rsid w:val="000D2B68"/>
    <w:rsid w:val="000D3104"/>
    <w:rsid w:val="000D38E3"/>
    <w:rsid w:val="000D5D90"/>
    <w:rsid w:val="000D68EF"/>
    <w:rsid w:val="000D6C04"/>
    <w:rsid w:val="000E09DA"/>
    <w:rsid w:val="000E22F4"/>
    <w:rsid w:val="000E277D"/>
    <w:rsid w:val="000E4009"/>
    <w:rsid w:val="000E48FF"/>
    <w:rsid w:val="000E553E"/>
    <w:rsid w:val="000F00C4"/>
    <w:rsid w:val="000F0D6E"/>
    <w:rsid w:val="000F1A4C"/>
    <w:rsid w:val="000F21D3"/>
    <w:rsid w:val="000F26AF"/>
    <w:rsid w:val="000F28D5"/>
    <w:rsid w:val="000F3086"/>
    <w:rsid w:val="000F3A47"/>
    <w:rsid w:val="000F3DF7"/>
    <w:rsid w:val="000F3F13"/>
    <w:rsid w:val="000F554E"/>
    <w:rsid w:val="000F60BF"/>
    <w:rsid w:val="000F7F1E"/>
    <w:rsid w:val="00105384"/>
    <w:rsid w:val="001068CB"/>
    <w:rsid w:val="00107E85"/>
    <w:rsid w:val="0011344B"/>
    <w:rsid w:val="001136BA"/>
    <w:rsid w:val="0011547E"/>
    <w:rsid w:val="0012151F"/>
    <w:rsid w:val="001222C1"/>
    <w:rsid w:val="00124D8B"/>
    <w:rsid w:val="0012537F"/>
    <w:rsid w:val="00125480"/>
    <w:rsid w:val="00130894"/>
    <w:rsid w:val="00135932"/>
    <w:rsid w:val="0014183F"/>
    <w:rsid w:val="0014291A"/>
    <w:rsid w:val="001432F2"/>
    <w:rsid w:val="00146E8C"/>
    <w:rsid w:val="00147520"/>
    <w:rsid w:val="0014779D"/>
    <w:rsid w:val="00153FF4"/>
    <w:rsid w:val="0015439D"/>
    <w:rsid w:val="001550A1"/>
    <w:rsid w:val="001570CB"/>
    <w:rsid w:val="00157DDA"/>
    <w:rsid w:val="001610E0"/>
    <w:rsid w:val="0016334F"/>
    <w:rsid w:val="00163785"/>
    <w:rsid w:val="00165108"/>
    <w:rsid w:val="00166E3C"/>
    <w:rsid w:val="0017192E"/>
    <w:rsid w:val="00174603"/>
    <w:rsid w:val="00175125"/>
    <w:rsid w:val="0017559D"/>
    <w:rsid w:val="00176FD1"/>
    <w:rsid w:val="001775FD"/>
    <w:rsid w:val="00177BF7"/>
    <w:rsid w:val="00180549"/>
    <w:rsid w:val="00181F3F"/>
    <w:rsid w:val="00182727"/>
    <w:rsid w:val="001849CB"/>
    <w:rsid w:val="001856B3"/>
    <w:rsid w:val="0018575B"/>
    <w:rsid w:val="001903AF"/>
    <w:rsid w:val="0019216D"/>
    <w:rsid w:val="001948AA"/>
    <w:rsid w:val="00194DB9"/>
    <w:rsid w:val="00195A07"/>
    <w:rsid w:val="00196507"/>
    <w:rsid w:val="00197422"/>
    <w:rsid w:val="001A016F"/>
    <w:rsid w:val="001A040F"/>
    <w:rsid w:val="001A2D65"/>
    <w:rsid w:val="001A41B7"/>
    <w:rsid w:val="001A7612"/>
    <w:rsid w:val="001B0A33"/>
    <w:rsid w:val="001B33C3"/>
    <w:rsid w:val="001B5078"/>
    <w:rsid w:val="001B544F"/>
    <w:rsid w:val="001B722B"/>
    <w:rsid w:val="001C0257"/>
    <w:rsid w:val="001C28F6"/>
    <w:rsid w:val="001C31D0"/>
    <w:rsid w:val="001C3322"/>
    <w:rsid w:val="001C3C47"/>
    <w:rsid w:val="001C3E3C"/>
    <w:rsid w:val="001D03B3"/>
    <w:rsid w:val="001D07E2"/>
    <w:rsid w:val="001D3259"/>
    <w:rsid w:val="001E09D0"/>
    <w:rsid w:val="001E0AD0"/>
    <w:rsid w:val="001E2547"/>
    <w:rsid w:val="001E372C"/>
    <w:rsid w:val="001E7EAE"/>
    <w:rsid w:val="001F09E3"/>
    <w:rsid w:val="001F0AEB"/>
    <w:rsid w:val="001F21D4"/>
    <w:rsid w:val="001F3B5A"/>
    <w:rsid w:val="001F46B7"/>
    <w:rsid w:val="001F53BD"/>
    <w:rsid w:val="00200CFC"/>
    <w:rsid w:val="002047B3"/>
    <w:rsid w:val="00206573"/>
    <w:rsid w:val="002070FA"/>
    <w:rsid w:val="002074BE"/>
    <w:rsid w:val="002074D5"/>
    <w:rsid w:val="002078F2"/>
    <w:rsid w:val="00210FAA"/>
    <w:rsid w:val="00211E46"/>
    <w:rsid w:val="00212CBA"/>
    <w:rsid w:val="002130FF"/>
    <w:rsid w:val="0021467B"/>
    <w:rsid w:val="00215095"/>
    <w:rsid w:val="00215179"/>
    <w:rsid w:val="00215E30"/>
    <w:rsid w:val="00221947"/>
    <w:rsid w:val="00221E4E"/>
    <w:rsid w:val="00222A10"/>
    <w:rsid w:val="002230AA"/>
    <w:rsid w:val="00224576"/>
    <w:rsid w:val="002251DD"/>
    <w:rsid w:val="00226BE9"/>
    <w:rsid w:val="00230197"/>
    <w:rsid w:val="0023272D"/>
    <w:rsid w:val="002329B4"/>
    <w:rsid w:val="0023436C"/>
    <w:rsid w:val="0023554E"/>
    <w:rsid w:val="00235CBD"/>
    <w:rsid w:val="002367E8"/>
    <w:rsid w:val="00240040"/>
    <w:rsid w:val="00245FA1"/>
    <w:rsid w:val="00247243"/>
    <w:rsid w:val="00250A39"/>
    <w:rsid w:val="00252548"/>
    <w:rsid w:val="002528E5"/>
    <w:rsid w:val="002544E1"/>
    <w:rsid w:val="00255500"/>
    <w:rsid w:val="002568BB"/>
    <w:rsid w:val="00257F9F"/>
    <w:rsid w:val="00260370"/>
    <w:rsid w:val="002603E6"/>
    <w:rsid w:val="00260755"/>
    <w:rsid w:val="0026128E"/>
    <w:rsid w:val="002637C3"/>
    <w:rsid w:val="00264EA4"/>
    <w:rsid w:val="00265739"/>
    <w:rsid w:val="0026637A"/>
    <w:rsid w:val="0027029C"/>
    <w:rsid w:val="00270D9B"/>
    <w:rsid w:val="002719E8"/>
    <w:rsid w:val="0027340F"/>
    <w:rsid w:val="00274106"/>
    <w:rsid w:val="002753D6"/>
    <w:rsid w:val="002774D9"/>
    <w:rsid w:val="0028066E"/>
    <w:rsid w:val="00281A68"/>
    <w:rsid w:val="00283363"/>
    <w:rsid w:val="002839A0"/>
    <w:rsid w:val="00283DB2"/>
    <w:rsid w:val="00286B8D"/>
    <w:rsid w:val="00290078"/>
    <w:rsid w:val="0029541A"/>
    <w:rsid w:val="00296FDE"/>
    <w:rsid w:val="00297D16"/>
    <w:rsid w:val="002A03DD"/>
    <w:rsid w:val="002A06DE"/>
    <w:rsid w:val="002A4933"/>
    <w:rsid w:val="002A5FFA"/>
    <w:rsid w:val="002A75CB"/>
    <w:rsid w:val="002A7F97"/>
    <w:rsid w:val="002B1F2D"/>
    <w:rsid w:val="002B2FE9"/>
    <w:rsid w:val="002B5470"/>
    <w:rsid w:val="002C0441"/>
    <w:rsid w:val="002C274A"/>
    <w:rsid w:val="002C50ED"/>
    <w:rsid w:val="002C5D0C"/>
    <w:rsid w:val="002D019F"/>
    <w:rsid w:val="002D0E75"/>
    <w:rsid w:val="002D16A4"/>
    <w:rsid w:val="002D21AD"/>
    <w:rsid w:val="002D2439"/>
    <w:rsid w:val="002D24F9"/>
    <w:rsid w:val="002D253F"/>
    <w:rsid w:val="002D288E"/>
    <w:rsid w:val="002D5903"/>
    <w:rsid w:val="002D6472"/>
    <w:rsid w:val="002E4B46"/>
    <w:rsid w:val="002E7038"/>
    <w:rsid w:val="002E7F7D"/>
    <w:rsid w:val="002F08C4"/>
    <w:rsid w:val="002F1025"/>
    <w:rsid w:val="002F433F"/>
    <w:rsid w:val="002F739A"/>
    <w:rsid w:val="002F73E8"/>
    <w:rsid w:val="0030026B"/>
    <w:rsid w:val="003005A3"/>
    <w:rsid w:val="00301264"/>
    <w:rsid w:val="003014CA"/>
    <w:rsid w:val="003029EB"/>
    <w:rsid w:val="003043BA"/>
    <w:rsid w:val="00306D1A"/>
    <w:rsid w:val="00306D95"/>
    <w:rsid w:val="00310420"/>
    <w:rsid w:val="0031054B"/>
    <w:rsid w:val="00312270"/>
    <w:rsid w:val="00313AD2"/>
    <w:rsid w:val="00313C10"/>
    <w:rsid w:val="00320716"/>
    <w:rsid w:val="003220E5"/>
    <w:rsid w:val="00323D58"/>
    <w:rsid w:val="00324340"/>
    <w:rsid w:val="00324D3B"/>
    <w:rsid w:val="00330582"/>
    <w:rsid w:val="00334879"/>
    <w:rsid w:val="00335974"/>
    <w:rsid w:val="0034182B"/>
    <w:rsid w:val="00342C74"/>
    <w:rsid w:val="00343C7D"/>
    <w:rsid w:val="00344F06"/>
    <w:rsid w:val="00345C70"/>
    <w:rsid w:val="00345F83"/>
    <w:rsid w:val="0034602B"/>
    <w:rsid w:val="003524FE"/>
    <w:rsid w:val="00354A06"/>
    <w:rsid w:val="00355394"/>
    <w:rsid w:val="00356A1F"/>
    <w:rsid w:val="00366DD6"/>
    <w:rsid w:val="00370325"/>
    <w:rsid w:val="00370443"/>
    <w:rsid w:val="0037233D"/>
    <w:rsid w:val="00373B8C"/>
    <w:rsid w:val="003777B1"/>
    <w:rsid w:val="00380306"/>
    <w:rsid w:val="00380454"/>
    <w:rsid w:val="00380795"/>
    <w:rsid w:val="00381E35"/>
    <w:rsid w:val="003837AC"/>
    <w:rsid w:val="003842D0"/>
    <w:rsid w:val="00386438"/>
    <w:rsid w:val="0038652C"/>
    <w:rsid w:val="00391C9D"/>
    <w:rsid w:val="003964E8"/>
    <w:rsid w:val="00396B82"/>
    <w:rsid w:val="003A0A1F"/>
    <w:rsid w:val="003A10EE"/>
    <w:rsid w:val="003A26E8"/>
    <w:rsid w:val="003A28A6"/>
    <w:rsid w:val="003A3350"/>
    <w:rsid w:val="003A3FC8"/>
    <w:rsid w:val="003A4474"/>
    <w:rsid w:val="003A56A4"/>
    <w:rsid w:val="003A5EE8"/>
    <w:rsid w:val="003A69D4"/>
    <w:rsid w:val="003A74B4"/>
    <w:rsid w:val="003B1979"/>
    <w:rsid w:val="003B208A"/>
    <w:rsid w:val="003B4411"/>
    <w:rsid w:val="003B4D71"/>
    <w:rsid w:val="003B543D"/>
    <w:rsid w:val="003C0805"/>
    <w:rsid w:val="003C08BE"/>
    <w:rsid w:val="003C19C0"/>
    <w:rsid w:val="003C3C74"/>
    <w:rsid w:val="003C6185"/>
    <w:rsid w:val="003C7C76"/>
    <w:rsid w:val="003D0C7D"/>
    <w:rsid w:val="003D0F6B"/>
    <w:rsid w:val="003D2D42"/>
    <w:rsid w:val="003D3CCF"/>
    <w:rsid w:val="003D4DDA"/>
    <w:rsid w:val="003D4FF4"/>
    <w:rsid w:val="003D6303"/>
    <w:rsid w:val="003D7B4F"/>
    <w:rsid w:val="003F1C3F"/>
    <w:rsid w:val="003F2C72"/>
    <w:rsid w:val="003F6A9D"/>
    <w:rsid w:val="003F768A"/>
    <w:rsid w:val="0040108F"/>
    <w:rsid w:val="00401656"/>
    <w:rsid w:val="004017A8"/>
    <w:rsid w:val="0040686D"/>
    <w:rsid w:val="00406EE1"/>
    <w:rsid w:val="00412611"/>
    <w:rsid w:val="00413423"/>
    <w:rsid w:val="00413787"/>
    <w:rsid w:val="004159FC"/>
    <w:rsid w:val="00416E0F"/>
    <w:rsid w:val="00420443"/>
    <w:rsid w:val="0042085A"/>
    <w:rsid w:val="004224CD"/>
    <w:rsid w:val="0042369A"/>
    <w:rsid w:val="0042451B"/>
    <w:rsid w:val="00424F3B"/>
    <w:rsid w:val="0042547C"/>
    <w:rsid w:val="004255E3"/>
    <w:rsid w:val="00425B7E"/>
    <w:rsid w:val="004272C5"/>
    <w:rsid w:val="00434137"/>
    <w:rsid w:val="0043449D"/>
    <w:rsid w:val="0043469C"/>
    <w:rsid w:val="00434F80"/>
    <w:rsid w:val="0044003D"/>
    <w:rsid w:val="00440AF4"/>
    <w:rsid w:val="00440BB9"/>
    <w:rsid w:val="00443409"/>
    <w:rsid w:val="004440DC"/>
    <w:rsid w:val="00446EC6"/>
    <w:rsid w:val="00446F58"/>
    <w:rsid w:val="00447346"/>
    <w:rsid w:val="00447C2D"/>
    <w:rsid w:val="00450AA8"/>
    <w:rsid w:val="0045146C"/>
    <w:rsid w:val="00452152"/>
    <w:rsid w:val="004524CE"/>
    <w:rsid w:val="004528EE"/>
    <w:rsid w:val="0045369B"/>
    <w:rsid w:val="00453C6C"/>
    <w:rsid w:val="00454A8F"/>
    <w:rsid w:val="0045555C"/>
    <w:rsid w:val="00460C5C"/>
    <w:rsid w:val="004620FE"/>
    <w:rsid w:val="0046410E"/>
    <w:rsid w:val="0046434C"/>
    <w:rsid w:val="004655B3"/>
    <w:rsid w:val="00465C48"/>
    <w:rsid w:val="004661CC"/>
    <w:rsid w:val="00467D84"/>
    <w:rsid w:val="00470288"/>
    <w:rsid w:val="00470B15"/>
    <w:rsid w:val="00471016"/>
    <w:rsid w:val="004710B2"/>
    <w:rsid w:val="0047143F"/>
    <w:rsid w:val="004716FF"/>
    <w:rsid w:val="004752B2"/>
    <w:rsid w:val="00476D50"/>
    <w:rsid w:val="00477519"/>
    <w:rsid w:val="004801F4"/>
    <w:rsid w:val="004825C6"/>
    <w:rsid w:val="00482F09"/>
    <w:rsid w:val="00483E8C"/>
    <w:rsid w:val="0048479E"/>
    <w:rsid w:val="004849E3"/>
    <w:rsid w:val="00493E7E"/>
    <w:rsid w:val="004970F4"/>
    <w:rsid w:val="00497F09"/>
    <w:rsid w:val="004A099C"/>
    <w:rsid w:val="004A0FE4"/>
    <w:rsid w:val="004A2F90"/>
    <w:rsid w:val="004A321B"/>
    <w:rsid w:val="004A393B"/>
    <w:rsid w:val="004A51D8"/>
    <w:rsid w:val="004B0B95"/>
    <w:rsid w:val="004B211F"/>
    <w:rsid w:val="004B32F7"/>
    <w:rsid w:val="004B50D5"/>
    <w:rsid w:val="004B75F3"/>
    <w:rsid w:val="004C0D8E"/>
    <w:rsid w:val="004C218A"/>
    <w:rsid w:val="004C335E"/>
    <w:rsid w:val="004C766A"/>
    <w:rsid w:val="004D0261"/>
    <w:rsid w:val="004D3F5E"/>
    <w:rsid w:val="004D5493"/>
    <w:rsid w:val="004D6BFA"/>
    <w:rsid w:val="004D7079"/>
    <w:rsid w:val="004D7C3F"/>
    <w:rsid w:val="004E151D"/>
    <w:rsid w:val="004E53C8"/>
    <w:rsid w:val="004E7056"/>
    <w:rsid w:val="004F490E"/>
    <w:rsid w:val="004F4D93"/>
    <w:rsid w:val="004F55B2"/>
    <w:rsid w:val="004F62D5"/>
    <w:rsid w:val="004F62F3"/>
    <w:rsid w:val="004F6EEC"/>
    <w:rsid w:val="004F7F13"/>
    <w:rsid w:val="0050080F"/>
    <w:rsid w:val="00505CB1"/>
    <w:rsid w:val="005067C1"/>
    <w:rsid w:val="00510202"/>
    <w:rsid w:val="00512070"/>
    <w:rsid w:val="005121EC"/>
    <w:rsid w:val="005126E7"/>
    <w:rsid w:val="005134B9"/>
    <w:rsid w:val="00513A57"/>
    <w:rsid w:val="00514B4E"/>
    <w:rsid w:val="00517B5D"/>
    <w:rsid w:val="00525CB3"/>
    <w:rsid w:val="005316D2"/>
    <w:rsid w:val="00532D74"/>
    <w:rsid w:val="00532E89"/>
    <w:rsid w:val="005354E0"/>
    <w:rsid w:val="005424D8"/>
    <w:rsid w:val="0054344B"/>
    <w:rsid w:val="00543B0D"/>
    <w:rsid w:val="00545AFD"/>
    <w:rsid w:val="0054656E"/>
    <w:rsid w:val="00546CC5"/>
    <w:rsid w:val="0054720A"/>
    <w:rsid w:val="00547F08"/>
    <w:rsid w:val="005514AF"/>
    <w:rsid w:val="00552E7E"/>
    <w:rsid w:val="00555FC0"/>
    <w:rsid w:val="005618A1"/>
    <w:rsid w:val="0056278C"/>
    <w:rsid w:val="00562CE1"/>
    <w:rsid w:val="00565D70"/>
    <w:rsid w:val="0056667B"/>
    <w:rsid w:val="00567A24"/>
    <w:rsid w:val="005714C3"/>
    <w:rsid w:val="00573649"/>
    <w:rsid w:val="00573DBA"/>
    <w:rsid w:val="00573FB5"/>
    <w:rsid w:val="00582786"/>
    <w:rsid w:val="00583CB8"/>
    <w:rsid w:val="005852FA"/>
    <w:rsid w:val="0058590A"/>
    <w:rsid w:val="0059125B"/>
    <w:rsid w:val="00592CC8"/>
    <w:rsid w:val="0059330B"/>
    <w:rsid w:val="00594E97"/>
    <w:rsid w:val="005962F3"/>
    <w:rsid w:val="00596380"/>
    <w:rsid w:val="005A007A"/>
    <w:rsid w:val="005A56CF"/>
    <w:rsid w:val="005A731E"/>
    <w:rsid w:val="005B03F7"/>
    <w:rsid w:val="005B1112"/>
    <w:rsid w:val="005B1AFE"/>
    <w:rsid w:val="005B1CEB"/>
    <w:rsid w:val="005B244D"/>
    <w:rsid w:val="005B2662"/>
    <w:rsid w:val="005B4B3D"/>
    <w:rsid w:val="005B64B3"/>
    <w:rsid w:val="005B6710"/>
    <w:rsid w:val="005B6BD5"/>
    <w:rsid w:val="005B7BC1"/>
    <w:rsid w:val="005C0733"/>
    <w:rsid w:val="005C0896"/>
    <w:rsid w:val="005C0A42"/>
    <w:rsid w:val="005C0E21"/>
    <w:rsid w:val="005C2518"/>
    <w:rsid w:val="005C5755"/>
    <w:rsid w:val="005C5D38"/>
    <w:rsid w:val="005C7194"/>
    <w:rsid w:val="005D0800"/>
    <w:rsid w:val="005D42B0"/>
    <w:rsid w:val="005D510A"/>
    <w:rsid w:val="005D52E3"/>
    <w:rsid w:val="005D6D27"/>
    <w:rsid w:val="005D7A8F"/>
    <w:rsid w:val="005D7BC0"/>
    <w:rsid w:val="005E065F"/>
    <w:rsid w:val="005E4300"/>
    <w:rsid w:val="005E66D1"/>
    <w:rsid w:val="005E6A4E"/>
    <w:rsid w:val="005E7671"/>
    <w:rsid w:val="005E7CD7"/>
    <w:rsid w:val="005F01D6"/>
    <w:rsid w:val="005F0DD5"/>
    <w:rsid w:val="005F17B7"/>
    <w:rsid w:val="005F1F7B"/>
    <w:rsid w:val="005F4454"/>
    <w:rsid w:val="005F4D5B"/>
    <w:rsid w:val="005F51D3"/>
    <w:rsid w:val="005F59B6"/>
    <w:rsid w:val="005F7172"/>
    <w:rsid w:val="005F7264"/>
    <w:rsid w:val="00601F1A"/>
    <w:rsid w:val="00603349"/>
    <w:rsid w:val="006049E2"/>
    <w:rsid w:val="00604A06"/>
    <w:rsid w:val="0060690D"/>
    <w:rsid w:val="00606AC4"/>
    <w:rsid w:val="0061102E"/>
    <w:rsid w:val="00614642"/>
    <w:rsid w:val="006148EB"/>
    <w:rsid w:val="006159A9"/>
    <w:rsid w:val="00616021"/>
    <w:rsid w:val="0061623C"/>
    <w:rsid w:val="0062041F"/>
    <w:rsid w:val="00620D0F"/>
    <w:rsid w:val="006220E2"/>
    <w:rsid w:val="00622F74"/>
    <w:rsid w:val="006232F9"/>
    <w:rsid w:val="006249F5"/>
    <w:rsid w:val="00631C3B"/>
    <w:rsid w:val="00632F4D"/>
    <w:rsid w:val="0063304C"/>
    <w:rsid w:val="00635CF8"/>
    <w:rsid w:val="00636E36"/>
    <w:rsid w:val="0064335C"/>
    <w:rsid w:val="00644CF2"/>
    <w:rsid w:val="00645381"/>
    <w:rsid w:val="006462F3"/>
    <w:rsid w:val="006534AA"/>
    <w:rsid w:val="0065427E"/>
    <w:rsid w:val="006550D0"/>
    <w:rsid w:val="00655F7D"/>
    <w:rsid w:val="0066091A"/>
    <w:rsid w:val="00661CDC"/>
    <w:rsid w:val="00664481"/>
    <w:rsid w:val="00664DA6"/>
    <w:rsid w:val="00665EE3"/>
    <w:rsid w:val="006667C2"/>
    <w:rsid w:val="006674A3"/>
    <w:rsid w:val="00667DE2"/>
    <w:rsid w:val="00670656"/>
    <w:rsid w:val="00670D92"/>
    <w:rsid w:val="00672783"/>
    <w:rsid w:val="00673540"/>
    <w:rsid w:val="0067489C"/>
    <w:rsid w:val="00674EB3"/>
    <w:rsid w:val="00675180"/>
    <w:rsid w:val="00675218"/>
    <w:rsid w:val="00675A54"/>
    <w:rsid w:val="006775FC"/>
    <w:rsid w:val="006778A5"/>
    <w:rsid w:val="00677FB4"/>
    <w:rsid w:val="006830E4"/>
    <w:rsid w:val="00685D8E"/>
    <w:rsid w:val="00686107"/>
    <w:rsid w:val="00690591"/>
    <w:rsid w:val="00690722"/>
    <w:rsid w:val="00690BA0"/>
    <w:rsid w:val="0069372B"/>
    <w:rsid w:val="00694BD0"/>
    <w:rsid w:val="00694F65"/>
    <w:rsid w:val="00695BE2"/>
    <w:rsid w:val="00695D05"/>
    <w:rsid w:val="0069607C"/>
    <w:rsid w:val="006A155A"/>
    <w:rsid w:val="006A2BE4"/>
    <w:rsid w:val="006A6675"/>
    <w:rsid w:val="006B1C9A"/>
    <w:rsid w:val="006B3A71"/>
    <w:rsid w:val="006B3C34"/>
    <w:rsid w:val="006B566D"/>
    <w:rsid w:val="006B6CBF"/>
    <w:rsid w:val="006C1386"/>
    <w:rsid w:val="006C1D90"/>
    <w:rsid w:val="006C2438"/>
    <w:rsid w:val="006C25E3"/>
    <w:rsid w:val="006C2A46"/>
    <w:rsid w:val="006C5B53"/>
    <w:rsid w:val="006C642E"/>
    <w:rsid w:val="006D1725"/>
    <w:rsid w:val="006D2C9A"/>
    <w:rsid w:val="006D331D"/>
    <w:rsid w:val="006D4AA8"/>
    <w:rsid w:val="006D4E0E"/>
    <w:rsid w:val="006D7883"/>
    <w:rsid w:val="006E2F9F"/>
    <w:rsid w:val="006E314A"/>
    <w:rsid w:val="006E471B"/>
    <w:rsid w:val="006E5217"/>
    <w:rsid w:val="006E5D1A"/>
    <w:rsid w:val="006E6C12"/>
    <w:rsid w:val="006E6DCD"/>
    <w:rsid w:val="006E70D6"/>
    <w:rsid w:val="006F0F94"/>
    <w:rsid w:val="006F189E"/>
    <w:rsid w:val="006F1CC8"/>
    <w:rsid w:val="006F1F55"/>
    <w:rsid w:val="006F345E"/>
    <w:rsid w:val="006F4589"/>
    <w:rsid w:val="006F74C9"/>
    <w:rsid w:val="006F7734"/>
    <w:rsid w:val="00701268"/>
    <w:rsid w:val="00701992"/>
    <w:rsid w:val="00701EB8"/>
    <w:rsid w:val="00703648"/>
    <w:rsid w:val="00704D72"/>
    <w:rsid w:val="00706CC5"/>
    <w:rsid w:val="00706E5D"/>
    <w:rsid w:val="007070DE"/>
    <w:rsid w:val="007127EB"/>
    <w:rsid w:val="00712974"/>
    <w:rsid w:val="00713A55"/>
    <w:rsid w:val="00715268"/>
    <w:rsid w:val="00716D8D"/>
    <w:rsid w:val="0072061C"/>
    <w:rsid w:val="00720BC4"/>
    <w:rsid w:val="00722F7E"/>
    <w:rsid w:val="00731133"/>
    <w:rsid w:val="00731238"/>
    <w:rsid w:val="00731314"/>
    <w:rsid w:val="00731436"/>
    <w:rsid w:val="00733957"/>
    <w:rsid w:val="0073491A"/>
    <w:rsid w:val="00735BFB"/>
    <w:rsid w:val="00737D02"/>
    <w:rsid w:val="007424FF"/>
    <w:rsid w:val="00743F93"/>
    <w:rsid w:val="0074455D"/>
    <w:rsid w:val="00745E53"/>
    <w:rsid w:val="00746302"/>
    <w:rsid w:val="00746F97"/>
    <w:rsid w:val="00750961"/>
    <w:rsid w:val="00752167"/>
    <w:rsid w:val="00753EFF"/>
    <w:rsid w:val="00757170"/>
    <w:rsid w:val="0075747D"/>
    <w:rsid w:val="00757A7B"/>
    <w:rsid w:val="007630FC"/>
    <w:rsid w:val="0076389E"/>
    <w:rsid w:val="0076488C"/>
    <w:rsid w:val="00765981"/>
    <w:rsid w:val="00766E8A"/>
    <w:rsid w:val="0076797E"/>
    <w:rsid w:val="007708E2"/>
    <w:rsid w:val="00771A3C"/>
    <w:rsid w:val="00775268"/>
    <w:rsid w:val="007752AD"/>
    <w:rsid w:val="00775519"/>
    <w:rsid w:val="00775706"/>
    <w:rsid w:val="00777142"/>
    <w:rsid w:val="007820BA"/>
    <w:rsid w:val="0078214C"/>
    <w:rsid w:val="0078449C"/>
    <w:rsid w:val="00784F35"/>
    <w:rsid w:val="00785050"/>
    <w:rsid w:val="00785767"/>
    <w:rsid w:val="007863A8"/>
    <w:rsid w:val="00791E95"/>
    <w:rsid w:val="00792896"/>
    <w:rsid w:val="0079316D"/>
    <w:rsid w:val="0079505B"/>
    <w:rsid w:val="00795525"/>
    <w:rsid w:val="00795CCB"/>
    <w:rsid w:val="007A0BF6"/>
    <w:rsid w:val="007A1579"/>
    <w:rsid w:val="007A2895"/>
    <w:rsid w:val="007A3EF1"/>
    <w:rsid w:val="007A50A6"/>
    <w:rsid w:val="007A55A3"/>
    <w:rsid w:val="007A655B"/>
    <w:rsid w:val="007B16E1"/>
    <w:rsid w:val="007B4AFE"/>
    <w:rsid w:val="007B57D2"/>
    <w:rsid w:val="007B6295"/>
    <w:rsid w:val="007C0EFB"/>
    <w:rsid w:val="007C5A23"/>
    <w:rsid w:val="007D1469"/>
    <w:rsid w:val="007D1A40"/>
    <w:rsid w:val="007D2675"/>
    <w:rsid w:val="007D3E37"/>
    <w:rsid w:val="007D40E2"/>
    <w:rsid w:val="007D538A"/>
    <w:rsid w:val="007D6C71"/>
    <w:rsid w:val="007D6E61"/>
    <w:rsid w:val="007D7356"/>
    <w:rsid w:val="007D7447"/>
    <w:rsid w:val="007D77DD"/>
    <w:rsid w:val="007E2198"/>
    <w:rsid w:val="007E2650"/>
    <w:rsid w:val="007E5119"/>
    <w:rsid w:val="007E7CF5"/>
    <w:rsid w:val="007E7DB4"/>
    <w:rsid w:val="007F0619"/>
    <w:rsid w:val="007F1E19"/>
    <w:rsid w:val="007F2265"/>
    <w:rsid w:val="007F3451"/>
    <w:rsid w:val="007F4056"/>
    <w:rsid w:val="007F43D6"/>
    <w:rsid w:val="007F7F85"/>
    <w:rsid w:val="00800159"/>
    <w:rsid w:val="00800D6B"/>
    <w:rsid w:val="0080180D"/>
    <w:rsid w:val="0080424E"/>
    <w:rsid w:val="008057B3"/>
    <w:rsid w:val="00806302"/>
    <w:rsid w:val="008104A6"/>
    <w:rsid w:val="008130C6"/>
    <w:rsid w:val="00813546"/>
    <w:rsid w:val="00813D7F"/>
    <w:rsid w:val="00815CFB"/>
    <w:rsid w:val="008205BC"/>
    <w:rsid w:val="008208C5"/>
    <w:rsid w:val="00820D38"/>
    <w:rsid w:val="00825E7F"/>
    <w:rsid w:val="00826136"/>
    <w:rsid w:val="00826424"/>
    <w:rsid w:val="0082644A"/>
    <w:rsid w:val="00831056"/>
    <w:rsid w:val="00831FA4"/>
    <w:rsid w:val="00832E1C"/>
    <w:rsid w:val="0083510F"/>
    <w:rsid w:val="00836138"/>
    <w:rsid w:val="00836FD2"/>
    <w:rsid w:val="00842765"/>
    <w:rsid w:val="008459E9"/>
    <w:rsid w:val="00852807"/>
    <w:rsid w:val="00855EF7"/>
    <w:rsid w:val="008609AC"/>
    <w:rsid w:val="00861F58"/>
    <w:rsid w:val="00862698"/>
    <w:rsid w:val="008637EF"/>
    <w:rsid w:val="008654DD"/>
    <w:rsid w:val="008659D7"/>
    <w:rsid w:val="00872960"/>
    <w:rsid w:val="00872B1F"/>
    <w:rsid w:val="008744CA"/>
    <w:rsid w:val="008748CF"/>
    <w:rsid w:val="008757F2"/>
    <w:rsid w:val="00876A03"/>
    <w:rsid w:val="008772D4"/>
    <w:rsid w:val="00882194"/>
    <w:rsid w:val="0088439F"/>
    <w:rsid w:val="00885CCA"/>
    <w:rsid w:val="00885E2E"/>
    <w:rsid w:val="00885ED8"/>
    <w:rsid w:val="00887792"/>
    <w:rsid w:val="008900D9"/>
    <w:rsid w:val="00890405"/>
    <w:rsid w:val="00891E4A"/>
    <w:rsid w:val="008929A5"/>
    <w:rsid w:val="008941C1"/>
    <w:rsid w:val="00894290"/>
    <w:rsid w:val="0089450D"/>
    <w:rsid w:val="008A1191"/>
    <w:rsid w:val="008A1897"/>
    <w:rsid w:val="008A2AFC"/>
    <w:rsid w:val="008A3F4A"/>
    <w:rsid w:val="008A41F4"/>
    <w:rsid w:val="008A4C51"/>
    <w:rsid w:val="008A5A23"/>
    <w:rsid w:val="008A7DBA"/>
    <w:rsid w:val="008B18C4"/>
    <w:rsid w:val="008B376D"/>
    <w:rsid w:val="008B6A6C"/>
    <w:rsid w:val="008B79E4"/>
    <w:rsid w:val="008C1917"/>
    <w:rsid w:val="008C2028"/>
    <w:rsid w:val="008C273F"/>
    <w:rsid w:val="008C302F"/>
    <w:rsid w:val="008C318F"/>
    <w:rsid w:val="008C4133"/>
    <w:rsid w:val="008C4310"/>
    <w:rsid w:val="008C56D7"/>
    <w:rsid w:val="008C649B"/>
    <w:rsid w:val="008C707E"/>
    <w:rsid w:val="008D40D1"/>
    <w:rsid w:val="008D478B"/>
    <w:rsid w:val="008D5485"/>
    <w:rsid w:val="008D61DA"/>
    <w:rsid w:val="008E0031"/>
    <w:rsid w:val="008E0CB0"/>
    <w:rsid w:val="008E4A56"/>
    <w:rsid w:val="008E5335"/>
    <w:rsid w:val="008E5E67"/>
    <w:rsid w:val="008E60E5"/>
    <w:rsid w:val="008E7FA3"/>
    <w:rsid w:val="008F16CE"/>
    <w:rsid w:val="008F29BF"/>
    <w:rsid w:val="008F3A88"/>
    <w:rsid w:val="008F3D13"/>
    <w:rsid w:val="008F3E3A"/>
    <w:rsid w:val="008F5ACF"/>
    <w:rsid w:val="008F5B14"/>
    <w:rsid w:val="008F5F10"/>
    <w:rsid w:val="008F5F51"/>
    <w:rsid w:val="008F7779"/>
    <w:rsid w:val="00900FB2"/>
    <w:rsid w:val="00906F6E"/>
    <w:rsid w:val="0091022B"/>
    <w:rsid w:val="00910E6B"/>
    <w:rsid w:val="009202F5"/>
    <w:rsid w:val="009216F3"/>
    <w:rsid w:val="00922741"/>
    <w:rsid w:val="009248CC"/>
    <w:rsid w:val="00924D16"/>
    <w:rsid w:val="00926812"/>
    <w:rsid w:val="0093054A"/>
    <w:rsid w:val="009315FB"/>
    <w:rsid w:val="00932815"/>
    <w:rsid w:val="00937777"/>
    <w:rsid w:val="00937A3A"/>
    <w:rsid w:val="009407EA"/>
    <w:rsid w:val="009410A9"/>
    <w:rsid w:val="009441C2"/>
    <w:rsid w:val="009442A5"/>
    <w:rsid w:val="00947E42"/>
    <w:rsid w:val="00951259"/>
    <w:rsid w:val="00953A8B"/>
    <w:rsid w:val="00953E16"/>
    <w:rsid w:val="0095567E"/>
    <w:rsid w:val="009615CE"/>
    <w:rsid w:val="00962302"/>
    <w:rsid w:val="00962C06"/>
    <w:rsid w:val="009633C7"/>
    <w:rsid w:val="009657D2"/>
    <w:rsid w:val="00966937"/>
    <w:rsid w:val="00967388"/>
    <w:rsid w:val="00967EA4"/>
    <w:rsid w:val="009733EB"/>
    <w:rsid w:val="00974E68"/>
    <w:rsid w:val="00976285"/>
    <w:rsid w:val="00976847"/>
    <w:rsid w:val="00976CB3"/>
    <w:rsid w:val="00976E12"/>
    <w:rsid w:val="009779B4"/>
    <w:rsid w:val="00981AB7"/>
    <w:rsid w:val="009821F3"/>
    <w:rsid w:val="00982909"/>
    <w:rsid w:val="00985D73"/>
    <w:rsid w:val="00986E0B"/>
    <w:rsid w:val="009878E9"/>
    <w:rsid w:val="00991E72"/>
    <w:rsid w:val="009921FE"/>
    <w:rsid w:val="00992541"/>
    <w:rsid w:val="00992AE8"/>
    <w:rsid w:val="009934D5"/>
    <w:rsid w:val="00993C6C"/>
    <w:rsid w:val="009940CD"/>
    <w:rsid w:val="009950B3"/>
    <w:rsid w:val="009960B2"/>
    <w:rsid w:val="00996484"/>
    <w:rsid w:val="009A51FD"/>
    <w:rsid w:val="009A6D2A"/>
    <w:rsid w:val="009B210B"/>
    <w:rsid w:val="009B214D"/>
    <w:rsid w:val="009B2FCA"/>
    <w:rsid w:val="009B30AD"/>
    <w:rsid w:val="009B3195"/>
    <w:rsid w:val="009B3A97"/>
    <w:rsid w:val="009B689B"/>
    <w:rsid w:val="009C4D84"/>
    <w:rsid w:val="009C715A"/>
    <w:rsid w:val="009D0DD9"/>
    <w:rsid w:val="009D14F3"/>
    <w:rsid w:val="009D3DE9"/>
    <w:rsid w:val="009E10F9"/>
    <w:rsid w:val="009E1EAC"/>
    <w:rsid w:val="009E22B8"/>
    <w:rsid w:val="009E2F3C"/>
    <w:rsid w:val="009E4D4D"/>
    <w:rsid w:val="009E52B5"/>
    <w:rsid w:val="009F14C6"/>
    <w:rsid w:val="009F2B4B"/>
    <w:rsid w:val="009F3C54"/>
    <w:rsid w:val="009F5F83"/>
    <w:rsid w:val="009F736B"/>
    <w:rsid w:val="00A0115D"/>
    <w:rsid w:val="00A031A4"/>
    <w:rsid w:val="00A03CEC"/>
    <w:rsid w:val="00A04837"/>
    <w:rsid w:val="00A06888"/>
    <w:rsid w:val="00A069D5"/>
    <w:rsid w:val="00A10358"/>
    <w:rsid w:val="00A111DC"/>
    <w:rsid w:val="00A12699"/>
    <w:rsid w:val="00A137E6"/>
    <w:rsid w:val="00A1557C"/>
    <w:rsid w:val="00A16385"/>
    <w:rsid w:val="00A208A9"/>
    <w:rsid w:val="00A225F7"/>
    <w:rsid w:val="00A22FBB"/>
    <w:rsid w:val="00A2363A"/>
    <w:rsid w:val="00A24CA2"/>
    <w:rsid w:val="00A25063"/>
    <w:rsid w:val="00A258ED"/>
    <w:rsid w:val="00A261D8"/>
    <w:rsid w:val="00A30823"/>
    <w:rsid w:val="00A31B64"/>
    <w:rsid w:val="00A31E82"/>
    <w:rsid w:val="00A33A80"/>
    <w:rsid w:val="00A33B05"/>
    <w:rsid w:val="00A33E60"/>
    <w:rsid w:val="00A351B1"/>
    <w:rsid w:val="00A35F65"/>
    <w:rsid w:val="00A41358"/>
    <w:rsid w:val="00A445F4"/>
    <w:rsid w:val="00A47F78"/>
    <w:rsid w:val="00A5205F"/>
    <w:rsid w:val="00A52CA3"/>
    <w:rsid w:val="00A5375A"/>
    <w:rsid w:val="00A53A4D"/>
    <w:rsid w:val="00A54F00"/>
    <w:rsid w:val="00A56064"/>
    <w:rsid w:val="00A57EE7"/>
    <w:rsid w:val="00A6075C"/>
    <w:rsid w:val="00A62B63"/>
    <w:rsid w:val="00A70CEA"/>
    <w:rsid w:val="00A77D4A"/>
    <w:rsid w:val="00A809B0"/>
    <w:rsid w:val="00A8124D"/>
    <w:rsid w:val="00A81536"/>
    <w:rsid w:val="00A81D09"/>
    <w:rsid w:val="00A82221"/>
    <w:rsid w:val="00A83647"/>
    <w:rsid w:val="00A85387"/>
    <w:rsid w:val="00A900B6"/>
    <w:rsid w:val="00A9066C"/>
    <w:rsid w:val="00A910C9"/>
    <w:rsid w:val="00A934B1"/>
    <w:rsid w:val="00A9367F"/>
    <w:rsid w:val="00A977A6"/>
    <w:rsid w:val="00A97D50"/>
    <w:rsid w:val="00AA0A64"/>
    <w:rsid w:val="00AA0AED"/>
    <w:rsid w:val="00AA237B"/>
    <w:rsid w:val="00AA3E46"/>
    <w:rsid w:val="00AA54CA"/>
    <w:rsid w:val="00AA5E0C"/>
    <w:rsid w:val="00AA75EA"/>
    <w:rsid w:val="00AA79C6"/>
    <w:rsid w:val="00AB082D"/>
    <w:rsid w:val="00AB0985"/>
    <w:rsid w:val="00AB38FD"/>
    <w:rsid w:val="00AB47A9"/>
    <w:rsid w:val="00AB5795"/>
    <w:rsid w:val="00AB5B54"/>
    <w:rsid w:val="00AB5F1C"/>
    <w:rsid w:val="00AB646A"/>
    <w:rsid w:val="00AB6913"/>
    <w:rsid w:val="00AC11A7"/>
    <w:rsid w:val="00AC4A0D"/>
    <w:rsid w:val="00AC4B0B"/>
    <w:rsid w:val="00AC70CB"/>
    <w:rsid w:val="00AD0459"/>
    <w:rsid w:val="00AD243E"/>
    <w:rsid w:val="00AD31C4"/>
    <w:rsid w:val="00AD4BCE"/>
    <w:rsid w:val="00AD52FF"/>
    <w:rsid w:val="00AD6F65"/>
    <w:rsid w:val="00AD77F0"/>
    <w:rsid w:val="00AE287A"/>
    <w:rsid w:val="00AE2EF2"/>
    <w:rsid w:val="00AF0FAD"/>
    <w:rsid w:val="00AF4DE4"/>
    <w:rsid w:val="00AF555E"/>
    <w:rsid w:val="00AF7E66"/>
    <w:rsid w:val="00B01FDC"/>
    <w:rsid w:val="00B02C75"/>
    <w:rsid w:val="00B03F76"/>
    <w:rsid w:val="00B05420"/>
    <w:rsid w:val="00B104D7"/>
    <w:rsid w:val="00B10942"/>
    <w:rsid w:val="00B1195C"/>
    <w:rsid w:val="00B1283D"/>
    <w:rsid w:val="00B15744"/>
    <w:rsid w:val="00B15D11"/>
    <w:rsid w:val="00B16610"/>
    <w:rsid w:val="00B20115"/>
    <w:rsid w:val="00B202AC"/>
    <w:rsid w:val="00B33BBF"/>
    <w:rsid w:val="00B350F0"/>
    <w:rsid w:val="00B35E6A"/>
    <w:rsid w:val="00B36BF4"/>
    <w:rsid w:val="00B36F52"/>
    <w:rsid w:val="00B37ADE"/>
    <w:rsid w:val="00B407BE"/>
    <w:rsid w:val="00B455DD"/>
    <w:rsid w:val="00B46002"/>
    <w:rsid w:val="00B5604C"/>
    <w:rsid w:val="00B56F85"/>
    <w:rsid w:val="00B57351"/>
    <w:rsid w:val="00B600A3"/>
    <w:rsid w:val="00B61586"/>
    <w:rsid w:val="00B61ED2"/>
    <w:rsid w:val="00B6542B"/>
    <w:rsid w:val="00B66250"/>
    <w:rsid w:val="00B6759D"/>
    <w:rsid w:val="00B73A95"/>
    <w:rsid w:val="00B73C73"/>
    <w:rsid w:val="00B80E42"/>
    <w:rsid w:val="00B81547"/>
    <w:rsid w:val="00B84011"/>
    <w:rsid w:val="00B844C8"/>
    <w:rsid w:val="00B85241"/>
    <w:rsid w:val="00B86C4D"/>
    <w:rsid w:val="00B90D33"/>
    <w:rsid w:val="00B90E08"/>
    <w:rsid w:val="00B913FE"/>
    <w:rsid w:val="00B944DF"/>
    <w:rsid w:val="00B94944"/>
    <w:rsid w:val="00B96619"/>
    <w:rsid w:val="00B9674D"/>
    <w:rsid w:val="00B96B6E"/>
    <w:rsid w:val="00B9740F"/>
    <w:rsid w:val="00B976BF"/>
    <w:rsid w:val="00BA2530"/>
    <w:rsid w:val="00BA3BC4"/>
    <w:rsid w:val="00BA530B"/>
    <w:rsid w:val="00BA7965"/>
    <w:rsid w:val="00BB0B1F"/>
    <w:rsid w:val="00BB37FE"/>
    <w:rsid w:val="00BC2882"/>
    <w:rsid w:val="00BC2E6A"/>
    <w:rsid w:val="00BC3060"/>
    <w:rsid w:val="00BC69C2"/>
    <w:rsid w:val="00BC72BF"/>
    <w:rsid w:val="00BD0E60"/>
    <w:rsid w:val="00BD1851"/>
    <w:rsid w:val="00BD1FE5"/>
    <w:rsid w:val="00BD29B3"/>
    <w:rsid w:val="00BD6DED"/>
    <w:rsid w:val="00BD6EDB"/>
    <w:rsid w:val="00BE05B8"/>
    <w:rsid w:val="00BE0B1C"/>
    <w:rsid w:val="00BE0CC7"/>
    <w:rsid w:val="00BE18E0"/>
    <w:rsid w:val="00BE50D6"/>
    <w:rsid w:val="00BE7B36"/>
    <w:rsid w:val="00BF2E2B"/>
    <w:rsid w:val="00BF3201"/>
    <w:rsid w:val="00BF3478"/>
    <w:rsid w:val="00BF4AE2"/>
    <w:rsid w:val="00BF6074"/>
    <w:rsid w:val="00BF60BD"/>
    <w:rsid w:val="00BF6409"/>
    <w:rsid w:val="00C007B0"/>
    <w:rsid w:val="00C00943"/>
    <w:rsid w:val="00C00AB5"/>
    <w:rsid w:val="00C00C65"/>
    <w:rsid w:val="00C028BA"/>
    <w:rsid w:val="00C02DBA"/>
    <w:rsid w:val="00C03A81"/>
    <w:rsid w:val="00C04557"/>
    <w:rsid w:val="00C105A7"/>
    <w:rsid w:val="00C10D29"/>
    <w:rsid w:val="00C11CCC"/>
    <w:rsid w:val="00C17702"/>
    <w:rsid w:val="00C205C2"/>
    <w:rsid w:val="00C22056"/>
    <w:rsid w:val="00C2299E"/>
    <w:rsid w:val="00C22AE4"/>
    <w:rsid w:val="00C24A27"/>
    <w:rsid w:val="00C275AF"/>
    <w:rsid w:val="00C319CC"/>
    <w:rsid w:val="00C32159"/>
    <w:rsid w:val="00C375A2"/>
    <w:rsid w:val="00C37C93"/>
    <w:rsid w:val="00C37CB9"/>
    <w:rsid w:val="00C40478"/>
    <w:rsid w:val="00C41CD3"/>
    <w:rsid w:val="00C42DF7"/>
    <w:rsid w:val="00C44437"/>
    <w:rsid w:val="00C454D5"/>
    <w:rsid w:val="00C45722"/>
    <w:rsid w:val="00C45C46"/>
    <w:rsid w:val="00C45EAB"/>
    <w:rsid w:val="00C4795A"/>
    <w:rsid w:val="00C47EF1"/>
    <w:rsid w:val="00C50D07"/>
    <w:rsid w:val="00C54BCB"/>
    <w:rsid w:val="00C54E45"/>
    <w:rsid w:val="00C55A42"/>
    <w:rsid w:val="00C56217"/>
    <w:rsid w:val="00C568AE"/>
    <w:rsid w:val="00C5788C"/>
    <w:rsid w:val="00C60EBB"/>
    <w:rsid w:val="00C64C78"/>
    <w:rsid w:val="00C64D7C"/>
    <w:rsid w:val="00C66A50"/>
    <w:rsid w:val="00C67341"/>
    <w:rsid w:val="00C677FB"/>
    <w:rsid w:val="00C70006"/>
    <w:rsid w:val="00C70619"/>
    <w:rsid w:val="00C715A9"/>
    <w:rsid w:val="00C725E9"/>
    <w:rsid w:val="00C73188"/>
    <w:rsid w:val="00C7372D"/>
    <w:rsid w:val="00C737AF"/>
    <w:rsid w:val="00C740D8"/>
    <w:rsid w:val="00C74121"/>
    <w:rsid w:val="00C75A25"/>
    <w:rsid w:val="00C76C75"/>
    <w:rsid w:val="00C77A74"/>
    <w:rsid w:val="00C83D06"/>
    <w:rsid w:val="00C84084"/>
    <w:rsid w:val="00C85D67"/>
    <w:rsid w:val="00C90065"/>
    <w:rsid w:val="00C90D90"/>
    <w:rsid w:val="00C91A40"/>
    <w:rsid w:val="00C91D71"/>
    <w:rsid w:val="00C93194"/>
    <w:rsid w:val="00C94749"/>
    <w:rsid w:val="00C971A5"/>
    <w:rsid w:val="00CA4C8E"/>
    <w:rsid w:val="00CA5427"/>
    <w:rsid w:val="00CA5BF5"/>
    <w:rsid w:val="00CB069D"/>
    <w:rsid w:val="00CB0F4E"/>
    <w:rsid w:val="00CB1966"/>
    <w:rsid w:val="00CB31BE"/>
    <w:rsid w:val="00CB3C6C"/>
    <w:rsid w:val="00CB4E03"/>
    <w:rsid w:val="00CB655B"/>
    <w:rsid w:val="00CB6C3D"/>
    <w:rsid w:val="00CB7408"/>
    <w:rsid w:val="00CB75E3"/>
    <w:rsid w:val="00CB7B60"/>
    <w:rsid w:val="00CC08CF"/>
    <w:rsid w:val="00CC123D"/>
    <w:rsid w:val="00CC1C31"/>
    <w:rsid w:val="00CC1F0D"/>
    <w:rsid w:val="00CC3036"/>
    <w:rsid w:val="00CC4A2F"/>
    <w:rsid w:val="00CC5D65"/>
    <w:rsid w:val="00CC7766"/>
    <w:rsid w:val="00CD0642"/>
    <w:rsid w:val="00CD0664"/>
    <w:rsid w:val="00CD11D0"/>
    <w:rsid w:val="00CD3C90"/>
    <w:rsid w:val="00CD4859"/>
    <w:rsid w:val="00CD4BBD"/>
    <w:rsid w:val="00CD52DC"/>
    <w:rsid w:val="00CD5330"/>
    <w:rsid w:val="00CD5454"/>
    <w:rsid w:val="00CE15A8"/>
    <w:rsid w:val="00CE6FB8"/>
    <w:rsid w:val="00CF2777"/>
    <w:rsid w:val="00CF2F63"/>
    <w:rsid w:val="00CF354B"/>
    <w:rsid w:val="00CF4887"/>
    <w:rsid w:val="00CF4B48"/>
    <w:rsid w:val="00D0012E"/>
    <w:rsid w:val="00D03AF1"/>
    <w:rsid w:val="00D046E1"/>
    <w:rsid w:val="00D04CDE"/>
    <w:rsid w:val="00D10731"/>
    <w:rsid w:val="00D122B7"/>
    <w:rsid w:val="00D13CD6"/>
    <w:rsid w:val="00D14655"/>
    <w:rsid w:val="00D14A21"/>
    <w:rsid w:val="00D161F0"/>
    <w:rsid w:val="00D1659F"/>
    <w:rsid w:val="00D20480"/>
    <w:rsid w:val="00D226F2"/>
    <w:rsid w:val="00D22BEC"/>
    <w:rsid w:val="00D27B97"/>
    <w:rsid w:val="00D34628"/>
    <w:rsid w:val="00D34A63"/>
    <w:rsid w:val="00D35F50"/>
    <w:rsid w:val="00D36654"/>
    <w:rsid w:val="00D373BD"/>
    <w:rsid w:val="00D37934"/>
    <w:rsid w:val="00D42699"/>
    <w:rsid w:val="00D42AC7"/>
    <w:rsid w:val="00D456CA"/>
    <w:rsid w:val="00D46522"/>
    <w:rsid w:val="00D47D16"/>
    <w:rsid w:val="00D47F18"/>
    <w:rsid w:val="00D50168"/>
    <w:rsid w:val="00D5031A"/>
    <w:rsid w:val="00D52037"/>
    <w:rsid w:val="00D5266B"/>
    <w:rsid w:val="00D52A17"/>
    <w:rsid w:val="00D532B1"/>
    <w:rsid w:val="00D53577"/>
    <w:rsid w:val="00D540BB"/>
    <w:rsid w:val="00D544C9"/>
    <w:rsid w:val="00D545F3"/>
    <w:rsid w:val="00D54F8A"/>
    <w:rsid w:val="00D55C93"/>
    <w:rsid w:val="00D61392"/>
    <w:rsid w:val="00D6709B"/>
    <w:rsid w:val="00D67DC7"/>
    <w:rsid w:val="00D70230"/>
    <w:rsid w:val="00D73658"/>
    <w:rsid w:val="00D74562"/>
    <w:rsid w:val="00D758BE"/>
    <w:rsid w:val="00D75F2C"/>
    <w:rsid w:val="00D76407"/>
    <w:rsid w:val="00D778BC"/>
    <w:rsid w:val="00D80510"/>
    <w:rsid w:val="00D813A7"/>
    <w:rsid w:val="00D81E5C"/>
    <w:rsid w:val="00D825AC"/>
    <w:rsid w:val="00D82F1F"/>
    <w:rsid w:val="00D83003"/>
    <w:rsid w:val="00D8368A"/>
    <w:rsid w:val="00D83F97"/>
    <w:rsid w:val="00D86271"/>
    <w:rsid w:val="00D86897"/>
    <w:rsid w:val="00D875D9"/>
    <w:rsid w:val="00D907DD"/>
    <w:rsid w:val="00D94896"/>
    <w:rsid w:val="00DA26A3"/>
    <w:rsid w:val="00DA3165"/>
    <w:rsid w:val="00DA5381"/>
    <w:rsid w:val="00DA5D6C"/>
    <w:rsid w:val="00DA70BE"/>
    <w:rsid w:val="00DA74F8"/>
    <w:rsid w:val="00DA75DB"/>
    <w:rsid w:val="00DB0228"/>
    <w:rsid w:val="00DB4EBA"/>
    <w:rsid w:val="00DB675E"/>
    <w:rsid w:val="00DB68EC"/>
    <w:rsid w:val="00DB7637"/>
    <w:rsid w:val="00DB7728"/>
    <w:rsid w:val="00DC057C"/>
    <w:rsid w:val="00DC0B46"/>
    <w:rsid w:val="00DC15AF"/>
    <w:rsid w:val="00DC1AC7"/>
    <w:rsid w:val="00DC37CC"/>
    <w:rsid w:val="00DD25B9"/>
    <w:rsid w:val="00DD3A56"/>
    <w:rsid w:val="00DD3C44"/>
    <w:rsid w:val="00DD4BA0"/>
    <w:rsid w:val="00DE472F"/>
    <w:rsid w:val="00DE6176"/>
    <w:rsid w:val="00DE7E67"/>
    <w:rsid w:val="00DF008E"/>
    <w:rsid w:val="00DF5437"/>
    <w:rsid w:val="00DF544C"/>
    <w:rsid w:val="00DF61D9"/>
    <w:rsid w:val="00DF64FF"/>
    <w:rsid w:val="00E00551"/>
    <w:rsid w:val="00E029B8"/>
    <w:rsid w:val="00E03C85"/>
    <w:rsid w:val="00E0495D"/>
    <w:rsid w:val="00E0611D"/>
    <w:rsid w:val="00E06542"/>
    <w:rsid w:val="00E1360F"/>
    <w:rsid w:val="00E14041"/>
    <w:rsid w:val="00E17426"/>
    <w:rsid w:val="00E21513"/>
    <w:rsid w:val="00E21562"/>
    <w:rsid w:val="00E22256"/>
    <w:rsid w:val="00E233A3"/>
    <w:rsid w:val="00E25E73"/>
    <w:rsid w:val="00E30FB5"/>
    <w:rsid w:val="00E3105C"/>
    <w:rsid w:val="00E31D33"/>
    <w:rsid w:val="00E31D96"/>
    <w:rsid w:val="00E33A43"/>
    <w:rsid w:val="00E36867"/>
    <w:rsid w:val="00E40A58"/>
    <w:rsid w:val="00E40D46"/>
    <w:rsid w:val="00E433EE"/>
    <w:rsid w:val="00E43AE5"/>
    <w:rsid w:val="00E44E36"/>
    <w:rsid w:val="00E456A4"/>
    <w:rsid w:val="00E466AC"/>
    <w:rsid w:val="00E4690B"/>
    <w:rsid w:val="00E47A6B"/>
    <w:rsid w:val="00E521E4"/>
    <w:rsid w:val="00E54340"/>
    <w:rsid w:val="00E577E3"/>
    <w:rsid w:val="00E6051B"/>
    <w:rsid w:val="00E60AAA"/>
    <w:rsid w:val="00E6214E"/>
    <w:rsid w:val="00E63527"/>
    <w:rsid w:val="00E637DE"/>
    <w:rsid w:val="00E6552F"/>
    <w:rsid w:val="00E6616F"/>
    <w:rsid w:val="00E667A9"/>
    <w:rsid w:val="00E717FB"/>
    <w:rsid w:val="00E7397D"/>
    <w:rsid w:val="00E73CC3"/>
    <w:rsid w:val="00E745D7"/>
    <w:rsid w:val="00E8040F"/>
    <w:rsid w:val="00E807D1"/>
    <w:rsid w:val="00E80C8A"/>
    <w:rsid w:val="00E82A86"/>
    <w:rsid w:val="00E848CA"/>
    <w:rsid w:val="00E8692B"/>
    <w:rsid w:val="00E87CBD"/>
    <w:rsid w:val="00E9014F"/>
    <w:rsid w:val="00E90685"/>
    <w:rsid w:val="00E90F7C"/>
    <w:rsid w:val="00E9709D"/>
    <w:rsid w:val="00EA0FF8"/>
    <w:rsid w:val="00EA2FD1"/>
    <w:rsid w:val="00EA53B0"/>
    <w:rsid w:val="00EB057F"/>
    <w:rsid w:val="00EB1A2E"/>
    <w:rsid w:val="00EB1B1B"/>
    <w:rsid w:val="00EB1E9D"/>
    <w:rsid w:val="00EB5CDC"/>
    <w:rsid w:val="00EB674F"/>
    <w:rsid w:val="00EB7C78"/>
    <w:rsid w:val="00EC49A5"/>
    <w:rsid w:val="00EC57D9"/>
    <w:rsid w:val="00ED0B6E"/>
    <w:rsid w:val="00ED1747"/>
    <w:rsid w:val="00ED3D2C"/>
    <w:rsid w:val="00ED4CAC"/>
    <w:rsid w:val="00ED5DDA"/>
    <w:rsid w:val="00ED6E18"/>
    <w:rsid w:val="00EE362C"/>
    <w:rsid w:val="00EE47D1"/>
    <w:rsid w:val="00EE54D8"/>
    <w:rsid w:val="00EE581E"/>
    <w:rsid w:val="00EE6C76"/>
    <w:rsid w:val="00EE75E6"/>
    <w:rsid w:val="00EE76EC"/>
    <w:rsid w:val="00EF043D"/>
    <w:rsid w:val="00EF30C7"/>
    <w:rsid w:val="00EF3415"/>
    <w:rsid w:val="00EF3B0C"/>
    <w:rsid w:val="00EF4D82"/>
    <w:rsid w:val="00EF4F25"/>
    <w:rsid w:val="00EF649B"/>
    <w:rsid w:val="00F01365"/>
    <w:rsid w:val="00F01A73"/>
    <w:rsid w:val="00F044E7"/>
    <w:rsid w:val="00F04B09"/>
    <w:rsid w:val="00F06DD1"/>
    <w:rsid w:val="00F07703"/>
    <w:rsid w:val="00F078A8"/>
    <w:rsid w:val="00F10279"/>
    <w:rsid w:val="00F10E86"/>
    <w:rsid w:val="00F142D5"/>
    <w:rsid w:val="00F1458D"/>
    <w:rsid w:val="00F17867"/>
    <w:rsid w:val="00F20263"/>
    <w:rsid w:val="00F24279"/>
    <w:rsid w:val="00F25122"/>
    <w:rsid w:val="00F27C5B"/>
    <w:rsid w:val="00F30D15"/>
    <w:rsid w:val="00F315AF"/>
    <w:rsid w:val="00F348D1"/>
    <w:rsid w:val="00F37FE5"/>
    <w:rsid w:val="00F403AF"/>
    <w:rsid w:val="00F4070D"/>
    <w:rsid w:val="00F416DD"/>
    <w:rsid w:val="00F4221D"/>
    <w:rsid w:val="00F4270E"/>
    <w:rsid w:val="00F45E43"/>
    <w:rsid w:val="00F552B6"/>
    <w:rsid w:val="00F57DC7"/>
    <w:rsid w:val="00F6081E"/>
    <w:rsid w:val="00F61014"/>
    <w:rsid w:val="00F642BE"/>
    <w:rsid w:val="00F6591D"/>
    <w:rsid w:val="00F66699"/>
    <w:rsid w:val="00F67424"/>
    <w:rsid w:val="00F7257A"/>
    <w:rsid w:val="00F7394A"/>
    <w:rsid w:val="00F81125"/>
    <w:rsid w:val="00F812AC"/>
    <w:rsid w:val="00F82AAB"/>
    <w:rsid w:val="00F82F07"/>
    <w:rsid w:val="00F85E1F"/>
    <w:rsid w:val="00F86427"/>
    <w:rsid w:val="00F878FA"/>
    <w:rsid w:val="00F921EE"/>
    <w:rsid w:val="00F9374B"/>
    <w:rsid w:val="00F93DFC"/>
    <w:rsid w:val="00F93F5B"/>
    <w:rsid w:val="00F945DB"/>
    <w:rsid w:val="00F947C2"/>
    <w:rsid w:val="00F96961"/>
    <w:rsid w:val="00FA0A97"/>
    <w:rsid w:val="00FA166D"/>
    <w:rsid w:val="00FA3211"/>
    <w:rsid w:val="00FA4E65"/>
    <w:rsid w:val="00FB131F"/>
    <w:rsid w:val="00FB3372"/>
    <w:rsid w:val="00FB3771"/>
    <w:rsid w:val="00FB445A"/>
    <w:rsid w:val="00FB4D24"/>
    <w:rsid w:val="00FB59EA"/>
    <w:rsid w:val="00FB7B52"/>
    <w:rsid w:val="00FB7E88"/>
    <w:rsid w:val="00FC103A"/>
    <w:rsid w:val="00FC3D96"/>
    <w:rsid w:val="00FD0199"/>
    <w:rsid w:val="00FD25CE"/>
    <w:rsid w:val="00FD3403"/>
    <w:rsid w:val="00FE0BD5"/>
    <w:rsid w:val="00FE137B"/>
    <w:rsid w:val="00FE1A3F"/>
    <w:rsid w:val="00FE4AF8"/>
    <w:rsid w:val="00FE517F"/>
    <w:rsid w:val="00FE7163"/>
    <w:rsid w:val="00FF072D"/>
    <w:rsid w:val="00FF07AF"/>
    <w:rsid w:val="00FF1BC3"/>
    <w:rsid w:val="00FF2871"/>
    <w:rsid w:val="00FF2BB1"/>
    <w:rsid w:val="00FF3B28"/>
    <w:rsid w:val="00FF4C2E"/>
    <w:rsid w:val="00FF60D9"/>
    <w:rsid w:val="00FF6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AD01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s,Footnote ak,ft,fn cafc,fn Char Char,footnote text Char Char,Footnotes Char Char,Footnote ak Char Char,Footnote Text Char2,Footnote Text Char1 Char1,Footnote Text Char Char Char,Footnote Text Char1,C,Car,f,Ca,footnote text"/>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s Char,Footnote ak Char,ft Char,fn cafc Char,fn Char Char Char,footnote text Char Char Char,Footnotes Char Char Char,Footnote ak Char Char Char,Footnote Text Char2 Char,Footnote Text Char1 Char1 Char,C Char,Car Char"/>
    <w:basedOn w:val="DefaultParagraphFont"/>
    <w:link w:val="FootnoteText"/>
    <w:uiPriority w:val="99"/>
    <w:qFormat/>
    <w:rsid w:val="00EE47D1"/>
    <w:rPr>
      <w:sz w:val="18"/>
      <w:szCs w:val="20"/>
    </w:rPr>
  </w:style>
  <w:style w:type="character" w:styleId="FootnoteReference">
    <w:name w:val="footnote reference"/>
    <w:aliases w:val="Ref,de nota al pie,-E Fußnotenzeichen,11 pt,Footnote Reference1,Ref1,de nota al pie + (Asian) MS Mincho,de nota al pie1,f?,註????腳內—e,註?腳內—e,註腳內容,(NECG) Footnote Reference,11,11 p,EN Footnote Reference,Footnote number,Not ...,fr,???"/>
    <w:basedOn w:val="DefaultParagraphFont"/>
    <w:link w:val="CharChar6CharCharCharCharCharChar"/>
    <w:uiPriority w:val="99"/>
    <w:qFormat/>
    <w:rsid w:val="00BD0E60"/>
    <w:rPr>
      <w:rFonts w:ascii="Calibri" w:hAnsi="Calibri"/>
      <w:vertAlign w:val="superscript"/>
    </w:rPr>
  </w:style>
  <w:style w:type="character" w:customStyle="1" w:styleId="UnresolvedMention1">
    <w:name w:val="Unresolved Mention1"/>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B104D7"/>
    <w:rPr>
      <w:sz w:val="16"/>
      <w:szCs w:val="16"/>
    </w:rPr>
  </w:style>
  <w:style w:type="paragraph" w:styleId="CommentText">
    <w:name w:val="annotation text"/>
    <w:basedOn w:val="Normal"/>
    <w:link w:val="CommentTextChar"/>
    <w:uiPriority w:val="99"/>
    <w:unhideWhenUsed/>
    <w:rsid w:val="00B104D7"/>
    <w:pPr>
      <w:spacing w:line="240" w:lineRule="auto"/>
    </w:pPr>
    <w:rPr>
      <w:sz w:val="20"/>
      <w:szCs w:val="20"/>
    </w:rPr>
  </w:style>
  <w:style w:type="character" w:customStyle="1" w:styleId="CommentTextChar">
    <w:name w:val="Comment Text Char"/>
    <w:basedOn w:val="DefaultParagraphFont"/>
    <w:link w:val="CommentText"/>
    <w:uiPriority w:val="99"/>
    <w:rsid w:val="00B104D7"/>
    <w:rPr>
      <w:sz w:val="20"/>
      <w:szCs w:val="20"/>
    </w:rPr>
  </w:style>
  <w:style w:type="paragraph" w:styleId="CommentSubject">
    <w:name w:val="annotation subject"/>
    <w:basedOn w:val="CommentText"/>
    <w:next w:val="CommentText"/>
    <w:link w:val="CommentSubjectChar"/>
    <w:uiPriority w:val="99"/>
    <w:semiHidden/>
    <w:unhideWhenUsed/>
    <w:rsid w:val="00B104D7"/>
    <w:rPr>
      <w:b/>
      <w:bCs/>
    </w:rPr>
  </w:style>
  <w:style w:type="character" w:customStyle="1" w:styleId="CommentSubjectChar">
    <w:name w:val="Comment Subject Char"/>
    <w:basedOn w:val="CommentTextChar"/>
    <w:link w:val="CommentSubject"/>
    <w:uiPriority w:val="99"/>
    <w:semiHidden/>
    <w:rsid w:val="00B104D7"/>
    <w:rPr>
      <w:b/>
      <w:bCs/>
      <w:sz w:val="20"/>
      <w:szCs w:val="20"/>
    </w:rPr>
  </w:style>
  <w:style w:type="paragraph" w:customStyle="1" w:styleId="CharChar6CharCharCharCharCharChar">
    <w:name w:val="Char Char6 Char Char Char Char Char Char"/>
    <w:aliases w:val="Char6 Char Char Char Char Char Char Char"/>
    <w:basedOn w:val="Normal"/>
    <w:link w:val="FootnoteReference"/>
    <w:uiPriority w:val="99"/>
    <w:rsid w:val="00AE2EF2"/>
    <w:pPr>
      <w:jc w:val="center"/>
    </w:pPr>
    <w:rPr>
      <w:vertAlign w:val="superscript"/>
    </w:rPr>
  </w:style>
  <w:style w:type="table" w:customStyle="1" w:styleId="GridTable1Light1">
    <w:name w:val="Grid Table 1 Light1"/>
    <w:basedOn w:val="TableNormal"/>
    <w:next w:val="GridTable1Light"/>
    <w:uiPriority w:val="46"/>
    <w:rsid w:val="00A910C9"/>
    <w:pPr>
      <w:spacing w:after="0" w:line="240" w:lineRule="auto"/>
      <w:jc w:val="left"/>
    </w:pPr>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A910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582786"/>
    <w:rPr>
      <w:color w:val="605E5C"/>
      <w:shd w:val="clear" w:color="auto" w:fill="E1DFDD"/>
    </w:rPr>
  </w:style>
  <w:style w:type="paragraph" w:styleId="Revision">
    <w:name w:val="Revision"/>
    <w:hidden/>
    <w:uiPriority w:val="99"/>
    <w:semiHidden/>
    <w:rsid w:val="00582786"/>
    <w:pPr>
      <w:spacing w:after="0" w:line="240" w:lineRule="auto"/>
      <w:jc w:val="left"/>
    </w:pPr>
  </w:style>
  <w:style w:type="paragraph" w:customStyle="1" w:styleId="Default">
    <w:name w:val="Default"/>
    <w:rsid w:val="00582786"/>
    <w:pPr>
      <w:autoSpaceDE w:val="0"/>
      <w:autoSpaceDN w:val="0"/>
      <w:adjustRightInd w:val="0"/>
      <w:spacing w:after="0" w:line="240" w:lineRule="auto"/>
      <w:jc w:val="left"/>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BC3060"/>
    <w:rPr>
      <w:color w:val="954F72" w:themeColor="followedHyperlink"/>
      <w:u w:val="single"/>
    </w:rPr>
  </w:style>
  <w:style w:type="numbering" w:customStyle="1" w:styleId="NoList1">
    <w:name w:val="No List1"/>
    <w:next w:val="NoList"/>
    <w:uiPriority w:val="99"/>
    <w:semiHidden/>
    <w:unhideWhenUsed/>
    <w:rsid w:val="009D14F3"/>
  </w:style>
  <w:style w:type="table" w:customStyle="1" w:styleId="TableGrid1">
    <w:name w:val="Table Grid1"/>
    <w:basedOn w:val="TableNormal"/>
    <w:next w:val="TableGrid"/>
    <w:uiPriority w:val="39"/>
    <w:rsid w:val="009D1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next w:val="GridTable1Light"/>
    <w:uiPriority w:val="46"/>
    <w:rsid w:val="009D14F3"/>
    <w:pPr>
      <w:spacing w:after="0" w:line="240" w:lineRule="auto"/>
      <w:jc w:val="left"/>
    </w:pPr>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9D14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644560">
      <w:bodyDiv w:val="1"/>
      <w:marLeft w:val="0"/>
      <w:marRight w:val="0"/>
      <w:marTop w:val="0"/>
      <w:marBottom w:val="0"/>
      <w:divBdr>
        <w:top w:val="none" w:sz="0" w:space="0" w:color="auto"/>
        <w:left w:val="none" w:sz="0" w:space="0" w:color="auto"/>
        <w:bottom w:val="none" w:sz="0" w:space="0" w:color="auto"/>
        <w:right w:val="none" w:sz="0" w:space="0" w:color="auto"/>
      </w:divBdr>
    </w:div>
    <w:div w:id="1265727039">
      <w:bodyDiv w:val="1"/>
      <w:marLeft w:val="0"/>
      <w:marRight w:val="0"/>
      <w:marTop w:val="0"/>
      <w:marBottom w:val="0"/>
      <w:divBdr>
        <w:top w:val="none" w:sz="0" w:space="0" w:color="auto"/>
        <w:left w:val="none" w:sz="0" w:space="0" w:color="auto"/>
        <w:bottom w:val="none" w:sz="0" w:space="0" w:color="auto"/>
        <w:right w:val="none" w:sz="0" w:space="0" w:color="auto"/>
      </w:divBdr>
    </w:div>
    <w:div w:id="15541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AD34F-89F2-43E7-8C3C-E1F72C7C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19779</Words>
  <Characters>112746</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2021-02-12T00:10:00Z</dcterms:created>
  <dcterms:modified xsi:type="dcterms:W3CDTF">2021-02-12T00:10:00Z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17c11b10-a709-48af-9d99-a8a2a44faa82</vt:lpwstr>
  </property>
  <property fmtid="{D5CDD505-2E9C-101B-9397-08002B2CF9AE}" pid="3" name="SEC">
    <vt:lpwstr>OFFICIAL</vt:lpwstr>
  </property>
</Properties>
</file>