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FE1C" w14:textId="77777777" w:rsidR="00354A06" w:rsidRPr="0007327B" w:rsidRDefault="00354A06" w:rsidP="005714C3">
      <w:pPr>
        <w:pStyle w:val="BTNSSBodyTextNoSpacingSmall"/>
        <w:rPr>
          <w:sz w:val="2"/>
          <w:szCs w:val="2"/>
        </w:rPr>
      </w:pPr>
      <w:bookmarkStart w:id="0" w:name="_Hlk56350420"/>
      <w:bookmarkStart w:id="1" w:name="_GoBack"/>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3B5D73E6" w14:textId="77777777" w:rsidTr="008A4C51">
        <w:trPr>
          <w:trHeight w:val="4365"/>
        </w:trPr>
        <w:tc>
          <w:tcPr>
            <w:tcW w:w="9060" w:type="dxa"/>
          </w:tcPr>
          <w:p w14:paraId="0F5948A6"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6F44BEED"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65964F05" w14:textId="77777777" w:rsidTr="00BE0B1C">
        <w:trPr>
          <w:trHeight w:val="737"/>
        </w:trPr>
        <w:tc>
          <w:tcPr>
            <w:tcW w:w="9060" w:type="dxa"/>
          </w:tcPr>
          <w:p w14:paraId="0B340451" w14:textId="77777777" w:rsidR="005714C3" w:rsidRPr="0007327B" w:rsidRDefault="00502582" w:rsidP="00DA5381">
            <w:pPr>
              <w:pStyle w:val="WTODTWTODisputeTitle"/>
            </w:pPr>
            <w:r>
              <w:t>India – Measures Concerning Sugar and Sugarcane</w:t>
            </w:r>
          </w:p>
        </w:tc>
      </w:tr>
      <w:tr w:rsidR="005714C3" w:rsidRPr="0007327B" w14:paraId="249BA73C" w14:textId="77777777" w:rsidTr="008A4C51">
        <w:trPr>
          <w:trHeight w:val="3175"/>
        </w:trPr>
        <w:tc>
          <w:tcPr>
            <w:tcW w:w="9060" w:type="dxa"/>
          </w:tcPr>
          <w:p w14:paraId="52626A7A" w14:textId="77777777" w:rsidR="005714C3" w:rsidRPr="0007327B" w:rsidRDefault="005714C3" w:rsidP="00502582">
            <w:pPr>
              <w:pStyle w:val="DSNDSNumber"/>
            </w:pPr>
            <w:r w:rsidRPr="0007327B">
              <w:t>(DS</w:t>
            </w:r>
            <w:r w:rsidR="00502582">
              <w:t>580</w:t>
            </w:r>
            <w:r w:rsidRPr="0007327B">
              <w:t>)</w:t>
            </w:r>
          </w:p>
        </w:tc>
      </w:tr>
      <w:tr w:rsidR="005714C3" w:rsidRPr="0007327B" w14:paraId="6D18AB94" w14:textId="77777777" w:rsidTr="00DD4BA0">
        <w:trPr>
          <w:trHeight w:val="3798"/>
        </w:trPr>
        <w:tc>
          <w:tcPr>
            <w:tcW w:w="9060" w:type="dxa"/>
          </w:tcPr>
          <w:p w14:paraId="026B6545" w14:textId="77777777" w:rsidR="005714C3" w:rsidRPr="0007327B" w:rsidRDefault="00502582" w:rsidP="00502582">
            <w:pPr>
              <w:pStyle w:val="DTDocumentTitle"/>
            </w:pPr>
            <w:r>
              <w:t xml:space="preserve">Australia's </w:t>
            </w:r>
            <w:r w:rsidR="0017470C">
              <w:t>O</w:t>
            </w:r>
            <w:r w:rsidR="0087754E">
              <w:t>pening</w:t>
            </w:r>
            <w:r w:rsidR="0017470C">
              <w:t xml:space="preserve"> </w:t>
            </w:r>
            <w:r>
              <w:t>Statement at the First Substantive Meeting with the Parties</w:t>
            </w:r>
            <w:r w:rsidR="00FA1C02">
              <w:t xml:space="preserve"> and Third Parties</w:t>
            </w:r>
          </w:p>
        </w:tc>
      </w:tr>
      <w:tr w:rsidR="005714C3" w:rsidRPr="0007327B" w14:paraId="23D4684E" w14:textId="77777777" w:rsidTr="00BE0B1C">
        <w:trPr>
          <w:trHeight w:val="624"/>
        </w:trPr>
        <w:tc>
          <w:tcPr>
            <w:tcW w:w="9060" w:type="dxa"/>
          </w:tcPr>
          <w:p w14:paraId="667B50B7" w14:textId="77777777" w:rsidR="005714C3" w:rsidRPr="0007327B" w:rsidRDefault="00135C6E" w:rsidP="00DA5381">
            <w:pPr>
              <w:pStyle w:val="DDDocumentDate"/>
            </w:pPr>
            <w:r>
              <w:t>8 December</w:t>
            </w:r>
            <w:r w:rsidR="00975A40">
              <w:t xml:space="preserve"> 2020</w:t>
            </w:r>
          </w:p>
        </w:tc>
      </w:tr>
    </w:tbl>
    <w:p w14:paraId="26B23A6D" w14:textId="77777777" w:rsidR="005714C3" w:rsidRPr="0007327B" w:rsidRDefault="005714C3" w:rsidP="00BE0B1C">
      <w:pPr>
        <w:pStyle w:val="BTNSSBodyTextNoSpacingSmall"/>
      </w:pPr>
    </w:p>
    <w:p w14:paraId="1E782305" w14:textId="77777777" w:rsidR="00006269" w:rsidRPr="0007327B" w:rsidRDefault="00006269" w:rsidP="00BE0B1C">
      <w:pPr>
        <w:pStyle w:val="BTNSSBodyTextNoSpacingSmall"/>
      </w:pPr>
      <w:r w:rsidRPr="0007327B">
        <w:br w:type="page"/>
      </w:r>
    </w:p>
    <w:p w14:paraId="01E42BDF"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2973AE34" w14:textId="77777777" w:rsidR="00D47F18" w:rsidRPr="0007327B" w:rsidRDefault="00D47F18">
          <w:pPr>
            <w:pStyle w:val="TOCHeading"/>
            <w:rPr>
              <w:lang w:val="en-AU"/>
            </w:rPr>
          </w:pPr>
          <w:r w:rsidRPr="0007327B">
            <w:rPr>
              <w:lang w:val="en-AU"/>
            </w:rPr>
            <w:t>Table of Contents</w:t>
          </w:r>
        </w:p>
        <w:p w14:paraId="4CFA9D23" w14:textId="2CEA077B" w:rsidR="00D61A4B"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58497304" w:history="1">
            <w:r w:rsidR="00D61A4B" w:rsidRPr="00D36D20">
              <w:rPr>
                <w:rStyle w:val="Hyperlink"/>
                <w:noProof/>
              </w:rPr>
              <w:t>Table of Cases</w:t>
            </w:r>
            <w:r w:rsidR="00D61A4B">
              <w:rPr>
                <w:noProof/>
                <w:webHidden/>
              </w:rPr>
              <w:tab/>
            </w:r>
            <w:r w:rsidR="00D61A4B">
              <w:rPr>
                <w:noProof/>
                <w:webHidden/>
              </w:rPr>
              <w:fldChar w:fldCharType="begin"/>
            </w:r>
            <w:r w:rsidR="00D61A4B">
              <w:rPr>
                <w:noProof/>
                <w:webHidden/>
              </w:rPr>
              <w:instrText xml:space="preserve"> PAGEREF _Toc58497304 \h </w:instrText>
            </w:r>
            <w:r w:rsidR="00D61A4B">
              <w:rPr>
                <w:noProof/>
                <w:webHidden/>
              </w:rPr>
            </w:r>
            <w:r w:rsidR="00D61A4B">
              <w:rPr>
                <w:noProof/>
                <w:webHidden/>
              </w:rPr>
              <w:fldChar w:fldCharType="separate"/>
            </w:r>
            <w:r w:rsidR="00C11607">
              <w:rPr>
                <w:noProof/>
                <w:webHidden/>
              </w:rPr>
              <w:t>3</w:t>
            </w:r>
            <w:r w:rsidR="00D61A4B">
              <w:rPr>
                <w:noProof/>
                <w:webHidden/>
              </w:rPr>
              <w:fldChar w:fldCharType="end"/>
            </w:r>
          </w:hyperlink>
        </w:p>
        <w:p w14:paraId="456B15CA" w14:textId="3751B0A5" w:rsidR="00D61A4B" w:rsidRDefault="00C11607">
          <w:pPr>
            <w:pStyle w:val="TOC1"/>
            <w:rPr>
              <w:rFonts w:asciiTheme="minorHAnsi" w:eastAsiaTheme="minorEastAsia" w:hAnsiTheme="minorHAnsi"/>
              <w:b w:val="0"/>
              <w:caps w:val="0"/>
              <w:noProof/>
              <w:sz w:val="22"/>
              <w:szCs w:val="22"/>
              <w:lang w:eastAsia="en-AU"/>
            </w:rPr>
          </w:pPr>
          <w:hyperlink w:anchor="_Toc58497305" w:history="1">
            <w:r w:rsidR="00D61A4B" w:rsidRPr="00D36D20">
              <w:rPr>
                <w:rStyle w:val="Hyperlink"/>
                <w:noProof/>
              </w:rPr>
              <w:t>List of Acronyms, Abbreviations and Short Forms</w:t>
            </w:r>
            <w:r w:rsidR="00D61A4B">
              <w:rPr>
                <w:noProof/>
                <w:webHidden/>
              </w:rPr>
              <w:tab/>
            </w:r>
            <w:r w:rsidR="00D61A4B">
              <w:rPr>
                <w:noProof/>
                <w:webHidden/>
              </w:rPr>
              <w:fldChar w:fldCharType="begin"/>
            </w:r>
            <w:r w:rsidR="00D61A4B">
              <w:rPr>
                <w:noProof/>
                <w:webHidden/>
              </w:rPr>
              <w:instrText xml:space="preserve"> PAGEREF _Toc58497305 \h </w:instrText>
            </w:r>
            <w:r w:rsidR="00D61A4B">
              <w:rPr>
                <w:noProof/>
                <w:webHidden/>
              </w:rPr>
            </w:r>
            <w:r w:rsidR="00D61A4B">
              <w:rPr>
                <w:noProof/>
                <w:webHidden/>
              </w:rPr>
              <w:fldChar w:fldCharType="separate"/>
            </w:r>
            <w:r>
              <w:rPr>
                <w:noProof/>
                <w:webHidden/>
              </w:rPr>
              <w:t>3</w:t>
            </w:r>
            <w:r w:rsidR="00D61A4B">
              <w:rPr>
                <w:noProof/>
                <w:webHidden/>
              </w:rPr>
              <w:fldChar w:fldCharType="end"/>
            </w:r>
          </w:hyperlink>
        </w:p>
        <w:p w14:paraId="382FCA90" w14:textId="16804651" w:rsidR="00D61A4B" w:rsidRDefault="00C11607">
          <w:pPr>
            <w:pStyle w:val="TOC1"/>
            <w:rPr>
              <w:rFonts w:asciiTheme="minorHAnsi" w:eastAsiaTheme="minorEastAsia" w:hAnsiTheme="minorHAnsi"/>
              <w:b w:val="0"/>
              <w:caps w:val="0"/>
              <w:noProof/>
              <w:sz w:val="22"/>
              <w:szCs w:val="22"/>
              <w:lang w:eastAsia="en-AU"/>
            </w:rPr>
          </w:pPr>
          <w:hyperlink w:anchor="_Toc58497306" w:history="1">
            <w:r w:rsidR="00D61A4B" w:rsidRPr="00D36D20">
              <w:rPr>
                <w:rStyle w:val="Hyperlink"/>
                <w:noProof/>
              </w:rPr>
              <w:t>List of JOINT Exhibits</w:t>
            </w:r>
            <w:r w:rsidR="00D61A4B">
              <w:rPr>
                <w:noProof/>
                <w:webHidden/>
              </w:rPr>
              <w:tab/>
            </w:r>
            <w:r w:rsidR="00D61A4B">
              <w:rPr>
                <w:noProof/>
                <w:webHidden/>
              </w:rPr>
              <w:fldChar w:fldCharType="begin"/>
            </w:r>
            <w:r w:rsidR="00D61A4B">
              <w:rPr>
                <w:noProof/>
                <w:webHidden/>
              </w:rPr>
              <w:instrText xml:space="preserve"> PAGEREF _Toc58497306 \h </w:instrText>
            </w:r>
            <w:r w:rsidR="00D61A4B">
              <w:rPr>
                <w:noProof/>
                <w:webHidden/>
              </w:rPr>
            </w:r>
            <w:r w:rsidR="00D61A4B">
              <w:rPr>
                <w:noProof/>
                <w:webHidden/>
              </w:rPr>
              <w:fldChar w:fldCharType="separate"/>
            </w:r>
            <w:r>
              <w:rPr>
                <w:noProof/>
                <w:webHidden/>
              </w:rPr>
              <w:t>4</w:t>
            </w:r>
            <w:r w:rsidR="00D61A4B">
              <w:rPr>
                <w:noProof/>
                <w:webHidden/>
              </w:rPr>
              <w:fldChar w:fldCharType="end"/>
            </w:r>
          </w:hyperlink>
        </w:p>
        <w:p w14:paraId="1C7ACA89" w14:textId="3F747484" w:rsidR="00D61A4B" w:rsidRDefault="00C11607">
          <w:pPr>
            <w:pStyle w:val="TOC1"/>
            <w:rPr>
              <w:rFonts w:asciiTheme="minorHAnsi" w:eastAsiaTheme="minorEastAsia" w:hAnsiTheme="minorHAnsi"/>
              <w:b w:val="0"/>
              <w:caps w:val="0"/>
              <w:noProof/>
              <w:sz w:val="22"/>
              <w:szCs w:val="22"/>
              <w:lang w:eastAsia="en-AU"/>
            </w:rPr>
          </w:pPr>
          <w:hyperlink w:anchor="_Toc58497307" w:history="1">
            <w:r w:rsidR="00D61A4B" w:rsidRPr="00D36D20">
              <w:rPr>
                <w:rStyle w:val="Hyperlink"/>
                <w:noProof/>
              </w:rPr>
              <w:t>List of australia's Exhibits</w:t>
            </w:r>
            <w:r w:rsidR="00D61A4B">
              <w:rPr>
                <w:noProof/>
                <w:webHidden/>
              </w:rPr>
              <w:tab/>
            </w:r>
            <w:r w:rsidR="00D61A4B">
              <w:rPr>
                <w:noProof/>
                <w:webHidden/>
              </w:rPr>
              <w:fldChar w:fldCharType="begin"/>
            </w:r>
            <w:r w:rsidR="00D61A4B">
              <w:rPr>
                <w:noProof/>
                <w:webHidden/>
              </w:rPr>
              <w:instrText xml:space="preserve"> PAGEREF _Toc58497307 \h </w:instrText>
            </w:r>
            <w:r w:rsidR="00D61A4B">
              <w:rPr>
                <w:noProof/>
                <w:webHidden/>
              </w:rPr>
            </w:r>
            <w:r w:rsidR="00D61A4B">
              <w:rPr>
                <w:noProof/>
                <w:webHidden/>
              </w:rPr>
              <w:fldChar w:fldCharType="separate"/>
            </w:r>
            <w:r>
              <w:rPr>
                <w:noProof/>
                <w:webHidden/>
              </w:rPr>
              <w:t>4</w:t>
            </w:r>
            <w:r w:rsidR="00D61A4B">
              <w:rPr>
                <w:noProof/>
                <w:webHidden/>
              </w:rPr>
              <w:fldChar w:fldCharType="end"/>
            </w:r>
          </w:hyperlink>
        </w:p>
        <w:p w14:paraId="2DB8A38A" w14:textId="255815EC" w:rsidR="00D61A4B" w:rsidRDefault="00C11607">
          <w:pPr>
            <w:pStyle w:val="TOC1"/>
            <w:rPr>
              <w:rFonts w:asciiTheme="minorHAnsi" w:eastAsiaTheme="minorEastAsia" w:hAnsiTheme="minorHAnsi"/>
              <w:b w:val="0"/>
              <w:caps w:val="0"/>
              <w:noProof/>
              <w:sz w:val="22"/>
              <w:szCs w:val="22"/>
              <w:lang w:eastAsia="en-AU"/>
            </w:rPr>
          </w:pPr>
          <w:hyperlink w:anchor="_Toc58497308" w:history="1">
            <w:r w:rsidR="00D61A4B" w:rsidRPr="00D36D20">
              <w:rPr>
                <w:rStyle w:val="Hyperlink"/>
                <w:noProof/>
              </w:rPr>
              <w:t>I.</w:t>
            </w:r>
            <w:r w:rsidR="00D61A4B">
              <w:rPr>
                <w:rFonts w:asciiTheme="minorHAnsi" w:eastAsiaTheme="minorEastAsia" w:hAnsiTheme="minorHAnsi"/>
                <w:b w:val="0"/>
                <w:caps w:val="0"/>
                <w:noProof/>
                <w:sz w:val="22"/>
                <w:szCs w:val="22"/>
                <w:lang w:eastAsia="en-AU"/>
              </w:rPr>
              <w:tab/>
            </w:r>
            <w:r w:rsidR="00D61A4B" w:rsidRPr="00D36D20">
              <w:rPr>
                <w:rStyle w:val="Hyperlink"/>
                <w:noProof/>
              </w:rPr>
              <w:t>Introduction</w:t>
            </w:r>
            <w:r w:rsidR="00D61A4B">
              <w:rPr>
                <w:noProof/>
                <w:webHidden/>
              </w:rPr>
              <w:tab/>
            </w:r>
            <w:r w:rsidR="00D61A4B">
              <w:rPr>
                <w:noProof/>
                <w:webHidden/>
              </w:rPr>
              <w:fldChar w:fldCharType="begin"/>
            </w:r>
            <w:r w:rsidR="00D61A4B">
              <w:rPr>
                <w:noProof/>
                <w:webHidden/>
              </w:rPr>
              <w:instrText xml:space="preserve"> PAGEREF _Toc58497308 \h </w:instrText>
            </w:r>
            <w:r w:rsidR="00D61A4B">
              <w:rPr>
                <w:noProof/>
                <w:webHidden/>
              </w:rPr>
            </w:r>
            <w:r w:rsidR="00D61A4B">
              <w:rPr>
                <w:noProof/>
                <w:webHidden/>
              </w:rPr>
              <w:fldChar w:fldCharType="separate"/>
            </w:r>
            <w:r>
              <w:rPr>
                <w:noProof/>
                <w:webHidden/>
              </w:rPr>
              <w:t>5</w:t>
            </w:r>
            <w:r w:rsidR="00D61A4B">
              <w:rPr>
                <w:noProof/>
                <w:webHidden/>
              </w:rPr>
              <w:fldChar w:fldCharType="end"/>
            </w:r>
          </w:hyperlink>
        </w:p>
        <w:p w14:paraId="1F66C0B3" w14:textId="23FC84CE" w:rsidR="00D61A4B" w:rsidRDefault="00C11607">
          <w:pPr>
            <w:pStyle w:val="TOC1"/>
            <w:rPr>
              <w:rFonts w:asciiTheme="minorHAnsi" w:eastAsiaTheme="minorEastAsia" w:hAnsiTheme="minorHAnsi"/>
              <w:b w:val="0"/>
              <w:caps w:val="0"/>
              <w:noProof/>
              <w:sz w:val="22"/>
              <w:szCs w:val="22"/>
              <w:lang w:eastAsia="en-AU"/>
            </w:rPr>
          </w:pPr>
          <w:hyperlink w:anchor="_Toc58497309" w:history="1">
            <w:r w:rsidR="00D61A4B" w:rsidRPr="00D36D20">
              <w:rPr>
                <w:rStyle w:val="Hyperlink"/>
                <w:noProof/>
              </w:rPr>
              <w:t>II.</w:t>
            </w:r>
            <w:r w:rsidR="00D61A4B">
              <w:rPr>
                <w:rFonts w:asciiTheme="minorHAnsi" w:eastAsiaTheme="minorEastAsia" w:hAnsiTheme="minorHAnsi"/>
                <w:b w:val="0"/>
                <w:caps w:val="0"/>
                <w:noProof/>
                <w:sz w:val="22"/>
                <w:szCs w:val="22"/>
                <w:lang w:eastAsia="en-AU"/>
              </w:rPr>
              <w:tab/>
            </w:r>
            <w:r w:rsidR="00D61A4B" w:rsidRPr="00D36D20">
              <w:rPr>
                <w:rStyle w:val="Hyperlink"/>
                <w:noProof/>
              </w:rPr>
              <w:t xml:space="preserve">INDIA's DOMESTIC SUPPORT to sugarcane vastly exceeds its </w:t>
            </w:r>
            <w:r w:rsidR="00D61A4B" w:rsidRPr="00D36D20">
              <w:rPr>
                <w:rStyle w:val="Hyperlink"/>
                <w:i/>
                <w:iCs/>
                <w:noProof/>
              </w:rPr>
              <w:t>de minimis</w:t>
            </w:r>
            <w:r w:rsidR="00D61A4B" w:rsidRPr="00D36D20">
              <w:rPr>
                <w:rStyle w:val="Hyperlink"/>
                <w:noProof/>
              </w:rPr>
              <w:t xml:space="preserve"> limit</w:t>
            </w:r>
            <w:r w:rsidR="00D61A4B">
              <w:rPr>
                <w:noProof/>
                <w:webHidden/>
              </w:rPr>
              <w:tab/>
            </w:r>
            <w:r w:rsidR="00D61A4B">
              <w:rPr>
                <w:noProof/>
                <w:webHidden/>
              </w:rPr>
              <w:fldChar w:fldCharType="begin"/>
            </w:r>
            <w:r w:rsidR="00D61A4B">
              <w:rPr>
                <w:noProof/>
                <w:webHidden/>
              </w:rPr>
              <w:instrText xml:space="preserve"> PAGEREF _Toc58497309 \h </w:instrText>
            </w:r>
            <w:r w:rsidR="00D61A4B">
              <w:rPr>
                <w:noProof/>
                <w:webHidden/>
              </w:rPr>
            </w:r>
            <w:r w:rsidR="00D61A4B">
              <w:rPr>
                <w:noProof/>
                <w:webHidden/>
              </w:rPr>
              <w:fldChar w:fldCharType="separate"/>
            </w:r>
            <w:r>
              <w:rPr>
                <w:noProof/>
                <w:webHidden/>
              </w:rPr>
              <w:t>7</w:t>
            </w:r>
            <w:r w:rsidR="00D61A4B">
              <w:rPr>
                <w:noProof/>
                <w:webHidden/>
              </w:rPr>
              <w:fldChar w:fldCharType="end"/>
            </w:r>
          </w:hyperlink>
        </w:p>
        <w:p w14:paraId="43FB4528" w14:textId="21D0FD5E" w:rsidR="00D61A4B" w:rsidRDefault="00C11607">
          <w:pPr>
            <w:pStyle w:val="TOC2"/>
            <w:rPr>
              <w:rFonts w:asciiTheme="minorHAnsi" w:eastAsiaTheme="minorEastAsia" w:hAnsiTheme="minorHAnsi"/>
              <w:b w:val="0"/>
              <w:smallCaps w:val="0"/>
              <w:noProof/>
              <w:sz w:val="22"/>
              <w:szCs w:val="22"/>
              <w:lang w:eastAsia="en-AU"/>
            </w:rPr>
          </w:pPr>
          <w:hyperlink w:anchor="_Toc58497310" w:history="1">
            <w:r w:rsidR="00D61A4B" w:rsidRPr="00D36D20">
              <w:rPr>
                <w:rStyle w:val="Hyperlink"/>
                <w:noProof/>
              </w:rPr>
              <w:t>A.</w:t>
            </w:r>
            <w:r w:rsidR="00D61A4B">
              <w:rPr>
                <w:rFonts w:asciiTheme="minorHAnsi" w:eastAsiaTheme="minorEastAsia" w:hAnsiTheme="minorHAnsi"/>
                <w:b w:val="0"/>
                <w:smallCaps w:val="0"/>
                <w:noProof/>
                <w:sz w:val="22"/>
                <w:szCs w:val="22"/>
                <w:lang w:eastAsia="en-AU"/>
              </w:rPr>
              <w:tab/>
            </w:r>
            <w:r w:rsidR="00D61A4B" w:rsidRPr="00D36D20">
              <w:rPr>
                <w:rStyle w:val="Hyperlink"/>
                <w:noProof/>
              </w:rPr>
              <w:t>The Facts Underpinning Australia's Domestic Support Calculations are Not in Dispute</w:t>
            </w:r>
            <w:r w:rsidR="00D61A4B">
              <w:rPr>
                <w:noProof/>
                <w:webHidden/>
              </w:rPr>
              <w:tab/>
            </w:r>
            <w:r w:rsidR="00D61A4B">
              <w:rPr>
                <w:noProof/>
                <w:webHidden/>
              </w:rPr>
              <w:fldChar w:fldCharType="begin"/>
            </w:r>
            <w:r w:rsidR="00D61A4B">
              <w:rPr>
                <w:noProof/>
                <w:webHidden/>
              </w:rPr>
              <w:instrText xml:space="preserve"> PAGEREF _Toc58497310 \h </w:instrText>
            </w:r>
            <w:r w:rsidR="00D61A4B">
              <w:rPr>
                <w:noProof/>
                <w:webHidden/>
              </w:rPr>
            </w:r>
            <w:r w:rsidR="00D61A4B">
              <w:rPr>
                <w:noProof/>
                <w:webHidden/>
              </w:rPr>
              <w:fldChar w:fldCharType="separate"/>
            </w:r>
            <w:r>
              <w:rPr>
                <w:noProof/>
                <w:webHidden/>
              </w:rPr>
              <w:t>8</w:t>
            </w:r>
            <w:r w:rsidR="00D61A4B">
              <w:rPr>
                <w:noProof/>
                <w:webHidden/>
              </w:rPr>
              <w:fldChar w:fldCharType="end"/>
            </w:r>
          </w:hyperlink>
        </w:p>
        <w:p w14:paraId="1998D6DE" w14:textId="0A9ADE86" w:rsidR="00D61A4B" w:rsidRDefault="00C11607">
          <w:pPr>
            <w:pStyle w:val="TOC2"/>
            <w:rPr>
              <w:rFonts w:asciiTheme="minorHAnsi" w:eastAsiaTheme="minorEastAsia" w:hAnsiTheme="minorHAnsi"/>
              <w:b w:val="0"/>
              <w:smallCaps w:val="0"/>
              <w:noProof/>
              <w:sz w:val="22"/>
              <w:szCs w:val="22"/>
              <w:lang w:eastAsia="en-AU"/>
            </w:rPr>
          </w:pPr>
          <w:hyperlink w:anchor="_Toc58497311" w:history="1">
            <w:r w:rsidR="00D61A4B" w:rsidRPr="00D36D20">
              <w:rPr>
                <w:rStyle w:val="Hyperlink"/>
                <w:noProof/>
              </w:rPr>
              <w:t>B.</w:t>
            </w:r>
            <w:r w:rsidR="00D61A4B">
              <w:rPr>
                <w:rFonts w:asciiTheme="minorHAnsi" w:eastAsiaTheme="minorEastAsia" w:hAnsiTheme="minorHAnsi"/>
                <w:b w:val="0"/>
                <w:smallCaps w:val="0"/>
                <w:noProof/>
                <w:sz w:val="22"/>
                <w:szCs w:val="22"/>
                <w:lang w:eastAsia="en-AU"/>
              </w:rPr>
              <w:tab/>
            </w:r>
            <w:r w:rsidR="00D61A4B" w:rsidRPr="00D36D20">
              <w:rPr>
                <w:rStyle w:val="Hyperlink"/>
                <w:noProof/>
              </w:rPr>
              <w:t>The Panel Should Reject India's Argument That Market Price Support Can Only Exist When the AAP is Paid by Government or its Agents</w:t>
            </w:r>
            <w:r w:rsidR="00D61A4B">
              <w:rPr>
                <w:noProof/>
                <w:webHidden/>
              </w:rPr>
              <w:tab/>
            </w:r>
            <w:r w:rsidR="00D61A4B">
              <w:rPr>
                <w:noProof/>
                <w:webHidden/>
              </w:rPr>
              <w:fldChar w:fldCharType="begin"/>
            </w:r>
            <w:r w:rsidR="00D61A4B">
              <w:rPr>
                <w:noProof/>
                <w:webHidden/>
              </w:rPr>
              <w:instrText xml:space="preserve"> PAGEREF _Toc58497311 \h </w:instrText>
            </w:r>
            <w:r w:rsidR="00D61A4B">
              <w:rPr>
                <w:noProof/>
                <w:webHidden/>
              </w:rPr>
            </w:r>
            <w:r w:rsidR="00D61A4B">
              <w:rPr>
                <w:noProof/>
                <w:webHidden/>
              </w:rPr>
              <w:fldChar w:fldCharType="separate"/>
            </w:r>
            <w:r>
              <w:rPr>
                <w:noProof/>
                <w:webHidden/>
              </w:rPr>
              <w:t>10</w:t>
            </w:r>
            <w:r w:rsidR="00D61A4B">
              <w:rPr>
                <w:noProof/>
                <w:webHidden/>
              </w:rPr>
              <w:fldChar w:fldCharType="end"/>
            </w:r>
          </w:hyperlink>
        </w:p>
        <w:p w14:paraId="1777B321" w14:textId="1D2A1D3A" w:rsidR="00D61A4B" w:rsidRDefault="00C11607">
          <w:pPr>
            <w:pStyle w:val="TOC1"/>
            <w:rPr>
              <w:rFonts w:asciiTheme="minorHAnsi" w:eastAsiaTheme="minorEastAsia" w:hAnsiTheme="minorHAnsi"/>
              <w:b w:val="0"/>
              <w:caps w:val="0"/>
              <w:noProof/>
              <w:sz w:val="22"/>
              <w:szCs w:val="22"/>
              <w:lang w:eastAsia="en-AU"/>
            </w:rPr>
          </w:pPr>
          <w:hyperlink w:anchor="_Toc58497312" w:history="1">
            <w:r w:rsidR="00D61A4B" w:rsidRPr="00D36D20">
              <w:rPr>
                <w:rStyle w:val="Hyperlink"/>
                <w:noProof/>
              </w:rPr>
              <w:t>III.</w:t>
            </w:r>
            <w:r w:rsidR="00D61A4B">
              <w:rPr>
                <w:rFonts w:asciiTheme="minorHAnsi" w:eastAsiaTheme="minorEastAsia" w:hAnsiTheme="minorHAnsi"/>
                <w:b w:val="0"/>
                <w:caps w:val="0"/>
                <w:noProof/>
                <w:sz w:val="22"/>
                <w:szCs w:val="22"/>
                <w:lang w:eastAsia="en-AU"/>
              </w:rPr>
              <w:tab/>
            </w:r>
            <w:r w:rsidR="00D61A4B" w:rsidRPr="00D36D20">
              <w:rPr>
                <w:rStyle w:val="Hyperlink"/>
                <w:noProof/>
              </w:rPr>
              <w:t>export subsidies</w:t>
            </w:r>
            <w:r w:rsidR="00D61A4B">
              <w:rPr>
                <w:noProof/>
                <w:webHidden/>
              </w:rPr>
              <w:tab/>
            </w:r>
            <w:r w:rsidR="00D61A4B">
              <w:rPr>
                <w:noProof/>
                <w:webHidden/>
              </w:rPr>
              <w:fldChar w:fldCharType="begin"/>
            </w:r>
            <w:r w:rsidR="00D61A4B">
              <w:rPr>
                <w:noProof/>
                <w:webHidden/>
              </w:rPr>
              <w:instrText xml:space="preserve"> PAGEREF _Toc58497312 \h </w:instrText>
            </w:r>
            <w:r w:rsidR="00D61A4B">
              <w:rPr>
                <w:noProof/>
                <w:webHidden/>
              </w:rPr>
            </w:r>
            <w:r w:rsidR="00D61A4B">
              <w:rPr>
                <w:noProof/>
                <w:webHidden/>
              </w:rPr>
              <w:fldChar w:fldCharType="separate"/>
            </w:r>
            <w:r>
              <w:rPr>
                <w:noProof/>
                <w:webHidden/>
              </w:rPr>
              <w:t>14</w:t>
            </w:r>
            <w:r w:rsidR="00D61A4B">
              <w:rPr>
                <w:noProof/>
                <w:webHidden/>
              </w:rPr>
              <w:fldChar w:fldCharType="end"/>
            </w:r>
          </w:hyperlink>
        </w:p>
        <w:p w14:paraId="661FC078" w14:textId="3FD9DE4A" w:rsidR="00D61A4B" w:rsidRDefault="00C11607">
          <w:pPr>
            <w:pStyle w:val="TOC2"/>
            <w:rPr>
              <w:rFonts w:asciiTheme="minorHAnsi" w:eastAsiaTheme="minorEastAsia" w:hAnsiTheme="minorHAnsi"/>
              <w:b w:val="0"/>
              <w:smallCaps w:val="0"/>
              <w:noProof/>
              <w:sz w:val="22"/>
              <w:szCs w:val="22"/>
              <w:lang w:eastAsia="en-AU"/>
            </w:rPr>
          </w:pPr>
          <w:hyperlink w:anchor="_Toc58497313" w:history="1">
            <w:r w:rsidR="00D61A4B" w:rsidRPr="00D36D20">
              <w:rPr>
                <w:rStyle w:val="Hyperlink"/>
                <w:noProof/>
              </w:rPr>
              <w:t>A.</w:t>
            </w:r>
            <w:r w:rsidR="00D61A4B">
              <w:rPr>
                <w:rFonts w:asciiTheme="minorHAnsi" w:eastAsiaTheme="minorEastAsia" w:hAnsiTheme="minorHAnsi"/>
                <w:b w:val="0"/>
                <w:smallCaps w:val="0"/>
                <w:noProof/>
                <w:sz w:val="22"/>
                <w:szCs w:val="22"/>
                <w:lang w:eastAsia="en-AU"/>
              </w:rPr>
              <w:tab/>
            </w:r>
            <w:r w:rsidR="00D61A4B" w:rsidRPr="00D36D20">
              <w:rPr>
                <w:rStyle w:val="Hyperlink"/>
                <w:noProof/>
              </w:rPr>
              <w:t>Indian Sugar Mills are Required to Export Sugar to be Eligible to Receive Assistance under India's Production Subsidies, Buffer Stock Subsidies and MAEQ Scheme</w:t>
            </w:r>
            <w:r w:rsidR="00D61A4B">
              <w:rPr>
                <w:noProof/>
                <w:webHidden/>
              </w:rPr>
              <w:tab/>
            </w:r>
            <w:r w:rsidR="00D61A4B">
              <w:rPr>
                <w:noProof/>
                <w:webHidden/>
              </w:rPr>
              <w:fldChar w:fldCharType="begin"/>
            </w:r>
            <w:r w:rsidR="00D61A4B">
              <w:rPr>
                <w:noProof/>
                <w:webHidden/>
              </w:rPr>
              <w:instrText xml:space="preserve"> PAGEREF _Toc58497313 \h </w:instrText>
            </w:r>
            <w:r w:rsidR="00D61A4B">
              <w:rPr>
                <w:noProof/>
                <w:webHidden/>
              </w:rPr>
            </w:r>
            <w:r w:rsidR="00D61A4B">
              <w:rPr>
                <w:noProof/>
                <w:webHidden/>
              </w:rPr>
              <w:fldChar w:fldCharType="separate"/>
            </w:r>
            <w:r>
              <w:rPr>
                <w:noProof/>
                <w:webHidden/>
              </w:rPr>
              <w:t>14</w:t>
            </w:r>
            <w:r w:rsidR="00D61A4B">
              <w:rPr>
                <w:noProof/>
                <w:webHidden/>
              </w:rPr>
              <w:fldChar w:fldCharType="end"/>
            </w:r>
          </w:hyperlink>
        </w:p>
        <w:p w14:paraId="6B27A05F" w14:textId="1D4D8A6F" w:rsidR="00D61A4B" w:rsidRDefault="00C11607">
          <w:pPr>
            <w:pStyle w:val="TOC2"/>
            <w:rPr>
              <w:rFonts w:asciiTheme="minorHAnsi" w:eastAsiaTheme="minorEastAsia" w:hAnsiTheme="minorHAnsi"/>
              <w:b w:val="0"/>
              <w:smallCaps w:val="0"/>
              <w:noProof/>
              <w:sz w:val="22"/>
              <w:szCs w:val="22"/>
              <w:lang w:eastAsia="en-AU"/>
            </w:rPr>
          </w:pPr>
          <w:hyperlink w:anchor="_Toc58497314" w:history="1">
            <w:r w:rsidR="00D61A4B" w:rsidRPr="00D36D20">
              <w:rPr>
                <w:rStyle w:val="Hyperlink"/>
                <w:noProof/>
              </w:rPr>
              <w:t>B.</w:t>
            </w:r>
            <w:r w:rsidR="00D61A4B">
              <w:rPr>
                <w:rFonts w:asciiTheme="minorHAnsi" w:eastAsiaTheme="minorEastAsia" w:hAnsiTheme="minorHAnsi"/>
                <w:b w:val="0"/>
                <w:smallCaps w:val="0"/>
                <w:noProof/>
                <w:sz w:val="22"/>
                <w:szCs w:val="22"/>
                <w:lang w:eastAsia="en-AU"/>
              </w:rPr>
              <w:tab/>
            </w:r>
            <w:r w:rsidR="00D61A4B" w:rsidRPr="00D36D20">
              <w:rPr>
                <w:rStyle w:val="Hyperlink"/>
                <w:noProof/>
              </w:rPr>
              <w:t>The MAEQ Scheme is Within the Panel's Terms of Reference</w:t>
            </w:r>
            <w:r w:rsidR="00D61A4B">
              <w:rPr>
                <w:noProof/>
                <w:webHidden/>
              </w:rPr>
              <w:tab/>
            </w:r>
            <w:r w:rsidR="00D61A4B">
              <w:rPr>
                <w:noProof/>
                <w:webHidden/>
              </w:rPr>
              <w:fldChar w:fldCharType="begin"/>
            </w:r>
            <w:r w:rsidR="00D61A4B">
              <w:rPr>
                <w:noProof/>
                <w:webHidden/>
              </w:rPr>
              <w:instrText xml:space="preserve"> PAGEREF _Toc58497314 \h </w:instrText>
            </w:r>
            <w:r w:rsidR="00D61A4B">
              <w:rPr>
                <w:noProof/>
                <w:webHidden/>
              </w:rPr>
            </w:r>
            <w:r w:rsidR="00D61A4B">
              <w:rPr>
                <w:noProof/>
                <w:webHidden/>
              </w:rPr>
              <w:fldChar w:fldCharType="separate"/>
            </w:r>
            <w:r>
              <w:rPr>
                <w:noProof/>
                <w:webHidden/>
              </w:rPr>
              <w:t>17</w:t>
            </w:r>
            <w:r w:rsidR="00D61A4B">
              <w:rPr>
                <w:noProof/>
                <w:webHidden/>
              </w:rPr>
              <w:fldChar w:fldCharType="end"/>
            </w:r>
          </w:hyperlink>
        </w:p>
        <w:p w14:paraId="6A40421D" w14:textId="07CCF2C9" w:rsidR="00D61A4B" w:rsidRDefault="00C11607">
          <w:pPr>
            <w:pStyle w:val="TOC2"/>
            <w:rPr>
              <w:rFonts w:asciiTheme="minorHAnsi" w:eastAsiaTheme="minorEastAsia" w:hAnsiTheme="minorHAnsi"/>
              <w:b w:val="0"/>
              <w:smallCaps w:val="0"/>
              <w:noProof/>
              <w:sz w:val="22"/>
              <w:szCs w:val="22"/>
              <w:lang w:eastAsia="en-AU"/>
            </w:rPr>
          </w:pPr>
          <w:hyperlink w:anchor="_Toc58497315" w:history="1">
            <w:r w:rsidR="00D61A4B" w:rsidRPr="00D36D20">
              <w:rPr>
                <w:rStyle w:val="Hyperlink"/>
                <w:noProof/>
              </w:rPr>
              <w:t>C.</w:t>
            </w:r>
            <w:r w:rsidR="00D61A4B">
              <w:rPr>
                <w:rFonts w:asciiTheme="minorHAnsi" w:eastAsiaTheme="minorEastAsia" w:hAnsiTheme="minorHAnsi"/>
                <w:b w:val="0"/>
                <w:smallCaps w:val="0"/>
                <w:noProof/>
                <w:sz w:val="22"/>
                <w:szCs w:val="22"/>
                <w:lang w:eastAsia="en-AU"/>
              </w:rPr>
              <w:tab/>
            </w:r>
            <w:r w:rsidR="00D61A4B" w:rsidRPr="00D36D20">
              <w:rPr>
                <w:rStyle w:val="Hyperlink"/>
                <w:noProof/>
              </w:rPr>
              <w:t>The Panel should Reject India's Legal Arguments</w:t>
            </w:r>
            <w:r w:rsidR="00D61A4B">
              <w:rPr>
                <w:noProof/>
                <w:webHidden/>
              </w:rPr>
              <w:tab/>
            </w:r>
            <w:r w:rsidR="00D61A4B">
              <w:rPr>
                <w:noProof/>
                <w:webHidden/>
              </w:rPr>
              <w:fldChar w:fldCharType="begin"/>
            </w:r>
            <w:r w:rsidR="00D61A4B">
              <w:rPr>
                <w:noProof/>
                <w:webHidden/>
              </w:rPr>
              <w:instrText xml:space="preserve"> PAGEREF _Toc58497315 \h </w:instrText>
            </w:r>
            <w:r w:rsidR="00D61A4B">
              <w:rPr>
                <w:noProof/>
                <w:webHidden/>
              </w:rPr>
            </w:r>
            <w:r w:rsidR="00D61A4B">
              <w:rPr>
                <w:noProof/>
                <w:webHidden/>
              </w:rPr>
              <w:fldChar w:fldCharType="separate"/>
            </w:r>
            <w:r>
              <w:rPr>
                <w:noProof/>
                <w:webHidden/>
              </w:rPr>
              <w:t>19</w:t>
            </w:r>
            <w:r w:rsidR="00D61A4B">
              <w:rPr>
                <w:noProof/>
                <w:webHidden/>
              </w:rPr>
              <w:fldChar w:fldCharType="end"/>
            </w:r>
          </w:hyperlink>
        </w:p>
        <w:p w14:paraId="3E353810" w14:textId="4FE73765" w:rsidR="00D61A4B" w:rsidRDefault="00C11607">
          <w:pPr>
            <w:pStyle w:val="TOC3"/>
            <w:rPr>
              <w:rFonts w:asciiTheme="minorHAnsi" w:eastAsiaTheme="minorEastAsia" w:hAnsiTheme="minorHAnsi"/>
              <w:b w:val="0"/>
              <w:noProof/>
              <w:sz w:val="22"/>
              <w:szCs w:val="22"/>
              <w:lang w:eastAsia="en-AU"/>
            </w:rPr>
          </w:pPr>
          <w:hyperlink w:anchor="_Toc58497316" w:history="1">
            <w:r w:rsidR="00D61A4B" w:rsidRPr="00D36D20">
              <w:rPr>
                <w:rStyle w:val="Hyperlink"/>
                <w:noProof/>
              </w:rPr>
              <w:t>1.</w:t>
            </w:r>
            <w:r w:rsidR="00D61A4B">
              <w:rPr>
                <w:rFonts w:asciiTheme="minorHAnsi" w:eastAsiaTheme="minorEastAsia" w:hAnsiTheme="minorHAnsi"/>
                <w:b w:val="0"/>
                <w:noProof/>
                <w:sz w:val="22"/>
                <w:szCs w:val="22"/>
                <w:lang w:eastAsia="en-AU"/>
              </w:rPr>
              <w:tab/>
            </w:r>
            <w:r w:rsidR="00D61A4B" w:rsidRPr="00D36D20">
              <w:rPr>
                <w:rStyle w:val="Hyperlink"/>
                <w:noProof/>
              </w:rPr>
              <w:t>Australia is not required to provide evidence of actual disbursements or payments to establish the existence of a subsidy</w:t>
            </w:r>
            <w:r w:rsidR="00D61A4B">
              <w:rPr>
                <w:noProof/>
                <w:webHidden/>
              </w:rPr>
              <w:tab/>
            </w:r>
            <w:r w:rsidR="00D61A4B">
              <w:rPr>
                <w:noProof/>
                <w:webHidden/>
              </w:rPr>
              <w:fldChar w:fldCharType="begin"/>
            </w:r>
            <w:r w:rsidR="00D61A4B">
              <w:rPr>
                <w:noProof/>
                <w:webHidden/>
              </w:rPr>
              <w:instrText xml:space="preserve"> PAGEREF _Toc58497316 \h </w:instrText>
            </w:r>
            <w:r w:rsidR="00D61A4B">
              <w:rPr>
                <w:noProof/>
                <w:webHidden/>
              </w:rPr>
            </w:r>
            <w:r w:rsidR="00D61A4B">
              <w:rPr>
                <w:noProof/>
                <w:webHidden/>
              </w:rPr>
              <w:fldChar w:fldCharType="separate"/>
            </w:r>
            <w:r>
              <w:rPr>
                <w:noProof/>
                <w:webHidden/>
              </w:rPr>
              <w:t>19</w:t>
            </w:r>
            <w:r w:rsidR="00D61A4B">
              <w:rPr>
                <w:noProof/>
                <w:webHidden/>
              </w:rPr>
              <w:fldChar w:fldCharType="end"/>
            </w:r>
          </w:hyperlink>
        </w:p>
        <w:p w14:paraId="1AB49C60" w14:textId="18488682" w:rsidR="00D61A4B" w:rsidRDefault="00C11607">
          <w:pPr>
            <w:pStyle w:val="TOC3"/>
            <w:rPr>
              <w:rFonts w:asciiTheme="minorHAnsi" w:eastAsiaTheme="minorEastAsia" w:hAnsiTheme="minorHAnsi"/>
              <w:b w:val="0"/>
              <w:noProof/>
              <w:sz w:val="22"/>
              <w:szCs w:val="22"/>
              <w:lang w:eastAsia="en-AU"/>
            </w:rPr>
          </w:pPr>
          <w:hyperlink w:anchor="_Toc58497317" w:history="1">
            <w:r w:rsidR="00D61A4B" w:rsidRPr="00D36D20">
              <w:rPr>
                <w:rStyle w:val="Hyperlink"/>
                <w:noProof/>
              </w:rPr>
              <w:t>2.</w:t>
            </w:r>
            <w:r w:rsidR="00D61A4B">
              <w:rPr>
                <w:rFonts w:asciiTheme="minorHAnsi" w:eastAsiaTheme="minorEastAsia" w:hAnsiTheme="minorHAnsi"/>
                <w:b w:val="0"/>
                <w:noProof/>
                <w:sz w:val="22"/>
                <w:szCs w:val="22"/>
                <w:lang w:eastAsia="en-AU"/>
              </w:rPr>
              <w:tab/>
            </w:r>
            <w:r w:rsidR="00D61A4B" w:rsidRPr="00D36D20">
              <w:rPr>
                <w:rStyle w:val="Hyperlink"/>
                <w:noProof/>
              </w:rPr>
              <w:t>India has not established a defence under Article 9.4 of the Agreement on Agriculture</w:t>
            </w:r>
            <w:r w:rsidR="00D61A4B">
              <w:rPr>
                <w:noProof/>
                <w:webHidden/>
              </w:rPr>
              <w:tab/>
            </w:r>
            <w:r w:rsidR="00D61A4B">
              <w:rPr>
                <w:noProof/>
                <w:webHidden/>
              </w:rPr>
              <w:fldChar w:fldCharType="begin"/>
            </w:r>
            <w:r w:rsidR="00D61A4B">
              <w:rPr>
                <w:noProof/>
                <w:webHidden/>
              </w:rPr>
              <w:instrText xml:space="preserve"> PAGEREF _Toc58497317 \h </w:instrText>
            </w:r>
            <w:r w:rsidR="00D61A4B">
              <w:rPr>
                <w:noProof/>
                <w:webHidden/>
              </w:rPr>
            </w:r>
            <w:r w:rsidR="00D61A4B">
              <w:rPr>
                <w:noProof/>
                <w:webHidden/>
              </w:rPr>
              <w:fldChar w:fldCharType="separate"/>
            </w:r>
            <w:r>
              <w:rPr>
                <w:noProof/>
                <w:webHidden/>
              </w:rPr>
              <w:t>21</w:t>
            </w:r>
            <w:r w:rsidR="00D61A4B">
              <w:rPr>
                <w:noProof/>
                <w:webHidden/>
              </w:rPr>
              <w:fldChar w:fldCharType="end"/>
            </w:r>
          </w:hyperlink>
        </w:p>
        <w:p w14:paraId="1DDFCB32" w14:textId="53382F4D" w:rsidR="00D61A4B" w:rsidRDefault="00C11607">
          <w:pPr>
            <w:pStyle w:val="TOC3"/>
            <w:rPr>
              <w:rFonts w:asciiTheme="minorHAnsi" w:eastAsiaTheme="minorEastAsia" w:hAnsiTheme="minorHAnsi"/>
              <w:b w:val="0"/>
              <w:noProof/>
              <w:sz w:val="22"/>
              <w:szCs w:val="22"/>
              <w:lang w:eastAsia="en-AU"/>
            </w:rPr>
          </w:pPr>
          <w:hyperlink w:anchor="_Toc58497318" w:history="1">
            <w:r w:rsidR="00D61A4B" w:rsidRPr="00D36D20">
              <w:rPr>
                <w:rStyle w:val="Hyperlink"/>
                <w:noProof/>
              </w:rPr>
              <w:t>3.</w:t>
            </w:r>
            <w:r w:rsidR="00D61A4B">
              <w:rPr>
                <w:rFonts w:asciiTheme="minorHAnsi" w:eastAsiaTheme="minorEastAsia" w:hAnsiTheme="minorHAnsi"/>
                <w:b w:val="0"/>
                <w:noProof/>
                <w:sz w:val="22"/>
                <w:szCs w:val="22"/>
                <w:lang w:eastAsia="en-AU"/>
              </w:rPr>
              <w:tab/>
            </w:r>
            <w:r w:rsidR="00D61A4B" w:rsidRPr="00D36D20">
              <w:rPr>
                <w:rStyle w:val="Hyperlink"/>
                <w:noProof/>
              </w:rPr>
              <w:t>India is not exempt from the prohibition on export subsidies under Article 3 of the SCM Agreement</w:t>
            </w:r>
            <w:r w:rsidR="00D61A4B">
              <w:rPr>
                <w:noProof/>
                <w:webHidden/>
              </w:rPr>
              <w:tab/>
            </w:r>
            <w:r w:rsidR="00D61A4B">
              <w:rPr>
                <w:noProof/>
                <w:webHidden/>
              </w:rPr>
              <w:fldChar w:fldCharType="begin"/>
            </w:r>
            <w:r w:rsidR="00D61A4B">
              <w:rPr>
                <w:noProof/>
                <w:webHidden/>
              </w:rPr>
              <w:instrText xml:space="preserve"> PAGEREF _Toc58497318 \h </w:instrText>
            </w:r>
            <w:r w:rsidR="00D61A4B">
              <w:rPr>
                <w:noProof/>
                <w:webHidden/>
              </w:rPr>
            </w:r>
            <w:r w:rsidR="00D61A4B">
              <w:rPr>
                <w:noProof/>
                <w:webHidden/>
              </w:rPr>
              <w:fldChar w:fldCharType="separate"/>
            </w:r>
            <w:r>
              <w:rPr>
                <w:noProof/>
                <w:webHidden/>
              </w:rPr>
              <w:t>23</w:t>
            </w:r>
            <w:r w:rsidR="00D61A4B">
              <w:rPr>
                <w:noProof/>
                <w:webHidden/>
              </w:rPr>
              <w:fldChar w:fldCharType="end"/>
            </w:r>
          </w:hyperlink>
        </w:p>
        <w:p w14:paraId="2D82F91C" w14:textId="77A8F747" w:rsidR="00D61A4B" w:rsidRDefault="00C11607">
          <w:pPr>
            <w:pStyle w:val="TOC1"/>
            <w:rPr>
              <w:rFonts w:asciiTheme="minorHAnsi" w:eastAsiaTheme="minorEastAsia" w:hAnsiTheme="minorHAnsi"/>
              <w:b w:val="0"/>
              <w:caps w:val="0"/>
              <w:noProof/>
              <w:sz w:val="22"/>
              <w:szCs w:val="22"/>
              <w:lang w:eastAsia="en-AU"/>
            </w:rPr>
          </w:pPr>
          <w:hyperlink w:anchor="_Toc58497319" w:history="1">
            <w:r w:rsidR="00D61A4B" w:rsidRPr="00D36D20">
              <w:rPr>
                <w:rStyle w:val="Hyperlink"/>
                <w:noProof/>
              </w:rPr>
              <w:t>IV.</w:t>
            </w:r>
            <w:r w:rsidR="00D61A4B">
              <w:rPr>
                <w:rFonts w:asciiTheme="minorHAnsi" w:eastAsiaTheme="minorEastAsia" w:hAnsiTheme="minorHAnsi"/>
                <w:b w:val="0"/>
                <w:caps w:val="0"/>
                <w:noProof/>
                <w:sz w:val="22"/>
                <w:szCs w:val="22"/>
                <w:lang w:eastAsia="en-AU"/>
              </w:rPr>
              <w:tab/>
            </w:r>
            <w:r w:rsidR="00D61A4B" w:rsidRPr="00D36D20">
              <w:rPr>
                <w:rStyle w:val="Hyperlink"/>
                <w:noProof/>
              </w:rPr>
              <w:t>conclusion</w:t>
            </w:r>
            <w:r w:rsidR="00D61A4B">
              <w:rPr>
                <w:noProof/>
                <w:webHidden/>
              </w:rPr>
              <w:tab/>
            </w:r>
            <w:r w:rsidR="00D61A4B">
              <w:rPr>
                <w:noProof/>
                <w:webHidden/>
              </w:rPr>
              <w:fldChar w:fldCharType="begin"/>
            </w:r>
            <w:r w:rsidR="00D61A4B">
              <w:rPr>
                <w:noProof/>
                <w:webHidden/>
              </w:rPr>
              <w:instrText xml:space="preserve"> PAGEREF _Toc58497319 \h </w:instrText>
            </w:r>
            <w:r w:rsidR="00D61A4B">
              <w:rPr>
                <w:noProof/>
                <w:webHidden/>
              </w:rPr>
            </w:r>
            <w:r w:rsidR="00D61A4B">
              <w:rPr>
                <w:noProof/>
                <w:webHidden/>
              </w:rPr>
              <w:fldChar w:fldCharType="separate"/>
            </w:r>
            <w:r>
              <w:rPr>
                <w:noProof/>
                <w:webHidden/>
              </w:rPr>
              <w:t>24</w:t>
            </w:r>
            <w:r w:rsidR="00D61A4B">
              <w:rPr>
                <w:noProof/>
                <w:webHidden/>
              </w:rPr>
              <w:fldChar w:fldCharType="end"/>
            </w:r>
          </w:hyperlink>
        </w:p>
        <w:p w14:paraId="4C8A73EF" w14:textId="149B66A4"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768E8345" w14:textId="77777777" w:rsidR="004D7079" w:rsidRPr="0007327B" w:rsidRDefault="004D7079" w:rsidP="004D7079">
      <w:pPr>
        <w:pStyle w:val="BTNSSBodyTextNoSpacingSmall"/>
      </w:pPr>
    </w:p>
    <w:p w14:paraId="79A87AB7" w14:textId="77777777" w:rsidR="00A2231B" w:rsidRDefault="00A2231B">
      <w:pPr>
        <w:rPr>
          <w:rFonts w:eastAsiaTheme="majorEastAsia" w:cstheme="majorBidi"/>
          <w:b/>
          <w:caps/>
          <w:szCs w:val="32"/>
        </w:rPr>
      </w:pPr>
      <w:r>
        <w:br w:type="page"/>
      </w:r>
    </w:p>
    <w:p w14:paraId="544EDA0A" w14:textId="29F6BC74" w:rsidR="00F945DB" w:rsidRPr="00135C6E" w:rsidRDefault="00F945DB" w:rsidP="00C73188">
      <w:pPr>
        <w:pStyle w:val="SHSectionHeading"/>
      </w:pPr>
      <w:bookmarkStart w:id="2" w:name="_Toc58497304"/>
      <w:r w:rsidRPr="0007327B">
        <w:lastRenderedPageBreak/>
        <w:t>Table of Cases</w:t>
      </w:r>
      <w:bookmarkEnd w:id="2"/>
    </w:p>
    <w:tbl>
      <w:tblPr>
        <w:tblStyle w:val="TableGrid"/>
        <w:tblW w:w="5000" w:type="pct"/>
        <w:tblLook w:val="04A0" w:firstRow="1" w:lastRow="0" w:firstColumn="1" w:lastColumn="0" w:noHBand="0" w:noVBand="1"/>
      </w:tblPr>
      <w:tblGrid>
        <w:gridCol w:w="2265"/>
        <w:gridCol w:w="6795"/>
      </w:tblGrid>
      <w:tr w:rsidR="008A1191" w:rsidRPr="0007327B" w14:paraId="38869E18" w14:textId="77777777" w:rsidTr="008A4C51">
        <w:trPr>
          <w:cantSplit/>
          <w:trHeight w:val="397"/>
          <w:tblHeader/>
        </w:trPr>
        <w:tc>
          <w:tcPr>
            <w:tcW w:w="2265" w:type="dxa"/>
            <w:shd w:val="clear" w:color="auto" w:fill="D9D9D9" w:themeFill="background1" w:themeFillShade="D9"/>
          </w:tcPr>
          <w:p w14:paraId="700F81BB" w14:textId="77777777" w:rsidR="008A1191" w:rsidRPr="0007327B" w:rsidRDefault="008A1191" w:rsidP="008A4C51">
            <w:pPr>
              <w:pStyle w:val="THTableHeading"/>
              <w:jc w:val="center"/>
            </w:pPr>
            <w:r w:rsidRPr="0007327B">
              <w:t>Short Title</w:t>
            </w:r>
          </w:p>
        </w:tc>
        <w:tc>
          <w:tcPr>
            <w:tcW w:w="6795" w:type="dxa"/>
            <w:shd w:val="clear" w:color="auto" w:fill="D9D9D9" w:themeFill="background1" w:themeFillShade="D9"/>
          </w:tcPr>
          <w:p w14:paraId="1DF0C372" w14:textId="77777777" w:rsidR="008A1191" w:rsidRPr="0007327B" w:rsidRDefault="008A1191" w:rsidP="008A4C51">
            <w:pPr>
              <w:pStyle w:val="THTableHeading"/>
              <w:jc w:val="center"/>
            </w:pPr>
            <w:r w:rsidRPr="0007327B">
              <w:t>Full Case Title and Citation</w:t>
            </w:r>
          </w:p>
        </w:tc>
      </w:tr>
      <w:tr w:rsidR="003A3FC2" w:rsidRPr="0007327B" w14:paraId="477CF630" w14:textId="77777777" w:rsidTr="008A4C51">
        <w:trPr>
          <w:cantSplit/>
          <w:trHeight w:val="397"/>
        </w:trPr>
        <w:tc>
          <w:tcPr>
            <w:tcW w:w="2265" w:type="dxa"/>
          </w:tcPr>
          <w:p w14:paraId="1F6BC29B" w14:textId="55B86F05" w:rsidR="003A3FC2" w:rsidRPr="0007327B" w:rsidRDefault="003A3FC2" w:rsidP="003A3FC2">
            <w:pPr>
              <w:pStyle w:val="TTTableText"/>
            </w:pPr>
            <w:r>
              <w:rPr>
                <w:i/>
              </w:rPr>
              <w:t xml:space="preserve">Argentina – Textiles and Apparel </w:t>
            </w:r>
          </w:p>
        </w:tc>
        <w:tc>
          <w:tcPr>
            <w:tcW w:w="6795" w:type="dxa"/>
          </w:tcPr>
          <w:p w14:paraId="04157D84" w14:textId="31073982" w:rsidR="003A3FC2" w:rsidRPr="0007327B" w:rsidRDefault="003A3FC2" w:rsidP="003A3FC2">
            <w:pPr>
              <w:pStyle w:val="TTTableText"/>
            </w:pPr>
            <w:bookmarkStart w:id="3" w:name="_Hlk7181170"/>
            <w:r w:rsidRPr="00EC7187">
              <w:t>Panel Report, Argentina – Measures Affecting Imports of Footwear, Textiles, Apparel and Other Items, WT/DS56/R, adopted 22 April 1998, as modified by Appellate Body Report WT/DS56/AB/R, DSR 1998:III, p. 1033</w:t>
            </w:r>
            <w:bookmarkEnd w:id="3"/>
          </w:p>
        </w:tc>
      </w:tr>
      <w:tr w:rsidR="003A3FC2" w:rsidRPr="0007327B" w14:paraId="4A63E1CE" w14:textId="77777777" w:rsidTr="008A4C51">
        <w:trPr>
          <w:cantSplit/>
          <w:trHeight w:val="397"/>
        </w:trPr>
        <w:tc>
          <w:tcPr>
            <w:tcW w:w="2265" w:type="dxa"/>
          </w:tcPr>
          <w:p w14:paraId="1FFD62FC" w14:textId="6BF10F06" w:rsidR="003A3FC2" w:rsidRDefault="003A3FC2" w:rsidP="003A3FC2">
            <w:pPr>
              <w:pStyle w:val="TTTableText"/>
              <w:rPr>
                <w:i/>
              </w:rPr>
            </w:pPr>
            <w:r>
              <w:rPr>
                <w:i/>
              </w:rPr>
              <w:t>China – Agricultural Producers</w:t>
            </w:r>
          </w:p>
        </w:tc>
        <w:tc>
          <w:tcPr>
            <w:tcW w:w="6795" w:type="dxa"/>
          </w:tcPr>
          <w:p w14:paraId="56CB2554" w14:textId="5DC6B0F9" w:rsidR="003A3FC2" w:rsidRPr="006263C1" w:rsidRDefault="003A3FC2" w:rsidP="003A3FC2">
            <w:pPr>
              <w:pStyle w:val="TTTableText"/>
            </w:pPr>
            <w:r w:rsidRPr="006263C1">
              <w:t xml:space="preserve">Panel Report, </w:t>
            </w:r>
            <w:r w:rsidRPr="006263C1">
              <w:rPr>
                <w:i/>
              </w:rPr>
              <w:t>China – Domestic Support for Agricultural Producers</w:t>
            </w:r>
            <w:r w:rsidRPr="006263C1">
              <w:t xml:space="preserve">, </w:t>
            </w:r>
            <w:hyperlink r:id="rId11" w:history="1">
              <w:r w:rsidRPr="006263C1">
                <w:t>WT/DS511/R</w:t>
              </w:r>
            </w:hyperlink>
            <w:r w:rsidRPr="006263C1">
              <w:t xml:space="preserve"> and Add.1, adopted 26 April 2019</w:t>
            </w:r>
          </w:p>
        </w:tc>
      </w:tr>
      <w:tr w:rsidR="003A3FC2" w:rsidRPr="0007327B" w14:paraId="5FAB584F" w14:textId="77777777" w:rsidTr="008A4C51">
        <w:trPr>
          <w:cantSplit/>
          <w:trHeight w:val="397"/>
        </w:trPr>
        <w:tc>
          <w:tcPr>
            <w:tcW w:w="2265" w:type="dxa"/>
          </w:tcPr>
          <w:p w14:paraId="38B889B4" w14:textId="287AC0B9" w:rsidR="003A3FC2" w:rsidRDefault="003A3FC2" w:rsidP="003A3FC2">
            <w:pPr>
              <w:pStyle w:val="TTTableText"/>
              <w:rPr>
                <w:i/>
                <w:iCs/>
              </w:rPr>
            </w:pPr>
            <w:r>
              <w:rPr>
                <w:i/>
                <w:iCs/>
              </w:rPr>
              <w:t>European Communities – Hormones</w:t>
            </w:r>
          </w:p>
        </w:tc>
        <w:tc>
          <w:tcPr>
            <w:tcW w:w="6795" w:type="dxa"/>
          </w:tcPr>
          <w:p w14:paraId="1A879D54" w14:textId="57BCF175" w:rsidR="003A3FC2" w:rsidRPr="000C52B0" w:rsidRDefault="003A3FC2" w:rsidP="003A3FC2">
            <w:pPr>
              <w:pStyle w:val="TTTableText"/>
            </w:pPr>
            <w:r w:rsidRPr="00633019">
              <w:t xml:space="preserve">Appellate Body Report, </w:t>
            </w:r>
            <w:r w:rsidRPr="000D50BF">
              <w:rPr>
                <w:i/>
                <w:iCs/>
              </w:rPr>
              <w:t>European Communities – Measures Concerning Meat and Meat Products (Hormones),</w:t>
            </w:r>
            <w:r w:rsidRPr="00633019">
              <w:t xml:space="preserve"> WT/DS26/AB/R, WT/DS48/AB/R, adopted 13 February 1998, DSR 1998:I, p. 135</w:t>
            </w:r>
          </w:p>
        </w:tc>
      </w:tr>
      <w:tr w:rsidR="003A3FC2" w:rsidRPr="0007327B" w14:paraId="67FA9BAB" w14:textId="77777777" w:rsidTr="008A4C51">
        <w:trPr>
          <w:cantSplit/>
          <w:trHeight w:val="397"/>
        </w:trPr>
        <w:tc>
          <w:tcPr>
            <w:tcW w:w="2265" w:type="dxa"/>
          </w:tcPr>
          <w:p w14:paraId="74DA70F4" w14:textId="2A803366" w:rsidR="003A3FC2" w:rsidRDefault="003A3FC2" w:rsidP="003A3FC2">
            <w:pPr>
              <w:pStyle w:val="TTTableText"/>
              <w:rPr>
                <w:i/>
              </w:rPr>
            </w:pPr>
            <w:r>
              <w:rPr>
                <w:i/>
                <w:iCs/>
              </w:rPr>
              <w:t>India – Export Related Measures</w:t>
            </w:r>
          </w:p>
        </w:tc>
        <w:tc>
          <w:tcPr>
            <w:tcW w:w="6795" w:type="dxa"/>
          </w:tcPr>
          <w:p w14:paraId="7B2C27AA" w14:textId="312CDF0D" w:rsidR="003A3FC2" w:rsidRPr="006263C1" w:rsidRDefault="003A3FC2" w:rsidP="003A3FC2">
            <w:pPr>
              <w:pStyle w:val="TTTableText"/>
            </w:pPr>
            <w:r w:rsidRPr="000C52B0">
              <w:t xml:space="preserve">Panel Report, </w:t>
            </w:r>
            <w:r w:rsidRPr="00224575">
              <w:rPr>
                <w:i/>
                <w:iCs/>
              </w:rPr>
              <w:t>India – Export Related Measures</w:t>
            </w:r>
            <w:r w:rsidRPr="000C52B0">
              <w:t>, WT/DS541/R</w:t>
            </w:r>
            <w:r>
              <w:t xml:space="preserve"> and Add.1</w:t>
            </w:r>
            <w:r w:rsidRPr="000C52B0">
              <w:t>, circulated 31 October 2019</w:t>
            </w:r>
            <w:r>
              <w:t>, appealed 19 November 2019</w:t>
            </w:r>
          </w:p>
        </w:tc>
      </w:tr>
      <w:tr w:rsidR="003A3FC2" w:rsidRPr="0007327B" w14:paraId="5D449349" w14:textId="77777777" w:rsidTr="008A4C51">
        <w:trPr>
          <w:cantSplit/>
          <w:trHeight w:val="397"/>
        </w:trPr>
        <w:tc>
          <w:tcPr>
            <w:tcW w:w="2265" w:type="dxa"/>
          </w:tcPr>
          <w:p w14:paraId="66A19B15" w14:textId="352F3127" w:rsidR="003A3FC2" w:rsidRDefault="003A3FC2" w:rsidP="003A3FC2">
            <w:pPr>
              <w:pStyle w:val="TTTableText"/>
              <w:rPr>
                <w:i/>
                <w:iCs/>
                <w:szCs w:val="18"/>
              </w:rPr>
            </w:pPr>
            <w:r w:rsidRPr="00303165">
              <w:rPr>
                <w:i/>
                <w:iCs/>
              </w:rPr>
              <w:t>Korea – Various Measures on Beef</w:t>
            </w:r>
          </w:p>
        </w:tc>
        <w:tc>
          <w:tcPr>
            <w:tcW w:w="6795" w:type="dxa"/>
          </w:tcPr>
          <w:p w14:paraId="60C76A44" w14:textId="6E7D65D4" w:rsidR="003A3FC2" w:rsidRPr="006263C1" w:rsidRDefault="003A3FC2" w:rsidP="003A3FC2">
            <w:pPr>
              <w:pStyle w:val="TTTableText"/>
            </w:pPr>
            <w:r w:rsidRPr="00303165">
              <w:t xml:space="preserve">Appellate Body Report, </w:t>
            </w:r>
            <w:r w:rsidRPr="00F17C3A">
              <w:rPr>
                <w:i/>
                <w:iCs/>
              </w:rPr>
              <w:t>Korea – Measures Affecting Imports of Fresh, Chilled and Frozen Beef</w:t>
            </w:r>
            <w:r w:rsidRPr="00303165">
              <w:t>, WT/DS161/AB/R, WT/DS169/AB/R, adopted 10 January 2001, DSR 2001:I, p. 5</w:t>
            </w:r>
          </w:p>
        </w:tc>
      </w:tr>
      <w:tr w:rsidR="003A3FC2" w:rsidRPr="0007327B" w14:paraId="7BFF9393" w14:textId="77777777" w:rsidTr="008A4C51">
        <w:trPr>
          <w:cantSplit/>
          <w:trHeight w:val="397"/>
        </w:trPr>
        <w:tc>
          <w:tcPr>
            <w:tcW w:w="2265" w:type="dxa"/>
          </w:tcPr>
          <w:p w14:paraId="1A209E8E" w14:textId="7C5CC23F" w:rsidR="003A3FC2" w:rsidRDefault="003A3FC2" w:rsidP="003A3FC2">
            <w:pPr>
              <w:pStyle w:val="TTTableText"/>
              <w:rPr>
                <w:i/>
                <w:iCs/>
                <w:szCs w:val="18"/>
              </w:rPr>
            </w:pPr>
            <w:r w:rsidRPr="009E5E23">
              <w:rPr>
                <w:i/>
                <w:iCs/>
                <w:szCs w:val="18"/>
              </w:rPr>
              <w:t>Korea – Various Measures on Beef</w:t>
            </w:r>
          </w:p>
        </w:tc>
        <w:tc>
          <w:tcPr>
            <w:tcW w:w="6795" w:type="dxa"/>
          </w:tcPr>
          <w:p w14:paraId="706F6195" w14:textId="0D94F522" w:rsidR="003A3FC2" w:rsidRPr="006263C1" w:rsidRDefault="003A3FC2" w:rsidP="003A3FC2">
            <w:pPr>
              <w:pStyle w:val="TTTableText"/>
            </w:pPr>
            <w:r w:rsidRPr="006263C1">
              <w:t xml:space="preserve">Panel Report, </w:t>
            </w:r>
            <w:r w:rsidRPr="006263C1">
              <w:rPr>
                <w:i/>
              </w:rPr>
              <w:t>Korea – Measures Affecting Imports of Fresh, Chilled and Frozen Beef</w:t>
            </w:r>
            <w:r w:rsidRPr="006263C1">
              <w:t xml:space="preserve">, </w:t>
            </w:r>
            <w:hyperlink r:id="rId12" w:history="1">
              <w:r w:rsidRPr="006263C1">
                <w:t>WT/DS161/R</w:t>
              </w:r>
            </w:hyperlink>
            <w:r w:rsidRPr="006263C1">
              <w:t xml:space="preserve">, </w:t>
            </w:r>
            <w:hyperlink r:id="rId13" w:history="1">
              <w:r w:rsidRPr="006263C1">
                <w:t>WT/DS169/R</w:t>
              </w:r>
            </w:hyperlink>
            <w:r w:rsidRPr="006263C1">
              <w:t>, adopted 10 January 2001, as modified by Appellate Body Report WT/DS161/AB/R, WT/DS169/AB/R, DSR 2001:I, p. 59</w:t>
            </w:r>
          </w:p>
        </w:tc>
      </w:tr>
      <w:tr w:rsidR="003A3FC2" w:rsidRPr="0007327B" w14:paraId="2B4A7C92" w14:textId="77777777" w:rsidTr="008A4C51">
        <w:trPr>
          <w:cantSplit/>
          <w:trHeight w:val="397"/>
        </w:trPr>
        <w:tc>
          <w:tcPr>
            <w:tcW w:w="2265" w:type="dxa"/>
          </w:tcPr>
          <w:p w14:paraId="3383F34A" w14:textId="29DDF8FB" w:rsidR="003A3FC2" w:rsidRDefault="003A3FC2" w:rsidP="003A3FC2">
            <w:pPr>
              <w:pStyle w:val="TTTableText"/>
              <w:rPr>
                <w:i/>
                <w:iCs/>
                <w:szCs w:val="18"/>
              </w:rPr>
            </w:pPr>
            <w:r>
              <w:rPr>
                <w:i/>
              </w:rPr>
              <w:t xml:space="preserve">Turkey </w:t>
            </w:r>
            <w:r w:rsidR="00BF6573" w:rsidRPr="00BF6573">
              <w:rPr>
                <w:i/>
              </w:rPr>
              <w:t xml:space="preserve">– </w:t>
            </w:r>
            <w:r>
              <w:rPr>
                <w:i/>
              </w:rPr>
              <w:t>Textiles</w:t>
            </w:r>
          </w:p>
        </w:tc>
        <w:tc>
          <w:tcPr>
            <w:tcW w:w="6795" w:type="dxa"/>
          </w:tcPr>
          <w:p w14:paraId="68193D1D" w14:textId="03586A28" w:rsidR="003A3FC2" w:rsidRPr="006263C1" w:rsidRDefault="003A3FC2" w:rsidP="003A3FC2">
            <w:pPr>
              <w:pStyle w:val="TTTableText"/>
            </w:pPr>
            <w:r w:rsidRPr="00EC7187">
              <w:t xml:space="preserve">Panel Report, </w:t>
            </w:r>
            <w:r w:rsidRPr="00224575">
              <w:rPr>
                <w:i/>
                <w:iCs/>
              </w:rPr>
              <w:t>Turkey – Restrictions on Imports of Textile and Clothing Products</w:t>
            </w:r>
            <w:r w:rsidRPr="00EC7187">
              <w:t>, WT/DS34/R, adopted 19 November 1999, as modified by Appellate Body Report WT/DS34/AB/R, DSR 1999:VI, p. 2363</w:t>
            </w:r>
          </w:p>
        </w:tc>
      </w:tr>
      <w:tr w:rsidR="003A3FC2" w:rsidRPr="0007327B" w14:paraId="7BA3BD64" w14:textId="77777777" w:rsidTr="008A4C51">
        <w:trPr>
          <w:cantSplit/>
          <w:trHeight w:val="397"/>
        </w:trPr>
        <w:tc>
          <w:tcPr>
            <w:tcW w:w="2265" w:type="dxa"/>
          </w:tcPr>
          <w:p w14:paraId="44995E3F" w14:textId="71ED301C" w:rsidR="003A3FC2" w:rsidRDefault="003A3FC2" w:rsidP="003A3FC2">
            <w:pPr>
              <w:pStyle w:val="TTTableText"/>
              <w:rPr>
                <w:i/>
                <w:iCs/>
                <w:szCs w:val="18"/>
              </w:rPr>
            </w:pPr>
            <w:r w:rsidRPr="00224575">
              <w:rPr>
                <w:i/>
              </w:rPr>
              <w:t>US – Wool Shirts and Blouses</w:t>
            </w:r>
          </w:p>
        </w:tc>
        <w:tc>
          <w:tcPr>
            <w:tcW w:w="6795" w:type="dxa"/>
          </w:tcPr>
          <w:p w14:paraId="4AC17B4B" w14:textId="335B8920" w:rsidR="003A3FC2" w:rsidRPr="006263C1" w:rsidRDefault="003A3FC2" w:rsidP="003A3FC2">
            <w:pPr>
              <w:pStyle w:val="TTTableText"/>
            </w:pPr>
            <w:r w:rsidRPr="00633019">
              <w:t xml:space="preserve">Appellate Body Report, </w:t>
            </w:r>
            <w:r w:rsidRPr="00224575">
              <w:rPr>
                <w:i/>
                <w:iCs/>
              </w:rPr>
              <w:t>United States – Measure Affecting Imports of Woven Wool Shirts and Blouses from India</w:t>
            </w:r>
            <w:r w:rsidRPr="00633019">
              <w:t>, WT/DS33/AB/R, adopted 23 May 1997, and Corr.1, DSR 1997:I, p. 323</w:t>
            </w:r>
          </w:p>
        </w:tc>
      </w:tr>
    </w:tbl>
    <w:p w14:paraId="5377F40E" w14:textId="77777777" w:rsidR="004D7079" w:rsidRPr="0007327B" w:rsidRDefault="004D7079" w:rsidP="004D7079">
      <w:pPr>
        <w:pStyle w:val="BTNSSBodyTextNoSpacingSmall"/>
      </w:pPr>
    </w:p>
    <w:p w14:paraId="3BDAA397" w14:textId="77777777" w:rsidR="008A1191" w:rsidRPr="0007327B" w:rsidRDefault="004524CE" w:rsidP="004524CE">
      <w:pPr>
        <w:pStyle w:val="SHSectionHeading"/>
      </w:pPr>
      <w:bookmarkStart w:id="4" w:name="_Toc58497305"/>
      <w:r w:rsidRPr="0007327B">
        <w:t>List of Acronyms, Abbreviations and Short Forms</w:t>
      </w:r>
      <w:bookmarkEnd w:id="4"/>
    </w:p>
    <w:tbl>
      <w:tblPr>
        <w:tblStyle w:val="TableGrid"/>
        <w:tblW w:w="5000" w:type="pct"/>
        <w:tblLook w:val="04A0" w:firstRow="1" w:lastRow="0" w:firstColumn="1" w:lastColumn="0" w:noHBand="0" w:noVBand="1"/>
      </w:tblPr>
      <w:tblGrid>
        <w:gridCol w:w="1696"/>
        <w:gridCol w:w="7364"/>
      </w:tblGrid>
      <w:tr w:rsidR="008A1191" w:rsidRPr="0007327B" w14:paraId="348444EE" w14:textId="77777777" w:rsidTr="5EC6AFD6">
        <w:trPr>
          <w:cantSplit/>
          <w:trHeight w:val="397"/>
          <w:tblHeader/>
        </w:trPr>
        <w:tc>
          <w:tcPr>
            <w:tcW w:w="1696" w:type="dxa"/>
            <w:shd w:val="clear" w:color="auto" w:fill="D9D9D9" w:themeFill="background1" w:themeFillShade="D9"/>
          </w:tcPr>
          <w:p w14:paraId="4DC2B4EA"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41A365C6" w14:textId="77777777" w:rsidR="008A1191" w:rsidRPr="0007327B" w:rsidRDefault="008A1191" w:rsidP="008A4C51">
            <w:pPr>
              <w:pStyle w:val="THTableHeading"/>
              <w:jc w:val="center"/>
            </w:pPr>
            <w:r w:rsidRPr="0007327B">
              <w:t>Full Form or Description</w:t>
            </w:r>
          </w:p>
        </w:tc>
      </w:tr>
      <w:tr w:rsidR="008A1191" w:rsidRPr="0007327B" w14:paraId="77426BC5" w14:textId="77777777" w:rsidTr="5EC6AFD6">
        <w:trPr>
          <w:cantSplit/>
          <w:trHeight w:val="397"/>
        </w:trPr>
        <w:tc>
          <w:tcPr>
            <w:tcW w:w="1696" w:type="dxa"/>
          </w:tcPr>
          <w:p w14:paraId="51553CCC" w14:textId="77777777" w:rsidR="008A1191" w:rsidRPr="0007327B" w:rsidRDefault="00390C91" w:rsidP="008A4C51">
            <w:pPr>
              <w:pStyle w:val="TTTableText"/>
            </w:pPr>
            <w:r>
              <w:t>AAP</w:t>
            </w:r>
          </w:p>
        </w:tc>
        <w:tc>
          <w:tcPr>
            <w:tcW w:w="7364" w:type="dxa"/>
          </w:tcPr>
          <w:p w14:paraId="4E0A2BE2" w14:textId="77777777" w:rsidR="008A1191" w:rsidRPr="0007327B" w:rsidRDefault="00390C91" w:rsidP="008A4C51">
            <w:pPr>
              <w:pStyle w:val="TTTableText"/>
            </w:pPr>
            <w:r>
              <w:t>Applied Administered Price</w:t>
            </w:r>
          </w:p>
        </w:tc>
      </w:tr>
      <w:tr w:rsidR="00C45D3E" w:rsidRPr="0007327B" w14:paraId="07E74EAE" w14:textId="77777777" w:rsidTr="5EC6AFD6">
        <w:trPr>
          <w:cantSplit/>
          <w:trHeight w:val="397"/>
        </w:trPr>
        <w:tc>
          <w:tcPr>
            <w:tcW w:w="1696" w:type="dxa"/>
          </w:tcPr>
          <w:p w14:paraId="4A2D4945" w14:textId="77777777" w:rsidR="00C45D3E" w:rsidRDefault="00C45D3E" w:rsidP="008A4C51">
            <w:pPr>
              <w:pStyle w:val="TTTableText"/>
            </w:pPr>
            <w:r>
              <w:t>AMS</w:t>
            </w:r>
          </w:p>
        </w:tc>
        <w:tc>
          <w:tcPr>
            <w:tcW w:w="7364" w:type="dxa"/>
          </w:tcPr>
          <w:p w14:paraId="4660BAB3" w14:textId="77777777" w:rsidR="00C45D3E" w:rsidRDefault="00C45D3E" w:rsidP="008A4C51">
            <w:pPr>
              <w:pStyle w:val="TTTableText"/>
            </w:pPr>
            <w:r>
              <w:t>Aggregate Measurement of Support</w:t>
            </w:r>
          </w:p>
        </w:tc>
      </w:tr>
      <w:tr w:rsidR="004F2538" w:rsidRPr="0007327B" w14:paraId="17AF00B9" w14:textId="77777777" w:rsidTr="5EC6AFD6">
        <w:trPr>
          <w:cantSplit/>
          <w:trHeight w:val="397"/>
        </w:trPr>
        <w:tc>
          <w:tcPr>
            <w:tcW w:w="1696" w:type="dxa"/>
          </w:tcPr>
          <w:p w14:paraId="4FC22108" w14:textId="77777777" w:rsidR="004F2538" w:rsidRDefault="004F2538" w:rsidP="008A4C51">
            <w:pPr>
              <w:pStyle w:val="TTTableText"/>
            </w:pPr>
            <w:r>
              <w:t>DFPD</w:t>
            </w:r>
          </w:p>
        </w:tc>
        <w:tc>
          <w:tcPr>
            <w:tcW w:w="7364" w:type="dxa"/>
          </w:tcPr>
          <w:p w14:paraId="657A161B" w14:textId="77777777" w:rsidR="004F2538" w:rsidRDefault="004F2538" w:rsidP="008A4C51">
            <w:pPr>
              <w:pStyle w:val="TTTableText"/>
            </w:pPr>
            <w:r w:rsidRPr="004F2538">
              <w:t>Department of Food and Public Distribution</w:t>
            </w:r>
          </w:p>
        </w:tc>
      </w:tr>
      <w:tr w:rsidR="00390C91" w:rsidRPr="0007327B" w14:paraId="2D8F5F63" w14:textId="77777777" w:rsidTr="5EC6AFD6">
        <w:trPr>
          <w:cantSplit/>
          <w:trHeight w:val="397"/>
        </w:trPr>
        <w:tc>
          <w:tcPr>
            <w:tcW w:w="1696" w:type="dxa"/>
          </w:tcPr>
          <w:p w14:paraId="373A5E64" w14:textId="77777777" w:rsidR="00390C91" w:rsidRDefault="00390C91" w:rsidP="008A4C51">
            <w:pPr>
              <w:pStyle w:val="TTTableText"/>
            </w:pPr>
            <w:r>
              <w:t>FERP</w:t>
            </w:r>
          </w:p>
        </w:tc>
        <w:tc>
          <w:tcPr>
            <w:tcW w:w="7364" w:type="dxa"/>
          </w:tcPr>
          <w:p w14:paraId="55440562" w14:textId="77777777" w:rsidR="00390C91" w:rsidRDefault="00390C91" w:rsidP="008A4C51">
            <w:pPr>
              <w:pStyle w:val="TTTableText"/>
            </w:pPr>
            <w:r>
              <w:t>Fixed External Reference Price</w:t>
            </w:r>
          </w:p>
        </w:tc>
      </w:tr>
      <w:tr w:rsidR="00390C91" w:rsidRPr="0007327B" w14:paraId="6971F543" w14:textId="77777777" w:rsidTr="5EC6AFD6">
        <w:trPr>
          <w:cantSplit/>
          <w:trHeight w:val="397"/>
        </w:trPr>
        <w:tc>
          <w:tcPr>
            <w:tcW w:w="1696" w:type="dxa"/>
          </w:tcPr>
          <w:p w14:paraId="704B2A2F" w14:textId="77777777" w:rsidR="00390C91" w:rsidRDefault="00390C91" w:rsidP="008A4C51">
            <w:pPr>
              <w:pStyle w:val="TTTableText"/>
            </w:pPr>
            <w:r>
              <w:t>FRP</w:t>
            </w:r>
          </w:p>
        </w:tc>
        <w:tc>
          <w:tcPr>
            <w:tcW w:w="7364" w:type="dxa"/>
          </w:tcPr>
          <w:p w14:paraId="0E9E4962" w14:textId="77777777" w:rsidR="00390C91" w:rsidRDefault="00390C91" w:rsidP="008A4C51">
            <w:pPr>
              <w:pStyle w:val="TTTableText"/>
            </w:pPr>
            <w:r>
              <w:t>Fair and Remunerative Price</w:t>
            </w:r>
          </w:p>
        </w:tc>
      </w:tr>
      <w:tr w:rsidR="00C45D3E" w:rsidRPr="0007327B" w14:paraId="5FA987AD" w14:textId="77777777" w:rsidTr="5EC6AFD6">
        <w:trPr>
          <w:cantSplit/>
          <w:trHeight w:val="397"/>
        </w:trPr>
        <w:tc>
          <w:tcPr>
            <w:tcW w:w="1696" w:type="dxa"/>
          </w:tcPr>
          <w:p w14:paraId="53DB022D" w14:textId="77777777" w:rsidR="00C45D3E" w:rsidRDefault="00C45D3E" w:rsidP="00C45D3E">
            <w:pPr>
              <w:pStyle w:val="TTTableText"/>
            </w:pPr>
            <w:r>
              <w:t>MAEQ</w:t>
            </w:r>
          </w:p>
        </w:tc>
        <w:tc>
          <w:tcPr>
            <w:tcW w:w="7364" w:type="dxa"/>
          </w:tcPr>
          <w:p w14:paraId="13EF5556" w14:textId="77777777" w:rsidR="00C45D3E" w:rsidRDefault="00C45D3E" w:rsidP="00C45D3E">
            <w:pPr>
              <w:pStyle w:val="TTTableText"/>
            </w:pPr>
            <w:r>
              <w:t>Maximum Admissible Export Quantities</w:t>
            </w:r>
          </w:p>
        </w:tc>
      </w:tr>
      <w:tr w:rsidR="00C45D3E" w:rsidRPr="0007327B" w14:paraId="252B0D63" w14:textId="77777777" w:rsidTr="5EC6AFD6">
        <w:trPr>
          <w:cantSplit/>
          <w:trHeight w:val="397"/>
        </w:trPr>
        <w:tc>
          <w:tcPr>
            <w:tcW w:w="1696" w:type="dxa"/>
          </w:tcPr>
          <w:p w14:paraId="05C6E3F9" w14:textId="77777777" w:rsidR="00C45D3E" w:rsidRDefault="00C45D3E" w:rsidP="00C45D3E">
            <w:pPr>
              <w:pStyle w:val="TTTableText"/>
            </w:pPr>
            <w:r>
              <w:t>MIEQ</w:t>
            </w:r>
          </w:p>
        </w:tc>
        <w:tc>
          <w:tcPr>
            <w:tcW w:w="7364" w:type="dxa"/>
          </w:tcPr>
          <w:p w14:paraId="3A247F0E" w14:textId="77777777" w:rsidR="00C45D3E" w:rsidRDefault="00C45D3E" w:rsidP="00C45D3E">
            <w:pPr>
              <w:pStyle w:val="TTTableText"/>
            </w:pPr>
            <w:r>
              <w:t>Minimum Indicative Export Quotas</w:t>
            </w:r>
          </w:p>
        </w:tc>
      </w:tr>
      <w:tr w:rsidR="5EC6AFD6" w14:paraId="6F811A30" w14:textId="77777777" w:rsidTr="5EC6AFD6">
        <w:trPr>
          <w:cantSplit/>
          <w:trHeight w:val="397"/>
        </w:trPr>
        <w:tc>
          <w:tcPr>
            <w:tcW w:w="1696" w:type="dxa"/>
          </w:tcPr>
          <w:p w14:paraId="7FAD4582" w14:textId="77777777" w:rsidR="59716160" w:rsidRDefault="59716160" w:rsidP="0019254A">
            <w:pPr>
              <w:pStyle w:val="TTTableText"/>
            </w:pPr>
            <w:r>
              <w:t>MPS</w:t>
            </w:r>
          </w:p>
        </w:tc>
        <w:tc>
          <w:tcPr>
            <w:tcW w:w="7364" w:type="dxa"/>
          </w:tcPr>
          <w:p w14:paraId="3550956C" w14:textId="77777777" w:rsidR="59716160" w:rsidRDefault="59716160" w:rsidP="0019254A">
            <w:pPr>
              <w:pStyle w:val="TTTableText"/>
            </w:pPr>
            <w:r>
              <w:t>Market Price Support</w:t>
            </w:r>
          </w:p>
        </w:tc>
      </w:tr>
      <w:tr w:rsidR="00E414EA" w14:paraId="430E3ABA" w14:textId="77777777" w:rsidTr="5EC6AFD6">
        <w:trPr>
          <w:cantSplit/>
          <w:trHeight w:val="397"/>
        </w:trPr>
        <w:tc>
          <w:tcPr>
            <w:tcW w:w="1696" w:type="dxa"/>
          </w:tcPr>
          <w:p w14:paraId="46D687FE" w14:textId="77777777" w:rsidR="00E414EA" w:rsidRDefault="00E414EA" w:rsidP="0019254A">
            <w:pPr>
              <w:pStyle w:val="TTTableText"/>
            </w:pPr>
            <w:r>
              <w:t>SAP</w:t>
            </w:r>
          </w:p>
        </w:tc>
        <w:tc>
          <w:tcPr>
            <w:tcW w:w="7364" w:type="dxa"/>
          </w:tcPr>
          <w:p w14:paraId="2F2BEC1F" w14:textId="77777777" w:rsidR="00E414EA" w:rsidRDefault="00E414EA" w:rsidP="0019254A">
            <w:pPr>
              <w:pStyle w:val="TTTableText"/>
            </w:pPr>
            <w:r>
              <w:t>State Advised Price</w:t>
            </w:r>
          </w:p>
        </w:tc>
      </w:tr>
      <w:tr w:rsidR="00C45D3E" w:rsidRPr="0007327B" w14:paraId="21912219" w14:textId="77777777" w:rsidTr="5EC6AFD6">
        <w:trPr>
          <w:cantSplit/>
          <w:trHeight w:val="397"/>
        </w:trPr>
        <w:tc>
          <w:tcPr>
            <w:tcW w:w="1696" w:type="dxa"/>
          </w:tcPr>
          <w:p w14:paraId="13EFC6C4" w14:textId="77777777" w:rsidR="00C45D3E" w:rsidRDefault="00C45D3E" w:rsidP="00C45D3E">
            <w:pPr>
              <w:pStyle w:val="TTTableText"/>
            </w:pPr>
            <w:r>
              <w:lastRenderedPageBreak/>
              <w:t>SCM Agreement</w:t>
            </w:r>
          </w:p>
        </w:tc>
        <w:tc>
          <w:tcPr>
            <w:tcW w:w="7364" w:type="dxa"/>
          </w:tcPr>
          <w:p w14:paraId="70A914D5" w14:textId="77777777" w:rsidR="00C45D3E" w:rsidRDefault="00C45D3E" w:rsidP="00C45D3E">
            <w:pPr>
              <w:pStyle w:val="TTTableText"/>
            </w:pPr>
            <w:r>
              <w:t>Agreement on Subsidies and Countervailing Measures</w:t>
            </w:r>
          </w:p>
        </w:tc>
      </w:tr>
      <w:tr w:rsidR="001B02F4" w:rsidRPr="0007327B" w14:paraId="591E1A08" w14:textId="77777777" w:rsidTr="5EC6AFD6">
        <w:trPr>
          <w:cantSplit/>
          <w:trHeight w:val="397"/>
        </w:trPr>
        <w:tc>
          <w:tcPr>
            <w:tcW w:w="1696" w:type="dxa"/>
          </w:tcPr>
          <w:p w14:paraId="399E8786" w14:textId="649EA264" w:rsidR="001B02F4" w:rsidRDefault="001B02F4" w:rsidP="00C45D3E">
            <w:pPr>
              <w:pStyle w:val="TTTableText"/>
            </w:pPr>
            <w:r>
              <w:t>WTO</w:t>
            </w:r>
          </w:p>
        </w:tc>
        <w:tc>
          <w:tcPr>
            <w:tcW w:w="7364" w:type="dxa"/>
          </w:tcPr>
          <w:p w14:paraId="11C1F69A" w14:textId="21D321C6" w:rsidR="001B02F4" w:rsidRDefault="001B02F4" w:rsidP="00C45D3E">
            <w:pPr>
              <w:pStyle w:val="TTTableText"/>
            </w:pPr>
            <w:r>
              <w:t>World Trade Organization</w:t>
            </w:r>
          </w:p>
        </w:tc>
      </w:tr>
    </w:tbl>
    <w:p w14:paraId="57D5D027" w14:textId="77777777" w:rsidR="004D7079" w:rsidRPr="0007327B" w:rsidRDefault="004D7079" w:rsidP="004D7079">
      <w:pPr>
        <w:pStyle w:val="BTNSSBodyTextNoSpacingSmall"/>
      </w:pPr>
    </w:p>
    <w:p w14:paraId="409F556A" w14:textId="77777777" w:rsidR="008A1191" w:rsidRPr="0007327B" w:rsidRDefault="00800159" w:rsidP="00800159">
      <w:pPr>
        <w:pStyle w:val="SHSectionHeading"/>
      </w:pPr>
      <w:bookmarkStart w:id="5" w:name="_Toc58497306"/>
      <w:r w:rsidRPr="0007327B">
        <w:t xml:space="preserve">List of </w:t>
      </w:r>
      <w:r w:rsidR="004908C9">
        <w:t xml:space="preserve">JOINT </w:t>
      </w:r>
      <w:r w:rsidRPr="0007327B">
        <w:t>Exhibits</w:t>
      </w:r>
      <w:bookmarkEnd w:id="5"/>
    </w:p>
    <w:tbl>
      <w:tblPr>
        <w:tblStyle w:val="TableGrid"/>
        <w:tblW w:w="5000" w:type="pct"/>
        <w:tblLook w:val="04A0" w:firstRow="1" w:lastRow="0" w:firstColumn="1" w:lastColumn="0" w:noHBand="0" w:noVBand="1"/>
      </w:tblPr>
      <w:tblGrid>
        <w:gridCol w:w="1412"/>
        <w:gridCol w:w="7648"/>
      </w:tblGrid>
      <w:tr w:rsidR="00120CFF" w:rsidRPr="0007327B" w14:paraId="5AB63A28" w14:textId="77777777" w:rsidTr="00120CFF">
        <w:trPr>
          <w:cantSplit/>
          <w:trHeight w:val="397"/>
          <w:tblHeader/>
        </w:trPr>
        <w:tc>
          <w:tcPr>
            <w:tcW w:w="1413" w:type="dxa"/>
            <w:shd w:val="clear" w:color="auto" w:fill="D9D9D9" w:themeFill="background1" w:themeFillShade="D9"/>
          </w:tcPr>
          <w:p w14:paraId="3B9C96E7" w14:textId="77777777" w:rsidR="00120CFF" w:rsidRPr="0007327B" w:rsidRDefault="00120CFF" w:rsidP="00800159">
            <w:pPr>
              <w:pStyle w:val="THTableHeading"/>
              <w:jc w:val="center"/>
            </w:pPr>
            <w:r w:rsidRPr="0007327B">
              <w:t>Exhibit No.</w:t>
            </w:r>
          </w:p>
        </w:tc>
        <w:tc>
          <w:tcPr>
            <w:tcW w:w="7654" w:type="dxa"/>
            <w:shd w:val="clear" w:color="auto" w:fill="D9D9D9" w:themeFill="background1" w:themeFillShade="D9"/>
          </w:tcPr>
          <w:p w14:paraId="0155FC21" w14:textId="77777777" w:rsidR="00120CFF" w:rsidRPr="0007327B" w:rsidRDefault="00120CFF" w:rsidP="00800159">
            <w:pPr>
              <w:pStyle w:val="THTableHeading"/>
              <w:jc w:val="center"/>
            </w:pPr>
            <w:r w:rsidRPr="0007327B">
              <w:t>Exhibit Name</w:t>
            </w:r>
          </w:p>
        </w:tc>
      </w:tr>
      <w:tr w:rsidR="00120CFF" w:rsidRPr="0007327B" w14:paraId="4BC24EA8" w14:textId="77777777" w:rsidTr="00120CFF">
        <w:trPr>
          <w:cantSplit/>
          <w:trHeight w:val="397"/>
        </w:trPr>
        <w:tc>
          <w:tcPr>
            <w:tcW w:w="1413" w:type="dxa"/>
          </w:tcPr>
          <w:p w14:paraId="1BE1E4E7" w14:textId="77777777" w:rsidR="00120CFF" w:rsidRDefault="00120CFF" w:rsidP="008A4C51">
            <w:pPr>
              <w:pStyle w:val="TTTableText"/>
            </w:pPr>
            <w:r>
              <w:t>JE-147</w:t>
            </w:r>
          </w:p>
        </w:tc>
        <w:tc>
          <w:tcPr>
            <w:tcW w:w="7654" w:type="dxa"/>
          </w:tcPr>
          <w:p w14:paraId="44174517" w14:textId="77777777" w:rsidR="00120CFF" w:rsidRDefault="00120CFF" w:rsidP="008A4C51">
            <w:pPr>
              <w:pStyle w:val="TTTableText"/>
            </w:pPr>
            <w:r w:rsidRPr="00120CFF">
              <w:t>Ministry of Statistics and Programme Implementation (MOSPI), National Accounts Statistics 2020, Statement</w:t>
            </w:r>
            <w:r>
              <w:t> </w:t>
            </w:r>
            <w:r w:rsidRPr="00120CFF">
              <w:t>8.1.2 Crop-wise value of output</w:t>
            </w:r>
          </w:p>
        </w:tc>
      </w:tr>
      <w:tr w:rsidR="00120CFF" w:rsidRPr="0007327B" w14:paraId="52295650" w14:textId="77777777" w:rsidTr="00120CFF">
        <w:trPr>
          <w:cantSplit/>
          <w:trHeight w:val="397"/>
        </w:trPr>
        <w:tc>
          <w:tcPr>
            <w:tcW w:w="1413" w:type="dxa"/>
          </w:tcPr>
          <w:p w14:paraId="785071EC" w14:textId="2175B125" w:rsidR="00120CFF" w:rsidRDefault="00120CFF" w:rsidP="008A4C51">
            <w:pPr>
              <w:pStyle w:val="TTTableText"/>
            </w:pPr>
            <w:r>
              <w:t>JE-</w:t>
            </w:r>
            <w:r w:rsidR="00F064B6">
              <w:t>148</w:t>
            </w:r>
          </w:p>
        </w:tc>
        <w:tc>
          <w:tcPr>
            <w:tcW w:w="7654" w:type="dxa"/>
          </w:tcPr>
          <w:p w14:paraId="412F6458" w14:textId="1F7502D1" w:rsidR="00120CFF" w:rsidRDefault="00F064B6" w:rsidP="008A4C51">
            <w:pPr>
              <w:pStyle w:val="TTTableText"/>
            </w:pPr>
            <w:r w:rsidRPr="00F064B6">
              <w:t>The Sugarcane (Control) Order 1966 (prior to 2009)</w:t>
            </w:r>
          </w:p>
        </w:tc>
      </w:tr>
      <w:tr w:rsidR="00F064B6" w:rsidRPr="0007327B" w14:paraId="4AC0E122" w14:textId="77777777" w:rsidTr="00120CFF">
        <w:trPr>
          <w:cantSplit/>
          <w:trHeight w:val="397"/>
        </w:trPr>
        <w:tc>
          <w:tcPr>
            <w:tcW w:w="1413" w:type="dxa"/>
          </w:tcPr>
          <w:p w14:paraId="0422E7E4" w14:textId="484176A2" w:rsidR="00F064B6" w:rsidRDefault="00F064B6" w:rsidP="008A4C51">
            <w:pPr>
              <w:pStyle w:val="TTTableText"/>
            </w:pPr>
            <w:r>
              <w:t>JE-149</w:t>
            </w:r>
          </w:p>
        </w:tc>
        <w:tc>
          <w:tcPr>
            <w:tcW w:w="7654" w:type="dxa"/>
          </w:tcPr>
          <w:p w14:paraId="4A26BA2B" w14:textId="50B23D43" w:rsidR="00F064B6" w:rsidRDefault="00F064B6" w:rsidP="008A4C51">
            <w:pPr>
              <w:pStyle w:val="TTTableText"/>
            </w:pPr>
            <w:proofErr w:type="spellStart"/>
            <w:r w:rsidRPr="00F064B6">
              <w:t>Dhampur</w:t>
            </w:r>
            <w:proofErr w:type="spellEnd"/>
            <w:r w:rsidRPr="00F064B6">
              <w:t xml:space="preserve"> Sugar Mills Limited Annual Report 2019</w:t>
            </w:r>
            <w:r>
              <w:t>–</w:t>
            </w:r>
            <w:r w:rsidRPr="00F064B6">
              <w:t>20</w:t>
            </w:r>
          </w:p>
        </w:tc>
      </w:tr>
      <w:tr w:rsidR="00F064B6" w:rsidRPr="0007327B" w14:paraId="217BD6A6" w14:textId="77777777" w:rsidTr="00120CFF">
        <w:trPr>
          <w:cantSplit/>
          <w:trHeight w:val="397"/>
        </w:trPr>
        <w:tc>
          <w:tcPr>
            <w:tcW w:w="1413" w:type="dxa"/>
          </w:tcPr>
          <w:p w14:paraId="12227C04" w14:textId="57E9232F" w:rsidR="00F064B6" w:rsidRDefault="00F064B6" w:rsidP="008A4C51">
            <w:pPr>
              <w:pStyle w:val="TTTableText"/>
            </w:pPr>
            <w:r>
              <w:t>JE-150</w:t>
            </w:r>
          </w:p>
        </w:tc>
        <w:tc>
          <w:tcPr>
            <w:tcW w:w="7654" w:type="dxa"/>
          </w:tcPr>
          <w:p w14:paraId="4FFC6A03" w14:textId="3B5D28A0" w:rsidR="00F064B6" w:rsidRDefault="00F064B6" w:rsidP="008A4C51">
            <w:pPr>
              <w:pStyle w:val="TTTableText"/>
            </w:pPr>
            <w:r w:rsidRPr="00F064B6">
              <w:t>USDA Sugar: World Markets and Trade, May 2020</w:t>
            </w:r>
          </w:p>
        </w:tc>
      </w:tr>
      <w:tr w:rsidR="00F064B6" w:rsidRPr="0007327B" w14:paraId="6B183EFC" w14:textId="77777777" w:rsidTr="00120CFF">
        <w:trPr>
          <w:cantSplit/>
          <w:trHeight w:val="397"/>
        </w:trPr>
        <w:tc>
          <w:tcPr>
            <w:tcW w:w="1413" w:type="dxa"/>
          </w:tcPr>
          <w:p w14:paraId="46EB666F" w14:textId="0C233E65" w:rsidR="00F064B6" w:rsidRDefault="00F064B6" w:rsidP="008A4C51">
            <w:pPr>
              <w:pStyle w:val="TTTableText"/>
            </w:pPr>
            <w:r>
              <w:t>JE-151</w:t>
            </w:r>
          </w:p>
        </w:tc>
        <w:tc>
          <w:tcPr>
            <w:tcW w:w="7654" w:type="dxa"/>
          </w:tcPr>
          <w:p w14:paraId="4FC59CAB" w14:textId="78028042" w:rsidR="00F064B6" w:rsidRDefault="00F064B6" w:rsidP="008A4C51">
            <w:pPr>
              <w:pStyle w:val="TTTableText"/>
            </w:pPr>
            <w:r w:rsidRPr="00F064B6">
              <w:t>Notification No. 1(14)/2019-SP-I of the Ministry of Consumer Affairs, Food &amp; Public Distribution, Department of Food &amp; Public Distribution of 15 September 2020</w:t>
            </w:r>
          </w:p>
        </w:tc>
      </w:tr>
      <w:tr w:rsidR="002341FE" w:rsidRPr="0007327B" w14:paraId="4FD9A251" w14:textId="77777777" w:rsidTr="00120CFF">
        <w:trPr>
          <w:cantSplit/>
          <w:trHeight w:val="397"/>
        </w:trPr>
        <w:tc>
          <w:tcPr>
            <w:tcW w:w="1413" w:type="dxa"/>
          </w:tcPr>
          <w:p w14:paraId="6E97ADCC" w14:textId="3C98842E" w:rsidR="002341FE" w:rsidRDefault="002341FE" w:rsidP="008A4C51">
            <w:pPr>
              <w:pStyle w:val="TTTableText"/>
            </w:pPr>
            <w:r>
              <w:t>JE-152</w:t>
            </w:r>
          </w:p>
        </w:tc>
        <w:tc>
          <w:tcPr>
            <w:tcW w:w="7654" w:type="dxa"/>
          </w:tcPr>
          <w:p w14:paraId="4BF34CE4" w14:textId="410FD714" w:rsidR="002341FE" w:rsidRPr="00F064B6" w:rsidRDefault="002341FE" w:rsidP="008A4C51">
            <w:pPr>
              <w:pStyle w:val="TTTableText"/>
            </w:pPr>
            <w:r w:rsidRPr="00A2231B">
              <w:t>The Indian Express, "Explained: Why the sugar industry desperately needs export subsidy this season", 5 November 2020</w:t>
            </w:r>
          </w:p>
        </w:tc>
      </w:tr>
    </w:tbl>
    <w:p w14:paraId="16E12CCE" w14:textId="77777777" w:rsidR="00F57DC7" w:rsidRPr="0007327B" w:rsidRDefault="00F57DC7" w:rsidP="00477519">
      <w:pPr>
        <w:pStyle w:val="BTNSSBodyTextNoSpacingSmall"/>
      </w:pPr>
    </w:p>
    <w:p w14:paraId="5780AA55" w14:textId="77777777" w:rsidR="004908C9" w:rsidRDefault="004908C9" w:rsidP="004908C9">
      <w:pPr>
        <w:pStyle w:val="SHSectionHeading"/>
      </w:pPr>
      <w:bookmarkStart w:id="6" w:name="_Toc58497307"/>
      <w:r w:rsidRPr="0007327B">
        <w:t xml:space="preserve">List of </w:t>
      </w:r>
      <w:r>
        <w:t xml:space="preserve">australia's </w:t>
      </w:r>
      <w:r w:rsidRPr="0007327B">
        <w:t>Exhibits</w:t>
      </w:r>
      <w:bookmarkEnd w:id="6"/>
    </w:p>
    <w:tbl>
      <w:tblPr>
        <w:tblStyle w:val="TableGrid"/>
        <w:tblW w:w="5000" w:type="pct"/>
        <w:tblLook w:val="04A0" w:firstRow="1" w:lastRow="0" w:firstColumn="1" w:lastColumn="0" w:noHBand="0" w:noVBand="1"/>
      </w:tblPr>
      <w:tblGrid>
        <w:gridCol w:w="1413"/>
        <w:gridCol w:w="7647"/>
      </w:tblGrid>
      <w:tr w:rsidR="00120CFF" w:rsidRPr="0007327B" w14:paraId="584BAF12" w14:textId="77777777" w:rsidTr="00557088">
        <w:trPr>
          <w:cantSplit/>
          <w:trHeight w:val="397"/>
          <w:tblHeader/>
        </w:trPr>
        <w:tc>
          <w:tcPr>
            <w:tcW w:w="1413" w:type="dxa"/>
            <w:shd w:val="clear" w:color="auto" w:fill="D9D9D9" w:themeFill="background1" w:themeFillShade="D9"/>
          </w:tcPr>
          <w:p w14:paraId="7E13745D" w14:textId="77777777" w:rsidR="00120CFF" w:rsidRPr="0007327B" w:rsidRDefault="00120CFF" w:rsidP="00E85ED6">
            <w:pPr>
              <w:pStyle w:val="THTableHeading"/>
              <w:jc w:val="center"/>
            </w:pPr>
            <w:r w:rsidRPr="0007327B">
              <w:t>Exhibit No.</w:t>
            </w:r>
          </w:p>
        </w:tc>
        <w:tc>
          <w:tcPr>
            <w:tcW w:w="7647" w:type="dxa"/>
            <w:shd w:val="clear" w:color="auto" w:fill="D9D9D9" w:themeFill="background1" w:themeFillShade="D9"/>
          </w:tcPr>
          <w:p w14:paraId="4B640CCB" w14:textId="77777777" w:rsidR="00120CFF" w:rsidRPr="0007327B" w:rsidRDefault="00120CFF" w:rsidP="00E85ED6">
            <w:pPr>
              <w:pStyle w:val="THTableHeading"/>
              <w:jc w:val="center"/>
            </w:pPr>
            <w:r w:rsidRPr="0007327B">
              <w:t>Exhibit Name</w:t>
            </w:r>
          </w:p>
        </w:tc>
      </w:tr>
      <w:tr w:rsidR="00120CFF" w:rsidRPr="0007327B" w14:paraId="2E2EF807" w14:textId="77777777" w:rsidTr="00557088">
        <w:trPr>
          <w:cantSplit/>
          <w:trHeight w:val="397"/>
        </w:trPr>
        <w:tc>
          <w:tcPr>
            <w:tcW w:w="1413" w:type="dxa"/>
          </w:tcPr>
          <w:p w14:paraId="6A8831E2" w14:textId="77777777" w:rsidR="00120CFF" w:rsidRPr="0007327B" w:rsidRDefault="00120CFF" w:rsidP="00E85ED6">
            <w:pPr>
              <w:pStyle w:val="TTTableText"/>
            </w:pPr>
            <w:r>
              <w:t>AUS-1 (Revis</w:t>
            </w:r>
            <w:r w:rsidR="003C3BE9">
              <w:t>ion 2</w:t>
            </w:r>
            <w:r>
              <w:t>)</w:t>
            </w:r>
          </w:p>
        </w:tc>
        <w:tc>
          <w:tcPr>
            <w:tcW w:w="7647" w:type="dxa"/>
          </w:tcPr>
          <w:p w14:paraId="05EE9DF8" w14:textId="5A9824FB" w:rsidR="00120CFF" w:rsidRPr="0007327B" w:rsidRDefault="00120CFF" w:rsidP="00E85ED6">
            <w:pPr>
              <w:pStyle w:val="TTTableText"/>
            </w:pPr>
            <w:r>
              <w:t>Australia's domestic support calculations, Microsoft Excel workbooks, Revision 2</w:t>
            </w:r>
          </w:p>
        </w:tc>
      </w:tr>
    </w:tbl>
    <w:p w14:paraId="07074EF3" w14:textId="77777777" w:rsidR="00D47F18" w:rsidRPr="0007327B" w:rsidRDefault="00D47F18" w:rsidP="00D52A17">
      <w:pPr>
        <w:pStyle w:val="BTBodyText"/>
      </w:pPr>
      <w:r w:rsidRPr="0007327B">
        <w:br w:type="page"/>
      </w:r>
    </w:p>
    <w:p w14:paraId="3E6C673E" w14:textId="77777777" w:rsidR="00D52A17" w:rsidRDefault="00502582" w:rsidP="00D52A17">
      <w:pPr>
        <w:pStyle w:val="HL1HeadingLevel1"/>
      </w:pPr>
      <w:bookmarkStart w:id="7" w:name="_Toc58497308"/>
      <w:r>
        <w:lastRenderedPageBreak/>
        <w:t>Introduction</w:t>
      </w:r>
      <w:bookmarkEnd w:id="7"/>
    </w:p>
    <w:p w14:paraId="5FC17A62" w14:textId="78795AC0" w:rsidR="0074135F" w:rsidRDefault="00EA2EA3" w:rsidP="00A92F97">
      <w:pPr>
        <w:pStyle w:val="P1-N1Paragraph1-Number1"/>
        <w:numPr>
          <w:ilvl w:val="0"/>
          <w:numId w:val="19"/>
        </w:numPr>
        <w:tabs>
          <w:tab w:val="num" w:pos="0"/>
          <w:tab w:val="num" w:pos="851"/>
        </w:tabs>
        <w:ind w:left="0" w:firstLine="0"/>
        <w:jc w:val="both"/>
      </w:pPr>
      <w:r>
        <w:t>Mr Chair</w:t>
      </w:r>
      <w:r w:rsidR="00633B93">
        <w:t>, Panellists, fellow delegates</w:t>
      </w:r>
      <w:r w:rsidR="00125B28">
        <w:t xml:space="preserve"> — </w:t>
      </w:r>
      <w:r w:rsidR="00417E5B">
        <w:t>hello again</w:t>
      </w:r>
      <w:r>
        <w:t xml:space="preserve">. </w:t>
      </w:r>
      <w:r w:rsidR="00366B4C">
        <w:t xml:space="preserve"> </w:t>
      </w:r>
      <w:r w:rsidR="00417E5B">
        <w:t>For the record, m</w:t>
      </w:r>
      <w:r w:rsidR="00366B4C">
        <w:t>y name is Ravi Kewalram, and I am the acting Chief Trade L</w:t>
      </w:r>
      <w:r w:rsidR="003C62FA">
        <w:t>aw</w:t>
      </w:r>
      <w:r w:rsidR="00366B4C">
        <w:t xml:space="preserve"> Officer in Australia's Department of Foreign Affairs </w:t>
      </w:r>
      <w:r w:rsidR="00366B4C" w:rsidRPr="00E85ED6">
        <w:t>and</w:t>
      </w:r>
      <w:r w:rsidR="00366B4C">
        <w:t xml:space="preserve"> Trade.  </w:t>
      </w:r>
    </w:p>
    <w:p w14:paraId="1C80D8AC" w14:textId="629B69B7" w:rsidR="00764C16" w:rsidRDefault="00F61F41" w:rsidP="00A92F97">
      <w:pPr>
        <w:pStyle w:val="P1-N1Paragraph1-Number1"/>
        <w:numPr>
          <w:ilvl w:val="0"/>
          <w:numId w:val="19"/>
        </w:numPr>
        <w:tabs>
          <w:tab w:val="num" w:pos="851"/>
        </w:tabs>
        <w:ind w:left="0" w:firstLine="0"/>
        <w:jc w:val="both"/>
      </w:pPr>
      <w:r>
        <w:t>I</w:t>
      </w:r>
      <w:r w:rsidR="20260236">
        <w:t xml:space="preserve">t gives Australia no pleasure to bring this dispute against India, a valued friend and </w:t>
      </w:r>
      <w:r w:rsidR="00417E5B">
        <w:t xml:space="preserve">a </w:t>
      </w:r>
      <w:r w:rsidR="20260236">
        <w:t>partner</w:t>
      </w:r>
      <w:r w:rsidR="00135C6E">
        <w:t>,</w:t>
      </w:r>
      <w:r w:rsidR="20260236">
        <w:t xml:space="preserve"> with whom we share a commitment to the rules-based trading system. </w:t>
      </w:r>
    </w:p>
    <w:p w14:paraId="1604F483" w14:textId="650E2376" w:rsidR="003346B4" w:rsidRDefault="46012DBA" w:rsidP="00A92F97">
      <w:pPr>
        <w:pStyle w:val="P1-N1Paragraph1-Number1"/>
        <w:numPr>
          <w:ilvl w:val="0"/>
          <w:numId w:val="19"/>
        </w:numPr>
        <w:tabs>
          <w:tab w:val="num" w:pos="851"/>
        </w:tabs>
        <w:ind w:left="0" w:firstLine="0"/>
        <w:jc w:val="both"/>
      </w:pPr>
      <w:r>
        <w:t xml:space="preserve">However, even close friends sometimes seek to resolve </w:t>
      </w:r>
      <w:r w:rsidR="26BC10B9">
        <w:t>disagreements</w:t>
      </w:r>
      <w:r>
        <w:t xml:space="preserve"> through WTO dispute settlement.  Australia considers that India's measures with respect to sugar and sugarcane </w:t>
      </w:r>
      <w:r w:rsidR="6E8CCBE3">
        <w:t>are inconsistent with</w:t>
      </w:r>
      <w:r w:rsidR="004532C9">
        <w:t xml:space="preserve"> its WTO obligations</w:t>
      </w:r>
      <w:r w:rsidR="6E8CCBE3">
        <w:t>.</w:t>
      </w:r>
      <w:r w:rsidR="46E30882">
        <w:t xml:space="preserve">  India's measures are impairing the benefits that accrue to Australia under the </w:t>
      </w:r>
      <w:r w:rsidR="001C344C">
        <w:t xml:space="preserve">WTO </w:t>
      </w:r>
      <w:r w:rsidR="002152DF">
        <w:t xml:space="preserve">covered </w:t>
      </w:r>
      <w:r w:rsidR="46E30882">
        <w:t>agreements and are harming the interests of Australia's globally</w:t>
      </w:r>
      <w:r w:rsidR="00135C6E">
        <w:t xml:space="preserve"> </w:t>
      </w:r>
      <w:r w:rsidR="46E30882">
        <w:t xml:space="preserve">competitive sugar industry. </w:t>
      </w:r>
    </w:p>
    <w:p w14:paraId="5724F7A4" w14:textId="77777777" w:rsidR="00105DA7" w:rsidRDefault="00105DA7" w:rsidP="00105DA7">
      <w:pPr>
        <w:pStyle w:val="P1-N1Paragraph1-Number1"/>
        <w:numPr>
          <w:ilvl w:val="0"/>
          <w:numId w:val="19"/>
        </w:numPr>
        <w:tabs>
          <w:tab w:val="num" w:pos="851"/>
        </w:tabs>
        <w:ind w:left="0" w:firstLine="0"/>
        <w:jc w:val="both"/>
      </w:pPr>
      <w:r>
        <w:t>India's practice of setting floor prices for sugarcane</w:t>
      </w:r>
      <w:r w:rsidRPr="00105DA7">
        <w:t xml:space="preserve"> via the Fair and Remunerative Price (FRP) and </w:t>
      </w:r>
      <w:r w:rsidR="00657712">
        <w:t xml:space="preserve">the </w:t>
      </w:r>
      <w:r w:rsidRPr="00105DA7">
        <w:t>State Advised Prices (SAPs)</w:t>
      </w:r>
      <w:r>
        <w:t xml:space="preserve"> – combined with </w:t>
      </w:r>
      <w:r w:rsidR="00657712">
        <w:t xml:space="preserve">its </w:t>
      </w:r>
      <w:r w:rsidR="00D035CD">
        <w:t>myriad of</w:t>
      </w:r>
      <w:r>
        <w:t xml:space="preserve"> </w:t>
      </w:r>
      <w:r w:rsidR="00D035CD">
        <w:t>schemes</w:t>
      </w:r>
      <w:r>
        <w:t xml:space="preserve"> </w:t>
      </w:r>
      <w:r w:rsidR="00657712">
        <w:t>that</w:t>
      </w:r>
      <w:r>
        <w:t xml:space="preserve"> support the payment of those prices – creates a </w:t>
      </w:r>
      <w:r w:rsidRPr="000A08C1">
        <w:t>highly distorted</w:t>
      </w:r>
      <w:r>
        <w:t xml:space="preserve"> domestic market for both sugarcane and sugar.</w:t>
      </w:r>
    </w:p>
    <w:p w14:paraId="403D354E" w14:textId="7F3375F5" w:rsidR="00881846" w:rsidRDefault="6B44EE0B" w:rsidP="00A92F97">
      <w:pPr>
        <w:pStyle w:val="P1-N1Paragraph1-Number1"/>
        <w:numPr>
          <w:ilvl w:val="0"/>
          <w:numId w:val="19"/>
        </w:numPr>
        <w:tabs>
          <w:tab w:val="num" w:pos="851"/>
        </w:tabs>
        <w:ind w:left="0" w:firstLine="0"/>
        <w:jc w:val="both"/>
      </w:pPr>
      <w:r>
        <w:t xml:space="preserve">India </w:t>
      </w:r>
      <w:r w:rsidRPr="000A08C1">
        <w:t>is</w:t>
      </w:r>
      <w:r>
        <w:t xml:space="preserve"> the world's</w:t>
      </w:r>
      <w:r w:rsidR="5B1912B6">
        <w:t xml:space="preserve"> second largest sugar producer and</w:t>
      </w:r>
      <w:r>
        <w:t xml:space="preserve"> </w:t>
      </w:r>
      <w:r w:rsidR="2B6916DD">
        <w:t xml:space="preserve">now </w:t>
      </w:r>
      <w:r w:rsidR="7475EFF5">
        <w:t>its</w:t>
      </w:r>
      <w:r w:rsidR="5B1912B6">
        <w:t xml:space="preserve"> </w:t>
      </w:r>
      <w:r>
        <w:t>third largest export</w:t>
      </w:r>
      <w:r w:rsidR="5610C18B">
        <w:t>er</w:t>
      </w:r>
      <w:r w:rsidR="2B6916DD">
        <w:t>.</w:t>
      </w:r>
      <w:r w:rsidR="007B495E">
        <w:rPr>
          <w:rStyle w:val="FootnoteReference"/>
        </w:rPr>
        <w:footnoteReference w:id="2"/>
      </w:r>
      <w:r w:rsidR="2B6916DD">
        <w:t xml:space="preserve">  </w:t>
      </w:r>
      <w:r w:rsidR="007B495E" w:rsidRPr="007B495E">
        <w:t>India's sugar exports – supported by prohibited export subsidies – have been growing, a</w:t>
      </w:r>
      <w:r w:rsidR="7475EFF5">
        <w:t xml:space="preserve">nd the </w:t>
      </w:r>
      <w:r w:rsidR="007B495E">
        <w:t>increasing</w:t>
      </w:r>
      <w:r w:rsidR="7475EFF5">
        <w:t xml:space="preserve"> volume of heavily subsidised Indian sugar on the global market is </w:t>
      </w:r>
      <w:r w:rsidR="00F9695E">
        <w:t xml:space="preserve">significantly </w:t>
      </w:r>
      <w:r w:rsidR="22F862A6">
        <w:t xml:space="preserve">distorting international trade </w:t>
      </w:r>
      <w:r w:rsidR="7475EFF5">
        <w:t>in this commodity</w:t>
      </w:r>
      <w:r>
        <w:t>.</w:t>
      </w:r>
      <w:r w:rsidR="00E94BAC">
        <w:rPr>
          <w:rStyle w:val="FootnoteReference"/>
        </w:rPr>
        <w:footnoteReference w:id="3"/>
      </w:r>
    </w:p>
    <w:p w14:paraId="0732CC4D" w14:textId="3A048AE1" w:rsidR="00A00EEF" w:rsidRDefault="1CB3937E" w:rsidP="00A92F97">
      <w:pPr>
        <w:pStyle w:val="P1-N1Paragraph1-Number1"/>
        <w:numPr>
          <w:ilvl w:val="0"/>
          <w:numId w:val="19"/>
        </w:numPr>
        <w:tabs>
          <w:tab w:val="num" w:pos="851"/>
        </w:tabs>
        <w:ind w:left="0" w:firstLine="0"/>
        <w:jc w:val="both"/>
      </w:pPr>
      <w:r>
        <w:t xml:space="preserve">India </w:t>
      </w:r>
      <w:r w:rsidRPr="000A08C1">
        <w:t>is</w:t>
      </w:r>
      <w:r>
        <w:t xml:space="preserve"> entitled to </w:t>
      </w:r>
      <w:r w:rsidR="000113B6">
        <w:t>provide</w:t>
      </w:r>
      <w:r>
        <w:t xml:space="preserve"> some </w:t>
      </w:r>
      <w:r w:rsidR="000113B6">
        <w:t>non-exempt</w:t>
      </w:r>
      <w:r>
        <w:t xml:space="preserve"> domestic support to its sugarcane farmers</w:t>
      </w:r>
      <w:r w:rsidR="7475EFF5">
        <w:t>,</w:t>
      </w:r>
      <w:r>
        <w:t xml:space="preserve"> </w:t>
      </w:r>
      <w:r w:rsidR="000113B6">
        <w:t>so long as</w:t>
      </w:r>
      <w:r w:rsidR="702C3482">
        <w:t xml:space="preserve"> </w:t>
      </w:r>
      <w:r w:rsidR="000113B6">
        <w:t>that</w:t>
      </w:r>
      <w:r w:rsidR="00BB06BB">
        <w:t xml:space="preserve"> support</w:t>
      </w:r>
      <w:r>
        <w:t xml:space="preserve"> does not exceed </w:t>
      </w:r>
      <w:r w:rsidR="09F1BE9A">
        <w:t>10</w:t>
      </w:r>
      <w:r>
        <w:t xml:space="preserve"> per cent of the total value of production in any sugar season.  </w:t>
      </w:r>
      <w:r w:rsidR="008D4549" w:rsidRPr="008D4549">
        <w:t xml:space="preserve">India has </w:t>
      </w:r>
      <w:r w:rsidR="008D4549" w:rsidRPr="00875AFA">
        <w:rPr>
          <w:u w:val="single"/>
        </w:rPr>
        <w:t>not contested</w:t>
      </w:r>
      <w:r w:rsidR="008D4549" w:rsidRPr="008D4549">
        <w:t xml:space="preserve"> that it is obliged to ensure its </w:t>
      </w:r>
      <w:r w:rsidR="00E81CD3">
        <w:t xml:space="preserve">non-exempt </w:t>
      </w:r>
      <w:r w:rsidR="008D4549" w:rsidRPr="008D4549">
        <w:t xml:space="preserve">domestic support is equal to or less than </w:t>
      </w:r>
      <w:r w:rsidR="008D4549" w:rsidRPr="00875AFA">
        <w:rPr>
          <w:i/>
          <w:iCs/>
        </w:rPr>
        <w:t>de minimis</w:t>
      </w:r>
      <w:r w:rsidR="008D4549" w:rsidRPr="008D4549">
        <w:t>.</w:t>
      </w:r>
      <w:r w:rsidR="00762EAC">
        <w:rPr>
          <w:rStyle w:val="FootnoteReference"/>
        </w:rPr>
        <w:footnoteReference w:id="4"/>
      </w:r>
    </w:p>
    <w:p w14:paraId="42D46D14" w14:textId="77777777" w:rsidR="00A63D41" w:rsidRDefault="17049F0E" w:rsidP="00A92F97">
      <w:pPr>
        <w:pStyle w:val="P1-N1Paragraph1-Number1"/>
        <w:numPr>
          <w:ilvl w:val="0"/>
          <w:numId w:val="19"/>
        </w:numPr>
        <w:tabs>
          <w:tab w:val="num" w:pos="851"/>
        </w:tabs>
        <w:ind w:left="0" w:firstLine="0"/>
        <w:jc w:val="both"/>
      </w:pPr>
      <w:r>
        <w:t xml:space="preserve">Australia </w:t>
      </w:r>
      <w:r w:rsidR="0CAA4C67">
        <w:t>has</w:t>
      </w:r>
      <w:r w:rsidR="5485534D">
        <w:t xml:space="preserve"> </w:t>
      </w:r>
      <w:r w:rsidR="0CAA4C67">
        <w:t xml:space="preserve">submitted evidence and calculations demonstrating that India's non-exempt domestic support for sugarcane </w:t>
      </w:r>
      <w:r w:rsidR="0EAB2738">
        <w:t xml:space="preserve">in the </w:t>
      </w:r>
      <w:r w:rsidR="5B3E6D00">
        <w:t xml:space="preserve">five </w:t>
      </w:r>
      <w:r w:rsidR="0EAB2738">
        <w:t xml:space="preserve">sugar seasons </w:t>
      </w:r>
      <w:r w:rsidR="5A9AEC04">
        <w:t xml:space="preserve">from </w:t>
      </w:r>
      <w:r w:rsidR="0EAB2738">
        <w:t xml:space="preserve">2014–15 to 2018–19 </w:t>
      </w:r>
      <w:r w:rsidR="0CAA4C67" w:rsidRPr="00875AFA">
        <w:rPr>
          <w:u w:val="single"/>
        </w:rPr>
        <w:t>vastly exceed</w:t>
      </w:r>
      <w:r w:rsidR="5A9AEC04" w:rsidRPr="00875AFA">
        <w:rPr>
          <w:u w:val="single"/>
        </w:rPr>
        <w:t>ed</w:t>
      </w:r>
      <w:r w:rsidR="0CAA4C67">
        <w:t xml:space="preserve"> its permitted </w:t>
      </w:r>
      <w:r w:rsidR="0CAA4C67" w:rsidRPr="5EC6AFD6">
        <w:rPr>
          <w:i/>
          <w:iCs/>
        </w:rPr>
        <w:t>de minimis</w:t>
      </w:r>
      <w:r w:rsidR="0CAA4C67">
        <w:t xml:space="preserve"> level. </w:t>
      </w:r>
      <w:r w:rsidR="6F4F54A8">
        <w:t xml:space="preserve"> </w:t>
      </w:r>
    </w:p>
    <w:p w14:paraId="6A698090" w14:textId="269D20F7" w:rsidR="00707371" w:rsidRDefault="6FE99873" w:rsidP="00A92F97">
      <w:pPr>
        <w:pStyle w:val="P1-N1Paragraph1-Number1"/>
        <w:numPr>
          <w:ilvl w:val="0"/>
          <w:numId w:val="19"/>
        </w:numPr>
        <w:tabs>
          <w:tab w:val="num" w:pos="851"/>
        </w:tabs>
        <w:ind w:left="0" w:firstLine="0"/>
        <w:jc w:val="both"/>
      </w:pPr>
      <w:r>
        <w:lastRenderedPageBreak/>
        <w:t>By India's admission, t</w:t>
      </w:r>
      <w:r w:rsidR="47111C2D">
        <w:t xml:space="preserve">he principal measures through which </w:t>
      </w:r>
      <w:r w:rsidR="5B3E6D00">
        <w:t>it</w:t>
      </w:r>
      <w:r w:rsidR="47111C2D">
        <w:t xml:space="preserve"> maintains this level of domestic support</w:t>
      </w:r>
      <w:r w:rsidR="00E752BD">
        <w:t xml:space="preserve"> </w:t>
      </w:r>
      <w:r w:rsidR="47111C2D">
        <w:t xml:space="preserve">– the </w:t>
      </w:r>
      <w:r w:rsidR="00ED5836">
        <w:t>FRP and the SAPs</w:t>
      </w:r>
      <w:r w:rsidR="47111C2D">
        <w:t xml:space="preserve"> – </w:t>
      </w:r>
      <w:r w:rsidR="47111C2D" w:rsidRPr="00A63D41">
        <w:rPr>
          <w:u w:val="single"/>
        </w:rPr>
        <w:t>remain in effect today</w:t>
      </w:r>
      <w:r w:rsidR="47111C2D">
        <w:t>.</w:t>
      </w:r>
      <w:r w:rsidR="009A769A">
        <w:rPr>
          <w:rStyle w:val="FootnoteReference"/>
        </w:rPr>
        <w:footnoteReference w:id="5"/>
      </w:r>
      <w:r w:rsidR="47111C2D">
        <w:t xml:space="preserve"> </w:t>
      </w:r>
    </w:p>
    <w:p w14:paraId="6C760E85" w14:textId="77777777" w:rsidR="009F4296" w:rsidRDefault="001966C9" w:rsidP="00FA20A4">
      <w:pPr>
        <w:pStyle w:val="P1-N1Paragraph1-Number1"/>
        <w:numPr>
          <w:ilvl w:val="0"/>
          <w:numId w:val="19"/>
        </w:numPr>
        <w:tabs>
          <w:tab w:val="num" w:pos="851"/>
        </w:tabs>
        <w:ind w:left="0" w:firstLine="0"/>
        <w:jc w:val="both"/>
      </w:pPr>
      <w:r>
        <w:t xml:space="preserve">In an attempt to defend its domestic support measures, India has sought to argue that </w:t>
      </w:r>
      <w:r w:rsidR="00027A1C">
        <w:t xml:space="preserve">direct </w:t>
      </w:r>
      <w:r>
        <w:t xml:space="preserve">procurement of </w:t>
      </w:r>
      <w:r w:rsidR="00027A1C">
        <w:t>an</w:t>
      </w:r>
      <w:r>
        <w:t xml:space="preserve"> agricultural product by </w:t>
      </w:r>
      <w:r w:rsidR="00027A1C">
        <w:t>a</w:t>
      </w:r>
      <w:r>
        <w:t xml:space="preserve"> government or its agent is a "necessary element" of market price support (MPS).</w:t>
      </w:r>
      <w:r>
        <w:rPr>
          <w:rStyle w:val="FootnoteReference"/>
        </w:rPr>
        <w:footnoteReference w:id="6"/>
      </w:r>
      <w:r>
        <w:t xml:space="preserve">  </w:t>
      </w:r>
      <w:r w:rsidR="004746BA">
        <w:t xml:space="preserve">This argument is not supported by the text of the Agreement on Agriculture and should be rejected for the reasons </w:t>
      </w:r>
      <w:r w:rsidR="00BB06BB">
        <w:t xml:space="preserve">I will explain shortly. </w:t>
      </w:r>
    </w:p>
    <w:p w14:paraId="0817E7FA" w14:textId="77777777" w:rsidR="00B60FE4" w:rsidRDefault="4A3F2D04" w:rsidP="00B60FE4">
      <w:pPr>
        <w:pStyle w:val="P1-N1Paragraph1-Number1"/>
        <w:numPr>
          <w:ilvl w:val="0"/>
          <w:numId w:val="19"/>
        </w:numPr>
        <w:tabs>
          <w:tab w:val="num" w:pos="851"/>
        </w:tabs>
        <w:ind w:left="0" w:firstLine="0"/>
        <w:jc w:val="both"/>
      </w:pPr>
      <w:r>
        <w:t>Turning then to India's export subsidies</w:t>
      </w:r>
      <w:r w:rsidR="0087733A">
        <w:t xml:space="preserve"> for sugar</w:t>
      </w:r>
      <w:r w:rsidR="00B60FE4">
        <w:t>, India has not contested that it has no export subsidy reduction commitment for sugar in its Schedule.</w:t>
      </w:r>
      <w:r w:rsidR="00D43EF1">
        <w:rPr>
          <w:rStyle w:val="FootnoteReference"/>
        </w:rPr>
        <w:footnoteReference w:id="7"/>
      </w:r>
      <w:r w:rsidR="00B60FE4">
        <w:t xml:space="preserve">  And India agrees that Members are obliged to not provide export subsidies for unscheduled agricultural products.</w:t>
      </w:r>
      <w:r w:rsidR="00D43EF1">
        <w:rPr>
          <w:rStyle w:val="FootnoteReference"/>
        </w:rPr>
        <w:footnoteReference w:id="8"/>
      </w:r>
    </w:p>
    <w:p w14:paraId="182B056A" w14:textId="49A3554F" w:rsidR="009F4296" w:rsidRDefault="009F4296" w:rsidP="00B60FE4">
      <w:pPr>
        <w:pStyle w:val="P1-N1Paragraph1-Number1"/>
        <w:numPr>
          <w:ilvl w:val="0"/>
          <w:numId w:val="19"/>
        </w:numPr>
        <w:tabs>
          <w:tab w:val="num" w:pos="851"/>
        </w:tabs>
        <w:ind w:left="0" w:firstLine="0"/>
        <w:jc w:val="both"/>
      </w:pPr>
      <w:r>
        <w:t>India</w:t>
      </w:r>
      <w:r w:rsidR="00EF5A0A">
        <w:t xml:space="preserve">'s defence of its </w:t>
      </w:r>
      <w:r w:rsidR="00633B93">
        <w:t>WTO-inconsistent</w:t>
      </w:r>
      <w:r w:rsidR="00EF5A0A">
        <w:t xml:space="preserve"> measures relies on unjustifiably narrowing the scope of the Panel's terms of reference –</w:t>
      </w:r>
      <w:r w:rsidR="00762EAC">
        <w:t xml:space="preserve"> </w:t>
      </w:r>
      <w:r w:rsidR="00EF5A0A">
        <w:t>by excluding the M</w:t>
      </w:r>
      <w:r w:rsidR="00027A1C">
        <w:t xml:space="preserve">aximum </w:t>
      </w:r>
      <w:r w:rsidR="00EF5A0A">
        <w:t>A</w:t>
      </w:r>
      <w:r w:rsidR="00027A1C">
        <w:t xml:space="preserve">dmissible </w:t>
      </w:r>
      <w:r w:rsidR="00EF5A0A">
        <w:t>E</w:t>
      </w:r>
      <w:r w:rsidR="00027A1C">
        <w:t xml:space="preserve">xport </w:t>
      </w:r>
      <w:r w:rsidR="00EF5A0A">
        <w:t>Q</w:t>
      </w:r>
      <w:r w:rsidR="00027A1C">
        <w:t>uantities (MAEQ)</w:t>
      </w:r>
      <w:r w:rsidR="00EF5A0A">
        <w:t xml:space="preserve"> scheme – and </w:t>
      </w:r>
      <w:r w:rsidR="00071FB8">
        <w:t xml:space="preserve">on </w:t>
      </w:r>
      <w:r w:rsidR="007905EE">
        <w:t>flawed</w:t>
      </w:r>
      <w:r w:rsidR="00EF5A0A">
        <w:t xml:space="preserve"> interpretations of applicable legal standards that find </w:t>
      </w:r>
      <w:r w:rsidR="00EF5A0A" w:rsidRPr="000A08C1">
        <w:t>no support</w:t>
      </w:r>
      <w:r w:rsidR="00EF5A0A">
        <w:t xml:space="preserve"> in the text</w:t>
      </w:r>
      <w:r w:rsidR="00154BDE">
        <w:t xml:space="preserve"> of the Agreement on Agriculture nor the </w:t>
      </w:r>
      <w:r w:rsidR="006C2D0A" w:rsidRPr="006C2D0A">
        <w:t xml:space="preserve">Agreement on Subsidies and Countervailing Measures </w:t>
      </w:r>
      <w:r w:rsidR="006C2D0A">
        <w:t>(</w:t>
      </w:r>
      <w:r w:rsidR="00154BDE">
        <w:t>SCM Agreement</w:t>
      </w:r>
      <w:r w:rsidR="006C2D0A">
        <w:t>)</w:t>
      </w:r>
      <w:r w:rsidR="00EF5A0A">
        <w:t xml:space="preserve">. </w:t>
      </w:r>
    </w:p>
    <w:p w14:paraId="457B71B3" w14:textId="3F823A69" w:rsidR="00B60FE4" w:rsidRDefault="00B60FE4" w:rsidP="00B60FE4">
      <w:pPr>
        <w:pStyle w:val="P1-N1Paragraph1-Number1"/>
        <w:numPr>
          <w:ilvl w:val="0"/>
          <w:numId w:val="19"/>
        </w:numPr>
        <w:tabs>
          <w:tab w:val="num" w:pos="851"/>
        </w:tabs>
        <w:ind w:left="0" w:firstLine="0"/>
        <w:jc w:val="both"/>
      </w:pPr>
      <w:r>
        <w:t xml:space="preserve">Australia </w:t>
      </w:r>
      <w:r w:rsidR="00F9695E">
        <w:t>asks</w:t>
      </w:r>
      <w:r>
        <w:t xml:space="preserve"> the Panel to find that India's </w:t>
      </w:r>
      <w:r w:rsidR="00EF5A0A">
        <w:t>MAEQ scheme</w:t>
      </w:r>
      <w:r w:rsidR="003A550B">
        <w:t xml:space="preserve"> </w:t>
      </w:r>
      <w:r w:rsidR="000816E8">
        <w:t>is a part of India's ongoing policy of subsidising sugar exports</w:t>
      </w:r>
      <w:r w:rsidR="00795BF7">
        <w:t xml:space="preserve"> and is therefore within the Panel's terms of reference</w:t>
      </w:r>
      <w:r w:rsidR="00F578DB">
        <w:t xml:space="preserve">.  India's contention that Australia </w:t>
      </w:r>
      <w:r w:rsidR="000816E8">
        <w:t>has to</w:t>
      </w:r>
      <w:r w:rsidR="00F578DB">
        <w:t xml:space="preserve"> prove an actual </w:t>
      </w:r>
      <w:r w:rsidR="00BB6C5B">
        <w:t>disbursement or payment</w:t>
      </w:r>
      <w:r w:rsidR="00F578DB">
        <w:t xml:space="preserve"> must also be rejected, as must India's</w:t>
      </w:r>
      <w:r w:rsidR="00F578DB" w:rsidRPr="00F578DB">
        <w:t xml:space="preserve"> assert</w:t>
      </w:r>
      <w:r w:rsidR="00F578DB">
        <w:t>ion</w:t>
      </w:r>
      <w:r w:rsidR="00F578DB" w:rsidRPr="00F578DB">
        <w:t xml:space="preserve"> that it is exempt from the prohibition on export subsidies under the SCM Agreement.</w:t>
      </w:r>
      <w:r w:rsidR="00F578DB">
        <w:t xml:space="preserve"> </w:t>
      </w:r>
    </w:p>
    <w:p w14:paraId="2BC5B0BA" w14:textId="631B4A66" w:rsidR="00154BDE" w:rsidRDefault="00154BDE" w:rsidP="00B60FE4">
      <w:pPr>
        <w:pStyle w:val="P1-N1Paragraph1-Number1"/>
        <w:numPr>
          <w:ilvl w:val="0"/>
          <w:numId w:val="19"/>
        </w:numPr>
        <w:tabs>
          <w:tab w:val="num" w:pos="851"/>
        </w:tabs>
        <w:ind w:left="0" w:firstLine="0"/>
        <w:jc w:val="both"/>
      </w:pPr>
      <w:r>
        <w:t xml:space="preserve">India </w:t>
      </w:r>
      <w:r w:rsidR="004532C9">
        <w:t xml:space="preserve">has </w:t>
      </w:r>
      <w:r w:rsidR="00307051">
        <w:t xml:space="preserve">also </w:t>
      </w:r>
      <w:r>
        <w:t>fail</w:t>
      </w:r>
      <w:r w:rsidR="004532C9">
        <w:t>ed</w:t>
      </w:r>
      <w:r>
        <w:t xml:space="preserve"> to comply with its obligation</w:t>
      </w:r>
      <w:r w:rsidR="008D44C8">
        <w:t>s</w:t>
      </w:r>
      <w:r w:rsidR="003C5D79">
        <w:t xml:space="preserve"> to notify its domestic support and export subsidies</w:t>
      </w:r>
      <w:r w:rsidR="004532C9">
        <w:t xml:space="preserve"> </w:t>
      </w:r>
      <w:r w:rsidR="006C2D0A">
        <w:t>relating</w:t>
      </w:r>
      <w:r w:rsidR="004532C9">
        <w:t xml:space="preserve"> to sugarcane and sugar</w:t>
      </w:r>
      <w:r>
        <w:t xml:space="preserve">. </w:t>
      </w:r>
    </w:p>
    <w:p w14:paraId="5A199B19" w14:textId="77777777" w:rsidR="00B60FE4" w:rsidRDefault="00B60FE4" w:rsidP="00B60FE4">
      <w:pPr>
        <w:pStyle w:val="P1-N1Paragraph1-Number1"/>
        <w:numPr>
          <w:ilvl w:val="0"/>
          <w:numId w:val="19"/>
        </w:numPr>
        <w:tabs>
          <w:tab w:val="num" w:pos="851"/>
        </w:tabs>
        <w:ind w:left="0" w:firstLine="0"/>
        <w:jc w:val="both"/>
      </w:pPr>
      <w:r>
        <w:t xml:space="preserve">India's position is that the </w:t>
      </w:r>
      <w:r w:rsidR="005D4C82">
        <w:t xml:space="preserve">Agreement on Agriculture does not impose </w:t>
      </w:r>
      <w:r>
        <w:t xml:space="preserve">binding </w:t>
      </w:r>
      <w:r w:rsidR="005D4C82">
        <w:t xml:space="preserve">notification </w:t>
      </w:r>
      <w:r>
        <w:t xml:space="preserve">obligations.  In making this argument, India overlooks the </w:t>
      </w:r>
      <w:r w:rsidRPr="000A08C1">
        <w:t>mandatory</w:t>
      </w:r>
      <w:r>
        <w:t xml:space="preserve"> language of Article 18, and instead relies on a Committee on Agriculture document that is of less-than-treaty status.</w:t>
      </w:r>
      <w:r>
        <w:rPr>
          <w:rStyle w:val="FootnoteReference"/>
        </w:rPr>
        <w:footnoteReference w:id="9"/>
      </w:r>
    </w:p>
    <w:p w14:paraId="235FEB85" w14:textId="77777777" w:rsidR="00B60FE4" w:rsidRDefault="00B60FE4" w:rsidP="00B60FE4">
      <w:pPr>
        <w:pStyle w:val="P1-N1Paragraph1-Number1"/>
        <w:numPr>
          <w:ilvl w:val="0"/>
          <w:numId w:val="19"/>
        </w:numPr>
        <w:tabs>
          <w:tab w:val="num" w:pos="851"/>
        </w:tabs>
        <w:ind w:left="0" w:firstLine="0"/>
        <w:jc w:val="both"/>
      </w:pPr>
      <w:r>
        <w:lastRenderedPageBreak/>
        <w:t>India does not contest that it has obligations under the SCM Agreement and under the General Agreement on Tariffs and Trade 1994 to notify Members of certain subsidies.</w:t>
      </w:r>
      <w:r w:rsidR="00993EB3">
        <w:t xml:space="preserve">  </w:t>
      </w:r>
    </w:p>
    <w:p w14:paraId="31DB1433" w14:textId="77777777" w:rsidR="000F5958" w:rsidRDefault="00B60FE4" w:rsidP="00A92F97">
      <w:pPr>
        <w:pStyle w:val="P1-N1Paragraph1-Number1"/>
        <w:numPr>
          <w:ilvl w:val="0"/>
          <w:numId w:val="19"/>
        </w:numPr>
        <w:tabs>
          <w:tab w:val="num" w:pos="851"/>
        </w:tabs>
        <w:ind w:left="0" w:firstLine="0"/>
        <w:jc w:val="both"/>
      </w:pPr>
      <w:r>
        <w:t xml:space="preserve">Australia asks the Panel to find that </w:t>
      </w:r>
      <w:r w:rsidR="2112D53B">
        <w:t>India's</w:t>
      </w:r>
      <w:r w:rsidR="67CBA38E">
        <w:t xml:space="preserve"> protracted failure to submit notifications </w:t>
      </w:r>
      <w:r w:rsidR="00993EB3">
        <w:t>of its measures concerning sugar and sugarcane</w:t>
      </w:r>
      <w:r w:rsidR="2112D53B">
        <w:t xml:space="preserve"> is inconsistent with </w:t>
      </w:r>
      <w:r w:rsidR="67CBA38E">
        <w:t xml:space="preserve">its </w:t>
      </w:r>
      <w:r w:rsidR="4B322656">
        <w:t xml:space="preserve">WTO </w:t>
      </w:r>
      <w:r w:rsidR="67CBA38E">
        <w:t>obligations</w:t>
      </w:r>
      <w:r w:rsidR="3C09CCF5">
        <w:t>.</w:t>
      </w:r>
      <w:r w:rsidR="67CBA38E">
        <w:t xml:space="preserve">  </w:t>
      </w:r>
    </w:p>
    <w:p w14:paraId="3CA2BBEC" w14:textId="33985BBF" w:rsidR="004746BA" w:rsidRDefault="004746BA" w:rsidP="00A92F97">
      <w:pPr>
        <w:pStyle w:val="P1-N1Paragraph1-Number1"/>
        <w:numPr>
          <w:ilvl w:val="0"/>
          <w:numId w:val="19"/>
        </w:numPr>
        <w:tabs>
          <w:tab w:val="num" w:pos="851"/>
        </w:tabs>
        <w:ind w:left="0" w:firstLine="0"/>
        <w:jc w:val="both"/>
      </w:pPr>
      <w:r>
        <w:t xml:space="preserve">I will now explain why the Panel should also uphold Australia's </w:t>
      </w:r>
      <w:r w:rsidR="00FA5840">
        <w:t xml:space="preserve">other </w:t>
      </w:r>
      <w:r>
        <w:t>claims</w:t>
      </w:r>
      <w:r w:rsidR="00FA5840">
        <w:t>, first,</w:t>
      </w:r>
      <w:r>
        <w:t xml:space="preserve"> with respect to domestic support for sugarcane</w:t>
      </w:r>
      <w:r w:rsidR="00FA5840">
        <w:t>,</w:t>
      </w:r>
      <w:r>
        <w:t xml:space="preserve"> and </w:t>
      </w:r>
      <w:r w:rsidR="00FA5840">
        <w:t xml:space="preserve">second, regarding </w:t>
      </w:r>
      <w:r w:rsidR="00566F8E">
        <w:t xml:space="preserve">India’s </w:t>
      </w:r>
      <w:r>
        <w:t xml:space="preserve">export subsidies for sugar. </w:t>
      </w:r>
    </w:p>
    <w:p w14:paraId="4A102CF1" w14:textId="77777777" w:rsidR="00502582" w:rsidRDefault="00D647CE" w:rsidP="00502582">
      <w:pPr>
        <w:pStyle w:val="HL1HeadingLevel1"/>
      </w:pPr>
      <w:bookmarkStart w:id="8" w:name="_Toc58497309"/>
      <w:r>
        <w:t xml:space="preserve">INDIA's </w:t>
      </w:r>
      <w:r w:rsidR="00E2006A">
        <w:t>DOMESTIC SUPPORT</w:t>
      </w:r>
      <w:r>
        <w:t xml:space="preserve"> to sugarcane vastly exceeds its </w:t>
      </w:r>
      <w:r w:rsidRPr="00D647CE">
        <w:rPr>
          <w:i/>
          <w:iCs/>
        </w:rPr>
        <w:t>de</w:t>
      </w:r>
      <w:r w:rsidR="00782F29">
        <w:rPr>
          <w:i/>
          <w:iCs/>
        </w:rPr>
        <w:t> </w:t>
      </w:r>
      <w:r w:rsidRPr="00D647CE">
        <w:rPr>
          <w:i/>
          <w:iCs/>
        </w:rPr>
        <w:t>minimis</w:t>
      </w:r>
      <w:r>
        <w:t xml:space="preserve"> limit</w:t>
      </w:r>
      <w:bookmarkEnd w:id="8"/>
    </w:p>
    <w:p w14:paraId="6998FC14" w14:textId="77777777" w:rsidR="00383E2D" w:rsidRDefault="6800C69F" w:rsidP="00A92F97">
      <w:pPr>
        <w:pStyle w:val="P1-N1Paragraph1-Number1"/>
        <w:numPr>
          <w:ilvl w:val="0"/>
          <w:numId w:val="19"/>
        </w:numPr>
        <w:tabs>
          <w:tab w:val="num" w:pos="851"/>
        </w:tabs>
        <w:ind w:left="0" w:firstLine="0"/>
        <w:jc w:val="both"/>
      </w:pPr>
      <w:r>
        <w:t xml:space="preserve">Australia has met its burden </w:t>
      </w:r>
      <w:r w:rsidR="566D1FD5">
        <w:t>of</w:t>
      </w:r>
      <w:r>
        <w:t xml:space="preserve"> establish</w:t>
      </w:r>
      <w:r w:rsidR="3FA66E3A">
        <w:t>ing</w:t>
      </w:r>
      <w:r>
        <w:t xml:space="preserve"> a </w:t>
      </w:r>
      <w:r w:rsidRPr="5EC6AFD6">
        <w:rPr>
          <w:i/>
          <w:iCs/>
        </w:rPr>
        <w:t>prima facie</w:t>
      </w:r>
      <w:r>
        <w:t xml:space="preserve"> case that India's non-exempt domestic support to sugarcane violates </w:t>
      </w:r>
      <w:r w:rsidR="1294429D">
        <w:t>its</w:t>
      </w:r>
      <w:r>
        <w:t xml:space="preserve"> commitment under the Agreement on Agriculture </w:t>
      </w:r>
      <w:r w:rsidR="1739A38D">
        <w:t xml:space="preserve">to </w:t>
      </w:r>
      <w:r w:rsidR="55C8BA52">
        <w:t xml:space="preserve">not </w:t>
      </w:r>
      <w:r>
        <w:t xml:space="preserve">provide support in excess of </w:t>
      </w:r>
      <w:r w:rsidRPr="5EC6AFD6">
        <w:rPr>
          <w:i/>
          <w:iCs/>
        </w:rPr>
        <w:t>de</w:t>
      </w:r>
      <w:r w:rsidR="6EA60900" w:rsidRPr="5EC6AFD6">
        <w:rPr>
          <w:i/>
          <w:iCs/>
        </w:rPr>
        <w:t> </w:t>
      </w:r>
      <w:r w:rsidRPr="5EC6AFD6">
        <w:rPr>
          <w:i/>
          <w:iCs/>
        </w:rPr>
        <w:t>minimis</w:t>
      </w:r>
      <w:r w:rsidR="025D2EC9">
        <w:t>.</w:t>
      </w:r>
      <w:r w:rsidR="1294429D">
        <w:t xml:space="preserve">  </w:t>
      </w:r>
    </w:p>
    <w:p w14:paraId="2D0B8600" w14:textId="75367977" w:rsidR="00352B2D" w:rsidRDefault="003C3BE9" w:rsidP="00A92F97">
      <w:pPr>
        <w:pStyle w:val="P1-N1Paragraph1-Number1"/>
        <w:numPr>
          <w:ilvl w:val="0"/>
          <w:numId w:val="19"/>
        </w:numPr>
        <w:tabs>
          <w:tab w:val="num" w:pos="851"/>
        </w:tabs>
        <w:ind w:left="0" w:firstLine="0"/>
        <w:jc w:val="both"/>
      </w:pPr>
      <w:r>
        <w:t xml:space="preserve">Taking into account </w:t>
      </w:r>
      <w:r w:rsidR="007576F5">
        <w:t>the latest</w:t>
      </w:r>
      <w:r>
        <w:t xml:space="preserve"> official </w:t>
      </w:r>
      <w:r w:rsidR="004532C9" w:rsidRPr="00790DE4">
        <w:rPr>
          <w:u w:val="single"/>
        </w:rPr>
        <w:t xml:space="preserve">Indian </w:t>
      </w:r>
      <w:r w:rsidRPr="00790DE4">
        <w:rPr>
          <w:u w:val="single"/>
        </w:rPr>
        <w:t>data</w:t>
      </w:r>
      <w:r>
        <w:rPr>
          <w:rStyle w:val="FootnoteReference"/>
        </w:rPr>
        <w:footnoteReference w:id="10"/>
      </w:r>
      <w:r>
        <w:t xml:space="preserve">, </w:t>
      </w:r>
      <w:r w:rsidR="00FD3A65">
        <w:t xml:space="preserve">India's domestic support to sugarcane as a percentage of its total value of </w:t>
      </w:r>
      <w:r w:rsidR="00716198">
        <w:t xml:space="preserve">its </w:t>
      </w:r>
      <w:r w:rsidR="00FD3A65">
        <w:t>production was</w:t>
      </w:r>
      <w:r w:rsidR="00584B13">
        <w:t>,</w:t>
      </w:r>
      <w:r w:rsidR="00FD3A65">
        <w:t xml:space="preserve"> </w:t>
      </w:r>
      <w:r w:rsidR="00584B13">
        <w:t xml:space="preserve">as my Brazilian colleague also referred to </w:t>
      </w:r>
      <w:r w:rsidR="00566F8E">
        <w:t>in his comments</w:t>
      </w:r>
      <w:r w:rsidR="00424F7F">
        <w:t xml:space="preserve">, </w:t>
      </w:r>
      <w:r w:rsidRPr="00875AFA">
        <w:rPr>
          <w:u w:val="single"/>
        </w:rPr>
        <w:t>115 per cent</w:t>
      </w:r>
      <w:r>
        <w:t xml:space="preserve"> in the 2014</w:t>
      </w:r>
      <w:r w:rsidR="00FD3A65">
        <w:t>–</w:t>
      </w:r>
      <w:r>
        <w:t xml:space="preserve">15 </w:t>
      </w:r>
      <w:r w:rsidR="00FD3A65">
        <w:t xml:space="preserve">sugar </w:t>
      </w:r>
      <w:r>
        <w:t xml:space="preserve">season; </w:t>
      </w:r>
      <w:r w:rsidRPr="00875AFA">
        <w:rPr>
          <w:u w:val="single"/>
        </w:rPr>
        <w:t>118 per cent</w:t>
      </w:r>
      <w:r>
        <w:t xml:space="preserve"> in 2015</w:t>
      </w:r>
      <w:r w:rsidR="00FD3A65" w:rsidRPr="00FD3A65">
        <w:t>–</w:t>
      </w:r>
      <w:r>
        <w:t xml:space="preserve">16, </w:t>
      </w:r>
      <w:r w:rsidRPr="00875AFA">
        <w:rPr>
          <w:u w:val="single"/>
        </w:rPr>
        <w:t>113 per cent</w:t>
      </w:r>
      <w:r>
        <w:t xml:space="preserve"> in 2016</w:t>
      </w:r>
      <w:r w:rsidR="00FD3A65" w:rsidRPr="00FD3A65">
        <w:t>–</w:t>
      </w:r>
      <w:r>
        <w:t xml:space="preserve">17; </w:t>
      </w:r>
      <w:r w:rsidRPr="00875AFA">
        <w:rPr>
          <w:u w:val="single"/>
        </w:rPr>
        <w:t>109 per cent</w:t>
      </w:r>
      <w:r>
        <w:t xml:space="preserve"> in 2017</w:t>
      </w:r>
      <w:r w:rsidR="00FD3A65" w:rsidRPr="00FD3A65">
        <w:t>–</w:t>
      </w:r>
      <w:r>
        <w:t>18</w:t>
      </w:r>
      <w:r w:rsidR="007576F5">
        <w:t>,</w:t>
      </w:r>
      <w:r>
        <w:t xml:space="preserve"> and </w:t>
      </w:r>
      <w:r w:rsidRPr="00875AFA">
        <w:rPr>
          <w:u w:val="single"/>
        </w:rPr>
        <w:t>109 per cent</w:t>
      </w:r>
      <w:r w:rsidR="00566F8E">
        <w:rPr>
          <w:u w:val="single"/>
        </w:rPr>
        <w:t xml:space="preserve"> again</w:t>
      </w:r>
      <w:r>
        <w:t xml:space="preserve"> in 2018</w:t>
      </w:r>
      <w:r w:rsidR="00FD3A65" w:rsidRPr="00FD3A65">
        <w:t>–</w:t>
      </w:r>
      <w:r>
        <w:t>19.</w:t>
      </w:r>
      <w:r>
        <w:rPr>
          <w:rStyle w:val="FootnoteReference"/>
        </w:rPr>
        <w:footnoteReference w:id="11"/>
      </w:r>
    </w:p>
    <w:p w14:paraId="2E2075B5" w14:textId="0207A0DF" w:rsidR="004F7131" w:rsidRDefault="33259E30" w:rsidP="00A92F97">
      <w:pPr>
        <w:pStyle w:val="P1-N1Paragraph1-Number1"/>
        <w:numPr>
          <w:ilvl w:val="0"/>
          <w:numId w:val="19"/>
        </w:numPr>
        <w:tabs>
          <w:tab w:val="num" w:pos="851"/>
        </w:tabs>
        <w:ind w:left="0" w:firstLine="0"/>
        <w:jc w:val="both"/>
      </w:pPr>
      <w:r>
        <w:t xml:space="preserve">If the Panel </w:t>
      </w:r>
      <w:r w:rsidR="60ED72D2">
        <w:t>accepts</w:t>
      </w:r>
      <w:r>
        <w:t xml:space="preserve"> Australia's calculations</w:t>
      </w:r>
      <w:r w:rsidR="60ED72D2">
        <w:t xml:space="preserve"> </w:t>
      </w:r>
      <w:r w:rsidR="1BAC36A1">
        <w:t xml:space="preserve">– or through its own calculations finds India's level of </w:t>
      </w:r>
      <w:r w:rsidR="00E016A9">
        <w:t xml:space="preserve">non-exempt </w:t>
      </w:r>
      <w:r w:rsidR="1BAC36A1">
        <w:t xml:space="preserve">domestic support exceeds </w:t>
      </w:r>
      <w:r w:rsidR="00E81CD3">
        <w:t>10 per cent of the value of production</w:t>
      </w:r>
      <w:r w:rsidR="1BAC36A1">
        <w:t xml:space="preserve"> –</w:t>
      </w:r>
      <w:r>
        <w:t xml:space="preserve"> then it should uphold Australia's domestic support claims.</w:t>
      </w:r>
    </w:p>
    <w:p w14:paraId="2E507413" w14:textId="77777777" w:rsidR="00E2006A" w:rsidRDefault="00F1347B" w:rsidP="00CF2651">
      <w:pPr>
        <w:pStyle w:val="HL2HeadingLevel2"/>
      </w:pPr>
      <w:bookmarkStart w:id="9" w:name="_Toc58497310"/>
      <w:r>
        <w:lastRenderedPageBreak/>
        <w:t xml:space="preserve">The Facts Underpinning </w:t>
      </w:r>
      <w:r w:rsidR="006A7372">
        <w:t xml:space="preserve">Australia's </w:t>
      </w:r>
      <w:r>
        <w:t>Domestic Support Calculations are Not in Dispute</w:t>
      </w:r>
      <w:bookmarkEnd w:id="9"/>
    </w:p>
    <w:p w14:paraId="5F81D624" w14:textId="5CC315D0" w:rsidR="00F02061" w:rsidRDefault="36594A8F" w:rsidP="00A92F97">
      <w:pPr>
        <w:pStyle w:val="P1-N1Paragraph1-Number1"/>
        <w:numPr>
          <w:ilvl w:val="0"/>
          <w:numId w:val="19"/>
        </w:numPr>
        <w:tabs>
          <w:tab w:val="num" w:pos="851"/>
        </w:tabs>
        <w:ind w:left="0" w:firstLine="0"/>
        <w:jc w:val="both"/>
      </w:pPr>
      <w:r>
        <w:t>India has not disputed the facts underpin</w:t>
      </w:r>
      <w:r w:rsidR="7DBD393E">
        <w:t>ning</w:t>
      </w:r>
      <w:r>
        <w:t xml:space="preserve"> </w:t>
      </w:r>
      <w:r w:rsidR="55C8BA52">
        <w:t>Australia's</w:t>
      </w:r>
      <w:r>
        <w:t xml:space="preserve"> domestic support calculations.</w:t>
      </w:r>
      <w:r w:rsidR="006A7372">
        <w:rPr>
          <w:rStyle w:val="FootnoteReference"/>
        </w:rPr>
        <w:footnoteReference w:id="12"/>
      </w:r>
      <w:r>
        <w:t xml:space="preserve">  In view of the Panel's ruling</w:t>
      </w:r>
      <w:r w:rsidR="004532C9">
        <w:t xml:space="preserve"> of 9 November 2020</w:t>
      </w:r>
      <w:r>
        <w:t xml:space="preserve">, there are now </w:t>
      </w:r>
      <w:r w:rsidRPr="00F02061">
        <w:rPr>
          <w:u w:val="single"/>
        </w:rPr>
        <w:t>no</w:t>
      </w:r>
      <w:r>
        <w:t xml:space="preserve"> contested</w:t>
      </w:r>
      <w:r w:rsidR="000A08C1">
        <w:t xml:space="preserve"> </w:t>
      </w:r>
      <w:r>
        <w:t>fact</w:t>
      </w:r>
      <w:r w:rsidR="7DBD393E">
        <w:t>s</w:t>
      </w:r>
      <w:r>
        <w:t xml:space="preserve"> that </w:t>
      </w:r>
      <w:r w:rsidR="7DBD393E">
        <w:t>c</w:t>
      </w:r>
      <w:r>
        <w:t xml:space="preserve">ould have a bearing on the calculations. </w:t>
      </w:r>
    </w:p>
    <w:p w14:paraId="130109BC" w14:textId="25C34260" w:rsidR="00A003C4" w:rsidRDefault="37AAEA67" w:rsidP="00A92F97">
      <w:pPr>
        <w:pStyle w:val="P1-N1Paragraph1-Number1"/>
        <w:numPr>
          <w:ilvl w:val="0"/>
          <w:numId w:val="19"/>
        </w:numPr>
        <w:tabs>
          <w:tab w:val="num" w:pos="851"/>
        </w:tabs>
        <w:ind w:left="0" w:firstLine="0"/>
        <w:jc w:val="both"/>
      </w:pPr>
      <w:r>
        <w:t xml:space="preserve">Consistent with the methodology set out in Annex 3 of the Agreement on Agriculture, </w:t>
      </w:r>
      <w:r w:rsidR="55C8BA52">
        <w:t>Australia's</w:t>
      </w:r>
      <w:r>
        <w:t xml:space="preserve"> calculations </w:t>
      </w:r>
      <w:r w:rsidR="00EB2A2E">
        <w:t xml:space="preserve">of India's Aggregate Measurement of Support (AMS) </w:t>
      </w:r>
      <w:r w:rsidR="005945A5">
        <w:t>for</w:t>
      </w:r>
      <w:r w:rsidR="00EB2A2E">
        <w:t xml:space="preserve"> sugarcane </w:t>
      </w:r>
      <w:r w:rsidR="0A7002C8">
        <w:t>inc</w:t>
      </w:r>
      <w:r w:rsidR="007905EE">
        <w:t>lude</w:t>
      </w:r>
      <w:r>
        <w:t xml:space="preserve"> the </w:t>
      </w:r>
      <w:r w:rsidR="0A7002C8">
        <w:t xml:space="preserve">non-exempt </w:t>
      </w:r>
      <w:r>
        <w:t xml:space="preserve">domestic support India provides through </w:t>
      </w:r>
      <w:r w:rsidR="7DC11674">
        <w:t>MPS</w:t>
      </w:r>
      <w:r>
        <w:t xml:space="preserve">, </w:t>
      </w:r>
      <w:r w:rsidR="00126C11">
        <w:t xml:space="preserve">non-exempt </w:t>
      </w:r>
      <w:r>
        <w:t xml:space="preserve">direct payments </w:t>
      </w:r>
      <w:r w:rsidR="00410074">
        <w:t>and</w:t>
      </w:r>
      <w:r>
        <w:t xml:space="preserve"> other</w:t>
      </w:r>
      <w:r w:rsidR="00BB6C5B">
        <w:t xml:space="preserve"> non-exempt policies</w:t>
      </w:r>
      <w:r>
        <w:t>.</w:t>
      </w:r>
    </w:p>
    <w:p w14:paraId="29DF1EEE" w14:textId="77777777" w:rsidR="00A003C4" w:rsidRDefault="37AAEA67" w:rsidP="002E78A9">
      <w:pPr>
        <w:pStyle w:val="P1-N1Paragraph1-Number1"/>
        <w:numPr>
          <w:ilvl w:val="0"/>
          <w:numId w:val="19"/>
        </w:numPr>
        <w:tabs>
          <w:tab w:val="num" w:pos="851"/>
        </w:tabs>
        <w:ind w:left="0" w:firstLine="0"/>
        <w:jc w:val="both"/>
      </w:pPr>
      <w:r>
        <w:t xml:space="preserve">India's </w:t>
      </w:r>
      <w:r w:rsidR="4582C7A7">
        <w:t>MPS</w:t>
      </w:r>
      <w:r>
        <w:t xml:space="preserve"> consists of:</w:t>
      </w:r>
    </w:p>
    <w:p w14:paraId="6FB25BB0" w14:textId="77777777" w:rsidR="00A003C4" w:rsidRDefault="004744D0" w:rsidP="00EA3311">
      <w:pPr>
        <w:pStyle w:val="P2-B1Paragraph2-Bullet1"/>
        <w:numPr>
          <w:ilvl w:val="0"/>
          <w:numId w:val="20"/>
        </w:numPr>
        <w:ind w:left="1560" w:hanging="709"/>
      </w:pPr>
      <w:r>
        <w:t>t</w:t>
      </w:r>
      <w:r w:rsidR="00A003C4">
        <w:t>he FRP;</w:t>
      </w:r>
      <w:r>
        <w:t xml:space="preserve"> and</w:t>
      </w:r>
    </w:p>
    <w:p w14:paraId="287456DD" w14:textId="4E9F2A0F" w:rsidR="00A003C4" w:rsidRDefault="0A7002C8" w:rsidP="00EA3311">
      <w:pPr>
        <w:pStyle w:val="P2-B1Paragraph2-Bullet1"/>
        <w:numPr>
          <w:ilvl w:val="0"/>
          <w:numId w:val="20"/>
        </w:numPr>
        <w:ind w:left="1560" w:hanging="709"/>
      </w:pPr>
      <w:r>
        <w:t>t</w:t>
      </w:r>
      <w:r w:rsidR="37AAEA67">
        <w:t xml:space="preserve">he SAPs in </w:t>
      </w:r>
      <w:r w:rsidR="748D17AC">
        <w:t>six</w:t>
      </w:r>
      <w:r w:rsidR="37AAEA67">
        <w:t xml:space="preserve"> states</w:t>
      </w:r>
      <w:r w:rsidR="5BA82E90">
        <w:t>.</w:t>
      </w:r>
    </w:p>
    <w:p w14:paraId="123533BB" w14:textId="77777777" w:rsidR="0097132A" w:rsidRDefault="277F4A29" w:rsidP="002E78A9">
      <w:pPr>
        <w:pStyle w:val="P1-N1Paragraph1-Number1"/>
        <w:numPr>
          <w:ilvl w:val="0"/>
          <w:numId w:val="19"/>
        </w:numPr>
        <w:tabs>
          <w:tab w:val="num" w:pos="851"/>
        </w:tabs>
        <w:ind w:left="0" w:firstLine="0"/>
        <w:jc w:val="both"/>
      </w:pPr>
      <w:r w:rsidRPr="00EA2371">
        <w:rPr>
          <w:u w:val="single"/>
        </w:rPr>
        <w:t>India agrees</w:t>
      </w:r>
      <w:r>
        <w:t xml:space="preserve"> that it continues to set the FRP and has not contested the </w:t>
      </w:r>
      <w:r w:rsidR="1AB69748">
        <w:t xml:space="preserve">floor </w:t>
      </w:r>
      <w:r>
        <w:t>prices established by th</w:t>
      </w:r>
      <w:r w:rsidR="74E1CF9E">
        <w:t>at measure</w:t>
      </w:r>
      <w:r>
        <w:t xml:space="preserve"> in any of the relevant sugar seasons</w:t>
      </w:r>
      <w:r w:rsidR="7669FE39">
        <w:t>.</w:t>
      </w:r>
      <w:r w:rsidR="004D3F24">
        <w:rPr>
          <w:rStyle w:val="FootnoteReference"/>
        </w:rPr>
        <w:footnoteReference w:id="13"/>
      </w:r>
      <w:r w:rsidR="7669FE39">
        <w:t xml:space="preserve"> </w:t>
      </w:r>
      <w:r w:rsidR="1AB69748">
        <w:t xml:space="preserve"> </w:t>
      </w:r>
    </w:p>
    <w:p w14:paraId="1E0E3F70" w14:textId="77777777" w:rsidR="0097132A" w:rsidRDefault="1AB69748" w:rsidP="002E78A9">
      <w:pPr>
        <w:pStyle w:val="P1-N1Paragraph1-Number1"/>
        <w:numPr>
          <w:ilvl w:val="0"/>
          <w:numId w:val="19"/>
        </w:numPr>
        <w:tabs>
          <w:tab w:val="num" w:pos="851"/>
        </w:tabs>
        <w:ind w:left="0" w:firstLine="0"/>
        <w:jc w:val="both"/>
      </w:pPr>
      <w:r w:rsidRPr="00EA2371">
        <w:rPr>
          <w:u w:val="single"/>
        </w:rPr>
        <w:t>India agrees</w:t>
      </w:r>
      <w:r>
        <w:t xml:space="preserve"> that four of the six states (Haryana, Punjab, Uttarakhand and Uttar Pradesh) continue to set a SAP.</w:t>
      </w:r>
      <w:r w:rsidR="0097132A">
        <w:rPr>
          <w:rStyle w:val="FootnoteReference"/>
        </w:rPr>
        <w:footnoteReference w:id="14"/>
      </w:r>
      <w:r>
        <w:t xml:space="preserve">  India </w:t>
      </w:r>
      <w:r w:rsidR="7126F85B">
        <w:t xml:space="preserve">also </w:t>
      </w:r>
      <w:r>
        <w:t xml:space="preserve">does not dispute that these </w:t>
      </w:r>
      <w:r w:rsidR="5990EE31">
        <w:t xml:space="preserve">four </w:t>
      </w:r>
      <w:r>
        <w:t xml:space="preserve">states </w:t>
      </w:r>
      <w:r w:rsidR="30F75531">
        <w:t>applied</w:t>
      </w:r>
      <w:r>
        <w:t xml:space="preserve"> SAPs </w:t>
      </w:r>
      <w:r w:rsidR="30F75531">
        <w:t xml:space="preserve">during the five sugar seasons for which </w:t>
      </w:r>
      <w:r>
        <w:t>Australia</w:t>
      </w:r>
      <w:r w:rsidR="30F75531">
        <w:t xml:space="preserve"> has presented domestic support</w:t>
      </w:r>
      <w:r>
        <w:t xml:space="preserve"> calculations.</w:t>
      </w:r>
      <w:r w:rsidR="00AF4AF8">
        <w:rPr>
          <w:rStyle w:val="FootnoteReference"/>
        </w:rPr>
        <w:footnoteReference w:id="15"/>
      </w:r>
    </w:p>
    <w:p w14:paraId="23A46F80" w14:textId="77777777" w:rsidR="009524CF" w:rsidRDefault="691A52E6" w:rsidP="00057545">
      <w:pPr>
        <w:pStyle w:val="P1-N1Paragraph1-Number1"/>
        <w:numPr>
          <w:ilvl w:val="0"/>
          <w:numId w:val="19"/>
        </w:numPr>
        <w:tabs>
          <w:tab w:val="num" w:pos="851"/>
        </w:tabs>
        <w:ind w:left="0" w:firstLine="0"/>
        <w:jc w:val="both"/>
      </w:pPr>
      <w:r>
        <w:t>With respect to the fifth state (Tamil Nadu), India argues that it no longer sets a SAP.</w:t>
      </w:r>
      <w:r w:rsidR="00255524">
        <w:rPr>
          <w:rStyle w:val="FootnoteReference"/>
        </w:rPr>
        <w:footnoteReference w:id="16"/>
      </w:r>
      <w:r>
        <w:t xml:space="preserve">  Australia agrees.</w:t>
      </w:r>
      <w:r w:rsidR="00255524">
        <w:rPr>
          <w:rStyle w:val="FootnoteReference"/>
        </w:rPr>
        <w:footnoteReference w:id="17"/>
      </w:r>
      <w:r>
        <w:t xml:space="preserve">  But India does not dispute that Tamil Nadu did – in some previous sugar seasons – set a SAP, as reflected in </w:t>
      </w:r>
      <w:r w:rsidR="7126F85B">
        <w:t>Australia's</w:t>
      </w:r>
      <w:r>
        <w:t xml:space="preserve"> calculations and supported by the evidence.</w:t>
      </w:r>
      <w:r w:rsidR="69406CB0">
        <w:t xml:space="preserve">  In fact, India's claim that Tamil Nadu's SAPs in some previous sugar seasons ha</w:t>
      </w:r>
      <w:r w:rsidR="00027A1C">
        <w:t>ve</w:t>
      </w:r>
      <w:r w:rsidR="69406CB0">
        <w:t xml:space="preserve"> </w:t>
      </w:r>
      <w:r w:rsidR="40DF5706">
        <w:t>"</w:t>
      </w:r>
      <w:r w:rsidR="69406CB0">
        <w:t>expired</w:t>
      </w:r>
      <w:r w:rsidR="40DF5706">
        <w:t>"</w:t>
      </w:r>
      <w:r w:rsidR="69406CB0">
        <w:t xml:space="preserve"> is essentially an admission that Tamil Nadu did set SAPs in those seasons.</w:t>
      </w:r>
      <w:r w:rsidR="00964355">
        <w:rPr>
          <w:rStyle w:val="FootnoteReference"/>
        </w:rPr>
        <w:footnoteReference w:id="18"/>
      </w:r>
    </w:p>
    <w:p w14:paraId="765643BC" w14:textId="3E3A924C" w:rsidR="00F85F9E" w:rsidRDefault="7C4D991F" w:rsidP="00057545">
      <w:pPr>
        <w:pStyle w:val="P1-N1Paragraph1-Number1"/>
        <w:numPr>
          <w:ilvl w:val="0"/>
          <w:numId w:val="19"/>
        </w:numPr>
        <w:tabs>
          <w:tab w:val="num" w:pos="851"/>
        </w:tabs>
        <w:ind w:left="0" w:firstLine="0"/>
        <w:jc w:val="both"/>
      </w:pPr>
      <w:r>
        <w:lastRenderedPageBreak/>
        <w:t xml:space="preserve">Finally, in relation to the </w:t>
      </w:r>
      <w:r w:rsidR="757EEE83">
        <w:t>sixth</w:t>
      </w:r>
      <w:r>
        <w:t xml:space="preserve"> state, India </w:t>
      </w:r>
      <w:r w:rsidR="40DF5706">
        <w:t>argues</w:t>
      </w:r>
      <w:r>
        <w:t xml:space="preserve"> that, as at 18 March 2020, the state of Bihar no longer set</w:t>
      </w:r>
      <w:r w:rsidR="00EB2A2E">
        <w:t>s</w:t>
      </w:r>
      <w:r>
        <w:t xml:space="preserve"> a SAP.</w:t>
      </w:r>
      <w:r w:rsidR="00255524">
        <w:rPr>
          <w:rStyle w:val="FootnoteReference"/>
        </w:rPr>
        <w:footnoteReference w:id="19"/>
      </w:r>
      <w:r>
        <w:t xml:space="preserve">  </w:t>
      </w:r>
      <w:r w:rsidR="2FBC6EC2">
        <w:t xml:space="preserve">Australia does </w:t>
      </w:r>
      <w:r w:rsidR="2FBC6EC2" w:rsidRPr="00F62DCE">
        <w:rPr>
          <w:u w:val="single"/>
        </w:rPr>
        <w:t>not</w:t>
      </w:r>
      <w:r w:rsidR="2FBC6EC2">
        <w:t xml:space="preserve"> agree with this claim.  </w:t>
      </w:r>
      <w:r w:rsidR="1E22EDFE">
        <w:t xml:space="preserve">However, </w:t>
      </w:r>
      <w:r w:rsidR="2FBC6EC2">
        <w:t>it is not necessary for the Panel to make a finding in relation to this factual matter</w:t>
      </w:r>
      <w:r w:rsidR="00A76E39">
        <w:t xml:space="preserve"> because</w:t>
      </w:r>
      <w:r w:rsidR="2FBC6EC2">
        <w:t xml:space="preserve"> India has not disputed that Bihar previously set a SAP.  And </w:t>
      </w:r>
      <w:r w:rsidR="00126C11">
        <w:t>Australia has</w:t>
      </w:r>
      <w:r w:rsidR="2FBC6EC2">
        <w:t xml:space="preserve"> presented evidence that Bihar did so, in each of the sugar seasons included in the calculations.</w:t>
      </w:r>
      <w:r w:rsidR="00255524">
        <w:rPr>
          <w:rStyle w:val="FootnoteReference"/>
        </w:rPr>
        <w:footnoteReference w:id="20"/>
      </w:r>
      <w:r w:rsidR="2FBC6EC2">
        <w:t xml:space="preserve"> </w:t>
      </w:r>
    </w:p>
    <w:p w14:paraId="66717303" w14:textId="0E446C72" w:rsidR="00185CD3" w:rsidRDefault="75D828ED" w:rsidP="00057545">
      <w:pPr>
        <w:pStyle w:val="P1-N1Paragraph1-Number1"/>
        <w:numPr>
          <w:ilvl w:val="0"/>
          <w:numId w:val="19"/>
        </w:numPr>
        <w:tabs>
          <w:tab w:val="num" w:pos="851"/>
        </w:tabs>
        <w:ind w:left="0" w:firstLine="0"/>
        <w:jc w:val="both"/>
      </w:pPr>
      <w:r>
        <w:t xml:space="preserve">In addition to </w:t>
      </w:r>
      <w:r w:rsidR="00C2DBF1">
        <w:t>MPS</w:t>
      </w:r>
      <w:r>
        <w:t xml:space="preserve">, </w:t>
      </w:r>
      <w:r w:rsidR="00126C11">
        <w:t>Australia's</w:t>
      </w:r>
      <w:r w:rsidR="08CC8999">
        <w:t xml:space="preserve"> calculations include </w:t>
      </w:r>
      <w:r w:rsidR="00FA6198">
        <w:t>three state program</w:t>
      </w:r>
      <w:r w:rsidR="007B1478">
        <w:t>me</w:t>
      </w:r>
      <w:r w:rsidR="00FA6198">
        <w:t xml:space="preserve">s that constitute </w:t>
      </w:r>
      <w:r w:rsidR="37AAEA67">
        <w:t xml:space="preserve">non-exempt direct payments or other </w:t>
      </w:r>
      <w:r w:rsidR="002A693D" w:rsidRPr="002A693D">
        <w:t>non-exempt policies</w:t>
      </w:r>
      <w:r w:rsidR="37AAEA67">
        <w:t xml:space="preserve"> </w:t>
      </w:r>
      <w:r w:rsidR="0B58D849">
        <w:t xml:space="preserve">that </w:t>
      </w:r>
      <w:r w:rsidR="0CD14466">
        <w:t xml:space="preserve">do </w:t>
      </w:r>
      <w:r w:rsidR="0CD14466" w:rsidRPr="5EC6AFD6">
        <w:rPr>
          <w:u w:val="single"/>
        </w:rPr>
        <w:t>not</w:t>
      </w:r>
      <w:r w:rsidR="0CD14466">
        <w:t xml:space="preserve"> maintain a gap between the </w:t>
      </w:r>
      <w:r w:rsidR="42027FAD">
        <w:t>A</w:t>
      </w:r>
      <w:r w:rsidR="00307051">
        <w:t xml:space="preserve">pplied </w:t>
      </w:r>
      <w:r w:rsidR="42027FAD">
        <w:t>A</w:t>
      </w:r>
      <w:r w:rsidR="00307051">
        <w:t xml:space="preserve">dministered </w:t>
      </w:r>
      <w:r w:rsidR="42027FAD">
        <w:t>P</w:t>
      </w:r>
      <w:r w:rsidR="00307051">
        <w:t>rice (AAP)</w:t>
      </w:r>
      <w:r w:rsidR="42027FAD">
        <w:t xml:space="preserve"> </w:t>
      </w:r>
      <w:r w:rsidR="0CD14466">
        <w:t xml:space="preserve">and the </w:t>
      </w:r>
      <w:r w:rsidR="42027FAD">
        <w:t>F</w:t>
      </w:r>
      <w:r w:rsidR="00307051">
        <w:t xml:space="preserve">ixed </w:t>
      </w:r>
      <w:r w:rsidR="42027FAD">
        <w:t>E</w:t>
      </w:r>
      <w:r w:rsidR="00307051">
        <w:t xml:space="preserve">xternal </w:t>
      </w:r>
      <w:r w:rsidR="42027FAD">
        <w:t>R</w:t>
      </w:r>
      <w:r w:rsidR="00307051">
        <w:t xml:space="preserve">eference </w:t>
      </w:r>
      <w:r w:rsidR="42027FAD">
        <w:t>P</w:t>
      </w:r>
      <w:r w:rsidR="00307051">
        <w:t>rice (FERP)</w:t>
      </w:r>
      <w:r w:rsidR="0CD14466">
        <w:t>.</w:t>
      </w:r>
      <w:r w:rsidR="00FA6198">
        <w:rPr>
          <w:rStyle w:val="FootnoteReference"/>
        </w:rPr>
        <w:footnoteReference w:id="21"/>
      </w:r>
      <w:r w:rsidR="0CD14466">
        <w:t xml:space="preserve">  </w:t>
      </w:r>
    </w:p>
    <w:p w14:paraId="295633B3" w14:textId="4B1D68DA" w:rsidR="001567B5" w:rsidRDefault="0213C9A8" w:rsidP="00272EB9">
      <w:pPr>
        <w:pStyle w:val="P1-N1Paragraph1-Number1"/>
        <w:numPr>
          <w:ilvl w:val="0"/>
          <w:numId w:val="19"/>
        </w:numPr>
        <w:tabs>
          <w:tab w:val="num" w:pos="851"/>
        </w:tabs>
        <w:ind w:left="0" w:firstLine="0"/>
        <w:jc w:val="both"/>
      </w:pPr>
      <w:r>
        <w:t>India does not dispute the existence of these state program</w:t>
      </w:r>
      <w:r w:rsidR="007B1478">
        <w:t>me</w:t>
      </w:r>
      <w:r>
        <w:t>s in the relevant seasons or the budgetary outlays made in connection with them</w:t>
      </w:r>
      <w:r w:rsidR="3AEA61E5">
        <w:t>.</w:t>
      </w:r>
      <w:r w:rsidR="279AA265">
        <w:t xml:space="preserve">  Further, India does not contest that the</w:t>
      </w:r>
      <w:r w:rsidR="00FA6198">
        <w:t>y</w:t>
      </w:r>
      <w:r w:rsidR="279AA265">
        <w:t xml:space="preserve"> are non-exempt direct payments or other </w:t>
      </w:r>
      <w:r w:rsidR="002A693D" w:rsidRPr="002A693D">
        <w:t>non-exempt policies</w:t>
      </w:r>
      <w:r w:rsidR="279AA265">
        <w:t xml:space="preserve"> that may be added to the AMS calculation.</w:t>
      </w:r>
    </w:p>
    <w:p w14:paraId="6B0A2C4C" w14:textId="770484ED" w:rsidR="00064BE5" w:rsidRDefault="005E6AC1" w:rsidP="00272EB9">
      <w:pPr>
        <w:pStyle w:val="P1-N1Paragraph1-Number1"/>
        <w:numPr>
          <w:ilvl w:val="0"/>
          <w:numId w:val="19"/>
        </w:numPr>
        <w:tabs>
          <w:tab w:val="num" w:pos="851"/>
        </w:tabs>
        <w:ind w:left="0" w:firstLine="0"/>
        <w:jc w:val="both"/>
      </w:pPr>
      <w:r>
        <w:t xml:space="preserve">Also, </w:t>
      </w:r>
      <w:r w:rsidR="01AE0FC0">
        <w:t>Australia asks</w:t>
      </w:r>
      <w:r w:rsidR="503E47E7">
        <w:t xml:space="preserve"> the Panel to find that India is maintaining or has maintained various other measures directed </w:t>
      </w:r>
      <w:r w:rsidR="00027A1C">
        <w:t>principally at</w:t>
      </w:r>
      <w:r w:rsidR="503E47E7">
        <w:t xml:space="preserve"> maintaining the mandated minimum sugarcane price and therefore the "gap" between the AAP and the FERP.</w:t>
      </w:r>
      <w:r w:rsidR="00410074">
        <w:rPr>
          <w:rStyle w:val="FootnoteReference"/>
        </w:rPr>
        <w:footnoteReference w:id="22"/>
      </w:r>
      <w:r w:rsidR="503E47E7">
        <w:t xml:space="preserve">  Consistent with paragraph 8 of Annex 3, </w:t>
      </w:r>
      <w:r w:rsidR="307F179E">
        <w:t>Australia has</w:t>
      </w:r>
      <w:r w:rsidR="503E47E7">
        <w:t xml:space="preserve"> </w:t>
      </w:r>
      <w:r w:rsidR="503E47E7" w:rsidRPr="5EC6AFD6">
        <w:rPr>
          <w:u w:val="single"/>
        </w:rPr>
        <w:t>not</w:t>
      </w:r>
      <w:r w:rsidR="503E47E7">
        <w:t xml:space="preserve"> included the budgetary payments for these measures in calculating India's AMS.</w:t>
      </w:r>
    </w:p>
    <w:p w14:paraId="00524A63" w14:textId="424C4026" w:rsidR="0004239D" w:rsidRDefault="0004239D" w:rsidP="0004239D">
      <w:pPr>
        <w:pStyle w:val="P1-N1Paragraph1-Number1"/>
        <w:numPr>
          <w:ilvl w:val="0"/>
          <w:numId w:val="19"/>
        </w:numPr>
        <w:tabs>
          <w:tab w:val="num" w:pos="851"/>
        </w:tabs>
        <w:ind w:left="0" w:firstLine="0"/>
        <w:jc w:val="both"/>
      </w:pPr>
      <w:r>
        <w:t xml:space="preserve">With the exception of its claim that the purchase tax remissions schemes applied by certain states have been discontinued with effect from 14 November 2018, India does not dispute the existence or nature of any of these measures, and </w:t>
      </w:r>
      <w:r w:rsidR="003013AA">
        <w:t xml:space="preserve">therefore does not contest </w:t>
      </w:r>
      <w:r>
        <w:t xml:space="preserve">Australia's evidence in that regard.  </w:t>
      </w:r>
    </w:p>
    <w:p w14:paraId="6FFC654B" w14:textId="253B54C4" w:rsidR="002A3D88" w:rsidRDefault="0004239D" w:rsidP="00074E32">
      <w:pPr>
        <w:pStyle w:val="P1-N1Paragraph1-Number1"/>
        <w:keepLines/>
        <w:numPr>
          <w:ilvl w:val="0"/>
          <w:numId w:val="19"/>
        </w:numPr>
        <w:tabs>
          <w:tab w:val="num" w:pos="851"/>
        </w:tabs>
        <w:ind w:left="0" w:firstLine="0"/>
        <w:jc w:val="both"/>
      </w:pPr>
      <w:r>
        <w:lastRenderedPageBreak/>
        <w:t xml:space="preserve">Moreover, India has not argued that any of the measures are exempt.  </w:t>
      </w:r>
      <w:r w:rsidR="2353F289">
        <w:t xml:space="preserve">Australia </w:t>
      </w:r>
      <w:r w:rsidR="00566F8E">
        <w:t xml:space="preserve">therefore </w:t>
      </w:r>
      <w:r w:rsidR="2353F289">
        <w:t xml:space="preserve">requests that the Panel find these </w:t>
      </w:r>
      <w:r w:rsidR="73371EA5">
        <w:t>to be</w:t>
      </w:r>
      <w:r w:rsidR="2353F289">
        <w:t xml:space="preserve"> measures through which India </w:t>
      </w:r>
      <w:r w:rsidR="73371EA5">
        <w:t>provides (or has provided)</w:t>
      </w:r>
      <w:r w:rsidR="2353F289">
        <w:t xml:space="preserve"> domestic support </w:t>
      </w:r>
      <w:r w:rsidR="6723B3AC">
        <w:t>to sugarcane producers in excess of</w:t>
      </w:r>
      <w:r w:rsidR="2353F289">
        <w:t xml:space="preserve"> </w:t>
      </w:r>
      <w:r w:rsidR="2353F289" w:rsidRPr="5EC6AFD6">
        <w:rPr>
          <w:i/>
          <w:iCs/>
        </w:rPr>
        <w:t>de minimis</w:t>
      </w:r>
      <w:r w:rsidR="2353F289">
        <w:t>.</w:t>
      </w:r>
      <w:r w:rsidR="00CA687A">
        <w:rPr>
          <w:rStyle w:val="FootnoteReference"/>
        </w:rPr>
        <w:footnoteReference w:id="23"/>
      </w:r>
      <w:r w:rsidR="2353F289">
        <w:t xml:space="preserve"> </w:t>
      </w:r>
      <w:r w:rsidR="5A50FFA1">
        <w:t xml:space="preserve"> Although </w:t>
      </w:r>
      <w:r w:rsidR="73371EA5">
        <w:t>we have not added the budgetary payments for</w:t>
      </w:r>
      <w:r w:rsidR="5A50FFA1">
        <w:t xml:space="preserve"> these measures </w:t>
      </w:r>
      <w:r w:rsidR="73371EA5">
        <w:t>into our calculation</w:t>
      </w:r>
      <w:r w:rsidR="00566F8E">
        <w:t>s</w:t>
      </w:r>
      <w:r w:rsidR="73371EA5">
        <w:t xml:space="preserve"> of India's AMS</w:t>
      </w:r>
      <w:r w:rsidR="5A50FFA1">
        <w:t xml:space="preserve">, this does not mean </w:t>
      </w:r>
      <w:r w:rsidR="73371EA5">
        <w:t>those</w:t>
      </w:r>
      <w:r w:rsidR="5A50FFA1">
        <w:t xml:space="preserve"> measures</w:t>
      </w:r>
      <w:r w:rsidR="73371EA5" w:rsidRPr="009A180F">
        <w:t xml:space="preserve"> </w:t>
      </w:r>
      <w:r w:rsidR="73371EA5">
        <w:t>are exempt</w:t>
      </w:r>
      <w:r w:rsidR="34A697BD">
        <w:t>.</w:t>
      </w:r>
      <w:r w:rsidR="292F1349">
        <w:t xml:space="preserve"> </w:t>
      </w:r>
      <w:r w:rsidR="34A697BD">
        <w:t xml:space="preserve"> The</w:t>
      </w:r>
      <w:r w:rsidR="62917E1A">
        <w:t xml:space="preserve"> Pane</w:t>
      </w:r>
      <w:r w:rsidR="004F2538">
        <w:t>l</w:t>
      </w:r>
      <w:r w:rsidR="00297218">
        <w:t xml:space="preserve"> should, therefore, include them in its</w:t>
      </w:r>
      <w:r w:rsidR="62917E1A">
        <w:t xml:space="preserve"> findings</w:t>
      </w:r>
      <w:r w:rsidR="503E47E7">
        <w:t xml:space="preserve"> and recommendations</w:t>
      </w:r>
      <w:r w:rsidR="62917E1A">
        <w:t>.</w:t>
      </w:r>
    </w:p>
    <w:p w14:paraId="40C6EA54" w14:textId="77777777" w:rsidR="0062714F" w:rsidRDefault="331E2750" w:rsidP="00272EB9">
      <w:pPr>
        <w:pStyle w:val="P1-N1Paragraph1-Number1"/>
        <w:numPr>
          <w:ilvl w:val="0"/>
          <w:numId w:val="19"/>
        </w:numPr>
        <w:tabs>
          <w:tab w:val="num" w:pos="851"/>
        </w:tabs>
        <w:ind w:left="0" w:firstLine="0"/>
        <w:jc w:val="both"/>
      </w:pPr>
      <w:r>
        <w:t>A</w:t>
      </w:r>
      <w:r w:rsidR="00633830">
        <w:t>s I have</w:t>
      </w:r>
      <w:r>
        <w:t xml:space="preserve"> demonstrated </w:t>
      </w:r>
      <w:r w:rsidR="00633830">
        <w:t xml:space="preserve">then, </w:t>
      </w:r>
      <w:r>
        <w:t xml:space="preserve">there are </w:t>
      </w:r>
      <w:r w:rsidR="42027FAD" w:rsidRPr="5EC6AFD6">
        <w:rPr>
          <w:u w:val="single"/>
        </w:rPr>
        <w:t>no disputed factual matters</w:t>
      </w:r>
      <w:r w:rsidR="42027FAD">
        <w:t xml:space="preserve"> that the Panel needs to resolve in order to uphold Australia's claim</w:t>
      </w:r>
      <w:r w:rsidR="35ACEBEB">
        <w:t xml:space="preserve"> that India's level of domestic support to sugarcane violates its obligations under the Agreement on Agriculture</w:t>
      </w:r>
      <w:r w:rsidR="42027FAD">
        <w:t xml:space="preserve">. </w:t>
      </w:r>
    </w:p>
    <w:p w14:paraId="2A1878F3" w14:textId="77777777" w:rsidR="00CC14FE" w:rsidRDefault="000C2B64" w:rsidP="004F7FC6">
      <w:pPr>
        <w:pStyle w:val="HL2HeadingLevel2"/>
      </w:pPr>
      <w:bookmarkStart w:id="10" w:name="_Toc58497311"/>
      <w:r>
        <w:t xml:space="preserve">The Panel Should Reject </w:t>
      </w:r>
      <w:r w:rsidR="00CC14FE">
        <w:t xml:space="preserve">India's Argument That </w:t>
      </w:r>
      <w:r w:rsidR="00012C3F">
        <w:t>Market Price</w:t>
      </w:r>
      <w:r w:rsidR="00CC14FE">
        <w:t xml:space="preserve"> Support Can Only Exist When </w:t>
      </w:r>
      <w:r w:rsidR="00E3305D">
        <w:t xml:space="preserve">the AAP is Paid by </w:t>
      </w:r>
      <w:r w:rsidR="00CC14FE">
        <w:t xml:space="preserve">Government </w:t>
      </w:r>
      <w:r w:rsidR="00E3305D">
        <w:t>or its Agents</w:t>
      </w:r>
      <w:bookmarkEnd w:id="10"/>
    </w:p>
    <w:p w14:paraId="07E4D35A" w14:textId="2B0158A0" w:rsidR="00F13752" w:rsidRDefault="27B0E94B" w:rsidP="00272EB9">
      <w:pPr>
        <w:pStyle w:val="P1-N1Paragraph1-Number1"/>
        <w:numPr>
          <w:ilvl w:val="0"/>
          <w:numId w:val="19"/>
        </w:numPr>
        <w:tabs>
          <w:tab w:val="num" w:pos="851"/>
        </w:tabs>
        <w:ind w:left="0" w:firstLine="0"/>
        <w:jc w:val="both"/>
      </w:pPr>
      <w:r>
        <w:t xml:space="preserve">India's defence of its </w:t>
      </w:r>
      <w:r w:rsidR="284D171A">
        <w:t>MPS</w:t>
      </w:r>
      <w:r w:rsidR="7DCFE997">
        <w:t xml:space="preserve"> </w:t>
      </w:r>
      <w:r>
        <w:t xml:space="preserve">measures </w:t>
      </w:r>
      <w:r w:rsidR="292FAAAB">
        <w:t xml:space="preserve">– specifically the FRP and the SAPs – </w:t>
      </w:r>
      <w:r w:rsidR="29880629">
        <w:t>depends</w:t>
      </w:r>
      <w:r>
        <w:t xml:space="preserve"> entirely on its argument that "market price support only exists where the government or its agent pays the administered price and procures the product".</w:t>
      </w:r>
      <w:r w:rsidR="00BC05BD">
        <w:rPr>
          <w:rStyle w:val="FootnoteReference"/>
        </w:rPr>
        <w:footnoteReference w:id="24"/>
      </w:r>
      <w:r w:rsidR="3BBAB991">
        <w:t xml:space="preserve"> </w:t>
      </w:r>
      <w:r w:rsidR="00653A61">
        <w:t xml:space="preserve"> </w:t>
      </w:r>
      <w:r w:rsidR="55A21F33">
        <w:t>India has even gone so far</w:t>
      </w:r>
      <w:r w:rsidR="004876A9">
        <w:t xml:space="preserve"> so</w:t>
      </w:r>
      <w:r w:rsidR="55A21F33">
        <w:t xml:space="preserve"> as to claim that Australia agrees with this interpretation.</w:t>
      </w:r>
      <w:r w:rsidR="00F13752">
        <w:rPr>
          <w:rStyle w:val="FootnoteReference"/>
        </w:rPr>
        <w:footnoteReference w:id="25"/>
      </w:r>
      <w:r w:rsidR="085C3920">
        <w:t xml:space="preserve">  Th</w:t>
      </w:r>
      <w:r w:rsidR="6C94E843">
        <w:t>at</w:t>
      </w:r>
      <w:r w:rsidR="085C3920">
        <w:t xml:space="preserve"> is a </w:t>
      </w:r>
      <w:r w:rsidR="29880629">
        <w:t>clear</w:t>
      </w:r>
      <w:r w:rsidR="085C3920">
        <w:t xml:space="preserve"> mischaracterization of Australia's submissions. </w:t>
      </w:r>
    </w:p>
    <w:p w14:paraId="708CEBB3" w14:textId="77777777" w:rsidR="00C2068A" w:rsidRDefault="731BF4E2" w:rsidP="00272EB9">
      <w:pPr>
        <w:pStyle w:val="P1-N1Paragraph1-Number1"/>
        <w:numPr>
          <w:ilvl w:val="0"/>
          <w:numId w:val="19"/>
        </w:numPr>
        <w:tabs>
          <w:tab w:val="num" w:pos="851"/>
        </w:tabs>
        <w:ind w:left="0" w:firstLine="0"/>
        <w:jc w:val="both"/>
      </w:pPr>
      <w:r>
        <w:t xml:space="preserve">We </w:t>
      </w:r>
      <w:r w:rsidRPr="5EC6AFD6">
        <w:rPr>
          <w:u w:val="single"/>
        </w:rPr>
        <w:t>do not</w:t>
      </w:r>
      <w:r>
        <w:t xml:space="preserve"> agree and we urge the Panel to reject India's attempt to defend its measures by limiting the </w:t>
      </w:r>
      <w:r w:rsidR="24A387B7">
        <w:t>scope</w:t>
      </w:r>
      <w:r>
        <w:t xml:space="preserve"> of </w:t>
      </w:r>
      <w:r w:rsidR="00814619">
        <w:t xml:space="preserve">MPS </w:t>
      </w:r>
      <w:r>
        <w:t xml:space="preserve">in a manner contrary to </w:t>
      </w:r>
      <w:r w:rsidR="00106E49">
        <w:t>the</w:t>
      </w:r>
      <w:r>
        <w:t xml:space="preserve"> ordinary meaning</w:t>
      </w:r>
      <w:r w:rsidR="00106E49">
        <w:t xml:space="preserve"> of the relevant provisions</w:t>
      </w:r>
      <w:r w:rsidR="0332DF94">
        <w:t xml:space="preserve">, read in </w:t>
      </w:r>
      <w:r w:rsidR="00106E49">
        <w:t xml:space="preserve">their </w:t>
      </w:r>
      <w:r w:rsidR="0332DF94">
        <w:t xml:space="preserve">context and in light of </w:t>
      </w:r>
      <w:r w:rsidR="29880629">
        <w:t>the Agreement on Agriculture's</w:t>
      </w:r>
      <w:r w:rsidR="0332DF94">
        <w:t xml:space="preserve"> object and purpose</w:t>
      </w:r>
      <w:r>
        <w:t>.</w:t>
      </w:r>
    </w:p>
    <w:p w14:paraId="693B2138" w14:textId="77777777" w:rsidR="00715D8C" w:rsidRDefault="40A7E0BD" w:rsidP="00272EB9">
      <w:pPr>
        <w:pStyle w:val="P1-N1Paragraph1-Number1"/>
        <w:numPr>
          <w:ilvl w:val="0"/>
          <w:numId w:val="19"/>
        </w:numPr>
        <w:tabs>
          <w:tab w:val="num" w:pos="851"/>
        </w:tabs>
        <w:ind w:left="0" w:firstLine="0"/>
        <w:jc w:val="both"/>
      </w:pPr>
      <w:r>
        <w:t>India's argument essentially has two elements</w:t>
      </w:r>
      <w:r w:rsidR="57E2DE71">
        <w:t xml:space="preserve">.  </w:t>
      </w:r>
    </w:p>
    <w:p w14:paraId="1C765077" w14:textId="77777777" w:rsidR="00715D8C" w:rsidRDefault="57E2DE71" w:rsidP="00272EB9">
      <w:pPr>
        <w:pStyle w:val="P1-N1Paragraph1-Number1"/>
        <w:numPr>
          <w:ilvl w:val="0"/>
          <w:numId w:val="19"/>
        </w:numPr>
        <w:tabs>
          <w:tab w:val="num" w:pos="851"/>
        </w:tabs>
        <w:ind w:left="0" w:firstLine="0"/>
        <w:jc w:val="both"/>
      </w:pPr>
      <w:r>
        <w:t>F</w:t>
      </w:r>
      <w:r w:rsidR="40A7E0BD">
        <w:t>irst</w:t>
      </w:r>
      <w:r w:rsidR="0DA362A8">
        <w:t>,</w:t>
      </w:r>
      <w:r w:rsidR="40A7E0BD">
        <w:t xml:space="preserve"> India </w:t>
      </w:r>
      <w:r w:rsidR="0EC95345">
        <w:t>claims</w:t>
      </w:r>
      <w:r w:rsidR="40A7E0BD">
        <w:t xml:space="preserve"> that all </w:t>
      </w:r>
      <w:r w:rsidR="492BF810">
        <w:t>MPS</w:t>
      </w:r>
      <w:r w:rsidR="0E5B3AD7">
        <w:t xml:space="preserve"> </w:t>
      </w:r>
      <w:r w:rsidR="40A7E0BD">
        <w:t>under paragraph 1</w:t>
      </w:r>
      <w:r w:rsidR="0E5B3AD7">
        <w:t xml:space="preserve"> of Annex 3</w:t>
      </w:r>
      <w:r w:rsidR="40A7E0BD">
        <w:t xml:space="preserve"> must be in the form of a subsidy. </w:t>
      </w:r>
      <w:r>
        <w:t xml:space="preserve"> It bases this assertion on the words "or any other subsidy"</w:t>
      </w:r>
      <w:r w:rsidR="3499D4F3">
        <w:t xml:space="preserve"> which</w:t>
      </w:r>
      <w:r>
        <w:t xml:space="preserve"> appear in that paragraph.</w:t>
      </w:r>
      <w:r w:rsidR="00B214B9">
        <w:rPr>
          <w:rStyle w:val="FootnoteReference"/>
        </w:rPr>
        <w:footnoteReference w:id="26"/>
      </w:r>
    </w:p>
    <w:p w14:paraId="01F9A706" w14:textId="77777777" w:rsidR="00E77CDF" w:rsidRDefault="40A7E0BD" w:rsidP="00272EB9">
      <w:pPr>
        <w:pStyle w:val="P1-N1Paragraph1-Number1"/>
        <w:numPr>
          <w:ilvl w:val="0"/>
          <w:numId w:val="19"/>
        </w:numPr>
        <w:tabs>
          <w:tab w:val="num" w:pos="851"/>
        </w:tabs>
        <w:ind w:left="0" w:firstLine="0"/>
        <w:jc w:val="both"/>
      </w:pPr>
      <w:r>
        <w:lastRenderedPageBreak/>
        <w:t xml:space="preserve">Second, India </w:t>
      </w:r>
      <w:r w:rsidR="0EC95345">
        <w:t>argues</w:t>
      </w:r>
      <w:r>
        <w:t xml:space="preserve"> that</w:t>
      </w:r>
      <w:r w:rsidR="29B25D3E">
        <w:t xml:space="preserve"> </w:t>
      </w:r>
      <w:r>
        <w:t>paragraph 2</w:t>
      </w:r>
      <w:r w:rsidR="57E2DE71">
        <w:t xml:space="preserve"> of Annex 3</w:t>
      </w:r>
      <w:r>
        <w:t xml:space="preserve"> limits the scope of those things that may be considered subsidies </w:t>
      </w:r>
      <w:r w:rsidR="29B25D3E">
        <w:t xml:space="preserve">under paragraph 1 </w:t>
      </w:r>
      <w:r>
        <w:t>to "budgetary outlays and revenue foregone by government or their agents".</w:t>
      </w:r>
      <w:r w:rsidR="00CA140A">
        <w:rPr>
          <w:rStyle w:val="FootnoteReference"/>
        </w:rPr>
        <w:footnoteReference w:id="27"/>
      </w:r>
      <w:r>
        <w:t xml:space="preserve"> </w:t>
      </w:r>
      <w:r w:rsidR="684F509E">
        <w:t xml:space="preserve"> </w:t>
      </w:r>
    </w:p>
    <w:p w14:paraId="618930B9" w14:textId="77777777" w:rsidR="00F3150C" w:rsidRDefault="684F509E" w:rsidP="00272EB9">
      <w:pPr>
        <w:pStyle w:val="P1-N1Paragraph1-Number1"/>
        <w:numPr>
          <w:ilvl w:val="0"/>
          <w:numId w:val="19"/>
        </w:numPr>
        <w:tabs>
          <w:tab w:val="num" w:pos="851"/>
        </w:tabs>
        <w:ind w:left="0" w:firstLine="0"/>
        <w:jc w:val="both"/>
      </w:pPr>
      <w:r>
        <w:t xml:space="preserve">Applying this then to </w:t>
      </w:r>
      <w:r w:rsidR="5D908AD1">
        <w:t>MPS</w:t>
      </w:r>
      <w:r>
        <w:t xml:space="preserve">, India </w:t>
      </w:r>
      <w:r w:rsidR="3EACF37E">
        <w:t>submits</w:t>
      </w:r>
      <w:r>
        <w:t xml:space="preserve"> that the government or its agents</w:t>
      </w:r>
      <w:r w:rsidR="0EC95345">
        <w:t xml:space="preserve"> </w:t>
      </w:r>
      <w:r w:rsidR="00D2615F">
        <w:t xml:space="preserve">must pay the </w:t>
      </w:r>
      <w:r w:rsidR="459BE790">
        <w:t xml:space="preserve">AAP </w:t>
      </w:r>
      <w:r w:rsidR="00D2615F">
        <w:t>for it to</w:t>
      </w:r>
      <w:r w:rsidR="0EC95345">
        <w:t xml:space="preserve"> qualify as a subsidy and therefore </w:t>
      </w:r>
      <w:r w:rsidR="00D2615F">
        <w:t>as</w:t>
      </w:r>
      <w:r w:rsidR="0EC95345">
        <w:t xml:space="preserve"> </w:t>
      </w:r>
      <w:r w:rsidR="2B8BE91C">
        <w:t>MPS</w:t>
      </w:r>
      <w:r w:rsidR="151E0EF6">
        <w:t xml:space="preserve"> falling within paragraph 1</w:t>
      </w:r>
      <w:r w:rsidR="0EC95345">
        <w:t>.</w:t>
      </w:r>
      <w:r w:rsidR="00D820DC">
        <w:rPr>
          <w:rStyle w:val="FootnoteReference"/>
        </w:rPr>
        <w:footnoteReference w:id="28"/>
      </w:r>
      <w:r w:rsidR="292FAAAB">
        <w:t xml:space="preserve">  </w:t>
      </w:r>
      <w:r w:rsidR="759526EC">
        <w:t>Employing this dubious</w:t>
      </w:r>
      <w:r w:rsidR="292FAAAB">
        <w:t xml:space="preserve"> logic, India </w:t>
      </w:r>
      <w:r w:rsidR="6274A8FB">
        <w:t>argues</w:t>
      </w:r>
      <w:r w:rsidR="292FAAAB">
        <w:t xml:space="preserve"> that the FRP and SAPs are not </w:t>
      </w:r>
      <w:r w:rsidR="1B427537">
        <w:t>MPS</w:t>
      </w:r>
      <w:r w:rsidR="292FAAAB">
        <w:t xml:space="preserve"> that may be included in the calculation of India's AMS for sugarcane.</w:t>
      </w:r>
      <w:r w:rsidR="00263F70">
        <w:rPr>
          <w:rStyle w:val="FootnoteReference"/>
        </w:rPr>
        <w:footnoteReference w:id="29"/>
      </w:r>
      <w:r w:rsidR="292FAAAB">
        <w:t xml:space="preserve"> </w:t>
      </w:r>
      <w:r w:rsidR="00584F85">
        <w:t xml:space="preserve"> This </w:t>
      </w:r>
      <w:r w:rsidR="00740B8D">
        <w:t xml:space="preserve">is </w:t>
      </w:r>
      <w:r w:rsidR="00584F85">
        <w:t xml:space="preserve">also </w:t>
      </w:r>
      <w:r w:rsidR="00740B8D">
        <w:t>I</w:t>
      </w:r>
      <w:r w:rsidR="00584F85">
        <w:t>ndia's only stated objection to Australia's domestic support calculations.</w:t>
      </w:r>
      <w:r w:rsidR="00A51082">
        <w:rPr>
          <w:rStyle w:val="FootnoteReference"/>
        </w:rPr>
        <w:footnoteReference w:id="30"/>
      </w:r>
      <w:r w:rsidR="00584F85">
        <w:t xml:space="preserve"> </w:t>
      </w:r>
    </w:p>
    <w:p w14:paraId="671F151B" w14:textId="76A0D2A9" w:rsidR="00E13B39" w:rsidRDefault="5EFEB80C" w:rsidP="00272EB9">
      <w:pPr>
        <w:pStyle w:val="P1-N1Paragraph1-Number1"/>
        <w:numPr>
          <w:ilvl w:val="0"/>
          <w:numId w:val="19"/>
        </w:numPr>
        <w:tabs>
          <w:tab w:val="num" w:pos="851"/>
        </w:tabs>
        <w:ind w:left="0" w:firstLine="0"/>
        <w:jc w:val="both"/>
      </w:pPr>
      <w:r>
        <w:t xml:space="preserve">There are many reasons why India's argument should fail.  </w:t>
      </w:r>
      <w:r w:rsidR="008537F9">
        <w:t>But</w:t>
      </w:r>
      <w:r w:rsidR="7AD22BB2">
        <w:t xml:space="preserve"> I will limit myself to </w:t>
      </w:r>
      <w:r w:rsidR="59FD2674">
        <w:t>three</w:t>
      </w:r>
      <w:r w:rsidR="095A6FD0">
        <w:t xml:space="preserve"> compelling reasons why</w:t>
      </w:r>
      <w:r w:rsidR="00633B93">
        <w:t xml:space="preserve"> we request</w:t>
      </w:r>
      <w:r w:rsidR="095A6FD0">
        <w:t xml:space="preserve"> the Panel </w:t>
      </w:r>
      <w:r w:rsidR="00633B93">
        <w:t>to</w:t>
      </w:r>
      <w:r w:rsidR="095A6FD0">
        <w:t xml:space="preserve"> reject </w:t>
      </w:r>
      <w:r w:rsidR="00584B13">
        <w:t>India’s argument.</w:t>
      </w:r>
    </w:p>
    <w:p w14:paraId="2E798CDE" w14:textId="0BC527E2" w:rsidR="00F62209" w:rsidRDefault="0B1E9194" w:rsidP="00272EB9">
      <w:pPr>
        <w:pStyle w:val="P1-N1Paragraph1-Number1"/>
        <w:numPr>
          <w:ilvl w:val="0"/>
          <w:numId w:val="19"/>
        </w:numPr>
        <w:tabs>
          <w:tab w:val="num" w:pos="851"/>
        </w:tabs>
        <w:ind w:left="0" w:firstLine="0"/>
        <w:jc w:val="both"/>
      </w:pPr>
      <w:r>
        <w:t xml:space="preserve">The </w:t>
      </w:r>
      <w:r w:rsidRPr="5EC6AFD6">
        <w:rPr>
          <w:u w:val="single"/>
        </w:rPr>
        <w:t>first flaw</w:t>
      </w:r>
      <w:r>
        <w:t xml:space="preserve"> in India's argument </w:t>
      </w:r>
      <w:r w:rsidR="007A5DBE" w:rsidRPr="007A5DBE">
        <w:t>is that it relies on an erroneous interpretation of paragraphs 1 and 2 of Annex 3.</w:t>
      </w:r>
    </w:p>
    <w:p w14:paraId="081DF53F" w14:textId="77777777" w:rsidR="00E14233" w:rsidRDefault="007A5DBE" w:rsidP="007A5DBE">
      <w:pPr>
        <w:pStyle w:val="P1-N1Paragraph1-Number1"/>
        <w:numPr>
          <w:ilvl w:val="0"/>
          <w:numId w:val="19"/>
        </w:numPr>
        <w:tabs>
          <w:tab w:val="num" w:pos="851"/>
        </w:tabs>
        <w:ind w:left="0" w:firstLine="0"/>
        <w:jc w:val="both"/>
      </w:pPr>
      <w:r w:rsidRPr="007A5DBE">
        <w:t xml:space="preserve">The purpose of Annex 3 is to stipulate the method for calculating in monetary terms a Member's non-exempt domestic support or AMS.  </w:t>
      </w:r>
      <w:r>
        <w:t xml:space="preserve">Paragraph 1 </w:t>
      </w:r>
      <w:r w:rsidR="00E14233">
        <w:t xml:space="preserve">of Annex 3 </w:t>
      </w:r>
      <w:r>
        <w:t xml:space="preserve">does </w:t>
      </w:r>
      <w:r w:rsidRPr="00785482">
        <w:rPr>
          <w:u w:val="single"/>
        </w:rPr>
        <w:t>not</w:t>
      </w:r>
      <w:r>
        <w:t xml:space="preserve"> limit the scope of domestic support to subsidies as India suggests.  </w:t>
      </w:r>
      <w:r w:rsidR="004403A9">
        <w:t>T</w:t>
      </w:r>
      <w:r>
        <w:t>hat paragraph refers to the three kinds of support that may constitute domestic support</w:t>
      </w:r>
      <w:r w:rsidR="004403A9">
        <w:t xml:space="preserve">, namely </w:t>
      </w:r>
      <w:r w:rsidR="004403A9" w:rsidRPr="007A5DBE">
        <w:t xml:space="preserve">MPS, non-exempt direct payments and any other non-exempt </w:t>
      </w:r>
      <w:r w:rsidR="008D44C8" w:rsidRPr="007A5DBE">
        <w:t xml:space="preserve">subsidy </w:t>
      </w:r>
      <w:r w:rsidR="004403A9" w:rsidRPr="007A5DBE">
        <w:t>or</w:t>
      </w:r>
      <w:r w:rsidR="008D44C8" w:rsidRPr="008D44C8">
        <w:t xml:space="preserve"> </w:t>
      </w:r>
      <w:r w:rsidR="008D44C8" w:rsidRPr="007A5DBE">
        <w:t>policy</w:t>
      </w:r>
      <w:r>
        <w:t xml:space="preserve">.  </w:t>
      </w:r>
    </w:p>
    <w:p w14:paraId="00562824" w14:textId="4B7A70CC" w:rsidR="007A5DBE" w:rsidRDefault="007A5DBE" w:rsidP="00E14233">
      <w:pPr>
        <w:pStyle w:val="P1-N1Paragraph1-Number1"/>
        <w:numPr>
          <w:ilvl w:val="0"/>
          <w:numId w:val="19"/>
        </w:numPr>
        <w:tabs>
          <w:tab w:val="num" w:pos="851"/>
        </w:tabs>
        <w:ind w:left="0" w:firstLine="0"/>
        <w:jc w:val="both"/>
      </w:pPr>
      <w:r>
        <w:t>The words "or any other subsidy" do not have the meaning that India seeks to give them.  Th</w:t>
      </w:r>
      <w:r w:rsidR="008537F9">
        <w:t>ey</w:t>
      </w:r>
      <w:r>
        <w:t xml:space="preserve"> are simply intended to ensure that non-exempt su</w:t>
      </w:r>
      <w:r w:rsidR="00560140">
        <w:t>pport</w:t>
      </w:r>
      <w:r>
        <w:t xml:space="preserve"> that does not constitute MPS or a non-exempt direct payment is captured in the AMS calculation.  In other words, they are there to ensure that </w:t>
      </w:r>
      <w:r w:rsidRPr="00785482">
        <w:rPr>
          <w:u w:val="single"/>
        </w:rPr>
        <w:t>all</w:t>
      </w:r>
      <w:r>
        <w:t xml:space="preserve"> non-exempt domestic support is included in the AMS.  The word "other" is used because both MPS and non-exempt direct payments </w:t>
      </w:r>
      <w:r w:rsidRPr="00E14233">
        <w:rPr>
          <w:u w:val="single"/>
        </w:rPr>
        <w:t>may</w:t>
      </w:r>
      <w:r>
        <w:t xml:space="preserve"> be achieved by or constitute subsidies.  It does not follow that they </w:t>
      </w:r>
      <w:r w:rsidRPr="00E14233">
        <w:rPr>
          <w:u w:val="single"/>
        </w:rPr>
        <w:t>must</w:t>
      </w:r>
      <w:r>
        <w:t xml:space="preserve"> be subsidies.</w:t>
      </w:r>
      <w:r w:rsidR="00514F82">
        <w:rPr>
          <w:rStyle w:val="FootnoteReference"/>
        </w:rPr>
        <w:footnoteReference w:id="31"/>
      </w:r>
      <w:r>
        <w:t xml:space="preserve"> </w:t>
      </w:r>
    </w:p>
    <w:p w14:paraId="044E8DAD" w14:textId="77777777" w:rsidR="007A5DBE" w:rsidRDefault="007A5DBE" w:rsidP="007A5DBE">
      <w:pPr>
        <w:pStyle w:val="P1-N1Paragraph1-Number1"/>
        <w:numPr>
          <w:ilvl w:val="0"/>
          <w:numId w:val="19"/>
        </w:numPr>
        <w:tabs>
          <w:tab w:val="num" w:pos="851"/>
        </w:tabs>
        <w:ind w:left="0" w:firstLine="0"/>
        <w:jc w:val="both"/>
      </w:pPr>
      <w:r>
        <w:t xml:space="preserve">India's reliance on paragraph 2 of Annex 3 to support its argument is </w:t>
      </w:r>
      <w:r w:rsidR="007D29FE">
        <w:t>similarly</w:t>
      </w:r>
      <w:r>
        <w:t xml:space="preserve"> problematic. </w:t>
      </w:r>
    </w:p>
    <w:p w14:paraId="549DD9D9" w14:textId="3346168E" w:rsidR="007A5DBE" w:rsidRDefault="007A5DBE" w:rsidP="007A5DBE">
      <w:pPr>
        <w:pStyle w:val="P1-N1Paragraph1-Number1"/>
        <w:numPr>
          <w:ilvl w:val="0"/>
          <w:numId w:val="19"/>
        </w:numPr>
        <w:tabs>
          <w:tab w:val="num" w:pos="851"/>
        </w:tabs>
        <w:ind w:left="0" w:firstLine="0"/>
        <w:jc w:val="both"/>
      </w:pPr>
      <w:r>
        <w:lastRenderedPageBreak/>
        <w:t>In seeking to explain why government procurement is – in India's words – an "essential" element of MPS</w:t>
      </w:r>
      <w:r>
        <w:rPr>
          <w:rStyle w:val="FootnoteReference"/>
        </w:rPr>
        <w:footnoteReference w:id="32"/>
      </w:r>
      <w:r>
        <w:t>, India first refers to paragraph 2 as offering "</w:t>
      </w:r>
      <w:r w:rsidRPr="003A4A00">
        <w:rPr>
          <w:u w:val="single"/>
        </w:rPr>
        <w:t>guidance</w:t>
      </w:r>
      <w:r>
        <w:t xml:space="preserve"> on what </w:t>
      </w:r>
      <w:r w:rsidRPr="003A4A00">
        <w:rPr>
          <w:u w:val="single"/>
        </w:rPr>
        <w:t>may</w:t>
      </w:r>
      <w:r>
        <w:t xml:space="preserve"> constitute" MPS.</w:t>
      </w:r>
      <w:r>
        <w:rPr>
          <w:rStyle w:val="FootnoteReference"/>
        </w:rPr>
        <w:footnoteReference w:id="33"/>
      </w:r>
      <w:r>
        <w:t xml:space="preserve">  India then takes an interpretive leap by claiming paragraph 2 </w:t>
      </w:r>
      <w:r w:rsidRPr="002A7301">
        <w:t>"delineates the scope of subsidies under paragraph 1".</w:t>
      </w:r>
      <w:r w:rsidRPr="002A7301">
        <w:rPr>
          <w:rStyle w:val="FootnoteReference"/>
        </w:rPr>
        <w:footnoteReference w:id="34"/>
      </w:r>
      <w:r w:rsidRPr="002A7301">
        <w:t xml:space="preserve">  </w:t>
      </w:r>
      <w:r>
        <w:t xml:space="preserve">We cannot discern any textual basis for </w:t>
      </w:r>
      <w:r w:rsidR="004A7261">
        <w:t>this</w:t>
      </w:r>
      <w:r>
        <w:t xml:space="preserve"> interpretation of</w:t>
      </w:r>
      <w:r w:rsidRPr="002A7301">
        <w:t xml:space="preserve"> paragraph 2</w:t>
      </w:r>
      <w:r>
        <w:t xml:space="preserve">, which simply </w:t>
      </w:r>
      <w:r w:rsidR="008537F9">
        <w:t>identifies</w:t>
      </w:r>
      <w:r w:rsidRPr="002A7301">
        <w:t xml:space="preserve"> that both budgetary outlays and revenue foregone</w:t>
      </w:r>
      <w:r w:rsidR="002E01D1">
        <w:t xml:space="preserve"> are to be included in calculating AMS as described in </w:t>
      </w:r>
      <w:r w:rsidRPr="002A7301">
        <w:t>paragraph 1.</w:t>
      </w:r>
    </w:p>
    <w:p w14:paraId="46BB444A" w14:textId="06C4B943" w:rsidR="00164F5C" w:rsidRDefault="00A75F50" w:rsidP="007D29FE">
      <w:pPr>
        <w:pStyle w:val="P1-N1Paragraph1-Number1"/>
        <w:numPr>
          <w:ilvl w:val="0"/>
          <w:numId w:val="19"/>
        </w:numPr>
        <w:tabs>
          <w:tab w:val="num" w:pos="851"/>
        </w:tabs>
        <w:ind w:left="0" w:firstLine="0"/>
        <w:jc w:val="both"/>
      </w:pPr>
      <w:r>
        <w:t>India's suggested interpretations of these paragraphs</w:t>
      </w:r>
      <w:r w:rsidR="007D29FE">
        <w:t xml:space="preserve"> are </w:t>
      </w:r>
      <w:r w:rsidR="00D05AC2">
        <w:t xml:space="preserve">also </w:t>
      </w:r>
      <w:r w:rsidR="007D29FE">
        <w:t xml:space="preserve">inconsistent with the </w:t>
      </w:r>
      <w:r w:rsidR="008D44C8">
        <w:t xml:space="preserve">Agreement on Agriculture's </w:t>
      </w:r>
      <w:r w:rsidR="007D29FE">
        <w:t>object and purpose</w:t>
      </w:r>
      <w:r w:rsidR="009002D3">
        <w:t xml:space="preserve">, which is </w:t>
      </w:r>
      <w:r w:rsidR="008D44C8">
        <w:t xml:space="preserve">relevantly </w:t>
      </w:r>
      <w:r w:rsidR="5A3544FA">
        <w:t>to discipline and reduce domestic support measures with a view to preventing distortions in world agricultural markets.</w:t>
      </w:r>
      <w:r w:rsidR="00164F5C">
        <w:rPr>
          <w:rStyle w:val="FootnoteReference"/>
        </w:rPr>
        <w:footnoteReference w:id="35"/>
      </w:r>
      <w:r w:rsidR="5A3544FA">
        <w:t xml:space="preserve">  Distortions occur when prices or production are not determined by the market.  Price support is recognized in the </w:t>
      </w:r>
      <w:r w:rsidR="004F2538">
        <w:t>A</w:t>
      </w:r>
      <w:r w:rsidR="5A3544FA">
        <w:t>greement as inherently trade-distorting and as having production effects.</w:t>
      </w:r>
      <w:r w:rsidR="00164F5C">
        <w:rPr>
          <w:rStyle w:val="FootnoteReference"/>
        </w:rPr>
        <w:footnoteReference w:id="36"/>
      </w:r>
      <w:r w:rsidR="5A3544FA">
        <w:t xml:space="preserve">  </w:t>
      </w:r>
    </w:p>
    <w:p w14:paraId="1937B881" w14:textId="70021D89" w:rsidR="004A11CF" w:rsidRDefault="748A7A4E">
      <w:pPr>
        <w:pStyle w:val="P1-N1Paragraph1-Number1"/>
        <w:numPr>
          <w:ilvl w:val="0"/>
          <w:numId w:val="19"/>
        </w:numPr>
        <w:tabs>
          <w:tab w:val="num" w:pos="851"/>
        </w:tabs>
        <w:ind w:left="0" w:firstLine="0"/>
        <w:jc w:val="both"/>
      </w:pPr>
      <w:r>
        <w:t xml:space="preserve">India's FRP and SAP measures clearly distort the sugar trade and </w:t>
      </w:r>
      <w:r w:rsidR="71F0BF8F">
        <w:t>a</w:t>
      </w:r>
      <w:r>
        <w:t xml:space="preserve">ffect India's production of sugarcane </w:t>
      </w:r>
      <w:r w:rsidR="00912356" w:rsidRPr="00912356">
        <w:t xml:space="preserve">by assuring farmers that their cane can be sold for at least the minimum price.  Those measures support the price of </w:t>
      </w:r>
      <w:r w:rsidR="00912356" w:rsidRPr="00F62DCE">
        <w:rPr>
          <w:u w:val="single"/>
        </w:rPr>
        <w:t>all</w:t>
      </w:r>
      <w:r w:rsidR="00912356" w:rsidRPr="00912356">
        <w:t xml:space="preserve"> sugarcane grown in India,</w:t>
      </w:r>
      <w:r w:rsidR="00912356">
        <w:t xml:space="preserve"> </w:t>
      </w:r>
      <w:r>
        <w:t xml:space="preserve">yet, under India's </w:t>
      </w:r>
      <w:r w:rsidR="003F5660">
        <w:t xml:space="preserve">flawed </w:t>
      </w:r>
      <w:r>
        <w:t xml:space="preserve">interpretation, they </w:t>
      </w:r>
      <w:r w:rsidR="00912356">
        <w:t xml:space="preserve">would </w:t>
      </w:r>
      <w:r w:rsidR="71F0BF8F">
        <w:t xml:space="preserve">not </w:t>
      </w:r>
      <w:r w:rsidR="00912356">
        <w:t xml:space="preserve">be </w:t>
      </w:r>
      <w:r w:rsidR="71F0BF8F">
        <w:t xml:space="preserve">subject to </w:t>
      </w:r>
      <w:r w:rsidR="00912356">
        <w:t xml:space="preserve">India's </w:t>
      </w:r>
      <w:r w:rsidR="71F0BF8F">
        <w:t>commitment</w:t>
      </w:r>
      <w:r w:rsidR="004A7261">
        <w:t xml:space="preserve"> </w:t>
      </w:r>
      <w:r w:rsidR="001279AF">
        <w:t>to limit its</w:t>
      </w:r>
      <w:r w:rsidR="004A7261">
        <w:t xml:space="preserve"> non-exempt domestic support</w:t>
      </w:r>
      <w:r w:rsidR="71F0BF8F">
        <w:t>.</w:t>
      </w:r>
    </w:p>
    <w:p w14:paraId="09ADFCBE" w14:textId="4A6D66E0" w:rsidR="00164F5C" w:rsidRDefault="056F6BEF" w:rsidP="00272EB9">
      <w:pPr>
        <w:pStyle w:val="P1-N1Paragraph1-Number1"/>
        <w:numPr>
          <w:ilvl w:val="0"/>
          <w:numId w:val="19"/>
        </w:numPr>
        <w:tabs>
          <w:tab w:val="num" w:pos="851"/>
        </w:tabs>
        <w:ind w:left="0" w:firstLine="0"/>
        <w:jc w:val="both"/>
      </w:pPr>
      <w:r>
        <w:t xml:space="preserve">The </w:t>
      </w:r>
      <w:r w:rsidR="006812B5">
        <w:rPr>
          <w:u w:val="single"/>
        </w:rPr>
        <w:t>second</w:t>
      </w:r>
      <w:r w:rsidR="006812B5" w:rsidRPr="00527264">
        <w:rPr>
          <w:u w:val="single"/>
        </w:rPr>
        <w:t xml:space="preserve"> </w:t>
      </w:r>
      <w:r w:rsidRPr="00527264">
        <w:rPr>
          <w:u w:val="single"/>
        </w:rPr>
        <w:t>problem</w:t>
      </w:r>
      <w:r>
        <w:t xml:space="preserve"> with India's </w:t>
      </w:r>
      <w:r w:rsidR="5A3544FA">
        <w:t>preferred interpretation of "market price support"</w:t>
      </w:r>
      <w:r w:rsidR="36AD2D43">
        <w:t xml:space="preserve"> is that </w:t>
      </w:r>
      <w:r w:rsidR="5A3544FA">
        <w:t>India has virtually ignored the only other paragraph in Annex</w:t>
      </w:r>
      <w:r w:rsidR="1250306F">
        <w:t xml:space="preserve"> 3</w:t>
      </w:r>
      <w:r w:rsidR="5A3544FA">
        <w:t xml:space="preserve"> which references </w:t>
      </w:r>
      <w:r w:rsidR="09389A1F">
        <w:t>MPS</w:t>
      </w:r>
      <w:r w:rsidR="5A3544FA">
        <w:t xml:space="preserve">: paragraph 8.  </w:t>
      </w:r>
      <w:r w:rsidR="00555BE6" w:rsidRPr="00555BE6">
        <w:t xml:space="preserve">India fails to consider </w:t>
      </w:r>
      <w:r w:rsidR="00555BE6">
        <w:t xml:space="preserve">that </w:t>
      </w:r>
      <w:r w:rsidR="00555BE6" w:rsidRPr="00555BE6">
        <w:t>paragraph in setting out the legal standard under the Agreement on Agriculture or in argu</w:t>
      </w:r>
      <w:r w:rsidR="0033074F">
        <w:t>ing</w:t>
      </w:r>
      <w:r w:rsidR="00555BE6" w:rsidRPr="00555BE6">
        <w:t xml:space="preserve"> that the government </w:t>
      </w:r>
      <w:r w:rsidR="0033074F">
        <w:t>(</w:t>
      </w:r>
      <w:r w:rsidR="00555BE6" w:rsidRPr="00555BE6">
        <w:t>or its agents</w:t>
      </w:r>
      <w:r w:rsidR="0033074F">
        <w:t>)</w:t>
      </w:r>
      <w:r w:rsidR="00555BE6" w:rsidRPr="00555BE6">
        <w:t xml:space="preserve"> must pay the AAP</w:t>
      </w:r>
      <w:r w:rsidR="00555BE6">
        <w:t>.</w:t>
      </w:r>
      <w:r w:rsidR="00555BE6">
        <w:rPr>
          <w:rStyle w:val="FootnoteReference"/>
        </w:rPr>
        <w:footnoteReference w:id="37"/>
      </w:r>
      <w:r w:rsidR="00555BE6">
        <w:t xml:space="preserve">  </w:t>
      </w:r>
      <w:r w:rsidR="5A3544FA">
        <w:t>This is unsurprising because paragraph</w:t>
      </w:r>
      <w:r w:rsidR="7A9DB2F1">
        <w:t> 8</w:t>
      </w:r>
      <w:r w:rsidR="5A3544FA">
        <w:t xml:space="preserve"> undermines India's argument.</w:t>
      </w:r>
    </w:p>
    <w:p w14:paraId="72C5AA43" w14:textId="43F04033" w:rsidR="00164F5C" w:rsidRDefault="00201C0F" w:rsidP="00074E32">
      <w:pPr>
        <w:pStyle w:val="P1-N1Paragraph1-Number1"/>
        <w:keepLines/>
        <w:numPr>
          <w:ilvl w:val="0"/>
          <w:numId w:val="19"/>
        </w:numPr>
        <w:tabs>
          <w:tab w:val="num" w:pos="851"/>
        </w:tabs>
        <w:ind w:left="0" w:firstLine="0"/>
        <w:jc w:val="both"/>
      </w:pPr>
      <w:r>
        <w:lastRenderedPageBreak/>
        <w:t>T</w:t>
      </w:r>
      <w:r w:rsidR="5A3544FA">
        <w:t xml:space="preserve">he first sentence of paragraph 8 sets out the formula for calculating </w:t>
      </w:r>
      <w:r w:rsidR="001D1DE8">
        <w:t xml:space="preserve">the value of </w:t>
      </w:r>
      <w:r w:rsidR="369ACBB3">
        <w:t>MPS</w:t>
      </w:r>
      <w:r w:rsidR="5A3544FA">
        <w:t>.</w:t>
      </w:r>
      <w:r w:rsidR="00164F5C">
        <w:rPr>
          <w:rStyle w:val="FootnoteReference"/>
        </w:rPr>
        <w:footnoteReference w:id="38"/>
      </w:r>
      <w:r w:rsidR="5A3544FA">
        <w:t xml:space="preserve">  </w:t>
      </w:r>
      <w:r w:rsidR="00261EC3" w:rsidRPr="00261EC3">
        <w:t>The effect of th</w:t>
      </w:r>
      <w:r w:rsidR="00261EC3">
        <w:t xml:space="preserve">is </w:t>
      </w:r>
      <w:r w:rsidR="00261EC3" w:rsidRPr="00261EC3">
        <w:t xml:space="preserve">sentence is that </w:t>
      </w:r>
      <w:r w:rsidR="003E5DF1">
        <w:t>MPS</w:t>
      </w:r>
      <w:r w:rsidR="00261EC3" w:rsidRPr="00261EC3">
        <w:t xml:space="preserve"> will exist – or have a measurable value – when there is a gap between a FERP and an AAP.</w:t>
      </w:r>
      <w:r w:rsidR="00261EC3">
        <w:t xml:space="preserve">  </w:t>
      </w:r>
      <w:r w:rsidR="00E85222">
        <w:t xml:space="preserve">Paragraph 8, </w:t>
      </w:r>
      <w:r w:rsidR="5A3544FA">
        <w:t>second sentence</w:t>
      </w:r>
      <w:r w:rsidR="005B061A">
        <w:t>,</w:t>
      </w:r>
      <w:r w:rsidR="5A3544FA">
        <w:t xml:space="preserve"> then states that, where budgetary payments are made to maintain </w:t>
      </w:r>
      <w:r w:rsidR="00246B62">
        <w:t>this</w:t>
      </w:r>
      <w:r w:rsidR="5A3544FA">
        <w:t xml:space="preserve"> gap, they must not be included in the AMS.  As the formula determines the value of the support provided by the AAP, adding budgetary payments made to achieve or maintain the AAP </w:t>
      </w:r>
      <w:r w:rsidR="3F184FFB">
        <w:t>c</w:t>
      </w:r>
      <w:r w:rsidR="5A3544FA">
        <w:t xml:space="preserve">ould result in double-counting.  </w:t>
      </w:r>
      <w:r w:rsidR="007F0FDF">
        <w:t xml:space="preserve"> </w:t>
      </w:r>
    </w:p>
    <w:p w14:paraId="2421B0BF" w14:textId="2E17D4E4" w:rsidR="00164F5C" w:rsidRDefault="1A9B8DC8" w:rsidP="00272EB9">
      <w:pPr>
        <w:pStyle w:val="P1-N1Paragraph1-Number1"/>
        <w:numPr>
          <w:ilvl w:val="0"/>
          <w:numId w:val="19"/>
        </w:numPr>
        <w:tabs>
          <w:tab w:val="num" w:pos="851"/>
        </w:tabs>
        <w:ind w:left="0" w:firstLine="0"/>
        <w:jc w:val="both"/>
      </w:pPr>
      <w:r w:rsidRPr="00785482">
        <w:rPr>
          <w:u w:val="single"/>
        </w:rPr>
        <w:t>N</w:t>
      </w:r>
      <w:r w:rsidR="00C76352" w:rsidRPr="00785482">
        <w:rPr>
          <w:u w:val="single"/>
        </w:rPr>
        <w:t>othing</w:t>
      </w:r>
      <w:r w:rsidR="00C76352">
        <w:t xml:space="preserve"> in paragraph 8</w:t>
      </w:r>
      <w:r w:rsidR="5A3544FA">
        <w:t xml:space="preserve"> </w:t>
      </w:r>
      <w:r w:rsidR="002E01D1" w:rsidRPr="002E01D1">
        <w:t>suggest</w:t>
      </w:r>
      <w:r w:rsidR="002E01D1">
        <w:t>s</w:t>
      </w:r>
      <w:r w:rsidR="002E01D1" w:rsidRPr="002E01D1">
        <w:t xml:space="preserve"> that MPS must be a subsidy or is limited to budgetary outlays and revenue foregone by</w:t>
      </w:r>
      <w:r w:rsidR="002E6B86">
        <w:t xml:space="preserve"> </w:t>
      </w:r>
      <w:r w:rsidR="00584B13">
        <w:t>the</w:t>
      </w:r>
      <w:r w:rsidR="002E01D1" w:rsidRPr="002E01D1">
        <w:t xml:space="preserve"> government </w:t>
      </w:r>
      <w:r w:rsidR="002E01D1">
        <w:t>(</w:t>
      </w:r>
      <w:r w:rsidR="002E01D1" w:rsidRPr="002E01D1">
        <w:t>or their agents</w:t>
      </w:r>
      <w:r w:rsidR="002E01D1">
        <w:t>)</w:t>
      </w:r>
      <w:r w:rsidR="5A3544FA">
        <w:t>.</w:t>
      </w:r>
      <w:r w:rsidR="644F2F68">
        <w:t xml:space="preserve">  Th</w:t>
      </w:r>
      <w:r w:rsidR="0F8C42E3">
        <w:t>us</w:t>
      </w:r>
      <w:r w:rsidR="000967A0">
        <w:t>,</w:t>
      </w:r>
      <w:r w:rsidR="0F8C42E3">
        <w:t xml:space="preserve"> th</w:t>
      </w:r>
      <w:r w:rsidR="644F2F68">
        <w:t xml:space="preserve">e effect of India's argument is to read into this paragraph a limitation </w:t>
      </w:r>
      <w:r w:rsidR="5A6045E6">
        <w:t>that</w:t>
      </w:r>
      <w:r w:rsidR="644F2F68">
        <w:t xml:space="preserve"> is not there</w:t>
      </w:r>
      <w:r w:rsidR="5A6045E6">
        <w:t xml:space="preserve">. </w:t>
      </w:r>
    </w:p>
    <w:p w14:paraId="3B865226" w14:textId="3DC32385" w:rsidR="006812B5" w:rsidRDefault="008C055F" w:rsidP="008C055F">
      <w:pPr>
        <w:pStyle w:val="P1-N1Paragraph1-Number1"/>
        <w:numPr>
          <w:ilvl w:val="0"/>
          <w:numId w:val="19"/>
        </w:numPr>
        <w:tabs>
          <w:tab w:val="num" w:pos="851"/>
        </w:tabs>
        <w:ind w:left="0" w:firstLine="0"/>
        <w:jc w:val="both"/>
      </w:pPr>
      <w:r>
        <w:t xml:space="preserve">By contrast, the relevant findings of the panels in </w:t>
      </w:r>
      <w:r w:rsidRPr="00E64FD3">
        <w:rPr>
          <w:i/>
          <w:iCs/>
        </w:rPr>
        <w:t>Korea – Various Measures on Beef</w:t>
      </w:r>
      <w:r>
        <w:t xml:space="preserve"> (as upheld by the Appellate Body) and</w:t>
      </w:r>
      <w:r w:rsidR="004F2538">
        <w:t xml:space="preserve"> in</w:t>
      </w:r>
      <w:r>
        <w:t xml:space="preserve"> </w:t>
      </w:r>
      <w:r w:rsidRPr="00E64FD3">
        <w:rPr>
          <w:i/>
          <w:iCs/>
        </w:rPr>
        <w:t>China – Agricultural Producers</w:t>
      </w:r>
      <w:r>
        <w:t xml:space="preserve"> accurately interpreted paragraph 8 of Annex 3 and the concepts used therein in a manner consistent with their underlying object</w:t>
      </w:r>
      <w:r w:rsidR="00DD672F">
        <w:t>ive</w:t>
      </w:r>
      <w:r>
        <w:t>.</w:t>
      </w:r>
      <w:r>
        <w:rPr>
          <w:rStyle w:val="FootnoteReference"/>
        </w:rPr>
        <w:footnoteReference w:id="39"/>
      </w:r>
      <w:r>
        <w:t xml:space="preserve">  India's argument</w:t>
      </w:r>
      <w:r w:rsidR="003013AA">
        <w:t xml:space="preserve"> is incompatible with those findings</w:t>
      </w:r>
      <w:r>
        <w:t xml:space="preserve">.  </w:t>
      </w:r>
    </w:p>
    <w:p w14:paraId="2B0A4F93" w14:textId="07146C9C" w:rsidR="008C055F" w:rsidRDefault="008C055F" w:rsidP="008C055F">
      <w:pPr>
        <w:pStyle w:val="P1-N1Paragraph1-Number1"/>
        <w:numPr>
          <w:ilvl w:val="0"/>
          <w:numId w:val="19"/>
        </w:numPr>
        <w:tabs>
          <w:tab w:val="num" w:pos="851"/>
        </w:tabs>
        <w:ind w:left="0" w:firstLine="0"/>
        <w:jc w:val="both"/>
      </w:pPr>
      <w:r w:rsidRPr="00294777">
        <w:t>Australia disagrees with India that these prior reports do not support the complainants' views and that they are "inapplicable" because the facts are "materially different".</w:t>
      </w:r>
      <w:r w:rsidR="005E6AC1">
        <w:rPr>
          <w:rStyle w:val="FootnoteReference"/>
        </w:rPr>
        <w:footnoteReference w:id="40"/>
      </w:r>
      <w:r w:rsidRPr="00294777">
        <w:t xml:space="preserve">   </w:t>
      </w:r>
      <w:r w:rsidR="00362F7B">
        <w:t>T</w:t>
      </w:r>
      <w:r w:rsidRPr="00294777">
        <w:t xml:space="preserve">he facts of those disputes </w:t>
      </w:r>
      <w:r w:rsidR="00362F7B">
        <w:t xml:space="preserve">do </w:t>
      </w:r>
      <w:r w:rsidRPr="00294777">
        <w:t xml:space="preserve">differ </w:t>
      </w:r>
      <w:r w:rsidR="002E01D1" w:rsidRPr="002E01D1">
        <w:t>but not in a manner that materially changes how the</w:t>
      </w:r>
      <w:r w:rsidR="00604924">
        <w:t xml:space="preserve"> provisions and</w:t>
      </w:r>
      <w:r w:rsidR="002E01D1" w:rsidRPr="002E01D1">
        <w:t xml:space="preserve"> concepts should be </w:t>
      </w:r>
      <w:r w:rsidR="00604924">
        <w:t xml:space="preserve">properly interpreted and </w:t>
      </w:r>
      <w:r w:rsidR="002E01D1" w:rsidRPr="002E01D1">
        <w:t>applied</w:t>
      </w:r>
      <w:r>
        <w:t xml:space="preserve">.  </w:t>
      </w:r>
      <w:r w:rsidRPr="00294777">
        <w:t xml:space="preserve">India has </w:t>
      </w:r>
      <w:r w:rsidR="00156A79">
        <w:t xml:space="preserve">been unable to demonstrate why </w:t>
      </w:r>
      <w:r w:rsidR="002E01D1">
        <w:t xml:space="preserve">any of </w:t>
      </w:r>
      <w:r w:rsidR="00156A79">
        <w:t xml:space="preserve">the reasoning </w:t>
      </w:r>
      <w:r w:rsidR="00633B93">
        <w:t xml:space="preserve">in those previous disputes </w:t>
      </w:r>
      <w:r w:rsidRPr="00294777">
        <w:t>is defective.</w:t>
      </w:r>
    </w:p>
    <w:p w14:paraId="459B9717" w14:textId="77777777" w:rsidR="00460477" w:rsidRDefault="00156A79" w:rsidP="008C055F">
      <w:pPr>
        <w:pStyle w:val="P1-N1Paragraph1-Number1"/>
        <w:numPr>
          <w:ilvl w:val="0"/>
          <w:numId w:val="19"/>
        </w:numPr>
        <w:tabs>
          <w:tab w:val="num" w:pos="851"/>
        </w:tabs>
        <w:ind w:left="0" w:firstLine="0"/>
        <w:jc w:val="both"/>
      </w:pPr>
      <w:r>
        <w:t xml:space="preserve">The </w:t>
      </w:r>
      <w:r w:rsidRPr="00785482">
        <w:rPr>
          <w:u w:val="single"/>
        </w:rPr>
        <w:t>third major failing</w:t>
      </w:r>
      <w:r>
        <w:t xml:space="preserve"> </w:t>
      </w:r>
      <w:r w:rsidR="00F70B7F">
        <w:t>of</w:t>
      </w:r>
      <w:r w:rsidR="00393AF3">
        <w:t xml:space="preserve"> India's argument</w:t>
      </w:r>
      <w:r w:rsidR="00F70B7F">
        <w:t xml:space="preserve"> is that it would require the Panel to interpret India's domestic support obligations divorced from their context.  </w:t>
      </w:r>
      <w:r w:rsidR="00FD5C55">
        <w:t xml:space="preserve">Australia considers that </w:t>
      </w:r>
      <w:r w:rsidR="008D44C8">
        <w:t xml:space="preserve">context includes </w:t>
      </w:r>
      <w:r w:rsidR="00FD5C55">
        <w:t>India's tables of supporting material incorporated by reference in Part IV of India's Schedule</w:t>
      </w:r>
      <w:r w:rsidR="0076760E">
        <w:t>.</w:t>
      </w:r>
      <w:r w:rsidR="008D44C8">
        <w:rPr>
          <w:rStyle w:val="FootnoteReference"/>
        </w:rPr>
        <w:footnoteReference w:id="41"/>
      </w:r>
      <w:r w:rsidR="0076760E">
        <w:t xml:space="preserve">  </w:t>
      </w:r>
    </w:p>
    <w:p w14:paraId="7D001B47" w14:textId="37C641EF" w:rsidR="00156A79" w:rsidRDefault="00460477" w:rsidP="00074E32">
      <w:pPr>
        <w:pStyle w:val="P1-N1Paragraph1-Number1"/>
        <w:keepLines/>
        <w:numPr>
          <w:ilvl w:val="0"/>
          <w:numId w:val="19"/>
        </w:numPr>
        <w:tabs>
          <w:tab w:val="num" w:pos="851"/>
        </w:tabs>
        <w:ind w:left="0" w:firstLine="0"/>
        <w:jc w:val="both"/>
      </w:pPr>
      <w:r>
        <w:lastRenderedPageBreak/>
        <w:t xml:space="preserve">During the base period specified in India's </w:t>
      </w:r>
      <w:r w:rsidR="008D44C8">
        <w:t>s</w:t>
      </w:r>
      <w:r>
        <w:t xml:space="preserve">upporting </w:t>
      </w:r>
      <w:r w:rsidR="008D44C8">
        <w:t>t</w:t>
      </w:r>
      <w:r>
        <w:t xml:space="preserve">ables, the Sugarcane (Control) Order 1966 then in force fixed the minimum price of sugarcane to be paid by </w:t>
      </w:r>
      <w:r w:rsidR="00E449E5">
        <w:t>all</w:t>
      </w:r>
      <w:r>
        <w:t xml:space="preserve"> producers of sugar</w:t>
      </w:r>
      <w:r w:rsidR="00FC7905">
        <w:t xml:space="preserve"> (the mills) to the producers of sugarcane (the farmers)</w:t>
      </w:r>
      <w:r>
        <w:t>.</w:t>
      </w:r>
      <w:r>
        <w:rPr>
          <w:rStyle w:val="FootnoteReference"/>
        </w:rPr>
        <w:footnoteReference w:id="42"/>
      </w:r>
      <w:r w:rsidR="00FD756D">
        <w:t xml:space="preserve">  </w:t>
      </w:r>
      <w:r w:rsidR="00F31282">
        <w:t xml:space="preserve">It is evident from India's supporting table for sugarcane that </w:t>
      </w:r>
      <w:r w:rsidR="00FD756D">
        <w:t xml:space="preserve">India considered this predecessor to the FRP </w:t>
      </w:r>
      <w:r w:rsidR="00F31282">
        <w:t>established an AAP</w:t>
      </w:r>
      <w:r w:rsidR="001F1A33">
        <w:t xml:space="preserve"> and constituted</w:t>
      </w:r>
      <w:r w:rsidR="00FD756D">
        <w:t xml:space="preserve"> MPS</w:t>
      </w:r>
      <w:r w:rsidR="001F1A33">
        <w:t>.</w:t>
      </w:r>
      <w:r w:rsidR="002A7A5D">
        <w:rPr>
          <w:rStyle w:val="FootnoteReference"/>
        </w:rPr>
        <w:footnoteReference w:id="43"/>
      </w:r>
      <w:r w:rsidR="00DD672F">
        <w:t xml:space="preserve">  </w:t>
      </w:r>
    </w:p>
    <w:p w14:paraId="0C60C94A" w14:textId="35E0E272" w:rsidR="00584B13" w:rsidRDefault="76B49A60" w:rsidP="002D47EC">
      <w:pPr>
        <w:pStyle w:val="P1-N1Paragraph1-Number1"/>
        <w:numPr>
          <w:ilvl w:val="0"/>
          <w:numId w:val="19"/>
        </w:numPr>
        <w:tabs>
          <w:tab w:val="num" w:pos="851"/>
        </w:tabs>
        <w:ind w:left="0" w:firstLine="0"/>
        <w:jc w:val="both"/>
      </w:pPr>
      <w:r>
        <w:t xml:space="preserve">In summary, Australia submits </w:t>
      </w:r>
      <w:r w:rsidR="274EC713">
        <w:t xml:space="preserve">the Panel should reject </w:t>
      </w:r>
      <w:r>
        <w:t xml:space="preserve">India's argument </w:t>
      </w:r>
      <w:r w:rsidR="36AD2D43">
        <w:t>constraining</w:t>
      </w:r>
      <w:r>
        <w:t xml:space="preserve"> the meaning of </w:t>
      </w:r>
      <w:r w:rsidR="4F9116F1">
        <w:t>MPS</w:t>
      </w:r>
      <w:r>
        <w:t xml:space="preserve">. </w:t>
      </w:r>
      <w:r w:rsidR="00307051">
        <w:t xml:space="preserve"> </w:t>
      </w:r>
      <w:r w:rsidR="003013AA">
        <w:t>Once th</w:t>
      </w:r>
      <w:r w:rsidR="00307051">
        <w:t>at</w:t>
      </w:r>
      <w:r w:rsidR="003013AA">
        <w:t xml:space="preserve"> argument </w:t>
      </w:r>
      <w:r w:rsidR="00307051">
        <w:t>is</w:t>
      </w:r>
      <w:r w:rsidR="003013AA">
        <w:t xml:space="preserve"> rejected</w:t>
      </w:r>
      <w:r w:rsidR="00307051">
        <w:t>,</w:t>
      </w:r>
      <w:r>
        <w:t xml:space="preserve"> Australia's calculations</w:t>
      </w:r>
      <w:r w:rsidR="003013AA">
        <w:t xml:space="preserve"> of India’s domestic support demonstrate that</w:t>
      </w:r>
      <w:r>
        <w:t xml:space="preserve"> India has violated its domestic support commitments.</w:t>
      </w:r>
      <w:r w:rsidR="005E6AC1">
        <w:t xml:space="preserve"> </w:t>
      </w:r>
    </w:p>
    <w:p w14:paraId="52757897" w14:textId="77777777" w:rsidR="00CF2651" w:rsidRDefault="00CF2651" w:rsidP="005373A1">
      <w:pPr>
        <w:pStyle w:val="HL1HeadingLevel1"/>
      </w:pPr>
      <w:bookmarkStart w:id="11" w:name="_Toc58497312"/>
      <w:r>
        <w:t>export subsidies</w:t>
      </w:r>
      <w:bookmarkEnd w:id="11"/>
    </w:p>
    <w:p w14:paraId="5FA0DEA4" w14:textId="3529EBC0" w:rsidR="002A2078" w:rsidRDefault="009B2DC6" w:rsidP="0019254A">
      <w:pPr>
        <w:pStyle w:val="P1-N1Paragraph1-Number1"/>
        <w:numPr>
          <w:ilvl w:val="0"/>
          <w:numId w:val="19"/>
        </w:numPr>
        <w:tabs>
          <w:tab w:val="num" w:pos="851"/>
        </w:tabs>
        <w:ind w:left="0" w:firstLine="0"/>
        <w:jc w:val="both"/>
      </w:pPr>
      <w:r>
        <w:t xml:space="preserve">I turn now to export subsidies.  </w:t>
      </w:r>
      <w:r w:rsidR="00715DA6">
        <w:t>Mr Chair and members of the Panel</w:t>
      </w:r>
      <w:r w:rsidR="0047778B">
        <w:t xml:space="preserve"> –</w:t>
      </w:r>
      <w:r w:rsidR="00A625D6">
        <w:t xml:space="preserve"> </w:t>
      </w:r>
      <w:r w:rsidR="006C68EC">
        <w:t>India</w:t>
      </w:r>
      <w:r w:rsidR="002A2078">
        <w:t>'s production-incentivising domestic support</w:t>
      </w:r>
      <w:r w:rsidR="006C68EC">
        <w:t xml:space="preserve"> </w:t>
      </w:r>
      <w:r w:rsidR="0039316A">
        <w:t xml:space="preserve">leads to the overproduction of sugarcane and </w:t>
      </w:r>
      <w:r w:rsidR="002A2078">
        <w:t xml:space="preserve">to </w:t>
      </w:r>
      <w:r w:rsidR="006C68EC">
        <w:t xml:space="preserve">excessive </w:t>
      </w:r>
      <w:r w:rsidR="002A2078">
        <w:t>surplus sugar stocks.</w:t>
      </w:r>
      <w:r w:rsidR="002377FF">
        <w:rPr>
          <w:rStyle w:val="FootnoteReference"/>
        </w:rPr>
        <w:footnoteReference w:id="44"/>
      </w:r>
      <w:r w:rsidR="002A2078">
        <w:t xml:space="preserve">  </w:t>
      </w:r>
      <w:r w:rsidR="00561526">
        <w:t xml:space="preserve">As </w:t>
      </w:r>
      <w:r w:rsidR="00200CE9">
        <w:t xml:space="preserve">the </w:t>
      </w:r>
      <w:r w:rsidR="00561526">
        <w:t xml:space="preserve">costs of </w:t>
      </w:r>
      <w:r w:rsidR="0039316A">
        <w:t xml:space="preserve">sugar </w:t>
      </w:r>
      <w:r w:rsidR="00561526">
        <w:t xml:space="preserve">production in India are higher than the world price, exports are unprofitable for mills.  </w:t>
      </w:r>
      <w:r w:rsidR="0039316A">
        <w:t>In an effort to ameliorate this oversupply problem</w:t>
      </w:r>
      <w:r w:rsidR="00561526">
        <w:t>, the Central Government provides WTO-inconsistent export subsidies to enable mills to access international markets.</w:t>
      </w:r>
      <w:r w:rsidR="00561526">
        <w:rPr>
          <w:rStyle w:val="FootnoteReference"/>
        </w:rPr>
        <w:footnoteReference w:id="45"/>
      </w:r>
      <w:r w:rsidR="005749CA">
        <w:t xml:space="preserve"> </w:t>
      </w:r>
      <w:r w:rsidR="003013AA">
        <w:t xml:space="preserve"> Thus to fix the market distortions created by its domestic support, India has resorted to </w:t>
      </w:r>
      <w:r w:rsidR="00C807A8">
        <w:t>distorting the international sugar market as well.</w:t>
      </w:r>
    </w:p>
    <w:p w14:paraId="3CDA12BD" w14:textId="77777777" w:rsidR="00772157" w:rsidRDefault="00697AE4" w:rsidP="00772157">
      <w:pPr>
        <w:pStyle w:val="HL2HeadingLevel2"/>
      </w:pPr>
      <w:bookmarkStart w:id="12" w:name="_Toc58497313"/>
      <w:r>
        <w:t xml:space="preserve">Indian </w:t>
      </w:r>
      <w:r w:rsidR="00B60FE4">
        <w:t>Sugar Mills are Required to Export Sugar to be Eligible to Receive Assistance under India's Production Subsidies, Buffer Stock Subsidies and MAEQ Scheme</w:t>
      </w:r>
      <w:bookmarkEnd w:id="12"/>
    </w:p>
    <w:p w14:paraId="150DB873" w14:textId="42506DB1" w:rsidR="004246DB" w:rsidRPr="0006003A" w:rsidRDefault="004246DB" w:rsidP="004246DB">
      <w:pPr>
        <w:pStyle w:val="P1-N1Paragraph1-Number1"/>
        <w:numPr>
          <w:ilvl w:val="0"/>
          <w:numId w:val="19"/>
        </w:numPr>
        <w:tabs>
          <w:tab w:val="num" w:pos="851"/>
        </w:tabs>
        <w:ind w:left="0" w:firstLine="0"/>
        <w:jc w:val="both"/>
      </w:pPr>
      <w:r>
        <w:t xml:space="preserve">At issue in this dispute are India's production subsidies, buffer stock subsidies and </w:t>
      </w:r>
      <w:r w:rsidR="00D11617">
        <w:t>the MAEQ scheme</w:t>
      </w:r>
      <w:r>
        <w:t xml:space="preserve">.  Australia has outlined the facts of these measures in detail in its </w:t>
      </w:r>
      <w:r w:rsidR="002A0B9D">
        <w:t xml:space="preserve">first written </w:t>
      </w:r>
      <w:r>
        <w:t>submission</w:t>
      </w:r>
      <w:r w:rsidR="002A0B9D">
        <w:t xml:space="preserve">, comments on India’s request for a preliminary ruling and responses to </w:t>
      </w:r>
      <w:r w:rsidR="00307051">
        <w:t>the P</w:t>
      </w:r>
      <w:r w:rsidR="002A0B9D">
        <w:t>anel</w:t>
      </w:r>
      <w:r w:rsidR="00307051">
        <w:t>'s</w:t>
      </w:r>
      <w:r w:rsidR="002A0B9D">
        <w:t xml:space="preserve"> questions</w:t>
      </w:r>
      <w:r>
        <w:t>.</w:t>
      </w:r>
    </w:p>
    <w:p w14:paraId="4A69DACF" w14:textId="3BC4BC8B" w:rsidR="004246DB" w:rsidRPr="00710FAB" w:rsidRDefault="004246DB" w:rsidP="004246DB">
      <w:pPr>
        <w:pStyle w:val="P1-N1Paragraph1-Number1"/>
        <w:numPr>
          <w:ilvl w:val="0"/>
          <w:numId w:val="19"/>
        </w:numPr>
        <w:tabs>
          <w:tab w:val="num" w:pos="851"/>
        </w:tabs>
        <w:ind w:left="0" w:firstLine="0"/>
        <w:jc w:val="both"/>
      </w:pPr>
      <w:r>
        <w:lastRenderedPageBreak/>
        <w:t xml:space="preserve">What the facts disclose is that, at their core, </w:t>
      </w:r>
      <w:r w:rsidRPr="00EE34A8">
        <w:rPr>
          <w:u w:val="single"/>
        </w:rPr>
        <w:t>each of these measures operates in the same way</w:t>
      </w:r>
      <w:r>
        <w:t xml:space="preserve">.  Each scheme shares a set of common features.  </w:t>
      </w:r>
      <w:r w:rsidR="002D47EC">
        <w:t>So</w:t>
      </w:r>
      <w:r w:rsidR="000967A0">
        <w:t>,</w:t>
      </w:r>
      <w:r w:rsidR="002D47EC">
        <w:t xml:space="preserve"> let’s </w:t>
      </w:r>
      <w:r>
        <w:t xml:space="preserve">briefly </w:t>
      </w:r>
      <w:r w:rsidR="00AD3639">
        <w:t xml:space="preserve">recall </w:t>
      </w:r>
      <w:r>
        <w:t>them.</w:t>
      </w:r>
    </w:p>
    <w:p w14:paraId="59FC1888" w14:textId="60B784DC" w:rsidR="004246DB" w:rsidRDefault="004246DB" w:rsidP="004246DB">
      <w:pPr>
        <w:pStyle w:val="P1-N1Paragraph1-Number1"/>
        <w:numPr>
          <w:ilvl w:val="0"/>
          <w:numId w:val="19"/>
        </w:numPr>
        <w:tabs>
          <w:tab w:val="num" w:pos="851"/>
        </w:tabs>
        <w:ind w:left="0" w:firstLine="0"/>
        <w:jc w:val="both"/>
      </w:pPr>
      <w:r>
        <w:t xml:space="preserve">Under India's production subsidies, buffer stock subsidies and MAEQ scheme, the Central Government makes financial assistance available to sugar mills.  </w:t>
      </w:r>
      <w:r w:rsidR="006875BD">
        <w:t>Each</w:t>
      </w:r>
      <w:r w:rsidR="0057391D">
        <w:t xml:space="preserve"> legal instrument notifying these schemes states prominently, and in virtually identical terms, that the purpose of the financial assistance </w:t>
      </w:r>
      <w:r w:rsidR="005C07DC">
        <w:t xml:space="preserve">is to pay </w:t>
      </w:r>
      <w:r w:rsidR="00AD3639">
        <w:t>sugar</w:t>
      </w:r>
      <w:r w:rsidR="005C07DC">
        <w:t>cane price dues and arrears</w:t>
      </w:r>
      <w:r>
        <w:t>.</w:t>
      </w:r>
      <w:r>
        <w:rPr>
          <w:rStyle w:val="FootnoteReference"/>
        </w:rPr>
        <w:footnoteReference w:id="46"/>
      </w:r>
      <w:r>
        <w:t xml:space="preserve">  </w:t>
      </w:r>
      <w:r w:rsidR="005C07DC">
        <w:t>The assistance is paid</w:t>
      </w:r>
      <w:r w:rsidR="004934CB">
        <w:t xml:space="preserve"> by the Central Government</w:t>
      </w:r>
      <w:r w:rsidR="005C07DC">
        <w:t>, on behalf of eligible sugar mills, into sugarcane farmers' bank accounts.</w:t>
      </w:r>
    </w:p>
    <w:p w14:paraId="3745F15F" w14:textId="77777777" w:rsidR="004246DB" w:rsidRDefault="004246DB" w:rsidP="004246DB">
      <w:pPr>
        <w:pStyle w:val="P1-N1Paragraph1-Number1"/>
        <w:numPr>
          <w:ilvl w:val="0"/>
          <w:numId w:val="19"/>
        </w:numPr>
        <w:tabs>
          <w:tab w:val="num" w:pos="851"/>
        </w:tabs>
        <w:ind w:left="0" w:firstLine="0"/>
        <w:jc w:val="both"/>
      </w:pPr>
      <w:r>
        <w:t xml:space="preserve">A crucial element </w:t>
      </w:r>
      <w:r w:rsidR="005C07DC">
        <w:t>common to</w:t>
      </w:r>
      <w:r>
        <w:t xml:space="preserve"> every</w:t>
      </w:r>
      <w:r w:rsidR="005C07DC">
        <w:t xml:space="preserve"> seasonal</w:t>
      </w:r>
      <w:r>
        <w:t xml:space="preserve"> iteration of India's production subsidies, buffer stock subsidies and MAEQ scheme</w:t>
      </w:r>
      <w:r w:rsidR="005C07DC">
        <w:t xml:space="preserve"> </w:t>
      </w:r>
      <w:r>
        <w:t xml:space="preserve">is that sugar mills </w:t>
      </w:r>
      <w:r w:rsidR="005C07DC">
        <w:t xml:space="preserve">must </w:t>
      </w:r>
      <w:r w:rsidRPr="00EE34A8">
        <w:rPr>
          <w:u w:val="single"/>
        </w:rPr>
        <w:t>export</w:t>
      </w:r>
      <w:r>
        <w:t xml:space="preserve"> sugar</w:t>
      </w:r>
      <w:r w:rsidR="005C07DC">
        <w:t xml:space="preserve"> – in accordance with </w:t>
      </w:r>
      <w:r w:rsidR="00686169">
        <w:t>MIEQ or MAEQ quotas, as the case may be –</w:t>
      </w:r>
      <w:r>
        <w:t xml:space="preserve"> to be eligible to claim and receive the assistance.  </w:t>
      </w:r>
    </w:p>
    <w:p w14:paraId="1149ACCB" w14:textId="5BCA6108" w:rsidR="004246DB" w:rsidRDefault="00011463" w:rsidP="004246DB">
      <w:pPr>
        <w:pStyle w:val="P1-N1Paragraph1-Number1"/>
        <w:numPr>
          <w:ilvl w:val="0"/>
          <w:numId w:val="19"/>
        </w:numPr>
        <w:tabs>
          <w:tab w:val="num" w:pos="851"/>
        </w:tabs>
        <w:ind w:left="0" w:firstLine="0"/>
        <w:jc w:val="both"/>
      </w:pPr>
      <w:r w:rsidDel="00011463">
        <w:t xml:space="preserve"> </w:t>
      </w:r>
      <w:r w:rsidR="004246DB">
        <w:t>In relation to the MAEQ scheme, India has said: "[t]he requirement to export sugar in accordance with a mill's MAEQ is a prerequisite to receive payments under [the] MAEQ scheme".</w:t>
      </w:r>
      <w:r w:rsidR="004246DB">
        <w:rPr>
          <w:rStyle w:val="FootnoteReference"/>
        </w:rPr>
        <w:footnoteReference w:id="47"/>
      </w:r>
      <w:r w:rsidR="004246DB">
        <w:t xml:space="preserve">  </w:t>
      </w:r>
    </w:p>
    <w:p w14:paraId="5276B512" w14:textId="77777777" w:rsidR="004246DB" w:rsidRDefault="004246DB" w:rsidP="004246DB">
      <w:pPr>
        <w:pStyle w:val="P1-N1Paragraph1-Number1"/>
        <w:numPr>
          <w:ilvl w:val="0"/>
          <w:numId w:val="19"/>
        </w:numPr>
        <w:tabs>
          <w:tab w:val="num" w:pos="851"/>
        </w:tabs>
        <w:ind w:left="0" w:firstLine="0"/>
        <w:jc w:val="both"/>
      </w:pPr>
      <w:r>
        <w:t>Nevertheless, India dispute</w:t>
      </w:r>
      <w:r w:rsidR="00011463">
        <w:t>s</w:t>
      </w:r>
      <w:r>
        <w:t xml:space="preserve"> the facts underpinning the export contingency of its production subsidies and buffer stock subsidies, saying: "these schemes do not contain any requirement to export a certain amount of sugar each year".</w:t>
      </w:r>
      <w:r>
        <w:rPr>
          <w:rStyle w:val="FootnoteReference"/>
        </w:rPr>
        <w:footnoteReference w:id="48"/>
      </w:r>
    </w:p>
    <w:p w14:paraId="2F0D5EC3" w14:textId="53DF26AF" w:rsidR="004246DB" w:rsidRDefault="004246DB" w:rsidP="004246DB">
      <w:pPr>
        <w:pStyle w:val="P1-N1Paragraph1-Number1"/>
        <w:numPr>
          <w:ilvl w:val="0"/>
          <w:numId w:val="19"/>
        </w:numPr>
        <w:tabs>
          <w:tab w:val="num" w:pos="851"/>
        </w:tabs>
        <w:ind w:left="0" w:firstLine="0"/>
        <w:jc w:val="both"/>
      </w:pPr>
      <w:r w:rsidRPr="00EE34A8">
        <w:rPr>
          <w:u w:val="single"/>
        </w:rPr>
        <w:lastRenderedPageBreak/>
        <w:t xml:space="preserve">This is simply not </w:t>
      </w:r>
      <w:r w:rsidR="00633B93">
        <w:rPr>
          <w:u w:val="single"/>
        </w:rPr>
        <w:t>accurate</w:t>
      </w:r>
      <w:r w:rsidR="00536BB0">
        <w:t>.</w:t>
      </w:r>
      <w:r>
        <w:t xml:space="preserve"> </w:t>
      </w:r>
      <w:r w:rsidR="00E41937">
        <w:t xml:space="preserve"> </w:t>
      </w:r>
      <w:r w:rsidR="00536BB0">
        <w:t>T</w:t>
      </w:r>
      <w:r>
        <w:t>he instruments notifying the</w:t>
      </w:r>
      <w:r w:rsidR="008042D5">
        <w:t xml:space="preserve"> 2017</w:t>
      </w:r>
      <w:r w:rsidR="00574524" w:rsidRPr="00574524">
        <w:t>–</w:t>
      </w:r>
      <w:r w:rsidR="008042D5">
        <w:t>18</w:t>
      </w:r>
      <w:r w:rsidR="008042D5">
        <w:rPr>
          <w:rStyle w:val="FootnoteReference"/>
        </w:rPr>
        <w:footnoteReference w:id="49"/>
      </w:r>
      <w:r w:rsidR="008042D5">
        <w:t xml:space="preserve"> and 2018</w:t>
      </w:r>
      <w:r w:rsidR="00574524" w:rsidRPr="00574524">
        <w:t>–</w:t>
      </w:r>
      <w:r w:rsidR="008042D5">
        <w:t>19</w:t>
      </w:r>
      <w:r w:rsidR="008042D5">
        <w:rPr>
          <w:rStyle w:val="FootnoteReference"/>
        </w:rPr>
        <w:footnoteReference w:id="50"/>
      </w:r>
      <w:r w:rsidR="008042D5">
        <w:t xml:space="preserve"> </w:t>
      </w:r>
      <w:r w:rsidR="00A61F1B">
        <w:t>schemes</w:t>
      </w:r>
      <w:r>
        <w:t xml:space="preserve"> </w:t>
      </w:r>
      <w:r w:rsidR="00536BB0">
        <w:t xml:space="preserve">stipulate that mills must have complied with </w:t>
      </w:r>
      <w:r w:rsidR="00536BB0" w:rsidRPr="00EE34A8">
        <w:rPr>
          <w:u w:val="single"/>
        </w:rPr>
        <w:t>all</w:t>
      </w:r>
      <w:r w:rsidR="00536BB0">
        <w:t xml:space="preserve"> orders (or directives) of the Department of Food and Public Distribution </w:t>
      </w:r>
      <w:r w:rsidR="004F2538">
        <w:t xml:space="preserve">(DFPD) </w:t>
      </w:r>
      <w:r w:rsidR="00536BB0">
        <w:t>to be eligible for the subsidies</w:t>
      </w:r>
      <w:r>
        <w:t xml:space="preserve">.  </w:t>
      </w:r>
    </w:p>
    <w:p w14:paraId="2EF935E8" w14:textId="03A9D343" w:rsidR="004246DB" w:rsidRDefault="004246DB" w:rsidP="004246DB">
      <w:pPr>
        <w:pStyle w:val="P1-N1Paragraph1-Number1"/>
        <w:numPr>
          <w:ilvl w:val="0"/>
          <w:numId w:val="19"/>
        </w:numPr>
        <w:tabs>
          <w:tab w:val="num" w:pos="851"/>
        </w:tabs>
        <w:ind w:left="0" w:firstLine="0"/>
        <w:jc w:val="both"/>
      </w:pPr>
      <w:r>
        <w:t xml:space="preserve">India agrees that MIEQ orders constitute "orders" of </w:t>
      </w:r>
      <w:r w:rsidR="004F2538">
        <w:t>DFPD</w:t>
      </w:r>
      <w:r>
        <w:t>.</w:t>
      </w:r>
      <w:r>
        <w:rPr>
          <w:rStyle w:val="FootnoteReference"/>
        </w:rPr>
        <w:footnoteReference w:id="51"/>
      </w:r>
      <w:r>
        <w:t xml:space="preserve">  Thus, India </w:t>
      </w:r>
      <w:r w:rsidRPr="00EE34A8">
        <w:rPr>
          <w:u w:val="single"/>
        </w:rPr>
        <w:t>cannot deny</w:t>
      </w:r>
      <w:r>
        <w:t xml:space="preserve"> that eligibility to claim assistance under these schemes is conditioned on compliance with MIEQs – mandatory orders, issued by </w:t>
      </w:r>
      <w:r w:rsidR="004F2538">
        <w:t>DFPD</w:t>
      </w:r>
      <w:r>
        <w:t>, that require mills to export an allocated quota of sugar.</w:t>
      </w:r>
    </w:p>
    <w:p w14:paraId="251A6AA9" w14:textId="2C0BCCDC" w:rsidR="00C13FC4" w:rsidRDefault="00C13FC4" w:rsidP="004246DB">
      <w:pPr>
        <w:pStyle w:val="P1-N1Paragraph1-Number1"/>
        <w:numPr>
          <w:ilvl w:val="0"/>
          <w:numId w:val="19"/>
        </w:numPr>
        <w:tabs>
          <w:tab w:val="num" w:pos="851"/>
        </w:tabs>
        <w:ind w:left="0" w:firstLine="0"/>
        <w:jc w:val="both"/>
      </w:pPr>
      <w:r>
        <w:t>Indeed, India's sugar exports have risen</w:t>
      </w:r>
      <w:r w:rsidR="003A123D">
        <w:t xml:space="preserve"> in accordance </w:t>
      </w:r>
      <w:r w:rsidR="005B061A">
        <w:t>with</w:t>
      </w:r>
      <w:r w:rsidR="005E7AAB">
        <w:t xml:space="preserve"> </w:t>
      </w:r>
      <w:r w:rsidR="003A123D">
        <w:t>those orders.  Exports totalled 2.236 million metric tonnes in 2017</w:t>
      </w:r>
      <w:r w:rsidR="00B12009">
        <w:t>–</w:t>
      </w:r>
      <w:r w:rsidR="003A123D">
        <w:t>18 and rose to 4.7 million metric tonnes in 2018</w:t>
      </w:r>
      <w:r w:rsidR="00B12009" w:rsidRPr="00B12009">
        <w:t>–</w:t>
      </w:r>
      <w:r w:rsidR="003A123D">
        <w:t>19,</w:t>
      </w:r>
      <w:r w:rsidR="003A123D">
        <w:rPr>
          <w:rStyle w:val="FootnoteReference"/>
        </w:rPr>
        <w:footnoteReference w:id="52"/>
      </w:r>
      <w:r w:rsidR="003A123D">
        <w:t xml:space="preserve"> against respective MIEQ allocations of 2 million metric tonnes in 2017</w:t>
      </w:r>
      <w:r w:rsidR="00B12009" w:rsidRPr="00B12009">
        <w:t>–</w:t>
      </w:r>
      <w:r w:rsidR="003A123D">
        <w:t>18</w:t>
      </w:r>
      <w:r w:rsidR="003A123D">
        <w:rPr>
          <w:rStyle w:val="FootnoteReference"/>
        </w:rPr>
        <w:footnoteReference w:id="53"/>
      </w:r>
      <w:r w:rsidR="003A123D">
        <w:t xml:space="preserve"> and 5 million metric tonnes in 2018</w:t>
      </w:r>
      <w:r w:rsidR="00B12009" w:rsidRPr="00B12009">
        <w:t>–</w:t>
      </w:r>
      <w:r w:rsidR="003A123D">
        <w:t>19.</w:t>
      </w:r>
      <w:r w:rsidR="003A123D">
        <w:rPr>
          <w:rStyle w:val="FootnoteReference"/>
        </w:rPr>
        <w:footnoteReference w:id="54"/>
      </w:r>
      <w:r w:rsidR="003A123D">
        <w:t xml:space="preserve"> </w:t>
      </w:r>
    </w:p>
    <w:p w14:paraId="2995E1AB" w14:textId="0A91587A" w:rsidR="008042D5" w:rsidRDefault="008042D5" w:rsidP="004246DB">
      <w:pPr>
        <w:pStyle w:val="P1-N1Paragraph1-Number1"/>
        <w:numPr>
          <w:ilvl w:val="0"/>
          <w:numId w:val="19"/>
        </w:numPr>
        <w:tabs>
          <w:tab w:val="num" w:pos="851"/>
        </w:tabs>
        <w:ind w:left="0" w:firstLine="0"/>
        <w:jc w:val="both"/>
      </w:pPr>
      <w:r>
        <w:t>Additionally, export in accordance with MAEQ allocations</w:t>
      </w:r>
      <w:r w:rsidR="00FD7A27">
        <w:t xml:space="preserve"> is a condition of </w:t>
      </w:r>
      <w:r w:rsidR="00FD7A27" w:rsidRPr="00FD7A27">
        <w:t>eligibility for the buffer stock scheme that India introduced in 2019 for the 2018–19 and 2019–20 sugar seasons</w:t>
      </w:r>
      <w:r>
        <w:t xml:space="preserve">.  </w:t>
      </w:r>
      <w:r w:rsidR="004F2538">
        <w:t>DFPD</w:t>
      </w:r>
      <w:r w:rsidR="00AD3639">
        <w:t xml:space="preserve"> issued guidelines on the MAEQ scheme earlier this year that make </w:t>
      </w:r>
      <w:r w:rsidR="008165E9">
        <w:t>a clear</w:t>
      </w:r>
      <w:r w:rsidR="00AD3639">
        <w:t xml:space="preserve"> link between buffer stock payments and MAEQ </w:t>
      </w:r>
      <w:r w:rsidR="007844AC">
        <w:t>targets.</w:t>
      </w:r>
      <w:r w:rsidR="007844AC">
        <w:rPr>
          <w:rStyle w:val="FootnoteReference"/>
        </w:rPr>
        <w:footnoteReference w:id="55"/>
      </w:r>
    </w:p>
    <w:p w14:paraId="75FF3589" w14:textId="228D0162" w:rsidR="004246DB" w:rsidRDefault="00F56760" w:rsidP="004246DB">
      <w:pPr>
        <w:pStyle w:val="P1-N1Paragraph1-Number1"/>
        <w:numPr>
          <w:ilvl w:val="0"/>
          <w:numId w:val="19"/>
        </w:numPr>
        <w:tabs>
          <w:tab w:val="num" w:pos="851"/>
        </w:tabs>
        <w:ind w:left="0" w:firstLine="0"/>
        <w:jc w:val="both"/>
      </w:pPr>
      <w:r>
        <w:t>We therefore as</w:t>
      </w:r>
      <w:r w:rsidR="007844AC">
        <w:t>k</w:t>
      </w:r>
      <w:r>
        <w:t xml:space="preserve"> the</w:t>
      </w:r>
      <w:r w:rsidR="004246DB">
        <w:t xml:space="preserve"> Panel </w:t>
      </w:r>
      <w:r>
        <w:t xml:space="preserve">to </w:t>
      </w:r>
      <w:r w:rsidR="00011463">
        <w:rPr>
          <w:u w:val="single"/>
        </w:rPr>
        <w:t xml:space="preserve">find that India has failed to rebut Australia's </w:t>
      </w:r>
      <w:r w:rsidR="00011463">
        <w:rPr>
          <w:i/>
          <w:iCs/>
          <w:u w:val="single"/>
        </w:rPr>
        <w:t>prima facie</w:t>
      </w:r>
      <w:r w:rsidR="00011463">
        <w:rPr>
          <w:u w:val="single"/>
        </w:rPr>
        <w:t xml:space="preserve"> case that </w:t>
      </w:r>
      <w:r w:rsidR="00C807A8">
        <w:rPr>
          <w:u w:val="single"/>
        </w:rPr>
        <w:t>these</w:t>
      </w:r>
      <w:r w:rsidR="00362F7B">
        <w:rPr>
          <w:u w:val="single"/>
        </w:rPr>
        <w:t xml:space="preserve"> </w:t>
      </w:r>
      <w:r w:rsidR="00011463">
        <w:rPr>
          <w:u w:val="single"/>
        </w:rPr>
        <w:t>measures are export contingent</w:t>
      </w:r>
      <w:r w:rsidR="00011463" w:rsidRPr="00EE34A8">
        <w:t xml:space="preserve">. </w:t>
      </w:r>
      <w:r w:rsidR="00011463">
        <w:t xml:space="preserve"> </w:t>
      </w:r>
      <w:r w:rsidR="004246DB">
        <w:t xml:space="preserve">India's </w:t>
      </w:r>
      <w:r w:rsidR="00E752BD">
        <w:t>submission</w:t>
      </w:r>
      <w:r w:rsidR="00011463">
        <w:t xml:space="preserve"> </w:t>
      </w:r>
      <w:r w:rsidR="004246DB">
        <w:t xml:space="preserve">that its production subsidies and buffer stock subsidies do not contain any requirement to export sugar is not supported by the facts.        </w:t>
      </w:r>
    </w:p>
    <w:p w14:paraId="5AB5AF7F" w14:textId="77777777" w:rsidR="004246DB" w:rsidRDefault="00B60FE4" w:rsidP="0019254A">
      <w:pPr>
        <w:pStyle w:val="HL2HeadingLevel2"/>
      </w:pPr>
      <w:bookmarkStart w:id="13" w:name="_Toc58497314"/>
      <w:r>
        <w:lastRenderedPageBreak/>
        <w:t>The MAEQ Scheme is Within the Panel's Terms of Reference</w:t>
      </w:r>
      <w:bookmarkEnd w:id="13"/>
    </w:p>
    <w:p w14:paraId="071A762E" w14:textId="1E5313F6" w:rsidR="00C201A3" w:rsidRDefault="00011463" w:rsidP="00C201A3">
      <w:pPr>
        <w:pStyle w:val="P1-N1Paragraph1-Number1"/>
        <w:numPr>
          <w:ilvl w:val="0"/>
          <w:numId w:val="19"/>
        </w:numPr>
        <w:tabs>
          <w:tab w:val="num" w:pos="851"/>
        </w:tabs>
        <w:ind w:left="0" w:firstLine="0"/>
        <w:jc w:val="both"/>
      </w:pPr>
      <w:r>
        <w:t>Turning to India's request for a preliminary ruling with respect to the inclusion of India's MAEQ scheme in the Panel's terms of reference</w:t>
      </w:r>
      <w:r w:rsidR="006F7F24">
        <w:t>,</w:t>
      </w:r>
      <w:r>
        <w:t xml:space="preserve"> </w:t>
      </w:r>
      <w:r w:rsidR="00C201A3" w:rsidRPr="5EC6AFD6">
        <w:t>Australia</w:t>
      </w:r>
      <w:r w:rsidR="00C201A3">
        <w:t xml:space="preserve"> </w:t>
      </w:r>
      <w:r w:rsidR="009A5E9A">
        <w:t xml:space="preserve">recalls that it </w:t>
      </w:r>
      <w:r w:rsidR="00C201A3">
        <w:t xml:space="preserve">made its panel request on 15 August 2019.  </w:t>
      </w:r>
      <w:r w:rsidR="00FD7A27">
        <w:t>India introduced t</w:t>
      </w:r>
      <w:r w:rsidR="00C201A3">
        <w:t>he MAEQ scheme on 12 and 16</w:t>
      </w:r>
      <w:r w:rsidR="00574524">
        <w:t> </w:t>
      </w:r>
      <w:r w:rsidR="00C201A3">
        <w:t>September</w:t>
      </w:r>
      <w:r w:rsidR="00574524">
        <w:t> </w:t>
      </w:r>
      <w:r w:rsidR="00C201A3">
        <w:t>2019.</w:t>
      </w:r>
      <w:r w:rsidR="00C201A3">
        <w:rPr>
          <w:rStyle w:val="FootnoteReference"/>
        </w:rPr>
        <w:footnoteReference w:id="56"/>
      </w:r>
      <w:r w:rsidR="00C201A3">
        <w:t xml:space="preserve">  Australia does not hide from this fact.</w:t>
      </w:r>
      <w:r w:rsidR="00C201A3">
        <w:rPr>
          <w:rStyle w:val="FootnoteReference"/>
        </w:rPr>
        <w:footnoteReference w:id="57"/>
      </w:r>
    </w:p>
    <w:p w14:paraId="1D346A6D" w14:textId="6423C14B" w:rsidR="004246DB" w:rsidRDefault="00011463" w:rsidP="00A252DF">
      <w:pPr>
        <w:pStyle w:val="P1-N1Paragraph1-Number1"/>
        <w:numPr>
          <w:ilvl w:val="0"/>
          <w:numId w:val="19"/>
        </w:numPr>
        <w:tabs>
          <w:tab w:val="num" w:pos="851"/>
        </w:tabs>
        <w:ind w:left="0" w:firstLine="0"/>
        <w:jc w:val="both"/>
      </w:pPr>
      <w:r>
        <w:t xml:space="preserve">As Australia has demonstrated, </w:t>
      </w:r>
      <w:r w:rsidR="00C201A3">
        <w:t xml:space="preserve">the MAEQ scheme exhibits the same core features as </w:t>
      </w:r>
      <w:r w:rsidR="00FD7A27">
        <w:t>India's</w:t>
      </w:r>
      <w:r w:rsidR="00C201A3">
        <w:t xml:space="preserve"> production and buffer stock subsidies.  </w:t>
      </w:r>
    </w:p>
    <w:p w14:paraId="7EE39569" w14:textId="02913E1E" w:rsidR="00C201A3" w:rsidRDefault="002F376E" w:rsidP="00C201A3">
      <w:pPr>
        <w:pStyle w:val="P1-N1Paragraph1-Number1"/>
        <w:numPr>
          <w:ilvl w:val="0"/>
          <w:numId w:val="19"/>
        </w:numPr>
        <w:tabs>
          <w:tab w:val="num" w:pos="851"/>
        </w:tabs>
        <w:ind w:left="0" w:firstLine="0"/>
        <w:jc w:val="both"/>
      </w:pPr>
      <w:r>
        <w:t>India's claim that its export subsidies</w:t>
      </w:r>
      <w:r w:rsidR="00C201A3">
        <w:t xml:space="preserve"> are not the same "in essence" </w:t>
      </w:r>
      <w:r w:rsidR="009A5E9A">
        <w:t xml:space="preserve">and </w:t>
      </w:r>
      <w:r w:rsidR="00A61F1B">
        <w:t xml:space="preserve">that the MAEQ scheme is </w:t>
      </w:r>
      <w:r w:rsidR="009A5E9A">
        <w:t>therefore</w:t>
      </w:r>
      <w:r w:rsidR="00C201A3">
        <w:t xml:space="preserve"> outside the Panel's terms of reference</w:t>
      </w:r>
      <w:r w:rsidR="009A5E9A">
        <w:t xml:space="preserve"> is an attempt</w:t>
      </w:r>
      <w:r w:rsidR="00C807A8">
        <w:t>ed</w:t>
      </w:r>
      <w:r w:rsidR="009A5E9A">
        <w:t xml:space="preserve"> distraction</w:t>
      </w:r>
      <w:r w:rsidR="00C201A3">
        <w:t>.</w:t>
      </w:r>
    </w:p>
    <w:p w14:paraId="7BE7D7B9" w14:textId="6CFB4D8F" w:rsidR="004246DB" w:rsidRDefault="004246DB" w:rsidP="004246DB">
      <w:pPr>
        <w:pStyle w:val="P1-N1Paragraph1-Number1"/>
        <w:numPr>
          <w:ilvl w:val="0"/>
          <w:numId w:val="19"/>
        </w:numPr>
        <w:tabs>
          <w:tab w:val="num" w:pos="851"/>
        </w:tabs>
        <w:ind w:left="0" w:firstLine="0"/>
        <w:jc w:val="both"/>
      </w:pPr>
      <w:r w:rsidRPr="5EC6AFD6">
        <w:t>Australia</w:t>
      </w:r>
      <w:r>
        <w:t xml:space="preserve"> has addressed </w:t>
      </w:r>
      <w:r w:rsidR="00795248">
        <w:t xml:space="preserve">India's </w:t>
      </w:r>
      <w:r>
        <w:t>arguments</w:t>
      </w:r>
      <w:r w:rsidR="00795248">
        <w:t xml:space="preserve"> in this regard</w:t>
      </w:r>
      <w:r>
        <w:t xml:space="preserve"> at length in its comments on India's request for a preliminary ruling.</w:t>
      </w:r>
      <w:r>
        <w:rPr>
          <w:rStyle w:val="FootnoteReference"/>
        </w:rPr>
        <w:footnoteReference w:id="58"/>
      </w:r>
      <w:r>
        <w:t xml:space="preserve">  For now, I </w:t>
      </w:r>
      <w:r w:rsidR="001E63C5">
        <w:t xml:space="preserve">will </w:t>
      </w:r>
      <w:r w:rsidR="00CF5773">
        <w:t xml:space="preserve">just </w:t>
      </w:r>
      <w:r>
        <w:t>briefly summarise Australia's positions in response:</w:t>
      </w:r>
    </w:p>
    <w:p w14:paraId="084BDAB5" w14:textId="77777777" w:rsidR="004246DB" w:rsidRDefault="00795248" w:rsidP="004246DB">
      <w:pPr>
        <w:pStyle w:val="P2-B1Paragraph2-Bullet1"/>
        <w:numPr>
          <w:ilvl w:val="0"/>
          <w:numId w:val="20"/>
        </w:numPr>
        <w:ind w:left="1560" w:hanging="709"/>
      </w:pPr>
      <w:r>
        <w:t xml:space="preserve">First, contrary to India's assertions, the </w:t>
      </w:r>
      <w:r w:rsidR="004246DB">
        <w:t xml:space="preserve">nature of the assistance provided does </w:t>
      </w:r>
      <w:r w:rsidR="004246DB">
        <w:rPr>
          <w:u w:val="single"/>
        </w:rPr>
        <w:t>not</w:t>
      </w:r>
      <w:r w:rsidR="004246DB">
        <w:t xml:space="preserve"> differ under India's production </w:t>
      </w:r>
      <w:r w:rsidR="007844AC">
        <w:t>and</w:t>
      </w:r>
      <w:r w:rsidR="004246DB">
        <w:t xml:space="preserve"> buffer stock subsidies and MAEQ scheme.  The assistance provided under </w:t>
      </w:r>
      <w:r w:rsidR="00A252DF" w:rsidRPr="00EE34A8">
        <w:rPr>
          <w:u w:val="single"/>
        </w:rPr>
        <w:t>all</w:t>
      </w:r>
      <w:r w:rsidR="004246DB">
        <w:t xml:space="preserve"> these measures must be used, in the first instance, to pay sugarcane price arrears.  India accepts this fact.</w:t>
      </w:r>
      <w:r w:rsidR="004246DB">
        <w:rPr>
          <w:rStyle w:val="FootnoteReference"/>
        </w:rPr>
        <w:footnoteReference w:id="59"/>
      </w:r>
      <w:r w:rsidR="004246DB">
        <w:t xml:space="preserve">  There is </w:t>
      </w:r>
      <w:r w:rsidR="004246DB" w:rsidRPr="00EE34A8">
        <w:rPr>
          <w:u w:val="single"/>
        </w:rPr>
        <w:t>no meaningful difference</w:t>
      </w:r>
      <w:r w:rsidR="004246DB">
        <w:t xml:space="preserve"> between the measures in this respect.</w:t>
      </w:r>
    </w:p>
    <w:p w14:paraId="61120707" w14:textId="77777777" w:rsidR="004246DB" w:rsidRDefault="00795248" w:rsidP="004246DB">
      <w:pPr>
        <w:pStyle w:val="P2-B1Paragraph2-Bullet1"/>
        <w:numPr>
          <w:ilvl w:val="0"/>
          <w:numId w:val="20"/>
        </w:numPr>
        <w:ind w:left="1560" w:hanging="709"/>
      </w:pPr>
      <w:r>
        <w:t xml:space="preserve">Second, </w:t>
      </w:r>
      <w:r w:rsidR="004246DB">
        <w:t>Australia does not dispute that the measures contain some different eligibility criteria.</w:t>
      </w:r>
      <w:r w:rsidR="004246DB">
        <w:rPr>
          <w:rStyle w:val="FootnoteReference"/>
        </w:rPr>
        <w:footnoteReference w:id="60"/>
      </w:r>
      <w:r w:rsidR="004246DB">
        <w:t xml:space="preserve">  </w:t>
      </w:r>
      <w:r w:rsidR="0069677A">
        <w:t>However, t</w:t>
      </w:r>
      <w:r w:rsidR="004246DB">
        <w:t xml:space="preserve">hose differences are immaterial </w:t>
      </w:r>
      <w:r w:rsidR="001E63C5">
        <w:t>to</w:t>
      </w:r>
      <w:r w:rsidR="004246DB">
        <w:t xml:space="preserve"> the key issues to be determined.  The </w:t>
      </w:r>
      <w:r w:rsidR="001E63C5">
        <w:t xml:space="preserve">salient point is that mills </w:t>
      </w:r>
      <w:r w:rsidR="001E63C5" w:rsidRPr="00EE34A8">
        <w:rPr>
          <w:u w:val="single"/>
        </w:rPr>
        <w:t>must</w:t>
      </w:r>
      <w:r w:rsidR="004246DB">
        <w:t xml:space="preserve"> export sugar in accordance with export quotas</w:t>
      </w:r>
      <w:r w:rsidR="001E63C5">
        <w:t xml:space="preserve"> to be eligible for financial assistance under </w:t>
      </w:r>
      <w:r w:rsidR="007844AC" w:rsidRPr="00EE34A8">
        <w:rPr>
          <w:u w:val="single"/>
        </w:rPr>
        <w:t>all</w:t>
      </w:r>
      <w:r w:rsidR="001E63C5">
        <w:t xml:space="preserve"> measures</w:t>
      </w:r>
      <w:r w:rsidR="004246DB">
        <w:t>.</w:t>
      </w:r>
    </w:p>
    <w:p w14:paraId="0BA47701" w14:textId="0BBB76CE" w:rsidR="004246DB" w:rsidRDefault="00795248" w:rsidP="004246DB">
      <w:pPr>
        <w:pStyle w:val="P2-B1Paragraph2-Bullet1"/>
        <w:numPr>
          <w:ilvl w:val="0"/>
          <w:numId w:val="20"/>
        </w:numPr>
        <w:ind w:left="1560" w:hanging="709"/>
      </w:pPr>
      <w:r>
        <w:lastRenderedPageBreak/>
        <w:t xml:space="preserve">Finally, </w:t>
      </w:r>
      <w:r w:rsidR="004246DB">
        <w:t xml:space="preserve">Australia </w:t>
      </w:r>
      <w:r w:rsidR="00B12009">
        <w:t>acknowledges</w:t>
      </w:r>
      <w:r w:rsidR="004246DB">
        <w:t xml:space="preserve"> that the amounts of assistance and the methodologies </w:t>
      </w:r>
      <w:r w:rsidR="003F46AD">
        <w:t>used</w:t>
      </w:r>
      <w:r w:rsidR="004246DB">
        <w:t xml:space="preserve"> to determine </w:t>
      </w:r>
      <w:r w:rsidR="00A61F1B">
        <w:t>them</w:t>
      </w:r>
      <w:r w:rsidR="004246DB">
        <w:t xml:space="preserve"> </w:t>
      </w:r>
      <w:r w:rsidR="003F46AD">
        <w:t>differ</w:t>
      </w:r>
      <w:r w:rsidR="004246DB">
        <w:t xml:space="preserve"> across the schemes.  </w:t>
      </w:r>
      <w:r>
        <w:t>However, w</w:t>
      </w:r>
      <w:r w:rsidR="004246DB">
        <w:t>hat matters is that</w:t>
      </w:r>
      <w:r w:rsidR="007844AC">
        <w:t>,</w:t>
      </w:r>
      <w:r w:rsidR="004246DB">
        <w:t xml:space="preserve"> </w:t>
      </w:r>
      <w:r w:rsidR="003F46AD" w:rsidRPr="00EE34A8">
        <w:rPr>
          <w:u w:val="single"/>
        </w:rPr>
        <w:t>in every case</w:t>
      </w:r>
      <w:r w:rsidR="003F46AD">
        <w:t xml:space="preserve">, </w:t>
      </w:r>
      <w:r w:rsidR="004246DB">
        <w:t>assistance is tied to export performance.</w:t>
      </w:r>
      <w:r w:rsidR="004246DB">
        <w:rPr>
          <w:rStyle w:val="FootnoteReference"/>
        </w:rPr>
        <w:footnoteReference w:id="61"/>
      </w:r>
    </w:p>
    <w:p w14:paraId="3F762493" w14:textId="061C7CC2" w:rsidR="004246DB" w:rsidRDefault="004246DB" w:rsidP="004246DB">
      <w:pPr>
        <w:pStyle w:val="P1-N1Paragraph1-Number1"/>
        <w:numPr>
          <w:ilvl w:val="0"/>
          <w:numId w:val="19"/>
        </w:numPr>
        <w:tabs>
          <w:tab w:val="num" w:pos="851"/>
        </w:tabs>
        <w:ind w:left="0" w:firstLine="0"/>
        <w:jc w:val="both"/>
      </w:pPr>
      <w:r w:rsidRPr="5EC6AFD6">
        <w:t>Australia</w:t>
      </w:r>
      <w:r>
        <w:t xml:space="preserve"> should not </w:t>
      </w:r>
      <w:r w:rsidR="003F46AD">
        <w:t>have</w:t>
      </w:r>
      <w:r>
        <w:t xml:space="preserve"> to pursue a moving target</w:t>
      </w:r>
      <w:r w:rsidR="003F46AD">
        <w:t>.</w:t>
      </w:r>
      <w:r>
        <w:t xml:space="preserve"> </w:t>
      </w:r>
      <w:r w:rsidR="00414540">
        <w:t xml:space="preserve"> </w:t>
      </w:r>
      <w:r w:rsidR="003F46AD">
        <w:t xml:space="preserve">Nor can </w:t>
      </w:r>
      <w:r w:rsidR="007844AC">
        <w:t>Australia</w:t>
      </w:r>
      <w:r w:rsidR="003F46AD">
        <w:t xml:space="preserve"> </w:t>
      </w:r>
      <w:r>
        <w:t xml:space="preserve">bring a dispute </w:t>
      </w:r>
      <w:r w:rsidR="003F46AD">
        <w:t>against</w:t>
      </w:r>
      <w:r>
        <w:t xml:space="preserve"> India</w:t>
      </w:r>
      <w:r w:rsidR="003F46AD">
        <w:t xml:space="preserve"> each time it</w:t>
      </w:r>
      <w:r>
        <w:t xml:space="preserve"> introduces a new iteration of its </w:t>
      </w:r>
      <w:r w:rsidRPr="00790DE4">
        <w:rPr>
          <w:u w:val="single"/>
        </w:rPr>
        <w:t>annual</w:t>
      </w:r>
      <w:r>
        <w:t xml:space="preserve"> export subsidy</w:t>
      </w:r>
      <w:r w:rsidR="007844AC">
        <w:t xml:space="preserve"> </w:t>
      </w:r>
      <w:r w:rsidR="00633B93">
        <w:t>program</w:t>
      </w:r>
      <w:r w:rsidR="00790DE4">
        <w:t xml:space="preserve"> </w:t>
      </w:r>
      <w:r w:rsidR="007844AC">
        <w:t>–</w:t>
      </w:r>
      <w:r w:rsidR="003F46AD">
        <w:t xml:space="preserve"> especially one that</w:t>
      </w:r>
      <w:r w:rsidR="00C807A8">
        <w:t xml:space="preserve"> in essential terms</w:t>
      </w:r>
      <w:r w:rsidR="003F46AD">
        <w:t xml:space="preserve"> mirrors the</w:t>
      </w:r>
      <w:r>
        <w:t xml:space="preserve"> design, structure and operation </w:t>
      </w:r>
      <w:r w:rsidR="003F46AD">
        <w:t xml:space="preserve">of its </w:t>
      </w:r>
      <w:r w:rsidR="007844AC">
        <w:t>predecessors</w:t>
      </w:r>
      <w:r w:rsidR="003F46AD">
        <w:t xml:space="preserve"> and is manifestly a federal </w:t>
      </w:r>
      <w:r>
        <w:t>level measure pertaining to sugar or sugarcane which provide</w:t>
      </w:r>
      <w:r w:rsidR="00503DE9">
        <w:t>s</w:t>
      </w:r>
      <w:r>
        <w:t xml:space="preserve"> subsidies contingent upon export performance</w:t>
      </w:r>
      <w:r w:rsidR="00503DE9">
        <w:t xml:space="preserve"> </w:t>
      </w:r>
      <w:r w:rsidR="003F46AD">
        <w:t>of the kind</w:t>
      </w:r>
      <w:r>
        <w:t xml:space="preserve"> identified in Australia's panel request.</w:t>
      </w:r>
      <w:r>
        <w:rPr>
          <w:rStyle w:val="FootnoteReference"/>
        </w:rPr>
        <w:footnoteReference w:id="62"/>
      </w:r>
    </w:p>
    <w:p w14:paraId="3265F29F" w14:textId="77777777" w:rsidR="007844AC" w:rsidRDefault="004246DB" w:rsidP="004246DB">
      <w:pPr>
        <w:pStyle w:val="P1-N1Paragraph1-Number1"/>
        <w:numPr>
          <w:ilvl w:val="0"/>
          <w:numId w:val="19"/>
        </w:numPr>
        <w:tabs>
          <w:tab w:val="num" w:pos="851"/>
        </w:tabs>
        <w:ind w:left="0" w:firstLine="0"/>
        <w:jc w:val="both"/>
      </w:pPr>
      <w:r>
        <w:t xml:space="preserve">Drawing an arbitrary distinction between the MAEQ scheme and the raft of other measures that collectively, and uniformly, give effect to India's ongoing policy of </w:t>
      </w:r>
      <w:r w:rsidR="003F46AD">
        <w:t>subsidising sugar exports</w:t>
      </w:r>
      <w:r w:rsidR="00FD7A27">
        <w:t>,</w:t>
      </w:r>
      <w:r w:rsidR="003F46AD">
        <w:t xml:space="preserve"> does </w:t>
      </w:r>
      <w:r>
        <w:t>not serve the parties' interest in a prompt and positive resolution of this dispute.</w:t>
      </w:r>
      <w:r w:rsidR="008165E9">
        <w:rPr>
          <w:rStyle w:val="FootnoteReference"/>
        </w:rPr>
        <w:footnoteReference w:id="63"/>
      </w:r>
      <w:r>
        <w:t xml:space="preserve">  </w:t>
      </w:r>
    </w:p>
    <w:p w14:paraId="0C1981BA" w14:textId="77777777" w:rsidR="004246DB" w:rsidRDefault="004246DB" w:rsidP="004246DB">
      <w:pPr>
        <w:pStyle w:val="P1-N1Paragraph1-Number1"/>
        <w:numPr>
          <w:ilvl w:val="0"/>
          <w:numId w:val="19"/>
        </w:numPr>
        <w:tabs>
          <w:tab w:val="num" w:pos="851"/>
        </w:tabs>
        <w:ind w:left="0" w:firstLine="0"/>
        <w:jc w:val="both"/>
      </w:pPr>
      <w:r>
        <w:t>This is particularly the case when India's practice of introducing new rounds of export subsidies on an annual, seasonal basis, is so apparent on the evidence before the Panel.</w:t>
      </w:r>
    </w:p>
    <w:p w14:paraId="04030E25" w14:textId="2B5AF761" w:rsidR="00BC6E92" w:rsidRDefault="004246DB" w:rsidP="004246DB">
      <w:pPr>
        <w:pStyle w:val="P1-N1Paragraph1-Number1"/>
        <w:numPr>
          <w:ilvl w:val="0"/>
          <w:numId w:val="19"/>
        </w:numPr>
        <w:tabs>
          <w:tab w:val="num" w:pos="851"/>
        </w:tabs>
        <w:ind w:left="0" w:firstLine="0"/>
        <w:jc w:val="both"/>
      </w:pPr>
      <w:r>
        <w:t xml:space="preserve">Drawing such an arbitrary distinction would shield India from </w:t>
      </w:r>
      <w:r w:rsidR="001E4465">
        <w:t>accountability for</w:t>
      </w:r>
      <w:r>
        <w:t xml:space="preserve"> its WTO obligations.</w:t>
      </w:r>
      <w:r w:rsidR="00BC6E92">
        <w:t xml:space="preserve">  Further, India's position implies that a measure's </w:t>
      </w:r>
      <w:r w:rsidR="002D47EC">
        <w:t>label</w:t>
      </w:r>
      <w:r w:rsidR="00BC6E92">
        <w:t xml:space="preserve"> matters </w:t>
      </w:r>
      <w:r w:rsidR="00BC6E92" w:rsidRPr="00790DE4">
        <w:rPr>
          <w:u w:val="single"/>
        </w:rPr>
        <w:t>more than its purpose, operation and market impact</w:t>
      </w:r>
      <w:r w:rsidR="00BC6E92">
        <w:t>.</w:t>
      </w:r>
      <w:r>
        <w:t xml:space="preserve">  </w:t>
      </w:r>
    </w:p>
    <w:p w14:paraId="49926661" w14:textId="670359D7" w:rsidR="004246DB" w:rsidRDefault="004246DB" w:rsidP="004246DB">
      <w:pPr>
        <w:pStyle w:val="P1-N1Paragraph1-Number1"/>
        <w:numPr>
          <w:ilvl w:val="0"/>
          <w:numId w:val="19"/>
        </w:numPr>
        <w:tabs>
          <w:tab w:val="num" w:pos="851"/>
        </w:tabs>
        <w:ind w:left="0" w:firstLine="0"/>
        <w:jc w:val="both"/>
      </w:pPr>
      <w:r>
        <w:t>India says the MAEQ scheme "may be adequately examined and taken into consideration, if required, during the stage of compliance".</w:t>
      </w:r>
      <w:r>
        <w:rPr>
          <w:rStyle w:val="FootnoteReference"/>
        </w:rPr>
        <w:footnoteReference w:id="64"/>
      </w:r>
      <w:r>
        <w:t xml:space="preserve">  Australia submits that the measure is rightly before </w:t>
      </w:r>
      <w:r w:rsidR="00CF5773" w:rsidRPr="00141AEA">
        <w:rPr>
          <w:u w:val="single"/>
        </w:rPr>
        <w:t>you</w:t>
      </w:r>
      <w:r w:rsidR="00CF5773">
        <w:t xml:space="preserve">, rightly before </w:t>
      </w:r>
      <w:r w:rsidRPr="00875AFA">
        <w:rPr>
          <w:u w:val="single"/>
        </w:rPr>
        <w:t>this</w:t>
      </w:r>
      <w:r>
        <w:t xml:space="preserve"> Panel</w:t>
      </w:r>
      <w:r w:rsidR="001E4465">
        <w:t xml:space="preserve">, </w:t>
      </w:r>
      <w:r w:rsidR="001E4465" w:rsidRPr="00875AFA">
        <w:t>notes</w:t>
      </w:r>
      <w:r w:rsidR="001E4465">
        <w:t xml:space="preserve"> that India has extended the MAEQ scheme to December 2020,</w:t>
      </w:r>
      <w:r w:rsidR="001E4465">
        <w:rPr>
          <w:rStyle w:val="FootnoteReference"/>
        </w:rPr>
        <w:footnoteReference w:id="65"/>
      </w:r>
      <w:r>
        <w:t xml:space="preserve"> and </w:t>
      </w:r>
      <w:r w:rsidR="001E4465">
        <w:t>asks that the Panel address its ongoing impact by dealing with it in the</w:t>
      </w:r>
      <w:r>
        <w:t xml:space="preserve"> present dispute.</w:t>
      </w:r>
    </w:p>
    <w:p w14:paraId="106E7EB8" w14:textId="77777777" w:rsidR="00CC14FE" w:rsidRDefault="0065748A" w:rsidP="0069677A">
      <w:pPr>
        <w:pStyle w:val="HL2HeadingLevel2"/>
      </w:pPr>
      <w:bookmarkStart w:id="14" w:name="_Toc58497315"/>
      <w:r>
        <w:lastRenderedPageBreak/>
        <w:t xml:space="preserve">The Panel </w:t>
      </w:r>
      <w:r w:rsidRPr="0069677A">
        <w:t>should</w:t>
      </w:r>
      <w:r>
        <w:t xml:space="preserve"> Reject India's Legal Arguments</w:t>
      </w:r>
      <w:bookmarkEnd w:id="14"/>
      <w:r>
        <w:t xml:space="preserve"> </w:t>
      </w:r>
    </w:p>
    <w:p w14:paraId="7A000666" w14:textId="34B1D76B" w:rsidR="004246DB" w:rsidRDefault="00A252DF" w:rsidP="004246DB">
      <w:pPr>
        <w:pStyle w:val="P1-N1Paragraph1-Number1"/>
        <w:numPr>
          <w:ilvl w:val="0"/>
          <w:numId w:val="19"/>
        </w:numPr>
        <w:tabs>
          <w:tab w:val="num" w:pos="851"/>
        </w:tabs>
        <w:ind w:left="0" w:firstLine="0"/>
        <w:jc w:val="both"/>
      </w:pPr>
      <w:r>
        <w:t>I will now</w:t>
      </w:r>
      <w:r w:rsidR="00037A45">
        <w:t xml:space="preserve"> turn</w:t>
      </w:r>
      <w:r>
        <w:t xml:space="preserve"> to India's efforts to use </w:t>
      </w:r>
      <w:r w:rsidR="00795248">
        <w:t>flawed</w:t>
      </w:r>
      <w:r>
        <w:t xml:space="preserve"> legal interpretation </w:t>
      </w:r>
      <w:r w:rsidR="00795248">
        <w:t xml:space="preserve">in an attempt </w:t>
      </w:r>
      <w:r>
        <w:t>to defend what are, on the fact</w:t>
      </w:r>
      <w:r w:rsidR="007844AC">
        <w:t>s</w:t>
      </w:r>
      <w:r>
        <w:t xml:space="preserve">, indisputably </w:t>
      </w:r>
      <w:r w:rsidR="00795248">
        <w:t xml:space="preserve">WTO-inconsistent </w:t>
      </w:r>
      <w:r>
        <w:t>export subsidies</w:t>
      </w:r>
      <w:r w:rsidR="004246DB">
        <w:t>.</w:t>
      </w:r>
    </w:p>
    <w:p w14:paraId="6E0261AD" w14:textId="3FA559A8" w:rsidR="004246DB" w:rsidRDefault="0069677A" w:rsidP="0019254A">
      <w:pPr>
        <w:pStyle w:val="HL3HeadingLevel3"/>
      </w:pPr>
      <w:bookmarkStart w:id="15" w:name="_Toc58497316"/>
      <w:r>
        <w:t xml:space="preserve">Australia is not required to provide evidence of actual </w:t>
      </w:r>
      <w:r w:rsidR="00953B03">
        <w:t>disbursements or payments</w:t>
      </w:r>
      <w:r>
        <w:t xml:space="preserve"> to establish the existence of a subsidy</w:t>
      </w:r>
      <w:bookmarkEnd w:id="15"/>
    </w:p>
    <w:p w14:paraId="6C6A15F8" w14:textId="77777777" w:rsidR="004246DB" w:rsidRDefault="004246DB" w:rsidP="004246DB">
      <w:pPr>
        <w:pStyle w:val="P1-N1Paragraph1-Number1"/>
        <w:numPr>
          <w:ilvl w:val="0"/>
          <w:numId w:val="19"/>
        </w:numPr>
        <w:tabs>
          <w:tab w:val="num" w:pos="851"/>
        </w:tabs>
        <w:ind w:left="0" w:firstLine="0"/>
        <w:jc w:val="both"/>
      </w:pPr>
      <w:r>
        <w:t xml:space="preserve">Beginning with India's obligations under the Agreement on Agriculture, allow me to outline some matters </w:t>
      </w:r>
      <w:r w:rsidR="00A252DF">
        <w:t xml:space="preserve">on which </w:t>
      </w:r>
      <w:r>
        <w:t>Australia and India appear to agree.</w:t>
      </w:r>
    </w:p>
    <w:p w14:paraId="3CD9A921" w14:textId="773DE20B" w:rsidR="004246DB" w:rsidRDefault="004246DB" w:rsidP="004246DB">
      <w:pPr>
        <w:pStyle w:val="P1-N1Paragraph1-Number1"/>
        <w:numPr>
          <w:ilvl w:val="0"/>
          <w:numId w:val="19"/>
        </w:numPr>
        <w:tabs>
          <w:tab w:val="num" w:pos="851"/>
        </w:tabs>
        <w:ind w:left="0" w:firstLine="0"/>
        <w:jc w:val="both"/>
      </w:pPr>
      <w:r>
        <w:t xml:space="preserve">India </w:t>
      </w:r>
      <w:r w:rsidRPr="00EE34A8">
        <w:rPr>
          <w:u w:val="single"/>
        </w:rPr>
        <w:t>does not dispute</w:t>
      </w:r>
      <w:r>
        <w:t xml:space="preserve"> that it is prohibited, under Article 8, from providing export subsidies otherwise than in conformity with the Agreement on Agriculture and with commitments specified in its Schedule.</w:t>
      </w:r>
      <w:r>
        <w:rPr>
          <w:rStyle w:val="FootnoteReference"/>
        </w:rPr>
        <w:footnoteReference w:id="66"/>
      </w:r>
    </w:p>
    <w:p w14:paraId="053A2F55" w14:textId="4DAFE9BC" w:rsidR="004246DB" w:rsidRDefault="004246DB" w:rsidP="004246DB">
      <w:pPr>
        <w:pStyle w:val="P1-N1Paragraph1-Number1"/>
        <w:numPr>
          <w:ilvl w:val="0"/>
          <w:numId w:val="19"/>
        </w:numPr>
        <w:tabs>
          <w:tab w:val="num" w:pos="851"/>
        </w:tabs>
        <w:ind w:left="0" w:firstLine="0"/>
        <w:jc w:val="both"/>
      </w:pPr>
      <w:r>
        <w:t xml:space="preserve">India </w:t>
      </w:r>
      <w:r w:rsidRPr="00EE34A8">
        <w:rPr>
          <w:u w:val="single"/>
        </w:rPr>
        <w:t>does not dispute</w:t>
      </w:r>
      <w:r>
        <w:t xml:space="preserve"> that it did not make any export subsidies reduction commitments in relation to sugar, or any agricultural product for that matter, in Part IV, Section II of its Schedule, or its supporting tables.</w:t>
      </w:r>
      <w:r>
        <w:rPr>
          <w:rStyle w:val="FootnoteReference"/>
        </w:rPr>
        <w:footnoteReference w:id="67"/>
      </w:r>
      <w:r>
        <w:t xml:space="preserve"> </w:t>
      </w:r>
    </w:p>
    <w:p w14:paraId="24368947" w14:textId="77777777" w:rsidR="004246DB" w:rsidRDefault="004246DB" w:rsidP="004246DB">
      <w:pPr>
        <w:pStyle w:val="P1-N1Paragraph1-Number1"/>
        <w:numPr>
          <w:ilvl w:val="0"/>
          <w:numId w:val="19"/>
        </w:numPr>
        <w:tabs>
          <w:tab w:val="num" w:pos="851"/>
        </w:tabs>
        <w:ind w:left="0" w:firstLine="0"/>
        <w:jc w:val="both"/>
      </w:pPr>
      <w:r>
        <w:t xml:space="preserve">India </w:t>
      </w:r>
      <w:r w:rsidRPr="00EE34A8">
        <w:rPr>
          <w:u w:val="single"/>
        </w:rPr>
        <w:t>does not dispute</w:t>
      </w:r>
      <w:r>
        <w:t xml:space="preserve"> that Article 3.3 prohibits Members from providing export subsidies, of the kinds listed in Article 9.1, for unscheduled agricultural products.</w:t>
      </w:r>
      <w:r>
        <w:rPr>
          <w:rStyle w:val="FootnoteReference"/>
        </w:rPr>
        <w:footnoteReference w:id="68"/>
      </w:r>
    </w:p>
    <w:p w14:paraId="5B3D2183" w14:textId="77777777" w:rsidR="004246DB" w:rsidRDefault="004246DB" w:rsidP="004246DB">
      <w:pPr>
        <w:pStyle w:val="P1-N1Paragraph1-Number1"/>
        <w:numPr>
          <w:ilvl w:val="0"/>
          <w:numId w:val="19"/>
        </w:numPr>
        <w:tabs>
          <w:tab w:val="num" w:pos="851"/>
        </w:tabs>
        <w:ind w:left="0" w:firstLine="0"/>
        <w:jc w:val="both"/>
      </w:pPr>
      <w:r>
        <w:t xml:space="preserve">Finally, </w:t>
      </w:r>
      <w:r w:rsidRPr="00EE34A8">
        <w:rPr>
          <w:u w:val="single"/>
        </w:rPr>
        <w:t>Australia and India agree</w:t>
      </w:r>
      <w:r>
        <w:t xml:space="preserve"> upon the four elements that must be satisfied to establish the existence of an export subsidy within the meaning of Article 9.1(a).</w:t>
      </w:r>
      <w:r>
        <w:rPr>
          <w:rStyle w:val="FootnoteReference"/>
        </w:rPr>
        <w:footnoteReference w:id="69"/>
      </w:r>
      <w:r>
        <w:t xml:space="preserve">  Indeed, India </w:t>
      </w:r>
      <w:r w:rsidRPr="00EE34A8">
        <w:rPr>
          <w:u w:val="single"/>
        </w:rPr>
        <w:t>does not dispute</w:t>
      </w:r>
      <w:r>
        <w:t xml:space="preserve"> that Australia has established the existence of three of these four elements in relation to its production subsidies, buffer stock subsidies and MAEQ scheme.</w:t>
      </w:r>
    </w:p>
    <w:p w14:paraId="533B8BAF" w14:textId="77777777" w:rsidR="004246DB" w:rsidRDefault="004246DB" w:rsidP="004246DB">
      <w:pPr>
        <w:pStyle w:val="P1-N1Paragraph1-Number1"/>
        <w:numPr>
          <w:ilvl w:val="0"/>
          <w:numId w:val="19"/>
        </w:numPr>
        <w:tabs>
          <w:tab w:val="num" w:pos="851"/>
        </w:tabs>
        <w:ind w:left="0" w:firstLine="0"/>
        <w:jc w:val="both"/>
      </w:pPr>
      <w:r>
        <w:t>However, India contends that Australia has failed to establish the existence of one element, namely the existence of a "direct subsidy".</w:t>
      </w:r>
      <w:r>
        <w:rPr>
          <w:rStyle w:val="FootnoteReference"/>
        </w:rPr>
        <w:footnoteReference w:id="70"/>
      </w:r>
      <w:r>
        <w:t xml:space="preserve"> </w:t>
      </w:r>
    </w:p>
    <w:p w14:paraId="2E6AA466" w14:textId="4D84717D" w:rsidR="004246DB" w:rsidRDefault="004246DB" w:rsidP="00074E32">
      <w:pPr>
        <w:pStyle w:val="P1-N1Paragraph1-Number1"/>
        <w:keepLines/>
        <w:numPr>
          <w:ilvl w:val="0"/>
          <w:numId w:val="19"/>
        </w:numPr>
        <w:tabs>
          <w:tab w:val="num" w:pos="851"/>
        </w:tabs>
        <w:ind w:left="0" w:firstLine="0"/>
        <w:jc w:val="both"/>
      </w:pPr>
      <w:r>
        <w:lastRenderedPageBreak/>
        <w:t>This is because, in India's view, a subsidy exists only when a financial contribution can be proven</w:t>
      </w:r>
      <w:r w:rsidR="00917C9B">
        <w:t xml:space="preserve"> through evidence that a government entity has </w:t>
      </w:r>
      <w:r w:rsidR="00953B03">
        <w:t>actually disbursed funds</w:t>
      </w:r>
      <w:r>
        <w:t>.</w:t>
      </w:r>
      <w:r w:rsidR="004F1423">
        <w:rPr>
          <w:rStyle w:val="FootnoteReference"/>
        </w:rPr>
        <w:footnoteReference w:id="71"/>
      </w:r>
      <w:r>
        <w:t xml:space="preserve">  India argues that Australia has not met </w:t>
      </w:r>
      <w:r w:rsidR="004F1423">
        <w:t>this</w:t>
      </w:r>
      <w:r>
        <w:t xml:space="preserve"> </w:t>
      </w:r>
      <w:r w:rsidR="004F1423">
        <w:t xml:space="preserve">evidentiary </w:t>
      </w:r>
      <w:r>
        <w:t>burden</w:t>
      </w:r>
      <w:r w:rsidR="004F1423">
        <w:t xml:space="preserve"> because "the existence of a financial contribution cannot be determined on the basis of the text of </w:t>
      </w:r>
      <w:r w:rsidR="00FD7A27">
        <w:t>[a]</w:t>
      </w:r>
      <w:r w:rsidR="004F1423">
        <w:t xml:space="preserve"> measure"</w:t>
      </w:r>
      <w:r>
        <w:t>.</w:t>
      </w:r>
      <w:r>
        <w:rPr>
          <w:rStyle w:val="FootnoteReference"/>
        </w:rPr>
        <w:footnoteReference w:id="72"/>
      </w:r>
      <w:r>
        <w:t xml:space="preserve">  </w:t>
      </w:r>
    </w:p>
    <w:p w14:paraId="4C319F24" w14:textId="25A1FAA4" w:rsidR="004246DB" w:rsidRDefault="004246DB" w:rsidP="00715DA6">
      <w:pPr>
        <w:pStyle w:val="P1-N1Paragraph1-Number1"/>
        <w:numPr>
          <w:ilvl w:val="0"/>
          <w:numId w:val="19"/>
        </w:numPr>
        <w:tabs>
          <w:tab w:val="num" w:pos="851"/>
        </w:tabs>
        <w:ind w:left="0" w:firstLine="0"/>
        <w:jc w:val="both"/>
      </w:pPr>
      <w:r>
        <w:t>Australia will respond in full to India's arguments when the time comes for Australia to provide its answer to the Panel's question 11.</w:t>
      </w:r>
    </w:p>
    <w:p w14:paraId="26B309DD" w14:textId="52192617" w:rsidR="004246DB" w:rsidRDefault="002D47EC" w:rsidP="004246DB">
      <w:pPr>
        <w:pStyle w:val="P1-N1Paragraph1-Number1"/>
        <w:numPr>
          <w:ilvl w:val="0"/>
          <w:numId w:val="19"/>
        </w:numPr>
        <w:tabs>
          <w:tab w:val="num" w:pos="851"/>
        </w:tabs>
        <w:ind w:left="0" w:firstLine="0"/>
        <w:jc w:val="both"/>
      </w:pPr>
      <w:r>
        <w:t>But, t</w:t>
      </w:r>
      <w:r w:rsidR="004246DB">
        <w:t>o foreshadow that response, Australia submits that India's arguments regarding the applicable legal standard</w:t>
      </w:r>
      <w:r w:rsidR="004C2ADB">
        <w:t>s</w:t>
      </w:r>
      <w:r w:rsidR="004246DB">
        <w:t xml:space="preserve"> under Article 9.1(a)</w:t>
      </w:r>
      <w:r w:rsidR="004C2ADB">
        <w:t xml:space="preserve"> of the Agreement on Agriculture and Article 1.1 of the SCM Agreement</w:t>
      </w:r>
      <w:r w:rsidR="004246DB">
        <w:t xml:space="preserve"> must fail.  </w:t>
      </w:r>
    </w:p>
    <w:p w14:paraId="3D8E1856" w14:textId="6D0298CE" w:rsidR="004C2ADB" w:rsidRDefault="004C2ADB" w:rsidP="004246DB">
      <w:pPr>
        <w:pStyle w:val="P1-N1Paragraph1-Number1"/>
        <w:numPr>
          <w:ilvl w:val="0"/>
          <w:numId w:val="19"/>
        </w:numPr>
        <w:tabs>
          <w:tab w:val="num" w:pos="851"/>
        </w:tabs>
        <w:ind w:left="0" w:firstLine="0"/>
        <w:jc w:val="both"/>
      </w:pPr>
      <w:r>
        <w:t xml:space="preserve">India's proposed interpretation finds no support in </w:t>
      </w:r>
      <w:r w:rsidR="00776FF1">
        <w:t>the text of</w:t>
      </w:r>
      <w:r w:rsidR="00DB2A77">
        <w:t xml:space="preserve"> either agreement</w:t>
      </w:r>
      <w:r w:rsidR="004246DB">
        <w:t xml:space="preserve">.  </w:t>
      </w:r>
    </w:p>
    <w:p w14:paraId="0F4865CD" w14:textId="77777777" w:rsidR="004246DB" w:rsidRDefault="004246DB" w:rsidP="004246DB">
      <w:pPr>
        <w:pStyle w:val="P1-N1Paragraph1-Number1"/>
        <w:numPr>
          <w:ilvl w:val="0"/>
          <w:numId w:val="19"/>
        </w:numPr>
        <w:tabs>
          <w:tab w:val="num" w:pos="851"/>
        </w:tabs>
        <w:ind w:left="0" w:firstLine="0"/>
        <w:jc w:val="both"/>
      </w:pPr>
      <w:r>
        <w:t xml:space="preserve">The Agreement on Agriculture </w:t>
      </w:r>
      <w:r w:rsidR="00776FF1">
        <w:t xml:space="preserve">recognises </w:t>
      </w:r>
      <w:r>
        <w:t xml:space="preserve">that export subsidies within the meaning of Article 9.1 </w:t>
      </w:r>
      <w:r w:rsidR="00776FF1">
        <w:t>are measurable</w:t>
      </w:r>
      <w:r>
        <w:t xml:space="preserve"> on the basis of budgetary outlays, whether "</w:t>
      </w:r>
      <w:r w:rsidRPr="00EE34A8">
        <w:rPr>
          <w:u w:val="single"/>
        </w:rPr>
        <w:t>allocated or</w:t>
      </w:r>
      <w:r>
        <w:t xml:space="preserve"> incurred".</w:t>
      </w:r>
      <w:r>
        <w:rPr>
          <w:rStyle w:val="FootnoteReference"/>
        </w:rPr>
        <w:footnoteReference w:id="73"/>
      </w:r>
      <w:r>
        <w:t xml:space="preserve">  This is clear on a reading of the terms of the </w:t>
      </w:r>
      <w:r w:rsidR="00C1606D">
        <w:t xml:space="preserve">Agreement </w:t>
      </w:r>
      <w:r>
        <w:t>in accordance with their ordinary meaning and in context.</w:t>
      </w:r>
      <w:r>
        <w:rPr>
          <w:rStyle w:val="FootnoteReference"/>
        </w:rPr>
        <w:footnoteReference w:id="74"/>
      </w:r>
    </w:p>
    <w:p w14:paraId="677612AE" w14:textId="17AD1338" w:rsidR="004C2ADB" w:rsidRDefault="00D565BB" w:rsidP="004246DB">
      <w:pPr>
        <w:pStyle w:val="P1-N1Paragraph1-Number1"/>
        <w:numPr>
          <w:ilvl w:val="0"/>
          <w:numId w:val="19"/>
        </w:numPr>
        <w:tabs>
          <w:tab w:val="num" w:pos="851"/>
        </w:tabs>
        <w:ind w:left="0" w:firstLine="0"/>
        <w:jc w:val="both"/>
      </w:pPr>
      <w:r>
        <w:t>Additionally</w:t>
      </w:r>
      <w:r w:rsidR="004C2ADB">
        <w:t xml:space="preserve">, a financial contribution under </w:t>
      </w:r>
      <w:r>
        <w:t xml:space="preserve">Article 1.1 of </w:t>
      </w:r>
      <w:r w:rsidR="004C2ADB">
        <w:t xml:space="preserve">the SCM Agreement can be constituted by a direct transfer of funds, or </w:t>
      </w:r>
      <w:r w:rsidR="004C2ADB" w:rsidRPr="00785482">
        <w:rPr>
          <w:u w:val="single"/>
        </w:rPr>
        <w:t>potential</w:t>
      </w:r>
      <w:r w:rsidR="004C2ADB">
        <w:t xml:space="preserve"> direct transfers of funds.  </w:t>
      </w:r>
      <w:r>
        <w:t xml:space="preserve">That is, the provision encompasses prospective transfers, such that it </w:t>
      </w:r>
      <w:r w:rsidRPr="00785482">
        <w:rPr>
          <w:u w:val="single"/>
        </w:rPr>
        <w:t>cannot</w:t>
      </w:r>
      <w:r>
        <w:t xml:space="preserve"> be possible that evidence of an actual </w:t>
      </w:r>
      <w:r w:rsidR="00953B03">
        <w:t xml:space="preserve">disbursement or </w:t>
      </w:r>
      <w:r w:rsidR="003C01FB">
        <w:t>payment</w:t>
      </w:r>
      <w:r>
        <w:t xml:space="preserve"> is required to establish the existence of a subsidy.</w:t>
      </w:r>
    </w:p>
    <w:p w14:paraId="37B799AB" w14:textId="53988474" w:rsidR="004246DB" w:rsidRDefault="00D565BB" w:rsidP="00074E32">
      <w:pPr>
        <w:pStyle w:val="P1-N1Paragraph1-Number1"/>
        <w:keepLines/>
        <w:numPr>
          <w:ilvl w:val="0"/>
          <w:numId w:val="19"/>
        </w:numPr>
        <w:tabs>
          <w:tab w:val="num" w:pos="851"/>
        </w:tabs>
        <w:ind w:left="0" w:firstLine="0"/>
        <w:jc w:val="both"/>
      </w:pPr>
      <w:r>
        <w:lastRenderedPageBreak/>
        <w:t xml:space="preserve">Moreover, even though it is not required to, Australia has in fact provided evidence of actual </w:t>
      </w:r>
      <w:r w:rsidR="00953B03">
        <w:t>disbursements or payments</w:t>
      </w:r>
      <w:r>
        <w:t xml:space="preserve"> made under India's export subsidy schemes.  D</w:t>
      </w:r>
      <w:r w:rsidR="004F2538">
        <w:t>FPD</w:t>
      </w:r>
      <w:r>
        <w:t xml:space="preserve"> budget papers, before the Panel as exhibits JE-121,</w:t>
      </w:r>
      <w:r w:rsidR="001024B2">
        <w:rPr>
          <w:rStyle w:val="FootnoteReference"/>
        </w:rPr>
        <w:footnoteReference w:id="75"/>
      </w:r>
      <w:r>
        <w:t xml:space="preserve"> AUS-48</w:t>
      </w:r>
      <w:r w:rsidR="001024B2">
        <w:rPr>
          <w:rStyle w:val="FootnoteReference"/>
        </w:rPr>
        <w:footnoteReference w:id="76"/>
      </w:r>
      <w:r>
        <w:t xml:space="preserve"> and JE-142,</w:t>
      </w:r>
      <w:r w:rsidR="001024B2">
        <w:rPr>
          <w:rStyle w:val="FootnoteReference"/>
        </w:rPr>
        <w:footnoteReference w:id="77"/>
      </w:r>
      <w:r>
        <w:t xml:space="preserve"> disclose that the Central Government </w:t>
      </w:r>
      <w:r w:rsidR="001024B2">
        <w:t>incurred actual expenditure under its production subsidy and buffer stock subsidy schemes in the 2016</w:t>
      </w:r>
      <w:r w:rsidR="00574524" w:rsidRPr="00574524">
        <w:t>–</w:t>
      </w:r>
      <w:r w:rsidR="001024B2">
        <w:t>17, 2017</w:t>
      </w:r>
      <w:r w:rsidR="00574524" w:rsidRPr="00574524">
        <w:t>–</w:t>
      </w:r>
      <w:r w:rsidR="001024B2">
        <w:t>18 and 2018</w:t>
      </w:r>
      <w:r w:rsidR="00574524" w:rsidRPr="00574524">
        <w:t>–</w:t>
      </w:r>
      <w:r w:rsidR="001024B2">
        <w:t>19 financial years.</w:t>
      </w:r>
      <w:r>
        <w:t xml:space="preserve"> </w:t>
      </w:r>
      <w:r w:rsidR="001024B2">
        <w:t xml:space="preserve"> </w:t>
      </w:r>
    </w:p>
    <w:p w14:paraId="198F03A6" w14:textId="6435809F" w:rsidR="001024B2" w:rsidRDefault="00776B69" w:rsidP="004246DB">
      <w:pPr>
        <w:pStyle w:val="P1-N1Paragraph1-Number1"/>
        <w:numPr>
          <w:ilvl w:val="0"/>
          <w:numId w:val="19"/>
        </w:numPr>
        <w:tabs>
          <w:tab w:val="num" w:pos="851"/>
        </w:tabs>
        <w:ind w:left="0" w:firstLine="0"/>
        <w:jc w:val="both"/>
      </w:pPr>
      <w:r>
        <w:t>Recently available evidence</w:t>
      </w:r>
      <w:r w:rsidR="001024B2">
        <w:t xml:space="preserve"> </w:t>
      </w:r>
      <w:r>
        <w:t xml:space="preserve">also demonstrates </w:t>
      </w:r>
      <w:r w:rsidR="001024B2">
        <w:t xml:space="preserve">that </w:t>
      </w:r>
      <w:r>
        <w:t>Indian sugar mills</w:t>
      </w:r>
      <w:r w:rsidR="001024B2">
        <w:t xml:space="preserve"> ha</w:t>
      </w:r>
      <w:r>
        <w:t>ve</w:t>
      </w:r>
      <w:r w:rsidR="001024B2">
        <w:t xml:space="preserve"> received </w:t>
      </w:r>
      <w:r w:rsidR="00953B03">
        <w:t>payments</w:t>
      </w:r>
      <w:r w:rsidR="00C95A07">
        <w:t xml:space="preserve"> </w:t>
      </w:r>
      <w:r w:rsidR="001024B2">
        <w:t xml:space="preserve">under </w:t>
      </w:r>
      <w:r w:rsidR="006F7F24">
        <w:t>India's</w:t>
      </w:r>
      <w:r w:rsidR="005D677C">
        <w:t xml:space="preserve"> </w:t>
      </w:r>
      <w:r w:rsidR="001024B2">
        <w:t>production subsidy, buffer stock subsidy and MAEQ schemes.</w:t>
      </w:r>
      <w:r w:rsidR="001024B2">
        <w:rPr>
          <w:rStyle w:val="FootnoteReference"/>
        </w:rPr>
        <w:footnoteReference w:id="78"/>
      </w:r>
      <w:r w:rsidR="001024B2">
        <w:t xml:space="preserve"> </w:t>
      </w:r>
    </w:p>
    <w:p w14:paraId="1E8BB892" w14:textId="77777777" w:rsidR="004246DB" w:rsidRDefault="0C6CBAFB" w:rsidP="0019254A">
      <w:pPr>
        <w:pStyle w:val="HL3HeadingLevel3"/>
      </w:pPr>
      <w:bookmarkStart w:id="16" w:name="_Toc58497317"/>
      <w:r w:rsidRPr="0019254A">
        <w:t>India</w:t>
      </w:r>
      <w:r w:rsidR="004246DB" w:rsidRPr="0019254A">
        <w:t xml:space="preserve"> has not </w:t>
      </w:r>
      <w:r w:rsidR="0069677A">
        <w:t>established a defence under Article 9.4 of the Agreement on Agriculture</w:t>
      </w:r>
      <w:bookmarkEnd w:id="16"/>
    </w:p>
    <w:p w14:paraId="71347488" w14:textId="77777777" w:rsidR="004246DB" w:rsidRDefault="004246DB" w:rsidP="004246DB">
      <w:pPr>
        <w:pStyle w:val="P1-N1Paragraph1-Number1"/>
        <w:numPr>
          <w:ilvl w:val="0"/>
          <w:numId w:val="19"/>
        </w:numPr>
        <w:tabs>
          <w:tab w:val="num" w:pos="851"/>
        </w:tabs>
        <w:ind w:left="0" w:firstLine="0"/>
        <w:jc w:val="both"/>
      </w:pPr>
      <w:r>
        <w:t>Now, on the matter of the MAEQ scheme and its consistency with the Agreement on Agriculture</w:t>
      </w:r>
      <w:r w:rsidR="00C95A07">
        <w:t>,</w:t>
      </w:r>
      <w:r>
        <w:t xml:space="preserve"> Australia maintains that the MAEQ scheme is an export subsidy within the meaning of Article 9.1(a). </w:t>
      </w:r>
    </w:p>
    <w:p w14:paraId="046767CB" w14:textId="77777777" w:rsidR="00C1606D" w:rsidRDefault="004246DB" w:rsidP="004246DB">
      <w:pPr>
        <w:pStyle w:val="P1-N1Paragraph1-Number1"/>
        <w:numPr>
          <w:ilvl w:val="0"/>
          <w:numId w:val="19"/>
        </w:numPr>
        <w:tabs>
          <w:tab w:val="num" w:pos="851"/>
        </w:tabs>
        <w:ind w:left="0" w:firstLine="0"/>
        <w:jc w:val="both"/>
      </w:pPr>
      <w:r>
        <w:t xml:space="preserve">India has invoked Article 9.4 </w:t>
      </w:r>
      <w:r w:rsidR="008B1A89">
        <w:t>in its</w:t>
      </w:r>
      <w:r>
        <w:t xml:space="preserve"> defence, asserting that the measure falls within Article 9.1(d) and (e).  Australia does not accept this assertion.  </w:t>
      </w:r>
    </w:p>
    <w:p w14:paraId="0E0576E5" w14:textId="77777777" w:rsidR="0069677A" w:rsidRDefault="00C1606D" w:rsidP="004246DB">
      <w:pPr>
        <w:pStyle w:val="P1-N1Paragraph1-Number1"/>
        <w:numPr>
          <w:ilvl w:val="0"/>
          <w:numId w:val="19"/>
        </w:numPr>
        <w:tabs>
          <w:tab w:val="num" w:pos="851"/>
        </w:tabs>
        <w:ind w:left="0" w:firstLine="0"/>
        <w:jc w:val="both"/>
      </w:pPr>
      <w:r>
        <w:t>Australia recognises</w:t>
      </w:r>
      <w:r w:rsidR="008B1A89">
        <w:t xml:space="preserve"> that</w:t>
      </w:r>
      <w:r w:rsidR="004246DB">
        <w:t xml:space="preserve"> the text of the legal instrument notifying the measure suggests, ostensibly, that the assistance is earmarked </w:t>
      </w:r>
      <w:r w:rsidR="005B6779">
        <w:t>for</w:t>
      </w:r>
      <w:r w:rsidR="004246DB">
        <w:t xml:space="preserve"> certain transport, freight and marketing costs.  </w:t>
      </w:r>
    </w:p>
    <w:p w14:paraId="02AEDFC0" w14:textId="77F2E5FA" w:rsidR="004246DB" w:rsidRDefault="004246DB" w:rsidP="004246DB">
      <w:pPr>
        <w:pStyle w:val="P1-N1Paragraph1-Number1"/>
        <w:numPr>
          <w:ilvl w:val="0"/>
          <w:numId w:val="19"/>
        </w:numPr>
        <w:tabs>
          <w:tab w:val="num" w:pos="851"/>
        </w:tabs>
        <w:ind w:left="0" w:firstLine="0"/>
        <w:jc w:val="both"/>
      </w:pPr>
      <w:r>
        <w:t xml:space="preserve">But </w:t>
      </w:r>
      <w:r w:rsidR="0069677A">
        <w:t xml:space="preserve">the instrument </w:t>
      </w:r>
      <w:r>
        <w:t xml:space="preserve">does </w:t>
      </w:r>
      <w:r w:rsidR="0069677A">
        <w:t xml:space="preserve">not </w:t>
      </w:r>
      <w:r>
        <w:t xml:space="preserve">explain how the assistance provided actually links to, or corresponds with, sugar mills' expenditure on transport, freight and marketing costs.  For instance, </w:t>
      </w:r>
      <w:r w:rsidR="0069677A">
        <w:t>it</w:t>
      </w:r>
      <w:r>
        <w:t xml:space="preserve"> does not require mills to verify that they </w:t>
      </w:r>
      <w:r w:rsidR="00A73BE2">
        <w:t>have in fact incurred any of th</w:t>
      </w:r>
      <w:r w:rsidR="00584B13">
        <w:t>e</w:t>
      </w:r>
      <w:r>
        <w:t xml:space="preserve">se costs, or </w:t>
      </w:r>
      <w:r w:rsidR="005B6779">
        <w:t xml:space="preserve">to demonstrate </w:t>
      </w:r>
      <w:r>
        <w:t>the quantum of any such expenditure.</w:t>
      </w:r>
    </w:p>
    <w:p w14:paraId="09CA70D7" w14:textId="77777777" w:rsidR="004246DB" w:rsidRDefault="004246DB" w:rsidP="004246DB">
      <w:pPr>
        <w:pStyle w:val="P1-N1Paragraph1-Number1"/>
        <w:numPr>
          <w:ilvl w:val="0"/>
          <w:numId w:val="19"/>
        </w:numPr>
        <w:tabs>
          <w:tab w:val="num" w:pos="851"/>
        </w:tabs>
        <w:ind w:left="0" w:firstLine="0"/>
        <w:jc w:val="both"/>
      </w:pPr>
      <w:r>
        <w:lastRenderedPageBreak/>
        <w:t xml:space="preserve">Importantly, in simply </w:t>
      </w:r>
      <w:r w:rsidR="005B6779">
        <w:t>noting the instrument's purported link to transport, freight and marketing costs</w:t>
      </w:r>
      <w:r>
        <w:t xml:space="preserve">, India has </w:t>
      </w:r>
      <w:r w:rsidR="005B6779">
        <w:t xml:space="preserve">failed to </w:t>
      </w:r>
      <w:r w:rsidR="00D54181">
        <w:t xml:space="preserve">offer anything compelling to refute </w:t>
      </w:r>
      <w:r w:rsidR="00D54181" w:rsidRPr="00EE34A8">
        <w:rPr>
          <w:u w:val="single"/>
        </w:rPr>
        <w:t>clear evidence</w:t>
      </w:r>
      <w:r>
        <w:t xml:space="preserve"> that the </w:t>
      </w:r>
      <w:r w:rsidR="3385849B" w:rsidRPr="00EE34A8">
        <w:rPr>
          <w:u w:val="single"/>
        </w:rPr>
        <w:t xml:space="preserve">primary purpose of the </w:t>
      </w:r>
      <w:r w:rsidRPr="00EE34A8">
        <w:rPr>
          <w:u w:val="single"/>
        </w:rPr>
        <w:t>assistance</w:t>
      </w:r>
      <w:r>
        <w:t xml:space="preserve"> is </w:t>
      </w:r>
      <w:r w:rsidR="634A2A34">
        <w:t>to</w:t>
      </w:r>
      <w:r>
        <w:t xml:space="preserve"> help satisfy sugar mills' cane price arrears.</w:t>
      </w:r>
      <w:r>
        <w:rPr>
          <w:rStyle w:val="FootnoteReference"/>
        </w:rPr>
        <w:footnoteReference w:id="79"/>
      </w:r>
      <w:r>
        <w:t xml:space="preserve">  </w:t>
      </w:r>
    </w:p>
    <w:p w14:paraId="3657A267" w14:textId="77777777" w:rsidR="004246DB" w:rsidRDefault="004246DB" w:rsidP="004246DB">
      <w:pPr>
        <w:pStyle w:val="P1-N1Paragraph1-Number1"/>
        <w:numPr>
          <w:ilvl w:val="0"/>
          <w:numId w:val="19"/>
        </w:numPr>
        <w:tabs>
          <w:tab w:val="num" w:pos="851"/>
        </w:tabs>
        <w:ind w:left="0" w:firstLine="0"/>
        <w:jc w:val="both"/>
      </w:pPr>
      <w:r>
        <w:t xml:space="preserve">India disagrees with Australia's claim that the assistance provided under the MAEQ scheme </w:t>
      </w:r>
      <w:r w:rsidR="00D54181">
        <w:t>is not</w:t>
      </w:r>
      <w:r>
        <w:t xml:space="preserve"> linked to actual transport, freight and marketing expenses.</w:t>
      </w:r>
      <w:r>
        <w:rPr>
          <w:rStyle w:val="FootnoteReference"/>
        </w:rPr>
        <w:footnoteReference w:id="80"/>
      </w:r>
      <w:r>
        <w:t xml:space="preserve">  </w:t>
      </w:r>
    </w:p>
    <w:p w14:paraId="5AFE2006" w14:textId="77777777" w:rsidR="004246DB" w:rsidRDefault="004246DB" w:rsidP="004246DB">
      <w:pPr>
        <w:pStyle w:val="P1-N1Paragraph1-Number1"/>
        <w:numPr>
          <w:ilvl w:val="0"/>
          <w:numId w:val="19"/>
        </w:numPr>
        <w:tabs>
          <w:tab w:val="num" w:pos="851"/>
        </w:tabs>
        <w:ind w:left="0" w:firstLine="0"/>
        <w:jc w:val="both"/>
      </w:pPr>
      <w:r>
        <w:t xml:space="preserve">In doing so, India emphasises in particular the text of Article 9.1(d), which refers to the "provision of subsidies </w:t>
      </w:r>
      <w:r>
        <w:rPr>
          <w:u w:val="single"/>
        </w:rPr>
        <w:t>to reduce the costs of marketing exports</w:t>
      </w:r>
      <w:r w:rsidR="004F1423">
        <w:t>…</w:t>
      </w:r>
      <w:r>
        <w:t xml:space="preserve">, and the costs of international transport and freight".  India </w:t>
      </w:r>
      <w:r w:rsidR="00D54181">
        <w:t>asserts a legal standard for Article 9.1(d) –</w:t>
      </w:r>
      <w:r>
        <w:t xml:space="preserve"> say</w:t>
      </w:r>
      <w:r w:rsidR="00D54181">
        <w:t>ing</w:t>
      </w:r>
      <w:r>
        <w:t xml:space="preserve"> that as long as the payments are not in excess of actual costs incurred, then the measure will fall within the meaning of Article 9.1(d).</w:t>
      </w:r>
      <w:r w:rsidR="00D54181">
        <w:rPr>
          <w:rStyle w:val="FootnoteReference"/>
        </w:rPr>
        <w:footnoteReference w:id="81"/>
      </w:r>
      <w:r>
        <w:t xml:space="preserve">  India then says the burden is on Australia to prove that MAEQ payments exceed actual costs.</w:t>
      </w:r>
      <w:r>
        <w:rPr>
          <w:rStyle w:val="FootnoteReference"/>
        </w:rPr>
        <w:footnoteReference w:id="82"/>
      </w:r>
      <w:r>
        <w:t xml:space="preserve">  </w:t>
      </w:r>
    </w:p>
    <w:p w14:paraId="621F7632" w14:textId="537169A9" w:rsidR="004246DB" w:rsidRDefault="004246DB" w:rsidP="004246DB">
      <w:pPr>
        <w:pStyle w:val="P1-N1Paragraph1-Number1"/>
        <w:numPr>
          <w:ilvl w:val="0"/>
          <w:numId w:val="19"/>
        </w:numPr>
        <w:tabs>
          <w:tab w:val="num" w:pos="851"/>
        </w:tabs>
        <w:ind w:left="0" w:firstLine="0"/>
        <w:jc w:val="both"/>
      </w:pPr>
      <w:r>
        <w:t xml:space="preserve">Australia disagrees.  Australia has established a </w:t>
      </w:r>
      <w:r w:rsidRPr="004F1423">
        <w:rPr>
          <w:i/>
          <w:iCs/>
        </w:rPr>
        <w:t>prima facie</w:t>
      </w:r>
      <w:r>
        <w:t xml:space="preserve"> case that the MAEQ scheme is an export subsidy within the meaning of Article 9.1(a).  India has invoked Article</w:t>
      </w:r>
      <w:r w:rsidR="006A7569">
        <w:t> </w:t>
      </w:r>
      <w:r>
        <w:t xml:space="preserve">9.1(d) as part of its defence.  </w:t>
      </w:r>
      <w:r w:rsidR="00D54181" w:rsidRPr="00EE34A8">
        <w:rPr>
          <w:u w:val="single"/>
        </w:rPr>
        <w:t>I</w:t>
      </w:r>
      <w:r w:rsidRPr="00EE34A8">
        <w:rPr>
          <w:u w:val="single"/>
        </w:rPr>
        <w:t xml:space="preserve">t is for India to prove the conditions </w:t>
      </w:r>
      <w:r w:rsidR="00D54181" w:rsidRPr="00EE34A8">
        <w:rPr>
          <w:u w:val="single"/>
        </w:rPr>
        <w:t xml:space="preserve">upon which </w:t>
      </w:r>
      <w:r w:rsidRPr="00EE34A8">
        <w:rPr>
          <w:u w:val="single"/>
        </w:rPr>
        <w:t xml:space="preserve">its defence </w:t>
      </w:r>
      <w:r w:rsidR="00D54181" w:rsidRPr="00EE34A8">
        <w:rPr>
          <w:u w:val="single"/>
        </w:rPr>
        <w:t>rests</w:t>
      </w:r>
      <w:r>
        <w:t xml:space="preserve">.  The proposition that the burden of proof rests upon the party who asserts the affirmative of a particular defence is well accepted in WTO </w:t>
      </w:r>
      <w:r w:rsidR="00633B93">
        <w:t>dispute settlement proceedings</w:t>
      </w:r>
      <w:r>
        <w:t>.</w:t>
      </w:r>
      <w:r>
        <w:rPr>
          <w:rStyle w:val="FootnoteReference"/>
        </w:rPr>
        <w:footnoteReference w:id="83"/>
      </w:r>
      <w:r>
        <w:t xml:space="preserve">  </w:t>
      </w:r>
    </w:p>
    <w:p w14:paraId="6C064B35" w14:textId="1C15A620" w:rsidR="004246DB" w:rsidRDefault="004246DB" w:rsidP="004246DB">
      <w:pPr>
        <w:pStyle w:val="P1-N1Paragraph1-Number1"/>
        <w:numPr>
          <w:ilvl w:val="0"/>
          <w:numId w:val="19"/>
        </w:numPr>
        <w:tabs>
          <w:tab w:val="num" w:pos="851"/>
        </w:tabs>
        <w:ind w:left="0" w:firstLine="0"/>
        <w:jc w:val="both"/>
      </w:pPr>
      <w:r>
        <w:t xml:space="preserve">India has provided no evidence </w:t>
      </w:r>
      <w:r w:rsidR="00C1606D">
        <w:t>of</w:t>
      </w:r>
      <w:r>
        <w:t xml:space="preserve"> </w:t>
      </w:r>
      <w:r w:rsidR="563B1242">
        <w:t>the actual cost</w:t>
      </w:r>
      <w:r w:rsidR="00C1606D">
        <w:t>s</w:t>
      </w:r>
      <w:r w:rsidR="563B1242">
        <w:t xml:space="preserve"> of</w:t>
      </w:r>
      <w:r>
        <w:t xml:space="preserve"> </w:t>
      </w:r>
      <w:r w:rsidR="4DF90DD2">
        <w:t xml:space="preserve">the </w:t>
      </w:r>
      <w:r>
        <w:t xml:space="preserve">transport, freight and marketing </w:t>
      </w:r>
      <w:r w:rsidR="7606EBEE">
        <w:t>of sugar exports</w:t>
      </w:r>
      <w:r>
        <w:t xml:space="preserve">, leaving the Panel with no basis upon which to make an objective assessment of the matter in India's favour. </w:t>
      </w:r>
    </w:p>
    <w:p w14:paraId="48801170" w14:textId="554617B5" w:rsidR="004246DB" w:rsidRDefault="004246DB" w:rsidP="004246DB">
      <w:pPr>
        <w:pStyle w:val="P1-N1Paragraph1-Number1"/>
        <w:numPr>
          <w:ilvl w:val="0"/>
          <w:numId w:val="19"/>
        </w:numPr>
        <w:tabs>
          <w:tab w:val="num" w:pos="851"/>
        </w:tabs>
        <w:ind w:left="0" w:firstLine="0"/>
        <w:jc w:val="both"/>
      </w:pPr>
      <w:r>
        <w:t>Likewise, India has provided no evidence to substantiate a link between the assistance provided – which clearly goes towards paying cane price arrears – and "internal transport and freight charges on export shipments" as indicated in Article 9.1(e).</w:t>
      </w:r>
    </w:p>
    <w:p w14:paraId="7429BFCA" w14:textId="7D08605A" w:rsidR="004246DB" w:rsidRDefault="004246DB" w:rsidP="004246DB">
      <w:pPr>
        <w:pStyle w:val="P1-N1Paragraph1-Number1"/>
        <w:numPr>
          <w:ilvl w:val="0"/>
          <w:numId w:val="19"/>
        </w:numPr>
        <w:tabs>
          <w:tab w:val="num" w:pos="851"/>
        </w:tabs>
        <w:ind w:left="0" w:firstLine="0"/>
        <w:jc w:val="both"/>
      </w:pPr>
      <w:r>
        <w:lastRenderedPageBreak/>
        <w:t>India has</w:t>
      </w:r>
      <w:r w:rsidR="00C1606D">
        <w:t xml:space="preserve"> thus</w:t>
      </w:r>
      <w:r>
        <w:t xml:space="preserve"> not prove</w:t>
      </w:r>
      <w:r w:rsidR="00D54181">
        <w:t>d</w:t>
      </w:r>
      <w:r>
        <w:t xml:space="preserve"> that its measure satisfies either Article 9.1(d)</w:t>
      </w:r>
      <w:r w:rsidR="001D1D49">
        <w:t> or </w:t>
      </w:r>
      <w:r>
        <w:t>(e).  Th</w:t>
      </w:r>
      <w:r w:rsidR="00C1606D">
        <w:t>erefore</w:t>
      </w:r>
      <w:r>
        <w:t>, India has failed to establish</w:t>
      </w:r>
      <w:r w:rsidR="0069677A">
        <w:t>, as a first step,</w:t>
      </w:r>
      <w:r>
        <w:t xml:space="preserve"> that Article 9.4 is a relevant consideration in this dispute.</w:t>
      </w:r>
      <w:r>
        <w:rPr>
          <w:rStyle w:val="FootnoteReference"/>
        </w:rPr>
        <w:footnoteReference w:id="84"/>
      </w:r>
    </w:p>
    <w:p w14:paraId="00AF9AE1" w14:textId="77777777" w:rsidR="004246DB" w:rsidRDefault="0069677A" w:rsidP="0019254A">
      <w:pPr>
        <w:pStyle w:val="HL3HeadingLevel3"/>
      </w:pPr>
      <w:bookmarkStart w:id="17" w:name="_Toc58497318"/>
      <w:r>
        <w:t>India is not exempt from the prohibition on export subsidies under Article 3 of the SCM Agreement</w:t>
      </w:r>
      <w:bookmarkEnd w:id="17"/>
    </w:p>
    <w:p w14:paraId="6BD54BD4" w14:textId="77777777" w:rsidR="004246DB" w:rsidRDefault="004246DB" w:rsidP="004246DB">
      <w:pPr>
        <w:pStyle w:val="P1-N1Paragraph1-Number1"/>
        <w:numPr>
          <w:ilvl w:val="0"/>
          <w:numId w:val="19"/>
        </w:numPr>
        <w:tabs>
          <w:tab w:val="num" w:pos="851"/>
        </w:tabs>
        <w:ind w:left="0" w:firstLine="0"/>
        <w:jc w:val="both"/>
      </w:pPr>
      <w:r>
        <w:t>Turning briefly now to India's defence to Australia's export subsidies claims under the SCM Agreement.</w:t>
      </w:r>
    </w:p>
    <w:p w14:paraId="70CAF6A8" w14:textId="77777777" w:rsidR="004246DB" w:rsidRDefault="004246DB" w:rsidP="004246DB">
      <w:pPr>
        <w:pStyle w:val="P1-N1Paragraph1-Number1"/>
        <w:numPr>
          <w:ilvl w:val="0"/>
          <w:numId w:val="19"/>
        </w:numPr>
        <w:tabs>
          <w:tab w:val="num" w:pos="851"/>
        </w:tabs>
        <w:ind w:left="0" w:firstLine="0"/>
        <w:jc w:val="both"/>
      </w:pPr>
      <w:r>
        <w:t>India says that the prohibition on export subsidies under Article 3.1(a) of the SCM Agreement does not apply to it, by virtue of Article 27.2.</w:t>
      </w:r>
    </w:p>
    <w:p w14:paraId="35656CF7" w14:textId="55412A26" w:rsidR="004246DB" w:rsidRDefault="004246DB" w:rsidP="004246DB">
      <w:pPr>
        <w:pStyle w:val="P1-N1Paragraph1-Number1"/>
        <w:numPr>
          <w:ilvl w:val="0"/>
          <w:numId w:val="19"/>
        </w:numPr>
        <w:tabs>
          <w:tab w:val="num" w:pos="851"/>
        </w:tabs>
        <w:ind w:left="0" w:firstLine="0"/>
        <w:jc w:val="both"/>
      </w:pPr>
      <w:r>
        <w:t xml:space="preserve">India accepts </w:t>
      </w:r>
      <w:r w:rsidR="00C1606D">
        <w:t>tha</w:t>
      </w:r>
      <w:r w:rsidR="00D451FF">
        <w:t>t</w:t>
      </w:r>
      <w:r w:rsidR="00D451FF" w:rsidRPr="00D451FF">
        <w:t xml:space="preserve"> </w:t>
      </w:r>
      <w:r w:rsidR="00D451FF">
        <w:t>it is now subject to Article 27.2(b)</w:t>
      </w:r>
      <w:r>
        <w:t>, having graduated from coming under</w:t>
      </w:r>
      <w:r w:rsidR="00D451FF" w:rsidRPr="00D451FF">
        <w:t xml:space="preserve"> </w:t>
      </w:r>
      <w:r w:rsidR="00D451FF">
        <w:t>Annex VII(b)</w:t>
      </w:r>
      <w:r>
        <w:t xml:space="preserve"> in 2017.</w:t>
      </w:r>
      <w:r>
        <w:rPr>
          <w:rStyle w:val="FootnoteReference"/>
        </w:rPr>
        <w:footnoteReference w:id="85"/>
      </w:r>
      <w:r>
        <w:t xml:space="preserve">  However, </w:t>
      </w:r>
      <w:r w:rsidR="00D54181">
        <w:t>India does not</w:t>
      </w:r>
      <w:r>
        <w:t xml:space="preserve"> accept the unambiguous terms of </w:t>
      </w:r>
      <w:r w:rsidR="001D1D49">
        <w:t>Article </w:t>
      </w:r>
      <w:r>
        <w:t xml:space="preserve">27.2(b), which </w:t>
      </w:r>
      <w:r w:rsidR="00D54181">
        <w:t xml:space="preserve">state </w:t>
      </w:r>
      <w:r>
        <w:t xml:space="preserve">that the </w:t>
      </w:r>
      <w:r w:rsidR="00776B69">
        <w:t>Article </w:t>
      </w:r>
      <w:r>
        <w:t>3.1(a) exemption lasted for an eight year period from the date of the entry into force of the WTO Agreement</w:t>
      </w:r>
      <w:r w:rsidR="00D54181">
        <w:t xml:space="preserve">. </w:t>
      </w:r>
      <w:r w:rsidR="001D1D49">
        <w:t xml:space="preserve"> </w:t>
      </w:r>
      <w:r w:rsidR="00D54181">
        <w:t xml:space="preserve">Instead, </w:t>
      </w:r>
      <w:r>
        <w:t xml:space="preserve">India </w:t>
      </w:r>
      <w:r w:rsidR="00715DA6">
        <w:t xml:space="preserve">claims its eight year period commenced upon its graduation from Annex VII(b), based on </w:t>
      </w:r>
      <w:r>
        <w:t>a</w:t>
      </w:r>
      <w:r w:rsidR="00056B07">
        <w:t>n</w:t>
      </w:r>
      <w:r>
        <w:t xml:space="preserve"> </w:t>
      </w:r>
      <w:r w:rsidR="00715DA6">
        <w:t>unsustainable</w:t>
      </w:r>
      <w:r>
        <w:t xml:space="preserve"> interpretation of various provisions of the SCM Agreement.</w:t>
      </w:r>
      <w:r>
        <w:rPr>
          <w:rStyle w:val="FootnoteReference"/>
        </w:rPr>
        <w:footnoteReference w:id="86"/>
      </w:r>
    </w:p>
    <w:p w14:paraId="0F1202CB" w14:textId="3FFAE373" w:rsidR="00715DA6" w:rsidRDefault="004246DB" w:rsidP="00715DA6">
      <w:pPr>
        <w:pStyle w:val="P1-N1Paragraph1-Number1"/>
        <w:numPr>
          <w:ilvl w:val="0"/>
          <w:numId w:val="19"/>
        </w:numPr>
        <w:tabs>
          <w:tab w:val="num" w:pos="851"/>
        </w:tabs>
        <w:ind w:left="0" w:firstLine="0"/>
        <w:jc w:val="both"/>
      </w:pPr>
      <w:r>
        <w:t xml:space="preserve">India's argumentation on this point is unconvincing.  It is not based on an interpretation of Article 27.2(b) in accordance with the ordinary meaning of its terms in their context and in light of the object and purpose of the SCM Agreement.  </w:t>
      </w:r>
      <w:r w:rsidR="00715DA6">
        <w:t>And it recycles</w:t>
      </w:r>
      <w:r>
        <w:t xml:space="preserve"> argumentation that the panel in </w:t>
      </w:r>
      <w:r w:rsidRPr="5EC6AFD6">
        <w:rPr>
          <w:i/>
          <w:iCs/>
        </w:rPr>
        <w:t>India – Export Related Measures</w:t>
      </w:r>
      <w:r>
        <w:t xml:space="preserve"> did not accept.</w:t>
      </w:r>
      <w:r>
        <w:rPr>
          <w:rStyle w:val="FootnoteReference"/>
        </w:rPr>
        <w:footnoteReference w:id="87"/>
      </w:r>
      <w:r>
        <w:t xml:space="preserve">  </w:t>
      </w:r>
    </w:p>
    <w:p w14:paraId="4101EF07" w14:textId="0C5AF2DD" w:rsidR="004246DB" w:rsidRDefault="004246DB" w:rsidP="00715DA6">
      <w:pPr>
        <w:pStyle w:val="P1-N1Paragraph1-Number1"/>
        <w:numPr>
          <w:ilvl w:val="0"/>
          <w:numId w:val="19"/>
        </w:numPr>
        <w:tabs>
          <w:tab w:val="num" w:pos="851"/>
        </w:tabs>
        <w:ind w:left="0" w:firstLine="0"/>
        <w:jc w:val="both"/>
      </w:pPr>
      <w:r>
        <w:t>Australia acknowledges, and India emphasises, that panel report is subject to appeal.</w:t>
      </w:r>
      <w:r w:rsidR="00AC6079">
        <w:rPr>
          <w:rStyle w:val="FootnoteReference"/>
        </w:rPr>
        <w:footnoteReference w:id="88"/>
      </w:r>
      <w:r>
        <w:t xml:space="preserve">  Nevertheless, Australia considers the </w:t>
      </w:r>
      <w:r w:rsidR="00362F7B">
        <w:t>panel's</w:t>
      </w:r>
      <w:r>
        <w:t xml:space="preserve"> reasoning on this issue</w:t>
      </w:r>
      <w:r w:rsidR="00584B13">
        <w:t xml:space="preserve"> in that dispute</w:t>
      </w:r>
      <w:r>
        <w:t xml:space="preserve"> is sound.</w:t>
      </w:r>
    </w:p>
    <w:p w14:paraId="023BABC0" w14:textId="77777777" w:rsidR="004246DB" w:rsidRDefault="004246DB" w:rsidP="00074E32">
      <w:pPr>
        <w:pStyle w:val="P1-N1Paragraph1-Number1"/>
        <w:keepLines/>
        <w:numPr>
          <w:ilvl w:val="0"/>
          <w:numId w:val="19"/>
        </w:numPr>
        <w:tabs>
          <w:tab w:val="num" w:pos="851"/>
        </w:tabs>
        <w:ind w:left="0" w:firstLine="0"/>
        <w:jc w:val="both"/>
      </w:pPr>
      <w:r>
        <w:lastRenderedPageBreak/>
        <w:t xml:space="preserve">Finally, India claims Australia has failed to demonstrate the existence of a subsidy within the meaning of Article 1.1 of the SCM Agreement.  In support, it repeats its argument that Australia has not presented evidence of a government entity actually "making" a financial contribution in relation to any of the challenged measures.  </w:t>
      </w:r>
    </w:p>
    <w:p w14:paraId="46388DD0" w14:textId="77777777" w:rsidR="004246DB" w:rsidRDefault="004246DB" w:rsidP="004246DB">
      <w:pPr>
        <w:pStyle w:val="P1-N1Paragraph1-Number1"/>
        <w:numPr>
          <w:ilvl w:val="0"/>
          <w:numId w:val="19"/>
        </w:numPr>
        <w:tabs>
          <w:tab w:val="num" w:pos="851"/>
        </w:tabs>
        <w:ind w:left="0" w:firstLine="0"/>
        <w:jc w:val="both"/>
      </w:pPr>
      <w:r>
        <w:t xml:space="preserve">For the same reasons that India's defence on this basis under the Agreement on Agriculture must fail, it </w:t>
      </w:r>
      <w:r w:rsidR="00715DA6">
        <w:t xml:space="preserve">unquestionably </w:t>
      </w:r>
      <w:r>
        <w:t>must also fail under the SCM Agreement.</w:t>
      </w:r>
    </w:p>
    <w:p w14:paraId="02A52CBA" w14:textId="77777777" w:rsidR="00502582" w:rsidRPr="00502582" w:rsidRDefault="005373A1" w:rsidP="005373A1">
      <w:pPr>
        <w:pStyle w:val="HL1HeadingLevel1"/>
      </w:pPr>
      <w:bookmarkStart w:id="18" w:name="_Toc58497319"/>
      <w:r>
        <w:t>conclusion</w:t>
      </w:r>
      <w:bookmarkEnd w:id="18"/>
    </w:p>
    <w:p w14:paraId="15B17C9E" w14:textId="66981744" w:rsidR="0074135F" w:rsidRDefault="18BBDDAE" w:rsidP="00272EB9">
      <w:pPr>
        <w:pStyle w:val="P1-N1Paragraph1-Number1"/>
        <w:numPr>
          <w:ilvl w:val="0"/>
          <w:numId w:val="19"/>
        </w:numPr>
        <w:tabs>
          <w:tab w:val="num" w:pos="851"/>
        </w:tabs>
        <w:ind w:left="0" w:firstLine="0"/>
        <w:jc w:val="both"/>
      </w:pPr>
      <w:r>
        <w:t>Australia</w:t>
      </w:r>
      <w:r w:rsidR="02ED22F2">
        <w:t xml:space="preserve"> ask</w:t>
      </w:r>
      <w:r w:rsidR="22ED9A1A">
        <w:t xml:space="preserve">s </w:t>
      </w:r>
      <w:r w:rsidR="02ED22F2">
        <w:t xml:space="preserve">the Panel to </w:t>
      </w:r>
      <w:r w:rsidR="009B4DC2">
        <w:t>find that India maintains domestic support to sugarcane in violation of Article 7.2(b) of the Agreement on Agriculture</w:t>
      </w:r>
      <w:r w:rsidR="00F56704">
        <w:t xml:space="preserve">, and export subsidies for sugar inconsistent with </w:t>
      </w:r>
      <w:r w:rsidR="00F56704" w:rsidRPr="00F56704">
        <w:t>Articles 3</w:t>
      </w:r>
      <w:r w:rsidR="003274C5">
        <w:t>.3</w:t>
      </w:r>
      <w:r w:rsidR="00F56704" w:rsidRPr="00F56704">
        <w:t xml:space="preserve"> and 8 of th</w:t>
      </w:r>
      <w:r w:rsidR="00F56704">
        <w:t>at</w:t>
      </w:r>
      <w:r w:rsidR="00F56704" w:rsidRPr="00F56704">
        <w:t xml:space="preserve"> Agreement and Article</w:t>
      </w:r>
      <w:r w:rsidR="00F56704">
        <w:t>s </w:t>
      </w:r>
      <w:r w:rsidR="00F56704" w:rsidRPr="00F56704">
        <w:t>3.1(a) and 3.2 of the SCM Agreement</w:t>
      </w:r>
      <w:r w:rsidR="00F56704">
        <w:t>.</w:t>
      </w:r>
      <w:r w:rsidR="001B0ED1">
        <w:t xml:space="preserve">  Consistent</w:t>
      </w:r>
      <w:r w:rsidR="00584B13">
        <w:t>ly</w:t>
      </w:r>
      <w:r w:rsidR="001B0ED1">
        <w:t xml:space="preserve"> with those findings, we ask the Panel to recommend India bring its measures into conformity with those Agreements.</w:t>
      </w:r>
    </w:p>
    <w:p w14:paraId="550670D9" w14:textId="16F48A72" w:rsidR="00097B1D" w:rsidRDefault="00AC6079" w:rsidP="00272EB9">
      <w:pPr>
        <w:pStyle w:val="P1-N1Paragraph1-Number1"/>
        <w:numPr>
          <w:ilvl w:val="0"/>
          <w:numId w:val="19"/>
        </w:numPr>
        <w:tabs>
          <w:tab w:val="num" w:pos="851"/>
        </w:tabs>
        <w:ind w:left="0" w:firstLine="0"/>
        <w:jc w:val="both"/>
      </w:pPr>
      <w:r>
        <w:t xml:space="preserve">Finally, </w:t>
      </w:r>
      <w:r w:rsidR="02ED22F2">
        <w:t xml:space="preserve">Australia </w:t>
      </w:r>
      <w:r w:rsidR="00362F7B">
        <w:t>requests</w:t>
      </w:r>
      <w:r w:rsidR="02ED22F2">
        <w:t xml:space="preserve"> the Panel to find that India is obliged to notify its domestic support </w:t>
      </w:r>
      <w:r w:rsidR="00205FEF">
        <w:t xml:space="preserve">for sugarcane </w:t>
      </w:r>
      <w:r w:rsidR="02ED22F2">
        <w:t xml:space="preserve">and </w:t>
      </w:r>
      <w:r w:rsidR="00205FEF">
        <w:t xml:space="preserve">its </w:t>
      </w:r>
      <w:r w:rsidR="02ED22F2">
        <w:t>export subsidies</w:t>
      </w:r>
      <w:r w:rsidR="00205FEF">
        <w:t xml:space="preserve"> for sugar</w:t>
      </w:r>
      <w:r w:rsidR="02ED22F2">
        <w:t xml:space="preserve">, that </w:t>
      </w:r>
      <w:r w:rsidR="5FDABECD">
        <w:t>India</w:t>
      </w:r>
      <w:r w:rsidR="02ED22F2">
        <w:t xml:space="preserve"> has not done so and</w:t>
      </w:r>
      <w:r w:rsidR="0E2CD4CC">
        <w:t xml:space="preserve"> to recommend that India </w:t>
      </w:r>
      <w:r w:rsidR="02ED22F2">
        <w:t xml:space="preserve">bring itself into compliance by making those notifications. </w:t>
      </w:r>
      <w:r w:rsidR="03A1AD86">
        <w:t xml:space="preserve">Regular and timely notifications </w:t>
      </w:r>
      <w:r w:rsidR="6CDD1A9B">
        <w:t xml:space="preserve">will support the complainants' ability to </w:t>
      </w:r>
      <w:r w:rsidR="00370697">
        <w:t xml:space="preserve">assess </w:t>
      </w:r>
      <w:r w:rsidR="6CDD1A9B">
        <w:t xml:space="preserve">India's compliance with the Panel's </w:t>
      </w:r>
      <w:r w:rsidR="001D1DE8">
        <w:t xml:space="preserve">other </w:t>
      </w:r>
      <w:r w:rsidR="6CDD1A9B">
        <w:t>recommendations.</w:t>
      </w:r>
    </w:p>
    <w:p w14:paraId="73240F31" w14:textId="58CF095A" w:rsidR="00D52A17" w:rsidRDefault="0A65EA4C" w:rsidP="00272EB9">
      <w:pPr>
        <w:pStyle w:val="P1-N1Paragraph1-Number1"/>
        <w:numPr>
          <w:ilvl w:val="0"/>
          <w:numId w:val="19"/>
        </w:numPr>
        <w:tabs>
          <w:tab w:val="num" w:pos="851"/>
        </w:tabs>
        <w:ind w:left="0" w:firstLine="0"/>
        <w:jc w:val="both"/>
      </w:pPr>
      <w:r>
        <w:t xml:space="preserve">I would like to conclude by thanking the Panel and the Secretariat staff for </w:t>
      </w:r>
      <w:r w:rsidR="008960AA">
        <w:t>your</w:t>
      </w:r>
      <w:r>
        <w:t xml:space="preserve"> work in preparing for this first substantive meeting with the parties – a task that has</w:t>
      </w:r>
      <w:r w:rsidR="00584B13">
        <w:t xml:space="preserve"> of course</w:t>
      </w:r>
      <w:r w:rsidR="00A73BE2">
        <w:t xml:space="preserve"> </w:t>
      </w:r>
      <w:r>
        <w:t xml:space="preserve">been made more complex by the COVID-19 pandemic.  We look forward to the remainder of the proceedings this week and to answering your questions. </w:t>
      </w:r>
    </w:p>
    <w:p w14:paraId="4967CD40" w14:textId="77777777" w:rsidR="0074135F" w:rsidRDefault="0A65EA4C" w:rsidP="00272EB9">
      <w:pPr>
        <w:pStyle w:val="P1-N1Paragraph1-Number1"/>
        <w:numPr>
          <w:ilvl w:val="0"/>
          <w:numId w:val="19"/>
        </w:numPr>
        <w:tabs>
          <w:tab w:val="num" w:pos="851"/>
        </w:tabs>
        <w:ind w:left="0" w:firstLine="0"/>
        <w:jc w:val="both"/>
      </w:pPr>
      <w:r>
        <w:t xml:space="preserve">Thank you. </w:t>
      </w:r>
    </w:p>
    <w:p w14:paraId="2E39F33B" w14:textId="77777777" w:rsidR="00DC15F4" w:rsidRDefault="00DC15F4" w:rsidP="00DC15F4">
      <w:pPr>
        <w:pStyle w:val="P1-N1Paragraph1-Number1"/>
      </w:pPr>
    </w:p>
    <w:bookmarkEnd w:id="0"/>
    <w:p w14:paraId="0034F641" w14:textId="77777777" w:rsidR="00FA7AC1" w:rsidRPr="00D91714" w:rsidRDefault="00FA7AC1" w:rsidP="005B5821">
      <w:pPr>
        <w:pStyle w:val="P1-N1Paragraph1-Number1"/>
        <w:rPr>
          <w:rFonts w:ascii="Times New Roman" w:hAnsi="Times New Roman" w:cs="Times New Roman"/>
          <w:sz w:val="16"/>
          <w:szCs w:val="16"/>
        </w:rPr>
      </w:pPr>
    </w:p>
    <w:sectPr w:rsidR="00FA7AC1" w:rsidRPr="00D91714" w:rsidSect="00061966">
      <w:headerReference w:type="default" r:id="rId14"/>
      <w:footerReference w:type="default" r:id="rId15"/>
      <w:headerReference w:type="first" r:id="rId1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84A3" w14:textId="77777777" w:rsidR="000A08C1" w:rsidRDefault="000A08C1" w:rsidP="00006269">
      <w:pPr>
        <w:spacing w:after="0" w:line="240" w:lineRule="auto"/>
      </w:pPr>
      <w:r>
        <w:separator/>
      </w:r>
    </w:p>
  </w:endnote>
  <w:endnote w:type="continuationSeparator" w:id="0">
    <w:p w14:paraId="6DD628F6" w14:textId="77777777" w:rsidR="000A08C1" w:rsidRDefault="000A08C1" w:rsidP="00006269">
      <w:pPr>
        <w:spacing w:after="0" w:line="240" w:lineRule="auto"/>
      </w:pPr>
      <w:r>
        <w:continuationSeparator/>
      </w:r>
    </w:p>
  </w:endnote>
  <w:endnote w:type="continuationNotice" w:id="1">
    <w:p w14:paraId="0F20D8D0" w14:textId="77777777" w:rsidR="000A08C1" w:rsidRDefault="000A0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7287" w14:textId="230DDC80" w:rsidR="000A08C1" w:rsidRDefault="000A08C1">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21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DF88" w14:textId="77777777" w:rsidR="000A08C1" w:rsidRDefault="000A08C1" w:rsidP="00006269">
      <w:pPr>
        <w:spacing w:after="0" w:line="240" w:lineRule="auto"/>
      </w:pPr>
      <w:r>
        <w:separator/>
      </w:r>
    </w:p>
  </w:footnote>
  <w:footnote w:type="continuationSeparator" w:id="0">
    <w:p w14:paraId="05EC1866" w14:textId="77777777" w:rsidR="000A08C1" w:rsidRDefault="000A08C1" w:rsidP="00006269">
      <w:pPr>
        <w:spacing w:after="0" w:line="240" w:lineRule="auto"/>
      </w:pPr>
      <w:r>
        <w:continuationSeparator/>
      </w:r>
    </w:p>
  </w:footnote>
  <w:footnote w:type="continuationNotice" w:id="1">
    <w:p w14:paraId="7543D42C" w14:textId="77777777" w:rsidR="000A08C1" w:rsidRDefault="000A08C1">
      <w:pPr>
        <w:spacing w:after="0" w:line="240" w:lineRule="auto"/>
      </w:pPr>
    </w:p>
  </w:footnote>
  <w:footnote w:id="2">
    <w:p w14:paraId="27502B7A" w14:textId="16E67F58" w:rsidR="000A08C1" w:rsidRDefault="000A08C1">
      <w:pPr>
        <w:pStyle w:val="FootnoteText"/>
      </w:pPr>
      <w:r>
        <w:rPr>
          <w:rStyle w:val="FootnoteReference"/>
        </w:rPr>
        <w:footnoteRef/>
      </w:r>
      <w:r>
        <w:t xml:space="preserve"> </w:t>
      </w:r>
      <w:r w:rsidRPr="007B495E">
        <w:t>USDA Sugar: World Markets and Trade, May 2020</w:t>
      </w:r>
      <w:r>
        <w:t xml:space="preserve"> </w:t>
      </w:r>
      <w:r w:rsidRPr="007B495E">
        <w:t>(</w:t>
      </w:r>
      <w:r w:rsidRPr="009F6103">
        <w:rPr>
          <w:b/>
          <w:bCs/>
        </w:rPr>
        <w:t>Exhibit JE-150</w:t>
      </w:r>
      <w:r w:rsidRPr="007B495E">
        <w:t>), p</w:t>
      </w:r>
      <w:r>
        <w:t>p</w:t>
      </w:r>
      <w:r w:rsidRPr="007B495E">
        <w:t xml:space="preserve">. </w:t>
      </w:r>
      <w:r>
        <w:t>6–</w:t>
      </w:r>
      <w:r w:rsidRPr="007B495E">
        <w:t>7</w:t>
      </w:r>
      <w:r>
        <w:t>.</w:t>
      </w:r>
      <w:r w:rsidRPr="007B495E">
        <w:t xml:space="preserve"> </w:t>
      </w:r>
    </w:p>
  </w:footnote>
  <w:footnote w:id="3">
    <w:p w14:paraId="35AA5FF4" w14:textId="7E3C5ED9" w:rsidR="000A08C1" w:rsidRDefault="000A08C1">
      <w:pPr>
        <w:pStyle w:val="FootnoteText"/>
      </w:pPr>
      <w:r>
        <w:rPr>
          <w:rStyle w:val="FootnoteReference"/>
        </w:rPr>
        <w:footnoteRef/>
      </w:r>
      <w:r>
        <w:t xml:space="preserve"> USDA Sugar: World Markets and Trade, May 2020 </w:t>
      </w:r>
      <w:r w:rsidRPr="000B7E52">
        <w:t>(</w:t>
      </w:r>
      <w:r w:rsidRPr="00557088">
        <w:rPr>
          <w:b/>
          <w:bCs/>
        </w:rPr>
        <w:t>Exhibit JE-150</w:t>
      </w:r>
      <w:r w:rsidRPr="000B7E52">
        <w:t>)</w:t>
      </w:r>
      <w:r>
        <w:t xml:space="preserve">, p. 7; "India's indigestible sugar lump: A sickly tale of price distortions", </w:t>
      </w:r>
      <w:r w:rsidRPr="00AC3555">
        <w:rPr>
          <w:i/>
          <w:iCs/>
        </w:rPr>
        <w:t>The Economist</w:t>
      </w:r>
      <w:r>
        <w:t xml:space="preserve">, 28 September 2019 </w:t>
      </w:r>
      <w:r w:rsidRPr="00362F7B">
        <w:t>(</w:t>
      </w:r>
      <w:r w:rsidRPr="00E9029E">
        <w:rPr>
          <w:b/>
          <w:bCs/>
        </w:rPr>
        <w:t>Exhibit JE-40</w:t>
      </w:r>
      <w:r w:rsidRPr="00362F7B">
        <w:t>).</w:t>
      </w:r>
      <w:r>
        <w:t xml:space="preserve"> </w:t>
      </w:r>
    </w:p>
  </w:footnote>
  <w:footnote w:id="4">
    <w:p w14:paraId="642FD760" w14:textId="77777777" w:rsidR="000A08C1" w:rsidRDefault="000A08C1">
      <w:pPr>
        <w:pStyle w:val="FootnoteText"/>
      </w:pPr>
      <w:r>
        <w:rPr>
          <w:rStyle w:val="FootnoteReference"/>
        </w:rPr>
        <w:footnoteRef/>
      </w:r>
      <w:r>
        <w:t xml:space="preserve"> </w:t>
      </w:r>
      <w:r w:rsidRPr="00762EAC">
        <w:t xml:space="preserve">India's first written submission, paras. 54, </w:t>
      </w:r>
      <w:r>
        <w:t>57–</w:t>
      </w:r>
      <w:r w:rsidRPr="00762EAC">
        <w:t>58.</w:t>
      </w:r>
    </w:p>
  </w:footnote>
  <w:footnote w:id="5">
    <w:p w14:paraId="1A665F82" w14:textId="77777777" w:rsidR="000A08C1" w:rsidRDefault="000A08C1">
      <w:pPr>
        <w:pStyle w:val="FootnoteText"/>
      </w:pPr>
      <w:r>
        <w:rPr>
          <w:rStyle w:val="FootnoteReference"/>
        </w:rPr>
        <w:footnoteRef/>
      </w:r>
      <w:r>
        <w:t xml:space="preserve"> India's first written submission, paras. 16–18, 29–30.  </w:t>
      </w:r>
    </w:p>
  </w:footnote>
  <w:footnote w:id="6">
    <w:p w14:paraId="646ACBB3" w14:textId="77777777" w:rsidR="000A08C1" w:rsidRDefault="000A08C1" w:rsidP="001966C9">
      <w:pPr>
        <w:pStyle w:val="FootnoteText"/>
      </w:pPr>
      <w:r>
        <w:rPr>
          <w:rStyle w:val="FootnoteReference"/>
        </w:rPr>
        <w:footnoteRef/>
      </w:r>
      <w:r>
        <w:t xml:space="preserve"> India's first written submission, para. 63. See also paras. 59</w:t>
      </w:r>
      <w:r w:rsidRPr="00485E10">
        <w:t>–</w:t>
      </w:r>
      <w:r>
        <w:t>65.</w:t>
      </w:r>
    </w:p>
  </w:footnote>
  <w:footnote w:id="7">
    <w:p w14:paraId="70158B2F" w14:textId="2DF94627" w:rsidR="000A08C1" w:rsidRDefault="000A08C1">
      <w:pPr>
        <w:pStyle w:val="FootnoteText"/>
      </w:pPr>
      <w:r>
        <w:rPr>
          <w:rStyle w:val="FootnoteReference"/>
        </w:rPr>
        <w:footnoteRef/>
      </w:r>
      <w:r>
        <w:t xml:space="preserve"> India's first written submission, para. 85; India's</w:t>
      </w:r>
      <w:r w:rsidRPr="00AD2B34">
        <w:t xml:space="preserve"> responses to questions from the Panel prior to the first substantive meeting,</w:t>
      </w:r>
      <w:r>
        <w:t xml:space="preserve"> 18 June 2020, question 39, answered as question 38, p. 25.</w:t>
      </w:r>
    </w:p>
  </w:footnote>
  <w:footnote w:id="8">
    <w:p w14:paraId="05897F44" w14:textId="77777777" w:rsidR="000A08C1" w:rsidRDefault="000A08C1">
      <w:pPr>
        <w:pStyle w:val="FootnoteText"/>
      </w:pPr>
      <w:r>
        <w:rPr>
          <w:rStyle w:val="FootnoteReference"/>
        </w:rPr>
        <w:footnoteRef/>
      </w:r>
      <w:r>
        <w:t xml:space="preserve"> India's first written submission, para. 85.</w:t>
      </w:r>
    </w:p>
  </w:footnote>
  <w:footnote w:id="9">
    <w:p w14:paraId="06E40A7B" w14:textId="77777777" w:rsidR="000A08C1" w:rsidRDefault="000A08C1" w:rsidP="00B60FE4">
      <w:pPr>
        <w:pStyle w:val="FootnoteText"/>
      </w:pPr>
      <w:r>
        <w:rPr>
          <w:rStyle w:val="FootnoteReference"/>
        </w:rPr>
        <w:footnoteRef/>
      </w:r>
      <w:r>
        <w:t xml:space="preserve"> India's first written submission, para. 159.</w:t>
      </w:r>
    </w:p>
  </w:footnote>
  <w:footnote w:id="10">
    <w:p w14:paraId="7572BBB1" w14:textId="77777777" w:rsidR="000A08C1" w:rsidRDefault="000A08C1">
      <w:pPr>
        <w:pStyle w:val="FootnoteText"/>
      </w:pPr>
      <w:r>
        <w:rPr>
          <w:rStyle w:val="FootnoteReference"/>
        </w:rPr>
        <w:footnoteRef/>
      </w:r>
      <w:r>
        <w:t xml:space="preserve"> </w:t>
      </w:r>
      <w:r w:rsidRPr="003C3BE9">
        <w:t>Ministry of Statistics and Programme Implementation (MOSPI), National Accounts Statistics 2020, Statement 8.1.2 Crop-wise value of output</w:t>
      </w:r>
      <w:r>
        <w:t xml:space="preserve"> (</w:t>
      </w:r>
      <w:r w:rsidRPr="00875AFA">
        <w:rPr>
          <w:b/>
          <w:bCs/>
        </w:rPr>
        <w:t>Exhibit JE-147</w:t>
      </w:r>
      <w:r>
        <w:t>) (providing updated value of production figures for 2016–17 and 2017–18, as well as an official figure for 2018–19; to replace the value of production figures in Tables 1, 10, 12, 13, 15, 18, 22, 23 and 24 of Australia's first written submission).</w:t>
      </w:r>
    </w:p>
  </w:footnote>
  <w:footnote w:id="11">
    <w:p w14:paraId="4D97592E" w14:textId="77777777" w:rsidR="000A08C1" w:rsidRDefault="000A08C1" w:rsidP="003C3BE9">
      <w:pPr>
        <w:pStyle w:val="FootnoteText"/>
      </w:pPr>
      <w:r>
        <w:rPr>
          <w:rStyle w:val="FootnoteReference"/>
        </w:rPr>
        <w:footnoteRef/>
      </w:r>
      <w:r>
        <w:t xml:space="preserve"> Figures rounded to the nearest percentage. See Australia's domestic support calculations, Microsoft Excel workbooks, Revision 2 </w:t>
      </w:r>
      <w:r w:rsidRPr="00362F7B">
        <w:t>(</w:t>
      </w:r>
      <w:r w:rsidRPr="00875AFA">
        <w:rPr>
          <w:b/>
          <w:bCs/>
        </w:rPr>
        <w:t>Exhibit</w:t>
      </w:r>
      <w:r>
        <w:t xml:space="preserve"> </w:t>
      </w:r>
      <w:r w:rsidRPr="00AB5446">
        <w:rPr>
          <w:b/>
          <w:bCs/>
        </w:rPr>
        <w:t>AUS-1 (Revis</w:t>
      </w:r>
      <w:r>
        <w:rPr>
          <w:b/>
          <w:bCs/>
        </w:rPr>
        <w:t>ion 2</w:t>
      </w:r>
      <w:r w:rsidRPr="00AB5446">
        <w:rPr>
          <w:b/>
          <w:bCs/>
        </w:rPr>
        <w:t>)</w:t>
      </w:r>
      <w:r w:rsidRPr="00362F7B">
        <w:t>).</w:t>
      </w:r>
    </w:p>
  </w:footnote>
  <w:footnote w:id="12">
    <w:p w14:paraId="4245187F" w14:textId="77777777" w:rsidR="000A08C1" w:rsidRDefault="000A08C1">
      <w:pPr>
        <w:pStyle w:val="FootnoteText"/>
      </w:pPr>
      <w:r>
        <w:rPr>
          <w:rStyle w:val="FootnoteReference"/>
        </w:rPr>
        <w:footnoteRef/>
      </w:r>
      <w:r>
        <w:t xml:space="preserve"> Brazil and Guatemala present identical calculations. </w:t>
      </w:r>
    </w:p>
  </w:footnote>
  <w:footnote w:id="13">
    <w:p w14:paraId="22DA4C5E" w14:textId="77777777" w:rsidR="000A08C1" w:rsidRDefault="000A08C1">
      <w:pPr>
        <w:pStyle w:val="FootnoteText"/>
      </w:pPr>
      <w:r>
        <w:rPr>
          <w:rStyle w:val="FootnoteReference"/>
        </w:rPr>
        <w:footnoteRef/>
      </w:r>
      <w:r>
        <w:t xml:space="preserve"> India's first written submission, paras. 16–18, 41. </w:t>
      </w:r>
    </w:p>
  </w:footnote>
  <w:footnote w:id="14">
    <w:p w14:paraId="2BB072D0" w14:textId="77777777" w:rsidR="000A08C1" w:rsidRDefault="000A08C1" w:rsidP="0097132A">
      <w:pPr>
        <w:pStyle w:val="FootnoteText"/>
      </w:pPr>
      <w:r>
        <w:rPr>
          <w:rStyle w:val="FootnoteReference"/>
        </w:rPr>
        <w:footnoteRef/>
      </w:r>
      <w:r>
        <w:t xml:space="preserve"> India's first written submission, paras. 29–30.</w:t>
      </w:r>
    </w:p>
  </w:footnote>
  <w:footnote w:id="15">
    <w:p w14:paraId="2B316609" w14:textId="4DAADCB9" w:rsidR="000A08C1" w:rsidRDefault="000A08C1">
      <w:pPr>
        <w:pStyle w:val="FootnoteText"/>
      </w:pPr>
      <w:r>
        <w:rPr>
          <w:rStyle w:val="FootnoteReference"/>
        </w:rPr>
        <w:footnoteRef/>
      </w:r>
      <w:r>
        <w:t xml:space="preserve"> India's first written submission, paras. 29–30, 42(v), 42(vi) and 42(viii). </w:t>
      </w:r>
    </w:p>
  </w:footnote>
  <w:footnote w:id="16">
    <w:p w14:paraId="21244442" w14:textId="77777777" w:rsidR="000A08C1" w:rsidRDefault="000A08C1">
      <w:pPr>
        <w:pStyle w:val="FootnoteText"/>
      </w:pPr>
      <w:r>
        <w:rPr>
          <w:rStyle w:val="FootnoteReference"/>
        </w:rPr>
        <w:footnoteRef/>
      </w:r>
      <w:r>
        <w:t xml:space="preserve"> India's first written submission, para. 30.</w:t>
      </w:r>
    </w:p>
  </w:footnote>
  <w:footnote w:id="17">
    <w:p w14:paraId="075B5B6A" w14:textId="77777777" w:rsidR="000A08C1" w:rsidRDefault="000A08C1">
      <w:pPr>
        <w:pStyle w:val="FootnoteText"/>
      </w:pPr>
      <w:r>
        <w:rPr>
          <w:rStyle w:val="FootnoteReference"/>
        </w:rPr>
        <w:footnoteRef/>
      </w:r>
      <w:r>
        <w:t xml:space="preserve"> Australia's first written submission, paras. 55–57.</w:t>
      </w:r>
    </w:p>
  </w:footnote>
  <w:footnote w:id="18">
    <w:p w14:paraId="56CEB744" w14:textId="77777777" w:rsidR="000A08C1" w:rsidRDefault="000A08C1">
      <w:pPr>
        <w:pStyle w:val="FootnoteText"/>
      </w:pPr>
      <w:r>
        <w:rPr>
          <w:rStyle w:val="FootnoteReference"/>
        </w:rPr>
        <w:footnoteRef/>
      </w:r>
      <w:r>
        <w:t xml:space="preserve"> India's first written submission, para. 42(vii). </w:t>
      </w:r>
    </w:p>
  </w:footnote>
  <w:footnote w:id="19">
    <w:p w14:paraId="535989AA" w14:textId="77777777" w:rsidR="000A08C1" w:rsidRDefault="000A08C1">
      <w:pPr>
        <w:pStyle w:val="FootnoteText"/>
      </w:pPr>
      <w:r>
        <w:rPr>
          <w:rStyle w:val="FootnoteReference"/>
        </w:rPr>
        <w:footnoteRef/>
      </w:r>
      <w:r>
        <w:t xml:space="preserve"> India's first written submission, para. 30.  See also, Communication F. No. 21(3)/2019-SP-I, Ministry of Consumer Affairs, Food &amp; Public Distribution, Department of Food &amp; Public Distribution, dated 18 March 2020 </w:t>
      </w:r>
      <w:r w:rsidRPr="00B138E2">
        <w:t>(</w:t>
      </w:r>
      <w:r w:rsidRPr="00CB637B">
        <w:rPr>
          <w:b/>
          <w:bCs/>
        </w:rPr>
        <w:t>Exhibit IND-4</w:t>
      </w:r>
      <w:r w:rsidRPr="00B138E2">
        <w:t>).</w:t>
      </w:r>
    </w:p>
  </w:footnote>
  <w:footnote w:id="20">
    <w:p w14:paraId="2D03100E" w14:textId="77777777" w:rsidR="000A08C1" w:rsidRDefault="000A08C1">
      <w:pPr>
        <w:pStyle w:val="FootnoteText"/>
      </w:pPr>
      <w:r>
        <w:rPr>
          <w:rStyle w:val="FootnoteReference"/>
        </w:rPr>
        <w:footnoteRef/>
      </w:r>
      <w:r>
        <w:t xml:space="preserve"> Australia's first written submission, paras. 48–49, including Table 4 and the exhibits cited therein. </w:t>
      </w:r>
    </w:p>
  </w:footnote>
  <w:footnote w:id="21">
    <w:p w14:paraId="698BC5FF" w14:textId="77777777" w:rsidR="000A08C1" w:rsidRDefault="000A08C1">
      <w:pPr>
        <w:pStyle w:val="FootnoteText"/>
      </w:pPr>
      <w:r>
        <w:rPr>
          <w:rStyle w:val="FootnoteReference"/>
        </w:rPr>
        <w:footnoteRef/>
      </w:r>
      <w:r>
        <w:t xml:space="preserve"> Australia's first written submission, paras. 189–205. </w:t>
      </w:r>
    </w:p>
  </w:footnote>
  <w:footnote w:id="22">
    <w:p w14:paraId="1C93877A" w14:textId="77777777" w:rsidR="000A08C1" w:rsidRDefault="000A08C1">
      <w:pPr>
        <w:pStyle w:val="FootnoteText"/>
      </w:pPr>
      <w:r>
        <w:rPr>
          <w:rStyle w:val="FootnoteReference"/>
        </w:rPr>
        <w:footnoteRef/>
      </w:r>
      <w:r>
        <w:t xml:space="preserve"> Australia's first written submission, paras. 181–186.</w:t>
      </w:r>
    </w:p>
  </w:footnote>
  <w:footnote w:id="23">
    <w:p w14:paraId="62C10A8A" w14:textId="0B4E6B15" w:rsidR="000A08C1" w:rsidRDefault="000A08C1">
      <w:pPr>
        <w:pStyle w:val="FootnoteText"/>
      </w:pPr>
      <w:r>
        <w:rPr>
          <w:rStyle w:val="FootnoteReference"/>
        </w:rPr>
        <w:footnoteRef/>
      </w:r>
      <w:r>
        <w:t xml:space="preserve"> Australia's first written submission, para. 205; Australia's responses to Panel questions 1 to 44, 18 June 2020, question 20(b), paras. 47–51; question 26(b), paras. 68–70.</w:t>
      </w:r>
    </w:p>
  </w:footnote>
  <w:footnote w:id="24">
    <w:p w14:paraId="22BE4B51" w14:textId="435CDA48" w:rsidR="000A08C1" w:rsidRDefault="000A08C1" w:rsidP="00BC05BD">
      <w:pPr>
        <w:pStyle w:val="FootnoteText"/>
      </w:pPr>
      <w:r>
        <w:rPr>
          <w:rStyle w:val="FootnoteReference"/>
        </w:rPr>
        <w:footnoteRef/>
      </w:r>
      <w:r>
        <w:t xml:space="preserve"> India's responses to questions from the Panel prior to the first substantive meeting, </w:t>
      </w:r>
      <w:r w:rsidRPr="00955D48">
        <w:t xml:space="preserve">18 June 2020, </w:t>
      </w:r>
      <w:r>
        <w:t>question 18(c), p. 14.</w:t>
      </w:r>
    </w:p>
  </w:footnote>
  <w:footnote w:id="25">
    <w:p w14:paraId="795C2D93" w14:textId="26654443" w:rsidR="000A08C1" w:rsidRDefault="000A08C1">
      <w:pPr>
        <w:pStyle w:val="FootnoteText"/>
      </w:pPr>
      <w:r>
        <w:rPr>
          <w:rStyle w:val="FootnoteReference"/>
        </w:rPr>
        <w:footnoteRef/>
      </w:r>
      <w:r>
        <w:t xml:space="preserve"> India's first written submission, para. 62, citing Australia's first written submission, para. 138.</w:t>
      </w:r>
    </w:p>
  </w:footnote>
  <w:footnote w:id="26">
    <w:p w14:paraId="1490FFD9" w14:textId="1156F286" w:rsidR="000A08C1" w:rsidRDefault="000A08C1" w:rsidP="00B214B9">
      <w:pPr>
        <w:pStyle w:val="FootnoteText"/>
      </w:pPr>
      <w:r>
        <w:rPr>
          <w:rStyle w:val="FootnoteReference"/>
        </w:rPr>
        <w:footnoteRef/>
      </w:r>
      <w:r>
        <w:t xml:space="preserve"> India's first written submission, para. 63; India's responses to questions from the Panel prior to the first substantive meeting, </w:t>
      </w:r>
      <w:r w:rsidRPr="00955D48">
        <w:t xml:space="preserve">18 June 2020, </w:t>
      </w:r>
      <w:r>
        <w:t>question 18(a), p. 14.</w:t>
      </w:r>
    </w:p>
  </w:footnote>
  <w:footnote w:id="27">
    <w:p w14:paraId="19B3E0EE" w14:textId="5B42D999" w:rsidR="000A08C1" w:rsidRDefault="000A08C1">
      <w:pPr>
        <w:pStyle w:val="FootnoteText"/>
      </w:pPr>
      <w:r>
        <w:rPr>
          <w:rStyle w:val="FootnoteReference"/>
        </w:rPr>
        <w:footnoteRef/>
      </w:r>
      <w:r>
        <w:t xml:space="preserve"> Agreement on Agriculture, Annex 3, para. 2. See India's first written submission, para. 62; India's responses to questions from the Panel prior to the first substantive meeting, </w:t>
      </w:r>
      <w:r w:rsidRPr="00955D48">
        <w:t xml:space="preserve">18 June 2020, </w:t>
      </w:r>
      <w:r>
        <w:t>question 25(b), p. 18.</w:t>
      </w:r>
    </w:p>
  </w:footnote>
  <w:footnote w:id="28">
    <w:p w14:paraId="24C8CDAC" w14:textId="77777777" w:rsidR="000A08C1" w:rsidRDefault="000A08C1">
      <w:pPr>
        <w:pStyle w:val="FootnoteText"/>
      </w:pPr>
      <w:r>
        <w:rPr>
          <w:rStyle w:val="FootnoteReference"/>
        </w:rPr>
        <w:footnoteRef/>
      </w:r>
      <w:r>
        <w:t xml:space="preserve"> India's first written submission, para. 62–63. </w:t>
      </w:r>
    </w:p>
  </w:footnote>
  <w:footnote w:id="29">
    <w:p w14:paraId="468716B3" w14:textId="7FF5A0E6" w:rsidR="000A08C1" w:rsidRDefault="000A08C1">
      <w:pPr>
        <w:pStyle w:val="FootnoteText"/>
      </w:pPr>
      <w:r>
        <w:rPr>
          <w:rStyle w:val="FootnoteReference"/>
        </w:rPr>
        <w:footnoteRef/>
      </w:r>
      <w:r>
        <w:t xml:space="preserve"> India's responses to questions from the Panel prior to the first substantive meeting, </w:t>
      </w:r>
      <w:r w:rsidRPr="00955D48">
        <w:t xml:space="preserve">18 June 2020, </w:t>
      </w:r>
      <w:r>
        <w:t>question 25(a), p. 18.</w:t>
      </w:r>
    </w:p>
  </w:footnote>
  <w:footnote w:id="30">
    <w:p w14:paraId="477EBB5A" w14:textId="1083BE15" w:rsidR="000A08C1" w:rsidRDefault="000A08C1">
      <w:pPr>
        <w:pStyle w:val="FootnoteText"/>
      </w:pPr>
      <w:r>
        <w:rPr>
          <w:rStyle w:val="FootnoteReference"/>
        </w:rPr>
        <w:footnoteRef/>
      </w:r>
      <w:r>
        <w:t xml:space="preserve"> </w:t>
      </w:r>
      <w:r w:rsidRPr="00A51082">
        <w:t xml:space="preserve">India's responses to questions from the Panel prior to the first substantive meeting, </w:t>
      </w:r>
      <w:r w:rsidRPr="00955D48">
        <w:t xml:space="preserve">18 June 2020, </w:t>
      </w:r>
      <w:r w:rsidRPr="00A51082">
        <w:t>question 25(</w:t>
      </w:r>
      <w:r>
        <w:t>b</w:t>
      </w:r>
      <w:r w:rsidRPr="00A51082">
        <w:t>), p. 18.</w:t>
      </w:r>
    </w:p>
  </w:footnote>
  <w:footnote w:id="31">
    <w:p w14:paraId="63E63BDE" w14:textId="77777777" w:rsidR="000A08C1" w:rsidRDefault="000A08C1">
      <w:pPr>
        <w:pStyle w:val="FootnoteText"/>
      </w:pPr>
      <w:r>
        <w:rPr>
          <w:rStyle w:val="FootnoteReference"/>
        </w:rPr>
        <w:footnoteRef/>
      </w:r>
      <w:r>
        <w:t xml:space="preserve"> Australia's first written submission, para. 143.</w:t>
      </w:r>
    </w:p>
  </w:footnote>
  <w:footnote w:id="32">
    <w:p w14:paraId="12939B21" w14:textId="220E41F2" w:rsidR="000A08C1" w:rsidRDefault="000A08C1" w:rsidP="007A5DBE">
      <w:pPr>
        <w:pStyle w:val="FootnoteText"/>
      </w:pPr>
      <w:r>
        <w:rPr>
          <w:rStyle w:val="FootnoteReference"/>
        </w:rPr>
        <w:footnoteRef/>
      </w:r>
      <w:r>
        <w:t xml:space="preserve"> India's responses to questions from the Panel prior to the first substantive meeting, </w:t>
      </w:r>
      <w:r w:rsidRPr="00955D48">
        <w:t xml:space="preserve">18 June 2020, </w:t>
      </w:r>
      <w:r>
        <w:t>question 18(d), p. 15.</w:t>
      </w:r>
    </w:p>
  </w:footnote>
  <w:footnote w:id="33">
    <w:p w14:paraId="43B2EE8B" w14:textId="5A0FA55D" w:rsidR="000A08C1" w:rsidRDefault="000A08C1" w:rsidP="007A5DBE">
      <w:pPr>
        <w:pStyle w:val="FootnoteText"/>
      </w:pPr>
      <w:r>
        <w:rPr>
          <w:rStyle w:val="FootnoteReference"/>
        </w:rPr>
        <w:footnoteRef/>
      </w:r>
      <w:r>
        <w:t xml:space="preserve"> India's first written submission, para. 62 (emphasis added). See also, India's responses to questions from the Panel prior to the first substantive meeting, </w:t>
      </w:r>
      <w:r w:rsidRPr="00955D48">
        <w:t xml:space="preserve">18 June 2020, </w:t>
      </w:r>
      <w:r>
        <w:t>question 18(c), p. 14.</w:t>
      </w:r>
    </w:p>
  </w:footnote>
  <w:footnote w:id="34">
    <w:p w14:paraId="4276351F" w14:textId="77777777" w:rsidR="000A08C1" w:rsidRDefault="000A08C1" w:rsidP="007A5DBE">
      <w:pPr>
        <w:pStyle w:val="FootnoteText"/>
      </w:pPr>
      <w:r>
        <w:rPr>
          <w:rStyle w:val="FootnoteReference"/>
        </w:rPr>
        <w:footnoteRef/>
      </w:r>
      <w:r>
        <w:t xml:space="preserve"> India's first written submission, para. 62.</w:t>
      </w:r>
    </w:p>
  </w:footnote>
  <w:footnote w:id="35">
    <w:p w14:paraId="4BE0ABF2" w14:textId="77777777" w:rsidR="000A08C1" w:rsidRDefault="000A08C1" w:rsidP="00164F5C">
      <w:pPr>
        <w:pStyle w:val="FootnoteText"/>
      </w:pPr>
      <w:r>
        <w:rPr>
          <w:rStyle w:val="FootnoteReference"/>
        </w:rPr>
        <w:footnoteRef/>
      </w:r>
      <w:r>
        <w:t xml:space="preserve"> Agreement on Agriculture, preamble.</w:t>
      </w:r>
    </w:p>
  </w:footnote>
  <w:footnote w:id="36">
    <w:p w14:paraId="053139E9" w14:textId="77777777" w:rsidR="000A08C1" w:rsidRDefault="000A08C1" w:rsidP="00164F5C">
      <w:pPr>
        <w:pStyle w:val="FootnoteText"/>
      </w:pPr>
      <w:r>
        <w:rPr>
          <w:rStyle w:val="FootnoteReference"/>
        </w:rPr>
        <w:footnoteRef/>
      </w:r>
      <w:r>
        <w:t xml:space="preserve"> See Australia's first written submission, para. 126.</w:t>
      </w:r>
    </w:p>
  </w:footnote>
  <w:footnote w:id="37">
    <w:p w14:paraId="26B22803" w14:textId="21DDB4AC" w:rsidR="000A08C1" w:rsidRDefault="000A08C1">
      <w:pPr>
        <w:pStyle w:val="FootnoteText"/>
      </w:pPr>
      <w:r>
        <w:rPr>
          <w:rStyle w:val="FootnoteReference"/>
        </w:rPr>
        <w:footnoteRef/>
      </w:r>
      <w:r>
        <w:t xml:space="preserve"> India's first written submission, paras. 52–65.</w:t>
      </w:r>
    </w:p>
  </w:footnote>
  <w:footnote w:id="38">
    <w:p w14:paraId="7DE3058F" w14:textId="77777777" w:rsidR="000A08C1" w:rsidRDefault="000A08C1" w:rsidP="00164F5C">
      <w:pPr>
        <w:pStyle w:val="FootnoteText"/>
      </w:pPr>
      <w:r>
        <w:rPr>
          <w:rStyle w:val="FootnoteReference"/>
        </w:rPr>
        <w:footnoteRef/>
      </w:r>
      <w:r>
        <w:t xml:space="preserve"> Australia's first written submission, paras. 113–115. </w:t>
      </w:r>
    </w:p>
  </w:footnote>
  <w:footnote w:id="39">
    <w:p w14:paraId="09594BAB" w14:textId="77777777" w:rsidR="000A08C1" w:rsidRDefault="000A08C1" w:rsidP="008C055F">
      <w:pPr>
        <w:pStyle w:val="FootnoteText"/>
      </w:pPr>
      <w:r>
        <w:rPr>
          <w:rStyle w:val="FootnoteReference"/>
        </w:rPr>
        <w:footnoteRef/>
      </w:r>
      <w:r>
        <w:t xml:space="preserve"> Appellate Body Report, </w:t>
      </w:r>
      <w:r w:rsidRPr="00E64FD3">
        <w:rPr>
          <w:i/>
          <w:iCs/>
        </w:rPr>
        <w:t>Korea – Various Measures on Beef</w:t>
      </w:r>
      <w:r w:rsidRPr="008C055F">
        <w:t xml:space="preserve">, </w:t>
      </w:r>
      <w:r>
        <w:t xml:space="preserve">paras. 116, 120; Panel Report, </w:t>
      </w:r>
      <w:r w:rsidRPr="00E64FD3">
        <w:rPr>
          <w:i/>
          <w:iCs/>
        </w:rPr>
        <w:t>Korea – Various Measures on Beef</w:t>
      </w:r>
      <w:r>
        <w:t>, paras. 826</w:t>
      </w:r>
      <w:r w:rsidRPr="008C055F">
        <w:t>–</w:t>
      </w:r>
      <w:r>
        <w:t>827, 831</w:t>
      </w:r>
      <w:r w:rsidRPr="008C055F">
        <w:t>–</w:t>
      </w:r>
      <w:r>
        <w:t xml:space="preserve">832; Panel Report, </w:t>
      </w:r>
      <w:r w:rsidRPr="00E64FD3">
        <w:rPr>
          <w:i/>
          <w:iCs/>
        </w:rPr>
        <w:t>China – Agricultural Producers</w:t>
      </w:r>
      <w:r>
        <w:t>, paras. 7.136, 7.277, 7.282</w:t>
      </w:r>
      <w:r w:rsidRPr="008C055F">
        <w:t>–</w:t>
      </w:r>
      <w:r>
        <w:t>7.284, 7.295.</w:t>
      </w:r>
    </w:p>
  </w:footnote>
  <w:footnote w:id="40">
    <w:p w14:paraId="359750AC" w14:textId="1803E8B0" w:rsidR="000A08C1" w:rsidRDefault="000A08C1">
      <w:pPr>
        <w:pStyle w:val="FootnoteText"/>
      </w:pPr>
      <w:r>
        <w:rPr>
          <w:rStyle w:val="FootnoteReference"/>
        </w:rPr>
        <w:footnoteRef/>
      </w:r>
      <w:r>
        <w:t xml:space="preserve"> India's first written submission, paras. 69, 74 and 80. </w:t>
      </w:r>
    </w:p>
  </w:footnote>
  <w:footnote w:id="41">
    <w:p w14:paraId="41B89764" w14:textId="77777777" w:rsidR="000A08C1" w:rsidRDefault="000A08C1">
      <w:pPr>
        <w:pStyle w:val="FootnoteText"/>
      </w:pPr>
      <w:r>
        <w:rPr>
          <w:rStyle w:val="FootnoteReference"/>
        </w:rPr>
        <w:footnoteRef/>
      </w:r>
      <w:r>
        <w:t xml:space="preserve"> </w:t>
      </w:r>
      <w:r w:rsidRPr="008D44C8">
        <w:t>G/AG/AGST/IND.  See also, India's Schedule, Part IV, Column 3.</w:t>
      </w:r>
    </w:p>
  </w:footnote>
  <w:footnote w:id="42">
    <w:p w14:paraId="6194C0FA" w14:textId="6FEB130B" w:rsidR="000A08C1" w:rsidRDefault="000A08C1">
      <w:pPr>
        <w:pStyle w:val="FootnoteText"/>
      </w:pPr>
      <w:r>
        <w:rPr>
          <w:rStyle w:val="FootnoteReference"/>
        </w:rPr>
        <w:footnoteRef/>
      </w:r>
      <w:r>
        <w:t xml:space="preserve"> Sugarcane (Control) Order 1966 </w:t>
      </w:r>
      <w:r w:rsidRPr="00D05AC2">
        <w:t>(</w:t>
      </w:r>
      <w:r w:rsidRPr="00557088">
        <w:rPr>
          <w:b/>
          <w:bCs/>
        </w:rPr>
        <w:t>Exhibit JE-148</w:t>
      </w:r>
      <w:r w:rsidRPr="00D05AC2">
        <w:t>)</w:t>
      </w:r>
      <w:r>
        <w:t>, Clause 3(1).  It also fixed the minimum price payable for sugarcane by producers of khandsari sugar: see Clause 4. See also, Australia's first written submission, para. 25.</w:t>
      </w:r>
    </w:p>
  </w:footnote>
  <w:footnote w:id="43">
    <w:p w14:paraId="22BC1502" w14:textId="77777777" w:rsidR="000A08C1" w:rsidRDefault="000A08C1">
      <w:pPr>
        <w:pStyle w:val="FootnoteText"/>
      </w:pPr>
      <w:r>
        <w:rPr>
          <w:rStyle w:val="FootnoteReference"/>
        </w:rPr>
        <w:footnoteRef/>
      </w:r>
      <w:r>
        <w:t xml:space="preserve"> </w:t>
      </w:r>
      <w:r w:rsidRPr="002A7A5D">
        <w:t>G/AG/AGST/IND</w:t>
      </w:r>
      <w:r>
        <w:t xml:space="preserve">, p. 28.  See also, Explanatory Notes, p. 3: "India does not provide any product specific support other than market price support". </w:t>
      </w:r>
    </w:p>
  </w:footnote>
  <w:footnote w:id="44">
    <w:p w14:paraId="3C9353D4" w14:textId="7B0B32E6" w:rsidR="000A08C1" w:rsidRDefault="000A08C1">
      <w:pPr>
        <w:pStyle w:val="FootnoteText"/>
      </w:pPr>
      <w:r>
        <w:rPr>
          <w:rStyle w:val="FootnoteReference"/>
        </w:rPr>
        <w:footnoteRef/>
      </w:r>
      <w:r>
        <w:t xml:space="preserve"> See Australia's first written submission, para. 5; </w:t>
      </w:r>
      <w:r w:rsidRPr="002377FF">
        <w:t>USDA Sugar: World Markets and Trade, May 2020 (</w:t>
      </w:r>
      <w:r w:rsidRPr="00A2231B">
        <w:rPr>
          <w:b/>
          <w:bCs/>
        </w:rPr>
        <w:t>Exhibit JE-150</w:t>
      </w:r>
      <w:r w:rsidRPr="002377FF">
        <w:t>), p</w:t>
      </w:r>
      <w:r>
        <w:t>p</w:t>
      </w:r>
      <w:r w:rsidRPr="002377FF">
        <w:t>.</w:t>
      </w:r>
      <w:r>
        <w:t> 2 and 8.</w:t>
      </w:r>
    </w:p>
  </w:footnote>
  <w:footnote w:id="45">
    <w:p w14:paraId="47252862" w14:textId="34E65484" w:rsidR="000A08C1" w:rsidRPr="00561526" w:rsidRDefault="000A08C1">
      <w:pPr>
        <w:pStyle w:val="FootnoteText"/>
        <w:rPr>
          <w:szCs w:val="18"/>
        </w:rPr>
      </w:pPr>
      <w:r>
        <w:rPr>
          <w:rStyle w:val="FootnoteReference"/>
        </w:rPr>
        <w:footnoteRef/>
      </w:r>
      <w:r>
        <w:t xml:space="preserve"> </w:t>
      </w:r>
      <w:r>
        <w:rPr>
          <w:szCs w:val="18"/>
        </w:rPr>
        <w:t xml:space="preserve">See Green Pool, "India Analysis", 9 November 2018 </w:t>
      </w:r>
      <w:r w:rsidRPr="00A2231B">
        <w:rPr>
          <w:szCs w:val="18"/>
        </w:rPr>
        <w:t>(</w:t>
      </w:r>
      <w:r>
        <w:rPr>
          <w:b/>
          <w:bCs/>
          <w:szCs w:val="18"/>
        </w:rPr>
        <w:t>Exhibit AUS-2</w:t>
      </w:r>
      <w:r w:rsidRPr="00A2231B">
        <w:rPr>
          <w:szCs w:val="18"/>
        </w:rPr>
        <w:t>)</w:t>
      </w:r>
      <w:r>
        <w:rPr>
          <w:szCs w:val="18"/>
        </w:rPr>
        <w:t xml:space="preserve">; "Indian Sugar Glut Pushes Prices Close to Decade Lows; New Delhi is expected to renew subsidy program that will boost exports from the world's biggest sugar producer", </w:t>
      </w:r>
      <w:r>
        <w:rPr>
          <w:i/>
          <w:iCs/>
          <w:szCs w:val="18"/>
        </w:rPr>
        <w:t>Wall Street Journal</w:t>
      </w:r>
      <w:r>
        <w:rPr>
          <w:szCs w:val="18"/>
        </w:rPr>
        <w:t xml:space="preserve">, 26 August 2019 </w:t>
      </w:r>
      <w:r w:rsidRPr="00A2231B">
        <w:rPr>
          <w:szCs w:val="18"/>
        </w:rPr>
        <w:t>(</w:t>
      </w:r>
      <w:r>
        <w:rPr>
          <w:b/>
          <w:bCs/>
          <w:szCs w:val="18"/>
        </w:rPr>
        <w:t>Exhibit AUS-4</w:t>
      </w:r>
      <w:r w:rsidRPr="00A2231B">
        <w:rPr>
          <w:szCs w:val="18"/>
        </w:rPr>
        <w:t>)</w:t>
      </w:r>
      <w:r>
        <w:rPr>
          <w:szCs w:val="18"/>
        </w:rPr>
        <w:t>;</w:t>
      </w:r>
      <w:r>
        <w:rPr>
          <w:b/>
          <w:bCs/>
          <w:szCs w:val="18"/>
        </w:rPr>
        <w:t xml:space="preserve"> </w:t>
      </w:r>
      <w:r w:rsidRPr="00A2231B">
        <w:rPr>
          <w:szCs w:val="18"/>
        </w:rPr>
        <w:t>The Indian Express, "Explained: Why the sugar industry desperately needs export subsidy this season", 5 November 2020</w:t>
      </w:r>
      <w:r w:rsidRPr="00561526">
        <w:rPr>
          <w:szCs w:val="18"/>
        </w:rPr>
        <w:t xml:space="preserve"> </w:t>
      </w:r>
      <w:r>
        <w:rPr>
          <w:szCs w:val="18"/>
        </w:rPr>
        <w:t>(</w:t>
      </w:r>
      <w:r>
        <w:rPr>
          <w:b/>
          <w:bCs/>
          <w:szCs w:val="18"/>
        </w:rPr>
        <w:t>Exhibit JE-152</w:t>
      </w:r>
      <w:r>
        <w:rPr>
          <w:szCs w:val="18"/>
        </w:rPr>
        <w:t>).</w:t>
      </w:r>
    </w:p>
  </w:footnote>
  <w:footnote w:id="46">
    <w:p w14:paraId="247EAD91" w14:textId="77777777" w:rsidR="000A08C1" w:rsidRDefault="000A08C1" w:rsidP="004246DB">
      <w:pPr>
        <w:pStyle w:val="FootnoteText"/>
      </w:pPr>
      <w:r>
        <w:rPr>
          <w:rStyle w:val="FootnoteReference"/>
        </w:rPr>
        <w:footnoteRef/>
      </w:r>
      <w:r>
        <w:t xml:space="preserve"> See: </w:t>
      </w:r>
      <w:r>
        <w:rPr>
          <w:szCs w:val="18"/>
        </w:rPr>
        <w:t>Notification No. 20(43)/2015-S.P.-I of the Ministry of Consumer Affairs, Food &amp; Public Distribution, Department of Food &amp; Public Distribution of 2 December 2015 (</w:t>
      </w:r>
      <w:r>
        <w:rPr>
          <w:b/>
          <w:bCs/>
          <w:szCs w:val="18"/>
        </w:rPr>
        <w:t>Exhibit JE-76</w:t>
      </w:r>
      <w:r>
        <w:rPr>
          <w:szCs w:val="18"/>
        </w:rPr>
        <w:t>), paras. 1 and 2; Australia's first written submission, p. 147; Notification No. 1(5)/2018-S.P.-I of the Ministry of Consumer Affairs, Food &amp; Public Distribution, Department of Food &amp; Public Distribution of 9 May 2018 (</w:t>
      </w:r>
      <w:r>
        <w:rPr>
          <w:b/>
          <w:bCs/>
          <w:szCs w:val="18"/>
        </w:rPr>
        <w:t>Exhibit JE-75</w:t>
      </w:r>
      <w:r>
        <w:rPr>
          <w:szCs w:val="18"/>
        </w:rPr>
        <w:t>), paras. 1 and 3; Australia's first written submission, p. 148</w:t>
      </w:r>
      <w:r>
        <w:t xml:space="preserve">; </w:t>
      </w:r>
      <w:r>
        <w:rPr>
          <w:szCs w:val="18"/>
        </w:rPr>
        <w:t>Notification No. 1(14)/2018-S.P.-I of the Ministry of Consumer Affairs, Food &amp; Public Distribution, Department of Food &amp; Public Distribution of 5 October 2018 ("Scheme for assistance to sugar mills") (</w:t>
      </w:r>
      <w:r>
        <w:rPr>
          <w:b/>
          <w:bCs/>
          <w:szCs w:val="18"/>
        </w:rPr>
        <w:t>Exhibit JE-74</w:t>
      </w:r>
      <w:r>
        <w:rPr>
          <w:szCs w:val="18"/>
        </w:rPr>
        <w:t>), paras. 1 and 3; Australia's first written submission, p. 149; Notification No. 1(8)/2019-SP-I. of the Ministry of Consumer Affairs, Food &amp; Public Distribution, Department of Food &amp; Public Distribution of 31 July 2019 (</w:t>
      </w:r>
      <w:r>
        <w:rPr>
          <w:b/>
          <w:bCs/>
          <w:szCs w:val="18"/>
        </w:rPr>
        <w:t>Exhibit JE-77</w:t>
      </w:r>
      <w:r>
        <w:rPr>
          <w:szCs w:val="18"/>
        </w:rPr>
        <w:t>), para. 1; Australia's first written submission, para. 155.</w:t>
      </w:r>
    </w:p>
  </w:footnote>
  <w:footnote w:id="47">
    <w:p w14:paraId="2AD5643A" w14:textId="5299FA54" w:rsidR="000A08C1" w:rsidRDefault="000A08C1" w:rsidP="004246DB">
      <w:pPr>
        <w:pStyle w:val="FootnoteText"/>
      </w:pPr>
      <w:r>
        <w:rPr>
          <w:rStyle w:val="FootnoteReference"/>
        </w:rPr>
        <w:footnoteRef/>
      </w:r>
      <w:r>
        <w:t xml:space="preserve"> India's </w:t>
      </w:r>
      <w:r w:rsidRPr="00D369DA">
        <w:t xml:space="preserve">responses to questions from the Panel prior to the first substantive meeting, </w:t>
      </w:r>
      <w:r w:rsidRPr="00955D48">
        <w:t xml:space="preserve">18 June 2020, </w:t>
      </w:r>
      <w:r>
        <w:t>question 33(a), answered as question 32(a), p. 22.</w:t>
      </w:r>
    </w:p>
  </w:footnote>
  <w:footnote w:id="48">
    <w:p w14:paraId="5772C2A9" w14:textId="61049E44" w:rsidR="000A08C1" w:rsidRDefault="000A08C1" w:rsidP="004246DB">
      <w:pPr>
        <w:pStyle w:val="FootnoteText"/>
      </w:pPr>
      <w:r>
        <w:rPr>
          <w:rStyle w:val="FootnoteReference"/>
        </w:rPr>
        <w:footnoteRef/>
      </w:r>
      <w:r>
        <w:t xml:space="preserve"> India's </w:t>
      </w:r>
      <w:r w:rsidRPr="00D369DA">
        <w:t xml:space="preserve">responses to questions from the Panel prior to the first substantive meeting, </w:t>
      </w:r>
      <w:r w:rsidRPr="00955D48">
        <w:t xml:space="preserve">18 June 2020, </w:t>
      </w:r>
      <w:r>
        <w:t>question 33(b), answered as question 32(b), p. 22.</w:t>
      </w:r>
    </w:p>
  </w:footnote>
  <w:footnote w:id="49">
    <w:p w14:paraId="68A2B312" w14:textId="77777777" w:rsidR="000A08C1" w:rsidRDefault="000A08C1">
      <w:pPr>
        <w:pStyle w:val="FootnoteText"/>
      </w:pPr>
      <w:r>
        <w:rPr>
          <w:rStyle w:val="FootnoteReference"/>
        </w:rPr>
        <w:footnoteRef/>
      </w:r>
      <w:r>
        <w:t xml:space="preserve"> </w:t>
      </w:r>
      <w:r>
        <w:rPr>
          <w:szCs w:val="18"/>
        </w:rPr>
        <w:t>Notification No. 1(5)/2018-S.P.-I of the Ministry of Consumer Affairs, Food &amp; Public Distribution, Department of Food &amp; Public Distribution of 9 May 2018 (</w:t>
      </w:r>
      <w:r>
        <w:rPr>
          <w:b/>
          <w:bCs/>
          <w:szCs w:val="18"/>
        </w:rPr>
        <w:t>Exhibit JE-75</w:t>
      </w:r>
      <w:r>
        <w:rPr>
          <w:szCs w:val="18"/>
        </w:rPr>
        <w:t>), para. 2(c).</w:t>
      </w:r>
    </w:p>
  </w:footnote>
  <w:footnote w:id="50">
    <w:p w14:paraId="44BCA609" w14:textId="77777777" w:rsidR="000A08C1" w:rsidRDefault="000A08C1">
      <w:pPr>
        <w:pStyle w:val="FootnoteText"/>
      </w:pPr>
      <w:r>
        <w:rPr>
          <w:rStyle w:val="FootnoteReference"/>
        </w:rPr>
        <w:footnoteRef/>
      </w:r>
      <w:r>
        <w:t xml:space="preserve"> </w:t>
      </w:r>
      <w:r w:rsidRPr="00A539CC">
        <w:t>Notification No. 1(14)/2018-S.P.-I of the Ministry of Consumer Affairs, Food &amp; Public Distribution, Department of Food &amp; Public Distribution of 5 October 2018 ("Scheme for assistance to sugar mills")</w:t>
      </w:r>
      <w:r>
        <w:t xml:space="preserve"> (</w:t>
      </w:r>
      <w:r w:rsidRPr="00686B36">
        <w:rPr>
          <w:b/>
        </w:rPr>
        <w:t>E</w:t>
      </w:r>
      <w:r>
        <w:rPr>
          <w:b/>
        </w:rPr>
        <w:t>xhibit JE-74</w:t>
      </w:r>
      <w:r>
        <w:t xml:space="preserve">), para. 2(c); </w:t>
      </w:r>
      <w:r>
        <w:rPr>
          <w:szCs w:val="18"/>
        </w:rPr>
        <w:t xml:space="preserve">Notification No. 1(6)/2018-SP-I of the Ministry of Consumer Affairs, Food &amp; Public Distribution, Department of Food &amp; Public Distribution of 31 December 2018 </w:t>
      </w:r>
      <w:r w:rsidRPr="0004261B">
        <w:rPr>
          <w:szCs w:val="18"/>
        </w:rPr>
        <w:t>(</w:t>
      </w:r>
      <w:r>
        <w:rPr>
          <w:b/>
          <w:bCs/>
          <w:szCs w:val="18"/>
        </w:rPr>
        <w:t>Exhibit JE-112</w:t>
      </w:r>
      <w:r w:rsidRPr="0004261B">
        <w:rPr>
          <w:szCs w:val="18"/>
        </w:rPr>
        <w:t>)</w:t>
      </w:r>
      <w:r>
        <w:rPr>
          <w:szCs w:val="18"/>
        </w:rPr>
        <w:t xml:space="preserve">; Notification No. 1(6)/2018-SP-I of the Ministry of Consumer Affairs, Food &amp; Public Distribution, Department of Food &amp; Public Distribution of 15 June 2018 </w:t>
      </w:r>
      <w:r w:rsidRPr="0004261B">
        <w:rPr>
          <w:szCs w:val="18"/>
        </w:rPr>
        <w:t>(</w:t>
      </w:r>
      <w:r>
        <w:rPr>
          <w:b/>
          <w:bCs/>
          <w:szCs w:val="18"/>
        </w:rPr>
        <w:t>Exhibit JE-78</w:t>
      </w:r>
      <w:r w:rsidRPr="0004261B">
        <w:rPr>
          <w:szCs w:val="18"/>
        </w:rPr>
        <w:t>).</w:t>
      </w:r>
      <w:r>
        <w:rPr>
          <w:szCs w:val="18"/>
        </w:rPr>
        <w:t xml:space="preserve">  </w:t>
      </w:r>
      <w:r>
        <w:t xml:space="preserve">The 2015-16 production subsidy scheme was even more specific: its notification said that mills needed to have exported at least 80 per cent of their MIEQ allocations to be eligible for the subsidy that season.  See </w:t>
      </w:r>
      <w:r>
        <w:rPr>
          <w:szCs w:val="18"/>
        </w:rPr>
        <w:t xml:space="preserve">Notification No. 20(43)/2015-S.P.-I of the Ministry of Consumer Affairs, Food &amp; Public Distribution, Department of Food &amp; Public Distribution of 2 December 2015 </w:t>
      </w:r>
      <w:r w:rsidRPr="0004261B">
        <w:rPr>
          <w:szCs w:val="18"/>
        </w:rPr>
        <w:t>(</w:t>
      </w:r>
      <w:r>
        <w:rPr>
          <w:b/>
          <w:bCs/>
          <w:szCs w:val="18"/>
        </w:rPr>
        <w:t>Exhibit JE-76</w:t>
      </w:r>
      <w:r w:rsidRPr="0004261B">
        <w:rPr>
          <w:szCs w:val="18"/>
        </w:rPr>
        <w:t>)</w:t>
      </w:r>
      <w:r>
        <w:rPr>
          <w:szCs w:val="18"/>
        </w:rPr>
        <w:t>, para, 2(iii).</w:t>
      </w:r>
    </w:p>
  </w:footnote>
  <w:footnote w:id="51">
    <w:p w14:paraId="143A81B6" w14:textId="079A6842" w:rsidR="000A08C1" w:rsidRDefault="000A08C1" w:rsidP="004246DB">
      <w:pPr>
        <w:pStyle w:val="FootnoteText"/>
      </w:pPr>
      <w:r>
        <w:rPr>
          <w:rStyle w:val="FootnoteReference"/>
        </w:rPr>
        <w:footnoteRef/>
      </w:r>
      <w:r>
        <w:t xml:space="preserve"> India's </w:t>
      </w:r>
      <w:r w:rsidRPr="00D369DA">
        <w:t xml:space="preserve">responses to questions from the Panel prior to the first substantive meeting, </w:t>
      </w:r>
      <w:r w:rsidRPr="00955D48">
        <w:t xml:space="preserve">18 June 2020, </w:t>
      </w:r>
      <w:r>
        <w:t>question 31, answered as question 30, p. 22.</w:t>
      </w:r>
    </w:p>
  </w:footnote>
  <w:footnote w:id="52">
    <w:p w14:paraId="13459FCC" w14:textId="6F4C904B" w:rsidR="000A08C1" w:rsidRDefault="000A08C1">
      <w:pPr>
        <w:pStyle w:val="FootnoteText"/>
      </w:pPr>
      <w:r>
        <w:rPr>
          <w:rStyle w:val="FootnoteReference"/>
        </w:rPr>
        <w:footnoteRef/>
      </w:r>
      <w:r>
        <w:t xml:space="preserve"> USDA Sugar: World Markets and Trade, May 2020 </w:t>
      </w:r>
      <w:r w:rsidRPr="00362F7B">
        <w:t>(</w:t>
      </w:r>
      <w:r w:rsidRPr="00E9029E">
        <w:rPr>
          <w:b/>
          <w:bCs/>
        </w:rPr>
        <w:t xml:space="preserve">Exhibit </w:t>
      </w:r>
      <w:r>
        <w:rPr>
          <w:b/>
          <w:bCs/>
        </w:rPr>
        <w:t>JE</w:t>
      </w:r>
      <w:r w:rsidRPr="005C2AF1">
        <w:rPr>
          <w:b/>
          <w:bCs/>
        </w:rPr>
        <w:t>-150</w:t>
      </w:r>
      <w:r w:rsidRPr="00362F7B">
        <w:t>)</w:t>
      </w:r>
      <w:r>
        <w:t>, p. 7.</w:t>
      </w:r>
    </w:p>
  </w:footnote>
  <w:footnote w:id="53">
    <w:p w14:paraId="0A936E07" w14:textId="020D4FEB" w:rsidR="000A08C1" w:rsidRDefault="000A08C1">
      <w:pPr>
        <w:pStyle w:val="FootnoteText"/>
      </w:pPr>
      <w:r>
        <w:rPr>
          <w:rStyle w:val="FootnoteReference"/>
        </w:rPr>
        <w:footnoteRef/>
      </w:r>
      <w:r>
        <w:t xml:space="preserve"> </w:t>
      </w:r>
      <w:r>
        <w:rPr>
          <w:szCs w:val="18"/>
        </w:rPr>
        <w:t xml:space="preserve">Notification No. 1(4)/2018-S.P.-I of the Ministry of Consumer Affairs, Food &amp; Public Distribution, Department of Food &amp; Public Distribution of 9 May 2018 </w:t>
      </w:r>
      <w:r w:rsidRPr="00F17C3A">
        <w:rPr>
          <w:szCs w:val="18"/>
        </w:rPr>
        <w:t>(</w:t>
      </w:r>
      <w:r>
        <w:rPr>
          <w:b/>
          <w:bCs/>
          <w:szCs w:val="18"/>
        </w:rPr>
        <w:t>Exhibit JE-111</w:t>
      </w:r>
      <w:r w:rsidRPr="00F17C3A">
        <w:rPr>
          <w:szCs w:val="18"/>
        </w:rPr>
        <w:t>)</w:t>
      </w:r>
      <w:r>
        <w:rPr>
          <w:szCs w:val="18"/>
        </w:rPr>
        <w:t>.</w:t>
      </w:r>
    </w:p>
  </w:footnote>
  <w:footnote w:id="54">
    <w:p w14:paraId="31CCBC0D" w14:textId="7B1EB66F" w:rsidR="000A08C1" w:rsidRDefault="000A08C1">
      <w:pPr>
        <w:pStyle w:val="FootnoteText"/>
      </w:pPr>
      <w:r>
        <w:rPr>
          <w:rStyle w:val="FootnoteReference"/>
        </w:rPr>
        <w:footnoteRef/>
      </w:r>
      <w:r>
        <w:t xml:space="preserve"> </w:t>
      </w:r>
      <w:r>
        <w:rPr>
          <w:szCs w:val="18"/>
        </w:rPr>
        <w:t xml:space="preserve">DFPD Order of 28 September 2018, “Allocation of sugar factory-wise Minimum Indicative Export Quotas (MIEQ) of sugar for export in sugar season 2018-19 under tradable export scrip schemes” </w:t>
      </w:r>
      <w:r w:rsidRPr="00F17C3A">
        <w:rPr>
          <w:szCs w:val="18"/>
        </w:rPr>
        <w:t>(</w:t>
      </w:r>
      <w:r>
        <w:rPr>
          <w:b/>
          <w:bCs/>
          <w:szCs w:val="18"/>
        </w:rPr>
        <w:t>Exhibit JE-108</w:t>
      </w:r>
      <w:r w:rsidRPr="00F17C3A">
        <w:rPr>
          <w:szCs w:val="18"/>
        </w:rPr>
        <w:t>)</w:t>
      </w:r>
      <w:r>
        <w:rPr>
          <w:szCs w:val="18"/>
        </w:rPr>
        <w:t>.</w:t>
      </w:r>
    </w:p>
  </w:footnote>
  <w:footnote w:id="55">
    <w:p w14:paraId="238EDFD0" w14:textId="77777777" w:rsidR="000A08C1" w:rsidRDefault="000A08C1" w:rsidP="007844AC">
      <w:pPr>
        <w:pStyle w:val="FootnoteText"/>
      </w:pPr>
      <w:r>
        <w:rPr>
          <w:rStyle w:val="FootnoteReference"/>
        </w:rPr>
        <w:footnoteRef/>
      </w:r>
      <w:r>
        <w:t xml:space="preserve"> </w:t>
      </w:r>
      <w:r>
        <w:rPr>
          <w:szCs w:val="18"/>
        </w:rPr>
        <w:t>MAEQ Review Guidelines, 18 February 2020 (</w:t>
      </w:r>
      <w:r>
        <w:rPr>
          <w:b/>
          <w:bCs/>
          <w:szCs w:val="18"/>
        </w:rPr>
        <w:t>Exhibit JE-144</w:t>
      </w:r>
      <w:r>
        <w:rPr>
          <w:szCs w:val="18"/>
        </w:rPr>
        <w:t>), para. 2(vi); MAEQ Review Guidelines, 13 April 2020 (</w:t>
      </w:r>
      <w:r>
        <w:rPr>
          <w:b/>
          <w:bCs/>
          <w:szCs w:val="18"/>
        </w:rPr>
        <w:t>Exhibit JE-145</w:t>
      </w:r>
      <w:r>
        <w:rPr>
          <w:szCs w:val="18"/>
        </w:rPr>
        <w:t>), para. 3; Australia's answer to Panel question 8, paras. 17</w:t>
      </w:r>
      <w:r w:rsidRPr="00485E10">
        <w:rPr>
          <w:szCs w:val="18"/>
        </w:rPr>
        <w:t>–</w:t>
      </w:r>
      <w:r>
        <w:rPr>
          <w:szCs w:val="18"/>
        </w:rPr>
        <w:t xml:space="preserve">19. </w:t>
      </w:r>
      <w:r>
        <w:t xml:space="preserve"> </w:t>
      </w:r>
    </w:p>
  </w:footnote>
  <w:footnote w:id="56">
    <w:p w14:paraId="3B2CE6FC" w14:textId="77777777" w:rsidR="000A08C1" w:rsidRDefault="000A08C1" w:rsidP="00C201A3">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Notification No. 1(14)/2019-S.P.-I. of the Ministry of Consumer Affairs, Food &amp; Public Distribution, Department of Food &amp; Public Distribution of 16 September 2019 (</w:t>
      </w:r>
      <w:r>
        <w:rPr>
          <w:b/>
          <w:bCs/>
          <w:szCs w:val="18"/>
        </w:rPr>
        <w:t>Exhibit JE-115</w:t>
      </w:r>
      <w:r>
        <w:rPr>
          <w:szCs w:val="18"/>
        </w:rPr>
        <w:t xml:space="preserve">). </w:t>
      </w:r>
    </w:p>
  </w:footnote>
  <w:footnote w:id="57">
    <w:p w14:paraId="44A622C5" w14:textId="77777777" w:rsidR="000A08C1" w:rsidRDefault="000A08C1" w:rsidP="00C201A3">
      <w:pPr>
        <w:pStyle w:val="FootnoteText"/>
      </w:pPr>
      <w:r>
        <w:rPr>
          <w:rStyle w:val="FootnoteReference"/>
        </w:rPr>
        <w:footnoteRef/>
      </w:r>
      <w:r>
        <w:t xml:space="preserve"> Australia's comments on India's request for a preliminary ruling, 1 April 2020, para. 64.</w:t>
      </w:r>
    </w:p>
  </w:footnote>
  <w:footnote w:id="58">
    <w:p w14:paraId="3490B583" w14:textId="77777777" w:rsidR="000A08C1" w:rsidRDefault="000A08C1" w:rsidP="004246DB">
      <w:pPr>
        <w:pStyle w:val="FootnoteText"/>
      </w:pPr>
      <w:r>
        <w:rPr>
          <w:rStyle w:val="FootnoteReference"/>
        </w:rPr>
        <w:footnoteRef/>
      </w:r>
      <w:r>
        <w:t xml:space="preserve"> Australia's comments on India's response regarding India's request for a preliminary ruling, 4 May 2020, paras. 59</w:t>
      </w:r>
      <w:r w:rsidRPr="00485E10">
        <w:t>–</w:t>
      </w:r>
      <w:r>
        <w:t>78.</w:t>
      </w:r>
    </w:p>
  </w:footnote>
  <w:footnote w:id="59">
    <w:p w14:paraId="2E90232E" w14:textId="77777777" w:rsidR="000A08C1" w:rsidRDefault="000A08C1" w:rsidP="004246DB">
      <w:pPr>
        <w:pStyle w:val="FootnoteText"/>
      </w:pPr>
      <w:r>
        <w:rPr>
          <w:rStyle w:val="FootnoteReference"/>
        </w:rPr>
        <w:footnoteRef/>
      </w:r>
      <w:r>
        <w:t xml:space="preserve"> India's response to the complainants' comments on India's request for a preliminary ruling, 27 April 2020, para. 56.  </w:t>
      </w:r>
    </w:p>
  </w:footnote>
  <w:footnote w:id="60">
    <w:p w14:paraId="6AA26537" w14:textId="77777777" w:rsidR="000A08C1" w:rsidRDefault="000A08C1" w:rsidP="004246DB">
      <w:pPr>
        <w:pStyle w:val="FootnoteText"/>
      </w:pPr>
      <w:r>
        <w:rPr>
          <w:rStyle w:val="FootnoteReference"/>
        </w:rPr>
        <w:footnoteRef/>
      </w:r>
      <w:r>
        <w:t xml:space="preserve"> Australia's comments on India's response regarding India's request for a preliminary ruling, 4 May 2020, para. 74.</w:t>
      </w:r>
    </w:p>
  </w:footnote>
  <w:footnote w:id="61">
    <w:p w14:paraId="7311D016" w14:textId="77777777" w:rsidR="000A08C1" w:rsidRDefault="000A08C1" w:rsidP="004246DB">
      <w:pPr>
        <w:pStyle w:val="FootnoteText"/>
      </w:pPr>
      <w:r>
        <w:rPr>
          <w:rStyle w:val="FootnoteReference"/>
        </w:rPr>
        <w:footnoteRef/>
      </w:r>
      <w:r>
        <w:t xml:space="preserve"> Australia's comments on India's response regarding India's request for a preliminary ruling, 4 May 2020, paras. 77</w:t>
      </w:r>
      <w:r w:rsidRPr="00485E10">
        <w:t>–</w:t>
      </w:r>
      <w:r>
        <w:t>78.</w:t>
      </w:r>
    </w:p>
  </w:footnote>
  <w:footnote w:id="62">
    <w:p w14:paraId="0D68C56B" w14:textId="77777777" w:rsidR="000A08C1" w:rsidRDefault="000A08C1" w:rsidP="004246DB">
      <w:pPr>
        <w:pStyle w:val="FootnoteText"/>
      </w:pPr>
      <w:r>
        <w:rPr>
          <w:rStyle w:val="FootnoteReference"/>
        </w:rPr>
        <w:footnoteRef/>
      </w:r>
      <w:r>
        <w:t xml:space="preserve"> WT/DS580/7, para. 19.</w:t>
      </w:r>
    </w:p>
  </w:footnote>
  <w:footnote w:id="63">
    <w:p w14:paraId="076A633B" w14:textId="77777777" w:rsidR="000A08C1" w:rsidRDefault="000A08C1">
      <w:pPr>
        <w:pStyle w:val="FootnoteText"/>
      </w:pPr>
      <w:r>
        <w:rPr>
          <w:rStyle w:val="FootnoteReference"/>
        </w:rPr>
        <w:footnoteRef/>
      </w:r>
      <w:r>
        <w:t xml:space="preserve"> Understanding on Rules and Procedures Governing the Settlement of Disputes, Articles 3.3 and 3.7.</w:t>
      </w:r>
    </w:p>
  </w:footnote>
  <w:footnote w:id="64">
    <w:p w14:paraId="176D7B3E" w14:textId="77777777" w:rsidR="000A08C1" w:rsidRDefault="000A08C1" w:rsidP="004246DB">
      <w:pPr>
        <w:pStyle w:val="FootnoteText"/>
      </w:pPr>
      <w:r>
        <w:rPr>
          <w:rStyle w:val="FootnoteReference"/>
        </w:rPr>
        <w:footnoteRef/>
      </w:r>
      <w:r>
        <w:t xml:space="preserve"> </w:t>
      </w:r>
      <w:r>
        <w:rPr>
          <w:szCs w:val="18"/>
        </w:rPr>
        <w:t xml:space="preserve">India's response to the complainants' comments on India's request for a preliminary ruling, 27 April 2020, para. 58. </w:t>
      </w:r>
      <w:r>
        <w:t xml:space="preserve"> </w:t>
      </w:r>
    </w:p>
  </w:footnote>
  <w:footnote w:id="65">
    <w:p w14:paraId="5E1DC4D3" w14:textId="31737F97" w:rsidR="000A08C1" w:rsidRPr="00A252DF" w:rsidRDefault="000A08C1">
      <w:pPr>
        <w:pStyle w:val="FootnoteText"/>
      </w:pPr>
      <w:r>
        <w:rPr>
          <w:rStyle w:val="FootnoteReference"/>
        </w:rPr>
        <w:footnoteRef/>
      </w:r>
      <w:r>
        <w:t xml:space="preserve"> Notification No. 1(14)/2019-SP-I of the Ministry of Consumer Affairs, Food &amp; Public Distribution, Department of Food &amp; Public Distribution of 15 September 2020 (</w:t>
      </w:r>
      <w:r w:rsidRPr="005C2AF1">
        <w:rPr>
          <w:b/>
          <w:bCs/>
        </w:rPr>
        <w:t>Exhibit JE-151</w:t>
      </w:r>
      <w:r>
        <w:t>).</w:t>
      </w:r>
    </w:p>
  </w:footnote>
  <w:footnote w:id="66">
    <w:p w14:paraId="3714C18C" w14:textId="77777777" w:rsidR="000A08C1" w:rsidRDefault="000A08C1" w:rsidP="004246DB">
      <w:pPr>
        <w:pStyle w:val="FootnoteText"/>
      </w:pPr>
      <w:r>
        <w:rPr>
          <w:rStyle w:val="FootnoteReference"/>
        </w:rPr>
        <w:footnoteRef/>
      </w:r>
      <w:r>
        <w:t xml:space="preserve"> India's first written submission, para. 85.</w:t>
      </w:r>
    </w:p>
  </w:footnote>
  <w:footnote w:id="67">
    <w:p w14:paraId="3251EB1B" w14:textId="0CD84D1A" w:rsidR="000A08C1" w:rsidRDefault="000A08C1" w:rsidP="004246DB">
      <w:pPr>
        <w:pStyle w:val="FootnoteText"/>
      </w:pPr>
      <w:r>
        <w:rPr>
          <w:rStyle w:val="FootnoteReference"/>
        </w:rPr>
        <w:footnoteRef/>
      </w:r>
      <w:r>
        <w:t xml:space="preserve"> India's first written submission, para. 85; India's</w:t>
      </w:r>
      <w:r w:rsidRPr="00AD2B34">
        <w:t xml:space="preserve"> responses to questions from the Panel prior to the first substantive meeting,</w:t>
      </w:r>
      <w:r>
        <w:t xml:space="preserve"> </w:t>
      </w:r>
      <w:r w:rsidRPr="00955D48">
        <w:t xml:space="preserve">18 June 2020, </w:t>
      </w:r>
      <w:r>
        <w:t>question 39, answered as question 38, p. 25.</w:t>
      </w:r>
    </w:p>
  </w:footnote>
  <w:footnote w:id="68">
    <w:p w14:paraId="0BB53D15" w14:textId="77777777" w:rsidR="000A08C1" w:rsidRDefault="000A08C1" w:rsidP="004246DB">
      <w:pPr>
        <w:pStyle w:val="FootnoteText"/>
      </w:pPr>
      <w:r>
        <w:rPr>
          <w:rStyle w:val="FootnoteReference"/>
        </w:rPr>
        <w:footnoteRef/>
      </w:r>
      <w:r>
        <w:t xml:space="preserve"> India's first written submission, para. 85.</w:t>
      </w:r>
    </w:p>
  </w:footnote>
  <w:footnote w:id="69">
    <w:p w14:paraId="42F5130A" w14:textId="77777777" w:rsidR="000A08C1" w:rsidRDefault="000A08C1" w:rsidP="004246DB">
      <w:pPr>
        <w:pStyle w:val="FootnoteText"/>
      </w:pPr>
      <w:r>
        <w:rPr>
          <w:rStyle w:val="FootnoteReference"/>
        </w:rPr>
        <w:footnoteRef/>
      </w:r>
      <w:r>
        <w:t xml:space="preserve"> India's first written submission, para. 100.</w:t>
      </w:r>
    </w:p>
  </w:footnote>
  <w:footnote w:id="70">
    <w:p w14:paraId="4EE83A41" w14:textId="77777777" w:rsidR="000A08C1" w:rsidRDefault="000A08C1" w:rsidP="004246DB">
      <w:pPr>
        <w:pStyle w:val="FootnoteText"/>
      </w:pPr>
      <w:r>
        <w:rPr>
          <w:rStyle w:val="FootnoteReference"/>
        </w:rPr>
        <w:footnoteRef/>
      </w:r>
      <w:r>
        <w:t xml:space="preserve"> India's first written submission, paras. 105</w:t>
      </w:r>
      <w:r w:rsidRPr="00485E10">
        <w:t>–</w:t>
      </w:r>
      <w:r>
        <w:t>113.</w:t>
      </w:r>
    </w:p>
  </w:footnote>
  <w:footnote w:id="71">
    <w:p w14:paraId="3E0F9E5D" w14:textId="3E544BAD" w:rsidR="000A08C1" w:rsidRDefault="000A08C1" w:rsidP="004F1423">
      <w:pPr>
        <w:pStyle w:val="FootnoteText"/>
      </w:pPr>
      <w:r>
        <w:rPr>
          <w:rStyle w:val="FootnoteReference"/>
        </w:rPr>
        <w:footnoteRef/>
      </w:r>
      <w:r>
        <w:t xml:space="preserve"> India's </w:t>
      </w:r>
      <w:r w:rsidRPr="00AD2B34">
        <w:t>responses to questions from the Panel prior to the first substantive meeting</w:t>
      </w:r>
      <w:r>
        <w:t xml:space="preserve">, </w:t>
      </w:r>
      <w:r w:rsidRPr="00955D48">
        <w:t xml:space="preserve">18 June 2020, </w:t>
      </w:r>
      <w:r>
        <w:t>question 40(a), answered as</w:t>
      </w:r>
      <w:r w:rsidDel="005B7566">
        <w:t xml:space="preserve"> </w:t>
      </w:r>
      <w:r>
        <w:t>question 39(a), p. 26.</w:t>
      </w:r>
    </w:p>
  </w:footnote>
  <w:footnote w:id="72">
    <w:p w14:paraId="783B2BF3" w14:textId="3A649578" w:rsidR="000A08C1" w:rsidRDefault="000A08C1" w:rsidP="004246DB">
      <w:pPr>
        <w:pStyle w:val="FootnoteText"/>
      </w:pPr>
      <w:r>
        <w:rPr>
          <w:rStyle w:val="FootnoteReference"/>
        </w:rPr>
        <w:footnoteRef/>
      </w:r>
      <w:r>
        <w:t xml:space="preserve"> India's </w:t>
      </w:r>
      <w:r w:rsidRPr="00AD2B34">
        <w:t>responses to questions from the Panel prior to the first substantive meeting</w:t>
      </w:r>
      <w:r>
        <w:t xml:space="preserve">, </w:t>
      </w:r>
      <w:r w:rsidRPr="00955D48">
        <w:t xml:space="preserve">18 June 2020, </w:t>
      </w:r>
      <w:r>
        <w:t>question 40(b), answered as</w:t>
      </w:r>
      <w:r w:rsidDel="005B7566">
        <w:t xml:space="preserve"> </w:t>
      </w:r>
      <w:r>
        <w:t xml:space="preserve">question 39(b), p. 26.  See also India's </w:t>
      </w:r>
      <w:r w:rsidRPr="00AD2B34">
        <w:t>responses to questions from the Panel prior to the first substantive meeting,</w:t>
      </w:r>
      <w:r>
        <w:t xml:space="preserve"> </w:t>
      </w:r>
      <w:r w:rsidRPr="00955D48">
        <w:t xml:space="preserve">18 June 2020, </w:t>
      </w:r>
      <w:r>
        <w:t>question 40(b), answered as question 39(a), p. 26.</w:t>
      </w:r>
    </w:p>
  </w:footnote>
  <w:footnote w:id="73">
    <w:p w14:paraId="11120523" w14:textId="77777777" w:rsidR="000A08C1" w:rsidRDefault="000A08C1" w:rsidP="004246DB">
      <w:pPr>
        <w:pStyle w:val="FootnoteText"/>
      </w:pPr>
      <w:r>
        <w:rPr>
          <w:rStyle w:val="FootnoteReference"/>
        </w:rPr>
        <w:footnoteRef/>
      </w:r>
      <w:r>
        <w:t xml:space="preserve"> Agreement on Agriculture, Article 9.2(a)(i).</w:t>
      </w:r>
    </w:p>
  </w:footnote>
  <w:footnote w:id="74">
    <w:p w14:paraId="7B5BCCEE" w14:textId="77777777" w:rsidR="000A08C1" w:rsidRDefault="000A08C1" w:rsidP="004246DB">
      <w:pPr>
        <w:pStyle w:val="FootnoteText"/>
      </w:pPr>
      <w:r>
        <w:rPr>
          <w:rStyle w:val="FootnoteReference"/>
        </w:rPr>
        <w:footnoteRef/>
      </w:r>
      <w:r>
        <w:t xml:space="preserve"> Vienna Convention on the Law of Treaties, Article 31.</w:t>
      </w:r>
    </w:p>
  </w:footnote>
  <w:footnote w:id="75">
    <w:p w14:paraId="0BD1AFAA" w14:textId="4F2959E2" w:rsidR="000A08C1" w:rsidRDefault="000A08C1">
      <w:pPr>
        <w:pStyle w:val="FootnoteText"/>
      </w:pPr>
      <w:r>
        <w:rPr>
          <w:rStyle w:val="FootnoteReference"/>
        </w:rPr>
        <w:footnoteRef/>
      </w:r>
      <w:r>
        <w:t xml:space="preserve"> </w:t>
      </w:r>
      <w:r>
        <w:rPr>
          <w:szCs w:val="18"/>
        </w:rPr>
        <w:t>Central Government of India’s 2019</w:t>
      </w:r>
      <w:r w:rsidRPr="000D25F8">
        <w:rPr>
          <w:szCs w:val="18"/>
        </w:rPr>
        <w:t>–</w:t>
      </w:r>
      <w:r>
        <w:rPr>
          <w:szCs w:val="18"/>
        </w:rPr>
        <w:t xml:space="preserve">20 Expenditure Budget </w:t>
      </w:r>
      <w:r w:rsidRPr="00445964">
        <w:rPr>
          <w:szCs w:val="18"/>
        </w:rPr>
        <w:t>(</w:t>
      </w:r>
      <w:r>
        <w:rPr>
          <w:b/>
          <w:bCs/>
          <w:szCs w:val="18"/>
        </w:rPr>
        <w:t>Exhibit JE-121</w:t>
      </w:r>
      <w:r w:rsidRPr="00445964">
        <w:rPr>
          <w:szCs w:val="18"/>
        </w:rPr>
        <w:t>)</w:t>
      </w:r>
      <w:r>
        <w:rPr>
          <w:szCs w:val="18"/>
        </w:rPr>
        <w:t>, Notes on Demands and Grants, 2019–20, Department of Food and Public Distribution, pp. 57</w:t>
      </w:r>
      <w:r w:rsidRPr="00485E10">
        <w:rPr>
          <w:szCs w:val="18"/>
        </w:rPr>
        <w:t>–</w:t>
      </w:r>
      <w:r>
        <w:rPr>
          <w:szCs w:val="18"/>
        </w:rPr>
        <w:t>58, line 15.04.</w:t>
      </w:r>
      <w:r>
        <w:t xml:space="preserve"> </w:t>
      </w:r>
    </w:p>
  </w:footnote>
  <w:footnote w:id="76">
    <w:p w14:paraId="064CC123" w14:textId="6872A998" w:rsidR="000A08C1" w:rsidRDefault="000A08C1">
      <w:pPr>
        <w:pStyle w:val="FootnoteText"/>
      </w:pPr>
      <w:r>
        <w:rPr>
          <w:rStyle w:val="FootnoteReference"/>
        </w:rPr>
        <w:footnoteRef/>
      </w:r>
      <w:r>
        <w:t xml:space="preserve"> </w:t>
      </w:r>
      <w:r>
        <w:rPr>
          <w:szCs w:val="18"/>
        </w:rPr>
        <w:t>Central Government of India's 2018</w:t>
      </w:r>
      <w:r w:rsidRPr="000D25F8">
        <w:rPr>
          <w:szCs w:val="18"/>
        </w:rPr>
        <w:t>–</w:t>
      </w:r>
      <w:r>
        <w:rPr>
          <w:szCs w:val="18"/>
        </w:rPr>
        <w:t xml:space="preserve">19 Expenditure Budget </w:t>
      </w:r>
      <w:r w:rsidRPr="00445964">
        <w:rPr>
          <w:szCs w:val="18"/>
        </w:rPr>
        <w:t>(</w:t>
      </w:r>
      <w:r>
        <w:rPr>
          <w:b/>
          <w:bCs/>
          <w:szCs w:val="18"/>
        </w:rPr>
        <w:t>Exhibit AUS-48</w:t>
      </w:r>
      <w:r w:rsidRPr="00445964">
        <w:rPr>
          <w:szCs w:val="18"/>
        </w:rPr>
        <w:t>)</w:t>
      </w:r>
      <w:r>
        <w:rPr>
          <w:szCs w:val="18"/>
        </w:rPr>
        <w:t>, Notes on Demands for Grants, 2018</w:t>
      </w:r>
      <w:r w:rsidRPr="000D25F8">
        <w:rPr>
          <w:szCs w:val="18"/>
        </w:rPr>
        <w:t>–</w:t>
      </w:r>
      <w:r>
        <w:rPr>
          <w:szCs w:val="18"/>
        </w:rPr>
        <w:t>19, Department of Food and Public Distribution, Demand No. 16, pp. 57 and 59, line 11.05.</w:t>
      </w:r>
    </w:p>
  </w:footnote>
  <w:footnote w:id="77">
    <w:p w14:paraId="499A0DEB" w14:textId="52287C11" w:rsidR="000A08C1" w:rsidRDefault="000A08C1">
      <w:pPr>
        <w:pStyle w:val="FootnoteText"/>
      </w:pPr>
      <w:r>
        <w:rPr>
          <w:rStyle w:val="FootnoteReference"/>
        </w:rPr>
        <w:footnoteRef/>
      </w:r>
      <w:r>
        <w:t xml:space="preserve"> </w:t>
      </w:r>
      <w:r>
        <w:rPr>
          <w:szCs w:val="18"/>
        </w:rPr>
        <w:t>Notes on Demands for Grants, 2020</w:t>
      </w:r>
      <w:r w:rsidRPr="000D25F8">
        <w:rPr>
          <w:szCs w:val="18"/>
        </w:rPr>
        <w:t>–</w:t>
      </w:r>
      <w:r>
        <w:rPr>
          <w:szCs w:val="18"/>
        </w:rPr>
        <w:t>2021, Ministry of Consumer Affairs, Food and Public Distribution, Demand No. 15, Department of Food and Public Distribution, (</w:t>
      </w:r>
      <w:r>
        <w:rPr>
          <w:b/>
          <w:bCs/>
          <w:szCs w:val="18"/>
        </w:rPr>
        <w:t>Exhibit JE-142</w:t>
      </w:r>
      <w:r>
        <w:rPr>
          <w:szCs w:val="18"/>
        </w:rPr>
        <w:t>), lines 10 and 13.</w:t>
      </w:r>
    </w:p>
  </w:footnote>
  <w:footnote w:id="78">
    <w:p w14:paraId="3614BEAC" w14:textId="7953FB34" w:rsidR="000A08C1" w:rsidRDefault="000A08C1">
      <w:pPr>
        <w:pStyle w:val="FootnoteText"/>
      </w:pPr>
      <w:r>
        <w:rPr>
          <w:rStyle w:val="FootnoteReference"/>
        </w:rPr>
        <w:footnoteRef/>
      </w:r>
      <w:r>
        <w:t xml:space="preserve"> Dhampur Sugar Mills Limited, Annual Report 2019</w:t>
      </w:r>
      <w:r w:rsidRPr="000D25F8">
        <w:t>–</w:t>
      </w:r>
      <w:r>
        <w:t>20 (</w:t>
      </w:r>
      <w:r w:rsidRPr="005C2AF1">
        <w:rPr>
          <w:b/>
          <w:bCs/>
        </w:rPr>
        <w:t>Exhibit JE-149</w:t>
      </w:r>
      <w:r>
        <w:t xml:space="preserve">) </w:t>
      </w:r>
      <w:r w:rsidRPr="009F654C">
        <w:t>line</w:t>
      </w:r>
      <w:r>
        <w:t xml:space="preserve"> (i), read together with note (a); line (iii), read together with note (c); and lines (iv)(a) and (b), read together with note (d), p. 161</w:t>
      </w:r>
      <w:r w:rsidRPr="00485E10">
        <w:t>–</w:t>
      </w:r>
      <w:r>
        <w:t>163.</w:t>
      </w:r>
    </w:p>
  </w:footnote>
  <w:footnote w:id="79">
    <w:p w14:paraId="54E39F34" w14:textId="77777777" w:rsidR="000A08C1" w:rsidRDefault="000A08C1" w:rsidP="004246DB">
      <w:pPr>
        <w:pStyle w:val="FootnoteText"/>
      </w:pPr>
      <w:r>
        <w:rPr>
          <w:rStyle w:val="FootnoteReference"/>
        </w:rPr>
        <w:footnoteRef/>
      </w:r>
      <w:r>
        <w:t xml:space="preserve"> </w:t>
      </w:r>
      <w:r>
        <w:rPr>
          <w:szCs w:val="18"/>
        </w:rPr>
        <w:t>Notification No. 1(14)/2019-S.P.-I. of the Ministry of Consumer Affairs, Food &amp; Public Distribution, Department of Food &amp; Public Distribution of 12 September 2019 (</w:t>
      </w:r>
      <w:r>
        <w:rPr>
          <w:b/>
          <w:bCs/>
          <w:szCs w:val="18"/>
        </w:rPr>
        <w:t>Exhibit JE-114</w:t>
      </w:r>
      <w:r>
        <w:rPr>
          <w:szCs w:val="18"/>
        </w:rPr>
        <w:t xml:space="preserve">), para. 1. </w:t>
      </w:r>
      <w:r>
        <w:t xml:space="preserve"> </w:t>
      </w:r>
    </w:p>
  </w:footnote>
  <w:footnote w:id="80">
    <w:p w14:paraId="3B5F7C1C" w14:textId="5E7EBC39" w:rsidR="000A08C1" w:rsidRDefault="000A08C1" w:rsidP="004246DB">
      <w:pPr>
        <w:pStyle w:val="FootnoteText"/>
      </w:pPr>
      <w:r>
        <w:rPr>
          <w:rStyle w:val="FootnoteReference"/>
        </w:rPr>
        <w:footnoteRef/>
      </w:r>
      <w:r>
        <w:t xml:space="preserve"> India's </w:t>
      </w:r>
      <w:r w:rsidRPr="00AD2B34">
        <w:t xml:space="preserve">responses to questions from the Panel prior to the first substantive meeting, </w:t>
      </w:r>
      <w:r w:rsidRPr="00955D48">
        <w:t xml:space="preserve">18 June 2020, </w:t>
      </w:r>
      <w:r>
        <w:t>question 29, p. 21.</w:t>
      </w:r>
    </w:p>
  </w:footnote>
  <w:footnote w:id="81">
    <w:p w14:paraId="59291F6D" w14:textId="2649A5A6" w:rsidR="000A08C1" w:rsidRDefault="000A08C1" w:rsidP="00D54181">
      <w:pPr>
        <w:pStyle w:val="FootnoteText"/>
      </w:pPr>
      <w:r>
        <w:rPr>
          <w:rStyle w:val="FootnoteReference"/>
        </w:rPr>
        <w:footnoteRef/>
      </w:r>
      <w:r>
        <w:t xml:space="preserve"> India's first written submission, para. 118; India's </w:t>
      </w:r>
      <w:r w:rsidRPr="00AD2B34">
        <w:t xml:space="preserve">responses to questions from the Panel prior to the first substantive meeting, </w:t>
      </w:r>
      <w:r w:rsidRPr="00955D48">
        <w:t xml:space="preserve">18 June 2020, </w:t>
      </w:r>
      <w:r>
        <w:t>question 36, answered as question 35, p. 24.</w:t>
      </w:r>
    </w:p>
  </w:footnote>
  <w:footnote w:id="82">
    <w:p w14:paraId="19A78FF6" w14:textId="11C47B60" w:rsidR="000A08C1" w:rsidRDefault="000A08C1" w:rsidP="004246DB">
      <w:pPr>
        <w:pStyle w:val="FootnoteText"/>
      </w:pPr>
      <w:r>
        <w:rPr>
          <w:rStyle w:val="FootnoteReference"/>
        </w:rPr>
        <w:footnoteRef/>
      </w:r>
      <w:r>
        <w:t xml:space="preserve"> India's </w:t>
      </w:r>
      <w:r w:rsidRPr="00AD2B34">
        <w:t xml:space="preserve">responses to questions from the Panel prior to the first substantive meeting, </w:t>
      </w:r>
      <w:r w:rsidRPr="00955D48">
        <w:t xml:space="preserve">18 June 2020, </w:t>
      </w:r>
      <w:r>
        <w:t>question 29, p. 21.</w:t>
      </w:r>
    </w:p>
  </w:footnote>
  <w:footnote w:id="83">
    <w:p w14:paraId="4C4A9168" w14:textId="77777777" w:rsidR="000A08C1" w:rsidRPr="00C94D17" w:rsidRDefault="000A08C1" w:rsidP="004246DB">
      <w:pPr>
        <w:pStyle w:val="FootnoteText"/>
      </w:pPr>
      <w:r>
        <w:rPr>
          <w:rStyle w:val="FootnoteReference"/>
        </w:rPr>
        <w:footnoteRef/>
      </w:r>
      <w:r>
        <w:t xml:space="preserve"> Appellate Body Report, </w:t>
      </w:r>
      <w:r>
        <w:rPr>
          <w:i/>
        </w:rPr>
        <w:t>US – Wool Shirts and Blouses</w:t>
      </w:r>
      <w:r>
        <w:t xml:space="preserve">, p. 14; </w:t>
      </w:r>
      <w:r w:rsidRPr="00C94D17">
        <w:t>Appellate Body R</w:t>
      </w:r>
      <w:r>
        <w:t xml:space="preserve">eport, </w:t>
      </w:r>
      <w:r w:rsidRPr="00C94D17">
        <w:rPr>
          <w:i/>
        </w:rPr>
        <w:t>EC – Hormones</w:t>
      </w:r>
      <w:r>
        <w:t xml:space="preserve">, para. 98; Panel Report, </w:t>
      </w:r>
      <w:r w:rsidRPr="00C94D17">
        <w:rPr>
          <w:i/>
        </w:rPr>
        <w:t>Turkey – Textiles</w:t>
      </w:r>
      <w:r>
        <w:t xml:space="preserve">, para. 9.57; </w:t>
      </w:r>
      <w:r w:rsidRPr="00C94D17">
        <w:t xml:space="preserve">Panel Report, </w:t>
      </w:r>
      <w:r w:rsidRPr="00C94D17">
        <w:rPr>
          <w:i/>
        </w:rPr>
        <w:t>Argentina – Textiles and Apparel</w:t>
      </w:r>
      <w:r w:rsidRPr="00C94D17">
        <w:t>, paras. 6.34</w:t>
      </w:r>
      <w:r w:rsidRPr="00485E10">
        <w:t>–</w:t>
      </w:r>
      <w:r w:rsidRPr="00C94D17">
        <w:t>6.40.</w:t>
      </w:r>
    </w:p>
  </w:footnote>
  <w:footnote w:id="84">
    <w:p w14:paraId="63B90FBB" w14:textId="0629480C" w:rsidR="000A08C1" w:rsidRDefault="000A08C1" w:rsidP="004246DB">
      <w:pPr>
        <w:pStyle w:val="FootnoteText"/>
      </w:pPr>
      <w:r>
        <w:rPr>
          <w:rStyle w:val="FootnoteReference"/>
        </w:rPr>
        <w:footnoteRef/>
      </w:r>
      <w:r>
        <w:t xml:space="preserve"> </w:t>
      </w:r>
      <w:r w:rsidRPr="00955D48">
        <w:t>Australia's responses to Panel questions 1 to 44, 18 June 2020</w:t>
      </w:r>
      <w:r>
        <w:t>, question 43(a), para. 134.</w:t>
      </w:r>
    </w:p>
  </w:footnote>
  <w:footnote w:id="85">
    <w:p w14:paraId="4D9D67AD" w14:textId="77777777" w:rsidR="000A08C1" w:rsidRDefault="000A08C1" w:rsidP="004246DB">
      <w:pPr>
        <w:pStyle w:val="FootnoteText"/>
      </w:pPr>
      <w:r>
        <w:rPr>
          <w:rStyle w:val="FootnoteReference"/>
        </w:rPr>
        <w:footnoteRef/>
      </w:r>
      <w:r>
        <w:t xml:space="preserve"> India's first written submission, para. 132.</w:t>
      </w:r>
    </w:p>
  </w:footnote>
  <w:footnote w:id="86">
    <w:p w14:paraId="2A9F4385" w14:textId="77777777" w:rsidR="000A08C1" w:rsidRDefault="000A08C1" w:rsidP="004246DB">
      <w:pPr>
        <w:pStyle w:val="FootnoteText"/>
      </w:pPr>
      <w:r>
        <w:rPr>
          <w:rStyle w:val="FootnoteReference"/>
        </w:rPr>
        <w:footnoteRef/>
      </w:r>
      <w:r>
        <w:t xml:space="preserve"> India's first written submission, paras. 133</w:t>
      </w:r>
      <w:r w:rsidRPr="00485E10">
        <w:t>–</w:t>
      </w:r>
      <w:r>
        <w:t>145.</w:t>
      </w:r>
    </w:p>
  </w:footnote>
  <w:footnote w:id="87">
    <w:p w14:paraId="3AEE1FD5" w14:textId="77777777" w:rsidR="000A08C1" w:rsidRPr="009E0501" w:rsidRDefault="000A08C1" w:rsidP="004246DB">
      <w:pPr>
        <w:pStyle w:val="FootnoteText"/>
      </w:pPr>
      <w:r>
        <w:rPr>
          <w:rStyle w:val="FootnoteReference"/>
        </w:rPr>
        <w:footnoteRef/>
      </w:r>
      <w:r>
        <w:t xml:space="preserve"> Panel Report, </w:t>
      </w:r>
      <w:r>
        <w:rPr>
          <w:i/>
          <w:iCs/>
        </w:rPr>
        <w:t>India – Export Related Measures</w:t>
      </w:r>
      <w:r>
        <w:t>, para. 7.74.</w:t>
      </w:r>
    </w:p>
  </w:footnote>
  <w:footnote w:id="88">
    <w:p w14:paraId="5C47F20A" w14:textId="77777777" w:rsidR="000A08C1" w:rsidRDefault="000A08C1">
      <w:pPr>
        <w:pStyle w:val="FootnoteText"/>
      </w:pPr>
      <w:r>
        <w:rPr>
          <w:rStyle w:val="FootnoteReference"/>
        </w:rPr>
        <w:footnoteRef/>
      </w:r>
      <w:r>
        <w:t xml:space="preserve"> Australia's first written submission, footnote 572; India's first written submission, para.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A348" w14:textId="1598724E" w:rsidR="000A08C1" w:rsidRDefault="000A08C1" w:rsidP="000E78BF">
    <w:pPr>
      <w:pStyle w:val="Header"/>
      <w:jc w:val="right"/>
    </w:pPr>
    <w:r w:rsidRPr="00DA5381">
      <w:rPr>
        <w:i/>
        <w:iCs/>
      </w:rPr>
      <w:fldChar w:fldCharType="begin"/>
    </w:r>
    <w:r w:rsidRPr="00DA5381">
      <w:rPr>
        <w:i/>
        <w:iCs/>
      </w:rPr>
      <w:instrText xml:space="preserve"> STYLEREF  "[WTODT] WTO Dispute Title"  \* MERGEFORMAT </w:instrText>
    </w:r>
    <w:r w:rsidRPr="00DA5381">
      <w:rPr>
        <w:i/>
        <w:iCs/>
      </w:rPr>
      <w:fldChar w:fldCharType="separate"/>
    </w:r>
    <w:r w:rsidR="00C11607">
      <w:rPr>
        <w:i/>
        <w:iCs/>
        <w:noProof/>
      </w:rPr>
      <w:t>India – Measures Concerning Sugar and Sugarcane</w:t>
    </w:r>
    <w:r w:rsidRPr="00DA5381">
      <w:rPr>
        <w:i/>
        <w:iCs/>
      </w:rPr>
      <w:fldChar w:fldCharType="end"/>
    </w:r>
    <w:r>
      <w:rPr>
        <w:i/>
        <w:iCs/>
      </w:rPr>
      <w:t xml:space="preserve"> </w:t>
    </w:r>
    <w:fldSimple w:instr="STYLEREF  &quot;[DSN] DS Number&quot;  \* MERGEFORMAT">
      <w:r w:rsidR="00C11607">
        <w:rPr>
          <w:noProof/>
        </w:rPr>
        <w:t>(DS580)</w:t>
      </w:r>
    </w:fldSimple>
    <w:r>
      <w:ptab w:relativeTo="margin" w:alignment="right" w:leader="none"/>
    </w:r>
    <w:fldSimple w:instr="STYLEREF  &quot;[DD] Document Date&quot;  \* MERGEFORMAT">
      <w:r w:rsidR="00C11607">
        <w:rPr>
          <w:noProof/>
        </w:rPr>
        <w:t>8 December 2020</w:t>
      </w:r>
    </w:fldSimple>
  </w:p>
  <w:p w14:paraId="0B8EE9C2" w14:textId="23D710BB" w:rsidR="000A08C1" w:rsidRDefault="00D61A4B">
    <w:pPr>
      <w:pStyle w:val="Header"/>
      <w:rPr>
        <w:noProof/>
      </w:rPr>
    </w:pPr>
    <w:fldSimple w:instr="STYLEREF  &quot;[DT] Document Title&quot;  \* MERGEFORMAT">
      <w:r w:rsidR="00C11607">
        <w:rPr>
          <w:noProof/>
        </w:rPr>
        <w:t>Australia's Opening Statement at the First Substantive Meeting with the Parties and Third Parties</w:t>
      </w:r>
    </w:fldSimple>
    <w:r w:rsidR="000A08C1">
      <w:rPr>
        <w:noProof/>
      </w:rPr>
      <w:tab/>
    </w:r>
  </w:p>
  <w:p w14:paraId="04AA80D6" w14:textId="77777777" w:rsidR="000A08C1" w:rsidRDefault="000A08C1">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73A6" w14:textId="460F5073" w:rsidR="000A08C1" w:rsidRPr="000E78BF" w:rsidRDefault="000A08C1" w:rsidP="000E78BF">
    <w:pPr>
      <w:pStyle w:val="Header"/>
      <w:jc w:val="right"/>
      <w:rPr>
        <w:i/>
        <w:iCs/>
      </w:rPr>
    </w:pPr>
    <w:r>
      <w:rPr>
        <w:i/>
        <w:iCs/>
      </w:rPr>
      <w:t xml:space="preserve">As </w:t>
    </w:r>
    <w:r w:rsidR="00141AEA">
      <w:rPr>
        <w:i/>
        <w:iCs/>
      </w:rPr>
      <w:t>D</w:t>
    </w:r>
    <w:r>
      <w:rPr>
        <w:i/>
        <w:iCs/>
      </w:rPr>
      <w:t>elivered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43D4C"/>
    <w:multiLevelType w:val="hybridMultilevel"/>
    <w:tmpl w:val="AAAE7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28243105"/>
    <w:multiLevelType w:val="hybridMultilevel"/>
    <w:tmpl w:val="8E56E39C"/>
    <w:lvl w:ilvl="0" w:tplc="ECDA052A">
      <w:start w:val="1"/>
      <w:numFmt w:val="decimal"/>
      <w:lvlText w:val="%1."/>
      <w:lvlJc w:val="left"/>
      <w:pPr>
        <w:tabs>
          <w:tab w:val="num" w:pos="851"/>
        </w:tabs>
        <w:ind w:left="0" w:firstLine="0"/>
      </w:pPr>
      <w:rPr>
        <w:rFonts w:hint="default"/>
      </w:rPr>
    </w:lvl>
    <w:lvl w:ilvl="1" w:tplc="35D2146C">
      <w:start w:val="1"/>
      <w:numFmt w:val="bullet"/>
      <w:lvlText w:val=""/>
      <w:lvlJc w:val="left"/>
      <w:pPr>
        <w:tabs>
          <w:tab w:val="num" w:pos="1701"/>
        </w:tabs>
        <w:ind w:left="1701" w:hanging="850"/>
      </w:pPr>
      <w:rPr>
        <w:rFonts w:ascii="Symbol" w:hAnsi="Symbol"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4" w15:restartNumberingAfterBreak="0">
    <w:nsid w:val="524D161B"/>
    <w:multiLevelType w:val="hybridMultilevel"/>
    <w:tmpl w:val="A6E666A2"/>
    <w:lvl w:ilvl="0" w:tplc="E3AE501C">
      <w:start w:val="1"/>
      <w:numFmt w:val="decimal"/>
      <w:lvlText w:val="%1."/>
      <w:lvlJc w:val="left"/>
      <w:pPr>
        <w:ind w:left="360" w:hanging="360"/>
      </w:pPr>
      <w:rPr>
        <w:rFonts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5D1099"/>
    <w:multiLevelType w:val="multilevel"/>
    <w:tmpl w:val="F8965E90"/>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6"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num>
  <w:num w:numId="4">
    <w:abstractNumId w:val="0"/>
  </w:num>
  <w:num w:numId="5">
    <w:abstractNumId w:val="6"/>
  </w:num>
  <w:num w:numId="6">
    <w:abstractNumId w:val="5"/>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3"/>
  </w:num>
  <w:num w:numId="14">
    <w:abstractNumId w:val="2"/>
  </w:num>
  <w:num w:numId="15">
    <w:abstractNumId w:val="2"/>
  </w:num>
  <w:num w:numId="16">
    <w:abstractNumId w:val="2"/>
  </w:num>
  <w:num w:numId="17">
    <w:abstractNumId w:val="3"/>
  </w:num>
  <w:num w:numId="18">
    <w:abstractNumId w:val="3"/>
  </w:num>
  <w:num w:numId="19">
    <w:abstractNumId w:val="4"/>
  </w:num>
  <w:num w:numId="20">
    <w:abstractNumId w:val="1"/>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851"/>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F3"/>
    <w:rsid w:val="0000033C"/>
    <w:rsid w:val="00002589"/>
    <w:rsid w:val="00004009"/>
    <w:rsid w:val="000041E6"/>
    <w:rsid w:val="00006269"/>
    <w:rsid w:val="00007A55"/>
    <w:rsid w:val="000110C9"/>
    <w:rsid w:val="000113B6"/>
    <w:rsid w:val="00011463"/>
    <w:rsid w:val="00011575"/>
    <w:rsid w:val="0001169E"/>
    <w:rsid w:val="00012C3F"/>
    <w:rsid w:val="00012F27"/>
    <w:rsid w:val="00013F6E"/>
    <w:rsid w:val="000163B8"/>
    <w:rsid w:val="00020784"/>
    <w:rsid w:val="00022AFA"/>
    <w:rsid w:val="00023C47"/>
    <w:rsid w:val="00024A59"/>
    <w:rsid w:val="00025483"/>
    <w:rsid w:val="000256D7"/>
    <w:rsid w:val="00027A1C"/>
    <w:rsid w:val="00030A32"/>
    <w:rsid w:val="00031577"/>
    <w:rsid w:val="00037A45"/>
    <w:rsid w:val="00037AA9"/>
    <w:rsid w:val="00040482"/>
    <w:rsid w:val="0004239D"/>
    <w:rsid w:val="000423AE"/>
    <w:rsid w:val="0004261B"/>
    <w:rsid w:val="00042ACB"/>
    <w:rsid w:val="000452C3"/>
    <w:rsid w:val="000453F8"/>
    <w:rsid w:val="00046BAF"/>
    <w:rsid w:val="000524DB"/>
    <w:rsid w:val="00052F98"/>
    <w:rsid w:val="00056412"/>
    <w:rsid w:val="00056414"/>
    <w:rsid w:val="00056B07"/>
    <w:rsid w:val="00057545"/>
    <w:rsid w:val="00061966"/>
    <w:rsid w:val="0006244B"/>
    <w:rsid w:val="000625F2"/>
    <w:rsid w:val="000636D5"/>
    <w:rsid w:val="00063946"/>
    <w:rsid w:val="00063F9C"/>
    <w:rsid w:val="00064AA6"/>
    <w:rsid w:val="00064BE5"/>
    <w:rsid w:val="00065F32"/>
    <w:rsid w:val="000662B0"/>
    <w:rsid w:val="000716BD"/>
    <w:rsid w:val="00071DC6"/>
    <w:rsid w:val="00071FB8"/>
    <w:rsid w:val="000726D9"/>
    <w:rsid w:val="0007327B"/>
    <w:rsid w:val="00074E32"/>
    <w:rsid w:val="000778C6"/>
    <w:rsid w:val="00077A6B"/>
    <w:rsid w:val="00077B0E"/>
    <w:rsid w:val="000802F1"/>
    <w:rsid w:val="00081602"/>
    <w:rsid w:val="000816E8"/>
    <w:rsid w:val="00081876"/>
    <w:rsid w:val="00081B02"/>
    <w:rsid w:val="00082549"/>
    <w:rsid w:val="00084000"/>
    <w:rsid w:val="00084636"/>
    <w:rsid w:val="0008763D"/>
    <w:rsid w:val="00090F4F"/>
    <w:rsid w:val="00093175"/>
    <w:rsid w:val="000943D6"/>
    <w:rsid w:val="000950D2"/>
    <w:rsid w:val="000967A0"/>
    <w:rsid w:val="00097B1D"/>
    <w:rsid w:val="000A08C1"/>
    <w:rsid w:val="000A0FFD"/>
    <w:rsid w:val="000A1E5A"/>
    <w:rsid w:val="000A4C3B"/>
    <w:rsid w:val="000A53FE"/>
    <w:rsid w:val="000A69EE"/>
    <w:rsid w:val="000A6A79"/>
    <w:rsid w:val="000B0A46"/>
    <w:rsid w:val="000B2A7B"/>
    <w:rsid w:val="000B452E"/>
    <w:rsid w:val="000B5143"/>
    <w:rsid w:val="000B7E52"/>
    <w:rsid w:val="000C14F5"/>
    <w:rsid w:val="000C2B62"/>
    <w:rsid w:val="000C2B64"/>
    <w:rsid w:val="000C52B0"/>
    <w:rsid w:val="000C62F1"/>
    <w:rsid w:val="000C6429"/>
    <w:rsid w:val="000C69EE"/>
    <w:rsid w:val="000C6B10"/>
    <w:rsid w:val="000D0C99"/>
    <w:rsid w:val="000D1573"/>
    <w:rsid w:val="000D1BBC"/>
    <w:rsid w:val="000D1E9B"/>
    <w:rsid w:val="000D25F8"/>
    <w:rsid w:val="000D5381"/>
    <w:rsid w:val="000E0961"/>
    <w:rsid w:val="000E464B"/>
    <w:rsid w:val="000E485B"/>
    <w:rsid w:val="000E6D87"/>
    <w:rsid w:val="000E78BF"/>
    <w:rsid w:val="000F4301"/>
    <w:rsid w:val="000F4B08"/>
    <w:rsid w:val="000F5958"/>
    <w:rsid w:val="000F5B3D"/>
    <w:rsid w:val="001001DF"/>
    <w:rsid w:val="00100823"/>
    <w:rsid w:val="00100EA5"/>
    <w:rsid w:val="0010128F"/>
    <w:rsid w:val="001018CF"/>
    <w:rsid w:val="001024B2"/>
    <w:rsid w:val="001030E7"/>
    <w:rsid w:val="001037E4"/>
    <w:rsid w:val="001048C6"/>
    <w:rsid w:val="00105DA7"/>
    <w:rsid w:val="00106E49"/>
    <w:rsid w:val="00112F94"/>
    <w:rsid w:val="00113854"/>
    <w:rsid w:val="001141F1"/>
    <w:rsid w:val="0011547E"/>
    <w:rsid w:val="00117112"/>
    <w:rsid w:val="0011714F"/>
    <w:rsid w:val="00120CFF"/>
    <w:rsid w:val="001210EA"/>
    <w:rsid w:val="0012151F"/>
    <w:rsid w:val="00121922"/>
    <w:rsid w:val="001234D2"/>
    <w:rsid w:val="00124BF4"/>
    <w:rsid w:val="00125B28"/>
    <w:rsid w:val="00126C11"/>
    <w:rsid w:val="001279AF"/>
    <w:rsid w:val="00131F63"/>
    <w:rsid w:val="00134F15"/>
    <w:rsid w:val="00135C6E"/>
    <w:rsid w:val="00136C5B"/>
    <w:rsid w:val="00140DFE"/>
    <w:rsid w:val="0014131C"/>
    <w:rsid w:val="00141AEA"/>
    <w:rsid w:val="00142B52"/>
    <w:rsid w:val="0014457F"/>
    <w:rsid w:val="00144DB4"/>
    <w:rsid w:val="001456F3"/>
    <w:rsid w:val="001477DE"/>
    <w:rsid w:val="001500AF"/>
    <w:rsid w:val="00153133"/>
    <w:rsid w:val="00154BDE"/>
    <w:rsid w:val="001559AB"/>
    <w:rsid w:val="001567B5"/>
    <w:rsid w:val="00156A79"/>
    <w:rsid w:val="001570CB"/>
    <w:rsid w:val="00164F5C"/>
    <w:rsid w:val="00165108"/>
    <w:rsid w:val="00165B42"/>
    <w:rsid w:val="0016654B"/>
    <w:rsid w:val="00170D56"/>
    <w:rsid w:val="0017192E"/>
    <w:rsid w:val="0017403A"/>
    <w:rsid w:val="0017470C"/>
    <w:rsid w:val="00176E7E"/>
    <w:rsid w:val="00180D10"/>
    <w:rsid w:val="00182727"/>
    <w:rsid w:val="00184E5B"/>
    <w:rsid w:val="001851C9"/>
    <w:rsid w:val="00185CD3"/>
    <w:rsid w:val="0019254A"/>
    <w:rsid w:val="00193658"/>
    <w:rsid w:val="001944CE"/>
    <w:rsid w:val="001961A6"/>
    <w:rsid w:val="001966C9"/>
    <w:rsid w:val="00197813"/>
    <w:rsid w:val="001A0FD3"/>
    <w:rsid w:val="001A1820"/>
    <w:rsid w:val="001A3A9D"/>
    <w:rsid w:val="001A41B7"/>
    <w:rsid w:val="001A51F0"/>
    <w:rsid w:val="001A521C"/>
    <w:rsid w:val="001A6211"/>
    <w:rsid w:val="001A6BD1"/>
    <w:rsid w:val="001A6E95"/>
    <w:rsid w:val="001A72A6"/>
    <w:rsid w:val="001B02F4"/>
    <w:rsid w:val="001B0ED1"/>
    <w:rsid w:val="001B1983"/>
    <w:rsid w:val="001B2130"/>
    <w:rsid w:val="001B32DF"/>
    <w:rsid w:val="001B6EC7"/>
    <w:rsid w:val="001C0135"/>
    <w:rsid w:val="001C11A0"/>
    <w:rsid w:val="001C344C"/>
    <w:rsid w:val="001C7828"/>
    <w:rsid w:val="001D1D49"/>
    <w:rsid w:val="001D1DE8"/>
    <w:rsid w:val="001D3591"/>
    <w:rsid w:val="001D607C"/>
    <w:rsid w:val="001D6452"/>
    <w:rsid w:val="001D6F3F"/>
    <w:rsid w:val="001E0154"/>
    <w:rsid w:val="001E40F8"/>
    <w:rsid w:val="001E4465"/>
    <w:rsid w:val="001E63C5"/>
    <w:rsid w:val="001F011A"/>
    <w:rsid w:val="001F1A33"/>
    <w:rsid w:val="001F3DF8"/>
    <w:rsid w:val="001F46B7"/>
    <w:rsid w:val="00200CE9"/>
    <w:rsid w:val="00201C0F"/>
    <w:rsid w:val="0020457D"/>
    <w:rsid w:val="00205A10"/>
    <w:rsid w:val="00205FEF"/>
    <w:rsid w:val="002062CF"/>
    <w:rsid w:val="002070FA"/>
    <w:rsid w:val="002074D5"/>
    <w:rsid w:val="00207B11"/>
    <w:rsid w:val="002103B3"/>
    <w:rsid w:val="00211219"/>
    <w:rsid w:val="002114B5"/>
    <w:rsid w:val="00212CBA"/>
    <w:rsid w:val="00214421"/>
    <w:rsid w:val="002152DF"/>
    <w:rsid w:val="002224D2"/>
    <w:rsid w:val="002259FB"/>
    <w:rsid w:val="00227586"/>
    <w:rsid w:val="00230197"/>
    <w:rsid w:val="00231AA7"/>
    <w:rsid w:val="0023272D"/>
    <w:rsid w:val="00233E5C"/>
    <w:rsid w:val="00233FBB"/>
    <w:rsid w:val="002341FE"/>
    <w:rsid w:val="0023427E"/>
    <w:rsid w:val="002347DF"/>
    <w:rsid w:val="00236035"/>
    <w:rsid w:val="002377FF"/>
    <w:rsid w:val="00245FA1"/>
    <w:rsid w:val="00246B30"/>
    <w:rsid w:val="00246B62"/>
    <w:rsid w:val="00252B22"/>
    <w:rsid w:val="00253CD9"/>
    <w:rsid w:val="00254238"/>
    <w:rsid w:val="00255524"/>
    <w:rsid w:val="0025605E"/>
    <w:rsid w:val="002563F7"/>
    <w:rsid w:val="00257AD0"/>
    <w:rsid w:val="002603E6"/>
    <w:rsid w:val="0026128E"/>
    <w:rsid w:val="00261987"/>
    <w:rsid w:val="00261EC3"/>
    <w:rsid w:val="00263F70"/>
    <w:rsid w:val="00264245"/>
    <w:rsid w:val="00264278"/>
    <w:rsid w:val="00264EA4"/>
    <w:rsid w:val="00271932"/>
    <w:rsid w:val="00272EB9"/>
    <w:rsid w:val="002732D3"/>
    <w:rsid w:val="002753D9"/>
    <w:rsid w:val="00277275"/>
    <w:rsid w:val="0027731C"/>
    <w:rsid w:val="002774D9"/>
    <w:rsid w:val="00277A43"/>
    <w:rsid w:val="0028064D"/>
    <w:rsid w:val="002818AD"/>
    <w:rsid w:val="00283DB2"/>
    <w:rsid w:val="002845C9"/>
    <w:rsid w:val="00284672"/>
    <w:rsid w:val="00286F29"/>
    <w:rsid w:val="00290FC3"/>
    <w:rsid w:val="00291551"/>
    <w:rsid w:val="002922E8"/>
    <w:rsid w:val="00293F3F"/>
    <w:rsid w:val="00294777"/>
    <w:rsid w:val="00296BF5"/>
    <w:rsid w:val="00297218"/>
    <w:rsid w:val="002A0B9D"/>
    <w:rsid w:val="002A0EFD"/>
    <w:rsid w:val="002A2078"/>
    <w:rsid w:val="002A2160"/>
    <w:rsid w:val="002A2D12"/>
    <w:rsid w:val="002A315C"/>
    <w:rsid w:val="002A3D88"/>
    <w:rsid w:val="002A4E55"/>
    <w:rsid w:val="002A693D"/>
    <w:rsid w:val="002A71A1"/>
    <w:rsid w:val="002A7301"/>
    <w:rsid w:val="002A7A5D"/>
    <w:rsid w:val="002B027A"/>
    <w:rsid w:val="002B1F7F"/>
    <w:rsid w:val="002B3B83"/>
    <w:rsid w:val="002B3D05"/>
    <w:rsid w:val="002C1161"/>
    <w:rsid w:val="002C2E7A"/>
    <w:rsid w:val="002C352D"/>
    <w:rsid w:val="002C392A"/>
    <w:rsid w:val="002C705B"/>
    <w:rsid w:val="002C76A8"/>
    <w:rsid w:val="002D13E4"/>
    <w:rsid w:val="002D21C0"/>
    <w:rsid w:val="002D44F3"/>
    <w:rsid w:val="002D47EC"/>
    <w:rsid w:val="002E01D1"/>
    <w:rsid w:val="002E4A38"/>
    <w:rsid w:val="002E64DB"/>
    <w:rsid w:val="002E6B86"/>
    <w:rsid w:val="002E78A9"/>
    <w:rsid w:val="002E7E7C"/>
    <w:rsid w:val="002F1025"/>
    <w:rsid w:val="002F11C2"/>
    <w:rsid w:val="002F3235"/>
    <w:rsid w:val="002F376E"/>
    <w:rsid w:val="002F433F"/>
    <w:rsid w:val="002F4611"/>
    <w:rsid w:val="002F5E87"/>
    <w:rsid w:val="00300305"/>
    <w:rsid w:val="003005A3"/>
    <w:rsid w:val="003013AA"/>
    <w:rsid w:val="00303165"/>
    <w:rsid w:val="003042CD"/>
    <w:rsid w:val="00307051"/>
    <w:rsid w:val="0031054B"/>
    <w:rsid w:val="00310AEF"/>
    <w:rsid w:val="0031106C"/>
    <w:rsid w:val="00311528"/>
    <w:rsid w:val="00312BC2"/>
    <w:rsid w:val="00314365"/>
    <w:rsid w:val="00323A65"/>
    <w:rsid w:val="00323D58"/>
    <w:rsid w:val="00324E86"/>
    <w:rsid w:val="00327213"/>
    <w:rsid w:val="003274C5"/>
    <w:rsid w:val="003278A1"/>
    <w:rsid w:val="003304F5"/>
    <w:rsid w:val="00330582"/>
    <w:rsid w:val="0033074F"/>
    <w:rsid w:val="003346B4"/>
    <w:rsid w:val="00335573"/>
    <w:rsid w:val="0034182B"/>
    <w:rsid w:val="003428CB"/>
    <w:rsid w:val="00343C7D"/>
    <w:rsid w:val="003447D5"/>
    <w:rsid w:val="00346F6C"/>
    <w:rsid w:val="00352AEC"/>
    <w:rsid w:val="00352B2D"/>
    <w:rsid w:val="0035302B"/>
    <w:rsid w:val="0035445D"/>
    <w:rsid w:val="00354A06"/>
    <w:rsid w:val="00355394"/>
    <w:rsid w:val="00355929"/>
    <w:rsid w:val="003605DE"/>
    <w:rsid w:val="00360B5E"/>
    <w:rsid w:val="0036183C"/>
    <w:rsid w:val="003621C2"/>
    <w:rsid w:val="00362F7B"/>
    <w:rsid w:val="00363188"/>
    <w:rsid w:val="0036328F"/>
    <w:rsid w:val="00363605"/>
    <w:rsid w:val="00365D67"/>
    <w:rsid w:val="00366511"/>
    <w:rsid w:val="00366B4C"/>
    <w:rsid w:val="00370697"/>
    <w:rsid w:val="00371790"/>
    <w:rsid w:val="00372BA0"/>
    <w:rsid w:val="0037409B"/>
    <w:rsid w:val="00375836"/>
    <w:rsid w:val="003777AB"/>
    <w:rsid w:val="00380306"/>
    <w:rsid w:val="0038031E"/>
    <w:rsid w:val="00380454"/>
    <w:rsid w:val="00380795"/>
    <w:rsid w:val="00381EA2"/>
    <w:rsid w:val="00383A50"/>
    <w:rsid w:val="00383E2D"/>
    <w:rsid w:val="0038591D"/>
    <w:rsid w:val="00385F9A"/>
    <w:rsid w:val="00390543"/>
    <w:rsid w:val="00390C91"/>
    <w:rsid w:val="003916FE"/>
    <w:rsid w:val="0039224F"/>
    <w:rsid w:val="00392949"/>
    <w:rsid w:val="0039316A"/>
    <w:rsid w:val="00393A89"/>
    <w:rsid w:val="00393AF3"/>
    <w:rsid w:val="0039431B"/>
    <w:rsid w:val="00396B82"/>
    <w:rsid w:val="003A10EE"/>
    <w:rsid w:val="003A123D"/>
    <w:rsid w:val="003A1287"/>
    <w:rsid w:val="003A13FC"/>
    <w:rsid w:val="003A1917"/>
    <w:rsid w:val="003A387D"/>
    <w:rsid w:val="003A3FC2"/>
    <w:rsid w:val="003A3FC8"/>
    <w:rsid w:val="003A4322"/>
    <w:rsid w:val="003A4A00"/>
    <w:rsid w:val="003A550B"/>
    <w:rsid w:val="003A56A4"/>
    <w:rsid w:val="003A5EE8"/>
    <w:rsid w:val="003B0FF6"/>
    <w:rsid w:val="003B2A70"/>
    <w:rsid w:val="003B64DF"/>
    <w:rsid w:val="003B660D"/>
    <w:rsid w:val="003C01FB"/>
    <w:rsid w:val="003C1D93"/>
    <w:rsid w:val="003C3BE9"/>
    <w:rsid w:val="003C5D79"/>
    <w:rsid w:val="003C62FA"/>
    <w:rsid w:val="003C7AC6"/>
    <w:rsid w:val="003C7FF8"/>
    <w:rsid w:val="003D516D"/>
    <w:rsid w:val="003D6A2B"/>
    <w:rsid w:val="003D6CCF"/>
    <w:rsid w:val="003D6CFD"/>
    <w:rsid w:val="003D6D4D"/>
    <w:rsid w:val="003E046F"/>
    <w:rsid w:val="003E1608"/>
    <w:rsid w:val="003E29B4"/>
    <w:rsid w:val="003E376E"/>
    <w:rsid w:val="003E5DF1"/>
    <w:rsid w:val="003E6D0C"/>
    <w:rsid w:val="003F0260"/>
    <w:rsid w:val="003F15F8"/>
    <w:rsid w:val="003F2C72"/>
    <w:rsid w:val="003F46AD"/>
    <w:rsid w:val="003F4F64"/>
    <w:rsid w:val="003F5660"/>
    <w:rsid w:val="003F6017"/>
    <w:rsid w:val="003F6A10"/>
    <w:rsid w:val="003F7A7F"/>
    <w:rsid w:val="0040108F"/>
    <w:rsid w:val="00404867"/>
    <w:rsid w:val="004056D4"/>
    <w:rsid w:val="00410074"/>
    <w:rsid w:val="0041029C"/>
    <w:rsid w:val="00411D4C"/>
    <w:rsid w:val="00412248"/>
    <w:rsid w:val="00412B95"/>
    <w:rsid w:val="00414540"/>
    <w:rsid w:val="00414E0E"/>
    <w:rsid w:val="00415379"/>
    <w:rsid w:val="00417E5B"/>
    <w:rsid w:val="0042016E"/>
    <w:rsid w:val="00420443"/>
    <w:rsid w:val="00423FFF"/>
    <w:rsid w:val="004246DB"/>
    <w:rsid w:val="00424F7F"/>
    <w:rsid w:val="00427CA4"/>
    <w:rsid w:val="00432EBA"/>
    <w:rsid w:val="00433157"/>
    <w:rsid w:val="00433AEE"/>
    <w:rsid w:val="00434A01"/>
    <w:rsid w:val="00434A4C"/>
    <w:rsid w:val="004378C8"/>
    <w:rsid w:val="00437ED1"/>
    <w:rsid w:val="004403A9"/>
    <w:rsid w:val="0044330B"/>
    <w:rsid w:val="00443339"/>
    <w:rsid w:val="00445964"/>
    <w:rsid w:val="00445CBE"/>
    <w:rsid w:val="004524CE"/>
    <w:rsid w:val="004532C9"/>
    <w:rsid w:val="00453C6C"/>
    <w:rsid w:val="00454A8F"/>
    <w:rsid w:val="00460477"/>
    <w:rsid w:val="00460B6C"/>
    <w:rsid w:val="00461854"/>
    <w:rsid w:val="00462188"/>
    <w:rsid w:val="0046589E"/>
    <w:rsid w:val="00470E8D"/>
    <w:rsid w:val="0047368A"/>
    <w:rsid w:val="00473B50"/>
    <w:rsid w:val="004744D0"/>
    <w:rsid w:val="004746BA"/>
    <w:rsid w:val="00477519"/>
    <w:rsid w:val="0047778B"/>
    <w:rsid w:val="004806F8"/>
    <w:rsid w:val="00481DFA"/>
    <w:rsid w:val="004826FB"/>
    <w:rsid w:val="004852BE"/>
    <w:rsid w:val="00485E10"/>
    <w:rsid w:val="00486CC7"/>
    <w:rsid w:val="004876A9"/>
    <w:rsid w:val="004903C9"/>
    <w:rsid w:val="004908C9"/>
    <w:rsid w:val="004916DD"/>
    <w:rsid w:val="004934CB"/>
    <w:rsid w:val="00494FF5"/>
    <w:rsid w:val="00495029"/>
    <w:rsid w:val="00497007"/>
    <w:rsid w:val="004A11CF"/>
    <w:rsid w:val="004A4DE6"/>
    <w:rsid w:val="004A5CE5"/>
    <w:rsid w:val="004A7261"/>
    <w:rsid w:val="004B0F06"/>
    <w:rsid w:val="004B0F13"/>
    <w:rsid w:val="004B0F1D"/>
    <w:rsid w:val="004C085A"/>
    <w:rsid w:val="004C0D8E"/>
    <w:rsid w:val="004C2A0A"/>
    <w:rsid w:val="004C2ADB"/>
    <w:rsid w:val="004C335E"/>
    <w:rsid w:val="004C3C77"/>
    <w:rsid w:val="004C3E28"/>
    <w:rsid w:val="004D0832"/>
    <w:rsid w:val="004D08DE"/>
    <w:rsid w:val="004D2C9E"/>
    <w:rsid w:val="004D3F24"/>
    <w:rsid w:val="004D6BFA"/>
    <w:rsid w:val="004D7079"/>
    <w:rsid w:val="004D71D6"/>
    <w:rsid w:val="004D760B"/>
    <w:rsid w:val="004D7C3F"/>
    <w:rsid w:val="004E3561"/>
    <w:rsid w:val="004E6E9B"/>
    <w:rsid w:val="004E78EC"/>
    <w:rsid w:val="004E7E10"/>
    <w:rsid w:val="004F1423"/>
    <w:rsid w:val="004F2538"/>
    <w:rsid w:val="004F5397"/>
    <w:rsid w:val="004F7131"/>
    <w:rsid w:val="004F7FC6"/>
    <w:rsid w:val="0050080F"/>
    <w:rsid w:val="005012D0"/>
    <w:rsid w:val="0050210D"/>
    <w:rsid w:val="00502582"/>
    <w:rsid w:val="00502792"/>
    <w:rsid w:val="00503D30"/>
    <w:rsid w:val="00503DE9"/>
    <w:rsid w:val="0050540D"/>
    <w:rsid w:val="00505CB1"/>
    <w:rsid w:val="00506331"/>
    <w:rsid w:val="0050782B"/>
    <w:rsid w:val="005100C7"/>
    <w:rsid w:val="005101EE"/>
    <w:rsid w:val="00513A57"/>
    <w:rsid w:val="00514464"/>
    <w:rsid w:val="00514F82"/>
    <w:rsid w:val="0052049F"/>
    <w:rsid w:val="00521A13"/>
    <w:rsid w:val="00522A83"/>
    <w:rsid w:val="00524EC8"/>
    <w:rsid w:val="00525702"/>
    <w:rsid w:val="00525BF7"/>
    <w:rsid w:val="00525CB3"/>
    <w:rsid w:val="005261B4"/>
    <w:rsid w:val="00527264"/>
    <w:rsid w:val="0053012A"/>
    <w:rsid w:val="00530C48"/>
    <w:rsid w:val="00530D29"/>
    <w:rsid w:val="005312F4"/>
    <w:rsid w:val="00532626"/>
    <w:rsid w:val="00533238"/>
    <w:rsid w:val="005349AA"/>
    <w:rsid w:val="00534DD0"/>
    <w:rsid w:val="00534E91"/>
    <w:rsid w:val="00535283"/>
    <w:rsid w:val="005359EF"/>
    <w:rsid w:val="00536BB0"/>
    <w:rsid w:val="005373A1"/>
    <w:rsid w:val="005409DA"/>
    <w:rsid w:val="00541174"/>
    <w:rsid w:val="00541B0E"/>
    <w:rsid w:val="00542306"/>
    <w:rsid w:val="00543EC7"/>
    <w:rsid w:val="00544D24"/>
    <w:rsid w:val="0054720A"/>
    <w:rsid w:val="00547F08"/>
    <w:rsid w:val="00550AB6"/>
    <w:rsid w:val="0055398C"/>
    <w:rsid w:val="005541B3"/>
    <w:rsid w:val="00555BE6"/>
    <w:rsid w:val="00556DA7"/>
    <w:rsid w:val="00557088"/>
    <w:rsid w:val="00560140"/>
    <w:rsid w:val="00560B57"/>
    <w:rsid w:val="00560EA6"/>
    <w:rsid w:val="00561526"/>
    <w:rsid w:val="005617F9"/>
    <w:rsid w:val="00564372"/>
    <w:rsid w:val="00564620"/>
    <w:rsid w:val="0056498F"/>
    <w:rsid w:val="005661A3"/>
    <w:rsid w:val="005669A4"/>
    <w:rsid w:val="00566F8E"/>
    <w:rsid w:val="005714C3"/>
    <w:rsid w:val="00571AB1"/>
    <w:rsid w:val="0057242A"/>
    <w:rsid w:val="0057391D"/>
    <w:rsid w:val="00574524"/>
    <w:rsid w:val="005749CA"/>
    <w:rsid w:val="005754B3"/>
    <w:rsid w:val="00582075"/>
    <w:rsid w:val="005837BF"/>
    <w:rsid w:val="00583BAA"/>
    <w:rsid w:val="00584B13"/>
    <w:rsid w:val="00584BAD"/>
    <w:rsid w:val="00584F85"/>
    <w:rsid w:val="0058590A"/>
    <w:rsid w:val="00586647"/>
    <w:rsid w:val="00586F80"/>
    <w:rsid w:val="00587A0D"/>
    <w:rsid w:val="005945A5"/>
    <w:rsid w:val="00595189"/>
    <w:rsid w:val="005A759E"/>
    <w:rsid w:val="005B061A"/>
    <w:rsid w:val="005B5821"/>
    <w:rsid w:val="005B6710"/>
    <w:rsid w:val="005B6779"/>
    <w:rsid w:val="005B6BBF"/>
    <w:rsid w:val="005B7566"/>
    <w:rsid w:val="005C07DC"/>
    <w:rsid w:val="005C0E21"/>
    <w:rsid w:val="005C2AF1"/>
    <w:rsid w:val="005C481B"/>
    <w:rsid w:val="005D01CA"/>
    <w:rsid w:val="005D0800"/>
    <w:rsid w:val="005D4C82"/>
    <w:rsid w:val="005D5A61"/>
    <w:rsid w:val="005D5F28"/>
    <w:rsid w:val="005D677C"/>
    <w:rsid w:val="005D6D21"/>
    <w:rsid w:val="005D6E29"/>
    <w:rsid w:val="005E065F"/>
    <w:rsid w:val="005E4300"/>
    <w:rsid w:val="005E4451"/>
    <w:rsid w:val="005E5137"/>
    <w:rsid w:val="005E66D1"/>
    <w:rsid w:val="005E6A4E"/>
    <w:rsid w:val="005E6AC1"/>
    <w:rsid w:val="005E7AAB"/>
    <w:rsid w:val="005E7CD7"/>
    <w:rsid w:val="005F0315"/>
    <w:rsid w:val="005F0DD5"/>
    <w:rsid w:val="005F1C11"/>
    <w:rsid w:val="005F4454"/>
    <w:rsid w:val="005F498A"/>
    <w:rsid w:val="005F5181"/>
    <w:rsid w:val="005F693D"/>
    <w:rsid w:val="005F72C6"/>
    <w:rsid w:val="005F77B7"/>
    <w:rsid w:val="00601477"/>
    <w:rsid w:val="0060259A"/>
    <w:rsid w:val="00604924"/>
    <w:rsid w:val="006068C2"/>
    <w:rsid w:val="00613D6A"/>
    <w:rsid w:val="00614548"/>
    <w:rsid w:val="006158E5"/>
    <w:rsid w:val="0062041F"/>
    <w:rsid w:val="006220E2"/>
    <w:rsid w:val="00622C4D"/>
    <w:rsid w:val="0062714F"/>
    <w:rsid w:val="0063069D"/>
    <w:rsid w:val="00631B90"/>
    <w:rsid w:val="00631C3B"/>
    <w:rsid w:val="00633830"/>
    <w:rsid w:val="00633B93"/>
    <w:rsid w:val="006340BE"/>
    <w:rsid w:val="00635FD9"/>
    <w:rsid w:val="00636608"/>
    <w:rsid w:val="006429BB"/>
    <w:rsid w:val="00642A33"/>
    <w:rsid w:val="00642ACE"/>
    <w:rsid w:val="00644C2C"/>
    <w:rsid w:val="00646EAF"/>
    <w:rsid w:val="0064716C"/>
    <w:rsid w:val="006505D7"/>
    <w:rsid w:val="006539F1"/>
    <w:rsid w:val="00653A61"/>
    <w:rsid w:val="006550D0"/>
    <w:rsid w:val="0065748A"/>
    <w:rsid w:val="00657712"/>
    <w:rsid w:val="006630AE"/>
    <w:rsid w:val="00663F12"/>
    <w:rsid w:val="00666321"/>
    <w:rsid w:val="006667C2"/>
    <w:rsid w:val="0066725E"/>
    <w:rsid w:val="00670656"/>
    <w:rsid w:val="00671D1C"/>
    <w:rsid w:val="0067289D"/>
    <w:rsid w:val="00675218"/>
    <w:rsid w:val="006761E4"/>
    <w:rsid w:val="00676A2F"/>
    <w:rsid w:val="006778A5"/>
    <w:rsid w:val="00677EDD"/>
    <w:rsid w:val="006812B5"/>
    <w:rsid w:val="00682052"/>
    <w:rsid w:val="00682B3D"/>
    <w:rsid w:val="00683420"/>
    <w:rsid w:val="006842B8"/>
    <w:rsid w:val="00686169"/>
    <w:rsid w:val="0068684E"/>
    <w:rsid w:val="00687324"/>
    <w:rsid w:val="006874C0"/>
    <w:rsid w:val="006875BD"/>
    <w:rsid w:val="00691022"/>
    <w:rsid w:val="0069103D"/>
    <w:rsid w:val="00693782"/>
    <w:rsid w:val="006948B3"/>
    <w:rsid w:val="00694EC5"/>
    <w:rsid w:val="00695D05"/>
    <w:rsid w:val="0069677A"/>
    <w:rsid w:val="00696D3C"/>
    <w:rsid w:val="00696EA2"/>
    <w:rsid w:val="00697AE4"/>
    <w:rsid w:val="006A0221"/>
    <w:rsid w:val="006A0C6D"/>
    <w:rsid w:val="006A1585"/>
    <w:rsid w:val="006A5629"/>
    <w:rsid w:val="006A653C"/>
    <w:rsid w:val="006A67E2"/>
    <w:rsid w:val="006A7372"/>
    <w:rsid w:val="006A7569"/>
    <w:rsid w:val="006B1C2E"/>
    <w:rsid w:val="006B1C9A"/>
    <w:rsid w:val="006B2512"/>
    <w:rsid w:val="006B3532"/>
    <w:rsid w:val="006B3D02"/>
    <w:rsid w:val="006B5117"/>
    <w:rsid w:val="006B5490"/>
    <w:rsid w:val="006B6242"/>
    <w:rsid w:val="006B7B6B"/>
    <w:rsid w:val="006C043D"/>
    <w:rsid w:val="006C10AB"/>
    <w:rsid w:val="006C1D90"/>
    <w:rsid w:val="006C210E"/>
    <w:rsid w:val="006C2D0A"/>
    <w:rsid w:val="006C4FF1"/>
    <w:rsid w:val="006C68EC"/>
    <w:rsid w:val="006D1491"/>
    <w:rsid w:val="006D1B97"/>
    <w:rsid w:val="006E2F9F"/>
    <w:rsid w:val="006E314A"/>
    <w:rsid w:val="006E5D91"/>
    <w:rsid w:val="006F0321"/>
    <w:rsid w:val="006F189E"/>
    <w:rsid w:val="006F1CC8"/>
    <w:rsid w:val="006F2DB6"/>
    <w:rsid w:val="006F3DCB"/>
    <w:rsid w:val="006F5613"/>
    <w:rsid w:val="006F6B78"/>
    <w:rsid w:val="006F7F24"/>
    <w:rsid w:val="0070097F"/>
    <w:rsid w:val="00701992"/>
    <w:rsid w:val="00701EB8"/>
    <w:rsid w:val="0070455A"/>
    <w:rsid w:val="0070652A"/>
    <w:rsid w:val="00706CC5"/>
    <w:rsid w:val="00706E5D"/>
    <w:rsid w:val="00707371"/>
    <w:rsid w:val="00707B5E"/>
    <w:rsid w:val="00713CF3"/>
    <w:rsid w:val="00715B0D"/>
    <w:rsid w:val="00715D8C"/>
    <w:rsid w:val="00715DA6"/>
    <w:rsid w:val="00716036"/>
    <w:rsid w:val="00716198"/>
    <w:rsid w:val="00718E30"/>
    <w:rsid w:val="007218D2"/>
    <w:rsid w:val="00722788"/>
    <w:rsid w:val="00725447"/>
    <w:rsid w:val="00726374"/>
    <w:rsid w:val="00726877"/>
    <w:rsid w:val="00727580"/>
    <w:rsid w:val="007348E4"/>
    <w:rsid w:val="00734BD1"/>
    <w:rsid w:val="00740B8D"/>
    <w:rsid w:val="0074135F"/>
    <w:rsid w:val="0074613E"/>
    <w:rsid w:val="00750C27"/>
    <w:rsid w:val="00750E81"/>
    <w:rsid w:val="00751949"/>
    <w:rsid w:val="00752167"/>
    <w:rsid w:val="00752834"/>
    <w:rsid w:val="007535FE"/>
    <w:rsid w:val="0075624E"/>
    <w:rsid w:val="00757323"/>
    <w:rsid w:val="007576F5"/>
    <w:rsid w:val="0076138F"/>
    <w:rsid w:val="00762EAC"/>
    <w:rsid w:val="007630FC"/>
    <w:rsid w:val="0076488C"/>
    <w:rsid w:val="00764C16"/>
    <w:rsid w:val="0076722B"/>
    <w:rsid w:val="0076760E"/>
    <w:rsid w:val="00771E2B"/>
    <w:rsid w:val="00772157"/>
    <w:rsid w:val="007730B3"/>
    <w:rsid w:val="00774869"/>
    <w:rsid w:val="0077566E"/>
    <w:rsid w:val="00776B69"/>
    <w:rsid w:val="00776D4A"/>
    <w:rsid w:val="00776FF1"/>
    <w:rsid w:val="00777462"/>
    <w:rsid w:val="00782F29"/>
    <w:rsid w:val="007844AC"/>
    <w:rsid w:val="00785050"/>
    <w:rsid w:val="00785482"/>
    <w:rsid w:val="007864B0"/>
    <w:rsid w:val="007905EE"/>
    <w:rsid w:val="00790DE4"/>
    <w:rsid w:val="00791302"/>
    <w:rsid w:val="00791E95"/>
    <w:rsid w:val="007923B8"/>
    <w:rsid w:val="007934BC"/>
    <w:rsid w:val="0079473D"/>
    <w:rsid w:val="00795248"/>
    <w:rsid w:val="00795BF7"/>
    <w:rsid w:val="007964E3"/>
    <w:rsid w:val="007A1AF9"/>
    <w:rsid w:val="007A32BD"/>
    <w:rsid w:val="007A3EF1"/>
    <w:rsid w:val="007A50A6"/>
    <w:rsid w:val="007A5DBE"/>
    <w:rsid w:val="007A70CC"/>
    <w:rsid w:val="007B1478"/>
    <w:rsid w:val="007B495E"/>
    <w:rsid w:val="007B4AFE"/>
    <w:rsid w:val="007C041A"/>
    <w:rsid w:val="007C2883"/>
    <w:rsid w:val="007C2E73"/>
    <w:rsid w:val="007C44F1"/>
    <w:rsid w:val="007C5A23"/>
    <w:rsid w:val="007C6681"/>
    <w:rsid w:val="007D1A40"/>
    <w:rsid w:val="007D29FE"/>
    <w:rsid w:val="007D499D"/>
    <w:rsid w:val="007D5041"/>
    <w:rsid w:val="007D77DD"/>
    <w:rsid w:val="007E1550"/>
    <w:rsid w:val="007E4C7D"/>
    <w:rsid w:val="007E5FAA"/>
    <w:rsid w:val="007E5FF2"/>
    <w:rsid w:val="007E6470"/>
    <w:rsid w:val="007E7DB4"/>
    <w:rsid w:val="007F0619"/>
    <w:rsid w:val="007F0FDF"/>
    <w:rsid w:val="007F1FC9"/>
    <w:rsid w:val="007F34CE"/>
    <w:rsid w:val="007F4D7B"/>
    <w:rsid w:val="007F509E"/>
    <w:rsid w:val="007F56A0"/>
    <w:rsid w:val="00800159"/>
    <w:rsid w:val="00800221"/>
    <w:rsid w:val="00801522"/>
    <w:rsid w:val="00801E6A"/>
    <w:rsid w:val="008042D5"/>
    <w:rsid w:val="0080470B"/>
    <w:rsid w:val="00806A72"/>
    <w:rsid w:val="00811514"/>
    <w:rsid w:val="00811E45"/>
    <w:rsid w:val="00814619"/>
    <w:rsid w:val="008165E9"/>
    <w:rsid w:val="008259A4"/>
    <w:rsid w:val="00826164"/>
    <w:rsid w:val="008265F2"/>
    <w:rsid w:val="0082679D"/>
    <w:rsid w:val="00826E60"/>
    <w:rsid w:val="0083068A"/>
    <w:rsid w:val="008326A1"/>
    <w:rsid w:val="00834813"/>
    <w:rsid w:val="0083580A"/>
    <w:rsid w:val="008369BE"/>
    <w:rsid w:val="00843955"/>
    <w:rsid w:val="00846038"/>
    <w:rsid w:val="00846D5A"/>
    <w:rsid w:val="00847387"/>
    <w:rsid w:val="00847ED8"/>
    <w:rsid w:val="00851BBF"/>
    <w:rsid w:val="00851D80"/>
    <w:rsid w:val="008537F9"/>
    <w:rsid w:val="008550D9"/>
    <w:rsid w:val="0085626F"/>
    <w:rsid w:val="008604F8"/>
    <w:rsid w:val="00862FF0"/>
    <w:rsid w:val="00863FAE"/>
    <w:rsid w:val="00870433"/>
    <w:rsid w:val="00871347"/>
    <w:rsid w:val="00874F0E"/>
    <w:rsid w:val="00875AFA"/>
    <w:rsid w:val="008769E3"/>
    <w:rsid w:val="00876A03"/>
    <w:rsid w:val="0087733A"/>
    <w:rsid w:val="0087754E"/>
    <w:rsid w:val="00881142"/>
    <w:rsid w:val="00881846"/>
    <w:rsid w:val="00882037"/>
    <w:rsid w:val="0088439F"/>
    <w:rsid w:val="008846AE"/>
    <w:rsid w:val="00887792"/>
    <w:rsid w:val="00890E2E"/>
    <w:rsid w:val="0089187E"/>
    <w:rsid w:val="008929A5"/>
    <w:rsid w:val="008933BF"/>
    <w:rsid w:val="00893A53"/>
    <w:rsid w:val="00893B93"/>
    <w:rsid w:val="0089476A"/>
    <w:rsid w:val="00894EC4"/>
    <w:rsid w:val="008960AA"/>
    <w:rsid w:val="0089673C"/>
    <w:rsid w:val="00897DDC"/>
    <w:rsid w:val="008A039B"/>
    <w:rsid w:val="008A06F6"/>
    <w:rsid w:val="008A1191"/>
    <w:rsid w:val="008A1FC0"/>
    <w:rsid w:val="008A22C7"/>
    <w:rsid w:val="008A28A2"/>
    <w:rsid w:val="008A2CA8"/>
    <w:rsid w:val="008A3F4A"/>
    <w:rsid w:val="008A4C51"/>
    <w:rsid w:val="008A7E79"/>
    <w:rsid w:val="008B1A89"/>
    <w:rsid w:val="008B2544"/>
    <w:rsid w:val="008B5E41"/>
    <w:rsid w:val="008B6F86"/>
    <w:rsid w:val="008B79CB"/>
    <w:rsid w:val="008C055F"/>
    <w:rsid w:val="008C1917"/>
    <w:rsid w:val="008C302F"/>
    <w:rsid w:val="008C4EF5"/>
    <w:rsid w:val="008C7222"/>
    <w:rsid w:val="008C7357"/>
    <w:rsid w:val="008D44C8"/>
    <w:rsid w:val="008D4549"/>
    <w:rsid w:val="008D56E2"/>
    <w:rsid w:val="008D6892"/>
    <w:rsid w:val="008E0031"/>
    <w:rsid w:val="008E0CB0"/>
    <w:rsid w:val="008E4460"/>
    <w:rsid w:val="008E6692"/>
    <w:rsid w:val="008F04FB"/>
    <w:rsid w:val="008F1137"/>
    <w:rsid w:val="008F277E"/>
    <w:rsid w:val="008F474B"/>
    <w:rsid w:val="008F5ACF"/>
    <w:rsid w:val="008F5B14"/>
    <w:rsid w:val="008F64B5"/>
    <w:rsid w:val="008F7779"/>
    <w:rsid w:val="009002D3"/>
    <w:rsid w:val="00900F73"/>
    <w:rsid w:val="0090317E"/>
    <w:rsid w:val="00903F28"/>
    <w:rsid w:val="00905185"/>
    <w:rsid w:val="00907F0D"/>
    <w:rsid w:val="0091143C"/>
    <w:rsid w:val="00912356"/>
    <w:rsid w:val="00912AC7"/>
    <w:rsid w:val="00913274"/>
    <w:rsid w:val="0091580C"/>
    <w:rsid w:val="009159C7"/>
    <w:rsid w:val="0091646D"/>
    <w:rsid w:val="00916955"/>
    <w:rsid w:val="0091792F"/>
    <w:rsid w:val="00917C9B"/>
    <w:rsid w:val="009203D2"/>
    <w:rsid w:val="00923AE2"/>
    <w:rsid w:val="009257C3"/>
    <w:rsid w:val="00926162"/>
    <w:rsid w:val="0093054A"/>
    <w:rsid w:val="009321CF"/>
    <w:rsid w:val="00933815"/>
    <w:rsid w:val="009347C1"/>
    <w:rsid w:val="00935110"/>
    <w:rsid w:val="00936413"/>
    <w:rsid w:val="009371CF"/>
    <w:rsid w:val="009410A9"/>
    <w:rsid w:val="00943F88"/>
    <w:rsid w:val="009441C2"/>
    <w:rsid w:val="009441CE"/>
    <w:rsid w:val="009442A5"/>
    <w:rsid w:val="009448A0"/>
    <w:rsid w:val="0094678C"/>
    <w:rsid w:val="00947B73"/>
    <w:rsid w:val="00950FC3"/>
    <w:rsid w:val="00951D1A"/>
    <w:rsid w:val="009521EF"/>
    <w:rsid w:val="009524CF"/>
    <w:rsid w:val="00953B03"/>
    <w:rsid w:val="00955D48"/>
    <w:rsid w:val="00956798"/>
    <w:rsid w:val="00956B5F"/>
    <w:rsid w:val="00961D84"/>
    <w:rsid w:val="00961F98"/>
    <w:rsid w:val="009628C3"/>
    <w:rsid w:val="00962C06"/>
    <w:rsid w:val="00963D9E"/>
    <w:rsid w:val="00964355"/>
    <w:rsid w:val="009645E3"/>
    <w:rsid w:val="00964C79"/>
    <w:rsid w:val="0097132A"/>
    <w:rsid w:val="00972AFC"/>
    <w:rsid w:val="0097316E"/>
    <w:rsid w:val="00974873"/>
    <w:rsid w:val="00975A40"/>
    <w:rsid w:val="00975CF1"/>
    <w:rsid w:val="0097682A"/>
    <w:rsid w:val="00976943"/>
    <w:rsid w:val="009778F0"/>
    <w:rsid w:val="009817E9"/>
    <w:rsid w:val="00981816"/>
    <w:rsid w:val="00982909"/>
    <w:rsid w:val="00983BD4"/>
    <w:rsid w:val="00983DD5"/>
    <w:rsid w:val="00984E9C"/>
    <w:rsid w:val="00986347"/>
    <w:rsid w:val="00987ACA"/>
    <w:rsid w:val="00987E30"/>
    <w:rsid w:val="00991E72"/>
    <w:rsid w:val="00991F4C"/>
    <w:rsid w:val="00993A44"/>
    <w:rsid w:val="00993EB3"/>
    <w:rsid w:val="00994613"/>
    <w:rsid w:val="009950B3"/>
    <w:rsid w:val="00995423"/>
    <w:rsid w:val="00995684"/>
    <w:rsid w:val="009A0C25"/>
    <w:rsid w:val="009A180F"/>
    <w:rsid w:val="009A38E8"/>
    <w:rsid w:val="009A5E9A"/>
    <w:rsid w:val="009A5F08"/>
    <w:rsid w:val="009A769A"/>
    <w:rsid w:val="009B2DC6"/>
    <w:rsid w:val="009B2F2B"/>
    <w:rsid w:val="009B4DC2"/>
    <w:rsid w:val="009B5EA4"/>
    <w:rsid w:val="009B6917"/>
    <w:rsid w:val="009B7456"/>
    <w:rsid w:val="009B7524"/>
    <w:rsid w:val="009B7B9A"/>
    <w:rsid w:val="009C09A5"/>
    <w:rsid w:val="009C411D"/>
    <w:rsid w:val="009C57D5"/>
    <w:rsid w:val="009D1FD8"/>
    <w:rsid w:val="009D32C7"/>
    <w:rsid w:val="009D7D78"/>
    <w:rsid w:val="009E169D"/>
    <w:rsid w:val="009E17FB"/>
    <w:rsid w:val="009E21B9"/>
    <w:rsid w:val="009E4B07"/>
    <w:rsid w:val="009E5FE5"/>
    <w:rsid w:val="009E6509"/>
    <w:rsid w:val="009F0413"/>
    <w:rsid w:val="009F0C0B"/>
    <w:rsid w:val="009F0FAA"/>
    <w:rsid w:val="009F4296"/>
    <w:rsid w:val="009F5CBA"/>
    <w:rsid w:val="009F67E1"/>
    <w:rsid w:val="009F736B"/>
    <w:rsid w:val="00A003C4"/>
    <w:rsid w:val="00A00BD8"/>
    <w:rsid w:val="00A00EEF"/>
    <w:rsid w:val="00A01141"/>
    <w:rsid w:val="00A02908"/>
    <w:rsid w:val="00A137E6"/>
    <w:rsid w:val="00A13D9E"/>
    <w:rsid w:val="00A14CF5"/>
    <w:rsid w:val="00A15BF8"/>
    <w:rsid w:val="00A15D18"/>
    <w:rsid w:val="00A15E6E"/>
    <w:rsid w:val="00A16824"/>
    <w:rsid w:val="00A16C3B"/>
    <w:rsid w:val="00A210EA"/>
    <w:rsid w:val="00A2231B"/>
    <w:rsid w:val="00A22322"/>
    <w:rsid w:val="00A239BD"/>
    <w:rsid w:val="00A249E5"/>
    <w:rsid w:val="00A24CA2"/>
    <w:rsid w:val="00A252DF"/>
    <w:rsid w:val="00A25DC3"/>
    <w:rsid w:val="00A261D8"/>
    <w:rsid w:val="00A26660"/>
    <w:rsid w:val="00A267E4"/>
    <w:rsid w:val="00A310A4"/>
    <w:rsid w:val="00A31E82"/>
    <w:rsid w:val="00A320F1"/>
    <w:rsid w:val="00A338BA"/>
    <w:rsid w:val="00A351B1"/>
    <w:rsid w:val="00A35F65"/>
    <w:rsid w:val="00A3763A"/>
    <w:rsid w:val="00A4466B"/>
    <w:rsid w:val="00A446CA"/>
    <w:rsid w:val="00A47EE6"/>
    <w:rsid w:val="00A508E7"/>
    <w:rsid w:val="00A51082"/>
    <w:rsid w:val="00A527F4"/>
    <w:rsid w:val="00A5375A"/>
    <w:rsid w:val="00A54DDF"/>
    <w:rsid w:val="00A54F00"/>
    <w:rsid w:val="00A56CA8"/>
    <w:rsid w:val="00A576DC"/>
    <w:rsid w:val="00A615F4"/>
    <w:rsid w:val="00A61F1B"/>
    <w:rsid w:val="00A625D6"/>
    <w:rsid w:val="00A62657"/>
    <w:rsid w:val="00A62B63"/>
    <w:rsid w:val="00A62E1C"/>
    <w:rsid w:val="00A63D41"/>
    <w:rsid w:val="00A70814"/>
    <w:rsid w:val="00A71BA3"/>
    <w:rsid w:val="00A71E7A"/>
    <w:rsid w:val="00A72561"/>
    <w:rsid w:val="00A733E7"/>
    <w:rsid w:val="00A73BE2"/>
    <w:rsid w:val="00A73F88"/>
    <w:rsid w:val="00A75268"/>
    <w:rsid w:val="00A75F50"/>
    <w:rsid w:val="00A76E39"/>
    <w:rsid w:val="00A809E1"/>
    <w:rsid w:val="00A8194A"/>
    <w:rsid w:val="00A8338D"/>
    <w:rsid w:val="00A86447"/>
    <w:rsid w:val="00A86C9A"/>
    <w:rsid w:val="00A900B6"/>
    <w:rsid w:val="00A91915"/>
    <w:rsid w:val="00A92135"/>
    <w:rsid w:val="00A923A3"/>
    <w:rsid w:val="00A9241C"/>
    <w:rsid w:val="00A92F97"/>
    <w:rsid w:val="00A9722E"/>
    <w:rsid w:val="00A977A6"/>
    <w:rsid w:val="00AA0A64"/>
    <w:rsid w:val="00AA197B"/>
    <w:rsid w:val="00AA512F"/>
    <w:rsid w:val="00AA5614"/>
    <w:rsid w:val="00AA605C"/>
    <w:rsid w:val="00AA65BF"/>
    <w:rsid w:val="00AB194D"/>
    <w:rsid w:val="00AB5446"/>
    <w:rsid w:val="00AB662D"/>
    <w:rsid w:val="00AB7157"/>
    <w:rsid w:val="00AB72EC"/>
    <w:rsid w:val="00AC220C"/>
    <w:rsid w:val="00AC30A6"/>
    <w:rsid w:val="00AC3555"/>
    <w:rsid w:val="00AC4A0D"/>
    <w:rsid w:val="00AC6079"/>
    <w:rsid w:val="00AC6E40"/>
    <w:rsid w:val="00AC7C72"/>
    <w:rsid w:val="00AD0459"/>
    <w:rsid w:val="00AD2B34"/>
    <w:rsid w:val="00AD31C4"/>
    <w:rsid w:val="00AD3639"/>
    <w:rsid w:val="00AD494D"/>
    <w:rsid w:val="00AD52FF"/>
    <w:rsid w:val="00AD737D"/>
    <w:rsid w:val="00AE067A"/>
    <w:rsid w:val="00AE1FFC"/>
    <w:rsid w:val="00AE3061"/>
    <w:rsid w:val="00AE415A"/>
    <w:rsid w:val="00AE4996"/>
    <w:rsid w:val="00AE64C8"/>
    <w:rsid w:val="00AF2F65"/>
    <w:rsid w:val="00AF4AF8"/>
    <w:rsid w:val="00AF4DE4"/>
    <w:rsid w:val="00B0066C"/>
    <w:rsid w:val="00B03F76"/>
    <w:rsid w:val="00B0744E"/>
    <w:rsid w:val="00B075CD"/>
    <w:rsid w:val="00B07D95"/>
    <w:rsid w:val="00B10942"/>
    <w:rsid w:val="00B12009"/>
    <w:rsid w:val="00B138E2"/>
    <w:rsid w:val="00B14D1E"/>
    <w:rsid w:val="00B15D11"/>
    <w:rsid w:val="00B16511"/>
    <w:rsid w:val="00B2004B"/>
    <w:rsid w:val="00B20115"/>
    <w:rsid w:val="00B214B9"/>
    <w:rsid w:val="00B2471C"/>
    <w:rsid w:val="00B30BF6"/>
    <w:rsid w:val="00B322AC"/>
    <w:rsid w:val="00B3493D"/>
    <w:rsid w:val="00B34A7E"/>
    <w:rsid w:val="00B352FA"/>
    <w:rsid w:val="00B35C3F"/>
    <w:rsid w:val="00B36BF4"/>
    <w:rsid w:val="00B36F52"/>
    <w:rsid w:val="00B424BB"/>
    <w:rsid w:val="00B43C71"/>
    <w:rsid w:val="00B455DD"/>
    <w:rsid w:val="00B458D1"/>
    <w:rsid w:val="00B4599D"/>
    <w:rsid w:val="00B46E5A"/>
    <w:rsid w:val="00B525FF"/>
    <w:rsid w:val="00B56B13"/>
    <w:rsid w:val="00B60FE4"/>
    <w:rsid w:val="00B61586"/>
    <w:rsid w:val="00B61ED2"/>
    <w:rsid w:val="00B62A06"/>
    <w:rsid w:val="00B638CC"/>
    <w:rsid w:val="00B655EE"/>
    <w:rsid w:val="00B70964"/>
    <w:rsid w:val="00B7192C"/>
    <w:rsid w:val="00B75250"/>
    <w:rsid w:val="00B775EA"/>
    <w:rsid w:val="00B80E42"/>
    <w:rsid w:val="00B83FB8"/>
    <w:rsid w:val="00B840A3"/>
    <w:rsid w:val="00B86C0D"/>
    <w:rsid w:val="00B90D33"/>
    <w:rsid w:val="00B9224A"/>
    <w:rsid w:val="00B92364"/>
    <w:rsid w:val="00B964EB"/>
    <w:rsid w:val="00B96619"/>
    <w:rsid w:val="00B9740F"/>
    <w:rsid w:val="00BA0652"/>
    <w:rsid w:val="00BA31D5"/>
    <w:rsid w:val="00BA537C"/>
    <w:rsid w:val="00BA673A"/>
    <w:rsid w:val="00BA7965"/>
    <w:rsid w:val="00BB00CC"/>
    <w:rsid w:val="00BB06BB"/>
    <w:rsid w:val="00BB1422"/>
    <w:rsid w:val="00BB29A1"/>
    <w:rsid w:val="00BB32C5"/>
    <w:rsid w:val="00BB5076"/>
    <w:rsid w:val="00BB6C5B"/>
    <w:rsid w:val="00BC046A"/>
    <w:rsid w:val="00BC05BD"/>
    <w:rsid w:val="00BC445A"/>
    <w:rsid w:val="00BC6AC5"/>
    <w:rsid w:val="00BC6E92"/>
    <w:rsid w:val="00BD0091"/>
    <w:rsid w:val="00BD0E60"/>
    <w:rsid w:val="00BD13AB"/>
    <w:rsid w:val="00BD453C"/>
    <w:rsid w:val="00BD6498"/>
    <w:rsid w:val="00BD6C8B"/>
    <w:rsid w:val="00BD744D"/>
    <w:rsid w:val="00BE0B1C"/>
    <w:rsid w:val="00BE335F"/>
    <w:rsid w:val="00BE3474"/>
    <w:rsid w:val="00BE377E"/>
    <w:rsid w:val="00BE64DD"/>
    <w:rsid w:val="00BE74DC"/>
    <w:rsid w:val="00BF08DF"/>
    <w:rsid w:val="00BF0E93"/>
    <w:rsid w:val="00BF1C02"/>
    <w:rsid w:val="00BF2E2B"/>
    <w:rsid w:val="00BF2E8A"/>
    <w:rsid w:val="00BF303F"/>
    <w:rsid w:val="00BF4AE2"/>
    <w:rsid w:val="00BF5290"/>
    <w:rsid w:val="00BF6573"/>
    <w:rsid w:val="00BF72A0"/>
    <w:rsid w:val="00C00D7D"/>
    <w:rsid w:val="00C00F22"/>
    <w:rsid w:val="00C029D3"/>
    <w:rsid w:val="00C03D2A"/>
    <w:rsid w:val="00C061F3"/>
    <w:rsid w:val="00C063EF"/>
    <w:rsid w:val="00C06705"/>
    <w:rsid w:val="00C07010"/>
    <w:rsid w:val="00C076EA"/>
    <w:rsid w:val="00C105A7"/>
    <w:rsid w:val="00C10D29"/>
    <w:rsid w:val="00C11607"/>
    <w:rsid w:val="00C11A7F"/>
    <w:rsid w:val="00C11D32"/>
    <w:rsid w:val="00C13FC4"/>
    <w:rsid w:val="00C1606D"/>
    <w:rsid w:val="00C16BCB"/>
    <w:rsid w:val="00C201A3"/>
    <w:rsid w:val="00C2068A"/>
    <w:rsid w:val="00C22056"/>
    <w:rsid w:val="00C24A27"/>
    <w:rsid w:val="00C2DBF1"/>
    <w:rsid w:val="00C30DDF"/>
    <w:rsid w:val="00C31C9A"/>
    <w:rsid w:val="00C33CA5"/>
    <w:rsid w:val="00C360CA"/>
    <w:rsid w:val="00C40521"/>
    <w:rsid w:val="00C408D0"/>
    <w:rsid w:val="00C44EE1"/>
    <w:rsid w:val="00C45722"/>
    <w:rsid w:val="00C45D3E"/>
    <w:rsid w:val="00C45EAB"/>
    <w:rsid w:val="00C46046"/>
    <w:rsid w:val="00C4704F"/>
    <w:rsid w:val="00C47484"/>
    <w:rsid w:val="00C51701"/>
    <w:rsid w:val="00C5274E"/>
    <w:rsid w:val="00C527F8"/>
    <w:rsid w:val="00C54740"/>
    <w:rsid w:val="00C55FE5"/>
    <w:rsid w:val="00C57729"/>
    <w:rsid w:val="00C6413B"/>
    <w:rsid w:val="00C7158F"/>
    <w:rsid w:val="00C715A9"/>
    <w:rsid w:val="00C73188"/>
    <w:rsid w:val="00C7372D"/>
    <w:rsid w:val="00C737AF"/>
    <w:rsid w:val="00C740D8"/>
    <w:rsid w:val="00C74121"/>
    <w:rsid w:val="00C74752"/>
    <w:rsid w:val="00C75D17"/>
    <w:rsid w:val="00C7608D"/>
    <w:rsid w:val="00C76352"/>
    <w:rsid w:val="00C7746A"/>
    <w:rsid w:val="00C800AA"/>
    <w:rsid w:val="00C8031D"/>
    <w:rsid w:val="00C807A8"/>
    <w:rsid w:val="00C82456"/>
    <w:rsid w:val="00C824EB"/>
    <w:rsid w:val="00C82947"/>
    <w:rsid w:val="00C83D06"/>
    <w:rsid w:val="00C84084"/>
    <w:rsid w:val="00C84E40"/>
    <w:rsid w:val="00C859BA"/>
    <w:rsid w:val="00C86728"/>
    <w:rsid w:val="00C87862"/>
    <w:rsid w:val="00C90D90"/>
    <w:rsid w:val="00C918EF"/>
    <w:rsid w:val="00C92A66"/>
    <w:rsid w:val="00C93194"/>
    <w:rsid w:val="00C9485C"/>
    <w:rsid w:val="00C95A07"/>
    <w:rsid w:val="00C967A2"/>
    <w:rsid w:val="00C96F66"/>
    <w:rsid w:val="00C971A5"/>
    <w:rsid w:val="00C97B41"/>
    <w:rsid w:val="00CA015E"/>
    <w:rsid w:val="00CA140A"/>
    <w:rsid w:val="00CA3E86"/>
    <w:rsid w:val="00CA4C17"/>
    <w:rsid w:val="00CA56FA"/>
    <w:rsid w:val="00CA687A"/>
    <w:rsid w:val="00CA764C"/>
    <w:rsid w:val="00CB069D"/>
    <w:rsid w:val="00CB12D8"/>
    <w:rsid w:val="00CB384E"/>
    <w:rsid w:val="00CB55D9"/>
    <w:rsid w:val="00CB637B"/>
    <w:rsid w:val="00CB782A"/>
    <w:rsid w:val="00CC14FE"/>
    <w:rsid w:val="00CC166F"/>
    <w:rsid w:val="00CC3822"/>
    <w:rsid w:val="00CC4986"/>
    <w:rsid w:val="00CC4A2F"/>
    <w:rsid w:val="00CC4AA1"/>
    <w:rsid w:val="00CC5344"/>
    <w:rsid w:val="00CD0081"/>
    <w:rsid w:val="00CD0F21"/>
    <w:rsid w:val="00CD2D12"/>
    <w:rsid w:val="00CD424C"/>
    <w:rsid w:val="00CD4583"/>
    <w:rsid w:val="00CD5454"/>
    <w:rsid w:val="00CE122A"/>
    <w:rsid w:val="00CE18F5"/>
    <w:rsid w:val="00CE19AF"/>
    <w:rsid w:val="00CE22A3"/>
    <w:rsid w:val="00CE2416"/>
    <w:rsid w:val="00CE2BAF"/>
    <w:rsid w:val="00CE4A9E"/>
    <w:rsid w:val="00CE5017"/>
    <w:rsid w:val="00CE50B2"/>
    <w:rsid w:val="00CE77B4"/>
    <w:rsid w:val="00CF1398"/>
    <w:rsid w:val="00CF2651"/>
    <w:rsid w:val="00CF2C01"/>
    <w:rsid w:val="00CF48B3"/>
    <w:rsid w:val="00CF5773"/>
    <w:rsid w:val="00CF6F38"/>
    <w:rsid w:val="00D0049B"/>
    <w:rsid w:val="00D016E7"/>
    <w:rsid w:val="00D035CD"/>
    <w:rsid w:val="00D03DC6"/>
    <w:rsid w:val="00D04526"/>
    <w:rsid w:val="00D045A6"/>
    <w:rsid w:val="00D05AC2"/>
    <w:rsid w:val="00D0603F"/>
    <w:rsid w:val="00D1044C"/>
    <w:rsid w:val="00D109BB"/>
    <w:rsid w:val="00D11617"/>
    <w:rsid w:val="00D122E7"/>
    <w:rsid w:val="00D15A1A"/>
    <w:rsid w:val="00D1717A"/>
    <w:rsid w:val="00D2048D"/>
    <w:rsid w:val="00D20BD4"/>
    <w:rsid w:val="00D20C67"/>
    <w:rsid w:val="00D23956"/>
    <w:rsid w:val="00D2431E"/>
    <w:rsid w:val="00D25E12"/>
    <w:rsid w:val="00D2615F"/>
    <w:rsid w:val="00D31976"/>
    <w:rsid w:val="00D36654"/>
    <w:rsid w:val="00D369DA"/>
    <w:rsid w:val="00D373BD"/>
    <w:rsid w:val="00D4035E"/>
    <w:rsid w:val="00D41149"/>
    <w:rsid w:val="00D43164"/>
    <w:rsid w:val="00D43EF1"/>
    <w:rsid w:val="00D44852"/>
    <w:rsid w:val="00D44A50"/>
    <w:rsid w:val="00D451FF"/>
    <w:rsid w:val="00D456CA"/>
    <w:rsid w:val="00D45FCB"/>
    <w:rsid w:val="00D47F18"/>
    <w:rsid w:val="00D508FB"/>
    <w:rsid w:val="00D509B3"/>
    <w:rsid w:val="00D52037"/>
    <w:rsid w:val="00D52A17"/>
    <w:rsid w:val="00D53A89"/>
    <w:rsid w:val="00D54181"/>
    <w:rsid w:val="00D55C93"/>
    <w:rsid w:val="00D565BB"/>
    <w:rsid w:val="00D56B51"/>
    <w:rsid w:val="00D573DE"/>
    <w:rsid w:val="00D61676"/>
    <w:rsid w:val="00D61A4B"/>
    <w:rsid w:val="00D620EF"/>
    <w:rsid w:val="00D62935"/>
    <w:rsid w:val="00D634D4"/>
    <w:rsid w:val="00D647CE"/>
    <w:rsid w:val="00D66748"/>
    <w:rsid w:val="00D67AAD"/>
    <w:rsid w:val="00D7088B"/>
    <w:rsid w:val="00D70A94"/>
    <w:rsid w:val="00D73D69"/>
    <w:rsid w:val="00D747E8"/>
    <w:rsid w:val="00D74DE5"/>
    <w:rsid w:val="00D7510C"/>
    <w:rsid w:val="00D7661B"/>
    <w:rsid w:val="00D80897"/>
    <w:rsid w:val="00D80E86"/>
    <w:rsid w:val="00D818CC"/>
    <w:rsid w:val="00D81A32"/>
    <w:rsid w:val="00D81C04"/>
    <w:rsid w:val="00D81E5C"/>
    <w:rsid w:val="00D820DC"/>
    <w:rsid w:val="00D823CE"/>
    <w:rsid w:val="00D83F97"/>
    <w:rsid w:val="00D8490F"/>
    <w:rsid w:val="00D875D9"/>
    <w:rsid w:val="00D91002"/>
    <w:rsid w:val="00D91A05"/>
    <w:rsid w:val="00D93EDE"/>
    <w:rsid w:val="00D94896"/>
    <w:rsid w:val="00D97BFC"/>
    <w:rsid w:val="00DA0084"/>
    <w:rsid w:val="00DA12FA"/>
    <w:rsid w:val="00DA1CB8"/>
    <w:rsid w:val="00DA49F1"/>
    <w:rsid w:val="00DA5337"/>
    <w:rsid w:val="00DA5381"/>
    <w:rsid w:val="00DA70BF"/>
    <w:rsid w:val="00DA74EF"/>
    <w:rsid w:val="00DB0228"/>
    <w:rsid w:val="00DB26EE"/>
    <w:rsid w:val="00DB2A77"/>
    <w:rsid w:val="00DB5B3E"/>
    <w:rsid w:val="00DB68EC"/>
    <w:rsid w:val="00DB7728"/>
    <w:rsid w:val="00DC15AF"/>
    <w:rsid w:val="00DC15F4"/>
    <w:rsid w:val="00DC30CE"/>
    <w:rsid w:val="00DCDFDA"/>
    <w:rsid w:val="00DD1C4E"/>
    <w:rsid w:val="00DD2504"/>
    <w:rsid w:val="00DD4BA0"/>
    <w:rsid w:val="00DD672F"/>
    <w:rsid w:val="00DD7DD4"/>
    <w:rsid w:val="00DE0BC1"/>
    <w:rsid w:val="00DE0CC5"/>
    <w:rsid w:val="00DE1EE3"/>
    <w:rsid w:val="00DE2026"/>
    <w:rsid w:val="00DE4DF5"/>
    <w:rsid w:val="00DE52B3"/>
    <w:rsid w:val="00DE5D1F"/>
    <w:rsid w:val="00DE62B5"/>
    <w:rsid w:val="00DF25DE"/>
    <w:rsid w:val="00DF2F2C"/>
    <w:rsid w:val="00DF3064"/>
    <w:rsid w:val="00DF3559"/>
    <w:rsid w:val="00DF544C"/>
    <w:rsid w:val="00DF61D9"/>
    <w:rsid w:val="00E00640"/>
    <w:rsid w:val="00E016A9"/>
    <w:rsid w:val="00E0280E"/>
    <w:rsid w:val="00E02D02"/>
    <w:rsid w:val="00E12DF7"/>
    <w:rsid w:val="00E12E47"/>
    <w:rsid w:val="00E13B39"/>
    <w:rsid w:val="00E14233"/>
    <w:rsid w:val="00E17E61"/>
    <w:rsid w:val="00E2006A"/>
    <w:rsid w:val="00E20E4A"/>
    <w:rsid w:val="00E21513"/>
    <w:rsid w:val="00E2473F"/>
    <w:rsid w:val="00E25E73"/>
    <w:rsid w:val="00E30378"/>
    <w:rsid w:val="00E3305D"/>
    <w:rsid w:val="00E34340"/>
    <w:rsid w:val="00E34818"/>
    <w:rsid w:val="00E3680F"/>
    <w:rsid w:val="00E40875"/>
    <w:rsid w:val="00E41265"/>
    <w:rsid w:val="00E41290"/>
    <w:rsid w:val="00E414EA"/>
    <w:rsid w:val="00E41937"/>
    <w:rsid w:val="00E428E1"/>
    <w:rsid w:val="00E42D1F"/>
    <w:rsid w:val="00E433BF"/>
    <w:rsid w:val="00E442B2"/>
    <w:rsid w:val="00E449E5"/>
    <w:rsid w:val="00E56294"/>
    <w:rsid w:val="00E565E9"/>
    <w:rsid w:val="00E6019D"/>
    <w:rsid w:val="00E638D7"/>
    <w:rsid w:val="00E63A92"/>
    <w:rsid w:val="00E672FB"/>
    <w:rsid w:val="00E70CEB"/>
    <w:rsid w:val="00E717FB"/>
    <w:rsid w:val="00E72E99"/>
    <w:rsid w:val="00E735FF"/>
    <w:rsid w:val="00E752BD"/>
    <w:rsid w:val="00E768E7"/>
    <w:rsid w:val="00E77CDF"/>
    <w:rsid w:val="00E81967"/>
    <w:rsid w:val="00E81CD3"/>
    <w:rsid w:val="00E832BF"/>
    <w:rsid w:val="00E85222"/>
    <w:rsid w:val="00E85ED6"/>
    <w:rsid w:val="00E8692B"/>
    <w:rsid w:val="00E9029E"/>
    <w:rsid w:val="00E90685"/>
    <w:rsid w:val="00E941CF"/>
    <w:rsid w:val="00E94BAC"/>
    <w:rsid w:val="00E97C4E"/>
    <w:rsid w:val="00EA2371"/>
    <w:rsid w:val="00EA2EA3"/>
    <w:rsid w:val="00EA3311"/>
    <w:rsid w:val="00EA3EE7"/>
    <w:rsid w:val="00EA56AE"/>
    <w:rsid w:val="00EA58EA"/>
    <w:rsid w:val="00EB0616"/>
    <w:rsid w:val="00EB0694"/>
    <w:rsid w:val="00EB12EF"/>
    <w:rsid w:val="00EB2A2E"/>
    <w:rsid w:val="00EB3FF8"/>
    <w:rsid w:val="00EB41EA"/>
    <w:rsid w:val="00EB5DCF"/>
    <w:rsid w:val="00EC0791"/>
    <w:rsid w:val="00EC26F6"/>
    <w:rsid w:val="00EC30A2"/>
    <w:rsid w:val="00EC7693"/>
    <w:rsid w:val="00ED1747"/>
    <w:rsid w:val="00ED3CCD"/>
    <w:rsid w:val="00ED3D2C"/>
    <w:rsid w:val="00ED3EEF"/>
    <w:rsid w:val="00ED4772"/>
    <w:rsid w:val="00ED5836"/>
    <w:rsid w:val="00EE1050"/>
    <w:rsid w:val="00EE1366"/>
    <w:rsid w:val="00EE2C45"/>
    <w:rsid w:val="00EE34A8"/>
    <w:rsid w:val="00EE3812"/>
    <w:rsid w:val="00EE47D1"/>
    <w:rsid w:val="00EE6806"/>
    <w:rsid w:val="00EE6C76"/>
    <w:rsid w:val="00EE6D50"/>
    <w:rsid w:val="00EF043D"/>
    <w:rsid w:val="00EF1C41"/>
    <w:rsid w:val="00EF315C"/>
    <w:rsid w:val="00EF4D82"/>
    <w:rsid w:val="00EF5A0A"/>
    <w:rsid w:val="00EF70DD"/>
    <w:rsid w:val="00F00D1F"/>
    <w:rsid w:val="00F01A73"/>
    <w:rsid w:val="00F02061"/>
    <w:rsid w:val="00F03615"/>
    <w:rsid w:val="00F04397"/>
    <w:rsid w:val="00F063CF"/>
    <w:rsid w:val="00F064B6"/>
    <w:rsid w:val="00F064EB"/>
    <w:rsid w:val="00F07E10"/>
    <w:rsid w:val="00F10E86"/>
    <w:rsid w:val="00F11089"/>
    <w:rsid w:val="00F1347B"/>
    <w:rsid w:val="00F13752"/>
    <w:rsid w:val="00F138C2"/>
    <w:rsid w:val="00F16D20"/>
    <w:rsid w:val="00F17510"/>
    <w:rsid w:val="00F17867"/>
    <w:rsid w:val="00F17A14"/>
    <w:rsid w:val="00F17C3A"/>
    <w:rsid w:val="00F20263"/>
    <w:rsid w:val="00F202B7"/>
    <w:rsid w:val="00F20842"/>
    <w:rsid w:val="00F20E95"/>
    <w:rsid w:val="00F24279"/>
    <w:rsid w:val="00F24B53"/>
    <w:rsid w:val="00F25DE8"/>
    <w:rsid w:val="00F30BB8"/>
    <w:rsid w:val="00F31282"/>
    <w:rsid w:val="00F3150C"/>
    <w:rsid w:val="00F3162A"/>
    <w:rsid w:val="00F31E91"/>
    <w:rsid w:val="00F324A6"/>
    <w:rsid w:val="00F362B3"/>
    <w:rsid w:val="00F3738A"/>
    <w:rsid w:val="00F40D26"/>
    <w:rsid w:val="00F4146E"/>
    <w:rsid w:val="00F4221D"/>
    <w:rsid w:val="00F47A82"/>
    <w:rsid w:val="00F503EB"/>
    <w:rsid w:val="00F50520"/>
    <w:rsid w:val="00F50B09"/>
    <w:rsid w:val="00F51FE1"/>
    <w:rsid w:val="00F53CAD"/>
    <w:rsid w:val="00F54C1A"/>
    <w:rsid w:val="00F555D6"/>
    <w:rsid w:val="00F55DBB"/>
    <w:rsid w:val="00F55F49"/>
    <w:rsid w:val="00F566BD"/>
    <w:rsid w:val="00F56704"/>
    <w:rsid w:val="00F56760"/>
    <w:rsid w:val="00F578DB"/>
    <w:rsid w:val="00F57DC7"/>
    <w:rsid w:val="00F61284"/>
    <w:rsid w:val="00F6137B"/>
    <w:rsid w:val="00F61F41"/>
    <w:rsid w:val="00F62209"/>
    <w:rsid w:val="00F6252C"/>
    <w:rsid w:val="00F62DCE"/>
    <w:rsid w:val="00F64890"/>
    <w:rsid w:val="00F64FA1"/>
    <w:rsid w:val="00F6580A"/>
    <w:rsid w:val="00F679EF"/>
    <w:rsid w:val="00F70B7F"/>
    <w:rsid w:val="00F76672"/>
    <w:rsid w:val="00F76ED7"/>
    <w:rsid w:val="00F77907"/>
    <w:rsid w:val="00F80254"/>
    <w:rsid w:val="00F82E6D"/>
    <w:rsid w:val="00F8354E"/>
    <w:rsid w:val="00F85F9E"/>
    <w:rsid w:val="00F86306"/>
    <w:rsid w:val="00F87EE8"/>
    <w:rsid w:val="00F9276F"/>
    <w:rsid w:val="00F93F5B"/>
    <w:rsid w:val="00F945DB"/>
    <w:rsid w:val="00F94BF5"/>
    <w:rsid w:val="00F94E3B"/>
    <w:rsid w:val="00F9695E"/>
    <w:rsid w:val="00F970D8"/>
    <w:rsid w:val="00F978BC"/>
    <w:rsid w:val="00FA1016"/>
    <w:rsid w:val="00FA121A"/>
    <w:rsid w:val="00FA1C02"/>
    <w:rsid w:val="00FA20A4"/>
    <w:rsid w:val="00FA214A"/>
    <w:rsid w:val="00FA2389"/>
    <w:rsid w:val="00FA3211"/>
    <w:rsid w:val="00FA5840"/>
    <w:rsid w:val="00FA6198"/>
    <w:rsid w:val="00FA7AC1"/>
    <w:rsid w:val="00FA7F42"/>
    <w:rsid w:val="00FB1726"/>
    <w:rsid w:val="00FB59EA"/>
    <w:rsid w:val="00FB73F6"/>
    <w:rsid w:val="00FB7F4C"/>
    <w:rsid w:val="00FC07B3"/>
    <w:rsid w:val="00FC094B"/>
    <w:rsid w:val="00FC103A"/>
    <w:rsid w:val="00FC2280"/>
    <w:rsid w:val="00FC4B25"/>
    <w:rsid w:val="00FC7905"/>
    <w:rsid w:val="00FD1C8B"/>
    <w:rsid w:val="00FD1F40"/>
    <w:rsid w:val="00FD25CE"/>
    <w:rsid w:val="00FD3A65"/>
    <w:rsid w:val="00FD43B5"/>
    <w:rsid w:val="00FD4782"/>
    <w:rsid w:val="00FD4B10"/>
    <w:rsid w:val="00FD5C55"/>
    <w:rsid w:val="00FD6D04"/>
    <w:rsid w:val="00FD756D"/>
    <w:rsid w:val="00FD7A27"/>
    <w:rsid w:val="00FE2847"/>
    <w:rsid w:val="00FE3D63"/>
    <w:rsid w:val="00FE52C3"/>
    <w:rsid w:val="00FF0A9D"/>
    <w:rsid w:val="00FF0B12"/>
    <w:rsid w:val="00FF1BC3"/>
    <w:rsid w:val="00FF2BB1"/>
    <w:rsid w:val="00FF74F4"/>
    <w:rsid w:val="010AAC9E"/>
    <w:rsid w:val="01AE0FC0"/>
    <w:rsid w:val="01C36F74"/>
    <w:rsid w:val="01D237E5"/>
    <w:rsid w:val="0213C9A8"/>
    <w:rsid w:val="02238B27"/>
    <w:rsid w:val="02274A53"/>
    <w:rsid w:val="025D2EC9"/>
    <w:rsid w:val="02A98CCC"/>
    <w:rsid w:val="02D60C4A"/>
    <w:rsid w:val="02ED22F2"/>
    <w:rsid w:val="0311D66C"/>
    <w:rsid w:val="032E86A2"/>
    <w:rsid w:val="0332DF94"/>
    <w:rsid w:val="03769DAA"/>
    <w:rsid w:val="038BA2A3"/>
    <w:rsid w:val="03A1AD86"/>
    <w:rsid w:val="0448F2D8"/>
    <w:rsid w:val="04A66D66"/>
    <w:rsid w:val="04AF28DB"/>
    <w:rsid w:val="05354370"/>
    <w:rsid w:val="056F6BEF"/>
    <w:rsid w:val="059E02F7"/>
    <w:rsid w:val="05A43A86"/>
    <w:rsid w:val="064DB665"/>
    <w:rsid w:val="0690A3A5"/>
    <w:rsid w:val="0693BF69"/>
    <w:rsid w:val="069C7331"/>
    <w:rsid w:val="070F6AA8"/>
    <w:rsid w:val="0779530B"/>
    <w:rsid w:val="082EA1CA"/>
    <w:rsid w:val="085C3920"/>
    <w:rsid w:val="08ADC8E5"/>
    <w:rsid w:val="08CB93DA"/>
    <w:rsid w:val="08CC8999"/>
    <w:rsid w:val="09389A1F"/>
    <w:rsid w:val="095A6FD0"/>
    <w:rsid w:val="095CA049"/>
    <w:rsid w:val="096BCA12"/>
    <w:rsid w:val="09CBA676"/>
    <w:rsid w:val="09F1BE9A"/>
    <w:rsid w:val="0A014057"/>
    <w:rsid w:val="0A462649"/>
    <w:rsid w:val="0A65EA4C"/>
    <w:rsid w:val="0A7002C8"/>
    <w:rsid w:val="0AB13F7D"/>
    <w:rsid w:val="0B1E9194"/>
    <w:rsid w:val="0B58D849"/>
    <w:rsid w:val="0BC13BBB"/>
    <w:rsid w:val="0BE8F813"/>
    <w:rsid w:val="0C6CBAFB"/>
    <w:rsid w:val="0CAA4C67"/>
    <w:rsid w:val="0CC34CB2"/>
    <w:rsid w:val="0CC73428"/>
    <w:rsid w:val="0CD14466"/>
    <w:rsid w:val="0CE9EEEF"/>
    <w:rsid w:val="0DA362A8"/>
    <w:rsid w:val="0E2CD4CC"/>
    <w:rsid w:val="0E482E07"/>
    <w:rsid w:val="0E5B3AD7"/>
    <w:rsid w:val="0E607A66"/>
    <w:rsid w:val="0EAB2738"/>
    <w:rsid w:val="0EC95345"/>
    <w:rsid w:val="0F08BFBB"/>
    <w:rsid w:val="0F8C42E3"/>
    <w:rsid w:val="0FBF3C4C"/>
    <w:rsid w:val="0FD1ABA7"/>
    <w:rsid w:val="10173B25"/>
    <w:rsid w:val="11065853"/>
    <w:rsid w:val="11189290"/>
    <w:rsid w:val="112B2525"/>
    <w:rsid w:val="1199C767"/>
    <w:rsid w:val="119C2B36"/>
    <w:rsid w:val="1250306F"/>
    <w:rsid w:val="1294429D"/>
    <w:rsid w:val="134E5EE3"/>
    <w:rsid w:val="1386B7A1"/>
    <w:rsid w:val="13A6D802"/>
    <w:rsid w:val="13F211BA"/>
    <w:rsid w:val="1469F733"/>
    <w:rsid w:val="146D9A37"/>
    <w:rsid w:val="14A86ACB"/>
    <w:rsid w:val="14CFE2AC"/>
    <w:rsid w:val="151E0EF6"/>
    <w:rsid w:val="1525D9E5"/>
    <w:rsid w:val="158AF7FC"/>
    <w:rsid w:val="15E8724C"/>
    <w:rsid w:val="168F9B57"/>
    <w:rsid w:val="17042F12"/>
    <w:rsid w:val="17049F0E"/>
    <w:rsid w:val="1739A38D"/>
    <w:rsid w:val="175A6E5C"/>
    <w:rsid w:val="17861A81"/>
    <w:rsid w:val="17B043BD"/>
    <w:rsid w:val="17B480D1"/>
    <w:rsid w:val="180FBC9F"/>
    <w:rsid w:val="1810E981"/>
    <w:rsid w:val="1877E0AD"/>
    <w:rsid w:val="18BBDDAE"/>
    <w:rsid w:val="18E0C43B"/>
    <w:rsid w:val="18E62F40"/>
    <w:rsid w:val="190CDD50"/>
    <w:rsid w:val="19236F58"/>
    <w:rsid w:val="19EA8A70"/>
    <w:rsid w:val="19F982B9"/>
    <w:rsid w:val="1A9B8DC8"/>
    <w:rsid w:val="1AB69748"/>
    <w:rsid w:val="1AC2F424"/>
    <w:rsid w:val="1ADE586D"/>
    <w:rsid w:val="1B0A2AF5"/>
    <w:rsid w:val="1B427537"/>
    <w:rsid w:val="1B4BB599"/>
    <w:rsid w:val="1BAC36A1"/>
    <w:rsid w:val="1BF3496E"/>
    <w:rsid w:val="1C47B939"/>
    <w:rsid w:val="1CA4FF37"/>
    <w:rsid w:val="1CB3937E"/>
    <w:rsid w:val="1CBDEFA5"/>
    <w:rsid w:val="1D4233B9"/>
    <w:rsid w:val="1D464E0F"/>
    <w:rsid w:val="1E22EDFE"/>
    <w:rsid w:val="1E6ED225"/>
    <w:rsid w:val="1F109B83"/>
    <w:rsid w:val="1F1F2747"/>
    <w:rsid w:val="1F2CA505"/>
    <w:rsid w:val="1F4F63AF"/>
    <w:rsid w:val="1F5005BF"/>
    <w:rsid w:val="20260236"/>
    <w:rsid w:val="2050FD29"/>
    <w:rsid w:val="209E8383"/>
    <w:rsid w:val="2112D53B"/>
    <w:rsid w:val="21686378"/>
    <w:rsid w:val="217A2F13"/>
    <w:rsid w:val="21A9A655"/>
    <w:rsid w:val="22059A96"/>
    <w:rsid w:val="22185E6C"/>
    <w:rsid w:val="22A2DF16"/>
    <w:rsid w:val="22ED9A1A"/>
    <w:rsid w:val="22F862A6"/>
    <w:rsid w:val="2353F289"/>
    <w:rsid w:val="23C537CE"/>
    <w:rsid w:val="24184266"/>
    <w:rsid w:val="247AB055"/>
    <w:rsid w:val="2497E4DE"/>
    <w:rsid w:val="24A387B7"/>
    <w:rsid w:val="24B83078"/>
    <w:rsid w:val="24D158F8"/>
    <w:rsid w:val="24D371D6"/>
    <w:rsid w:val="255F69E9"/>
    <w:rsid w:val="25ACEF8A"/>
    <w:rsid w:val="25E7CDE4"/>
    <w:rsid w:val="25FE46F2"/>
    <w:rsid w:val="26BC10B9"/>
    <w:rsid w:val="26EC4C88"/>
    <w:rsid w:val="2713040C"/>
    <w:rsid w:val="273CAD68"/>
    <w:rsid w:val="274EC713"/>
    <w:rsid w:val="277F4A29"/>
    <w:rsid w:val="2794A746"/>
    <w:rsid w:val="279AA265"/>
    <w:rsid w:val="27B0E94B"/>
    <w:rsid w:val="27E14E84"/>
    <w:rsid w:val="27F4ACC2"/>
    <w:rsid w:val="28459E59"/>
    <w:rsid w:val="284D171A"/>
    <w:rsid w:val="287F8094"/>
    <w:rsid w:val="289E6675"/>
    <w:rsid w:val="28DFA5F6"/>
    <w:rsid w:val="292691E3"/>
    <w:rsid w:val="292F1349"/>
    <w:rsid w:val="292FAAAB"/>
    <w:rsid w:val="293124F7"/>
    <w:rsid w:val="293AB004"/>
    <w:rsid w:val="294C4C68"/>
    <w:rsid w:val="297B435F"/>
    <w:rsid w:val="29880629"/>
    <w:rsid w:val="29B25D3E"/>
    <w:rsid w:val="29DE6915"/>
    <w:rsid w:val="29EAAAF8"/>
    <w:rsid w:val="2A3BEA05"/>
    <w:rsid w:val="2B260A42"/>
    <w:rsid w:val="2B6916DD"/>
    <w:rsid w:val="2B8BE91C"/>
    <w:rsid w:val="2C04BCC1"/>
    <w:rsid w:val="2C097D92"/>
    <w:rsid w:val="2C0B86FE"/>
    <w:rsid w:val="2CB94090"/>
    <w:rsid w:val="2CC55B5E"/>
    <w:rsid w:val="2CDBD6AF"/>
    <w:rsid w:val="2D906130"/>
    <w:rsid w:val="2E0DE095"/>
    <w:rsid w:val="2E99008C"/>
    <w:rsid w:val="2F11E2CD"/>
    <w:rsid w:val="2F536218"/>
    <w:rsid w:val="2F6BC070"/>
    <w:rsid w:val="2F6E6582"/>
    <w:rsid w:val="2FBC6EC2"/>
    <w:rsid w:val="3040C41F"/>
    <w:rsid w:val="30705E7F"/>
    <w:rsid w:val="307F179E"/>
    <w:rsid w:val="308B7769"/>
    <w:rsid w:val="30F75531"/>
    <w:rsid w:val="316D4C6B"/>
    <w:rsid w:val="321EE6E1"/>
    <w:rsid w:val="32483D3B"/>
    <w:rsid w:val="3253F676"/>
    <w:rsid w:val="3265C553"/>
    <w:rsid w:val="326E8B97"/>
    <w:rsid w:val="32C6A8FE"/>
    <w:rsid w:val="331E2750"/>
    <w:rsid w:val="33259E30"/>
    <w:rsid w:val="3385849B"/>
    <w:rsid w:val="340524A4"/>
    <w:rsid w:val="348882F4"/>
    <w:rsid w:val="3499D4F3"/>
    <w:rsid w:val="34A697BD"/>
    <w:rsid w:val="352D5D9F"/>
    <w:rsid w:val="35ACEBEB"/>
    <w:rsid w:val="35D39D5F"/>
    <w:rsid w:val="35E2125D"/>
    <w:rsid w:val="35FF7FD9"/>
    <w:rsid w:val="36573CEF"/>
    <w:rsid w:val="36594A8F"/>
    <w:rsid w:val="36743649"/>
    <w:rsid w:val="3693C826"/>
    <w:rsid w:val="369ACBB3"/>
    <w:rsid w:val="36AD2D43"/>
    <w:rsid w:val="370B54B2"/>
    <w:rsid w:val="372B356F"/>
    <w:rsid w:val="37AAEA67"/>
    <w:rsid w:val="38419DA7"/>
    <w:rsid w:val="38C60EF0"/>
    <w:rsid w:val="38D8703E"/>
    <w:rsid w:val="3A8645BF"/>
    <w:rsid w:val="3AEA61E5"/>
    <w:rsid w:val="3BBAB991"/>
    <w:rsid w:val="3C09CCF5"/>
    <w:rsid w:val="3C26EEF2"/>
    <w:rsid w:val="3D0DEB8D"/>
    <w:rsid w:val="3D1D4451"/>
    <w:rsid w:val="3DF40901"/>
    <w:rsid w:val="3EACF37E"/>
    <w:rsid w:val="3F184FFB"/>
    <w:rsid w:val="3F6198AC"/>
    <w:rsid w:val="3F701AB6"/>
    <w:rsid w:val="3F8BE8C2"/>
    <w:rsid w:val="3FA66E3A"/>
    <w:rsid w:val="4018F755"/>
    <w:rsid w:val="403563BB"/>
    <w:rsid w:val="403AAA6C"/>
    <w:rsid w:val="40460721"/>
    <w:rsid w:val="40A7E0BD"/>
    <w:rsid w:val="40DF5706"/>
    <w:rsid w:val="4149ACD0"/>
    <w:rsid w:val="41CE5B71"/>
    <w:rsid w:val="42027FAD"/>
    <w:rsid w:val="42485FE8"/>
    <w:rsid w:val="428A1124"/>
    <w:rsid w:val="4319E83E"/>
    <w:rsid w:val="43D250AA"/>
    <w:rsid w:val="440F408C"/>
    <w:rsid w:val="44FDDCD7"/>
    <w:rsid w:val="451AE606"/>
    <w:rsid w:val="4562EC8F"/>
    <w:rsid w:val="4582C7A7"/>
    <w:rsid w:val="459BE790"/>
    <w:rsid w:val="45A4CFAA"/>
    <w:rsid w:val="45BCF0B8"/>
    <w:rsid w:val="45D3D749"/>
    <w:rsid w:val="45D5B50A"/>
    <w:rsid w:val="45F21F79"/>
    <w:rsid w:val="46012DBA"/>
    <w:rsid w:val="4607B629"/>
    <w:rsid w:val="462592A4"/>
    <w:rsid w:val="4687649F"/>
    <w:rsid w:val="469CFD3C"/>
    <w:rsid w:val="46E30882"/>
    <w:rsid w:val="470B669B"/>
    <w:rsid w:val="47111C2D"/>
    <w:rsid w:val="477FC73B"/>
    <w:rsid w:val="4781E709"/>
    <w:rsid w:val="47AEB7E4"/>
    <w:rsid w:val="47B9F5A5"/>
    <w:rsid w:val="492BF810"/>
    <w:rsid w:val="493EB51B"/>
    <w:rsid w:val="49CFA87A"/>
    <w:rsid w:val="4A07C5B9"/>
    <w:rsid w:val="4A3F2D04"/>
    <w:rsid w:val="4A731DB8"/>
    <w:rsid w:val="4B145D28"/>
    <w:rsid w:val="4B322656"/>
    <w:rsid w:val="4C6D58C0"/>
    <w:rsid w:val="4CCE1062"/>
    <w:rsid w:val="4D2AF0A7"/>
    <w:rsid w:val="4D51EC52"/>
    <w:rsid w:val="4DF90DD2"/>
    <w:rsid w:val="4F9116F1"/>
    <w:rsid w:val="503E47E7"/>
    <w:rsid w:val="506731D5"/>
    <w:rsid w:val="509E7BF9"/>
    <w:rsid w:val="511EE294"/>
    <w:rsid w:val="51A08566"/>
    <w:rsid w:val="51E1CCB7"/>
    <w:rsid w:val="529B3BE1"/>
    <w:rsid w:val="53783040"/>
    <w:rsid w:val="54404EFD"/>
    <w:rsid w:val="5485534D"/>
    <w:rsid w:val="54E92388"/>
    <w:rsid w:val="5533CC42"/>
    <w:rsid w:val="5570F0FD"/>
    <w:rsid w:val="55A21F33"/>
    <w:rsid w:val="55C8BA52"/>
    <w:rsid w:val="5607C394"/>
    <w:rsid w:val="560842A9"/>
    <w:rsid w:val="5610C18B"/>
    <w:rsid w:val="563B1242"/>
    <w:rsid w:val="566D1FD5"/>
    <w:rsid w:val="56BB2BC3"/>
    <w:rsid w:val="5709F047"/>
    <w:rsid w:val="570CC15E"/>
    <w:rsid w:val="578BA14C"/>
    <w:rsid w:val="57E2DE71"/>
    <w:rsid w:val="58558727"/>
    <w:rsid w:val="5883275D"/>
    <w:rsid w:val="58A25EEF"/>
    <w:rsid w:val="593A7893"/>
    <w:rsid w:val="59716160"/>
    <w:rsid w:val="598F4C1D"/>
    <w:rsid w:val="5990EE31"/>
    <w:rsid w:val="59A5702D"/>
    <w:rsid w:val="59B52865"/>
    <w:rsid w:val="59FD2674"/>
    <w:rsid w:val="5A3544FA"/>
    <w:rsid w:val="5A50FFA1"/>
    <w:rsid w:val="5A55C628"/>
    <w:rsid w:val="5A6045E6"/>
    <w:rsid w:val="5A9AEC04"/>
    <w:rsid w:val="5B1912B6"/>
    <w:rsid w:val="5B3E6D00"/>
    <w:rsid w:val="5B4C8F3A"/>
    <w:rsid w:val="5BA82E90"/>
    <w:rsid w:val="5C2B1DBD"/>
    <w:rsid w:val="5C770518"/>
    <w:rsid w:val="5C811609"/>
    <w:rsid w:val="5CB28981"/>
    <w:rsid w:val="5D40B5A2"/>
    <w:rsid w:val="5D52E788"/>
    <w:rsid w:val="5D908AD1"/>
    <w:rsid w:val="5DCAF9EA"/>
    <w:rsid w:val="5E12BA43"/>
    <w:rsid w:val="5E7891D9"/>
    <w:rsid w:val="5E8AFEEA"/>
    <w:rsid w:val="5EC5437D"/>
    <w:rsid w:val="5EC6AFD6"/>
    <w:rsid w:val="5EFEB80C"/>
    <w:rsid w:val="5F2D9F9E"/>
    <w:rsid w:val="5F3962FD"/>
    <w:rsid w:val="5F5B9B42"/>
    <w:rsid w:val="5F5C9761"/>
    <w:rsid w:val="5FDABECD"/>
    <w:rsid w:val="600C4D6B"/>
    <w:rsid w:val="6081ECAE"/>
    <w:rsid w:val="60AEDC48"/>
    <w:rsid w:val="60ED72D2"/>
    <w:rsid w:val="6112F0B6"/>
    <w:rsid w:val="6208CB33"/>
    <w:rsid w:val="6274A8FB"/>
    <w:rsid w:val="627FF447"/>
    <w:rsid w:val="62917E1A"/>
    <w:rsid w:val="62F74F9D"/>
    <w:rsid w:val="634A2A34"/>
    <w:rsid w:val="6393C31A"/>
    <w:rsid w:val="63A4A153"/>
    <w:rsid w:val="63D23970"/>
    <w:rsid w:val="641CF361"/>
    <w:rsid w:val="644F2F68"/>
    <w:rsid w:val="6519E5B3"/>
    <w:rsid w:val="65695AAD"/>
    <w:rsid w:val="65950AA5"/>
    <w:rsid w:val="65BDFFDE"/>
    <w:rsid w:val="65BEB631"/>
    <w:rsid w:val="66118AD8"/>
    <w:rsid w:val="66DDD193"/>
    <w:rsid w:val="6723B3AC"/>
    <w:rsid w:val="676E188A"/>
    <w:rsid w:val="67A03652"/>
    <w:rsid w:val="67A73F0E"/>
    <w:rsid w:val="67CBA38E"/>
    <w:rsid w:val="67D4F91D"/>
    <w:rsid w:val="6800C69F"/>
    <w:rsid w:val="684EE390"/>
    <w:rsid w:val="684F509E"/>
    <w:rsid w:val="6866C5DD"/>
    <w:rsid w:val="6881FB43"/>
    <w:rsid w:val="68DA2DCB"/>
    <w:rsid w:val="691A52E6"/>
    <w:rsid w:val="69406CB0"/>
    <w:rsid w:val="6A631861"/>
    <w:rsid w:val="6AF9F67D"/>
    <w:rsid w:val="6AFFE24C"/>
    <w:rsid w:val="6B44EE0B"/>
    <w:rsid w:val="6C1CDED4"/>
    <w:rsid w:val="6C613DAA"/>
    <w:rsid w:val="6C94E843"/>
    <w:rsid w:val="6CDD1A9B"/>
    <w:rsid w:val="6D0180E2"/>
    <w:rsid w:val="6D7459B7"/>
    <w:rsid w:val="6DA7CCB7"/>
    <w:rsid w:val="6DFF9C58"/>
    <w:rsid w:val="6E749222"/>
    <w:rsid w:val="6E8CCBE3"/>
    <w:rsid w:val="6EA60900"/>
    <w:rsid w:val="6ECE32DE"/>
    <w:rsid w:val="6F4F54A8"/>
    <w:rsid w:val="6FE99873"/>
    <w:rsid w:val="701389B1"/>
    <w:rsid w:val="702C3482"/>
    <w:rsid w:val="7083E96B"/>
    <w:rsid w:val="708B66DC"/>
    <w:rsid w:val="70EF8542"/>
    <w:rsid w:val="7126F85B"/>
    <w:rsid w:val="71359FA7"/>
    <w:rsid w:val="713F8FDA"/>
    <w:rsid w:val="717BDA6C"/>
    <w:rsid w:val="71AF3C3F"/>
    <w:rsid w:val="71DAEA89"/>
    <w:rsid w:val="71F0BF8F"/>
    <w:rsid w:val="7234C4D3"/>
    <w:rsid w:val="72F5ABAC"/>
    <w:rsid w:val="731BF4E2"/>
    <w:rsid w:val="732D7637"/>
    <w:rsid w:val="73371EA5"/>
    <w:rsid w:val="733F3646"/>
    <w:rsid w:val="7425DBDA"/>
    <w:rsid w:val="7475EFF5"/>
    <w:rsid w:val="748A7A4E"/>
    <w:rsid w:val="748D17AC"/>
    <w:rsid w:val="7499B1B8"/>
    <w:rsid w:val="74E1CF9E"/>
    <w:rsid w:val="757EEE83"/>
    <w:rsid w:val="75861598"/>
    <w:rsid w:val="758C4F96"/>
    <w:rsid w:val="759526EC"/>
    <w:rsid w:val="75AB7231"/>
    <w:rsid w:val="75D828ED"/>
    <w:rsid w:val="7606EBEE"/>
    <w:rsid w:val="7665C1BA"/>
    <w:rsid w:val="7667432B"/>
    <w:rsid w:val="7669FE39"/>
    <w:rsid w:val="76A4C251"/>
    <w:rsid w:val="76B49A60"/>
    <w:rsid w:val="76D5F08D"/>
    <w:rsid w:val="770EA5BE"/>
    <w:rsid w:val="773EFE67"/>
    <w:rsid w:val="77A5878D"/>
    <w:rsid w:val="77B3356F"/>
    <w:rsid w:val="78105640"/>
    <w:rsid w:val="7831E6A0"/>
    <w:rsid w:val="78BC7B3F"/>
    <w:rsid w:val="78E5EBBD"/>
    <w:rsid w:val="7926429F"/>
    <w:rsid w:val="798DE785"/>
    <w:rsid w:val="79A1ED03"/>
    <w:rsid w:val="7A8403F2"/>
    <w:rsid w:val="7A9DB2F1"/>
    <w:rsid w:val="7AD22BB2"/>
    <w:rsid w:val="7B75D586"/>
    <w:rsid w:val="7C084A2F"/>
    <w:rsid w:val="7C4D991F"/>
    <w:rsid w:val="7CDC54C2"/>
    <w:rsid w:val="7CF91CAD"/>
    <w:rsid w:val="7D48047B"/>
    <w:rsid w:val="7D8EF043"/>
    <w:rsid w:val="7DB250FD"/>
    <w:rsid w:val="7DBD393E"/>
    <w:rsid w:val="7DC11674"/>
    <w:rsid w:val="7DCFE997"/>
    <w:rsid w:val="7DD9DB7F"/>
    <w:rsid w:val="7DDC6B35"/>
    <w:rsid w:val="7DE5B7FC"/>
    <w:rsid w:val="7E03EF3C"/>
    <w:rsid w:val="7E86C8E9"/>
    <w:rsid w:val="7F1A3C60"/>
    <w:rsid w:val="7F7028E5"/>
    <w:rsid w:val="7F942237"/>
    <w:rsid w:val="7FB5E197"/>
    <w:rsid w:val="7FC28F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9A1CBB0"/>
  <w15:chartTrackingRefBased/>
  <w15:docId w15:val="{05940A52-8464-4CE2-90F9-27516F22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33"/>
    <w:lsdException w:name="heading 2" w:semiHidden="1" w:uiPriority="33" w:unhideWhenUsed="1"/>
    <w:lsdException w:name="heading 3" w:semiHidden="1" w:uiPriority="33" w:unhideWhenUsed="1"/>
    <w:lsdException w:name="heading 4" w:semiHidden="1" w:uiPriority="33" w:unhideWhenUsed="1"/>
    <w:lsdException w:name="heading 5" w:semiHidden="1" w:uiPriority="33" w:unhideWhenUsed="1"/>
    <w:lsdException w:name="heading 6" w:semiHidden="1" w:uiPriority="33" w:unhideWhenUsed="1"/>
    <w:lsdException w:name="heading 7" w:semiHidden="1" w:uiPriority="33" w:unhideWhenUsed="1"/>
    <w:lsdException w:name="heading 8" w:semiHidden="1" w:uiPriority="33" w:unhideWhenUsed="1"/>
    <w:lsdException w:name="heading 9" w:semiHidden="1" w:uiPriority="3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08C9"/>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5F1C11"/>
    <w:pPr>
      <w:tabs>
        <w:tab w:val="left" w:pos="851"/>
      </w:tabs>
      <w:jc w:val="left"/>
    </w:pPr>
  </w:style>
  <w:style w:type="paragraph" w:customStyle="1" w:styleId="P2-B1Paragraph2-Bullet1">
    <w:name w:val="[P2-B1] Paragraph 2 - Bullet 1"/>
    <w:basedOn w:val="BTBodyText"/>
    <w:link w:val="P2-B1Paragraph2-Bullet1Char"/>
    <w:uiPriority w:val="6"/>
    <w:qFormat/>
    <w:rsid w:val="00C45722"/>
    <w:pPr>
      <w:spacing w:after="120"/>
    </w:pPr>
  </w:style>
  <w:style w:type="character" w:customStyle="1" w:styleId="P1-N1Paragraph1-Number1Char">
    <w:name w:val="[P1-N1] Paragraph 1 - Number 1 Char"/>
    <w:basedOn w:val="BTBodyTextChar"/>
    <w:link w:val="P1-N1Paragraph1-Number1"/>
    <w:uiPriority w:val="6"/>
    <w:rsid w:val="005F1C11"/>
  </w:style>
  <w:style w:type="paragraph" w:customStyle="1" w:styleId="P3-B2Paragraph3-Bullet2">
    <w:name w:val="[P3-B2] Paragraph 3 - Bullet 2"/>
    <w:basedOn w:val="BTBodyText"/>
    <w:link w:val="P3-B2Paragraph3-Bullet2Char"/>
    <w:uiPriority w:val="6"/>
    <w:qFormat/>
    <w:rsid w:val="00C45722"/>
    <w:p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spacing w:after="120"/>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spacing w:after="120"/>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spacing w:after="120"/>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s,Footnote ak,ft,fn cafc,fn Char Char,footnote text Char Char,Footnotes Char Char,Footnote ak Char Char,Footnote Text Char2,Footnote Text Char1 Char1,Footnote Text Char Char Char,Footnote Text Char1,C,Car,f,Ca,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s Char,Footnote ak Char,ft Char,fn cafc Char,fn Char Char Char,footnote text Char Char Char,Footnotes Char Char Char,Footnote ak Char Char Char,Footnote Text Char2 Char,Footnote Text Char1 Char1 Char,C Char,Car Char"/>
    <w:basedOn w:val="DefaultParagraphFont"/>
    <w:link w:val="FootnoteText"/>
    <w:uiPriority w:val="99"/>
    <w:qFormat/>
    <w:rsid w:val="00EE47D1"/>
    <w:rPr>
      <w:sz w:val="18"/>
      <w:szCs w:val="20"/>
    </w:rPr>
  </w:style>
  <w:style w:type="character" w:styleId="FootnoteReference">
    <w:name w:val="footnote reference"/>
    <w:aliases w:val="Ref,de nota al pie,-E Fußnotenzeichen,11 pt,Footnote Reference1,Ref1,de nota al pie + (Asian) MS Mincho,de nota al pie1,f?,註????腳內—e,註?腳內—e,註腳內容,(NECG) Footnote Reference,11,11 p,EN Footnote Reference,Footnote number,Not ...,fr,???"/>
    <w:basedOn w:val="DefaultParagraphFont"/>
    <w:link w:val="CharChar6CharCharCharCharCharChar"/>
    <w:uiPriority w:val="99"/>
    <w:qFormat/>
    <w:rsid w:val="00BD0E60"/>
    <w:rPr>
      <w:rFonts w:ascii="Calibri" w:hAnsi="Calibri"/>
      <w:vertAlign w:val="superscript"/>
    </w:rPr>
  </w:style>
  <w:style w:type="character" w:customStyle="1" w:styleId="UnresolvedMention1">
    <w:name w:val="Unresolved Mention1"/>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A56CA8"/>
    <w:rPr>
      <w:sz w:val="16"/>
      <w:szCs w:val="16"/>
    </w:rPr>
  </w:style>
  <w:style w:type="paragraph" w:styleId="CommentText">
    <w:name w:val="annotation text"/>
    <w:basedOn w:val="Normal"/>
    <w:link w:val="CommentTextChar"/>
    <w:uiPriority w:val="99"/>
    <w:semiHidden/>
    <w:unhideWhenUsed/>
    <w:rsid w:val="00A56CA8"/>
    <w:pPr>
      <w:spacing w:line="240" w:lineRule="auto"/>
    </w:pPr>
    <w:rPr>
      <w:sz w:val="20"/>
      <w:szCs w:val="20"/>
    </w:rPr>
  </w:style>
  <w:style w:type="character" w:customStyle="1" w:styleId="CommentTextChar">
    <w:name w:val="Comment Text Char"/>
    <w:basedOn w:val="DefaultParagraphFont"/>
    <w:link w:val="CommentText"/>
    <w:uiPriority w:val="99"/>
    <w:semiHidden/>
    <w:rsid w:val="00A56CA8"/>
    <w:rPr>
      <w:sz w:val="20"/>
      <w:szCs w:val="20"/>
    </w:rPr>
  </w:style>
  <w:style w:type="paragraph" w:styleId="CommentSubject">
    <w:name w:val="annotation subject"/>
    <w:basedOn w:val="CommentText"/>
    <w:next w:val="CommentText"/>
    <w:link w:val="CommentSubjectChar"/>
    <w:uiPriority w:val="99"/>
    <w:semiHidden/>
    <w:unhideWhenUsed/>
    <w:rsid w:val="00A56CA8"/>
    <w:rPr>
      <w:b/>
      <w:bCs/>
    </w:rPr>
  </w:style>
  <w:style w:type="character" w:customStyle="1" w:styleId="CommentSubjectChar">
    <w:name w:val="Comment Subject Char"/>
    <w:basedOn w:val="CommentTextChar"/>
    <w:link w:val="CommentSubject"/>
    <w:uiPriority w:val="99"/>
    <w:semiHidden/>
    <w:rsid w:val="00A56CA8"/>
    <w:rPr>
      <w:b/>
      <w:bCs/>
      <w:sz w:val="20"/>
      <w:szCs w:val="20"/>
    </w:rPr>
  </w:style>
  <w:style w:type="paragraph" w:customStyle="1" w:styleId="CharChar6CharCharCharCharCharChar">
    <w:name w:val="Char Char6 Char Char Char Char Char Char"/>
    <w:aliases w:val="Char6 Char Char Char Char Char Char Char"/>
    <w:basedOn w:val="Normal"/>
    <w:link w:val="FootnoteReference"/>
    <w:uiPriority w:val="99"/>
    <w:rsid w:val="00FA7AC1"/>
    <w:pPr>
      <w:jc w:val="center"/>
    </w:pPr>
    <w:rPr>
      <w:vertAlign w:val="superscript"/>
    </w:rPr>
  </w:style>
  <w:style w:type="table" w:styleId="GridTable1Light">
    <w:name w:val="Grid Table 1 Light"/>
    <w:basedOn w:val="TableNormal"/>
    <w:uiPriority w:val="46"/>
    <w:rsid w:val="00FA7AC1"/>
    <w:pPr>
      <w:spacing w:after="0" w:line="240" w:lineRule="auto"/>
      <w:jc w:val="left"/>
    </w:pPr>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07D95"/>
    <w:pPr>
      <w:spacing w:after="0" w:line="240" w:lineRule="auto"/>
      <w:jc w:val="left"/>
    </w:pPr>
  </w:style>
  <w:style w:type="paragraph" w:customStyle="1" w:styleId="Default">
    <w:name w:val="Default"/>
    <w:rsid w:val="004246DB"/>
    <w:pPr>
      <w:autoSpaceDE w:val="0"/>
      <w:autoSpaceDN w:val="0"/>
      <w:adjustRightInd w:val="0"/>
      <w:spacing w:after="0" w:line="240" w:lineRule="auto"/>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5484">
      <w:bodyDiv w:val="1"/>
      <w:marLeft w:val="0"/>
      <w:marRight w:val="0"/>
      <w:marTop w:val="0"/>
      <w:marBottom w:val="0"/>
      <w:divBdr>
        <w:top w:val="none" w:sz="0" w:space="0" w:color="auto"/>
        <w:left w:val="none" w:sz="0" w:space="0" w:color="auto"/>
        <w:bottom w:val="none" w:sz="0" w:space="0" w:color="auto"/>
        <w:right w:val="none" w:sz="0" w:space="0" w:color="auto"/>
      </w:divBdr>
    </w:div>
    <w:div w:id="142822769">
      <w:bodyDiv w:val="1"/>
      <w:marLeft w:val="0"/>
      <w:marRight w:val="0"/>
      <w:marTop w:val="0"/>
      <w:marBottom w:val="0"/>
      <w:divBdr>
        <w:top w:val="none" w:sz="0" w:space="0" w:color="auto"/>
        <w:left w:val="none" w:sz="0" w:space="0" w:color="auto"/>
        <w:bottom w:val="none" w:sz="0" w:space="0" w:color="auto"/>
        <w:right w:val="none" w:sz="0" w:space="0" w:color="auto"/>
      </w:divBdr>
    </w:div>
    <w:div w:id="1608735830">
      <w:bodyDiv w:val="1"/>
      <w:marLeft w:val="0"/>
      <w:marRight w:val="0"/>
      <w:marTop w:val="0"/>
      <w:marBottom w:val="0"/>
      <w:divBdr>
        <w:top w:val="none" w:sz="0" w:space="0" w:color="auto"/>
        <w:left w:val="none" w:sz="0" w:space="0" w:color="auto"/>
        <w:bottom w:val="none" w:sz="0" w:space="0" w:color="auto"/>
        <w:right w:val="none" w:sz="0" w:space="0" w:color="auto"/>
      </w:divBdr>
    </w:div>
    <w:div w:id="2110197444">
      <w:bodyDiv w:val="1"/>
      <w:marLeft w:val="0"/>
      <w:marRight w:val="0"/>
      <w:marTop w:val="0"/>
      <w:marBottom w:val="0"/>
      <w:divBdr>
        <w:top w:val="none" w:sz="0" w:space="0" w:color="auto"/>
        <w:left w:val="none" w:sz="0" w:space="0" w:color="auto"/>
        <w:bottom w:val="none" w:sz="0" w:space="0" w:color="auto"/>
        <w:right w:val="none" w:sz="0" w:space="0" w:color="auto"/>
      </w:divBdr>
    </w:div>
    <w:div w:id="21237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wto.org/dol2fe/Pages/FE_Search/FE_S_S006.aspx?DataSource=Cat&amp;query=@Symbol=WT/DS169/R&amp;Language=English&amp;Context=ScriptedSearches&amp;languageUIChanged=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wto.org/dol2fe/Pages/FE_Search/FE_S_S006.aspx?DataSource=Cat&amp;query=@Symbol=WT/DS161/R&amp;Language=English&amp;Context=ScriptedSearches&amp;languageUIChanged=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wto.org/dol2fe/Pages/FE_Search/FE_S_S006.aspx?DataSource=Cat&amp;query=@Symbol=WT/DS511/R*&amp;Language=English&amp;Context=ScriptedSearches&amp;languageUIChanged=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TN\OTN_Common\WTO%20Dispute%20-%20India%20Sugar\Template%20for%20Written%20Submissions\WTO_DisputeReport_Template_Blank_20032020v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7" ma:contentTypeDescription="Create a new document." ma:contentTypeScope="" ma:versionID="556744d60005e0d53c4c238f762de1fb">
  <xsd:schema xmlns:xsd="http://www.w3.org/2001/XMLSchema" xmlns:xs="http://www.w3.org/2001/XMLSchema" xmlns:p="http://schemas.microsoft.com/office/2006/metadata/properties" xmlns:ns3="597858cc-b9c1-4b7d-843c-c441145cab82" xmlns:ns4="69dde7e3-3707-4dc6-894e-213b60222617" targetNamespace="http://schemas.microsoft.com/office/2006/metadata/properties" ma:root="true" ma:fieldsID="48991a847018ebd0e9641eaa73422a95" ns3:_="" ns4:_="">
    <xsd:import namespace="597858cc-b9c1-4b7d-843c-c441145cab82"/>
    <xsd:import namespace="69dde7e3-3707-4dc6-894e-213b602226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240E-CBA0-451D-8560-A0B54B5B957C}">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97858cc-b9c1-4b7d-843c-c441145cab82"/>
    <ds:schemaRef ds:uri="69dde7e3-3707-4dc6-894e-213b6022261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73CA6A-5B81-4AF4-A676-395453C701E1}">
  <ds:schemaRefs>
    <ds:schemaRef ds:uri="http://schemas.microsoft.com/sharepoint/v3/contenttype/forms"/>
  </ds:schemaRefs>
</ds:datastoreItem>
</file>

<file path=customXml/itemProps3.xml><?xml version="1.0" encoding="utf-8"?>
<ds:datastoreItem xmlns:ds="http://schemas.openxmlformats.org/officeDocument/2006/customXml" ds:itemID="{9C24A3E3-AFA9-47B7-B9DE-BA214F89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858cc-b9c1-4b7d-843c-c441145cab82"/>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792DA-2C75-4B4F-9644-EA922346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WTO_DisputeReport_Template_Blank_20032020v4-9.dotx</Template>
  <TotalTime>8</TotalTime>
  <Pages>24</Pages>
  <Words>6033</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dc:creator>
  <cp:keywords/>
  <dc:description/>
  <cp:lastModifiedBy>Australia</cp:lastModifiedBy>
  <cp:revision>7</cp:revision>
  <cp:lastPrinted>2020-12-10T01:58:00Z</cp:lastPrinted>
  <dcterms:created xsi:type="dcterms:W3CDTF">2020-12-10T01:49:00Z</dcterms:created>
  <dcterms:modified xsi:type="dcterms:W3CDTF">2020-12-10T01:59:00Z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61c6b933-15f9-4eaa-84d5-a32cb46ce253</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0x010100C19E693D3678C94CB8EEFC711F5CF666</vt:lpwstr>
  </property>
</Properties>
</file>