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660ED" w14:textId="4118B60B" w:rsidR="00E80183" w:rsidRDefault="00E80183" w:rsidP="001F138A">
      <w:pPr>
        <w:pStyle w:val="Heading1"/>
        <w:jc w:val="center"/>
      </w:pPr>
      <w:r>
        <w:t>AusAID’s Disability Inclusive Development Reference Group</w:t>
      </w:r>
      <w:r w:rsidR="001F138A">
        <w:br/>
      </w:r>
      <w:r>
        <w:t>S</w:t>
      </w:r>
      <w:r w:rsidR="00303B2B">
        <w:t>eventh</w:t>
      </w:r>
      <w:r>
        <w:t xml:space="preserve"> Meeting </w:t>
      </w:r>
      <w:r w:rsidR="00303B2B">
        <w:t>28-30 May 2013</w:t>
      </w:r>
    </w:p>
    <w:p w14:paraId="6551261C" w14:textId="35140CE4" w:rsidR="00E80183" w:rsidRDefault="00E80183" w:rsidP="001F138A">
      <w:pPr>
        <w:pStyle w:val="Heading1"/>
        <w:jc w:val="center"/>
      </w:pPr>
      <w:r>
        <w:t>Communiqué</w:t>
      </w:r>
      <w:bookmarkStart w:id="0" w:name="_GoBack"/>
      <w:bookmarkEnd w:id="0"/>
    </w:p>
    <w:p w14:paraId="752FDAFB" w14:textId="77777777" w:rsidR="00E80183" w:rsidRDefault="00E80183" w:rsidP="00E80183">
      <w:pPr>
        <w:jc w:val="both"/>
      </w:pPr>
    </w:p>
    <w:p w14:paraId="47F0D515" w14:textId="77777777" w:rsidR="00E80183" w:rsidRPr="00303B2B" w:rsidRDefault="00E80183" w:rsidP="00D80B46">
      <w:pPr>
        <w:pStyle w:val="Header"/>
        <w:tabs>
          <w:tab w:val="clear" w:pos="4153"/>
          <w:tab w:val="clear" w:pos="8306"/>
        </w:tabs>
        <w:jc w:val="both"/>
      </w:pPr>
      <w:r>
        <w:t>The s</w:t>
      </w:r>
      <w:r w:rsidR="00303B2B">
        <w:t>eventh</w:t>
      </w:r>
      <w:r>
        <w:t xml:space="preserve"> formal meeting of AusAID</w:t>
      </w:r>
      <w:r w:rsidR="00D80B46">
        <w:t>’s</w:t>
      </w:r>
      <w:r>
        <w:t xml:space="preserve"> Disability-Inclusive Development Reference Group (DRG) was held in </w:t>
      </w:r>
      <w:r w:rsidR="00303B2B">
        <w:t>Canberra, 28-30 May 2013</w:t>
      </w:r>
      <w:r>
        <w:t>. Current members of the DRG are:</w:t>
      </w:r>
      <w:r w:rsidRPr="004C3365">
        <w:t xml:space="preserve"> </w:t>
      </w:r>
      <w:r>
        <w:t xml:space="preserve">Senator Monthian Buntan from Thailand, </w:t>
      </w:r>
      <w:r w:rsidRPr="004C3365">
        <w:t>Charlotte McClain-Nhlapo</w:t>
      </w:r>
      <w:r>
        <w:t xml:space="preserve">, Coordinator of the </w:t>
      </w:r>
      <w:r w:rsidRPr="004C3365">
        <w:t>Office for Disability and Inclusive Development</w:t>
      </w:r>
      <w:r>
        <w:t xml:space="preserve"> at </w:t>
      </w:r>
      <w:r w:rsidRPr="004C3365">
        <w:t>USAID</w:t>
      </w:r>
      <w:r w:rsidR="0086667F">
        <w:rPr>
          <w:lang w:val="en-US"/>
        </w:rPr>
        <w:t>;</w:t>
      </w:r>
      <w:r w:rsidR="0086667F" w:rsidRPr="004C3365">
        <w:t xml:space="preserve"> </w:t>
      </w:r>
      <w:r>
        <w:t xml:space="preserve">Setareki Macanawai, Chief Executive Officer of the </w:t>
      </w:r>
      <w:r w:rsidRPr="004C3365">
        <w:t>Pacific Disability Forum;</w:t>
      </w:r>
      <w:r>
        <w:t xml:space="preserve"> </w:t>
      </w:r>
      <w:r w:rsidRPr="004C3365">
        <w:t xml:space="preserve">Ingar Duering, </w:t>
      </w:r>
      <w:r w:rsidRPr="004514F9">
        <w:t xml:space="preserve">Head of Sector Initiative </w:t>
      </w:r>
      <w:r w:rsidR="00A100DC">
        <w:t xml:space="preserve">“Inclusion of </w:t>
      </w:r>
      <w:r w:rsidRPr="004514F9">
        <w:t>Persons with Disabilit</w:t>
      </w:r>
      <w:r>
        <w:t>ies</w:t>
      </w:r>
      <w:r w:rsidR="00A100DC">
        <w:t>”</w:t>
      </w:r>
      <w:r>
        <w:t xml:space="preserve">, at </w:t>
      </w:r>
      <w:r w:rsidRPr="000E2FC4">
        <w:t>Deutsche Gesellschaft für Internationale Zusammenarbeit</w:t>
      </w:r>
      <w:r>
        <w:t xml:space="preserve"> (</w:t>
      </w:r>
      <w:r w:rsidRPr="004514F9">
        <w:t>GIZ</w:t>
      </w:r>
      <w:r>
        <w:t xml:space="preserve">); Rosemary </w:t>
      </w:r>
      <w:r w:rsidRPr="004C3365">
        <w:t>Kayess</w:t>
      </w:r>
      <w:r>
        <w:t>,</w:t>
      </w:r>
      <w:r w:rsidRPr="004C3365">
        <w:t xml:space="preserve"> Director</w:t>
      </w:r>
      <w:r>
        <w:t xml:space="preserve"> of </w:t>
      </w:r>
      <w:r w:rsidRPr="004C3365">
        <w:t>Human Rights and Disability Projects</w:t>
      </w:r>
      <w:r>
        <w:t xml:space="preserve"> at the Australian Human Rights Centre, </w:t>
      </w:r>
      <w:r w:rsidRPr="004C3365">
        <w:t>University of New South Wales</w:t>
      </w:r>
      <w:r>
        <w:t>; and Deborah Rhodes on behalf of the Australian Disability and Development Consortium</w:t>
      </w:r>
      <w:r w:rsidR="0086667F">
        <w:rPr>
          <w:lang w:val="en-US"/>
        </w:rPr>
        <w:t xml:space="preserve"> (ADDC)</w:t>
      </w:r>
      <w:r>
        <w:t xml:space="preserve">.  Frederick Miller, Disability Coordinator </w:t>
      </w:r>
      <w:r w:rsidR="00303B2B">
        <w:t xml:space="preserve">at the University of the South Pacific, and Carrie Netting, </w:t>
      </w:r>
      <w:r w:rsidR="0013704D">
        <w:t>from the UK’s Department of International Development</w:t>
      </w:r>
      <w:r w:rsidR="00303B2B">
        <w:t xml:space="preserve">, </w:t>
      </w:r>
      <w:r w:rsidR="0013704D">
        <w:t xml:space="preserve">and future secondee to AusAID, </w:t>
      </w:r>
      <w:r w:rsidR="00303B2B">
        <w:t>also attended as observers.</w:t>
      </w:r>
    </w:p>
    <w:p w14:paraId="7D2B50E1" w14:textId="77777777" w:rsidR="00E80183" w:rsidRDefault="00E80183" w:rsidP="00E80183">
      <w:pPr>
        <w:jc w:val="both"/>
      </w:pPr>
    </w:p>
    <w:p w14:paraId="01CAC82B" w14:textId="77777777" w:rsidR="00E80183" w:rsidRPr="00164F37" w:rsidRDefault="00E80183" w:rsidP="00E80183">
      <w:pPr>
        <w:rPr>
          <w:b/>
        </w:rPr>
      </w:pPr>
      <w:r w:rsidRPr="00164F37">
        <w:rPr>
          <w:b/>
        </w:rPr>
        <w:t xml:space="preserve">Purpose  </w:t>
      </w:r>
    </w:p>
    <w:p w14:paraId="5B6DD9FC" w14:textId="77777777" w:rsidR="00E80183" w:rsidRDefault="00E80183" w:rsidP="00E8018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 xml:space="preserve">The DRG was established to provide high level insights and advice on the implementation of AusAID’s </w:t>
      </w:r>
      <w:r w:rsidRPr="00343328">
        <w:rPr>
          <w:i/>
        </w:rPr>
        <w:t>Development for All</w:t>
      </w:r>
      <w:r>
        <w:t xml:space="preserve"> strategy.  Objectives for the </w:t>
      </w:r>
      <w:r w:rsidR="00303B2B">
        <w:t xml:space="preserve">seventh </w:t>
      </w:r>
      <w:r>
        <w:t>meeting for AusAID were:</w:t>
      </w:r>
    </w:p>
    <w:p w14:paraId="20507384" w14:textId="77777777" w:rsidR="00303B2B" w:rsidRDefault="00303B2B" w:rsidP="00303B2B">
      <w:pPr>
        <w:jc w:val="both"/>
      </w:pPr>
    </w:p>
    <w:p w14:paraId="496C46B3" w14:textId="77777777" w:rsidR="00716031" w:rsidRDefault="00716031" w:rsidP="0071603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60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review AusAID’s progress against </w:t>
      </w:r>
      <w:r w:rsidRPr="0071603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Development for All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9E12043" w14:textId="77777777" w:rsidR="00716031" w:rsidRDefault="00716031" w:rsidP="0071603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9F7F03" w14:textId="23F468CF" w:rsidR="00716031" w:rsidRPr="00716031" w:rsidRDefault="00716031" w:rsidP="0071603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Pr="00716031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 guidance to AusAID on key policy issues such as including peo</w:t>
      </w:r>
      <w:r w:rsidR="00FF7F52">
        <w:rPr>
          <w:rFonts w:ascii="Times New Roman" w:eastAsia="Times New Roman" w:hAnsi="Times New Roman" w:cs="Times New Roman"/>
          <w:sz w:val="24"/>
          <w:szCs w:val="24"/>
          <w:lang w:eastAsia="en-AU"/>
        </w:rPr>
        <w:t>ple with disability within the post-</w:t>
      </w:r>
      <w:r w:rsidRPr="007160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2015 </w:t>
      </w:r>
      <w:r w:rsidR="00FF7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development </w:t>
      </w:r>
      <w:r w:rsidRPr="007160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agenda </w:t>
      </w:r>
    </w:p>
    <w:p w14:paraId="7DD8534E" w14:textId="77777777" w:rsidR="00716031" w:rsidRDefault="00716031" w:rsidP="00716031"/>
    <w:p w14:paraId="6F00C088" w14:textId="443D55F2" w:rsidR="00716031" w:rsidRPr="00716031" w:rsidRDefault="00716031" w:rsidP="0071603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6031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FF7F52">
        <w:rPr>
          <w:rFonts w:ascii="Times New Roman" w:eastAsia="Times New Roman" w:hAnsi="Times New Roman" w:cs="Times New Roman"/>
          <w:sz w:val="24"/>
          <w:szCs w:val="24"/>
          <w:lang w:eastAsia="en-AU"/>
        </w:rPr>
        <w:t>o raise awareness of disability-</w:t>
      </w:r>
      <w:r w:rsidRPr="00716031">
        <w:rPr>
          <w:rFonts w:ascii="Times New Roman" w:eastAsia="Times New Roman" w:hAnsi="Times New Roman" w:cs="Times New Roman"/>
          <w:sz w:val="24"/>
          <w:szCs w:val="24"/>
          <w:lang w:eastAsia="en-AU"/>
        </w:rPr>
        <w:t>inclusive development with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key stakeholders within and external to AusAID including</w:t>
      </w:r>
      <w:r w:rsidR="00E939B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AusAID’s Senior Executive,</w:t>
      </w:r>
      <w:r w:rsidR="00FF7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arliamentarians and the academic community.</w:t>
      </w:r>
    </w:p>
    <w:p w14:paraId="0AE72283" w14:textId="77777777" w:rsidR="00716031" w:rsidRDefault="00716031" w:rsidP="00716031"/>
    <w:p w14:paraId="6023ADDD" w14:textId="77777777" w:rsidR="00E80183" w:rsidRPr="00A0122D" w:rsidRDefault="00E80183" w:rsidP="00E80183">
      <w:pPr>
        <w:jc w:val="both"/>
        <w:rPr>
          <w:b/>
        </w:rPr>
      </w:pPr>
      <w:r w:rsidRPr="00A0122D">
        <w:rPr>
          <w:b/>
        </w:rPr>
        <w:t>Summary</w:t>
      </w:r>
    </w:p>
    <w:p w14:paraId="53D1F2EA" w14:textId="3453C4AA" w:rsidR="00E80183" w:rsidRDefault="00E80183" w:rsidP="00E8018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>The meeting provided an opportunity to discuss issues such</w:t>
      </w:r>
      <w:r w:rsidR="00716031">
        <w:t xml:space="preserve"> as </w:t>
      </w:r>
      <w:r w:rsidR="00A100DC">
        <w:t xml:space="preserve">the </w:t>
      </w:r>
      <w:r w:rsidR="00303B2B">
        <w:t>implementation of</w:t>
      </w:r>
      <w:r>
        <w:t xml:space="preserve"> the mid-term review of </w:t>
      </w:r>
      <w:r w:rsidRPr="00EA6D92">
        <w:rPr>
          <w:i/>
        </w:rPr>
        <w:t>Development for All</w:t>
      </w:r>
      <w:r>
        <w:t xml:space="preserve">, </w:t>
      </w:r>
      <w:r w:rsidR="00303B2B">
        <w:t xml:space="preserve">including people with disability in the </w:t>
      </w:r>
      <w:r w:rsidR="00FF7F52">
        <w:t>post-</w:t>
      </w:r>
      <w:r w:rsidR="00303B2B">
        <w:t xml:space="preserve">2015 </w:t>
      </w:r>
      <w:r w:rsidR="00FF7F52">
        <w:t xml:space="preserve">development </w:t>
      </w:r>
      <w:r w:rsidR="00303B2B">
        <w:t xml:space="preserve">agenda and </w:t>
      </w:r>
      <w:r w:rsidR="00716031">
        <w:t>AusAID’s approach to developing a new strategy</w:t>
      </w:r>
      <w:r w:rsidR="0013704D">
        <w:t>.  The</w:t>
      </w:r>
      <w:r w:rsidR="001B18DE">
        <w:t xml:space="preserve"> Disability Reference Group met with </w:t>
      </w:r>
      <w:r w:rsidR="00FF7F52">
        <w:t xml:space="preserve">the Action Director General and </w:t>
      </w:r>
      <w:r w:rsidR="001B18DE">
        <w:t>a</w:t>
      </w:r>
      <w:r w:rsidR="00716031">
        <w:t xml:space="preserve"> wide range of people from AusAID’s sectoral</w:t>
      </w:r>
      <w:r w:rsidR="00A100DC">
        <w:t>, regional</w:t>
      </w:r>
      <w:r w:rsidR="00716031">
        <w:t xml:space="preserve"> </w:t>
      </w:r>
      <w:r w:rsidR="0086667F">
        <w:t xml:space="preserve">and program </w:t>
      </w:r>
      <w:r w:rsidR="00716031">
        <w:t>areas includ</w:t>
      </w:r>
      <w:r w:rsidR="001B18DE">
        <w:t>ing focal points for disability-inclusive development, Principal and Senior Sector Specialists.</w:t>
      </w:r>
    </w:p>
    <w:p w14:paraId="3860EFF9" w14:textId="77777777" w:rsidR="00E80183" w:rsidRDefault="00E80183" w:rsidP="00E80183">
      <w:pPr>
        <w:jc w:val="both"/>
      </w:pPr>
    </w:p>
    <w:p w14:paraId="7BEAF713" w14:textId="4C1589F5" w:rsidR="009C5DC8" w:rsidRDefault="00E80183" w:rsidP="00E8018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 xml:space="preserve">The meeting </w:t>
      </w:r>
      <w:r w:rsidR="00716031">
        <w:t xml:space="preserve">included a Q&amp;A </w:t>
      </w:r>
      <w:r w:rsidR="0086667F">
        <w:t xml:space="preserve">Seminar </w:t>
      </w:r>
      <w:r w:rsidR="00716031">
        <w:t>on disability-inclusive development</w:t>
      </w:r>
      <w:r w:rsidR="00D80B46">
        <w:t xml:space="preserve">, held at the </w:t>
      </w:r>
      <w:r w:rsidR="00716031">
        <w:t>Development Policy Centre, Australian National University</w:t>
      </w:r>
      <w:r w:rsidR="00F53B35">
        <w:t xml:space="preserve"> (ANU)</w:t>
      </w:r>
      <w:r w:rsidR="0086667F">
        <w:t>.  The session was jointly organised with</w:t>
      </w:r>
      <w:r w:rsidR="00F53B35">
        <w:t xml:space="preserve"> ADDC and AusAID</w:t>
      </w:r>
      <w:r w:rsidR="0013704D">
        <w:t xml:space="preserve"> and attended </w:t>
      </w:r>
      <w:r w:rsidR="00FF7F52">
        <w:t>by</w:t>
      </w:r>
      <w:r w:rsidR="0013704D">
        <w:t xml:space="preserve"> over 60</w:t>
      </w:r>
      <w:r w:rsidR="00716031">
        <w:t xml:space="preserve"> people</w:t>
      </w:r>
      <w:r>
        <w:t xml:space="preserve"> from a range of backgrounds </w:t>
      </w:r>
      <w:r w:rsidR="00D80B46">
        <w:t xml:space="preserve">and interest groups including </w:t>
      </w:r>
      <w:r>
        <w:t xml:space="preserve">students and staff from </w:t>
      </w:r>
      <w:r w:rsidR="00D80B46">
        <w:t xml:space="preserve">the </w:t>
      </w:r>
      <w:r>
        <w:t xml:space="preserve">University, </w:t>
      </w:r>
      <w:r w:rsidR="00FF7F52">
        <w:t>representatives</w:t>
      </w:r>
      <w:r w:rsidR="00D80B46">
        <w:t xml:space="preserve"> of </w:t>
      </w:r>
      <w:r w:rsidR="001B18DE">
        <w:t xml:space="preserve">NGOs and </w:t>
      </w:r>
      <w:r w:rsidR="00F53B35">
        <w:t xml:space="preserve">consultants. The DRG </w:t>
      </w:r>
      <w:r w:rsidR="00E939B6">
        <w:t>reinforced and reiterated</w:t>
      </w:r>
      <w:r w:rsidR="00F53B35">
        <w:t xml:space="preserve"> key messages such as</w:t>
      </w:r>
      <w:r w:rsidR="0086667F">
        <w:t>:</w:t>
      </w:r>
      <w:r w:rsidR="00F53B35">
        <w:t xml:space="preserve"> </w:t>
      </w:r>
    </w:p>
    <w:p w14:paraId="57865A0E" w14:textId="77777777" w:rsidR="009C5DC8" w:rsidRDefault="009C5DC8" w:rsidP="00E47AD6">
      <w:pPr>
        <w:pStyle w:val="ListParagraph"/>
      </w:pPr>
    </w:p>
    <w:p w14:paraId="17E79359" w14:textId="77777777" w:rsidR="009C5DC8" w:rsidRDefault="00F53B35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the need to engage Disabled Pe</w:t>
      </w:r>
      <w:r w:rsidR="00E939B6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ople’s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Organisations</w:t>
      </w:r>
      <w:r w:rsidR="0013704D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(DPOs)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whose voice and agency is critical; </w:t>
      </w:r>
    </w:p>
    <w:p w14:paraId="3936D38C" w14:textId="715A540B" w:rsidR="009C5DC8" w:rsidRDefault="00E939B6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disability-</w:t>
      </w:r>
      <w:r w:rsidR="00937DF3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inclusive development benefits the whole </w:t>
      </w:r>
      <w:r w:rsidR="0013704D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population</w:t>
      </w:r>
      <w:r w:rsidR="00483A9C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well as</w:t>
      </w:r>
      <w:r w:rsidR="006E35B4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83A9C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the 15% with a disability</w:t>
      </w:r>
      <w:r w:rsidR="00937DF3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</w:p>
    <w:p w14:paraId="4BF373C6" w14:textId="3157143F" w:rsidR="009C5DC8" w:rsidRDefault="0086667F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people with disabilit</w:t>
      </w:r>
      <w:r w:rsidR="0013704D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</w:t>
      </w:r>
      <w:r w:rsidR="00235206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rights-holders and 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stakeholders in development</w:t>
      </w:r>
      <w:r w:rsidR="00DB1DD0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3704D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should not </w:t>
      </w:r>
      <w:r w:rsidR="0013704D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just 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 considered </w:t>
      </w:r>
      <w:r w:rsidR="00483A9C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labels such as 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“vulnerable” or “marginalised”</w:t>
      </w:r>
      <w:r w:rsidR="00483A9C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244CBCF" w14:textId="75C7F691" w:rsidR="009C5DC8" w:rsidRDefault="00937DF3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disability</w:t>
      </w:r>
      <w:r w:rsidR="00FF7F52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inclusive development is here to stay and is not a fad; </w:t>
      </w:r>
    </w:p>
    <w:p w14:paraId="76451CFE" w14:textId="31E7E3B2" w:rsidR="009C5DC8" w:rsidRDefault="0013704D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impairments are part of human diversity</w:t>
      </w:r>
      <w:r w:rsidR="00090A12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8737533" w14:textId="18C3D031" w:rsidR="009C5DC8" w:rsidRDefault="00FF7F52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disability-</w:t>
      </w:r>
      <w:r w:rsidR="0086667F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inclusive development is an investment in functioning economies and societies</w:t>
      </w:r>
      <w:r w:rsidR="0013704D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="00DB1DD0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8E39853" w14:textId="2B16A52B" w:rsidR="009C5DC8" w:rsidRDefault="00DB1DD0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changing attitudes and including people with disability in the design and implementation of aid programs is essential and should not be “costed” separately from any other participatory effort;</w:t>
      </w:r>
      <w:r w:rsidR="00937DF3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</w:p>
    <w:p w14:paraId="79E2EBAF" w14:textId="0591B160" w:rsidR="00F53B35" w:rsidRPr="00E47AD6" w:rsidRDefault="00FF7F52" w:rsidP="00E47A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disability-</w:t>
      </w:r>
      <w:r w:rsidR="00937DF3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inclusive development means more efficient aid programs</w:t>
      </w:r>
      <w:r w:rsidR="00DB1DD0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overall</w:t>
      </w:r>
      <w:r w:rsidR="00937DF3" w:rsidRPr="00E47AD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1789CAD" w14:textId="77777777" w:rsidR="00E80183" w:rsidRDefault="00E80183" w:rsidP="00F53B35">
      <w:pPr>
        <w:jc w:val="both"/>
      </w:pPr>
      <w:r>
        <w:lastRenderedPageBreak/>
        <w:t xml:space="preserve">  </w:t>
      </w:r>
    </w:p>
    <w:p w14:paraId="5B1F5550" w14:textId="77777777" w:rsidR="00F53B35" w:rsidRDefault="00937DF3" w:rsidP="00E8018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>The meeting also included an event at Parliament House, hosted by the Hon Amanda Rishworth MP, Parliamentary Secretary for Disabilities and Carers, and chaired by Christine Walton from ADDC</w:t>
      </w:r>
      <w:r w:rsidR="0086667F">
        <w:t>.  The event</w:t>
      </w:r>
      <w:r>
        <w:t xml:space="preserve"> included addresses by Seta Macanawai and Australia Awards recipient Dr Maureen Udodeme from Nigeria. </w:t>
      </w:r>
      <w:r w:rsidR="00E939B6">
        <w:t xml:space="preserve">The event </w:t>
      </w:r>
      <w:r>
        <w:t xml:space="preserve">generated significant interest in AusAID’s </w:t>
      </w:r>
      <w:r w:rsidRPr="00937DF3">
        <w:rPr>
          <w:i/>
        </w:rPr>
        <w:t>Development for All</w:t>
      </w:r>
      <w:r>
        <w:t xml:space="preserve"> Strategy amongst the parliamentarians present.</w:t>
      </w:r>
    </w:p>
    <w:p w14:paraId="5C18CE4E" w14:textId="77777777" w:rsidR="00E80183" w:rsidRDefault="00E80183" w:rsidP="00E80183"/>
    <w:p w14:paraId="3EAF63EC" w14:textId="77777777" w:rsidR="00E80183" w:rsidRPr="005A41AC" w:rsidRDefault="00E80183" w:rsidP="00E80183">
      <w:pPr>
        <w:rPr>
          <w:b/>
        </w:rPr>
      </w:pPr>
      <w:r w:rsidRPr="005A41AC">
        <w:rPr>
          <w:b/>
        </w:rPr>
        <w:t>Key Findings</w:t>
      </w:r>
    </w:p>
    <w:p w14:paraId="6999298D" w14:textId="77777777" w:rsidR="00E80183" w:rsidRDefault="00E80183" w:rsidP="00E80183">
      <w:pPr>
        <w:jc w:val="both"/>
      </w:pPr>
      <w:r>
        <w:t>The DRG</w:t>
      </w:r>
      <w:r w:rsidR="0086667F">
        <w:t>:</w:t>
      </w:r>
    </w:p>
    <w:p w14:paraId="33DBF7BD" w14:textId="77777777" w:rsidR="00E80183" w:rsidRPr="001B18DE" w:rsidRDefault="00E80183" w:rsidP="00E80183">
      <w:pPr>
        <w:numPr>
          <w:ilvl w:val="0"/>
          <w:numId w:val="23"/>
        </w:numPr>
        <w:jc w:val="both"/>
      </w:pPr>
      <w:r>
        <w:t xml:space="preserve">Thanks AusAID for hosting the meeting and </w:t>
      </w:r>
      <w:r w:rsidR="001B18DE">
        <w:t>highly commends</w:t>
      </w:r>
      <w:r>
        <w:t xml:space="preserve"> </w:t>
      </w:r>
      <w:r w:rsidR="00303B2B">
        <w:t>AusAID</w:t>
      </w:r>
      <w:r>
        <w:t xml:space="preserve"> on its </w:t>
      </w:r>
      <w:r w:rsidR="001B18DE">
        <w:t>achievements since the DRG last met</w:t>
      </w:r>
      <w:r w:rsidR="0086667F">
        <w:t xml:space="preserve">.  </w:t>
      </w:r>
      <w:r w:rsidR="001B18DE">
        <w:t xml:space="preserve"> </w:t>
      </w:r>
      <w:r w:rsidR="0086667F">
        <w:t>The</w:t>
      </w:r>
      <w:r w:rsidR="001B18DE">
        <w:t xml:space="preserve"> award to Australia from the Women’s Refugee Commission, recognition from the</w:t>
      </w:r>
      <w:r w:rsidR="001B18DE" w:rsidRPr="00585F6D">
        <w:rPr>
          <w:lang w:val="en-GB"/>
        </w:rPr>
        <w:t xml:space="preserve"> </w:t>
      </w:r>
      <w:r w:rsidR="001B18DE" w:rsidRPr="00E11B03">
        <w:rPr>
          <w:lang w:val="en-GB"/>
        </w:rPr>
        <w:t>Organisation for Economic Co-operation and Development (OECD) Development Assistance Committee (DAC)</w:t>
      </w:r>
      <w:r w:rsidR="001B18DE">
        <w:rPr>
          <w:lang w:val="en-GB"/>
        </w:rPr>
        <w:t xml:space="preserve"> and the involvement of AusAID’s Director General, Peter Baxter, in the launch of UNICEF’s State of the World’s Children Report on 30 May </w:t>
      </w:r>
      <w:r w:rsidR="00E939B6">
        <w:rPr>
          <w:lang w:val="en-GB"/>
        </w:rPr>
        <w:t xml:space="preserve">2013 </w:t>
      </w:r>
      <w:r w:rsidR="001B18DE">
        <w:rPr>
          <w:lang w:val="en-GB"/>
        </w:rPr>
        <w:t>in Vietnam</w:t>
      </w:r>
      <w:r w:rsidR="0086667F">
        <w:rPr>
          <w:lang w:val="en-GB"/>
        </w:rPr>
        <w:t xml:space="preserve">, were all noted as examples of AusAID’s leadership and </w:t>
      </w:r>
      <w:r w:rsidR="0013704D">
        <w:rPr>
          <w:lang w:val="en-GB"/>
        </w:rPr>
        <w:t>commitment</w:t>
      </w:r>
      <w:r w:rsidR="0086667F">
        <w:rPr>
          <w:lang w:val="en-GB"/>
        </w:rPr>
        <w:t xml:space="preserve"> in this area</w:t>
      </w:r>
      <w:r w:rsidR="001B18DE">
        <w:rPr>
          <w:lang w:val="en-GB"/>
        </w:rPr>
        <w:t>.</w:t>
      </w:r>
    </w:p>
    <w:p w14:paraId="18BBEE9F" w14:textId="77777777" w:rsidR="001B18DE" w:rsidRDefault="001B18DE" w:rsidP="001B18DE">
      <w:pPr>
        <w:jc w:val="both"/>
        <w:rPr>
          <w:lang w:val="en-GB"/>
        </w:rPr>
      </w:pPr>
    </w:p>
    <w:p w14:paraId="7CBDFEE2" w14:textId="77777777" w:rsidR="001B18DE" w:rsidRDefault="00A573A4" w:rsidP="001B18DE">
      <w:pPr>
        <w:numPr>
          <w:ilvl w:val="0"/>
          <w:numId w:val="23"/>
        </w:numPr>
        <w:jc w:val="both"/>
      </w:pPr>
      <w:r>
        <w:rPr>
          <w:lang w:val="en-GB"/>
        </w:rPr>
        <w:t>Commends AusAID’s</w:t>
      </w:r>
      <w:r w:rsidR="001B18DE">
        <w:rPr>
          <w:lang w:val="en-GB"/>
        </w:rPr>
        <w:t xml:space="preserve"> Executive </w:t>
      </w:r>
      <w:r>
        <w:rPr>
          <w:lang w:val="en-GB"/>
        </w:rPr>
        <w:t>for its strong positive</w:t>
      </w:r>
      <w:r w:rsidR="001B18DE">
        <w:rPr>
          <w:lang w:val="en-GB"/>
        </w:rPr>
        <w:t xml:space="preserve"> response to the mid-term review of the </w:t>
      </w:r>
      <w:r w:rsidR="001B18DE" w:rsidRPr="001B18DE">
        <w:rPr>
          <w:i/>
          <w:lang w:val="en-GB"/>
        </w:rPr>
        <w:t>Development for All</w:t>
      </w:r>
      <w:r w:rsidR="001B18DE">
        <w:rPr>
          <w:lang w:val="en-GB"/>
        </w:rPr>
        <w:t xml:space="preserve"> Strategy as well as </w:t>
      </w:r>
      <w:r>
        <w:rPr>
          <w:lang w:val="en-GB"/>
        </w:rPr>
        <w:t xml:space="preserve">for retaining </w:t>
      </w:r>
      <w:r w:rsidR="001B18DE">
        <w:rPr>
          <w:lang w:val="en-GB"/>
        </w:rPr>
        <w:t>an increased budget for disability-inclusive development for the financial year 2013-14.</w:t>
      </w:r>
    </w:p>
    <w:p w14:paraId="1FE81BFD" w14:textId="77777777" w:rsidR="00E80183" w:rsidRDefault="00E80183" w:rsidP="00E80183">
      <w:pPr>
        <w:jc w:val="both"/>
      </w:pPr>
    </w:p>
    <w:p w14:paraId="2686845D" w14:textId="3EDBD164" w:rsidR="00B507A1" w:rsidRDefault="00B507A1" w:rsidP="00B507A1">
      <w:pPr>
        <w:numPr>
          <w:ilvl w:val="0"/>
          <w:numId w:val="23"/>
        </w:numPr>
        <w:jc w:val="both"/>
      </w:pPr>
      <w:r>
        <w:t>Recognises the complexities of working in multiple and diverse national contexts in</w:t>
      </w:r>
      <w:r w:rsidR="00FF7F52">
        <w:t xml:space="preserve"> the</w:t>
      </w:r>
      <w:r>
        <w:t xml:space="preserve"> Asia and Pacific regions, </w:t>
      </w:r>
      <w:r w:rsidR="0013704D">
        <w:t xml:space="preserve">and commends </w:t>
      </w:r>
      <w:r>
        <w:t>steps taken within the Asia and Pacific Divisions to embed inclusive principles as part of their work.</w:t>
      </w:r>
    </w:p>
    <w:p w14:paraId="1190BA41" w14:textId="27EF44C5" w:rsidR="00B507A1" w:rsidRDefault="00B507A1" w:rsidP="00B507A1">
      <w:pPr>
        <w:numPr>
          <w:ilvl w:val="1"/>
          <w:numId w:val="23"/>
        </w:numPr>
        <w:jc w:val="both"/>
      </w:pPr>
      <w:r>
        <w:t xml:space="preserve">In particular the DRG notes that the Pacific Division’s </w:t>
      </w:r>
      <w:r w:rsidR="00FF7F52">
        <w:t>effort</w:t>
      </w:r>
      <w:r>
        <w:t xml:space="preserve"> to develop a delivery strategy is an important step and looks forward to this Strategy being finalised and implemented within </w:t>
      </w:r>
      <w:r w:rsidR="0013704D">
        <w:t xml:space="preserve">its </w:t>
      </w:r>
      <w:r>
        <w:t xml:space="preserve">programs. </w:t>
      </w:r>
    </w:p>
    <w:p w14:paraId="78461A9D" w14:textId="77777777" w:rsidR="0050134D" w:rsidRDefault="0050134D" w:rsidP="0050134D">
      <w:pPr>
        <w:ind w:left="720"/>
        <w:jc w:val="both"/>
      </w:pPr>
    </w:p>
    <w:p w14:paraId="3477F26C" w14:textId="77777777" w:rsidR="00FD472A" w:rsidRDefault="00011DA9" w:rsidP="00FD472A">
      <w:pPr>
        <w:numPr>
          <w:ilvl w:val="0"/>
          <w:numId w:val="23"/>
        </w:numPr>
        <w:jc w:val="both"/>
      </w:pPr>
      <w:r>
        <w:t xml:space="preserve">Recognises the progress made by the Australian Awards and </w:t>
      </w:r>
      <w:r w:rsidR="0050134D">
        <w:t>V</w:t>
      </w:r>
      <w:r>
        <w:t xml:space="preserve">olunteer </w:t>
      </w:r>
      <w:r w:rsidR="0050134D">
        <w:t>P</w:t>
      </w:r>
      <w:r>
        <w:t xml:space="preserve">rogram in finalising and implementing policies on including people with disability </w:t>
      </w:r>
      <w:r w:rsidR="00483A9C">
        <w:t xml:space="preserve">and notes in particular the significant resources (including staff time) allocated to the Awards </w:t>
      </w:r>
      <w:r w:rsidR="007C3CD3">
        <w:t>Program</w:t>
      </w:r>
      <w:r w:rsidR="00FD472A">
        <w:t>.</w:t>
      </w:r>
    </w:p>
    <w:p w14:paraId="789BD699" w14:textId="77777777" w:rsidR="00011DA9" w:rsidRDefault="00483A9C" w:rsidP="00011DA9">
      <w:pPr>
        <w:jc w:val="both"/>
      </w:pPr>
      <w:r>
        <w:t xml:space="preserve"> </w:t>
      </w:r>
    </w:p>
    <w:p w14:paraId="0D84A2B9" w14:textId="77777777" w:rsidR="00E80183" w:rsidRDefault="00E80183" w:rsidP="00A03753">
      <w:pPr>
        <w:numPr>
          <w:ilvl w:val="0"/>
          <w:numId w:val="23"/>
        </w:numPr>
        <w:jc w:val="both"/>
      </w:pPr>
      <w:r>
        <w:t xml:space="preserve">Notes the critical role of AusAID’s </w:t>
      </w:r>
      <w:r w:rsidR="00FD472A">
        <w:t>Principal and Senior Sectoral S</w:t>
      </w:r>
      <w:r w:rsidR="00A03753">
        <w:t xml:space="preserve">pecialists and </w:t>
      </w:r>
      <w:r>
        <w:t>focal points on disability</w:t>
      </w:r>
      <w:r w:rsidR="006F1CB4">
        <w:t>-</w:t>
      </w:r>
      <w:r>
        <w:t xml:space="preserve">inclusive development </w:t>
      </w:r>
      <w:r w:rsidR="00A03753">
        <w:t>in promoting a more inclusive aid program</w:t>
      </w:r>
      <w:r w:rsidR="0050134D">
        <w:t xml:space="preserve"> and the opportunity for them to continually deepen understanding and play greater roles</w:t>
      </w:r>
      <w:r w:rsidR="00A03753">
        <w:t>.</w:t>
      </w:r>
    </w:p>
    <w:p w14:paraId="34633F7E" w14:textId="77777777" w:rsidR="00A03753" w:rsidRDefault="00A03753" w:rsidP="00A03753">
      <w:pPr>
        <w:numPr>
          <w:ilvl w:val="1"/>
          <w:numId w:val="23"/>
        </w:numPr>
        <w:jc w:val="both"/>
      </w:pPr>
      <w:r>
        <w:t xml:space="preserve">Recommends that AusAID’s Disability Policy Section works with the different sectoral areas to develop AusAID specific guidance </w:t>
      </w:r>
      <w:r w:rsidR="00B507A1">
        <w:t xml:space="preserve">and tools </w:t>
      </w:r>
      <w:r>
        <w:t>on how to ensure that people with disability both contribute to programs as well as benefit from them</w:t>
      </w:r>
      <w:r w:rsidR="00B507A1">
        <w:t xml:space="preserve">, reinforcing and reiterating the key issues noted above (paragraph 3) as well as the principles included in </w:t>
      </w:r>
      <w:r w:rsidR="00B507A1" w:rsidRPr="00B507A1">
        <w:rPr>
          <w:i/>
        </w:rPr>
        <w:t>Development for All</w:t>
      </w:r>
      <w:r w:rsidR="00FD472A">
        <w:t>.</w:t>
      </w:r>
    </w:p>
    <w:p w14:paraId="5E8785A9" w14:textId="77777777" w:rsidR="00011DA9" w:rsidRDefault="00011DA9" w:rsidP="00A03753">
      <w:pPr>
        <w:numPr>
          <w:ilvl w:val="1"/>
          <w:numId w:val="23"/>
        </w:numPr>
        <w:jc w:val="both"/>
      </w:pPr>
      <w:r>
        <w:t>Congratulates AusAID for increasing the number of focal points on disability inclusive development across Posts and Canberra</w:t>
      </w:r>
      <w:r w:rsidR="00B507A1">
        <w:t xml:space="preserve"> and encourages further efforts to define their roles and responsibilities</w:t>
      </w:r>
      <w:r>
        <w:t>.</w:t>
      </w:r>
    </w:p>
    <w:p w14:paraId="101F89C7" w14:textId="77777777" w:rsidR="00011DA9" w:rsidRDefault="00011DA9" w:rsidP="00A03753">
      <w:pPr>
        <w:numPr>
          <w:ilvl w:val="1"/>
          <w:numId w:val="23"/>
        </w:numPr>
        <w:jc w:val="both"/>
      </w:pPr>
      <w:r>
        <w:t xml:space="preserve">Recognises that the depth of knowledge among staff varies and </w:t>
      </w:r>
      <w:r w:rsidR="00B51D4D">
        <w:t>stresses the need for deepening understanding at all levels abou</w:t>
      </w:r>
      <w:r w:rsidR="000645F6">
        <w:t xml:space="preserve">t what it really means to take the </w:t>
      </w:r>
      <w:r w:rsidR="000645F6" w:rsidRPr="000645F6">
        <w:rPr>
          <w:i/>
        </w:rPr>
        <w:t xml:space="preserve">Development for All </w:t>
      </w:r>
      <w:r w:rsidR="00B51D4D">
        <w:t>strategy from principle to practice</w:t>
      </w:r>
      <w:r w:rsidR="00483A9C">
        <w:t>, including through systematic professional development</w:t>
      </w:r>
      <w:r w:rsidR="004043A8">
        <w:t xml:space="preserve"> offered to AusAID staff</w:t>
      </w:r>
      <w:r w:rsidR="00B51D4D">
        <w:t>.</w:t>
      </w:r>
    </w:p>
    <w:p w14:paraId="24F5418E" w14:textId="77777777" w:rsidR="00011DA9" w:rsidRDefault="00011DA9" w:rsidP="00011DA9">
      <w:pPr>
        <w:jc w:val="both"/>
      </w:pPr>
    </w:p>
    <w:p w14:paraId="6FE0A925" w14:textId="511B1F23" w:rsidR="00B51D4D" w:rsidRPr="00A573A4" w:rsidRDefault="00B51D4D" w:rsidP="00B51D4D">
      <w:pPr>
        <w:numPr>
          <w:ilvl w:val="0"/>
          <w:numId w:val="23"/>
        </w:numPr>
        <w:jc w:val="both"/>
      </w:pPr>
      <w:r w:rsidRPr="00A573A4">
        <w:t>Acknowledges the high expectations that Aus</w:t>
      </w:r>
      <w:r>
        <w:t>tralia</w:t>
      </w:r>
      <w:r w:rsidRPr="00A573A4">
        <w:t xml:space="preserve"> will take a leadership role in striving for the maximum possible focus </w:t>
      </w:r>
      <w:r w:rsidR="00FF7F52">
        <w:t>on disability inclusion in the post-</w:t>
      </w:r>
      <w:r w:rsidRPr="00A573A4">
        <w:t>2015</w:t>
      </w:r>
      <w:r w:rsidR="00FF7F52">
        <w:t xml:space="preserve"> development</w:t>
      </w:r>
      <w:r w:rsidRPr="00A573A4">
        <w:t xml:space="preserve"> agenda.</w:t>
      </w:r>
    </w:p>
    <w:p w14:paraId="18C5D200" w14:textId="23FDED2A" w:rsidR="00B51D4D" w:rsidRDefault="00B51D4D" w:rsidP="00B51D4D">
      <w:pPr>
        <w:numPr>
          <w:ilvl w:val="1"/>
          <w:numId w:val="23"/>
        </w:numPr>
        <w:jc w:val="both"/>
      </w:pPr>
      <w:r>
        <w:t xml:space="preserve">The DRG supports </w:t>
      </w:r>
      <w:r w:rsidR="00022F24">
        <w:t xml:space="preserve">consideration </w:t>
      </w:r>
      <w:r w:rsidR="00AC43E7">
        <w:t xml:space="preserve">by the international community </w:t>
      </w:r>
      <w:r w:rsidR="000F6AB6" w:rsidRPr="000F6AB6">
        <w:t>be</w:t>
      </w:r>
      <w:r w:rsidR="00FD472A">
        <w:t>ing</w:t>
      </w:r>
      <w:r w:rsidR="000F6AB6" w:rsidRPr="000F6AB6">
        <w:t xml:space="preserve"> given to</w:t>
      </w:r>
      <w:r w:rsidR="00022F24">
        <w:t xml:space="preserve"> a </w:t>
      </w:r>
      <w:r>
        <w:t>stand-alone goal for disability inclusion</w:t>
      </w:r>
      <w:r w:rsidR="00022F24">
        <w:t>,</w:t>
      </w:r>
      <w:r>
        <w:t xml:space="preserve"> </w:t>
      </w:r>
      <w:r w:rsidR="00AC43E7">
        <w:t>and stresses the importance of</w:t>
      </w:r>
      <w:r>
        <w:t xml:space="preserve"> explicit mention of disability-inclusion across all targets and indicators as well as in the framework principles.</w:t>
      </w:r>
    </w:p>
    <w:p w14:paraId="781610A7" w14:textId="77777777" w:rsidR="00B507A1" w:rsidRDefault="00B507A1" w:rsidP="00B51D4D">
      <w:pPr>
        <w:numPr>
          <w:ilvl w:val="1"/>
          <w:numId w:val="23"/>
        </w:numPr>
        <w:jc w:val="both"/>
      </w:pPr>
      <w:r>
        <w:t xml:space="preserve">The DRG encourages </w:t>
      </w:r>
      <w:r w:rsidR="00022F24">
        <w:t xml:space="preserve">research and </w:t>
      </w:r>
      <w:r>
        <w:t xml:space="preserve">analysis </w:t>
      </w:r>
      <w:r w:rsidR="00FD472A">
        <w:t>on the progress of the MDGs so far and opportunities to</w:t>
      </w:r>
      <w:r>
        <w:t xml:space="preserve"> accelerate their achievement up to 2015 through inclusion of people with disabilities</w:t>
      </w:r>
      <w:r w:rsidR="00FD472A">
        <w:t>.</w:t>
      </w:r>
    </w:p>
    <w:p w14:paraId="0189E1E4" w14:textId="4B04CAAB" w:rsidR="00B51D4D" w:rsidRDefault="00B51D4D" w:rsidP="00B51D4D">
      <w:pPr>
        <w:numPr>
          <w:ilvl w:val="1"/>
          <w:numId w:val="23"/>
        </w:numPr>
        <w:jc w:val="both"/>
      </w:pPr>
      <w:r>
        <w:lastRenderedPageBreak/>
        <w:t>The DRG encourages Australia to work closely with developing countries</w:t>
      </w:r>
      <w:r w:rsidR="00DB1DD0">
        <w:t xml:space="preserve"> as well as </w:t>
      </w:r>
      <w:r>
        <w:t>bilateral donors including new donor</w:t>
      </w:r>
      <w:r w:rsidR="007C7F0A">
        <w:t xml:space="preserve"> countries</w:t>
      </w:r>
      <w:r>
        <w:t xml:space="preserve"> </w:t>
      </w:r>
      <w:r w:rsidR="00B507A1">
        <w:t>in t</w:t>
      </w:r>
      <w:r w:rsidR="00FF7F52">
        <w:t>he development of an inclusive p</w:t>
      </w:r>
      <w:r w:rsidR="00B507A1">
        <w:t>ost-2015</w:t>
      </w:r>
      <w:r w:rsidR="00FF7F52">
        <w:t xml:space="preserve"> development</w:t>
      </w:r>
      <w:r w:rsidR="00B507A1">
        <w:t xml:space="preserve"> agenda.  </w:t>
      </w:r>
      <w:r w:rsidR="00DB1DD0">
        <w:t xml:space="preserve">It </w:t>
      </w:r>
      <w:r w:rsidR="007C3CD3">
        <w:t>encourages</w:t>
      </w:r>
      <w:r w:rsidR="00DB1DD0">
        <w:t xml:space="preserve"> </w:t>
      </w:r>
      <w:r w:rsidR="0084232A">
        <w:t xml:space="preserve">Australia to </w:t>
      </w:r>
      <w:r w:rsidR="00DB1DD0">
        <w:t xml:space="preserve">also </w:t>
      </w:r>
      <w:r w:rsidR="004043A8">
        <w:t xml:space="preserve">continue </w:t>
      </w:r>
      <w:r w:rsidR="00DB1DD0">
        <w:t>work</w:t>
      </w:r>
      <w:r w:rsidR="004043A8">
        <w:t>ing</w:t>
      </w:r>
      <w:r w:rsidR="00DB1DD0">
        <w:t xml:space="preserve"> with </w:t>
      </w:r>
      <w:r w:rsidR="007C3CD3">
        <w:t xml:space="preserve">other stakeholders, especially </w:t>
      </w:r>
      <w:r w:rsidR="00DB1DD0">
        <w:t xml:space="preserve">multilateral partners to strengthen </w:t>
      </w:r>
      <w:r w:rsidR="004043A8">
        <w:t xml:space="preserve">systematic </w:t>
      </w:r>
      <w:r w:rsidR="00DB1DD0">
        <w:t xml:space="preserve">disability inclusive efforts, given the significant contributions Australia makes to their work.  </w:t>
      </w:r>
      <w:r w:rsidR="00B507A1">
        <w:t xml:space="preserve">In particular, AusAID should </w:t>
      </w:r>
      <w:r>
        <w:t>promote empowering language</w:t>
      </w:r>
      <w:r w:rsidR="00B507A1">
        <w:t xml:space="preserve"> and</w:t>
      </w:r>
      <w:r w:rsidR="00E939B6">
        <w:t xml:space="preserve"> focus on contribution and participation,</w:t>
      </w:r>
      <w:r>
        <w:t xml:space="preserve"> rather than deficiency-centred vocabulary such as “vulnerable groups”.</w:t>
      </w:r>
      <w:r w:rsidR="007C3CD3">
        <w:t xml:space="preserve"> </w:t>
      </w:r>
    </w:p>
    <w:p w14:paraId="21AB87D3" w14:textId="77777777" w:rsidR="00B51D4D" w:rsidRDefault="00B51D4D" w:rsidP="00B51D4D">
      <w:pPr>
        <w:jc w:val="both"/>
      </w:pPr>
    </w:p>
    <w:p w14:paraId="4C8672A2" w14:textId="6D57EE30" w:rsidR="000645F6" w:rsidRDefault="000645F6" w:rsidP="000645F6">
      <w:pPr>
        <w:numPr>
          <w:ilvl w:val="0"/>
          <w:numId w:val="23"/>
        </w:numPr>
        <w:jc w:val="both"/>
      </w:pPr>
      <w:r>
        <w:t>Applauds AusAID’s commitment, articulated in its management response to the mid-term revi</w:t>
      </w:r>
      <w:r w:rsidR="00FF7F52">
        <w:t>ew, to develop a new disability-</w:t>
      </w:r>
      <w:r>
        <w:t xml:space="preserve">inclusive development Strategy following on from </w:t>
      </w:r>
      <w:r w:rsidRPr="000645F6">
        <w:rPr>
          <w:i/>
        </w:rPr>
        <w:t>Development for All</w:t>
      </w:r>
      <w:r>
        <w:t xml:space="preserve"> for the period 2015-2020.</w:t>
      </w:r>
    </w:p>
    <w:p w14:paraId="5CE8930B" w14:textId="67CC6500" w:rsidR="000645F6" w:rsidRDefault="000645F6" w:rsidP="000645F6">
      <w:pPr>
        <w:numPr>
          <w:ilvl w:val="1"/>
          <w:numId w:val="23"/>
        </w:numPr>
        <w:jc w:val="both"/>
      </w:pPr>
      <w:r>
        <w:t>Suggests that while consultation remains important</w:t>
      </w:r>
      <w:r w:rsidR="00B507A1">
        <w:t>,</w:t>
      </w:r>
      <w:r>
        <w:t xml:space="preserve"> </w:t>
      </w:r>
      <w:r w:rsidR="00DB1DD0">
        <w:t>the next Strategy</w:t>
      </w:r>
      <w:r>
        <w:t xml:space="preserve"> should be targeted and build on the objectives and principles of the current strategy</w:t>
      </w:r>
      <w:r w:rsidR="009C5DC8">
        <w:t>.</w:t>
      </w:r>
    </w:p>
    <w:p w14:paraId="615DFB97" w14:textId="77777777" w:rsidR="000645F6" w:rsidRDefault="000645F6" w:rsidP="000645F6">
      <w:pPr>
        <w:numPr>
          <w:ilvl w:val="1"/>
          <w:numId w:val="23"/>
        </w:numPr>
        <w:jc w:val="both"/>
      </w:pPr>
      <w:r>
        <w:t xml:space="preserve">Agrees with the recommendation of the mid-term review that the Strategy </w:t>
      </w:r>
      <w:r w:rsidR="00022F24">
        <w:t xml:space="preserve">should </w:t>
      </w:r>
      <w:r>
        <w:t>not include an objective relating to the pre</w:t>
      </w:r>
      <w:r w:rsidR="00E939B6">
        <w:t>vention of disabilities</w:t>
      </w:r>
      <w:r>
        <w:t xml:space="preserve"> except where it relates to prevention of secondary disabilities.</w:t>
      </w:r>
    </w:p>
    <w:p w14:paraId="6D89AD97" w14:textId="77777777" w:rsidR="000645F6" w:rsidRDefault="000645F6" w:rsidP="000645F6">
      <w:pPr>
        <w:numPr>
          <w:ilvl w:val="1"/>
          <w:numId w:val="23"/>
        </w:numPr>
        <w:jc w:val="both"/>
      </w:pPr>
      <w:r>
        <w:t xml:space="preserve">Recommends that </w:t>
      </w:r>
      <w:r w:rsidR="00FD472A">
        <w:t>the Strategy concentrate</w:t>
      </w:r>
      <w:r w:rsidR="000F6AB6">
        <w:t xml:space="preserve"> on focal areas </w:t>
      </w:r>
      <w:r>
        <w:t>in which Australia can play a significant advocacy role internationally.</w:t>
      </w:r>
    </w:p>
    <w:p w14:paraId="55D55C9C" w14:textId="77777777" w:rsidR="000645F6" w:rsidRDefault="000645F6" w:rsidP="000645F6">
      <w:pPr>
        <w:numPr>
          <w:ilvl w:val="1"/>
          <w:numId w:val="23"/>
        </w:numPr>
        <w:jc w:val="both"/>
      </w:pPr>
      <w:r>
        <w:t xml:space="preserve">Suggests that clear criteria be established for the </w:t>
      </w:r>
      <w:r w:rsidR="000F6AB6">
        <w:t>addition</w:t>
      </w:r>
      <w:r>
        <w:t xml:space="preserve"> of any focus </w:t>
      </w:r>
      <w:r w:rsidR="000F6AB6">
        <w:t xml:space="preserve">country </w:t>
      </w:r>
      <w:r w:rsidR="00F53B35">
        <w:t>in which AusAID will support the partner government in disability</w:t>
      </w:r>
      <w:r w:rsidR="000F6AB6">
        <w:t>-inclusive development</w:t>
      </w:r>
      <w:r w:rsidR="00F53B35">
        <w:t>.  Criteria should include</w:t>
      </w:r>
      <w:r>
        <w:t xml:space="preserve"> partner country commitment as well as </w:t>
      </w:r>
      <w:r w:rsidR="00F53B35">
        <w:t>interest from AusAID’s Posts.</w:t>
      </w:r>
    </w:p>
    <w:p w14:paraId="754EB618" w14:textId="371D0EF8" w:rsidR="00DB1DD0" w:rsidRDefault="00DB1DD0" w:rsidP="000645F6">
      <w:pPr>
        <w:numPr>
          <w:ilvl w:val="1"/>
          <w:numId w:val="23"/>
        </w:numPr>
        <w:jc w:val="both"/>
      </w:pPr>
      <w:r>
        <w:t xml:space="preserve">Suggests that consideration be given to </w:t>
      </w:r>
      <w:r w:rsidR="000F6AB6">
        <w:t xml:space="preserve">new focus sectors, such </w:t>
      </w:r>
      <w:r>
        <w:t>a</w:t>
      </w:r>
      <w:r w:rsidR="000F6AB6">
        <w:t>s</w:t>
      </w:r>
      <w:r>
        <w:t xml:space="preserve"> livelihoods and employment </w:t>
      </w:r>
      <w:r w:rsidR="00FD472A">
        <w:t xml:space="preserve">and that </w:t>
      </w:r>
      <w:r>
        <w:t xml:space="preserve">different </w:t>
      </w:r>
      <w:r w:rsidR="000F6AB6">
        <w:t>areas of work within these sectors</w:t>
      </w:r>
      <w:r w:rsidR="00FD472A">
        <w:t xml:space="preserve"> </w:t>
      </w:r>
      <w:r>
        <w:t>may be relevant in different countries</w:t>
      </w:r>
      <w:r w:rsidR="009C5DC8">
        <w:t>, for example</w:t>
      </w:r>
      <w:r w:rsidR="007C7F0A">
        <w:t xml:space="preserve"> disaster risk reduction programs</w:t>
      </w:r>
      <w:r>
        <w:t>.</w:t>
      </w:r>
    </w:p>
    <w:p w14:paraId="67ACA65C" w14:textId="77777777" w:rsidR="00DB1DD0" w:rsidRDefault="00DB1DD0" w:rsidP="000645F6">
      <w:pPr>
        <w:numPr>
          <w:ilvl w:val="1"/>
          <w:numId w:val="23"/>
        </w:numPr>
        <w:jc w:val="both"/>
      </w:pPr>
      <w:r>
        <w:t>Affirms the need for ongoing monitoring by the Disability Policy Section of the work of other sections across AusAID to contribute expertise and ensure policy compliance and quality.</w:t>
      </w:r>
    </w:p>
    <w:p w14:paraId="65770A23" w14:textId="77777777" w:rsidR="00DB1DD0" w:rsidRDefault="00DB1DD0" w:rsidP="000645F6">
      <w:pPr>
        <w:numPr>
          <w:ilvl w:val="1"/>
          <w:numId w:val="23"/>
        </w:numPr>
        <w:jc w:val="both"/>
      </w:pPr>
      <w:r>
        <w:t xml:space="preserve">Considers there may be merit in supporting south-south cooperation as well as other </w:t>
      </w:r>
      <w:r w:rsidR="00235206">
        <w:t xml:space="preserve">context-specific </w:t>
      </w:r>
      <w:r>
        <w:t xml:space="preserve">efforts to increase </w:t>
      </w:r>
      <w:r w:rsidR="00235206">
        <w:t xml:space="preserve">capacity in </w:t>
      </w:r>
      <w:r>
        <w:t>disability</w:t>
      </w:r>
      <w:r w:rsidR="000F6AB6">
        <w:t>-</w:t>
      </w:r>
      <w:r>
        <w:t>inclusive development beyond</w:t>
      </w:r>
      <w:r w:rsidR="00235206">
        <w:t xml:space="preserve"> technical assistance</w:t>
      </w:r>
      <w:r w:rsidR="00FD472A">
        <w:t>.</w:t>
      </w:r>
      <w:r>
        <w:t xml:space="preserve"> </w:t>
      </w:r>
    </w:p>
    <w:p w14:paraId="22CCBE14" w14:textId="77777777" w:rsidR="00E80183" w:rsidRDefault="00E80183" w:rsidP="00E80183">
      <w:pPr>
        <w:pStyle w:val="FarbigeListe-Akzent11"/>
      </w:pPr>
    </w:p>
    <w:sectPr w:rsidR="00E80183" w:rsidSect="001F1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2364" w14:textId="77777777" w:rsidR="00AC43E7" w:rsidRDefault="00AC43E7">
      <w:r>
        <w:separator/>
      </w:r>
    </w:p>
  </w:endnote>
  <w:endnote w:type="continuationSeparator" w:id="0">
    <w:p w14:paraId="0F2CBC80" w14:textId="77777777" w:rsidR="00AC43E7" w:rsidRDefault="00AC43E7">
      <w:r>
        <w:continuationSeparator/>
      </w:r>
    </w:p>
  </w:endnote>
  <w:endnote w:type="continuationNotice" w:id="1">
    <w:p w14:paraId="7E3CD4A2" w14:textId="77777777" w:rsidR="00AC43E7" w:rsidRDefault="00AC4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2B41" w14:textId="77777777" w:rsidR="000C389E" w:rsidRDefault="000C3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F48FA" w14:textId="77777777" w:rsidR="0013704D" w:rsidRDefault="0013704D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38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763E" w14:textId="77777777" w:rsidR="000C389E" w:rsidRDefault="000C3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4CBB" w14:textId="77777777" w:rsidR="00AC43E7" w:rsidRDefault="00AC43E7">
      <w:r>
        <w:separator/>
      </w:r>
    </w:p>
  </w:footnote>
  <w:footnote w:type="continuationSeparator" w:id="0">
    <w:p w14:paraId="78A7E2F9" w14:textId="77777777" w:rsidR="00AC43E7" w:rsidRDefault="00AC43E7">
      <w:r>
        <w:continuationSeparator/>
      </w:r>
    </w:p>
  </w:footnote>
  <w:footnote w:type="continuationNotice" w:id="1">
    <w:p w14:paraId="6D04CE03" w14:textId="77777777" w:rsidR="00AC43E7" w:rsidRDefault="00AC43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7C711" w14:textId="77777777" w:rsidR="000C389E" w:rsidRDefault="000C3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C52E" w14:textId="77777777" w:rsidR="0013704D" w:rsidRDefault="0013704D">
    <w:pPr>
      <w:pStyle w:val="Header"/>
    </w:pPr>
  </w:p>
  <w:p w14:paraId="032D4D3B" w14:textId="77777777" w:rsidR="0013704D" w:rsidRDefault="001370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870A" w14:textId="77777777" w:rsidR="000C389E" w:rsidRDefault="000C3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5CE"/>
    <w:multiLevelType w:val="hybridMultilevel"/>
    <w:tmpl w:val="4A12F6AA"/>
    <w:lvl w:ilvl="0" w:tplc="480E9C9E"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021214D0"/>
    <w:multiLevelType w:val="hybridMultilevel"/>
    <w:tmpl w:val="2FD203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7B89"/>
    <w:multiLevelType w:val="hybridMultilevel"/>
    <w:tmpl w:val="C07E3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6298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75582"/>
    <w:multiLevelType w:val="hybridMultilevel"/>
    <w:tmpl w:val="5C2220B6"/>
    <w:lvl w:ilvl="0" w:tplc="E2B26E5C">
      <w:start w:val="2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F4DD5"/>
    <w:multiLevelType w:val="hybridMultilevel"/>
    <w:tmpl w:val="13F87C56"/>
    <w:lvl w:ilvl="0" w:tplc="B8F0575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14887"/>
    <w:multiLevelType w:val="hybridMultilevel"/>
    <w:tmpl w:val="24A8957A"/>
    <w:lvl w:ilvl="0" w:tplc="E4F677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84921"/>
    <w:multiLevelType w:val="hybridMultilevel"/>
    <w:tmpl w:val="B2923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4336"/>
    <w:multiLevelType w:val="hybridMultilevel"/>
    <w:tmpl w:val="87E6E886"/>
    <w:lvl w:ilvl="0" w:tplc="0C09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8">
    <w:nsid w:val="25626725"/>
    <w:multiLevelType w:val="hybridMultilevel"/>
    <w:tmpl w:val="7BEA4CD4"/>
    <w:lvl w:ilvl="0" w:tplc="480E9C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40C8B"/>
    <w:multiLevelType w:val="multilevel"/>
    <w:tmpl w:val="9FE81858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•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>
    <w:nsid w:val="302B2E3B"/>
    <w:multiLevelType w:val="hybridMultilevel"/>
    <w:tmpl w:val="AA8A1A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14CA8"/>
    <w:multiLevelType w:val="multilevel"/>
    <w:tmpl w:val="016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61647"/>
    <w:multiLevelType w:val="hybridMultilevel"/>
    <w:tmpl w:val="B71C607C"/>
    <w:lvl w:ilvl="0" w:tplc="480E9C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4105263C"/>
    <w:multiLevelType w:val="hybridMultilevel"/>
    <w:tmpl w:val="C07E3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6298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B53E8"/>
    <w:multiLevelType w:val="hybridMultilevel"/>
    <w:tmpl w:val="69622E0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756AC"/>
    <w:multiLevelType w:val="hybridMultilevel"/>
    <w:tmpl w:val="9F52A4B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DA1955"/>
    <w:multiLevelType w:val="hybridMultilevel"/>
    <w:tmpl w:val="112292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E9C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C334F"/>
    <w:multiLevelType w:val="hybridMultilevel"/>
    <w:tmpl w:val="130637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491638"/>
    <w:multiLevelType w:val="hybridMultilevel"/>
    <w:tmpl w:val="3502ED2E"/>
    <w:lvl w:ilvl="0" w:tplc="480E9C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22B3C"/>
    <w:multiLevelType w:val="hybridMultilevel"/>
    <w:tmpl w:val="F814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6CFF"/>
    <w:multiLevelType w:val="hybridMultilevel"/>
    <w:tmpl w:val="6A12B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441E7"/>
    <w:multiLevelType w:val="hybridMultilevel"/>
    <w:tmpl w:val="13365F4C"/>
    <w:lvl w:ilvl="0" w:tplc="D0A25E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27694F"/>
    <w:multiLevelType w:val="hybridMultilevel"/>
    <w:tmpl w:val="9FFE776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6"/>
  </w:num>
  <w:num w:numId="5">
    <w:abstractNumId w:val="12"/>
  </w:num>
  <w:num w:numId="6">
    <w:abstractNumId w:val="8"/>
  </w:num>
  <w:num w:numId="7">
    <w:abstractNumId w:val="0"/>
  </w:num>
  <w:num w:numId="8">
    <w:abstractNumId w:val="18"/>
  </w:num>
  <w:num w:numId="9">
    <w:abstractNumId w:val="21"/>
  </w:num>
  <w:num w:numId="10">
    <w:abstractNumId w:val="10"/>
  </w:num>
  <w:num w:numId="11">
    <w:abstractNumId w:val="22"/>
  </w:num>
  <w:num w:numId="12">
    <w:abstractNumId w:val="15"/>
  </w:num>
  <w:num w:numId="13">
    <w:abstractNumId w:val="9"/>
  </w:num>
  <w:num w:numId="14">
    <w:abstractNumId w:val="1"/>
  </w:num>
  <w:num w:numId="15">
    <w:abstractNumId w:val="13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14"/>
  </w:num>
  <w:num w:numId="23">
    <w:abstractNumId w:val="6"/>
  </w:num>
  <w:num w:numId="24">
    <w:abstractNumId w:val="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66"/>
    <w:rsid w:val="00011DA9"/>
    <w:rsid w:val="00016A34"/>
    <w:rsid w:val="00022F24"/>
    <w:rsid w:val="000645F6"/>
    <w:rsid w:val="00065EB9"/>
    <w:rsid w:val="000719BF"/>
    <w:rsid w:val="00090A12"/>
    <w:rsid w:val="000C389E"/>
    <w:rsid w:val="000C52CF"/>
    <w:rsid w:val="000E6900"/>
    <w:rsid w:val="000F6AB6"/>
    <w:rsid w:val="0012425B"/>
    <w:rsid w:val="00127EED"/>
    <w:rsid w:val="00136A0C"/>
    <w:rsid w:val="0013704D"/>
    <w:rsid w:val="001B18DE"/>
    <w:rsid w:val="001B5E9A"/>
    <w:rsid w:val="001E2C71"/>
    <w:rsid w:val="001F138A"/>
    <w:rsid w:val="00235206"/>
    <w:rsid w:val="002A718E"/>
    <w:rsid w:val="002B385F"/>
    <w:rsid w:val="002C0A14"/>
    <w:rsid w:val="002C4966"/>
    <w:rsid w:val="002F36EA"/>
    <w:rsid w:val="00303B2B"/>
    <w:rsid w:val="003060BE"/>
    <w:rsid w:val="00323A7C"/>
    <w:rsid w:val="00337CCC"/>
    <w:rsid w:val="00370C91"/>
    <w:rsid w:val="00390A53"/>
    <w:rsid w:val="00402CCD"/>
    <w:rsid w:val="004043A8"/>
    <w:rsid w:val="00483A9C"/>
    <w:rsid w:val="004B4FEB"/>
    <w:rsid w:val="004B5898"/>
    <w:rsid w:val="0050134D"/>
    <w:rsid w:val="00530877"/>
    <w:rsid w:val="0054313C"/>
    <w:rsid w:val="00545F08"/>
    <w:rsid w:val="00562281"/>
    <w:rsid w:val="005D1D7B"/>
    <w:rsid w:val="005E6939"/>
    <w:rsid w:val="006111F4"/>
    <w:rsid w:val="006254DE"/>
    <w:rsid w:val="0063486C"/>
    <w:rsid w:val="00684B6A"/>
    <w:rsid w:val="006A6998"/>
    <w:rsid w:val="006C378C"/>
    <w:rsid w:val="006E35B4"/>
    <w:rsid w:val="006F1CB4"/>
    <w:rsid w:val="00716031"/>
    <w:rsid w:val="007659A1"/>
    <w:rsid w:val="00781807"/>
    <w:rsid w:val="00785825"/>
    <w:rsid w:val="00797E99"/>
    <w:rsid w:val="007C3CD3"/>
    <w:rsid w:val="007C7F0A"/>
    <w:rsid w:val="007E3E43"/>
    <w:rsid w:val="0084232A"/>
    <w:rsid w:val="00850E33"/>
    <w:rsid w:val="0086667F"/>
    <w:rsid w:val="008D217D"/>
    <w:rsid w:val="00937DF3"/>
    <w:rsid w:val="009B0E97"/>
    <w:rsid w:val="009C5DC8"/>
    <w:rsid w:val="00A03753"/>
    <w:rsid w:val="00A100DC"/>
    <w:rsid w:val="00A573A4"/>
    <w:rsid w:val="00AB176B"/>
    <w:rsid w:val="00AC43E7"/>
    <w:rsid w:val="00AE7326"/>
    <w:rsid w:val="00B00D4B"/>
    <w:rsid w:val="00B247EB"/>
    <w:rsid w:val="00B507A1"/>
    <w:rsid w:val="00B51D4D"/>
    <w:rsid w:val="00BB7740"/>
    <w:rsid w:val="00C228A2"/>
    <w:rsid w:val="00C70D62"/>
    <w:rsid w:val="00C941F7"/>
    <w:rsid w:val="00CD23EA"/>
    <w:rsid w:val="00CD7B98"/>
    <w:rsid w:val="00D80B46"/>
    <w:rsid w:val="00DB1DD0"/>
    <w:rsid w:val="00DE68EF"/>
    <w:rsid w:val="00E31E5A"/>
    <w:rsid w:val="00E42A97"/>
    <w:rsid w:val="00E47AD6"/>
    <w:rsid w:val="00E5679C"/>
    <w:rsid w:val="00E80183"/>
    <w:rsid w:val="00E939B6"/>
    <w:rsid w:val="00EB2951"/>
    <w:rsid w:val="00EF17E4"/>
    <w:rsid w:val="00F53B35"/>
    <w:rsid w:val="00F7204C"/>
    <w:rsid w:val="00F931C9"/>
    <w:rsid w:val="00F970A4"/>
    <w:rsid w:val="00FB094F"/>
    <w:rsid w:val="00FD472A"/>
    <w:rsid w:val="00FD5D2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F1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"/>
    <w:basedOn w:val="Normal"/>
    <w:link w:val="BulletChar"/>
    <w:rsid w:val="00F102D0"/>
    <w:pPr>
      <w:numPr>
        <w:numId w:val="13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ash">
    <w:name w:val="Dash"/>
    <w:basedOn w:val="Normal"/>
    <w:rsid w:val="00F102D0"/>
    <w:pPr>
      <w:numPr>
        <w:ilvl w:val="1"/>
        <w:numId w:val="13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oubleDot">
    <w:name w:val="Double Dot"/>
    <w:basedOn w:val="Normal"/>
    <w:rsid w:val="00F102D0"/>
    <w:pPr>
      <w:numPr>
        <w:ilvl w:val="2"/>
        <w:numId w:val="13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character" w:customStyle="1" w:styleId="BulletChar">
    <w:name w:val="Bullet Char"/>
    <w:aliases w:val="b Char"/>
    <w:link w:val="Bullet"/>
    <w:rsid w:val="00F102D0"/>
    <w:rPr>
      <w:rFonts w:ascii="Palatino" w:hAnsi="Palatino"/>
      <w:color w:val="000000"/>
      <w:sz w:val="22"/>
      <w:szCs w:val="22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A832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2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32B1"/>
  </w:style>
  <w:style w:type="character" w:styleId="CommentReference">
    <w:name w:val="annotation reference"/>
    <w:semiHidden/>
    <w:rsid w:val="00C363D1"/>
    <w:rPr>
      <w:sz w:val="16"/>
      <w:szCs w:val="16"/>
    </w:rPr>
  </w:style>
  <w:style w:type="paragraph" w:styleId="CommentText">
    <w:name w:val="annotation text"/>
    <w:basedOn w:val="Normal"/>
    <w:semiHidden/>
    <w:rsid w:val="00C363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63D1"/>
    <w:rPr>
      <w:b/>
      <w:bCs/>
    </w:rPr>
  </w:style>
  <w:style w:type="paragraph" w:styleId="BalloonText">
    <w:name w:val="Balloon Text"/>
    <w:basedOn w:val="Normal"/>
    <w:semiHidden/>
    <w:rsid w:val="00C363D1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Normal"/>
    <w:uiPriority w:val="34"/>
    <w:qFormat/>
    <w:rsid w:val="001F5DFF"/>
    <w:pPr>
      <w:ind w:left="720"/>
      <w:contextualSpacing/>
    </w:pPr>
    <w:rPr>
      <w:rFonts w:ascii="Gill Sans MT" w:eastAsia="Calibri" w:hAnsi="Gill Sans MT"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D80B46"/>
    <w:rPr>
      <w:sz w:val="24"/>
      <w:szCs w:val="24"/>
    </w:rPr>
  </w:style>
  <w:style w:type="paragraph" w:styleId="Revision">
    <w:name w:val="Revision"/>
    <w:hidden/>
    <w:uiPriority w:val="99"/>
    <w:semiHidden/>
    <w:rsid w:val="00F970A4"/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716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F1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F1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"/>
    <w:basedOn w:val="Normal"/>
    <w:link w:val="BulletChar"/>
    <w:rsid w:val="00F102D0"/>
    <w:pPr>
      <w:numPr>
        <w:numId w:val="13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ash">
    <w:name w:val="Dash"/>
    <w:basedOn w:val="Normal"/>
    <w:rsid w:val="00F102D0"/>
    <w:pPr>
      <w:numPr>
        <w:ilvl w:val="1"/>
        <w:numId w:val="13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oubleDot">
    <w:name w:val="Double Dot"/>
    <w:basedOn w:val="Normal"/>
    <w:rsid w:val="00F102D0"/>
    <w:pPr>
      <w:numPr>
        <w:ilvl w:val="2"/>
        <w:numId w:val="13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character" w:customStyle="1" w:styleId="BulletChar">
    <w:name w:val="Bullet Char"/>
    <w:aliases w:val="b Char"/>
    <w:link w:val="Bullet"/>
    <w:rsid w:val="00F102D0"/>
    <w:rPr>
      <w:rFonts w:ascii="Palatino" w:hAnsi="Palatino"/>
      <w:color w:val="000000"/>
      <w:sz w:val="22"/>
      <w:szCs w:val="22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A832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2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32B1"/>
  </w:style>
  <w:style w:type="character" w:styleId="CommentReference">
    <w:name w:val="annotation reference"/>
    <w:semiHidden/>
    <w:rsid w:val="00C363D1"/>
    <w:rPr>
      <w:sz w:val="16"/>
      <w:szCs w:val="16"/>
    </w:rPr>
  </w:style>
  <w:style w:type="paragraph" w:styleId="CommentText">
    <w:name w:val="annotation text"/>
    <w:basedOn w:val="Normal"/>
    <w:semiHidden/>
    <w:rsid w:val="00C363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63D1"/>
    <w:rPr>
      <w:b/>
      <w:bCs/>
    </w:rPr>
  </w:style>
  <w:style w:type="paragraph" w:styleId="BalloonText">
    <w:name w:val="Balloon Text"/>
    <w:basedOn w:val="Normal"/>
    <w:semiHidden/>
    <w:rsid w:val="00C363D1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Normal"/>
    <w:uiPriority w:val="34"/>
    <w:qFormat/>
    <w:rsid w:val="001F5DFF"/>
    <w:pPr>
      <w:ind w:left="720"/>
      <w:contextualSpacing/>
    </w:pPr>
    <w:rPr>
      <w:rFonts w:ascii="Gill Sans MT" w:eastAsia="Calibri" w:hAnsi="Gill Sans MT"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D80B46"/>
    <w:rPr>
      <w:sz w:val="24"/>
      <w:szCs w:val="24"/>
    </w:rPr>
  </w:style>
  <w:style w:type="paragraph" w:styleId="Revision">
    <w:name w:val="Revision"/>
    <w:hidden/>
    <w:uiPriority w:val="99"/>
    <w:semiHidden/>
    <w:rsid w:val="00F970A4"/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716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F1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5BC9-D281-4E2D-B0A6-FB23A3440AD8}"/>
</file>

<file path=customXml/itemProps2.xml><?xml version="1.0" encoding="utf-8"?>
<ds:datastoreItem xmlns:ds="http://schemas.openxmlformats.org/officeDocument/2006/customXml" ds:itemID="{F3CFCDB7-1C53-486A-AB53-408C64D1D783}"/>
</file>

<file path=customXml/itemProps3.xml><?xml version="1.0" encoding="utf-8"?>
<ds:datastoreItem xmlns:ds="http://schemas.openxmlformats.org/officeDocument/2006/customXml" ds:itemID="{13B458D1-25E8-4E3F-AF7A-A70A4FED60FB}"/>
</file>

<file path=customXml/itemProps4.xml><?xml version="1.0" encoding="utf-8"?>
<ds:datastoreItem xmlns:ds="http://schemas.openxmlformats.org/officeDocument/2006/customXml" ds:itemID="{C3A2F97B-35A9-4E64-87FB-207B3FE560C4}"/>
</file>

<file path=customXml/itemProps5.xml><?xml version="1.0" encoding="utf-8"?>
<ds:datastoreItem xmlns:ds="http://schemas.openxmlformats.org/officeDocument/2006/customXml" ds:itemID="{F947D8E4-FA36-4506-AD4A-91C0CE0156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2013-06-07T06:01:00Z</dcterms:created>
  <dcterms:modified xsi:type="dcterms:W3CDTF">2013-06-07T06:01:00Z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