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7F" w:rsidRPr="004A732C" w:rsidRDefault="00F62159" w:rsidP="00887194">
      <w:pPr>
        <w:spacing w:before="1320" w:after="0"/>
        <w:rPr>
          <w:rFonts w:cs="Calibri"/>
          <w:b/>
          <w:color w:val="FFFFFF"/>
          <w:sz w:val="32"/>
          <w:szCs w:val="32"/>
        </w:rPr>
      </w:pPr>
      <w:r>
        <w:rPr>
          <w:rFonts w:cs="Calibri"/>
          <w:b/>
          <w:noProof/>
          <w:color w:val="FFFFFF"/>
          <w:sz w:val="32"/>
          <w:szCs w:val="32"/>
          <w:lang w:val="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3025140"/>
            <wp:effectExtent l="19050" t="0" r="2540" b="0"/>
            <wp:wrapNone/>
            <wp:docPr id="3" name="Picture 3"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5140"/>
                    </a:xfrm>
                    <a:prstGeom prst="rect">
                      <a:avLst/>
                    </a:prstGeom>
                    <a:noFill/>
                  </pic:spPr>
                </pic:pic>
              </a:graphicData>
            </a:graphic>
          </wp:anchor>
        </w:drawing>
      </w:r>
      <w:r w:rsidR="002C567F" w:rsidRPr="00466686">
        <w:rPr>
          <w:rStyle w:val="TitleChar"/>
        </w:rPr>
        <w:t>Progress Report for the Disaster Risk Reduction Po</w:t>
      </w:r>
      <w:r w:rsidR="002C567F" w:rsidRPr="004A732C">
        <w:rPr>
          <w:rFonts w:cs="Calibri"/>
          <w:b/>
          <w:color w:val="FFFFFF"/>
          <w:sz w:val="32"/>
          <w:szCs w:val="32"/>
        </w:rPr>
        <w:t>l</w:t>
      </w:r>
      <w:r w:rsidR="002C567F" w:rsidRPr="00466686">
        <w:rPr>
          <w:rStyle w:val="TitleChar"/>
        </w:rPr>
        <w:t>icy</w:t>
      </w:r>
    </w:p>
    <w:p w:rsidR="002C567F" w:rsidRPr="004A732C" w:rsidRDefault="002C567F" w:rsidP="00187687">
      <w:pPr>
        <w:spacing w:after="0"/>
        <w:rPr>
          <w:rFonts w:cs="Calibri"/>
          <w:color w:val="FFFFFF"/>
          <w:sz w:val="28"/>
          <w:szCs w:val="28"/>
        </w:rPr>
      </w:pPr>
      <w:r w:rsidRPr="004A732C">
        <w:rPr>
          <w:rFonts w:cs="Calibri"/>
          <w:color w:val="FFFFFF"/>
          <w:sz w:val="28"/>
          <w:szCs w:val="28"/>
        </w:rPr>
        <w:t xml:space="preserve">Disaster Risk Reduction Unit, </w:t>
      </w:r>
      <w:proofErr w:type="spellStart"/>
      <w:r w:rsidRPr="004A732C">
        <w:rPr>
          <w:rFonts w:cs="Calibri"/>
          <w:color w:val="FFFFFF"/>
          <w:sz w:val="28"/>
          <w:szCs w:val="28"/>
        </w:rPr>
        <w:t>AusAID</w:t>
      </w:r>
      <w:proofErr w:type="spellEnd"/>
      <w:r w:rsidRPr="004A732C">
        <w:rPr>
          <w:rFonts w:cs="Calibri"/>
          <w:color w:val="FFFFFF"/>
          <w:sz w:val="28"/>
          <w:szCs w:val="28"/>
        </w:rPr>
        <w:tab/>
      </w:r>
      <w:r w:rsidR="006F22AA">
        <w:rPr>
          <w:rFonts w:cs="Calibri"/>
          <w:color w:val="FFFFFF"/>
          <w:sz w:val="28"/>
          <w:szCs w:val="28"/>
        </w:rPr>
        <w:t>J</w:t>
      </w:r>
      <w:r>
        <w:rPr>
          <w:rFonts w:cs="Calibri"/>
          <w:color w:val="FFFFFF"/>
          <w:sz w:val="32"/>
          <w:szCs w:val="32"/>
        </w:rPr>
        <w:t>u</w:t>
      </w:r>
      <w:r w:rsidR="006F7A28">
        <w:rPr>
          <w:rFonts w:cs="Calibri"/>
          <w:color w:val="FFFFFF"/>
          <w:sz w:val="32"/>
          <w:szCs w:val="32"/>
        </w:rPr>
        <w:t>ly</w:t>
      </w:r>
      <w:r>
        <w:rPr>
          <w:rFonts w:cs="Calibri"/>
          <w:color w:val="FFFFFF"/>
          <w:sz w:val="32"/>
          <w:szCs w:val="32"/>
        </w:rPr>
        <w:t xml:space="preserve"> 2012</w:t>
      </w:r>
    </w:p>
    <w:p w:rsidR="00466686" w:rsidRDefault="00466686" w:rsidP="00887194">
      <w:pPr>
        <w:pStyle w:val="Heading1"/>
        <w:spacing w:before="1200" w:after="600"/>
      </w:pPr>
      <w:bookmarkStart w:id="0" w:name="_Toc351122175"/>
      <w:r>
        <w:t>CONTENTS</w:t>
      </w:r>
      <w:bookmarkEnd w:id="0"/>
    </w:p>
    <w:p w:rsidR="00466686" w:rsidRPr="000315C8" w:rsidRDefault="00D70001" w:rsidP="00466686">
      <w:pPr>
        <w:pStyle w:val="TOC1"/>
        <w:tabs>
          <w:tab w:val="clear" w:pos="7938"/>
          <w:tab w:val="right" w:pos="8931"/>
        </w:tabs>
        <w:ind w:right="521"/>
        <w:rPr>
          <w:rFonts w:ascii="Calibri" w:hAnsi="Calibri"/>
          <w:noProof/>
          <w:color w:val="auto"/>
          <w:sz w:val="22"/>
          <w:szCs w:val="22"/>
        </w:rPr>
      </w:pPr>
      <w:r>
        <w:rPr>
          <w:b/>
        </w:rPr>
        <w:fldChar w:fldCharType="begin"/>
      </w:r>
      <w:r w:rsidR="00466686">
        <w:rPr>
          <w:b/>
        </w:rPr>
        <w:instrText xml:space="preserve"> TOC \o "1-2" \h \z \u </w:instrText>
      </w:r>
      <w:r>
        <w:rPr>
          <w:b/>
        </w:rPr>
        <w:fldChar w:fldCharType="separate"/>
      </w:r>
      <w:hyperlink w:anchor="_Toc351122176" w:history="1">
        <w:r w:rsidR="00466686" w:rsidRPr="00B13C56">
          <w:rPr>
            <w:rStyle w:val="Hyperlink"/>
            <w:noProof/>
          </w:rPr>
          <w:t>EXECUTIVE SUMMARY</w:t>
        </w:r>
        <w:r w:rsidR="00466686">
          <w:rPr>
            <w:noProof/>
            <w:webHidden/>
          </w:rPr>
          <w:tab/>
        </w:r>
        <w:r>
          <w:rPr>
            <w:noProof/>
            <w:webHidden/>
          </w:rPr>
          <w:fldChar w:fldCharType="begin"/>
        </w:r>
        <w:r w:rsidR="00466686">
          <w:rPr>
            <w:noProof/>
            <w:webHidden/>
          </w:rPr>
          <w:instrText xml:space="preserve"> PAGEREF _Toc351122176 \h </w:instrText>
        </w:r>
        <w:r>
          <w:rPr>
            <w:noProof/>
            <w:webHidden/>
          </w:rPr>
        </w:r>
        <w:r>
          <w:rPr>
            <w:noProof/>
            <w:webHidden/>
          </w:rPr>
          <w:fldChar w:fldCharType="separate"/>
        </w:r>
        <w:r w:rsidR="00466686">
          <w:rPr>
            <w:noProof/>
            <w:webHidden/>
          </w:rPr>
          <w:t>2</w:t>
        </w:r>
        <w:r>
          <w:rPr>
            <w:noProof/>
            <w:webHidden/>
          </w:rPr>
          <w:fldChar w:fldCharType="end"/>
        </w:r>
      </w:hyperlink>
    </w:p>
    <w:p w:rsidR="00466686" w:rsidRPr="000315C8" w:rsidRDefault="00825E54" w:rsidP="00466686">
      <w:pPr>
        <w:pStyle w:val="TOC1"/>
        <w:tabs>
          <w:tab w:val="clear" w:pos="7938"/>
          <w:tab w:val="right" w:pos="8931"/>
        </w:tabs>
        <w:ind w:right="521"/>
        <w:rPr>
          <w:rFonts w:ascii="Calibri" w:hAnsi="Calibri"/>
          <w:noProof/>
          <w:color w:val="auto"/>
          <w:sz w:val="22"/>
          <w:szCs w:val="22"/>
        </w:rPr>
      </w:pPr>
      <w:hyperlink w:anchor="_Toc351122177" w:history="1">
        <w:r w:rsidR="00466686" w:rsidRPr="00B13C56">
          <w:rPr>
            <w:rStyle w:val="Hyperlink"/>
            <w:noProof/>
          </w:rPr>
          <w:t>RESULTS</w:t>
        </w:r>
        <w:r w:rsidR="00466686">
          <w:rPr>
            <w:noProof/>
            <w:webHidden/>
          </w:rPr>
          <w:tab/>
        </w:r>
        <w:r w:rsidR="00D70001">
          <w:rPr>
            <w:noProof/>
            <w:webHidden/>
          </w:rPr>
          <w:fldChar w:fldCharType="begin"/>
        </w:r>
        <w:r w:rsidR="00466686">
          <w:rPr>
            <w:noProof/>
            <w:webHidden/>
          </w:rPr>
          <w:instrText xml:space="preserve"> PAGEREF _Toc351122177 \h </w:instrText>
        </w:r>
        <w:r w:rsidR="00D70001">
          <w:rPr>
            <w:noProof/>
            <w:webHidden/>
          </w:rPr>
        </w:r>
        <w:r w:rsidR="00D70001">
          <w:rPr>
            <w:noProof/>
            <w:webHidden/>
          </w:rPr>
          <w:fldChar w:fldCharType="separate"/>
        </w:r>
        <w:r w:rsidR="00466686">
          <w:rPr>
            <w:noProof/>
            <w:webHidden/>
          </w:rPr>
          <w:t>2</w:t>
        </w:r>
        <w:r w:rsidR="00D70001">
          <w:rPr>
            <w:noProof/>
            <w:webHidden/>
          </w:rPr>
          <w:fldChar w:fldCharType="end"/>
        </w:r>
      </w:hyperlink>
    </w:p>
    <w:p w:rsidR="00466686" w:rsidRPr="000315C8" w:rsidRDefault="00825E54" w:rsidP="00466686">
      <w:pPr>
        <w:pStyle w:val="TOC2"/>
        <w:tabs>
          <w:tab w:val="clear" w:pos="7938"/>
          <w:tab w:val="right" w:pos="8931"/>
        </w:tabs>
        <w:ind w:right="521"/>
        <w:rPr>
          <w:rFonts w:ascii="Calibri" w:hAnsi="Calibri"/>
          <w:noProof/>
          <w:color w:val="auto"/>
          <w:sz w:val="22"/>
          <w:szCs w:val="22"/>
        </w:rPr>
      </w:pPr>
      <w:hyperlink w:anchor="_Toc351122178" w:history="1">
        <w:r w:rsidR="00466686" w:rsidRPr="00B13C56">
          <w:rPr>
            <w:rStyle w:val="Hyperlink"/>
            <w:noProof/>
          </w:rPr>
          <w:t>Outcome One: Disaster Risk Reduction is integrated into the Australian Aid Program</w:t>
        </w:r>
        <w:r w:rsidR="00466686">
          <w:rPr>
            <w:noProof/>
            <w:webHidden/>
          </w:rPr>
          <w:tab/>
        </w:r>
        <w:r w:rsidR="00D70001">
          <w:rPr>
            <w:noProof/>
            <w:webHidden/>
          </w:rPr>
          <w:fldChar w:fldCharType="begin"/>
        </w:r>
        <w:r w:rsidR="00466686">
          <w:rPr>
            <w:noProof/>
            <w:webHidden/>
          </w:rPr>
          <w:instrText xml:space="preserve"> PAGEREF _Toc351122178 \h </w:instrText>
        </w:r>
        <w:r w:rsidR="00D70001">
          <w:rPr>
            <w:noProof/>
            <w:webHidden/>
          </w:rPr>
        </w:r>
        <w:r w:rsidR="00D70001">
          <w:rPr>
            <w:noProof/>
            <w:webHidden/>
          </w:rPr>
          <w:fldChar w:fldCharType="separate"/>
        </w:r>
        <w:r w:rsidR="00466686">
          <w:rPr>
            <w:noProof/>
            <w:webHidden/>
          </w:rPr>
          <w:t>2</w:t>
        </w:r>
        <w:r w:rsidR="00D70001">
          <w:rPr>
            <w:noProof/>
            <w:webHidden/>
          </w:rPr>
          <w:fldChar w:fldCharType="end"/>
        </w:r>
      </w:hyperlink>
    </w:p>
    <w:p w:rsidR="00466686" w:rsidRPr="000315C8" w:rsidRDefault="00825E54" w:rsidP="00466686">
      <w:pPr>
        <w:pStyle w:val="TOC2"/>
        <w:tabs>
          <w:tab w:val="clear" w:pos="7938"/>
          <w:tab w:val="right" w:pos="8931"/>
        </w:tabs>
        <w:ind w:right="521"/>
        <w:rPr>
          <w:rFonts w:ascii="Calibri" w:hAnsi="Calibri"/>
          <w:noProof/>
          <w:color w:val="auto"/>
          <w:sz w:val="22"/>
          <w:szCs w:val="22"/>
        </w:rPr>
      </w:pPr>
      <w:hyperlink w:anchor="_Toc351122179" w:history="1">
        <w:r w:rsidR="00466686" w:rsidRPr="00B13C56">
          <w:rPr>
            <w:rStyle w:val="Hyperlink"/>
            <w:noProof/>
          </w:rPr>
          <w:t>Outcome Two: The capacity of partner countries to reduce disaster risks is strengthened in line with the Hyogo Framework for Action</w:t>
        </w:r>
        <w:r w:rsidR="00466686">
          <w:rPr>
            <w:noProof/>
            <w:webHidden/>
          </w:rPr>
          <w:tab/>
        </w:r>
        <w:r w:rsidR="00D70001">
          <w:rPr>
            <w:noProof/>
            <w:webHidden/>
          </w:rPr>
          <w:fldChar w:fldCharType="begin"/>
        </w:r>
        <w:r w:rsidR="00466686">
          <w:rPr>
            <w:noProof/>
            <w:webHidden/>
          </w:rPr>
          <w:instrText xml:space="preserve"> PAGEREF _Toc351122179 \h </w:instrText>
        </w:r>
        <w:r w:rsidR="00D70001">
          <w:rPr>
            <w:noProof/>
            <w:webHidden/>
          </w:rPr>
        </w:r>
        <w:r w:rsidR="00D70001">
          <w:rPr>
            <w:noProof/>
            <w:webHidden/>
          </w:rPr>
          <w:fldChar w:fldCharType="separate"/>
        </w:r>
        <w:r w:rsidR="00466686">
          <w:rPr>
            <w:noProof/>
            <w:webHidden/>
          </w:rPr>
          <w:t>4</w:t>
        </w:r>
        <w:r w:rsidR="00D70001">
          <w:rPr>
            <w:noProof/>
            <w:webHidden/>
          </w:rPr>
          <w:fldChar w:fldCharType="end"/>
        </w:r>
      </w:hyperlink>
    </w:p>
    <w:p w:rsidR="00466686" w:rsidRPr="000315C8" w:rsidRDefault="00825E54" w:rsidP="00466686">
      <w:pPr>
        <w:pStyle w:val="TOC2"/>
        <w:tabs>
          <w:tab w:val="clear" w:pos="7938"/>
          <w:tab w:val="right" w:pos="8931"/>
        </w:tabs>
        <w:ind w:right="521"/>
        <w:rPr>
          <w:rFonts w:ascii="Calibri" w:hAnsi="Calibri"/>
          <w:noProof/>
          <w:color w:val="auto"/>
          <w:sz w:val="22"/>
          <w:szCs w:val="22"/>
        </w:rPr>
      </w:pPr>
      <w:hyperlink w:anchor="_Toc351122180" w:history="1">
        <w:r w:rsidR="00466686" w:rsidRPr="00B13C56">
          <w:rPr>
            <w:rStyle w:val="Hyperlink"/>
            <w:noProof/>
            <w:lang w:val="en-GB" w:eastAsia="zh-CN"/>
          </w:rPr>
          <w:t>Outcome Three:  Leadership and advocacy on disaster risk reduction are supported and enhanced</w:t>
        </w:r>
        <w:r w:rsidR="00466686">
          <w:rPr>
            <w:noProof/>
            <w:webHidden/>
          </w:rPr>
          <w:tab/>
        </w:r>
        <w:r w:rsidR="00D70001">
          <w:rPr>
            <w:noProof/>
            <w:webHidden/>
          </w:rPr>
          <w:fldChar w:fldCharType="begin"/>
        </w:r>
        <w:r w:rsidR="00466686">
          <w:rPr>
            <w:noProof/>
            <w:webHidden/>
          </w:rPr>
          <w:instrText xml:space="preserve"> PAGEREF _Toc351122180 \h </w:instrText>
        </w:r>
        <w:r w:rsidR="00D70001">
          <w:rPr>
            <w:noProof/>
            <w:webHidden/>
          </w:rPr>
        </w:r>
        <w:r w:rsidR="00D70001">
          <w:rPr>
            <w:noProof/>
            <w:webHidden/>
          </w:rPr>
          <w:fldChar w:fldCharType="separate"/>
        </w:r>
        <w:r w:rsidR="00466686">
          <w:rPr>
            <w:noProof/>
            <w:webHidden/>
          </w:rPr>
          <w:t>4</w:t>
        </w:r>
        <w:r w:rsidR="00D70001">
          <w:rPr>
            <w:noProof/>
            <w:webHidden/>
          </w:rPr>
          <w:fldChar w:fldCharType="end"/>
        </w:r>
      </w:hyperlink>
    </w:p>
    <w:p w:rsidR="00466686" w:rsidRPr="000315C8" w:rsidRDefault="00825E54" w:rsidP="00466686">
      <w:pPr>
        <w:pStyle w:val="TOC2"/>
        <w:tabs>
          <w:tab w:val="clear" w:pos="7938"/>
          <w:tab w:val="right" w:pos="8931"/>
        </w:tabs>
        <w:ind w:right="521"/>
        <w:rPr>
          <w:rFonts w:ascii="Calibri" w:hAnsi="Calibri"/>
          <w:noProof/>
          <w:color w:val="auto"/>
          <w:sz w:val="22"/>
          <w:szCs w:val="22"/>
        </w:rPr>
      </w:pPr>
      <w:hyperlink w:anchor="_Toc351122181" w:history="1">
        <w:r w:rsidR="00466686" w:rsidRPr="00B13C56">
          <w:rPr>
            <w:rStyle w:val="Hyperlink"/>
            <w:noProof/>
          </w:rPr>
          <w:t>Outcome Four: Policy and programming for disaster risk reduction and climate change adaption are coherent and coordinated</w:t>
        </w:r>
        <w:r w:rsidR="00466686">
          <w:rPr>
            <w:noProof/>
            <w:webHidden/>
          </w:rPr>
          <w:tab/>
        </w:r>
        <w:r w:rsidR="00D70001">
          <w:rPr>
            <w:noProof/>
            <w:webHidden/>
          </w:rPr>
          <w:fldChar w:fldCharType="begin"/>
        </w:r>
        <w:r w:rsidR="00466686">
          <w:rPr>
            <w:noProof/>
            <w:webHidden/>
          </w:rPr>
          <w:instrText xml:space="preserve"> PAGEREF _Toc351122181 \h </w:instrText>
        </w:r>
        <w:r w:rsidR="00D70001">
          <w:rPr>
            <w:noProof/>
            <w:webHidden/>
          </w:rPr>
        </w:r>
        <w:r w:rsidR="00D70001">
          <w:rPr>
            <w:noProof/>
            <w:webHidden/>
          </w:rPr>
          <w:fldChar w:fldCharType="separate"/>
        </w:r>
        <w:r w:rsidR="00466686">
          <w:rPr>
            <w:noProof/>
            <w:webHidden/>
          </w:rPr>
          <w:t>5</w:t>
        </w:r>
        <w:r w:rsidR="00D70001">
          <w:rPr>
            <w:noProof/>
            <w:webHidden/>
          </w:rPr>
          <w:fldChar w:fldCharType="end"/>
        </w:r>
      </w:hyperlink>
    </w:p>
    <w:p w:rsidR="00466686" w:rsidRPr="000315C8" w:rsidRDefault="00825E54" w:rsidP="00466686">
      <w:pPr>
        <w:pStyle w:val="TOC1"/>
        <w:tabs>
          <w:tab w:val="clear" w:pos="7938"/>
          <w:tab w:val="right" w:pos="8931"/>
        </w:tabs>
        <w:ind w:right="521"/>
        <w:rPr>
          <w:rFonts w:ascii="Calibri" w:hAnsi="Calibri"/>
          <w:noProof/>
          <w:color w:val="auto"/>
          <w:sz w:val="22"/>
          <w:szCs w:val="22"/>
        </w:rPr>
      </w:pPr>
      <w:hyperlink w:anchor="_Toc351122182" w:history="1">
        <w:r w:rsidR="00466686" w:rsidRPr="00B13C56">
          <w:rPr>
            <w:rStyle w:val="Hyperlink"/>
            <w:noProof/>
          </w:rPr>
          <w:t>CHALLENGES</w:t>
        </w:r>
        <w:r w:rsidR="00466686">
          <w:rPr>
            <w:noProof/>
            <w:webHidden/>
          </w:rPr>
          <w:tab/>
        </w:r>
        <w:r w:rsidR="00D70001">
          <w:rPr>
            <w:noProof/>
            <w:webHidden/>
          </w:rPr>
          <w:fldChar w:fldCharType="begin"/>
        </w:r>
        <w:r w:rsidR="00466686">
          <w:rPr>
            <w:noProof/>
            <w:webHidden/>
          </w:rPr>
          <w:instrText xml:space="preserve"> PAGEREF _Toc351122182 \h </w:instrText>
        </w:r>
        <w:r w:rsidR="00D70001">
          <w:rPr>
            <w:noProof/>
            <w:webHidden/>
          </w:rPr>
        </w:r>
        <w:r w:rsidR="00D70001">
          <w:rPr>
            <w:noProof/>
            <w:webHidden/>
          </w:rPr>
          <w:fldChar w:fldCharType="separate"/>
        </w:r>
        <w:r w:rsidR="00466686">
          <w:rPr>
            <w:noProof/>
            <w:webHidden/>
          </w:rPr>
          <w:t>6</w:t>
        </w:r>
        <w:r w:rsidR="00D70001">
          <w:rPr>
            <w:noProof/>
            <w:webHidden/>
          </w:rPr>
          <w:fldChar w:fldCharType="end"/>
        </w:r>
      </w:hyperlink>
    </w:p>
    <w:p w:rsidR="00466686" w:rsidRPr="000315C8" w:rsidRDefault="00825E54" w:rsidP="00466686">
      <w:pPr>
        <w:pStyle w:val="TOC2"/>
        <w:tabs>
          <w:tab w:val="clear" w:pos="7938"/>
          <w:tab w:val="right" w:pos="8931"/>
        </w:tabs>
        <w:ind w:right="521"/>
        <w:rPr>
          <w:rFonts w:ascii="Calibri" w:hAnsi="Calibri"/>
          <w:noProof/>
          <w:color w:val="auto"/>
          <w:sz w:val="22"/>
          <w:szCs w:val="22"/>
        </w:rPr>
      </w:pPr>
      <w:hyperlink w:anchor="_Toc351122183" w:history="1">
        <w:r w:rsidR="00466686" w:rsidRPr="00B13C56">
          <w:rPr>
            <w:rStyle w:val="Hyperlink"/>
            <w:noProof/>
          </w:rPr>
          <w:t>Resources for Expansion</w:t>
        </w:r>
        <w:r w:rsidR="00466686">
          <w:rPr>
            <w:noProof/>
            <w:webHidden/>
          </w:rPr>
          <w:tab/>
        </w:r>
        <w:r w:rsidR="00D70001">
          <w:rPr>
            <w:noProof/>
            <w:webHidden/>
          </w:rPr>
          <w:fldChar w:fldCharType="begin"/>
        </w:r>
        <w:r w:rsidR="00466686">
          <w:rPr>
            <w:noProof/>
            <w:webHidden/>
          </w:rPr>
          <w:instrText xml:space="preserve"> PAGEREF _Toc351122183 \h </w:instrText>
        </w:r>
        <w:r w:rsidR="00D70001">
          <w:rPr>
            <w:noProof/>
            <w:webHidden/>
          </w:rPr>
        </w:r>
        <w:r w:rsidR="00D70001">
          <w:rPr>
            <w:noProof/>
            <w:webHidden/>
          </w:rPr>
          <w:fldChar w:fldCharType="separate"/>
        </w:r>
        <w:r w:rsidR="00466686">
          <w:rPr>
            <w:noProof/>
            <w:webHidden/>
          </w:rPr>
          <w:t>6</w:t>
        </w:r>
        <w:r w:rsidR="00D70001">
          <w:rPr>
            <w:noProof/>
            <w:webHidden/>
          </w:rPr>
          <w:fldChar w:fldCharType="end"/>
        </w:r>
      </w:hyperlink>
    </w:p>
    <w:p w:rsidR="00466686" w:rsidRPr="000315C8" w:rsidRDefault="00825E54" w:rsidP="00466686">
      <w:pPr>
        <w:pStyle w:val="TOC2"/>
        <w:tabs>
          <w:tab w:val="clear" w:pos="7938"/>
          <w:tab w:val="right" w:pos="8931"/>
        </w:tabs>
        <w:ind w:right="521"/>
        <w:rPr>
          <w:rFonts w:ascii="Calibri" w:hAnsi="Calibri"/>
          <w:noProof/>
          <w:color w:val="auto"/>
          <w:sz w:val="22"/>
          <w:szCs w:val="22"/>
        </w:rPr>
      </w:pPr>
      <w:hyperlink w:anchor="_Toc351122184" w:history="1">
        <w:r w:rsidR="00466686" w:rsidRPr="00B13C56">
          <w:rPr>
            <w:rStyle w:val="Hyperlink"/>
            <w:noProof/>
          </w:rPr>
          <w:t>Commitment to DRR and Integration into Mainstream Programming</w:t>
        </w:r>
        <w:r w:rsidR="00466686">
          <w:rPr>
            <w:noProof/>
            <w:webHidden/>
          </w:rPr>
          <w:tab/>
        </w:r>
        <w:r w:rsidR="00D70001">
          <w:rPr>
            <w:noProof/>
            <w:webHidden/>
          </w:rPr>
          <w:fldChar w:fldCharType="begin"/>
        </w:r>
        <w:r w:rsidR="00466686">
          <w:rPr>
            <w:noProof/>
            <w:webHidden/>
          </w:rPr>
          <w:instrText xml:space="preserve"> PAGEREF _Toc351122184 \h </w:instrText>
        </w:r>
        <w:r w:rsidR="00D70001">
          <w:rPr>
            <w:noProof/>
            <w:webHidden/>
          </w:rPr>
        </w:r>
        <w:r w:rsidR="00D70001">
          <w:rPr>
            <w:noProof/>
            <w:webHidden/>
          </w:rPr>
          <w:fldChar w:fldCharType="separate"/>
        </w:r>
        <w:r w:rsidR="00466686">
          <w:rPr>
            <w:noProof/>
            <w:webHidden/>
          </w:rPr>
          <w:t>6</w:t>
        </w:r>
        <w:r w:rsidR="00D70001">
          <w:rPr>
            <w:noProof/>
            <w:webHidden/>
          </w:rPr>
          <w:fldChar w:fldCharType="end"/>
        </w:r>
      </w:hyperlink>
    </w:p>
    <w:p w:rsidR="00466686" w:rsidRPr="000315C8" w:rsidRDefault="00825E54" w:rsidP="00466686">
      <w:pPr>
        <w:pStyle w:val="TOC2"/>
        <w:tabs>
          <w:tab w:val="clear" w:pos="7938"/>
          <w:tab w:val="right" w:pos="8931"/>
        </w:tabs>
        <w:ind w:right="521"/>
        <w:rPr>
          <w:rFonts w:ascii="Calibri" w:hAnsi="Calibri"/>
          <w:noProof/>
          <w:color w:val="auto"/>
          <w:sz w:val="22"/>
          <w:szCs w:val="22"/>
        </w:rPr>
      </w:pPr>
      <w:hyperlink w:anchor="_Toc351122185" w:history="1">
        <w:r w:rsidR="00466686" w:rsidRPr="00B13C56">
          <w:rPr>
            <w:rStyle w:val="Hyperlink"/>
            <w:noProof/>
          </w:rPr>
          <w:t>Outcome Measurement and Evidence Base</w:t>
        </w:r>
        <w:r w:rsidR="00466686">
          <w:rPr>
            <w:noProof/>
            <w:webHidden/>
          </w:rPr>
          <w:tab/>
        </w:r>
        <w:r w:rsidR="00D70001">
          <w:rPr>
            <w:noProof/>
            <w:webHidden/>
          </w:rPr>
          <w:fldChar w:fldCharType="begin"/>
        </w:r>
        <w:r w:rsidR="00466686">
          <w:rPr>
            <w:noProof/>
            <w:webHidden/>
          </w:rPr>
          <w:instrText xml:space="preserve"> PAGEREF _Toc351122185 \h </w:instrText>
        </w:r>
        <w:r w:rsidR="00D70001">
          <w:rPr>
            <w:noProof/>
            <w:webHidden/>
          </w:rPr>
        </w:r>
        <w:r w:rsidR="00D70001">
          <w:rPr>
            <w:noProof/>
            <w:webHidden/>
          </w:rPr>
          <w:fldChar w:fldCharType="separate"/>
        </w:r>
        <w:r w:rsidR="00466686">
          <w:rPr>
            <w:noProof/>
            <w:webHidden/>
          </w:rPr>
          <w:t>7</w:t>
        </w:r>
        <w:r w:rsidR="00D70001">
          <w:rPr>
            <w:noProof/>
            <w:webHidden/>
          </w:rPr>
          <w:fldChar w:fldCharType="end"/>
        </w:r>
      </w:hyperlink>
    </w:p>
    <w:p w:rsidR="00466686" w:rsidRPr="000315C8" w:rsidRDefault="00825E54" w:rsidP="00466686">
      <w:pPr>
        <w:pStyle w:val="TOC1"/>
        <w:tabs>
          <w:tab w:val="clear" w:pos="7938"/>
          <w:tab w:val="right" w:pos="8931"/>
        </w:tabs>
        <w:ind w:right="521"/>
        <w:rPr>
          <w:rFonts w:ascii="Calibri" w:hAnsi="Calibri"/>
          <w:noProof/>
          <w:color w:val="auto"/>
          <w:sz w:val="22"/>
          <w:szCs w:val="22"/>
        </w:rPr>
      </w:pPr>
      <w:hyperlink w:anchor="_Toc351122186" w:history="1">
        <w:r w:rsidR="00466686" w:rsidRPr="00B13C56">
          <w:rPr>
            <w:rStyle w:val="Hyperlink"/>
            <w:noProof/>
          </w:rPr>
          <w:t>LESSONS LEARNED</w:t>
        </w:r>
        <w:r w:rsidR="00466686">
          <w:rPr>
            <w:noProof/>
            <w:webHidden/>
          </w:rPr>
          <w:tab/>
        </w:r>
        <w:r w:rsidR="00D70001">
          <w:rPr>
            <w:noProof/>
            <w:webHidden/>
          </w:rPr>
          <w:fldChar w:fldCharType="begin"/>
        </w:r>
        <w:r w:rsidR="00466686">
          <w:rPr>
            <w:noProof/>
            <w:webHidden/>
          </w:rPr>
          <w:instrText xml:space="preserve"> PAGEREF _Toc351122186 \h </w:instrText>
        </w:r>
        <w:r w:rsidR="00D70001">
          <w:rPr>
            <w:noProof/>
            <w:webHidden/>
          </w:rPr>
        </w:r>
        <w:r w:rsidR="00D70001">
          <w:rPr>
            <w:noProof/>
            <w:webHidden/>
          </w:rPr>
          <w:fldChar w:fldCharType="separate"/>
        </w:r>
        <w:r w:rsidR="00466686">
          <w:rPr>
            <w:noProof/>
            <w:webHidden/>
          </w:rPr>
          <w:t>7</w:t>
        </w:r>
        <w:r w:rsidR="00D70001">
          <w:rPr>
            <w:noProof/>
            <w:webHidden/>
          </w:rPr>
          <w:fldChar w:fldCharType="end"/>
        </w:r>
      </w:hyperlink>
    </w:p>
    <w:p w:rsidR="00466686" w:rsidRPr="000315C8" w:rsidRDefault="00825E54" w:rsidP="00466686">
      <w:pPr>
        <w:pStyle w:val="TOC1"/>
        <w:tabs>
          <w:tab w:val="clear" w:pos="7938"/>
          <w:tab w:val="right" w:pos="8931"/>
        </w:tabs>
        <w:ind w:right="521"/>
        <w:rPr>
          <w:rFonts w:ascii="Calibri" w:hAnsi="Calibri"/>
          <w:noProof/>
          <w:color w:val="auto"/>
          <w:sz w:val="22"/>
          <w:szCs w:val="22"/>
        </w:rPr>
      </w:pPr>
      <w:hyperlink w:anchor="_Toc351122187" w:history="1">
        <w:r w:rsidR="00466686" w:rsidRPr="00B13C56">
          <w:rPr>
            <w:rStyle w:val="Hyperlink"/>
            <w:noProof/>
          </w:rPr>
          <w:t>FUTURE DIRECTIONS</w:t>
        </w:r>
        <w:r w:rsidR="00466686">
          <w:rPr>
            <w:noProof/>
            <w:webHidden/>
          </w:rPr>
          <w:tab/>
        </w:r>
        <w:r w:rsidR="00D70001">
          <w:rPr>
            <w:noProof/>
            <w:webHidden/>
          </w:rPr>
          <w:fldChar w:fldCharType="begin"/>
        </w:r>
        <w:r w:rsidR="00466686">
          <w:rPr>
            <w:noProof/>
            <w:webHidden/>
          </w:rPr>
          <w:instrText xml:space="preserve"> PAGEREF _Toc351122187 \h </w:instrText>
        </w:r>
        <w:r w:rsidR="00D70001">
          <w:rPr>
            <w:noProof/>
            <w:webHidden/>
          </w:rPr>
        </w:r>
        <w:r w:rsidR="00D70001">
          <w:rPr>
            <w:noProof/>
            <w:webHidden/>
          </w:rPr>
          <w:fldChar w:fldCharType="separate"/>
        </w:r>
        <w:r w:rsidR="00466686">
          <w:rPr>
            <w:noProof/>
            <w:webHidden/>
          </w:rPr>
          <w:t>8</w:t>
        </w:r>
        <w:r w:rsidR="00D70001">
          <w:rPr>
            <w:noProof/>
            <w:webHidden/>
          </w:rPr>
          <w:fldChar w:fldCharType="end"/>
        </w:r>
      </w:hyperlink>
    </w:p>
    <w:p w:rsidR="002C567F" w:rsidRPr="00466686" w:rsidRDefault="00D70001" w:rsidP="00466686">
      <w:pPr>
        <w:pStyle w:val="Heading1"/>
        <w:tabs>
          <w:tab w:val="right" w:pos="8931"/>
        </w:tabs>
        <w:spacing w:before="120" w:after="120"/>
        <w:ind w:right="521"/>
      </w:pPr>
      <w:r>
        <w:rPr>
          <w:rFonts w:ascii="Franklin Gothic Demi" w:eastAsia="Times New Roman" w:hAnsi="Franklin Gothic Demi" w:cs="Times New Roman"/>
          <w:b w:val="0"/>
          <w:color w:val="54534A"/>
          <w:sz w:val="24"/>
          <w:szCs w:val="24"/>
          <w:lang w:eastAsia="en-AU"/>
        </w:rPr>
        <w:fldChar w:fldCharType="end"/>
      </w:r>
      <w:r w:rsidR="00466686">
        <w:br w:type="page"/>
      </w:r>
      <w:bookmarkStart w:id="1" w:name="_Toc351121971"/>
      <w:bookmarkStart w:id="2" w:name="_Toc351122039"/>
      <w:bookmarkStart w:id="3" w:name="_Toc351122176"/>
      <w:r w:rsidR="002C567F" w:rsidRPr="00466686">
        <w:lastRenderedPageBreak/>
        <w:t>EXECUTIVE SUMMARY</w:t>
      </w:r>
      <w:bookmarkEnd w:id="1"/>
      <w:bookmarkEnd w:id="2"/>
      <w:bookmarkEnd w:id="3"/>
    </w:p>
    <w:p w:rsidR="002C567F" w:rsidRDefault="002C567F" w:rsidP="007B5B00">
      <w:pPr>
        <w:rPr>
          <w:rFonts w:cs="Calibri"/>
        </w:rPr>
      </w:pPr>
      <w:r w:rsidRPr="004A732C">
        <w:rPr>
          <w:rFonts w:cs="Calibri"/>
        </w:rPr>
        <w:t xml:space="preserve">This </w:t>
      </w:r>
      <w:r>
        <w:rPr>
          <w:rFonts w:cs="Calibri"/>
        </w:rPr>
        <w:t xml:space="preserve">Report examines progress made in implementing </w:t>
      </w:r>
      <w:r w:rsidRPr="004A732C">
        <w:rPr>
          <w:rFonts w:cs="Calibri"/>
        </w:rPr>
        <w:t xml:space="preserve">the </w:t>
      </w:r>
      <w:r w:rsidR="007B43E9">
        <w:rPr>
          <w:rFonts w:cs="Calibri"/>
        </w:rPr>
        <w:t xml:space="preserve">2009 </w:t>
      </w:r>
      <w:r w:rsidRPr="004A732C">
        <w:rPr>
          <w:rFonts w:cs="Calibri"/>
        </w:rPr>
        <w:t xml:space="preserve">Australian Government </w:t>
      </w:r>
      <w:r>
        <w:rPr>
          <w:rFonts w:cs="Calibri"/>
        </w:rPr>
        <w:t xml:space="preserve">disaster risk reduction policy </w:t>
      </w:r>
      <w:proofErr w:type="gramStart"/>
      <w:r w:rsidRPr="004A732C">
        <w:rPr>
          <w:rFonts w:cs="Calibri"/>
          <w:i/>
        </w:rPr>
        <w:t>Investing</w:t>
      </w:r>
      <w:proofErr w:type="gramEnd"/>
      <w:r w:rsidRPr="004A732C">
        <w:rPr>
          <w:rFonts w:cs="Calibri"/>
          <w:i/>
        </w:rPr>
        <w:t xml:space="preserve"> in a Safer Future: a Disaster Risk Reduction policy</w:t>
      </w:r>
      <w:r>
        <w:rPr>
          <w:rFonts w:cs="Calibri"/>
          <w:i/>
        </w:rPr>
        <w:t xml:space="preserve"> for the Australian aid program</w:t>
      </w:r>
      <w:r w:rsidRPr="004A732C">
        <w:rPr>
          <w:rFonts w:cs="Calibri"/>
        </w:rPr>
        <w:t xml:space="preserve"> (‘the Policy’). </w:t>
      </w:r>
      <w:r>
        <w:rPr>
          <w:rFonts w:cs="Calibri"/>
        </w:rPr>
        <w:t>The report has</w:t>
      </w:r>
      <w:r w:rsidRPr="004A732C">
        <w:rPr>
          <w:rFonts w:cs="Calibri"/>
        </w:rPr>
        <w:t xml:space="preserve"> been prepared by the </w:t>
      </w:r>
      <w:r>
        <w:rPr>
          <w:rFonts w:cs="Calibri"/>
        </w:rPr>
        <w:t>Disaster Risk Reduction (</w:t>
      </w:r>
      <w:r w:rsidRPr="004A732C">
        <w:rPr>
          <w:rFonts w:cs="Calibri"/>
        </w:rPr>
        <w:t>DRR</w:t>
      </w:r>
      <w:r>
        <w:rPr>
          <w:rFonts w:cs="Calibri"/>
        </w:rPr>
        <w:t>)</w:t>
      </w:r>
      <w:r w:rsidRPr="004A732C">
        <w:rPr>
          <w:rFonts w:cs="Calibri"/>
        </w:rPr>
        <w:t xml:space="preserve"> Unit</w:t>
      </w:r>
      <w:r>
        <w:rPr>
          <w:rFonts w:cs="Calibri"/>
        </w:rPr>
        <w:t xml:space="preserve"> in the Australian Agency for International Development’s (</w:t>
      </w:r>
      <w:proofErr w:type="spellStart"/>
      <w:r>
        <w:rPr>
          <w:rFonts w:cs="Calibri"/>
        </w:rPr>
        <w:t>AusAID</w:t>
      </w:r>
      <w:proofErr w:type="spellEnd"/>
      <w:r>
        <w:rPr>
          <w:rFonts w:cs="Calibri"/>
        </w:rPr>
        <w:t xml:space="preserve">) Humanitarian, Preparedness and Response Branch.  It </w:t>
      </w:r>
      <w:r w:rsidRPr="004A732C">
        <w:rPr>
          <w:rFonts w:cs="Calibri"/>
        </w:rPr>
        <w:t>builds on the findings of the in</w:t>
      </w:r>
      <w:r>
        <w:rPr>
          <w:rFonts w:cs="Calibri"/>
        </w:rPr>
        <w:t xml:space="preserve">augural Progress Report of October 2010 and discusses results against </w:t>
      </w:r>
      <w:r w:rsidRPr="004A732C">
        <w:rPr>
          <w:rFonts w:cs="Calibri"/>
        </w:rPr>
        <w:t>t</w:t>
      </w:r>
      <w:r>
        <w:rPr>
          <w:rFonts w:cs="Calibri"/>
        </w:rPr>
        <w:t xml:space="preserve">he four outcomes of the Policy. The </w:t>
      </w:r>
      <w:r w:rsidRPr="004A732C">
        <w:rPr>
          <w:rFonts w:cs="Calibri"/>
        </w:rPr>
        <w:t>findings will guid</w:t>
      </w:r>
      <w:r>
        <w:rPr>
          <w:rFonts w:cs="Calibri"/>
        </w:rPr>
        <w:t>e</w:t>
      </w:r>
      <w:r w:rsidRPr="004A732C">
        <w:rPr>
          <w:rFonts w:cs="Calibri"/>
        </w:rPr>
        <w:t xml:space="preserve"> future planning and investment decisions for </w:t>
      </w:r>
      <w:r>
        <w:rPr>
          <w:rFonts w:cs="Calibri"/>
        </w:rPr>
        <w:t xml:space="preserve">DRR </w:t>
      </w:r>
      <w:r w:rsidRPr="004A732C">
        <w:rPr>
          <w:rFonts w:cs="Calibri"/>
        </w:rPr>
        <w:t>in the Australian aid program</w:t>
      </w:r>
      <w:r>
        <w:rPr>
          <w:rFonts w:cs="Calibri"/>
        </w:rPr>
        <w:t>.</w:t>
      </w:r>
    </w:p>
    <w:p w:rsidR="002C567F" w:rsidRDefault="006E79AE" w:rsidP="007B5B00">
      <w:pPr>
        <w:rPr>
          <w:rFonts w:cs="Calibri"/>
        </w:rPr>
      </w:pPr>
      <w:r>
        <w:rPr>
          <w:rFonts w:cs="Calibri"/>
        </w:rPr>
        <w:t>T</w:t>
      </w:r>
      <w:r w:rsidR="007B43E9" w:rsidRPr="0036670E">
        <w:rPr>
          <w:rFonts w:cs="Calibri"/>
        </w:rPr>
        <w:t xml:space="preserve">he goal of the Policy </w:t>
      </w:r>
      <w:r w:rsidR="007B43E9">
        <w:rPr>
          <w:rFonts w:cs="Calibri"/>
        </w:rPr>
        <w:t>is ‘reduced vulnerability and enhanced resilience of countries and communities to disasters’</w:t>
      </w:r>
      <w:r w:rsidR="001D3F15">
        <w:rPr>
          <w:rFonts w:cs="Calibri"/>
        </w:rPr>
        <w:t>.</w:t>
      </w:r>
      <w:r>
        <w:rPr>
          <w:rFonts w:cs="Calibri"/>
        </w:rPr>
        <w:t xml:space="preserve">  In implementing the Policy</w:t>
      </w:r>
      <w:r w:rsidR="007B43E9">
        <w:rPr>
          <w:rFonts w:cs="Calibri"/>
        </w:rPr>
        <w:t xml:space="preserve">, </w:t>
      </w:r>
      <w:proofErr w:type="spellStart"/>
      <w:r w:rsidR="007B43E9">
        <w:rPr>
          <w:rFonts w:cs="Calibri"/>
        </w:rPr>
        <w:t>AusAID</w:t>
      </w:r>
      <w:proofErr w:type="spellEnd"/>
      <w:r w:rsidR="007B43E9">
        <w:rPr>
          <w:rFonts w:cs="Calibri"/>
        </w:rPr>
        <w:t xml:space="preserve"> bilateral programs and the DRR Unit have continued to expand the scale and scope of DRR interventions.  </w:t>
      </w:r>
      <w:r w:rsidR="002C567F">
        <w:rPr>
          <w:rFonts w:cs="Calibri"/>
        </w:rPr>
        <w:t>E</w:t>
      </w:r>
      <w:r w:rsidR="002C567F" w:rsidRPr="00CE1075">
        <w:rPr>
          <w:rFonts w:cs="Calibri"/>
        </w:rPr>
        <w:t>xpenditure on DRR rose from $59 mi</w:t>
      </w:r>
      <w:r w:rsidR="002C567F">
        <w:rPr>
          <w:rFonts w:cs="Calibri"/>
        </w:rPr>
        <w:t xml:space="preserve">llion in 2009-10 to </w:t>
      </w:r>
      <w:r w:rsidR="002C567F" w:rsidRPr="00C13226">
        <w:rPr>
          <w:rFonts w:cs="Calibri"/>
        </w:rPr>
        <w:t xml:space="preserve">over $102 million in 2010-11, representing </w:t>
      </w:r>
      <w:r w:rsidR="002C567F" w:rsidRPr="004A732C">
        <w:rPr>
          <w:rFonts w:cs="Calibri"/>
        </w:rPr>
        <w:t>2.36</w:t>
      </w:r>
      <w:r w:rsidR="002C567F">
        <w:rPr>
          <w:rFonts w:cs="Calibri"/>
        </w:rPr>
        <w:t>%</w:t>
      </w:r>
      <w:r w:rsidR="002C567F" w:rsidRPr="004A732C">
        <w:rPr>
          <w:rFonts w:cs="Calibri"/>
        </w:rPr>
        <w:t xml:space="preserve"> of the total Australian budget for overseas development assistance</w:t>
      </w:r>
      <w:r w:rsidR="002C567F">
        <w:rPr>
          <w:rFonts w:cs="Calibri"/>
        </w:rPr>
        <w:t xml:space="preserve"> for that year. (This figure</w:t>
      </w:r>
      <w:r w:rsidR="001D3F15">
        <w:rPr>
          <w:rFonts w:cs="Calibri"/>
        </w:rPr>
        <w:t xml:space="preserve"> </w:t>
      </w:r>
      <w:r w:rsidR="002C567F">
        <w:rPr>
          <w:rFonts w:cs="Calibri"/>
        </w:rPr>
        <w:t xml:space="preserve">exceeds the target of 1 % of Official Development Assistance spending recommended by the United Nations </w:t>
      </w:r>
      <w:proofErr w:type="spellStart"/>
      <w:r w:rsidR="002C567F">
        <w:rPr>
          <w:rFonts w:cs="Calibri"/>
        </w:rPr>
        <w:t>lnternational</w:t>
      </w:r>
      <w:proofErr w:type="spellEnd"/>
      <w:r w:rsidR="002C567F">
        <w:rPr>
          <w:rFonts w:cs="Calibri"/>
        </w:rPr>
        <w:t xml:space="preserve"> Strategy for Disaster Reduction (UNISDR) at the 2009 Global Platform for DRR.)  </w:t>
      </w:r>
    </w:p>
    <w:p w:rsidR="002C567F" w:rsidRDefault="002C567F" w:rsidP="00290E56">
      <w:pPr>
        <w:rPr>
          <w:rFonts w:cs="Calibri"/>
        </w:rPr>
      </w:pPr>
      <w:proofErr w:type="spellStart"/>
      <w:r>
        <w:rPr>
          <w:rFonts w:cs="Calibri"/>
        </w:rPr>
        <w:t>AusAID</w:t>
      </w:r>
      <w:proofErr w:type="spellEnd"/>
      <w:r>
        <w:rPr>
          <w:rFonts w:cs="Calibri"/>
        </w:rPr>
        <w:t xml:space="preserve"> has also deepened </w:t>
      </w:r>
      <w:r w:rsidRPr="007B5B00">
        <w:rPr>
          <w:rFonts w:cs="Calibri"/>
        </w:rPr>
        <w:t xml:space="preserve">its engagement </w:t>
      </w:r>
      <w:r>
        <w:rPr>
          <w:rFonts w:cs="Calibri"/>
        </w:rPr>
        <w:t xml:space="preserve">in policy development with the main international actors in DRR.  </w:t>
      </w:r>
      <w:proofErr w:type="spellStart"/>
      <w:r>
        <w:rPr>
          <w:rFonts w:cs="Calibri"/>
        </w:rPr>
        <w:t>AusAID</w:t>
      </w:r>
      <w:proofErr w:type="spellEnd"/>
      <w:r>
        <w:rPr>
          <w:rFonts w:cs="Calibri"/>
        </w:rPr>
        <w:t xml:space="preserve"> was prominent at the 2011 Global Platform for DRR and was co-chair of the </w:t>
      </w:r>
      <w:r w:rsidR="00FB0D76">
        <w:rPr>
          <w:rFonts w:cs="Calibri"/>
        </w:rPr>
        <w:t xml:space="preserve">World Bank’s </w:t>
      </w:r>
      <w:r>
        <w:rPr>
          <w:rFonts w:cs="Calibri"/>
        </w:rPr>
        <w:t xml:space="preserve">Global Facility for Disaster Reduction and Recovery (GFDRR) through 2011.  We are one of few countries to be represented on the UNISDR’s advisory panel on post-2015 framework for DRR and we are co-chair of the Friends of DRR group at the UN in New York. </w:t>
      </w:r>
    </w:p>
    <w:p w:rsidR="002C567F" w:rsidRDefault="002C567F" w:rsidP="00D44515">
      <w:pPr>
        <w:rPr>
          <w:rFonts w:cs="Calibri"/>
        </w:rPr>
      </w:pPr>
      <w:r>
        <w:rPr>
          <w:rFonts w:cs="Calibri"/>
        </w:rPr>
        <w:t>But a lot more remains to be done.  Since the last DRR Unit Progress Report in 2010</w:t>
      </w:r>
      <w:r w:rsidR="00FB0D76">
        <w:rPr>
          <w:rFonts w:cs="Calibri"/>
        </w:rPr>
        <w:t xml:space="preserve">, </w:t>
      </w:r>
      <w:r>
        <w:rPr>
          <w:rFonts w:cs="Calibri"/>
        </w:rPr>
        <w:t xml:space="preserve">evidence has continued to mount of the increasing severity and frequency of disaster events, and the rapidly increasing exposure to hazards arising from population increase and urbanisation, particularly in the Asia Pacific.  In 2011, 302 natural disasters killed more than 29,000 people, affected more than 206 million, and caused record economic loss of US$366 billion.  </w:t>
      </w:r>
    </w:p>
    <w:p w:rsidR="002C567F" w:rsidRDefault="002C567F" w:rsidP="00D378F8">
      <w:pPr>
        <w:rPr>
          <w:rFonts w:cs="Calibri"/>
        </w:rPr>
      </w:pPr>
      <w:r>
        <w:rPr>
          <w:rFonts w:cs="Calibri"/>
        </w:rPr>
        <w:t xml:space="preserve">To address this expanding risk, our Policy needs to be implemented </w:t>
      </w:r>
      <w:r w:rsidR="001D3F15">
        <w:rPr>
          <w:rFonts w:cs="Calibri"/>
        </w:rPr>
        <w:t>in a manner that more evenly reflects the scope of the Hyogo Framework for Action (the international blueprint for DRR).</w:t>
      </w:r>
      <w:r>
        <w:rPr>
          <w:rFonts w:cs="Calibri"/>
        </w:rPr>
        <w:t xml:space="preserve">  Despite the rapid growth of DRR across the Agency</w:t>
      </w:r>
      <w:r w:rsidR="001D3F15">
        <w:rPr>
          <w:rFonts w:cs="Calibri"/>
        </w:rPr>
        <w:t>,</w:t>
      </w:r>
      <w:r>
        <w:rPr>
          <w:rFonts w:cs="Calibri"/>
        </w:rPr>
        <w:t xml:space="preserve"> </w:t>
      </w:r>
      <w:r w:rsidR="006E79AE">
        <w:rPr>
          <w:rFonts w:cs="Calibri"/>
        </w:rPr>
        <w:t xml:space="preserve">most activities </w:t>
      </w:r>
      <w:r>
        <w:rPr>
          <w:rFonts w:cs="Calibri"/>
        </w:rPr>
        <w:t xml:space="preserve">cluster </w:t>
      </w:r>
      <w:r w:rsidR="00994BE7">
        <w:rPr>
          <w:rFonts w:cs="Calibri"/>
        </w:rPr>
        <w:t>in</w:t>
      </w:r>
      <w:r>
        <w:rPr>
          <w:rFonts w:cs="Calibri"/>
        </w:rPr>
        <w:t xml:space="preserve"> emergency preparedness and </w:t>
      </w:r>
      <w:r w:rsidR="006E79AE">
        <w:rPr>
          <w:rFonts w:cs="Calibri"/>
        </w:rPr>
        <w:t xml:space="preserve">applied </w:t>
      </w:r>
      <w:r w:rsidR="00994BE7">
        <w:rPr>
          <w:rFonts w:cs="Calibri"/>
        </w:rPr>
        <w:t>geo-science.</w:t>
      </w:r>
      <w:r>
        <w:rPr>
          <w:rFonts w:cs="Calibri"/>
        </w:rPr>
        <w:t xml:space="preserve">  We need to </w:t>
      </w:r>
      <w:r w:rsidR="00FB0D76">
        <w:rPr>
          <w:rFonts w:cs="Calibri"/>
        </w:rPr>
        <w:t xml:space="preserve">better </w:t>
      </w:r>
      <w:r>
        <w:rPr>
          <w:rFonts w:cs="Calibri"/>
        </w:rPr>
        <w:t>integrate DRR across the whole spectrum of development</w:t>
      </w:r>
      <w:r w:rsidR="001D3F15">
        <w:rPr>
          <w:rFonts w:cs="Calibri"/>
        </w:rPr>
        <w:t xml:space="preserve"> programming,</w:t>
      </w:r>
      <w:r>
        <w:rPr>
          <w:rFonts w:cs="Calibri"/>
        </w:rPr>
        <w:t xml:space="preserve"> </w:t>
      </w:r>
      <w:r w:rsidR="001D3F15">
        <w:rPr>
          <w:rFonts w:cs="Calibri"/>
        </w:rPr>
        <w:t xml:space="preserve">including </w:t>
      </w:r>
      <w:r>
        <w:rPr>
          <w:rFonts w:cs="Calibri"/>
        </w:rPr>
        <w:t>climate change adaptation (CCA)</w:t>
      </w:r>
      <w:r w:rsidR="001D3F15">
        <w:rPr>
          <w:rFonts w:cs="Calibri"/>
        </w:rPr>
        <w:t>.  And</w:t>
      </w:r>
      <w:r w:rsidR="00FB0D76">
        <w:rPr>
          <w:rFonts w:cs="Calibri"/>
        </w:rPr>
        <w:t>,</w:t>
      </w:r>
      <w:r w:rsidR="001D3F15">
        <w:rPr>
          <w:rFonts w:cs="Calibri"/>
        </w:rPr>
        <w:t xml:space="preserve"> </w:t>
      </w:r>
      <w:r w:rsidR="001D3F15" w:rsidRPr="001D3F15">
        <w:rPr>
          <w:rFonts w:cs="Calibri"/>
        </w:rPr>
        <w:t xml:space="preserve">we need to build a stronger evidence base for DRR programming across </w:t>
      </w:r>
      <w:proofErr w:type="spellStart"/>
      <w:r w:rsidR="001D3F15" w:rsidRPr="001D3F15">
        <w:rPr>
          <w:rFonts w:cs="Calibri"/>
        </w:rPr>
        <w:t>AusAID</w:t>
      </w:r>
      <w:proofErr w:type="spellEnd"/>
      <w:r w:rsidR="001D3F15">
        <w:rPr>
          <w:rFonts w:cs="Calibri"/>
        </w:rPr>
        <w:t xml:space="preserve"> t</w:t>
      </w:r>
      <w:r w:rsidR="00994BE7">
        <w:rPr>
          <w:rFonts w:cs="Calibri"/>
        </w:rPr>
        <w:t xml:space="preserve">hrough </w:t>
      </w:r>
      <w:r w:rsidR="001D3F15">
        <w:rPr>
          <w:rFonts w:cs="Calibri"/>
        </w:rPr>
        <w:t xml:space="preserve">better and </w:t>
      </w:r>
      <w:r w:rsidR="00994BE7">
        <w:rPr>
          <w:rFonts w:cs="Calibri"/>
        </w:rPr>
        <w:t xml:space="preserve">more </w:t>
      </w:r>
      <w:r w:rsidR="001D3F15">
        <w:rPr>
          <w:rFonts w:cs="Calibri"/>
        </w:rPr>
        <w:t xml:space="preserve">consistent reporting on </w:t>
      </w:r>
      <w:r w:rsidR="00994BE7">
        <w:rPr>
          <w:rFonts w:cs="Calibri"/>
        </w:rPr>
        <w:t>impact</w:t>
      </w:r>
      <w:r w:rsidR="001D3F15">
        <w:rPr>
          <w:rFonts w:cs="Calibri"/>
        </w:rPr>
        <w:t>.</w:t>
      </w:r>
    </w:p>
    <w:p w:rsidR="002C567F" w:rsidRPr="00FF6046" w:rsidRDefault="002C567F" w:rsidP="00466686">
      <w:pPr>
        <w:pStyle w:val="Heading1"/>
      </w:pPr>
      <w:bookmarkStart w:id="4" w:name="_Toc351121972"/>
      <w:bookmarkStart w:id="5" w:name="_Toc351122040"/>
      <w:bookmarkStart w:id="6" w:name="_Toc351122177"/>
      <w:r w:rsidRPr="00FF6046">
        <w:t>RESULTS</w:t>
      </w:r>
      <w:bookmarkEnd w:id="4"/>
      <w:bookmarkEnd w:id="5"/>
      <w:bookmarkEnd w:id="6"/>
    </w:p>
    <w:p w:rsidR="002C567F" w:rsidRPr="00CD6741" w:rsidRDefault="002C567F" w:rsidP="005A1AC3">
      <w:pPr>
        <w:rPr>
          <w:rFonts w:cs="Calibri"/>
        </w:rPr>
      </w:pPr>
      <w:r>
        <w:rPr>
          <w:rFonts w:cs="Calibri"/>
          <w:lang w:val="en-GB" w:eastAsia="zh-CN"/>
        </w:rPr>
        <w:t>Achievements since the last Report against each of the four Policy outcomes are summarised below.</w:t>
      </w:r>
    </w:p>
    <w:p w:rsidR="002C567F" w:rsidRPr="00466686" w:rsidRDefault="002C567F" w:rsidP="00466686">
      <w:pPr>
        <w:pStyle w:val="Heading2"/>
      </w:pPr>
      <w:bookmarkStart w:id="7" w:name="_Toc351121973"/>
      <w:bookmarkStart w:id="8" w:name="_Toc351122041"/>
      <w:bookmarkStart w:id="9" w:name="_Toc351122178"/>
      <w:r w:rsidRPr="00466686">
        <w:t>Outcome One: Disaster Risk Reduction is integrated into the Australian Aid Program</w:t>
      </w:r>
      <w:bookmarkEnd w:id="7"/>
      <w:bookmarkEnd w:id="8"/>
      <w:bookmarkEnd w:id="9"/>
    </w:p>
    <w:p w:rsidR="00944EA2" w:rsidRDefault="00A92343" w:rsidP="00887194">
      <w:pPr>
        <w:spacing w:after="240" w:line="240" w:lineRule="auto"/>
        <w:rPr>
          <w:rFonts w:cs="Calibri"/>
        </w:rPr>
      </w:pPr>
      <w:r>
        <w:rPr>
          <w:rFonts w:cs="Calibri"/>
        </w:rPr>
        <w:t>T</w:t>
      </w:r>
      <w:r w:rsidRPr="0021728B">
        <w:rPr>
          <w:rFonts w:cs="Calibri"/>
        </w:rPr>
        <w:t xml:space="preserve">he reach of DRR within the </w:t>
      </w:r>
      <w:r w:rsidR="009451A8">
        <w:rPr>
          <w:rFonts w:cs="Calibri"/>
        </w:rPr>
        <w:t xml:space="preserve">Australian aid </w:t>
      </w:r>
      <w:r w:rsidRPr="0021728B">
        <w:rPr>
          <w:rFonts w:cs="Calibri"/>
        </w:rPr>
        <w:t>program</w:t>
      </w:r>
      <w:r>
        <w:rPr>
          <w:rFonts w:cs="Calibri"/>
        </w:rPr>
        <w:t xml:space="preserve"> rose markedly through 2010-11</w:t>
      </w:r>
      <w:r w:rsidRPr="0021728B">
        <w:rPr>
          <w:rFonts w:cs="Calibri"/>
        </w:rPr>
        <w:t xml:space="preserve">. </w:t>
      </w:r>
      <w:r>
        <w:rPr>
          <w:rFonts w:cs="Calibri"/>
        </w:rPr>
        <w:t xml:space="preserve"> Some 64 countries benefited from </w:t>
      </w:r>
      <w:proofErr w:type="spellStart"/>
      <w:r>
        <w:rPr>
          <w:rFonts w:cs="Calibri"/>
        </w:rPr>
        <w:t>AusAID</w:t>
      </w:r>
      <w:proofErr w:type="spellEnd"/>
      <w:r>
        <w:rPr>
          <w:rFonts w:cs="Calibri"/>
        </w:rPr>
        <w:t xml:space="preserve">-funded DRR activities (up from 32 in 2009-10) and overall expenditure on DRR </w:t>
      </w:r>
      <w:r w:rsidRPr="00C13226">
        <w:rPr>
          <w:rFonts w:cs="Calibri"/>
        </w:rPr>
        <w:t xml:space="preserve">rose from $59m to over $102m. </w:t>
      </w:r>
      <w:r w:rsidR="009451A8">
        <w:rPr>
          <w:rFonts w:cs="Calibri"/>
        </w:rPr>
        <w:t xml:space="preserve"> </w:t>
      </w:r>
      <w:r w:rsidR="002C567F" w:rsidRPr="0036670E">
        <w:rPr>
          <w:rFonts w:cs="Calibri"/>
        </w:rPr>
        <w:t xml:space="preserve">These activities </w:t>
      </w:r>
      <w:r w:rsidR="001C3878">
        <w:rPr>
          <w:rFonts w:cs="Calibri"/>
        </w:rPr>
        <w:t>have tended to focus either on building resilience at community levels through emergency preparedness</w:t>
      </w:r>
      <w:r w:rsidR="009451A8">
        <w:rPr>
          <w:rFonts w:cs="Calibri"/>
        </w:rPr>
        <w:t>,</w:t>
      </w:r>
      <w:r w:rsidR="001C3878">
        <w:rPr>
          <w:rFonts w:cs="Calibri"/>
        </w:rPr>
        <w:t xml:space="preserve"> or building awareness and capacity through a science</w:t>
      </w:r>
      <w:r w:rsidR="009451A8">
        <w:rPr>
          <w:rFonts w:cs="Calibri"/>
        </w:rPr>
        <w:t>-</w:t>
      </w:r>
      <w:r w:rsidR="001C3878">
        <w:rPr>
          <w:rFonts w:cs="Calibri"/>
        </w:rPr>
        <w:t>driven</w:t>
      </w:r>
      <w:r w:rsidR="009451A8">
        <w:rPr>
          <w:rFonts w:cs="Calibri"/>
        </w:rPr>
        <w:t>,</w:t>
      </w:r>
      <w:r w:rsidR="001C3878">
        <w:rPr>
          <w:rFonts w:cs="Calibri"/>
        </w:rPr>
        <w:t xml:space="preserve"> natural hazards approach that generates data risk data and </w:t>
      </w:r>
      <w:r w:rsidR="001C3878">
        <w:rPr>
          <w:rFonts w:cs="Calibri"/>
        </w:rPr>
        <w:lastRenderedPageBreak/>
        <w:t xml:space="preserve">transfers technical know-how.  </w:t>
      </w:r>
      <w:r w:rsidR="00086AF2">
        <w:rPr>
          <w:rFonts w:cs="Calibri"/>
        </w:rPr>
        <w:t xml:space="preserve">The range of </w:t>
      </w:r>
      <w:r w:rsidR="009451A8">
        <w:rPr>
          <w:rFonts w:cs="Calibri"/>
        </w:rPr>
        <w:t xml:space="preserve">DRR programming </w:t>
      </w:r>
      <w:r w:rsidR="001C3878">
        <w:rPr>
          <w:rFonts w:cs="Calibri"/>
        </w:rPr>
        <w:t xml:space="preserve"> </w:t>
      </w:r>
      <w:r w:rsidR="009451A8">
        <w:rPr>
          <w:rFonts w:cs="Calibri"/>
        </w:rPr>
        <w:t>included</w:t>
      </w:r>
      <w:r w:rsidR="002C567F" w:rsidRPr="0036670E">
        <w:rPr>
          <w:rFonts w:cs="Calibri"/>
        </w:rPr>
        <w:t xml:space="preserve">: </w:t>
      </w:r>
      <w:r w:rsidR="009451A8" w:rsidRPr="0036670E">
        <w:rPr>
          <w:rFonts w:cs="Calibri"/>
        </w:rPr>
        <w:t>protectin</w:t>
      </w:r>
      <w:r w:rsidR="009451A8">
        <w:rPr>
          <w:rFonts w:cs="Calibri"/>
        </w:rPr>
        <w:t>g</w:t>
      </w:r>
      <w:r w:rsidR="009451A8" w:rsidRPr="0036670E">
        <w:rPr>
          <w:rFonts w:cs="Calibri"/>
        </w:rPr>
        <w:t xml:space="preserve"> livelihoods and infrastructure from disasters</w:t>
      </w:r>
      <w:r w:rsidR="009451A8">
        <w:rPr>
          <w:rFonts w:cs="Calibri"/>
        </w:rPr>
        <w:t>;</w:t>
      </w:r>
      <w:r w:rsidR="002C567F" w:rsidRPr="0036670E">
        <w:rPr>
          <w:rFonts w:cs="Calibri"/>
        </w:rPr>
        <w:t xml:space="preserve"> strengthening partnerships with scientific agencies</w:t>
      </w:r>
      <w:r w:rsidR="002C567F">
        <w:rPr>
          <w:rFonts w:cs="Calibri"/>
        </w:rPr>
        <w:t>;</w:t>
      </w:r>
      <w:r w:rsidR="002C567F" w:rsidRPr="0036670E">
        <w:rPr>
          <w:rFonts w:cs="Calibri"/>
        </w:rPr>
        <w:t xml:space="preserve"> </w:t>
      </w:r>
      <w:r w:rsidR="009451A8" w:rsidRPr="0036670E">
        <w:rPr>
          <w:rFonts w:cs="Calibri"/>
        </w:rPr>
        <w:t>encouraging sound land use planning based on hazard information;</w:t>
      </w:r>
      <w:r w:rsidR="009451A8">
        <w:rPr>
          <w:rFonts w:cs="Calibri"/>
        </w:rPr>
        <w:t xml:space="preserve"> </w:t>
      </w:r>
      <w:r w:rsidR="00086AF2">
        <w:rPr>
          <w:rFonts w:cs="Calibri"/>
        </w:rPr>
        <w:t xml:space="preserve">improving early warning systems, </w:t>
      </w:r>
      <w:r w:rsidR="002C567F" w:rsidRPr="0036670E">
        <w:rPr>
          <w:rFonts w:cs="Calibri"/>
        </w:rPr>
        <w:t xml:space="preserve">addressing cyclical food insecurity issues caused by natural hazards (such as droughts and floods); and ensuring that post-disaster reconstruction is based on disaster risk reduction principles, such as ‘build-back-better’.  </w:t>
      </w:r>
    </w:p>
    <w:p w:rsidR="002C567F" w:rsidRPr="0036670E" w:rsidRDefault="00D9074B" w:rsidP="00887194">
      <w:pPr>
        <w:spacing w:after="240" w:line="240" w:lineRule="auto"/>
        <w:rPr>
          <w:rFonts w:cs="Calibri"/>
        </w:rPr>
      </w:pPr>
      <w:proofErr w:type="spellStart"/>
      <w:r>
        <w:rPr>
          <w:rFonts w:cs="Calibri"/>
        </w:rPr>
        <w:t>AusAID</w:t>
      </w:r>
      <w:proofErr w:type="spellEnd"/>
      <w:r>
        <w:rPr>
          <w:rFonts w:cs="Calibri"/>
        </w:rPr>
        <w:t xml:space="preserve"> </w:t>
      </w:r>
      <w:r w:rsidR="00086AF2">
        <w:rPr>
          <w:rFonts w:cs="Calibri"/>
        </w:rPr>
        <w:t>made DRR considerations part of p</w:t>
      </w:r>
      <w:r w:rsidR="00A92343" w:rsidRPr="00CF02EB">
        <w:rPr>
          <w:rFonts w:cs="Calibri"/>
        </w:rPr>
        <w:t>ost</w:t>
      </w:r>
      <w:r w:rsidR="009451A8">
        <w:rPr>
          <w:rFonts w:cs="Calibri"/>
        </w:rPr>
        <w:t>-</w:t>
      </w:r>
      <w:r w:rsidR="00A92343" w:rsidRPr="00CF02EB">
        <w:rPr>
          <w:rFonts w:cs="Calibri"/>
        </w:rPr>
        <w:t>disaster responses</w:t>
      </w:r>
      <w:r w:rsidR="00A92343">
        <w:rPr>
          <w:rFonts w:cs="Calibri"/>
        </w:rPr>
        <w:t xml:space="preserve"> in Pakistan </w:t>
      </w:r>
      <w:r w:rsidR="00FB0D76">
        <w:rPr>
          <w:rFonts w:cs="Calibri"/>
        </w:rPr>
        <w:t xml:space="preserve">in 2010 </w:t>
      </w:r>
      <w:r w:rsidR="00A92343">
        <w:rPr>
          <w:rFonts w:cs="Calibri"/>
        </w:rPr>
        <w:t xml:space="preserve">(through </w:t>
      </w:r>
      <w:r w:rsidR="00A92343" w:rsidRPr="00CF02EB">
        <w:rPr>
          <w:rFonts w:cs="Calibri"/>
        </w:rPr>
        <w:t>support for a post disaster needs assessment after the floods</w:t>
      </w:r>
      <w:r w:rsidR="00A92343">
        <w:rPr>
          <w:rFonts w:cs="Calibri"/>
        </w:rPr>
        <w:t>)</w:t>
      </w:r>
      <w:r w:rsidR="00A92343" w:rsidRPr="00CF02EB">
        <w:rPr>
          <w:rFonts w:cs="Calibri"/>
        </w:rPr>
        <w:t xml:space="preserve"> and </w:t>
      </w:r>
      <w:r w:rsidR="00A92343">
        <w:rPr>
          <w:rFonts w:cs="Calibri"/>
        </w:rPr>
        <w:t xml:space="preserve">in Tuvalu </w:t>
      </w:r>
      <w:r w:rsidR="00FB0D76">
        <w:rPr>
          <w:rFonts w:cs="Calibri"/>
        </w:rPr>
        <w:t xml:space="preserve">in 2011 </w:t>
      </w:r>
      <w:r w:rsidR="00A92343">
        <w:rPr>
          <w:rFonts w:cs="Calibri"/>
        </w:rPr>
        <w:t xml:space="preserve">(through </w:t>
      </w:r>
      <w:r w:rsidR="00A92343" w:rsidRPr="00CF02EB">
        <w:rPr>
          <w:rFonts w:cs="Calibri"/>
        </w:rPr>
        <w:t xml:space="preserve">the provision of water tanks and desalination plants in response to </w:t>
      </w:r>
      <w:r w:rsidR="00A92343">
        <w:rPr>
          <w:rFonts w:cs="Calibri"/>
        </w:rPr>
        <w:t>its</w:t>
      </w:r>
      <w:r w:rsidR="00A92343" w:rsidRPr="00CF02EB">
        <w:rPr>
          <w:rFonts w:cs="Calibri"/>
        </w:rPr>
        <w:t xml:space="preserve"> </w:t>
      </w:r>
      <w:r w:rsidR="00A92343">
        <w:rPr>
          <w:rFonts w:cs="Calibri"/>
        </w:rPr>
        <w:t xml:space="preserve">fresh </w:t>
      </w:r>
      <w:r w:rsidR="00A92343" w:rsidRPr="00CF02EB">
        <w:rPr>
          <w:rFonts w:cs="Calibri"/>
        </w:rPr>
        <w:t>water crisis</w:t>
      </w:r>
      <w:r w:rsidR="00A92343">
        <w:rPr>
          <w:rFonts w:cs="Calibri"/>
        </w:rPr>
        <w:t>).</w:t>
      </w:r>
      <w:r w:rsidR="002C567F" w:rsidRPr="0036670E">
        <w:rPr>
          <w:rFonts w:cs="Calibri"/>
          <w:lang w:val="en-US"/>
        </w:rPr>
        <w:t xml:space="preserve"> </w:t>
      </w:r>
      <w:r w:rsidR="002C567F" w:rsidRPr="0036670E">
        <w:rPr>
          <w:rFonts w:cs="Calibri"/>
        </w:rPr>
        <w:t xml:space="preserve"> </w:t>
      </w:r>
      <w:r w:rsidR="00944EA2">
        <w:rPr>
          <w:rFonts w:cs="Calibri"/>
        </w:rPr>
        <w:t>A major program in the Philippines was developed in response to a post-disaster needs assessment</w:t>
      </w:r>
      <w:r w:rsidR="00517517">
        <w:rPr>
          <w:rFonts w:cs="Calibri"/>
        </w:rPr>
        <w:t xml:space="preserve"> after cyclone </w:t>
      </w:r>
      <w:proofErr w:type="spellStart"/>
      <w:r w:rsidR="00517517">
        <w:rPr>
          <w:rFonts w:cs="Calibri"/>
        </w:rPr>
        <w:t>Ketsana</w:t>
      </w:r>
      <w:proofErr w:type="spellEnd"/>
      <w:r w:rsidR="00944EA2">
        <w:rPr>
          <w:rFonts w:cs="Calibri"/>
        </w:rPr>
        <w:t xml:space="preserve">.  </w:t>
      </w:r>
      <w:r w:rsidR="00517517">
        <w:rPr>
          <w:rFonts w:cs="Calibri"/>
        </w:rPr>
        <w:t xml:space="preserve">Drawing on the needs assessment </w:t>
      </w:r>
      <w:r w:rsidR="00781D2C">
        <w:rPr>
          <w:rFonts w:cs="Calibri"/>
        </w:rPr>
        <w:t xml:space="preserve">the Government of the Philippines </w:t>
      </w:r>
      <w:r w:rsidR="00517517">
        <w:rPr>
          <w:rFonts w:cs="Calibri"/>
        </w:rPr>
        <w:t xml:space="preserve">and </w:t>
      </w:r>
      <w:proofErr w:type="spellStart"/>
      <w:r w:rsidR="00517517">
        <w:rPr>
          <w:rFonts w:cs="Calibri"/>
        </w:rPr>
        <w:t>AusAID</w:t>
      </w:r>
      <w:proofErr w:type="spellEnd"/>
      <w:r w:rsidR="00781D2C">
        <w:rPr>
          <w:rFonts w:cs="Calibri"/>
        </w:rPr>
        <w:t xml:space="preserve"> </w:t>
      </w:r>
      <w:r w:rsidR="00944EA2">
        <w:rPr>
          <w:rFonts w:cs="Calibri"/>
        </w:rPr>
        <w:t>ha</w:t>
      </w:r>
      <w:r w:rsidR="00517517">
        <w:rPr>
          <w:rFonts w:cs="Calibri"/>
        </w:rPr>
        <w:t>ve</w:t>
      </w:r>
      <w:r w:rsidR="00944EA2">
        <w:rPr>
          <w:rFonts w:cs="Calibri"/>
        </w:rPr>
        <w:t xml:space="preserve"> developed a package of </w:t>
      </w:r>
      <w:r w:rsidR="00781D2C">
        <w:rPr>
          <w:rFonts w:cs="Calibri"/>
        </w:rPr>
        <w:t>risk assessments and land use planning guidelines t</w:t>
      </w:r>
      <w:r w:rsidR="00944EA2">
        <w:rPr>
          <w:rFonts w:cs="Calibri"/>
        </w:rPr>
        <w:t xml:space="preserve">o prepare and protect Metro Manila communities from natural hazards and climate change. </w:t>
      </w:r>
    </w:p>
    <w:p w:rsidR="002C567F" w:rsidRDefault="002C567F" w:rsidP="00887194">
      <w:pPr>
        <w:spacing w:after="240"/>
        <w:rPr>
          <w:rFonts w:cs="Calibri"/>
        </w:rPr>
      </w:pPr>
      <w:r>
        <w:rPr>
          <w:rFonts w:cs="Calibri"/>
        </w:rPr>
        <w:t>T</w:t>
      </w:r>
      <w:r w:rsidRPr="0021728B">
        <w:rPr>
          <w:rFonts w:cs="Calibri"/>
        </w:rPr>
        <w:t xml:space="preserve">raining </w:t>
      </w:r>
      <w:r>
        <w:rPr>
          <w:rFonts w:cs="Calibri"/>
        </w:rPr>
        <w:t>t</w:t>
      </w:r>
      <w:r w:rsidRPr="0021728B">
        <w:rPr>
          <w:rFonts w:cs="Calibri"/>
        </w:rPr>
        <w:t>o increas</w:t>
      </w:r>
      <w:r>
        <w:rPr>
          <w:rFonts w:cs="Calibri"/>
        </w:rPr>
        <w:t>e</w:t>
      </w:r>
      <w:r w:rsidRPr="0021728B">
        <w:rPr>
          <w:rFonts w:cs="Calibri"/>
        </w:rPr>
        <w:t xml:space="preserve"> knowledge on DRR and </w:t>
      </w:r>
      <w:r w:rsidR="006366F5">
        <w:rPr>
          <w:rFonts w:cs="Calibri"/>
        </w:rPr>
        <w:t xml:space="preserve">its </w:t>
      </w:r>
      <w:r w:rsidRPr="0021728B">
        <w:rPr>
          <w:rFonts w:cs="Calibri"/>
        </w:rPr>
        <w:t>integration into the Australian aid program w</w:t>
      </w:r>
      <w:r>
        <w:rPr>
          <w:rFonts w:cs="Calibri"/>
        </w:rPr>
        <w:t>as delivered to</w:t>
      </w:r>
      <w:r w:rsidRPr="0021728B">
        <w:rPr>
          <w:rFonts w:cs="Calibri"/>
        </w:rPr>
        <w:t xml:space="preserve"> </w:t>
      </w:r>
      <w:r w:rsidR="006366F5">
        <w:rPr>
          <w:rFonts w:cs="Calibri"/>
        </w:rPr>
        <w:t xml:space="preserve">a total of </w:t>
      </w:r>
      <w:r w:rsidR="00F76A91">
        <w:rPr>
          <w:rFonts w:cs="Calibri"/>
        </w:rPr>
        <w:t xml:space="preserve">around 500 </w:t>
      </w:r>
      <w:proofErr w:type="spellStart"/>
      <w:r w:rsidRPr="0021728B">
        <w:rPr>
          <w:rFonts w:cs="Calibri"/>
        </w:rPr>
        <w:t>AusAID</w:t>
      </w:r>
      <w:proofErr w:type="spellEnd"/>
      <w:r w:rsidRPr="0021728B">
        <w:rPr>
          <w:rFonts w:cs="Calibri"/>
        </w:rPr>
        <w:t xml:space="preserve"> </w:t>
      </w:r>
      <w:r w:rsidR="00F76A91">
        <w:rPr>
          <w:rFonts w:cs="Calibri"/>
        </w:rPr>
        <w:t xml:space="preserve">staff and </w:t>
      </w:r>
      <w:r w:rsidR="00D52089">
        <w:rPr>
          <w:rFonts w:cs="Calibri"/>
        </w:rPr>
        <w:t>others</w:t>
      </w:r>
      <w:r w:rsidR="006366F5">
        <w:rPr>
          <w:rFonts w:cs="Calibri"/>
        </w:rPr>
        <w:t>,</w:t>
      </w:r>
      <w:r w:rsidR="00D52089">
        <w:rPr>
          <w:rFonts w:cs="Calibri"/>
        </w:rPr>
        <w:t xml:space="preserve"> including</w:t>
      </w:r>
      <w:r w:rsidR="006366F5">
        <w:rPr>
          <w:rFonts w:cs="Calibri"/>
        </w:rPr>
        <w:t>:</w:t>
      </w:r>
      <w:r w:rsidR="00D52089">
        <w:rPr>
          <w:rFonts w:cs="Calibri"/>
        </w:rPr>
        <w:t xml:space="preserve"> </w:t>
      </w:r>
      <w:r w:rsidRPr="0021728B">
        <w:rPr>
          <w:rFonts w:cs="Calibri"/>
        </w:rPr>
        <w:t>Australian Civilian Corps</w:t>
      </w:r>
      <w:r w:rsidR="006366F5">
        <w:rPr>
          <w:rFonts w:cs="Calibri"/>
        </w:rPr>
        <w:t xml:space="preserve"> </w:t>
      </w:r>
      <w:r w:rsidRPr="0021728B">
        <w:rPr>
          <w:rFonts w:cs="Calibri"/>
        </w:rPr>
        <w:t>registrars</w:t>
      </w:r>
      <w:r>
        <w:rPr>
          <w:rFonts w:cs="Calibri"/>
        </w:rPr>
        <w:t>;</w:t>
      </w:r>
      <w:r w:rsidRPr="0021728B">
        <w:rPr>
          <w:rFonts w:cs="Calibri"/>
        </w:rPr>
        <w:t xml:space="preserve"> </w:t>
      </w:r>
      <w:proofErr w:type="spellStart"/>
      <w:r w:rsidRPr="0021728B">
        <w:rPr>
          <w:rFonts w:cs="Calibri"/>
        </w:rPr>
        <w:t>AusAID</w:t>
      </w:r>
      <w:proofErr w:type="spellEnd"/>
      <w:r w:rsidRPr="0021728B">
        <w:rPr>
          <w:rFonts w:cs="Calibri"/>
        </w:rPr>
        <w:t xml:space="preserve"> supported Red-R </w:t>
      </w:r>
      <w:proofErr w:type="spellStart"/>
      <w:r w:rsidRPr="0021728B">
        <w:rPr>
          <w:rFonts w:cs="Calibri"/>
        </w:rPr>
        <w:t>deployees</w:t>
      </w:r>
      <w:proofErr w:type="spellEnd"/>
      <w:r>
        <w:rPr>
          <w:rFonts w:cs="Calibri"/>
        </w:rPr>
        <w:t>;</w:t>
      </w:r>
      <w:r w:rsidR="00D52089">
        <w:rPr>
          <w:rFonts w:cs="Calibri"/>
        </w:rPr>
        <w:t xml:space="preserve"> whole-of-government partners and non-government organisation </w:t>
      </w:r>
      <w:r w:rsidR="006366F5">
        <w:rPr>
          <w:rFonts w:cs="Calibri"/>
        </w:rPr>
        <w:t>representatives.</w:t>
      </w:r>
      <w:r w:rsidR="00D52089">
        <w:rPr>
          <w:rFonts w:cs="Calibri"/>
        </w:rPr>
        <w:t xml:space="preserve"> </w:t>
      </w:r>
      <w:r w:rsidR="006366F5">
        <w:rPr>
          <w:rFonts w:cs="Calibri"/>
        </w:rPr>
        <w:t xml:space="preserve"> </w:t>
      </w:r>
      <w:r w:rsidRPr="0021728B">
        <w:rPr>
          <w:rFonts w:cs="Calibri"/>
        </w:rPr>
        <w:t xml:space="preserve"> </w:t>
      </w:r>
      <w:r>
        <w:rPr>
          <w:rFonts w:cs="Calibri"/>
        </w:rPr>
        <w:t>I</w:t>
      </w:r>
      <w:r w:rsidRPr="0021728B">
        <w:rPr>
          <w:rFonts w:cs="Calibri"/>
        </w:rPr>
        <w:t xml:space="preserve">n </w:t>
      </w:r>
      <w:r>
        <w:rPr>
          <w:rFonts w:cs="Calibri"/>
        </w:rPr>
        <w:t xml:space="preserve">April </w:t>
      </w:r>
      <w:r w:rsidRPr="0021728B">
        <w:rPr>
          <w:rFonts w:cs="Calibri"/>
        </w:rPr>
        <w:t xml:space="preserve">2012, </w:t>
      </w:r>
      <w:proofErr w:type="spellStart"/>
      <w:r w:rsidR="006366F5">
        <w:rPr>
          <w:rFonts w:cs="Calibri"/>
        </w:rPr>
        <w:t>AusAID</w:t>
      </w:r>
      <w:proofErr w:type="spellEnd"/>
      <w:r w:rsidR="006366F5">
        <w:rPr>
          <w:rFonts w:cs="Calibri"/>
        </w:rPr>
        <w:t xml:space="preserve"> </w:t>
      </w:r>
      <w:r w:rsidR="00F76A91" w:rsidRPr="00F76A91">
        <w:rPr>
          <w:rFonts w:cs="Calibri"/>
        </w:rPr>
        <w:t xml:space="preserve">staff across South Asia </w:t>
      </w:r>
      <w:r w:rsidR="00F76A91">
        <w:rPr>
          <w:rFonts w:cs="Calibri"/>
        </w:rPr>
        <w:t xml:space="preserve">took part in </w:t>
      </w:r>
      <w:r w:rsidRPr="0021728B">
        <w:rPr>
          <w:rFonts w:cs="Calibri"/>
        </w:rPr>
        <w:t>joint DRR</w:t>
      </w:r>
      <w:r>
        <w:rPr>
          <w:rFonts w:cs="Calibri"/>
        </w:rPr>
        <w:t>, climate change</w:t>
      </w:r>
      <w:r w:rsidRPr="0021728B">
        <w:rPr>
          <w:rFonts w:cs="Calibri"/>
        </w:rPr>
        <w:t xml:space="preserve"> and humanitarian emergency response training which highlight</w:t>
      </w:r>
      <w:r>
        <w:rPr>
          <w:rFonts w:cs="Calibri"/>
        </w:rPr>
        <w:t>ed</w:t>
      </w:r>
      <w:r w:rsidRPr="0021728B">
        <w:rPr>
          <w:rFonts w:cs="Calibri"/>
        </w:rPr>
        <w:t xml:space="preserve"> both integration of DRR and Climate Change Adaption (CCA) and also the links between </w:t>
      </w:r>
      <w:r>
        <w:rPr>
          <w:rFonts w:cs="Calibri"/>
        </w:rPr>
        <w:t>DRR</w:t>
      </w:r>
      <w:r w:rsidRPr="0021728B">
        <w:rPr>
          <w:rFonts w:cs="Calibri"/>
        </w:rPr>
        <w:t>, humanitarian</w:t>
      </w:r>
      <w:r>
        <w:rPr>
          <w:rFonts w:cs="Calibri"/>
        </w:rPr>
        <w:t xml:space="preserve"> response,</w:t>
      </w:r>
      <w:r w:rsidRPr="0021728B">
        <w:rPr>
          <w:rFonts w:cs="Calibri"/>
        </w:rPr>
        <w:t xml:space="preserve"> post-disaster recovery </w:t>
      </w:r>
      <w:r>
        <w:rPr>
          <w:rFonts w:cs="Calibri"/>
        </w:rPr>
        <w:t>and the transition to longer-term development objectives.  All t</w:t>
      </w:r>
      <w:r w:rsidRPr="0021728B">
        <w:rPr>
          <w:rFonts w:cs="Calibri"/>
        </w:rPr>
        <w:t xml:space="preserve">hese training activities, </w:t>
      </w:r>
      <w:r>
        <w:rPr>
          <w:rFonts w:cs="Calibri"/>
        </w:rPr>
        <w:t xml:space="preserve">together </w:t>
      </w:r>
      <w:r w:rsidRPr="0021728B">
        <w:rPr>
          <w:rFonts w:cs="Calibri"/>
        </w:rPr>
        <w:t>with the establishment of</w:t>
      </w:r>
      <w:r>
        <w:rPr>
          <w:rFonts w:cs="Calibri"/>
        </w:rPr>
        <w:t xml:space="preserve"> </w:t>
      </w:r>
      <w:r w:rsidRPr="0021728B">
        <w:rPr>
          <w:rFonts w:cs="Calibri"/>
        </w:rPr>
        <w:t>E</w:t>
      </w:r>
      <w:r>
        <w:rPr>
          <w:rFonts w:cs="Calibri"/>
        </w:rPr>
        <w:t xml:space="preserve">nvironmental </w:t>
      </w:r>
      <w:r w:rsidRPr="0021728B">
        <w:rPr>
          <w:rFonts w:cs="Calibri"/>
        </w:rPr>
        <w:t>F</w:t>
      </w:r>
      <w:r>
        <w:rPr>
          <w:rFonts w:cs="Calibri"/>
        </w:rPr>
        <w:t xml:space="preserve">ocal </w:t>
      </w:r>
      <w:r w:rsidRPr="0021728B">
        <w:rPr>
          <w:rFonts w:cs="Calibri"/>
        </w:rPr>
        <w:t>P</w:t>
      </w:r>
      <w:r>
        <w:rPr>
          <w:rFonts w:cs="Calibri"/>
        </w:rPr>
        <w:t>oint</w:t>
      </w:r>
      <w:r w:rsidRPr="0021728B">
        <w:rPr>
          <w:rFonts w:cs="Calibri"/>
        </w:rPr>
        <w:t>s</w:t>
      </w:r>
      <w:r>
        <w:rPr>
          <w:rFonts w:cs="Calibri"/>
        </w:rPr>
        <w:t>,</w:t>
      </w:r>
      <w:r w:rsidRPr="0021728B">
        <w:rPr>
          <w:rFonts w:cs="Calibri"/>
        </w:rPr>
        <w:t xml:space="preserve"> who have a portion of their workload dedicated to DRR and CCA integration, have increased the </w:t>
      </w:r>
      <w:r>
        <w:rPr>
          <w:rFonts w:cs="Calibri"/>
        </w:rPr>
        <w:t xml:space="preserve">capacity </w:t>
      </w:r>
      <w:r w:rsidRPr="0021728B">
        <w:rPr>
          <w:rFonts w:cs="Calibri"/>
        </w:rPr>
        <w:t xml:space="preserve">of staff to integrate DRR and CCA into the aid program. </w:t>
      </w:r>
    </w:p>
    <w:p w:rsidR="00911F12" w:rsidRPr="0021728B" w:rsidRDefault="00D9074B" w:rsidP="005A414F">
      <w:pPr>
        <w:spacing w:after="0"/>
        <w:rPr>
          <w:rFonts w:cs="Calibri"/>
        </w:rPr>
      </w:pPr>
      <w:r>
        <w:rPr>
          <w:rFonts w:cs="Calibri"/>
        </w:rPr>
        <w:t xml:space="preserve">A </w:t>
      </w:r>
      <w:r w:rsidR="001E078E">
        <w:rPr>
          <w:rFonts w:cs="Calibri"/>
        </w:rPr>
        <w:t xml:space="preserve">sign </w:t>
      </w:r>
      <w:r>
        <w:rPr>
          <w:rFonts w:cs="Calibri"/>
        </w:rPr>
        <w:t xml:space="preserve">of the increasing </w:t>
      </w:r>
      <w:r w:rsidR="00090D56">
        <w:rPr>
          <w:rFonts w:cs="Calibri"/>
        </w:rPr>
        <w:t xml:space="preserve">profile of </w:t>
      </w:r>
      <w:r>
        <w:rPr>
          <w:rFonts w:cs="Calibri"/>
        </w:rPr>
        <w:t xml:space="preserve">DRR in the aid program is the announcement </w:t>
      </w:r>
      <w:r w:rsidR="00090D56">
        <w:rPr>
          <w:rFonts w:cs="Calibri"/>
        </w:rPr>
        <w:t xml:space="preserve">by </w:t>
      </w:r>
      <w:r w:rsidR="00911F12">
        <w:rPr>
          <w:rFonts w:cs="Calibri"/>
        </w:rPr>
        <w:t xml:space="preserve">the Foreign Minister Senator Carr </w:t>
      </w:r>
      <w:r w:rsidR="00090D56">
        <w:rPr>
          <w:rFonts w:cs="Calibri"/>
        </w:rPr>
        <w:t xml:space="preserve">in July 2012 of </w:t>
      </w:r>
      <w:r w:rsidR="00911F12">
        <w:rPr>
          <w:rFonts w:cs="Calibri"/>
        </w:rPr>
        <w:t>a $100m initiative</w:t>
      </w:r>
      <w:r>
        <w:rPr>
          <w:rFonts w:cs="Calibri"/>
        </w:rPr>
        <w:t xml:space="preserve"> over five years to help regional institutions and national governments implement their DRR priorities.</w:t>
      </w:r>
      <w:r w:rsidR="00911F12">
        <w:rPr>
          <w:rFonts w:cs="Calibri"/>
        </w:rPr>
        <w:t xml:space="preserve"> </w:t>
      </w:r>
    </w:p>
    <w:p w:rsidR="00777FEB" w:rsidRDefault="00466686" w:rsidP="00466686">
      <w:pPr>
        <w:pStyle w:val="Heading2"/>
      </w:pPr>
      <w:r>
        <w:br w:type="page"/>
      </w:r>
      <w:bookmarkStart w:id="10" w:name="_Toc351121974"/>
      <w:bookmarkStart w:id="11" w:name="_Toc351122042"/>
      <w:bookmarkStart w:id="12" w:name="_Toc351122179"/>
      <w:r w:rsidR="002C567F">
        <w:lastRenderedPageBreak/>
        <w:t>Outcome Two: The capacity of partner countries to reduce disaster risks is strengthened in line with the Hyogo Framework for Action</w:t>
      </w:r>
      <w:bookmarkEnd w:id="10"/>
      <w:bookmarkEnd w:id="11"/>
      <w:bookmarkEnd w:id="12"/>
    </w:p>
    <w:p w:rsidR="00355AFE" w:rsidRDefault="002C567F" w:rsidP="00777FEB">
      <w:pPr>
        <w:spacing w:after="0" w:line="240" w:lineRule="auto"/>
      </w:pPr>
      <w:r>
        <w:rPr>
          <w:rFonts w:cs="Calibri"/>
        </w:rPr>
        <w:t xml:space="preserve">The large growth in </w:t>
      </w:r>
      <w:proofErr w:type="spellStart"/>
      <w:r w:rsidRPr="0021728B">
        <w:rPr>
          <w:rFonts w:cs="Calibri"/>
        </w:rPr>
        <w:t>AusAID</w:t>
      </w:r>
      <w:proofErr w:type="spellEnd"/>
      <w:r w:rsidRPr="0021728B">
        <w:rPr>
          <w:rFonts w:cs="Calibri"/>
        </w:rPr>
        <w:t xml:space="preserve"> funding to DRR </w:t>
      </w:r>
      <w:r>
        <w:rPr>
          <w:rFonts w:cs="Calibri"/>
        </w:rPr>
        <w:t xml:space="preserve">has </w:t>
      </w:r>
      <w:r w:rsidRPr="0021728B">
        <w:rPr>
          <w:rFonts w:cs="Calibri"/>
        </w:rPr>
        <w:t xml:space="preserve">primarily </w:t>
      </w:r>
      <w:r>
        <w:rPr>
          <w:rFonts w:cs="Calibri"/>
        </w:rPr>
        <w:t xml:space="preserve">come from </w:t>
      </w:r>
      <w:r w:rsidRPr="0021728B">
        <w:rPr>
          <w:rFonts w:cs="Calibri"/>
        </w:rPr>
        <w:t xml:space="preserve">bi-lateral programs and </w:t>
      </w:r>
      <w:r>
        <w:rPr>
          <w:rFonts w:cs="Calibri"/>
        </w:rPr>
        <w:t xml:space="preserve">demonstrates the increased commitment and capacity of the Agency to engage with in-country counterparts on DRR.  </w:t>
      </w:r>
      <w:r w:rsidR="00355AFE">
        <w:t xml:space="preserve">In places like Bangladesh, Vietnam and the Pacific we are supporting host governments to build community resilience to natural hazards through awareness, infrastructure and livelihoods programs. </w:t>
      </w:r>
    </w:p>
    <w:p w:rsidR="00A50367" w:rsidRDefault="002C567F" w:rsidP="009943F4">
      <w:pPr>
        <w:spacing w:before="240" w:after="0"/>
      </w:pPr>
      <w:proofErr w:type="spellStart"/>
      <w:r>
        <w:rPr>
          <w:rFonts w:cs="Calibri"/>
        </w:rPr>
        <w:t>AusAID</w:t>
      </w:r>
      <w:proofErr w:type="spellEnd"/>
      <w:r>
        <w:rPr>
          <w:rFonts w:cs="Calibri"/>
        </w:rPr>
        <w:t xml:space="preserve"> </w:t>
      </w:r>
      <w:r w:rsidR="00355AFE">
        <w:rPr>
          <w:rFonts w:cs="Calibri"/>
        </w:rPr>
        <w:t xml:space="preserve">is </w:t>
      </w:r>
      <w:r w:rsidR="00777FEB">
        <w:rPr>
          <w:rFonts w:cs="Calibri"/>
        </w:rPr>
        <w:t xml:space="preserve">also </w:t>
      </w:r>
      <w:r w:rsidR="00355AFE">
        <w:rPr>
          <w:rFonts w:cs="Calibri"/>
        </w:rPr>
        <w:t xml:space="preserve">funding </w:t>
      </w:r>
      <w:r>
        <w:rPr>
          <w:rFonts w:cs="Calibri"/>
        </w:rPr>
        <w:t>scientific agencies (</w:t>
      </w:r>
      <w:r w:rsidR="00517517">
        <w:rPr>
          <w:rFonts w:cs="Calibri"/>
        </w:rPr>
        <w:t xml:space="preserve">Geoscience Australia and </w:t>
      </w:r>
      <w:r>
        <w:rPr>
          <w:rFonts w:cs="Calibri"/>
        </w:rPr>
        <w:t>the Australian Bureau of Meteorology) to strengthen the capacity of partner countr</w:t>
      </w:r>
      <w:r w:rsidR="00B65DB7">
        <w:rPr>
          <w:rFonts w:cs="Calibri"/>
        </w:rPr>
        <w:t>ies</w:t>
      </w:r>
      <w:r>
        <w:rPr>
          <w:rFonts w:cs="Calibri"/>
        </w:rPr>
        <w:t xml:space="preserve">’ technical agencies to analyse and assess natural hazard risk and potential impact.  </w:t>
      </w:r>
      <w:proofErr w:type="spellStart"/>
      <w:r>
        <w:rPr>
          <w:rFonts w:cs="Calibri"/>
        </w:rPr>
        <w:t>AusAID</w:t>
      </w:r>
      <w:proofErr w:type="spellEnd"/>
      <w:r>
        <w:rPr>
          <w:rFonts w:cs="Calibri"/>
        </w:rPr>
        <w:t xml:space="preserve"> funding to t</w:t>
      </w:r>
      <w:r w:rsidRPr="0021728B">
        <w:rPr>
          <w:rFonts w:cs="Calibri"/>
        </w:rPr>
        <w:t xml:space="preserve">he Australia-Indonesia Facility for Disaster Reduction (AIFDR) continued to </w:t>
      </w:r>
      <w:r>
        <w:rPr>
          <w:rFonts w:cs="Calibri"/>
        </w:rPr>
        <w:t xml:space="preserve">build the capacity of Indonesian Government to respond to and reduce disaster risks. </w:t>
      </w:r>
      <w:r>
        <w:t>W</w:t>
      </w:r>
      <w:r w:rsidRPr="00C82E9A">
        <w:t xml:space="preserve">orking with the Indonesian </w:t>
      </w:r>
      <w:r>
        <w:t>partners and the World Bank, AIFDR has</w:t>
      </w:r>
      <w:r w:rsidRPr="00C82E9A">
        <w:t xml:space="preserve"> develop</w:t>
      </w:r>
      <w:r>
        <w:t>ed</w:t>
      </w:r>
      <w:r w:rsidRPr="00C82E9A">
        <w:t xml:space="preserve"> a comprehensive</w:t>
      </w:r>
      <w:r>
        <w:t>,</w:t>
      </w:r>
      <w:r w:rsidRPr="00C82E9A">
        <w:t xml:space="preserve"> free and open source software package that produces realistic natural hazard disaster scenarios for better planning, risk reduction and preparedness.</w:t>
      </w:r>
      <w:r w:rsidR="00517517">
        <w:t xml:space="preserve"> </w:t>
      </w:r>
      <w:r>
        <w:t xml:space="preserve">In addition, AIFDR has partnered with numerous </w:t>
      </w:r>
      <w:r w:rsidR="00517517">
        <w:t>non-go</w:t>
      </w:r>
      <w:r>
        <w:t xml:space="preserve">vernment organisations to reduce the risk of disasters on the ground. For example, AIFDR </w:t>
      </w:r>
      <w:r w:rsidR="00517517">
        <w:t xml:space="preserve">worked </w:t>
      </w:r>
      <w:r>
        <w:t xml:space="preserve">with </w:t>
      </w:r>
      <w:proofErr w:type="spellStart"/>
      <w:r>
        <w:t>Nadhatul</w:t>
      </w:r>
      <w:proofErr w:type="spellEnd"/>
      <w:r>
        <w:t xml:space="preserve"> </w:t>
      </w:r>
      <w:proofErr w:type="spellStart"/>
      <w:r>
        <w:t>Ulama</w:t>
      </w:r>
      <w:proofErr w:type="spellEnd"/>
      <w:r>
        <w:t>, the biggest Islamic organisation in the world, to advocate for the government in East Java to p</w:t>
      </w:r>
      <w:r w:rsidR="00517517">
        <w:t>ass</w:t>
      </w:r>
      <w:r>
        <w:t xml:space="preserve"> laws on disaster management. These laws, now ratified, will lead to the Indonesian government allocating </w:t>
      </w:r>
      <w:r w:rsidR="00517517">
        <w:t>its</w:t>
      </w:r>
      <w:r>
        <w:t xml:space="preserve"> own budget for sustainable DRR programming in the districts.  </w:t>
      </w:r>
    </w:p>
    <w:p w:rsidR="001B5412" w:rsidRPr="00466686" w:rsidRDefault="002C567F" w:rsidP="00466686">
      <w:pPr>
        <w:spacing w:before="240" w:after="0"/>
      </w:pPr>
      <w:r>
        <w:t xml:space="preserve">In the Philippines, </w:t>
      </w:r>
      <w:r w:rsidR="00A50367">
        <w:t xml:space="preserve">partnering with the Australian Bureau of Meteorology has increased the national weather bureau’s forecasting and early warning capacity by 15%.  </w:t>
      </w:r>
      <w:proofErr w:type="spellStart"/>
      <w:r>
        <w:t>AusAID</w:t>
      </w:r>
      <w:proofErr w:type="spellEnd"/>
      <w:r>
        <w:t xml:space="preserve"> is </w:t>
      </w:r>
      <w:r w:rsidR="00576DEC">
        <w:t xml:space="preserve">supporting </w:t>
      </w:r>
      <w:r>
        <w:t xml:space="preserve">local authorities to create </w:t>
      </w:r>
      <w:r w:rsidR="00576DEC">
        <w:t>multi-</w:t>
      </w:r>
      <w:r>
        <w:t>hazard maps for 27 high-risk provinces</w:t>
      </w:r>
      <w:r w:rsidR="00576DEC">
        <w:t xml:space="preserve"> and the development of state-of-the-art flood, cyclone and earthquake risk and impact analysis for the Greater Metro Manila area.   </w:t>
      </w:r>
      <w:r w:rsidR="00A50367">
        <w:t xml:space="preserve">This will inform building codes, land use planning and zoning regulations.  </w:t>
      </w:r>
      <w:r w:rsidR="00517517">
        <w:t xml:space="preserve">In </w:t>
      </w:r>
      <w:r w:rsidR="001B5412">
        <w:t>PNG</w:t>
      </w:r>
      <w:r w:rsidR="00FB0D76">
        <w:t>,</w:t>
      </w:r>
      <w:r w:rsidR="001B5412">
        <w:t xml:space="preserve"> Geoscience Australia is helping technical agencies to develop new risk assessment information for provinces prone to hazards such as volcanoes, earthquakes and tsunamis.</w:t>
      </w:r>
    </w:p>
    <w:p w:rsidR="002C567F" w:rsidRPr="006808E8" w:rsidRDefault="002C567F" w:rsidP="00466686">
      <w:pPr>
        <w:pStyle w:val="Heading2"/>
        <w:rPr>
          <w:lang w:val="en-GB" w:eastAsia="zh-CN"/>
        </w:rPr>
      </w:pPr>
      <w:bookmarkStart w:id="13" w:name="_Toc351121975"/>
      <w:bookmarkStart w:id="14" w:name="_Toc351122043"/>
      <w:bookmarkStart w:id="15" w:name="_Toc351122180"/>
      <w:r w:rsidRPr="006808E8">
        <w:rPr>
          <w:lang w:val="en-GB" w:eastAsia="zh-CN"/>
        </w:rPr>
        <w:t xml:space="preserve">Outcome </w:t>
      </w:r>
      <w:r>
        <w:rPr>
          <w:lang w:val="en-GB" w:eastAsia="zh-CN"/>
        </w:rPr>
        <w:t xml:space="preserve">Three: </w:t>
      </w:r>
      <w:r w:rsidRPr="006808E8">
        <w:rPr>
          <w:lang w:val="en-GB" w:eastAsia="zh-CN"/>
        </w:rPr>
        <w:t xml:space="preserve"> </w:t>
      </w:r>
      <w:r>
        <w:rPr>
          <w:lang w:val="en-GB" w:eastAsia="zh-CN"/>
        </w:rPr>
        <w:t>Leadership and advocacy on disaster risk reduction are supported and enhanced</w:t>
      </w:r>
      <w:bookmarkEnd w:id="13"/>
      <w:bookmarkEnd w:id="14"/>
      <w:bookmarkEnd w:id="15"/>
      <w:r>
        <w:rPr>
          <w:lang w:val="en-GB" w:eastAsia="zh-CN"/>
        </w:rPr>
        <w:t xml:space="preserve"> </w:t>
      </w:r>
    </w:p>
    <w:p w:rsidR="00355AFE" w:rsidRDefault="002C567F" w:rsidP="009943F4">
      <w:pPr>
        <w:spacing w:after="0"/>
        <w:rPr>
          <w:rFonts w:cs="Calibri"/>
          <w:lang w:val="en-GB" w:eastAsia="zh-CN"/>
        </w:rPr>
      </w:pPr>
      <w:r w:rsidRPr="008C5514">
        <w:rPr>
          <w:rFonts w:cs="Calibri"/>
          <w:lang w:val="en-GB" w:eastAsia="zh-CN"/>
        </w:rPr>
        <w:t xml:space="preserve">We have continued to build robust relationships with leading DRR institutions. Australia acted as </w:t>
      </w:r>
      <w:r>
        <w:rPr>
          <w:rFonts w:cs="Calibri"/>
          <w:lang w:val="en-GB" w:eastAsia="zh-CN"/>
        </w:rPr>
        <w:t xml:space="preserve">  </w:t>
      </w:r>
      <w:r w:rsidRPr="008C5514">
        <w:rPr>
          <w:rFonts w:cs="Calibri"/>
          <w:lang w:val="en-GB" w:eastAsia="zh-CN"/>
        </w:rPr>
        <w:t xml:space="preserve">co-chair for the </w:t>
      </w:r>
      <w:r>
        <w:rPr>
          <w:rFonts w:cs="Calibri"/>
          <w:lang w:val="en-GB" w:eastAsia="zh-CN"/>
        </w:rPr>
        <w:t xml:space="preserve">GFDRR through 2011. </w:t>
      </w:r>
      <w:r w:rsidRPr="008C5514">
        <w:rPr>
          <w:rFonts w:cs="Calibri"/>
          <w:lang w:val="en-GB" w:eastAsia="zh-CN"/>
        </w:rPr>
        <w:t xml:space="preserve">In this capacity, </w:t>
      </w:r>
      <w:r>
        <w:rPr>
          <w:rFonts w:cs="Calibri"/>
          <w:lang w:val="en-GB" w:eastAsia="zh-CN"/>
        </w:rPr>
        <w:t>we</w:t>
      </w:r>
      <w:r w:rsidRPr="008C5514">
        <w:rPr>
          <w:rFonts w:cs="Calibri"/>
          <w:lang w:val="en-GB" w:eastAsia="zh-CN"/>
        </w:rPr>
        <w:t xml:space="preserve"> </w:t>
      </w:r>
      <w:r>
        <w:rPr>
          <w:rFonts w:cs="Calibri"/>
          <w:lang w:val="en-GB" w:eastAsia="zh-CN"/>
        </w:rPr>
        <w:t xml:space="preserve">helped launch a highly influential research </w:t>
      </w:r>
      <w:r w:rsidRPr="008C5514">
        <w:rPr>
          <w:rFonts w:cs="Calibri"/>
          <w:lang w:val="en-GB" w:eastAsia="zh-CN"/>
        </w:rPr>
        <w:t>report,</w:t>
      </w:r>
      <w:r w:rsidRPr="008C5514">
        <w:rPr>
          <w:rFonts w:cs="Calibri"/>
          <w:i/>
          <w:lang w:val="en-GB" w:eastAsia="zh-CN"/>
        </w:rPr>
        <w:t xml:space="preserve"> ‘Natural Hazards, </w:t>
      </w:r>
      <w:proofErr w:type="spellStart"/>
      <w:r w:rsidRPr="008C5514">
        <w:rPr>
          <w:rFonts w:cs="Calibri"/>
          <w:i/>
          <w:lang w:val="en-GB" w:eastAsia="zh-CN"/>
        </w:rPr>
        <w:t>UnNatural</w:t>
      </w:r>
      <w:proofErr w:type="spellEnd"/>
      <w:r w:rsidRPr="008C5514">
        <w:rPr>
          <w:rFonts w:cs="Calibri"/>
          <w:i/>
          <w:lang w:val="en-GB" w:eastAsia="zh-CN"/>
        </w:rPr>
        <w:t xml:space="preserve"> Disasters: The Economics of Effective Prevention’</w:t>
      </w:r>
      <w:r>
        <w:rPr>
          <w:rFonts w:cs="Calibri"/>
          <w:lang w:val="en-GB" w:eastAsia="zh-CN"/>
        </w:rPr>
        <w:t xml:space="preserve"> in New York and Canberra.</w:t>
      </w:r>
      <w:r w:rsidRPr="008C5514">
        <w:rPr>
          <w:rFonts w:cs="Calibri"/>
          <w:lang w:val="en-GB" w:eastAsia="zh-CN"/>
        </w:rPr>
        <w:t xml:space="preserve"> </w:t>
      </w:r>
      <w:r>
        <w:rPr>
          <w:rFonts w:cs="Calibri"/>
          <w:lang w:val="en-GB" w:eastAsia="zh-CN"/>
        </w:rPr>
        <w:t xml:space="preserve"> </w:t>
      </w:r>
      <w:r w:rsidRPr="008C5514">
        <w:rPr>
          <w:rFonts w:cs="Calibri"/>
          <w:lang w:val="en-GB" w:eastAsia="zh-CN"/>
        </w:rPr>
        <w:t xml:space="preserve">Australia also provided funding for the translation of this report into five languages to make the information more accessible to partner Governments and communities. </w:t>
      </w:r>
      <w:r>
        <w:rPr>
          <w:rFonts w:cs="Calibri"/>
          <w:lang w:val="en-GB" w:eastAsia="zh-CN"/>
        </w:rPr>
        <w:t xml:space="preserve"> </w:t>
      </w:r>
      <w:r w:rsidRPr="008C5514">
        <w:rPr>
          <w:rFonts w:cs="Calibri"/>
          <w:lang w:val="en-GB" w:eastAsia="zh-CN"/>
        </w:rPr>
        <w:t xml:space="preserve">Australia </w:t>
      </w:r>
    </w:p>
    <w:p w:rsidR="002C567F" w:rsidRPr="008C5514" w:rsidRDefault="002C567F" w:rsidP="00887194">
      <w:pPr>
        <w:spacing w:after="240"/>
        <w:rPr>
          <w:rFonts w:cs="Calibri"/>
          <w:lang w:val="en-GB" w:eastAsia="zh-CN"/>
        </w:rPr>
      </w:pPr>
      <w:r w:rsidRPr="008C5514">
        <w:rPr>
          <w:rFonts w:cs="Calibri"/>
          <w:lang w:val="en-GB" w:eastAsia="zh-CN"/>
        </w:rPr>
        <w:t>co-hosted the 11th GFDRR Consultative Group meeting in Jakarta in November 2011</w:t>
      </w:r>
      <w:r>
        <w:rPr>
          <w:rFonts w:cs="Calibri"/>
          <w:lang w:val="en-GB" w:eastAsia="zh-CN"/>
        </w:rPr>
        <w:t xml:space="preserve"> and we </w:t>
      </w:r>
      <w:r w:rsidRPr="008C5514">
        <w:rPr>
          <w:rFonts w:cs="Calibri"/>
          <w:lang w:val="en-GB" w:eastAsia="zh-CN"/>
        </w:rPr>
        <w:t xml:space="preserve">continue to work </w:t>
      </w:r>
      <w:r>
        <w:rPr>
          <w:rFonts w:cs="Calibri"/>
          <w:lang w:val="en-GB" w:eastAsia="zh-CN"/>
        </w:rPr>
        <w:t>to</w:t>
      </w:r>
      <w:r w:rsidRPr="008C5514">
        <w:rPr>
          <w:rFonts w:cs="Calibri"/>
          <w:lang w:val="en-GB" w:eastAsia="zh-CN"/>
        </w:rPr>
        <w:t xml:space="preserve"> strengthen </w:t>
      </w:r>
      <w:r>
        <w:rPr>
          <w:rFonts w:cs="Calibri"/>
          <w:lang w:val="en-GB" w:eastAsia="zh-CN"/>
        </w:rPr>
        <w:t xml:space="preserve">GFDRR </w:t>
      </w:r>
      <w:r w:rsidRPr="008C5514">
        <w:rPr>
          <w:rFonts w:cs="Calibri"/>
          <w:lang w:val="en-GB" w:eastAsia="zh-CN"/>
        </w:rPr>
        <w:t xml:space="preserve">governance arrangements, </w:t>
      </w:r>
      <w:r>
        <w:rPr>
          <w:rFonts w:cs="Calibri"/>
          <w:lang w:val="en-GB" w:eastAsia="zh-CN"/>
        </w:rPr>
        <w:t xml:space="preserve">and </w:t>
      </w:r>
      <w:r w:rsidRPr="008C5514">
        <w:rPr>
          <w:rFonts w:cs="Calibri"/>
          <w:lang w:val="en-GB" w:eastAsia="zh-CN"/>
        </w:rPr>
        <w:t xml:space="preserve">to </w:t>
      </w:r>
      <w:r>
        <w:rPr>
          <w:rFonts w:cs="Calibri"/>
          <w:lang w:val="en-GB" w:eastAsia="zh-CN"/>
        </w:rPr>
        <w:t>enhance its effe</w:t>
      </w:r>
      <w:r w:rsidRPr="008C5514">
        <w:rPr>
          <w:rFonts w:cs="Calibri"/>
          <w:lang w:val="en-GB" w:eastAsia="zh-CN"/>
        </w:rPr>
        <w:t xml:space="preserve">ctiveness </w:t>
      </w:r>
      <w:r>
        <w:rPr>
          <w:rFonts w:cs="Calibri"/>
          <w:lang w:val="en-GB" w:eastAsia="zh-CN"/>
        </w:rPr>
        <w:t xml:space="preserve">as a  </w:t>
      </w:r>
      <w:r w:rsidR="00355AFE">
        <w:rPr>
          <w:rFonts w:cs="Calibri"/>
          <w:lang w:val="en-GB" w:eastAsia="zh-CN"/>
        </w:rPr>
        <w:t xml:space="preserve">partner for nations </w:t>
      </w:r>
      <w:r>
        <w:rPr>
          <w:rFonts w:cs="Calibri"/>
          <w:lang w:val="en-GB" w:eastAsia="zh-CN"/>
        </w:rPr>
        <w:t>implementing the Hyogo Framework for Action</w:t>
      </w:r>
      <w:r w:rsidR="00355AFE">
        <w:rPr>
          <w:rFonts w:cs="Calibri"/>
          <w:lang w:val="en-GB" w:eastAsia="zh-CN"/>
        </w:rPr>
        <w:t>.</w:t>
      </w:r>
      <w:r>
        <w:rPr>
          <w:rFonts w:cs="Calibri"/>
          <w:lang w:val="en-GB" w:eastAsia="zh-CN"/>
        </w:rPr>
        <w:t xml:space="preserve"> </w:t>
      </w:r>
      <w:r w:rsidRPr="008C5514">
        <w:rPr>
          <w:rFonts w:cs="Calibri"/>
          <w:lang w:val="en-GB" w:eastAsia="zh-CN"/>
        </w:rPr>
        <w:t xml:space="preserve"> </w:t>
      </w:r>
    </w:p>
    <w:p w:rsidR="002C567F" w:rsidRPr="008C5514" w:rsidRDefault="002C567F" w:rsidP="00887194">
      <w:pPr>
        <w:spacing w:after="240"/>
        <w:rPr>
          <w:rFonts w:cs="Calibri"/>
          <w:lang w:val="en-GB" w:eastAsia="zh-CN"/>
        </w:rPr>
      </w:pPr>
      <w:r w:rsidRPr="008C5514">
        <w:rPr>
          <w:rFonts w:cs="Calibri"/>
          <w:lang w:val="en-GB" w:eastAsia="zh-CN"/>
        </w:rPr>
        <w:t xml:space="preserve">Australia has also </w:t>
      </w:r>
      <w:r>
        <w:rPr>
          <w:rFonts w:cs="Calibri"/>
          <w:lang w:val="en-GB" w:eastAsia="zh-CN"/>
        </w:rPr>
        <w:t xml:space="preserve">increased its visibility as </w:t>
      </w:r>
      <w:r w:rsidRPr="008C5514">
        <w:rPr>
          <w:rFonts w:cs="Calibri"/>
          <w:lang w:val="en-GB" w:eastAsia="zh-CN"/>
        </w:rPr>
        <w:t>a supporter of UNISDR,</w:t>
      </w:r>
      <w:r>
        <w:rPr>
          <w:rFonts w:cs="Calibri"/>
          <w:lang w:val="en-GB" w:eastAsia="zh-CN"/>
        </w:rPr>
        <w:t xml:space="preserve"> </w:t>
      </w:r>
      <w:r w:rsidR="00871B3E">
        <w:rPr>
          <w:rFonts w:cs="Calibri"/>
          <w:lang w:val="en-GB" w:eastAsia="zh-CN"/>
        </w:rPr>
        <w:t xml:space="preserve">hosting a launch of its 2011 Global Assessment Report on DRR in Canberra and </w:t>
      </w:r>
      <w:r>
        <w:rPr>
          <w:rFonts w:cs="Calibri"/>
          <w:lang w:val="en-GB" w:eastAsia="zh-CN"/>
        </w:rPr>
        <w:t xml:space="preserve">playing </w:t>
      </w:r>
      <w:r w:rsidRPr="008C5514">
        <w:rPr>
          <w:rFonts w:cs="Calibri"/>
          <w:lang w:val="en-GB" w:eastAsia="zh-CN"/>
        </w:rPr>
        <w:t xml:space="preserve">a prominent role </w:t>
      </w:r>
      <w:r>
        <w:rPr>
          <w:rFonts w:cs="Calibri"/>
          <w:lang w:val="en-GB" w:eastAsia="zh-CN"/>
        </w:rPr>
        <w:t>at the 20</w:t>
      </w:r>
      <w:r w:rsidRPr="008C5514">
        <w:rPr>
          <w:rFonts w:cs="Calibri"/>
          <w:lang w:val="en-GB" w:eastAsia="zh-CN"/>
        </w:rPr>
        <w:t xml:space="preserve">11 Global Platform for Disaster Risk Reduction in Geneva </w:t>
      </w:r>
      <w:r w:rsidR="00871B3E">
        <w:rPr>
          <w:rFonts w:cs="Calibri"/>
          <w:lang w:val="en-GB" w:eastAsia="zh-CN"/>
        </w:rPr>
        <w:t xml:space="preserve">by </w:t>
      </w:r>
      <w:r>
        <w:rPr>
          <w:rFonts w:cs="Calibri"/>
          <w:lang w:val="en-GB" w:eastAsia="zh-CN"/>
        </w:rPr>
        <w:t xml:space="preserve">moderating sessions and endorsing </w:t>
      </w:r>
      <w:r w:rsidRPr="008C5514">
        <w:rPr>
          <w:rFonts w:cs="Calibri"/>
          <w:lang w:val="en-GB" w:eastAsia="zh-CN"/>
        </w:rPr>
        <w:t xml:space="preserve">the Children’s Charter for DRR. </w:t>
      </w:r>
      <w:r w:rsidR="00871B3E">
        <w:rPr>
          <w:rFonts w:cs="Calibri"/>
          <w:lang w:val="en-GB" w:eastAsia="zh-CN"/>
        </w:rPr>
        <w:t xml:space="preserve"> </w:t>
      </w:r>
      <w:r w:rsidRPr="008C5514">
        <w:rPr>
          <w:rFonts w:cs="Calibri"/>
          <w:lang w:val="en-GB" w:eastAsia="zh-CN"/>
        </w:rPr>
        <w:t xml:space="preserve">Australia </w:t>
      </w:r>
      <w:r>
        <w:rPr>
          <w:rFonts w:cs="Calibri"/>
          <w:lang w:val="en-GB" w:eastAsia="zh-CN"/>
        </w:rPr>
        <w:t xml:space="preserve">is also represented </w:t>
      </w:r>
      <w:r w:rsidRPr="008C5514">
        <w:rPr>
          <w:rFonts w:cs="Calibri"/>
          <w:lang w:val="en-GB" w:eastAsia="zh-CN"/>
        </w:rPr>
        <w:t>o</w:t>
      </w:r>
      <w:r>
        <w:rPr>
          <w:rFonts w:cs="Calibri"/>
          <w:lang w:val="en-GB" w:eastAsia="zh-CN"/>
        </w:rPr>
        <w:t>n</w:t>
      </w:r>
      <w:r w:rsidRPr="008C5514">
        <w:rPr>
          <w:rFonts w:cs="Calibri"/>
          <w:lang w:val="en-GB" w:eastAsia="zh-CN"/>
        </w:rPr>
        <w:t xml:space="preserve"> the </w:t>
      </w:r>
      <w:r>
        <w:rPr>
          <w:rFonts w:cs="Calibri"/>
          <w:lang w:val="en-GB" w:eastAsia="zh-CN"/>
        </w:rPr>
        <w:t xml:space="preserve">UNISDR </w:t>
      </w:r>
      <w:r w:rsidRPr="008C5514">
        <w:rPr>
          <w:rFonts w:cs="Calibri"/>
          <w:lang w:val="en-GB" w:eastAsia="zh-CN"/>
        </w:rPr>
        <w:t>Advisory Group which will con</w:t>
      </w:r>
      <w:r>
        <w:rPr>
          <w:rFonts w:cs="Calibri"/>
          <w:lang w:val="en-GB" w:eastAsia="zh-CN"/>
        </w:rPr>
        <w:t xml:space="preserve">tribute to </w:t>
      </w:r>
      <w:r>
        <w:rPr>
          <w:rFonts w:cs="Calibri"/>
          <w:lang w:eastAsia="zh-CN"/>
        </w:rPr>
        <w:t xml:space="preserve">the formulation of a new international framework for disaster risk reduction after the Hyogo Framework concludes in 2015. </w:t>
      </w:r>
    </w:p>
    <w:p w:rsidR="002C567F" w:rsidRDefault="002C567F" w:rsidP="00887194">
      <w:pPr>
        <w:spacing w:after="240"/>
        <w:rPr>
          <w:rFonts w:cs="Calibri"/>
          <w:lang w:val="en-GB" w:eastAsia="zh-CN"/>
        </w:rPr>
      </w:pPr>
      <w:r w:rsidRPr="008C5514">
        <w:rPr>
          <w:rFonts w:cs="Calibri"/>
          <w:lang w:val="en-GB" w:eastAsia="zh-CN"/>
        </w:rPr>
        <w:lastRenderedPageBreak/>
        <w:t xml:space="preserve">Australia is co-chair of the Friends of DRR Group </w:t>
      </w:r>
      <w:r>
        <w:rPr>
          <w:rFonts w:cs="Calibri"/>
          <w:lang w:val="en-GB" w:eastAsia="zh-CN"/>
        </w:rPr>
        <w:t xml:space="preserve">at the United </w:t>
      </w:r>
      <w:r w:rsidR="002104F6">
        <w:rPr>
          <w:rFonts w:cs="Calibri"/>
          <w:lang w:val="en-GB" w:eastAsia="zh-CN"/>
        </w:rPr>
        <w:t>N</w:t>
      </w:r>
      <w:r>
        <w:rPr>
          <w:rFonts w:cs="Calibri"/>
          <w:lang w:val="en-GB" w:eastAsia="zh-CN"/>
        </w:rPr>
        <w:t xml:space="preserve">ations </w:t>
      </w:r>
      <w:r w:rsidRPr="008C5514">
        <w:rPr>
          <w:rFonts w:cs="Calibri"/>
          <w:lang w:val="en-GB" w:eastAsia="zh-CN"/>
        </w:rPr>
        <w:t xml:space="preserve">in New York which brings </w:t>
      </w:r>
      <w:r>
        <w:rPr>
          <w:rFonts w:cs="Calibri"/>
          <w:lang w:val="en-GB" w:eastAsia="zh-CN"/>
        </w:rPr>
        <w:t xml:space="preserve">together </w:t>
      </w:r>
      <w:r w:rsidRPr="008C5514">
        <w:rPr>
          <w:rFonts w:cs="Calibri"/>
          <w:lang w:val="en-GB" w:eastAsia="zh-CN"/>
        </w:rPr>
        <w:t>donor</w:t>
      </w:r>
      <w:r>
        <w:rPr>
          <w:rFonts w:cs="Calibri"/>
          <w:lang w:val="en-GB" w:eastAsia="zh-CN"/>
        </w:rPr>
        <w:t>s and developing nations to advocate for recognition of DRR’s importance to the future sustainable development agenda</w:t>
      </w:r>
      <w:r w:rsidR="002104F6">
        <w:rPr>
          <w:rFonts w:cs="Calibri"/>
          <w:lang w:val="en-GB" w:eastAsia="zh-CN"/>
        </w:rPr>
        <w:t>.  A strong recognition of DRR was</w:t>
      </w:r>
      <w:r>
        <w:rPr>
          <w:rFonts w:cs="Calibri"/>
          <w:lang w:val="en-GB" w:eastAsia="zh-CN"/>
        </w:rPr>
        <w:t xml:space="preserve"> one of the Australian government’s priorities for Rio +20 and in April 2012 the Foreign Minister Senator Carr delivered an address on behalf of 13 members of the Friends of DRR to the UN General Assembly.</w:t>
      </w:r>
      <w:r w:rsidR="002104F6">
        <w:rPr>
          <w:rFonts w:cs="Calibri"/>
          <w:lang w:val="en-GB" w:eastAsia="zh-CN"/>
        </w:rPr>
        <w:t xml:space="preserve">  Senator Carr also announced a new Australian DRR $100 million initiative at the Development C</w:t>
      </w:r>
      <w:r w:rsidR="00624E94">
        <w:rPr>
          <w:rFonts w:cs="Calibri"/>
          <w:lang w:val="en-GB" w:eastAsia="zh-CN"/>
        </w:rPr>
        <w:t>o</w:t>
      </w:r>
      <w:r w:rsidR="002104F6">
        <w:rPr>
          <w:rFonts w:cs="Calibri"/>
          <w:lang w:val="en-GB" w:eastAsia="zh-CN"/>
        </w:rPr>
        <w:t xml:space="preserve">operation Forum at the United Nations in July.  </w:t>
      </w:r>
    </w:p>
    <w:p w:rsidR="00355AFE" w:rsidRPr="00466686" w:rsidRDefault="002C567F" w:rsidP="009943F4">
      <w:pPr>
        <w:spacing w:after="0"/>
        <w:rPr>
          <w:rFonts w:cs="Calibri"/>
          <w:lang w:val="en-GB" w:eastAsia="zh-CN"/>
        </w:rPr>
      </w:pPr>
      <w:r>
        <w:rPr>
          <w:rFonts w:cs="Calibri"/>
          <w:lang w:val="en-GB" w:eastAsia="zh-CN"/>
        </w:rPr>
        <w:t xml:space="preserve">Other important advocacy work by the DRR Unit included assistance to </w:t>
      </w:r>
      <w:r w:rsidRPr="008C5514">
        <w:rPr>
          <w:rFonts w:cs="Calibri"/>
          <w:lang w:val="en-GB" w:eastAsia="zh-CN"/>
        </w:rPr>
        <w:t xml:space="preserve">the International Federation of the Red Cross (IFRC) </w:t>
      </w:r>
      <w:r>
        <w:rPr>
          <w:rFonts w:cs="Calibri"/>
          <w:lang w:val="en-GB" w:eastAsia="zh-CN"/>
        </w:rPr>
        <w:t xml:space="preserve">to develop a </w:t>
      </w:r>
      <w:r w:rsidRPr="00A0435E">
        <w:rPr>
          <w:rFonts w:cs="Calibri"/>
          <w:i/>
          <w:lang w:val="en-GB" w:eastAsia="zh-CN"/>
        </w:rPr>
        <w:t>Model Act for the Facilitation and Regulation of International Disaster Relief and Initial Recovery Assistance</w:t>
      </w:r>
      <w:r>
        <w:rPr>
          <w:rFonts w:cs="Calibri"/>
          <w:lang w:val="en-GB" w:eastAsia="zh-CN"/>
        </w:rPr>
        <w:t xml:space="preserve"> – a concrete tool to help governments prepare for disasters before they strike.  The pilot version of the Act was adopted at the 31</w:t>
      </w:r>
      <w:r w:rsidRPr="00A0435E">
        <w:rPr>
          <w:rFonts w:cs="Calibri"/>
          <w:vertAlign w:val="superscript"/>
          <w:lang w:val="en-GB" w:eastAsia="zh-CN"/>
        </w:rPr>
        <w:t>st</w:t>
      </w:r>
      <w:r>
        <w:rPr>
          <w:rFonts w:cs="Calibri"/>
          <w:lang w:val="en-GB" w:eastAsia="zh-CN"/>
        </w:rPr>
        <w:t xml:space="preserve"> Conference of the IFRC in late 2011. </w:t>
      </w:r>
      <w:r w:rsidR="00466686">
        <w:rPr>
          <w:rFonts w:cs="Calibri"/>
          <w:lang w:val="en-GB" w:eastAsia="zh-CN"/>
        </w:rPr>
        <w:t xml:space="preserve"> </w:t>
      </w:r>
    </w:p>
    <w:p w:rsidR="00777FEB" w:rsidRDefault="002C567F" w:rsidP="00466686">
      <w:pPr>
        <w:pStyle w:val="Heading2"/>
      </w:pPr>
      <w:bookmarkStart w:id="16" w:name="_Toc351121976"/>
      <w:bookmarkStart w:id="17" w:name="_Toc351122044"/>
      <w:bookmarkStart w:id="18" w:name="_Toc351122181"/>
      <w:r w:rsidRPr="006808E8">
        <w:t xml:space="preserve">Outcome Four: </w:t>
      </w:r>
      <w:r>
        <w:t>Policy and programming for disaster risk reduction and climate change adaption are coherent and coordinated</w:t>
      </w:r>
      <w:bookmarkEnd w:id="16"/>
      <w:bookmarkEnd w:id="17"/>
      <w:bookmarkEnd w:id="18"/>
      <w:r>
        <w:t xml:space="preserve"> </w:t>
      </w:r>
    </w:p>
    <w:p w:rsidR="00355AFE" w:rsidRDefault="00355AFE" w:rsidP="00887194">
      <w:pPr>
        <w:spacing w:after="240"/>
        <w:rPr>
          <w:rFonts w:cs="Calibri"/>
        </w:rPr>
      </w:pPr>
      <w:r w:rsidRPr="006A7EF5">
        <w:rPr>
          <w:rFonts w:cs="Calibri"/>
        </w:rPr>
        <w:t>All DRR training promote</w:t>
      </w:r>
      <w:r>
        <w:rPr>
          <w:rFonts w:cs="Calibri"/>
        </w:rPr>
        <w:t>s</w:t>
      </w:r>
      <w:r w:rsidRPr="006A7EF5">
        <w:rPr>
          <w:rFonts w:cs="Calibri"/>
        </w:rPr>
        <w:t xml:space="preserve"> integration between DRR, CCA and Environment</w:t>
      </w:r>
      <w:r>
        <w:rPr>
          <w:rFonts w:cs="Calibri"/>
        </w:rPr>
        <w:t xml:space="preserve">.  </w:t>
      </w:r>
      <w:r w:rsidRPr="006A7EF5">
        <w:rPr>
          <w:rFonts w:cs="Calibri"/>
        </w:rPr>
        <w:t>A joint DRR, CCA and Environment intranet website</w:t>
      </w:r>
      <w:r>
        <w:rPr>
          <w:rFonts w:cs="Calibri"/>
        </w:rPr>
        <w:t xml:space="preserve"> has been established and a</w:t>
      </w:r>
      <w:r w:rsidRPr="006A7EF5">
        <w:rPr>
          <w:rFonts w:cs="Calibri"/>
        </w:rPr>
        <w:t xml:space="preserve"> joint E-learning package </w:t>
      </w:r>
      <w:r>
        <w:rPr>
          <w:rFonts w:cs="Calibri"/>
        </w:rPr>
        <w:t xml:space="preserve">will become </w:t>
      </w:r>
      <w:r w:rsidRPr="006A7EF5">
        <w:rPr>
          <w:rFonts w:cs="Calibri"/>
        </w:rPr>
        <w:t xml:space="preserve">mandatory for all </w:t>
      </w:r>
      <w:proofErr w:type="spellStart"/>
      <w:r w:rsidRPr="006A7EF5">
        <w:rPr>
          <w:rFonts w:cs="Calibri"/>
        </w:rPr>
        <w:t>AusAID</w:t>
      </w:r>
      <w:proofErr w:type="spellEnd"/>
      <w:r w:rsidRPr="006A7EF5">
        <w:rPr>
          <w:rFonts w:cs="Calibri"/>
        </w:rPr>
        <w:t xml:space="preserve"> employees in 2012. </w:t>
      </w:r>
      <w:r>
        <w:rPr>
          <w:rFonts w:cs="Calibri"/>
          <w:lang w:val="en-GB" w:eastAsia="zh-CN"/>
        </w:rPr>
        <w:t>As an outcome of DRR and climate change training for South Asia in 2012, Bangladesh, Pakistan and Nepal will establish action plans to integrate DRR and CCA into their programming.</w:t>
      </w:r>
    </w:p>
    <w:p w:rsidR="008F42C3" w:rsidRDefault="0034680A" w:rsidP="00887194">
      <w:pPr>
        <w:spacing w:after="240"/>
      </w:pPr>
      <w:r>
        <w:rPr>
          <w:rFonts w:cs="Calibri"/>
          <w:lang w:val="en-GB" w:eastAsia="zh-CN"/>
        </w:rPr>
        <w:t>In practice</w:t>
      </w:r>
      <w:r w:rsidR="00497F5E">
        <w:rPr>
          <w:rFonts w:cs="Calibri"/>
          <w:lang w:val="en-GB" w:eastAsia="zh-CN"/>
        </w:rPr>
        <w:t>,</w:t>
      </w:r>
      <w:r>
        <w:rPr>
          <w:rFonts w:cs="Calibri"/>
          <w:lang w:val="en-GB" w:eastAsia="zh-CN"/>
        </w:rPr>
        <w:t xml:space="preserve"> </w:t>
      </w:r>
      <w:r w:rsidR="00355AFE">
        <w:rPr>
          <w:rFonts w:cs="Calibri"/>
          <w:lang w:val="en-GB" w:eastAsia="zh-CN"/>
        </w:rPr>
        <w:t xml:space="preserve">however, </w:t>
      </w:r>
      <w:r>
        <w:rPr>
          <w:rFonts w:cs="Calibri"/>
          <w:lang w:val="en-GB" w:eastAsia="zh-CN"/>
        </w:rPr>
        <w:t xml:space="preserve">the majority of </w:t>
      </w:r>
      <w:proofErr w:type="spellStart"/>
      <w:r>
        <w:rPr>
          <w:rFonts w:cs="Calibri"/>
          <w:lang w:val="en-GB" w:eastAsia="zh-CN"/>
        </w:rPr>
        <w:t>AusAID</w:t>
      </w:r>
      <w:proofErr w:type="spellEnd"/>
      <w:r>
        <w:rPr>
          <w:rFonts w:cs="Calibri"/>
          <w:lang w:val="en-GB" w:eastAsia="zh-CN"/>
        </w:rPr>
        <w:t xml:space="preserve"> country programs are yet to </w:t>
      </w:r>
      <w:r w:rsidR="008F42C3">
        <w:rPr>
          <w:rFonts w:cs="Calibri"/>
          <w:lang w:val="en-GB" w:eastAsia="zh-CN"/>
        </w:rPr>
        <w:t xml:space="preserve">implement DRR and CCA in a </w:t>
      </w:r>
      <w:r>
        <w:rPr>
          <w:rFonts w:cs="Calibri"/>
          <w:lang w:val="en-GB" w:eastAsia="zh-CN"/>
        </w:rPr>
        <w:t xml:space="preserve">coherent and coordinated </w:t>
      </w:r>
      <w:r w:rsidR="008F42C3">
        <w:rPr>
          <w:rFonts w:cs="Calibri"/>
          <w:lang w:val="en-GB" w:eastAsia="zh-CN"/>
        </w:rPr>
        <w:t xml:space="preserve">manner. </w:t>
      </w:r>
      <w:r>
        <w:rPr>
          <w:rFonts w:cs="Calibri"/>
          <w:lang w:val="en-GB" w:eastAsia="zh-CN"/>
        </w:rPr>
        <w:t xml:space="preserve"> </w:t>
      </w:r>
      <w:r w:rsidR="00A92FEB">
        <w:rPr>
          <w:rFonts w:cs="Calibri"/>
          <w:lang w:val="en-GB" w:eastAsia="zh-CN"/>
        </w:rPr>
        <w:t>The la</w:t>
      </w:r>
      <w:r w:rsidR="00643BBF" w:rsidRPr="00643BBF">
        <w:rPr>
          <w:rFonts w:cs="Calibri"/>
          <w:lang w:val="en-GB" w:eastAsia="zh-CN"/>
        </w:rPr>
        <w:t xml:space="preserve">rge climate change funding that </w:t>
      </w:r>
      <w:proofErr w:type="spellStart"/>
      <w:r w:rsidR="00643BBF" w:rsidRPr="00643BBF">
        <w:rPr>
          <w:rFonts w:cs="Calibri"/>
          <w:lang w:val="en-GB" w:eastAsia="zh-CN"/>
        </w:rPr>
        <w:t>AusAID</w:t>
      </w:r>
      <w:proofErr w:type="spellEnd"/>
      <w:r w:rsidR="00643BBF" w:rsidRPr="00643BBF">
        <w:rPr>
          <w:rFonts w:cs="Calibri"/>
          <w:lang w:val="en-GB" w:eastAsia="zh-CN"/>
        </w:rPr>
        <w:t xml:space="preserve"> is allocating to </w:t>
      </w:r>
      <w:r w:rsidR="00A92FEB">
        <w:rPr>
          <w:rFonts w:cs="Calibri"/>
          <w:lang w:val="en-GB" w:eastAsia="zh-CN"/>
        </w:rPr>
        <w:t>the Pacific</w:t>
      </w:r>
      <w:r w:rsidR="00355AFE">
        <w:rPr>
          <w:rFonts w:cs="Calibri"/>
          <w:lang w:val="en-GB" w:eastAsia="zh-CN"/>
        </w:rPr>
        <w:t>,</w:t>
      </w:r>
      <w:r w:rsidR="00A92FEB">
        <w:rPr>
          <w:rFonts w:cs="Calibri"/>
          <w:lang w:val="en-GB" w:eastAsia="zh-CN"/>
        </w:rPr>
        <w:t xml:space="preserve"> </w:t>
      </w:r>
      <w:r w:rsidR="00355AFE">
        <w:rPr>
          <w:rFonts w:cs="Calibri"/>
          <w:lang w:val="en-GB" w:eastAsia="zh-CN"/>
        </w:rPr>
        <w:t xml:space="preserve">and the large multi-donor programs which we are entering into elsewhere </w:t>
      </w:r>
      <w:r w:rsidR="00643BBF" w:rsidRPr="00643BBF">
        <w:rPr>
          <w:rFonts w:cs="Calibri"/>
          <w:lang w:val="en-GB" w:eastAsia="zh-CN"/>
        </w:rPr>
        <w:t>often ha</w:t>
      </w:r>
      <w:r w:rsidR="00355AFE">
        <w:rPr>
          <w:rFonts w:cs="Calibri"/>
          <w:lang w:val="en-GB" w:eastAsia="zh-CN"/>
        </w:rPr>
        <w:t>ve</w:t>
      </w:r>
      <w:r w:rsidR="00643BBF" w:rsidRPr="00643BBF">
        <w:rPr>
          <w:rFonts w:cs="Calibri"/>
          <w:lang w:val="en-GB" w:eastAsia="zh-CN"/>
        </w:rPr>
        <w:t xml:space="preserve"> </w:t>
      </w:r>
      <w:r w:rsidR="00A92FEB">
        <w:rPr>
          <w:rFonts w:cs="Calibri"/>
          <w:lang w:val="en-GB" w:eastAsia="zh-CN"/>
        </w:rPr>
        <w:t xml:space="preserve">many </w:t>
      </w:r>
      <w:r w:rsidR="00643BBF" w:rsidRPr="00643BBF">
        <w:rPr>
          <w:rFonts w:cs="Calibri"/>
          <w:lang w:val="en-GB" w:eastAsia="zh-CN"/>
        </w:rPr>
        <w:t>DRR benefits that are not articulated</w:t>
      </w:r>
      <w:r w:rsidR="00355AFE">
        <w:rPr>
          <w:rFonts w:cs="Calibri"/>
          <w:lang w:val="en-GB" w:eastAsia="zh-CN"/>
        </w:rPr>
        <w:t xml:space="preserve">.  Similarly, </w:t>
      </w:r>
      <w:r w:rsidR="00643BBF" w:rsidRPr="00643BBF">
        <w:rPr>
          <w:rFonts w:cs="Calibri"/>
          <w:lang w:val="en-GB" w:eastAsia="zh-CN"/>
        </w:rPr>
        <w:t>f</w:t>
      </w:r>
      <w:proofErr w:type="spellStart"/>
      <w:r w:rsidR="00643BBF" w:rsidRPr="00643BBF">
        <w:rPr>
          <w:rFonts w:cs="Calibri"/>
          <w:lang w:eastAsia="zh-CN"/>
        </w:rPr>
        <w:t>ew</w:t>
      </w:r>
      <w:proofErr w:type="spellEnd"/>
      <w:r w:rsidR="00643BBF" w:rsidRPr="00643BBF">
        <w:rPr>
          <w:rFonts w:cs="Calibri"/>
          <w:lang w:eastAsia="zh-CN"/>
        </w:rPr>
        <w:t xml:space="preserve"> DRR programs, even though they also claim to be addressing climate change, </w:t>
      </w:r>
      <w:r w:rsidR="00497F5E">
        <w:rPr>
          <w:rFonts w:cs="Calibri"/>
          <w:lang w:eastAsia="zh-CN"/>
        </w:rPr>
        <w:t xml:space="preserve">specifically </w:t>
      </w:r>
      <w:r w:rsidR="00643BBF" w:rsidRPr="00643BBF">
        <w:rPr>
          <w:rFonts w:cs="Calibri"/>
          <w:lang w:eastAsia="zh-CN"/>
        </w:rPr>
        <w:t xml:space="preserve">link their activities and indicators to CAA outcomes. </w:t>
      </w:r>
      <w:r>
        <w:rPr>
          <w:rFonts w:cs="Calibri"/>
          <w:lang w:val="en-GB" w:eastAsia="zh-CN"/>
        </w:rPr>
        <w:t xml:space="preserve"> </w:t>
      </w:r>
      <w:r w:rsidR="00643BBF" w:rsidRPr="006E4BBC">
        <w:t>T</w:t>
      </w:r>
      <w:r w:rsidR="00643BBF">
        <w:t>o an extent this is because t</w:t>
      </w:r>
      <w:r w:rsidR="00643BBF" w:rsidRPr="006E4BBC">
        <w:t xml:space="preserve">he </w:t>
      </w:r>
      <w:r w:rsidR="00643BBF">
        <w:t xml:space="preserve">international </w:t>
      </w:r>
      <w:r w:rsidR="00643BBF" w:rsidRPr="006E4BBC">
        <w:t xml:space="preserve">policy frameworks, governments, regional </w:t>
      </w:r>
      <w:r w:rsidR="00643BBF">
        <w:t xml:space="preserve">organizations and donors that undertake DRR and CCA </w:t>
      </w:r>
      <w:r w:rsidR="00355AFE">
        <w:t xml:space="preserve">generally </w:t>
      </w:r>
      <w:r w:rsidR="00643BBF" w:rsidRPr="006E4BBC">
        <w:t xml:space="preserve">work </w:t>
      </w:r>
      <w:r w:rsidR="00497F5E">
        <w:t xml:space="preserve">separately </w:t>
      </w:r>
      <w:r w:rsidR="00643BBF" w:rsidRPr="006E4BBC">
        <w:t>from one another</w:t>
      </w:r>
      <w:r w:rsidR="00643BBF">
        <w:t xml:space="preserve">.  </w:t>
      </w:r>
    </w:p>
    <w:p w:rsidR="00E3252E" w:rsidRDefault="00355AFE" w:rsidP="009943F4">
      <w:pPr>
        <w:spacing w:after="0"/>
        <w:rPr>
          <w:rFonts w:cs="Calibri"/>
          <w:lang w:val="en-GB" w:eastAsia="zh-CN"/>
        </w:rPr>
      </w:pPr>
      <w:r>
        <w:rPr>
          <w:rFonts w:cs="Calibri"/>
          <w:lang w:val="en-GB" w:eastAsia="zh-CN"/>
        </w:rPr>
        <w:t xml:space="preserve">There is some progress though.  </w:t>
      </w:r>
      <w:r w:rsidR="00A50367">
        <w:rPr>
          <w:rFonts w:cs="Calibri"/>
        </w:rPr>
        <w:t xml:space="preserve">In </w:t>
      </w:r>
      <w:r w:rsidR="00E60FD1">
        <w:rPr>
          <w:rFonts w:cs="Calibri"/>
        </w:rPr>
        <w:t>the Philippines</w:t>
      </w:r>
      <w:r w:rsidR="00497F5E">
        <w:rPr>
          <w:rFonts w:cs="Calibri"/>
        </w:rPr>
        <w:t>,</w:t>
      </w:r>
      <w:r w:rsidR="00E60FD1">
        <w:rPr>
          <w:rFonts w:cs="Calibri"/>
        </w:rPr>
        <w:t xml:space="preserve"> </w:t>
      </w:r>
      <w:proofErr w:type="spellStart"/>
      <w:r w:rsidR="00A50367">
        <w:rPr>
          <w:rFonts w:cs="Calibri"/>
        </w:rPr>
        <w:t>AusAID</w:t>
      </w:r>
      <w:proofErr w:type="spellEnd"/>
      <w:r w:rsidR="00A50367">
        <w:rPr>
          <w:rFonts w:cs="Calibri"/>
        </w:rPr>
        <w:t xml:space="preserve"> supported the development of national policies and </w:t>
      </w:r>
      <w:r w:rsidR="0014494C">
        <w:rPr>
          <w:rFonts w:cs="Calibri"/>
        </w:rPr>
        <w:t xml:space="preserve">a </w:t>
      </w:r>
      <w:r w:rsidR="00A50367">
        <w:rPr>
          <w:rFonts w:cs="Calibri"/>
        </w:rPr>
        <w:t xml:space="preserve">harmonised </w:t>
      </w:r>
      <w:r>
        <w:rPr>
          <w:rFonts w:cs="Calibri"/>
        </w:rPr>
        <w:t xml:space="preserve">CCA/DRR </w:t>
      </w:r>
      <w:r w:rsidR="00A50367">
        <w:rPr>
          <w:rFonts w:cs="Calibri"/>
        </w:rPr>
        <w:t xml:space="preserve">framework and our aid program </w:t>
      </w:r>
      <w:r w:rsidR="0014494C">
        <w:rPr>
          <w:rFonts w:cs="Calibri"/>
        </w:rPr>
        <w:t xml:space="preserve">there </w:t>
      </w:r>
      <w:r w:rsidR="00E60FD1">
        <w:rPr>
          <w:rFonts w:cs="Calibri"/>
        </w:rPr>
        <w:t xml:space="preserve">will focus </w:t>
      </w:r>
      <w:r w:rsidR="009116C3">
        <w:rPr>
          <w:rFonts w:cs="Calibri"/>
        </w:rPr>
        <w:t xml:space="preserve">particularly </w:t>
      </w:r>
      <w:r w:rsidR="00E60FD1">
        <w:rPr>
          <w:rFonts w:cs="Calibri"/>
        </w:rPr>
        <w:t>on</w:t>
      </w:r>
      <w:r w:rsidR="00230BEC">
        <w:rPr>
          <w:rFonts w:cs="Calibri"/>
        </w:rPr>
        <w:t xml:space="preserve"> </w:t>
      </w:r>
      <w:r w:rsidR="0014494C">
        <w:rPr>
          <w:rFonts w:cs="Calibri"/>
        </w:rPr>
        <w:t xml:space="preserve">the DRR/CCA interface in </w:t>
      </w:r>
      <w:r w:rsidR="00230BEC">
        <w:rPr>
          <w:rFonts w:cs="Calibri"/>
        </w:rPr>
        <w:t xml:space="preserve">education, </w:t>
      </w:r>
      <w:r w:rsidR="00E60FD1">
        <w:rPr>
          <w:rFonts w:cs="Calibri"/>
        </w:rPr>
        <w:t xml:space="preserve">urban reconstruction and </w:t>
      </w:r>
      <w:r w:rsidR="005F32AD">
        <w:rPr>
          <w:rFonts w:cs="Calibri"/>
        </w:rPr>
        <w:t>road rehabilitation and maintenance.</w:t>
      </w:r>
      <w:r w:rsidR="009116C3">
        <w:rPr>
          <w:rFonts w:cs="Calibri"/>
        </w:rPr>
        <w:t xml:space="preserve">  </w:t>
      </w:r>
      <w:r w:rsidR="002C567F" w:rsidRPr="009943F4">
        <w:rPr>
          <w:rFonts w:cs="Calibri"/>
        </w:rPr>
        <w:t xml:space="preserve">Vietnam </w:t>
      </w:r>
      <w:r w:rsidR="002C567F">
        <w:rPr>
          <w:rFonts w:cs="Calibri"/>
        </w:rPr>
        <w:t>is</w:t>
      </w:r>
      <w:r w:rsidR="002C567F" w:rsidRPr="009943F4">
        <w:rPr>
          <w:rFonts w:cs="Calibri"/>
        </w:rPr>
        <w:t xml:space="preserve"> incorporat</w:t>
      </w:r>
      <w:r w:rsidR="002C567F">
        <w:rPr>
          <w:rFonts w:cs="Calibri"/>
        </w:rPr>
        <w:t>ing</w:t>
      </w:r>
      <w:r w:rsidR="002C567F" w:rsidRPr="009943F4">
        <w:rPr>
          <w:rFonts w:cs="Calibri"/>
        </w:rPr>
        <w:t xml:space="preserve"> DRR into </w:t>
      </w:r>
      <w:r w:rsidR="006A79E3">
        <w:rPr>
          <w:rFonts w:cs="Calibri"/>
        </w:rPr>
        <w:t>a</w:t>
      </w:r>
      <w:r w:rsidR="002C567F" w:rsidRPr="009943F4">
        <w:rPr>
          <w:rFonts w:cs="Calibri"/>
        </w:rPr>
        <w:t xml:space="preserve"> </w:t>
      </w:r>
      <w:r w:rsidR="002C567F">
        <w:rPr>
          <w:rFonts w:cs="Calibri"/>
        </w:rPr>
        <w:t xml:space="preserve">large multi-donor </w:t>
      </w:r>
      <w:r w:rsidR="006A79E3">
        <w:rPr>
          <w:rFonts w:cs="Calibri"/>
        </w:rPr>
        <w:t>c</w:t>
      </w:r>
      <w:r w:rsidR="002C567F" w:rsidRPr="009943F4">
        <w:rPr>
          <w:rFonts w:cs="Calibri"/>
        </w:rPr>
        <w:t xml:space="preserve">limate </w:t>
      </w:r>
      <w:r w:rsidR="006A79E3">
        <w:rPr>
          <w:rFonts w:cs="Calibri"/>
        </w:rPr>
        <w:t>c</w:t>
      </w:r>
      <w:r w:rsidR="002C567F" w:rsidRPr="009943F4">
        <w:rPr>
          <w:rFonts w:cs="Calibri"/>
        </w:rPr>
        <w:t>hange</w:t>
      </w:r>
      <w:r w:rsidR="002C567F">
        <w:rPr>
          <w:rFonts w:cs="Calibri"/>
        </w:rPr>
        <w:t xml:space="preserve"> program </w:t>
      </w:r>
      <w:r w:rsidR="002C567F">
        <w:rPr>
          <w:rFonts w:cs="Calibri"/>
          <w:lang w:val="en-GB" w:eastAsia="zh-CN"/>
        </w:rPr>
        <w:t>(and has identified DRR as an area where Australia may take the lead in policy negotiations)</w:t>
      </w:r>
      <w:r w:rsidR="008F42C3">
        <w:rPr>
          <w:rFonts w:cs="Calibri"/>
          <w:lang w:val="en-GB" w:eastAsia="zh-CN"/>
        </w:rPr>
        <w:t>.</w:t>
      </w:r>
      <w:r w:rsidR="002C567F">
        <w:rPr>
          <w:rFonts w:cs="Calibri"/>
          <w:lang w:val="en-GB" w:eastAsia="zh-CN"/>
        </w:rPr>
        <w:t xml:space="preserve">   </w:t>
      </w:r>
      <w:r w:rsidR="00643BBF">
        <w:rPr>
          <w:rFonts w:cs="Calibri"/>
          <w:lang w:val="en-GB" w:eastAsia="zh-CN"/>
        </w:rPr>
        <w:t>New f</w:t>
      </w:r>
      <w:r w:rsidR="006A79E3">
        <w:rPr>
          <w:rFonts w:cs="Calibri"/>
          <w:lang w:val="en-GB" w:eastAsia="zh-CN"/>
        </w:rPr>
        <w:t xml:space="preserve">unding to NGOs through programs such as the community-based climate change action grants, a new Pacific DRR program, the humanitarian partnership agreement and the </w:t>
      </w:r>
      <w:proofErr w:type="spellStart"/>
      <w:r w:rsidR="006A79E3">
        <w:rPr>
          <w:rFonts w:cs="Calibri"/>
          <w:lang w:val="en-GB" w:eastAsia="zh-CN"/>
        </w:rPr>
        <w:t>AusAID</w:t>
      </w:r>
      <w:proofErr w:type="spellEnd"/>
      <w:r w:rsidR="006A79E3">
        <w:rPr>
          <w:rFonts w:cs="Calibri"/>
          <w:lang w:val="en-GB" w:eastAsia="zh-CN"/>
        </w:rPr>
        <w:t xml:space="preserve"> NGO </w:t>
      </w:r>
      <w:r w:rsidR="00F82622">
        <w:rPr>
          <w:rFonts w:cs="Calibri"/>
          <w:lang w:val="en-GB" w:eastAsia="zh-CN"/>
        </w:rPr>
        <w:t xml:space="preserve">Community Program </w:t>
      </w:r>
      <w:r w:rsidR="00573C7F">
        <w:rPr>
          <w:rFonts w:cs="Calibri"/>
          <w:lang w:val="en-GB" w:eastAsia="zh-CN"/>
        </w:rPr>
        <w:t xml:space="preserve">increasingly </w:t>
      </w:r>
      <w:r w:rsidR="006A79E3">
        <w:rPr>
          <w:rFonts w:cs="Calibri"/>
          <w:lang w:val="en-GB" w:eastAsia="zh-CN"/>
        </w:rPr>
        <w:t xml:space="preserve">have integration </w:t>
      </w:r>
      <w:r w:rsidR="00F82622">
        <w:rPr>
          <w:rFonts w:cs="Calibri"/>
          <w:lang w:val="en-GB" w:eastAsia="zh-CN"/>
        </w:rPr>
        <w:t>objectives</w:t>
      </w:r>
      <w:r w:rsidR="006A79E3">
        <w:rPr>
          <w:rFonts w:cs="Calibri"/>
          <w:lang w:val="en-GB" w:eastAsia="zh-CN"/>
        </w:rPr>
        <w:t xml:space="preserve">.  </w:t>
      </w:r>
    </w:p>
    <w:p w:rsidR="00FF6046" w:rsidRDefault="00FF6046" w:rsidP="009943F4">
      <w:pPr>
        <w:pBdr>
          <w:bottom w:val="single" w:sz="12" w:space="1" w:color="auto"/>
        </w:pBdr>
        <w:spacing w:after="0"/>
        <w:rPr>
          <w:rFonts w:cs="Calibri"/>
          <w:b/>
        </w:rPr>
        <w:sectPr w:rsidR="00FF6046" w:rsidSect="000C4A5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851" w:left="1440" w:header="708" w:footer="708" w:gutter="0"/>
          <w:cols w:space="708"/>
          <w:docGrid w:linePitch="360"/>
        </w:sectPr>
      </w:pPr>
    </w:p>
    <w:p w:rsidR="002C567F" w:rsidRDefault="002C567F" w:rsidP="00466686">
      <w:pPr>
        <w:pStyle w:val="Heading1"/>
      </w:pPr>
      <w:bookmarkStart w:id="19" w:name="_Toc351121977"/>
      <w:bookmarkStart w:id="20" w:name="_Toc351122045"/>
      <w:bookmarkStart w:id="21" w:name="_Toc351122182"/>
      <w:r w:rsidRPr="00097CC1">
        <w:lastRenderedPageBreak/>
        <w:t>CHALLENGES</w:t>
      </w:r>
      <w:bookmarkEnd w:id="19"/>
      <w:bookmarkEnd w:id="20"/>
      <w:bookmarkEnd w:id="21"/>
    </w:p>
    <w:p w:rsidR="002C567F" w:rsidRDefault="002C567F" w:rsidP="009943F4">
      <w:pPr>
        <w:spacing w:after="0"/>
        <w:rPr>
          <w:rFonts w:cs="Calibri"/>
        </w:rPr>
      </w:pPr>
      <w:r>
        <w:rPr>
          <w:rFonts w:cs="Calibri"/>
        </w:rPr>
        <w:t>The challenges to the implementation of the Policy which were identified in the last Report in October 2010 remain relevant.  This section discusses progress in managing t</w:t>
      </w:r>
      <w:r w:rsidR="00466686">
        <w:rPr>
          <w:rFonts w:cs="Calibri"/>
        </w:rPr>
        <w:t xml:space="preserve">hem along with new challenges. </w:t>
      </w:r>
    </w:p>
    <w:p w:rsidR="00C05CB1" w:rsidRDefault="002C567F" w:rsidP="00466686">
      <w:pPr>
        <w:pStyle w:val="Heading2"/>
      </w:pPr>
      <w:bookmarkStart w:id="22" w:name="_Toc351121978"/>
      <w:bookmarkStart w:id="23" w:name="_Toc351122046"/>
      <w:bookmarkStart w:id="24" w:name="_Toc351122183"/>
      <w:r>
        <w:t>Resources f</w:t>
      </w:r>
      <w:r w:rsidRPr="009943F4">
        <w:t>or Expansion</w:t>
      </w:r>
      <w:bookmarkEnd w:id="22"/>
      <w:bookmarkEnd w:id="23"/>
      <w:bookmarkEnd w:id="24"/>
    </w:p>
    <w:p w:rsidR="00204ABF" w:rsidRDefault="002C567F" w:rsidP="00887194">
      <w:pPr>
        <w:spacing w:after="240"/>
        <w:rPr>
          <w:rFonts w:cs="Calibri"/>
        </w:rPr>
      </w:pPr>
      <w:r w:rsidRPr="00A66AFF">
        <w:rPr>
          <w:rFonts w:cs="Calibri"/>
          <w:i/>
        </w:rPr>
        <w:t>Progress Made:</w:t>
      </w:r>
      <w:r>
        <w:rPr>
          <w:rFonts w:cs="Calibri"/>
        </w:rPr>
        <w:t xml:space="preserve">   </w:t>
      </w:r>
      <w:r w:rsidR="00E17D06">
        <w:rPr>
          <w:rFonts w:cs="Calibri"/>
        </w:rPr>
        <w:t>Since 2010</w:t>
      </w:r>
      <w:r>
        <w:rPr>
          <w:rFonts w:cs="Calibri"/>
        </w:rPr>
        <w:t xml:space="preserve"> the DRR Unit has used budget measure funds to build DRR awareness and expand its network across </w:t>
      </w:r>
      <w:proofErr w:type="spellStart"/>
      <w:r>
        <w:rPr>
          <w:rFonts w:cs="Calibri"/>
        </w:rPr>
        <w:t>AusAID</w:t>
      </w:r>
      <w:proofErr w:type="spellEnd"/>
      <w:r>
        <w:rPr>
          <w:rFonts w:cs="Calibri"/>
        </w:rPr>
        <w:t xml:space="preserve">.   It has developed </w:t>
      </w:r>
      <w:r w:rsidRPr="001F4461">
        <w:rPr>
          <w:rFonts w:cs="Calibri"/>
        </w:rPr>
        <w:t xml:space="preserve">a formal </w:t>
      </w:r>
      <w:r>
        <w:rPr>
          <w:rFonts w:cs="Calibri"/>
        </w:rPr>
        <w:t>competitive bidding process for these funds in which country programs and thematic areas participate and it u</w:t>
      </w:r>
      <w:r w:rsidRPr="001F4461">
        <w:rPr>
          <w:rFonts w:cs="Calibri"/>
        </w:rPr>
        <w:t>ndert</w:t>
      </w:r>
      <w:r>
        <w:rPr>
          <w:rFonts w:cs="Calibri"/>
        </w:rPr>
        <w:t xml:space="preserve">akes </w:t>
      </w:r>
      <w:r w:rsidRPr="001F4461">
        <w:rPr>
          <w:rFonts w:cs="Calibri"/>
        </w:rPr>
        <w:t xml:space="preserve">financial tracking and reporting tasks on </w:t>
      </w:r>
      <w:r>
        <w:rPr>
          <w:rFonts w:cs="Calibri"/>
        </w:rPr>
        <w:t xml:space="preserve">activities </w:t>
      </w:r>
      <w:r w:rsidRPr="001F4461">
        <w:rPr>
          <w:rFonts w:cs="Calibri"/>
        </w:rPr>
        <w:t>funded from th</w:t>
      </w:r>
      <w:r>
        <w:rPr>
          <w:rFonts w:cs="Calibri"/>
        </w:rPr>
        <w:t>is</w:t>
      </w:r>
      <w:r w:rsidRPr="001F4461">
        <w:rPr>
          <w:rFonts w:cs="Calibri"/>
        </w:rPr>
        <w:t xml:space="preserve"> budget line. </w:t>
      </w:r>
      <w:r>
        <w:rPr>
          <w:rFonts w:cs="Calibri"/>
        </w:rPr>
        <w:t xml:space="preserve"> A budget measure realignment to take effect in 2012-13 means that approximately $</w:t>
      </w:r>
      <w:r w:rsidR="00497F5E">
        <w:rPr>
          <w:rFonts w:cs="Calibri"/>
        </w:rPr>
        <w:t>15</w:t>
      </w:r>
      <w:r>
        <w:rPr>
          <w:rFonts w:cs="Calibri"/>
        </w:rPr>
        <w:t xml:space="preserve">m will now be available annually to the DRR Unit.  The Unit can therefore rely on this funding to build its strategic partnerships with international and regional agencies, as well as manage funding rounds within </w:t>
      </w:r>
      <w:proofErr w:type="spellStart"/>
      <w:r>
        <w:rPr>
          <w:rFonts w:cs="Calibri"/>
        </w:rPr>
        <w:t>AusAID</w:t>
      </w:r>
      <w:proofErr w:type="spellEnd"/>
      <w:r>
        <w:rPr>
          <w:rFonts w:cs="Calibri"/>
        </w:rPr>
        <w:t xml:space="preserve">.  In both cases these funds can be used to test and promote aspects of the Policy such as integration of DRR into infrastructure, education and </w:t>
      </w:r>
      <w:proofErr w:type="gramStart"/>
      <w:r w:rsidR="00E17D06">
        <w:rPr>
          <w:rFonts w:cs="Calibri"/>
        </w:rPr>
        <w:t>CCA</w:t>
      </w:r>
      <w:r w:rsidR="00497F5E">
        <w:rPr>
          <w:rFonts w:cs="Calibri"/>
        </w:rPr>
        <w:t>,</w:t>
      </w:r>
      <w:r w:rsidR="00CF4645">
        <w:rPr>
          <w:rFonts w:cs="Calibri"/>
        </w:rPr>
        <w:t xml:space="preserve"> </w:t>
      </w:r>
      <w:r>
        <w:rPr>
          <w:rFonts w:cs="Calibri"/>
        </w:rPr>
        <w:t>that</w:t>
      </w:r>
      <w:proofErr w:type="gramEnd"/>
      <w:r>
        <w:rPr>
          <w:rFonts w:cs="Calibri"/>
        </w:rPr>
        <w:t xml:space="preserve"> are not yet being taken up as much as they could be across the Agency.</w:t>
      </w:r>
      <w:r w:rsidR="00497F5E">
        <w:rPr>
          <w:rFonts w:cs="Calibri"/>
        </w:rPr>
        <w:t xml:space="preserve"> </w:t>
      </w:r>
      <w:r w:rsidR="00A72CA2">
        <w:rPr>
          <w:rFonts w:cs="Calibri"/>
        </w:rPr>
        <w:t xml:space="preserve"> </w:t>
      </w:r>
    </w:p>
    <w:p w:rsidR="00497F5E" w:rsidRDefault="00A72CA2" w:rsidP="005A414F">
      <w:pPr>
        <w:spacing w:after="0"/>
        <w:rPr>
          <w:rFonts w:cs="Calibri"/>
        </w:rPr>
      </w:pPr>
      <w:r>
        <w:rPr>
          <w:rFonts w:cs="Calibri"/>
        </w:rPr>
        <w:t>The $100m DRR initiative over five years, announced by the Foreign Minister in July 2012, will also be managed by the DRR Unit</w:t>
      </w:r>
      <w:r w:rsidR="000E0FDE">
        <w:rPr>
          <w:rFonts w:cs="Calibri"/>
        </w:rPr>
        <w:t>.  Th</w:t>
      </w:r>
      <w:r w:rsidR="00204ABF">
        <w:rPr>
          <w:rFonts w:cs="Calibri"/>
        </w:rPr>
        <w:t xml:space="preserve">e initiative </w:t>
      </w:r>
      <w:r w:rsidR="000E0FDE">
        <w:rPr>
          <w:rFonts w:cs="Calibri"/>
        </w:rPr>
        <w:t xml:space="preserve">will be implemented in close collaboration with </w:t>
      </w:r>
      <w:proofErr w:type="spellStart"/>
      <w:r w:rsidR="000E0FDE">
        <w:rPr>
          <w:rFonts w:cs="Calibri"/>
        </w:rPr>
        <w:t>AusAID</w:t>
      </w:r>
      <w:proofErr w:type="spellEnd"/>
      <w:r w:rsidR="000E0FDE">
        <w:rPr>
          <w:rFonts w:cs="Calibri"/>
        </w:rPr>
        <w:t xml:space="preserve"> country programs but it will </w:t>
      </w:r>
      <w:r w:rsidR="007134EE">
        <w:rPr>
          <w:rFonts w:cs="Calibri"/>
        </w:rPr>
        <w:t xml:space="preserve">increase </w:t>
      </w:r>
      <w:r w:rsidR="000E0FDE">
        <w:rPr>
          <w:rFonts w:cs="Calibri"/>
        </w:rPr>
        <w:t xml:space="preserve">the </w:t>
      </w:r>
      <w:r w:rsidR="00204ABF">
        <w:rPr>
          <w:rFonts w:cs="Calibri"/>
        </w:rPr>
        <w:t>Unit’s resources substantially.</w:t>
      </w:r>
      <w:r>
        <w:rPr>
          <w:rFonts w:cs="Calibri"/>
        </w:rPr>
        <w:t xml:space="preserve"> </w:t>
      </w:r>
    </w:p>
    <w:p w:rsidR="002C567F" w:rsidRDefault="00497F5E" w:rsidP="000C1685">
      <w:pPr>
        <w:spacing w:before="240" w:after="0"/>
        <w:rPr>
          <w:rFonts w:cs="Calibri"/>
        </w:rPr>
      </w:pPr>
      <w:r>
        <w:rPr>
          <w:rFonts w:cs="Calibri"/>
        </w:rPr>
        <w:t xml:space="preserve">In terms of human resources, a separate Disaster Prevention and Risk Reduction Section was created in </w:t>
      </w:r>
      <w:r w:rsidR="006755E2">
        <w:rPr>
          <w:rFonts w:cs="Calibri"/>
        </w:rPr>
        <w:t>mid-</w:t>
      </w:r>
      <w:r>
        <w:rPr>
          <w:rFonts w:cs="Calibri"/>
        </w:rPr>
        <w:t xml:space="preserve">2012 </w:t>
      </w:r>
      <w:r w:rsidR="006755E2">
        <w:rPr>
          <w:rFonts w:cs="Calibri"/>
        </w:rPr>
        <w:t xml:space="preserve">which will increase staffing levels in the DRR Unit, including at least 0.5 of a director’s time. </w:t>
      </w:r>
    </w:p>
    <w:p w:rsidR="002C567F" w:rsidRPr="00466686" w:rsidRDefault="002C567F" w:rsidP="00466686">
      <w:pPr>
        <w:spacing w:before="240" w:after="0"/>
        <w:rPr>
          <w:rFonts w:cs="Calibri"/>
        </w:rPr>
      </w:pPr>
      <w:r w:rsidRPr="00A66AFF">
        <w:rPr>
          <w:rFonts w:cs="Calibri"/>
          <w:i/>
        </w:rPr>
        <w:t>Challeng</w:t>
      </w:r>
      <w:r>
        <w:rPr>
          <w:rFonts w:cs="Calibri"/>
          <w:i/>
        </w:rPr>
        <w:t>e</w:t>
      </w:r>
      <w:r w:rsidRPr="00A66AFF">
        <w:rPr>
          <w:rFonts w:cs="Calibri"/>
          <w:i/>
        </w:rPr>
        <w:t>s:</w:t>
      </w:r>
      <w:r>
        <w:rPr>
          <w:rFonts w:cs="Calibri"/>
        </w:rPr>
        <w:t xml:space="preserve"> Despite </w:t>
      </w:r>
      <w:r w:rsidR="006755E2">
        <w:rPr>
          <w:rFonts w:cs="Calibri"/>
        </w:rPr>
        <w:t xml:space="preserve">these </w:t>
      </w:r>
      <w:r>
        <w:rPr>
          <w:rFonts w:cs="Calibri"/>
        </w:rPr>
        <w:t>increased resources</w:t>
      </w:r>
      <w:r w:rsidR="00497F5E">
        <w:rPr>
          <w:rFonts w:cs="Calibri"/>
        </w:rPr>
        <w:t>,</w:t>
      </w:r>
      <w:r>
        <w:rPr>
          <w:rFonts w:cs="Calibri"/>
        </w:rPr>
        <w:t xml:space="preserve"> the DRR Unit </w:t>
      </w:r>
      <w:r w:rsidR="006755E2">
        <w:rPr>
          <w:rFonts w:cs="Calibri"/>
        </w:rPr>
        <w:t xml:space="preserve">does not have access to international-level DRR expertise. </w:t>
      </w:r>
      <w:r>
        <w:rPr>
          <w:rFonts w:cs="Calibri"/>
        </w:rPr>
        <w:t xml:space="preserve">  </w:t>
      </w:r>
      <w:r w:rsidR="00C266E6">
        <w:rPr>
          <w:rFonts w:cs="Calibri"/>
        </w:rPr>
        <w:t>A</w:t>
      </w:r>
      <w:r>
        <w:rPr>
          <w:rFonts w:cs="Calibri"/>
        </w:rPr>
        <w:t xml:space="preserve"> pool of DRR technical advisers who can be utilised for short-term tasks</w:t>
      </w:r>
      <w:r w:rsidR="00C266E6">
        <w:rPr>
          <w:rFonts w:cs="Calibri"/>
        </w:rPr>
        <w:t xml:space="preserve"> should be established by the end of 2012</w:t>
      </w:r>
      <w:r w:rsidR="00497F5E">
        <w:rPr>
          <w:rFonts w:cs="Calibri"/>
        </w:rPr>
        <w:t>,</w:t>
      </w:r>
      <w:r w:rsidR="00C266E6">
        <w:rPr>
          <w:rFonts w:cs="Calibri"/>
        </w:rPr>
        <w:t xml:space="preserve"> but these advisers </w:t>
      </w:r>
      <w:r>
        <w:rPr>
          <w:rFonts w:cs="Calibri"/>
        </w:rPr>
        <w:t xml:space="preserve">will not be able to provide the level of leadership and representation that is being expected of </w:t>
      </w:r>
      <w:proofErr w:type="spellStart"/>
      <w:r>
        <w:rPr>
          <w:rFonts w:cs="Calibri"/>
        </w:rPr>
        <w:t>AusAID</w:t>
      </w:r>
      <w:proofErr w:type="spellEnd"/>
      <w:r>
        <w:rPr>
          <w:rFonts w:cs="Calibri"/>
        </w:rPr>
        <w:t xml:space="preserve"> at international </w:t>
      </w:r>
      <w:proofErr w:type="spellStart"/>
      <w:r>
        <w:rPr>
          <w:rFonts w:cs="Calibri"/>
        </w:rPr>
        <w:t>fora</w:t>
      </w:r>
      <w:proofErr w:type="spellEnd"/>
      <w:r>
        <w:rPr>
          <w:rFonts w:cs="Calibri"/>
        </w:rPr>
        <w:t>, and will not be in a position to lead on inte</w:t>
      </w:r>
      <w:r w:rsidR="00466686">
        <w:rPr>
          <w:rFonts w:cs="Calibri"/>
        </w:rPr>
        <w:t>grating DRR across the Agency.</w:t>
      </w:r>
    </w:p>
    <w:p w:rsidR="00C05CB1" w:rsidRDefault="002C567F" w:rsidP="00466686">
      <w:pPr>
        <w:pStyle w:val="Heading2"/>
      </w:pPr>
      <w:bookmarkStart w:id="25" w:name="_Toc351121979"/>
      <w:bookmarkStart w:id="26" w:name="_Toc351122047"/>
      <w:bookmarkStart w:id="27" w:name="_Toc351122184"/>
      <w:r>
        <w:t>Commitment to DRR and Integration into Mainstream Programming</w:t>
      </w:r>
      <w:bookmarkEnd w:id="25"/>
      <w:bookmarkEnd w:id="26"/>
      <w:bookmarkEnd w:id="27"/>
    </w:p>
    <w:p w:rsidR="002C567F" w:rsidRDefault="002C567F" w:rsidP="00C05CB1">
      <w:pPr>
        <w:spacing w:after="0"/>
        <w:rPr>
          <w:rFonts w:cs="Calibri"/>
        </w:rPr>
      </w:pPr>
      <w:r w:rsidRPr="00946805">
        <w:rPr>
          <w:rFonts w:cs="Calibri"/>
          <w:i/>
        </w:rPr>
        <w:t xml:space="preserve">Progress </w:t>
      </w:r>
      <w:r w:rsidRPr="00134967">
        <w:rPr>
          <w:rFonts w:cs="Calibri"/>
          <w:i/>
        </w:rPr>
        <w:t xml:space="preserve">Made: </w:t>
      </w:r>
      <w:r w:rsidRPr="00134967">
        <w:rPr>
          <w:rFonts w:cs="Calibri"/>
        </w:rPr>
        <w:t>The</w:t>
      </w:r>
      <w:r>
        <w:rPr>
          <w:rFonts w:cs="Calibri"/>
        </w:rPr>
        <w:t xml:space="preserve"> last DRR Progress Report noted a</w:t>
      </w:r>
      <w:r w:rsidRPr="00FE02D3">
        <w:rPr>
          <w:rFonts w:cs="Calibri"/>
        </w:rPr>
        <w:t xml:space="preserve"> lack of guidance on how to integrate DRR into mainstream programming</w:t>
      </w:r>
      <w:r>
        <w:rPr>
          <w:rFonts w:cs="Calibri"/>
        </w:rPr>
        <w:t xml:space="preserve"> and a variable commitment to DRR across </w:t>
      </w:r>
      <w:proofErr w:type="spellStart"/>
      <w:r>
        <w:rPr>
          <w:rFonts w:cs="Calibri"/>
        </w:rPr>
        <w:t>AusAID</w:t>
      </w:r>
      <w:proofErr w:type="spellEnd"/>
      <w:r>
        <w:rPr>
          <w:rFonts w:cs="Calibri"/>
        </w:rPr>
        <w:t>.  Since then</w:t>
      </w:r>
      <w:r w:rsidR="006755E2">
        <w:rPr>
          <w:rFonts w:cs="Calibri"/>
        </w:rPr>
        <w:t xml:space="preserve">, </w:t>
      </w:r>
      <w:r>
        <w:rPr>
          <w:rFonts w:cs="Calibri"/>
        </w:rPr>
        <w:t xml:space="preserve">many </w:t>
      </w:r>
      <w:r w:rsidRPr="00FE02D3">
        <w:rPr>
          <w:rFonts w:cs="Calibri"/>
        </w:rPr>
        <w:t xml:space="preserve">staff have participated in some DRR training </w:t>
      </w:r>
      <w:r>
        <w:rPr>
          <w:rFonts w:cs="Calibri"/>
        </w:rPr>
        <w:t xml:space="preserve">and many more country programs are implementing some form of DRR.  </w:t>
      </w:r>
    </w:p>
    <w:p w:rsidR="0061697C" w:rsidRDefault="002C567F" w:rsidP="00DB4230">
      <w:pPr>
        <w:spacing w:before="240" w:after="240"/>
        <w:rPr>
          <w:rFonts w:cs="Calibri"/>
        </w:rPr>
      </w:pPr>
      <w:r>
        <w:rPr>
          <w:rFonts w:cs="Calibri"/>
          <w:i/>
        </w:rPr>
        <w:t xml:space="preserve">Challenges: </w:t>
      </w:r>
      <w:r w:rsidRPr="00486CBA">
        <w:rPr>
          <w:rFonts w:cs="Calibri"/>
        </w:rPr>
        <w:t>Overall</w:t>
      </w:r>
      <w:r w:rsidR="006755E2">
        <w:rPr>
          <w:rFonts w:cs="Calibri"/>
        </w:rPr>
        <w:t>,</w:t>
      </w:r>
      <w:r w:rsidRPr="00486CBA">
        <w:rPr>
          <w:rFonts w:cs="Calibri"/>
        </w:rPr>
        <w:t xml:space="preserve"> however</w:t>
      </w:r>
      <w:r>
        <w:rPr>
          <w:rFonts w:cs="Calibri"/>
        </w:rPr>
        <w:t xml:space="preserve">, knowledge of DRR, and progress towards DRR integration, continue to be uneven across </w:t>
      </w:r>
      <w:proofErr w:type="spellStart"/>
      <w:r>
        <w:rPr>
          <w:rFonts w:cs="Calibri"/>
        </w:rPr>
        <w:t>AusAID</w:t>
      </w:r>
      <w:proofErr w:type="spellEnd"/>
      <w:r>
        <w:rPr>
          <w:rFonts w:cs="Calibri"/>
        </w:rPr>
        <w:t>.</w:t>
      </w:r>
      <w:r w:rsidRPr="00B44D61">
        <w:rPr>
          <w:rFonts w:cs="Calibri"/>
        </w:rPr>
        <w:t xml:space="preserve"> </w:t>
      </w:r>
      <w:r>
        <w:rPr>
          <w:rFonts w:cs="Calibri"/>
        </w:rPr>
        <w:t xml:space="preserve"> DRR activities tend to </w:t>
      </w:r>
      <w:r w:rsidRPr="00CF7DDC">
        <w:rPr>
          <w:rFonts w:cs="Calibri"/>
        </w:rPr>
        <w:t xml:space="preserve">cluster </w:t>
      </w:r>
      <w:r w:rsidR="006D5D81">
        <w:rPr>
          <w:rFonts w:cs="Calibri"/>
        </w:rPr>
        <w:t xml:space="preserve">in </w:t>
      </w:r>
      <w:r w:rsidRPr="00CF7DDC">
        <w:rPr>
          <w:rFonts w:cs="Calibri"/>
        </w:rPr>
        <w:t>emergency preparedness and</w:t>
      </w:r>
      <w:r w:rsidR="006F22AA">
        <w:rPr>
          <w:rFonts w:cs="Calibri"/>
        </w:rPr>
        <w:t xml:space="preserve"> </w:t>
      </w:r>
      <w:r w:rsidR="006D5D81">
        <w:rPr>
          <w:rFonts w:cs="Calibri"/>
        </w:rPr>
        <w:t>geo-science</w:t>
      </w:r>
      <w:r w:rsidR="00E17D06">
        <w:rPr>
          <w:rFonts w:cs="Calibri"/>
        </w:rPr>
        <w:t>.</w:t>
      </w:r>
      <w:r w:rsidRPr="00CF7DDC">
        <w:rPr>
          <w:rFonts w:cs="Calibri"/>
        </w:rPr>
        <w:t xml:space="preserve">  </w:t>
      </w:r>
      <w:r>
        <w:rPr>
          <w:rFonts w:cs="Calibri"/>
        </w:rPr>
        <w:t>Th</w:t>
      </w:r>
      <w:r w:rsidR="006D5D81">
        <w:rPr>
          <w:rFonts w:cs="Calibri"/>
        </w:rPr>
        <w:t>ese are</w:t>
      </w:r>
      <w:r>
        <w:rPr>
          <w:rFonts w:cs="Calibri"/>
        </w:rPr>
        <w:t xml:space="preserve"> key element</w:t>
      </w:r>
      <w:r w:rsidR="006D5D81">
        <w:rPr>
          <w:rFonts w:cs="Calibri"/>
        </w:rPr>
        <w:t>s</w:t>
      </w:r>
      <w:r>
        <w:rPr>
          <w:rFonts w:cs="Calibri"/>
        </w:rPr>
        <w:t xml:space="preserve"> of DRR</w:t>
      </w:r>
      <w:r w:rsidR="00E17D06">
        <w:rPr>
          <w:rFonts w:cs="Calibri"/>
        </w:rPr>
        <w:t xml:space="preserve"> but</w:t>
      </w:r>
      <w:r>
        <w:rPr>
          <w:rFonts w:cs="Calibri"/>
        </w:rPr>
        <w:t xml:space="preserve"> while </w:t>
      </w:r>
      <w:r w:rsidR="00E17D06">
        <w:rPr>
          <w:rFonts w:cs="Calibri"/>
        </w:rPr>
        <w:t xml:space="preserve">these activities create </w:t>
      </w:r>
      <w:r>
        <w:rPr>
          <w:rFonts w:cs="Calibri"/>
        </w:rPr>
        <w:t>partner</w:t>
      </w:r>
      <w:r w:rsidR="00E17D06">
        <w:rPr>
          <w:rFonts w:cs="Calibri"/>
        </w:rPr>
        <w:t xml:space="preserve">ships with </w:t>
      </w:r>
      <w:r>
        <w:rPr>
          <w:rFonts w:cs="Calibri"/>
        </w:rPr>
        <w:t xml:space="preserve">national disaster management </w:t>
      </w:r>
      <w:r w:rsidR="006D5D81">
        <w:rPr>
          <w:rFonts w:cs="Calibri"/>
        </w:rPr>
        <w:t xml:space="preserve">and </w:t>
      </w:r>
      <w:r w:rsidR="0061697C">
        <w:rPr>
          <w:rFonts w:cs="Calibri"/>
        </w:rPr>
        <w:t xml:space="preserve">technical </w:t>
      </w:r>
      <w:r>
        <w:rPr>
          <w:rFonts w:cs="Calibri"/>
        </w:rPr>
        <w:t xml:space="preserve">agencies, they engage </w:t>
      </w:r>
      <w:r w:rsidR="006D5D81">
        <w:rPr>
          <w:rFonts w:cs="Calibri"/>
        </w:rPr>
        <w:t xml:space="preserve">much less </w:t>
      </w:r>
      <w:r>
        <w:rPr>
          <w:rFonts w:cs="Calibri"/>
        </w:rPr>
        <w:t xml:space="preserve">with </w:t>
      </w:r>
      <w:r w:rsidRPr="006B29C5">
        <w:rPr>
          <w:rFonts w:cs="Calibri"/>
        </w:rPr>
        <w:t>mainstream sectors like planning and financing, infrastructure, livelihoods, food security and education</w:t>
      </w:r>
      <w:r w:rsidR="00E53586">
        <w:rPr>
          <w:rFonts w:cs="Calibri"/>
        </w:rPr>
        <w:t>.  It is only these agencies that can drive a national integration agenda.</w:t>
      </w:r>
      <w:r w:rsidR="006F22AA">
        <w:rPr>
          <w:rFonts w:cs="Calibri"/>
        </w:rPr>
        <w:t xml:space="preserve"> </w:t>
      </w:r>
    </w:p>
    <w:p w:rsidR="00B836B4" w:rsidRDefault="002C567F" w:rsidP="00887194">
      <w:pPr>
        <w:spacing w:after="240"/>
        <w:rPr>
          <w:iCs/>
        </w:rPr>
      </w:pPr>
      <w:r>
        <w:rPr>
          <w:rFonts w:cs="Calibri"/>
        </w:rPr>
        <w:lastRenderedPageBreak/>
        <w:t>Similarly, around 75</w:t>
      </w:r>
      <w:r w:rsidRPr="00FE02D3">
        <w:rPr>
          <w:rFonts w:cs="Calibri"/>
        </w:rPr>
        <w:t xml:space="preserve">% of our DRR programming is </w:t>
      </w:r>
      <w:r w:rsidR="0061697C">
        <w:rPr>
          <w:rFonts w:cs="Calibri"/>
        </w:rPr>
        <w:t xml:space="preserve">taking place in </w:t>
      </w:r>
      <w:r w:rsidRPr="00FE02D3">
        <w:rPr>
          <w:rFonts w:cs="Calibri"/>
        </w:rPr>
        <w:t>the Asia Pacific</w:t>
      </w:r>
      <w:r>
        <w:rPr>
          <w:rFonts w:cs="Calibri"/>
        </w:rPr>
        <w:t>.</w:t>
      </w:r>
      <w:r w:rsidRPr="00FE02D3">
        <w:rPr>
          <w:rFonts w:cs="Calibri"/>
        </w:rPr>
        <w:t xml:space="preserve"> Given that th</w:t>
      </w:r>
      <w:r>
        <w:rPr>
          <w:rFonts w:cs="Calibri"/>
        </w:rPr>
        <w:t xml:space="preserve">is is </w:t>
      </w:r>
      <w:r w:rsidRPr="00FE02D3">
        <w:rPr>
          <w:rFonts w:cs="Calibri"/>
        </w:rPr>
        <w:t xml:space="preserve">the world’s most disaster-prone region, prioritising the earthquake, volcano and hydro-related hazards typical of the Asia Pacific is sensible.  </w:t>
      </w:r>
      <w:r w:rsidR="0061697C">
        <w:rPr>
          <w:rFonts w:cs="Calibri"/>
        </w:rPr>
        <w:t>However, c</w:t>
      </w:r>
      <w:r w:rsidR="00003DB5" w:rsidRPr="00C668B7">
        <w:rPr>
          <w:iCs/>
        </w:rPr>
        <w:t>yclical drought is a hazard to which many of the world’s poorest people are vulnerable.</w:t>
      </w:r>
      <w:r w:rsidR="00C668B7">
        <w:rPr>
          <w:iCs/>
        </w:rPr>
        <w:t xml:space="preserve">  </w:t>
      </w:r>
      <w:proofErr w:type="spellStart"/>
      <w:r w:rsidR="00003DB5" w:rsidRPr="00C668B7">
        <w:rPr>
          <w:iCs/>
        </w:rPr>
        <w:t>AusAID</w:t>
      </w:r>
      <w:proofErr w:type="spellEnd"/>
      <w:r w:rsidR="00003DB5" w:rsidRPr="00C668B7">
        <w:rPr>
          <w:iCs/>
        </w:rPr>
        <w:t xml:space="preserve"> ’s very substantial food security </w:t>
      </w:r>
      <w:r w:rsidR="00B836B4">
        <w:rPr>
          <w:iCs/>
        </w:rPr>
        <w:t xml:space="preserve">and humanitarian </w:t>
      </w:r>
      <w:r w:rsidR="00003DB5" w:rsidRPr="00C668B7">
        <w:rPr>
          <w:iCs/>
        </w:rPr>
        <w:t xml:space="preserve">activities in Africa </w:t>
      </w:r>
      <w:r w:rsidR="00B836B4">
        <w:rPr>
          <w:iCs/>
        </w:rPr>
        <w:t xml:space="preserve">that work to </w:t>
      </w:r>
      <w:r w:rsidR="00003DB5" w:rsidRPr="00C668B7">
        <w:rPr>
          <w:iCs/>
        </w:rPr>
        <w:t>address community resilience</w:t>
      </w:r>
      <w:r w:rsidR="00B836B4">
        <w:rPr>
          <w:iCs/>
        </w:rPr>
        <w:t>,</w:t>
      </w:r>
      <w:r w:rsidR="00003DB5" w:rsidRPr="00C668B7">
        <w:rPr>
          <w:iCs/>
        </w:rPr>
        <w:t xml:space="preserve"> </w:t>
      </w:r>
      <w:r w:rsidR="00B836B4">
        <w:rPr>
          <w:iCs/>
        </w:rPr>
        <w:t xml:space="preserve">build </w:t>
      </w:r>
      <w:r w:rsidR="00003DB5" w:rsidRPr="00C668B7">
        <w:rPr>
          <w:iCs/>
        </w:rPr>
        <w:t xml:space="preserve">sustainable livelihoods </w:t>
      </w:r>
      <w:r w:rsidR="00B836B4">
        <w:rPr>
          <w:iCs/>
        </w:rPr>
        <w:t xml:space="preserve">and more robust agricultural systems, and respond to climate change, </w:t>
      </w:r>
      <w:r w:rsidR="00003DB5" w:rsidRPr="00C668B7">
        <w:rPr>
          <w:iCs/>
        </w:rPr>
        <w:t xml:space="preserve">have not </w:t>
      </w:r>
      <w:r w:rsidR="00B836B4">
        <w:rPr>
          <w:iCs/>
        </w:rPr>
        <w:t xml:space="preserve">always </w:t>
      </w:r>
      <w:r w:rsidR="00003DB5" w:rsidRPr="00C668B7">
        <w:rPr>
          <w:iCs/>
        </w:rPr>
        <w:t>articulated a</w:t>
      </w:r>
      <w:r w:rsidR="00B836B4">
        <w:rPr>
          <w:iCs/>
        </w:rPr>
        <w:t>n explicit</w:t>
      </w:r>
      <w:r w:rsidR="00003DB5" w:rsidRPr="00C668B7">
        <w:rPr>
          <w:iCs/>
        </w:rPr>
        <w:t xml:space="preserve">  DRR </w:t>
      </w:r>
      <w:r w:rsidR="00B836B4">
        <w:rPr>
          <w:iCs/>
        </w:rPr>
        <w:t>narrative.</w:t>
      </w:r>
    </w:p>
    <w:p w:rsidR="002C567F" w:rsidRPr="00466686" w:rsidRDefault="002C567F" w:rsidP="005C12FA">
      <w:pPr>
        <w:spacing w:after="0"/>
        <w:rPr>
          <w:rFonts w:cs="Calibri"/>
        </w:rPr>
      </w:pPr>
      <w:r>
        <w:rPr>
          <w:rFonts w:cs="Calibri"/>
        </w:rPr>
        <w:t xml:space="preserve">The Australian aid policy, </w:t>
      </w:r>
      <w:r w:rsidRPr="0036670E">
        <w:rPr>
          <w:rFonts w:cs="Calibri"/>
          <w:i/>
        </w:rPr>
        <w:t>An Effective Aid Program for Australia: Making a real difference-delivering real results</w:t>
      </w:r>
      <w:r w:rsidRPr="0036670E">
        <w:rPr>
          <w:rFonts w:cs="Calibri"/>
        </w:rPr>
        <w:t>,</w:t>
      </w:r>
      <w:r>
        <w:rPr>
          <w:rFonts w:cs="Calibri"/>
        </w:rPr>
        <w:t xml:space="preserve"> encourages country programs to consolidate into fewer, larger programs</w:t>
      </w:r>
      <w:r w:rsidR="00D61BFA">
        <w:rPr>
          <w:rFonts w:cs="Calibri"/>
        </w:rPr>
        <w:t xml:space="preserve">.   The Agency’s current DRR profile shows that it is dispersed across too many countries </w:t>
      </w:r>
      <w:r w:rsidR="00F43F13">
        <w:rPr>
          <w:rFonts w:cs="Calibri"/>
        </w:rPr>
        <w:t xml:space="preserve">with too many </w:t>
      </w:r>
      <w:r w:rsidR="00531326">
        <w:rPr>
          <w:rFonts w:cs="Calibri"/>
        </w:rPr>
        <w:t xml:space="preserve">small, stand-alone activities.  </w:t>
      </w:r>
      <w:r w:rsidR="00F43F13">
        <w:rPr>
          <w:rFonts w:cs="Calibri"/>
        </w:rPr>
        <w:t>Our DRR programming needs to consolidate by shedding marginal activities and integrating with larger</w:t>
      </w:r>
      <w:r w:rsidR="006755E2">
        <w:rPr>
          <w:rFonts w:cs="Calibri"/>
        </w:rPr>
        <w:t>,</w:t>
      </w:r>
      <w:r w:rsidR="00F43F13">
        <w:rPr>
          <w:rFonts w:cs="Calibri"/>
        </w:rPr>
        <w:t xml:space="preserve"> </w:t>
      </w:r>
      <w:r w:rsidR="006755E2">
        <w:rPr>
          <w:rFonts w:cs="Calibri"/>
        </w:rPr>
        <w:t xml:space="preserve">bilateral </w:t>
      </w:r>
      <w:r w:rsidR="00F43F13">
        <w:rPr>
          <w:rFonts w:cs="Calibri"/>
        </w:rPr>
        <w:t xml:space="preserve">ones that are directly contributing to country strategy objectives.  However, </w:t>
      </w:r>
      <w:proofErr w:type="spellStart"/>
      <w:r w:rsidR="00F43F13">
        <w:rPr>
          <w:rFonts w:cs="Calibri"/>
        </w:rPr>
        <w:t>A</w:t>
      </w:r>
      <w:r w:rsidR="002038EF">
        <w:rPr>
          <w:rFonts w:cs="Calibri"/>
        </w:rPr>
        <w:t>usAID</w:t>
      </w:r>
      <w:proofErr w:type="spellEnd"/>
      <w:r w:rsidR="002038EF">
        <w:rPr>
          <w:rFonts w:cs="Calibri"/>
        </w:rPr>
        <w:t xml:space="preserve"> sectoral </w:t>
      </w:r>
      <w:r w:rsidR="002038EF" w:rsidRPr="006F0BBB">
        <w:rPr>
          <w:rFonts w:cs="Calibri"/>
        </w:rPr>
        <w:t>programs are dealing with complex policy and implementation environments</w:t>
      </w:r>
      <w:r w:rsidR="00F43F13">
        <w:rPr>
          <w:rFonts w:cs="Calibri"/>
        </w:rPr>
        <w:t xml:space="preserve"> and a</w:t>
      </w:r>
      <w:r w:rsidR="002038EF" w:rsidRPr="006F0BBB">
        <w:rPr>
          <w:rFonts w:cs="Calibri"/>
        </w:rPr>
        <w:t xml:space="preserve">dding </w:t>
      </w:r>
      <w:r w:rsidR="002038EF">
        <w:rPr>
          <w:rFonts w:cs="Calibri"/>
        </w:rPr>
        <w:t xml:space="preserve">DRR </w:t>
      </w:r>
      <w:r w:rsidR="002038EF" w:rsidRPr="006F0BBB">
        <w:rPr>
          <w:rFonts w:cs="Calibri"/>
        </w:rPr>
        <w:t>into the mix</w:t>
      </w:r>
      <w:r w:rsidR="002038EF">
        <w:rPr>
          <w:rFonts w:cs="Calibri"/>
        </w:rPr>
        <w:t xml:space="preserve"> can </w:t>
      </w:r>
      <w:r w:rsidR="00942C9B">
        <w:rPr>
          <w:rFonts w:cs="Calibri"/>
        </w:rPr>
        <w:t xml:space="preserve">seem to </w:t>
      </w:r>
      <w:r w:rsidR="002038EF">
        <w:rPr>
          <w:rFonts w:cs="Calibri"/>
        </w:rPr>
        <w:t>a</w:t>
      </w:r>
      <w:r w:rsidR="006755E2">
        <w:rPr>
          <w:rFonts w:cs="Calibri"/>
        </w:rPr>
        <w:t xml:space="preserve">dd even more complexity. </w:t>
      </w:r>
      <w:r w:rsidR="002038EF" w:rsidRPr="006F0BBB">
        <w:rPr>
          <w:rFonts w:cs="Calibri"/>
        </w:rPr>
        <w:t xml:space="preserve"> </w:t>
      </w:r>
      <w:r w:rsidR="002038EF">
        <w:rPr>
          <w:rFonts w:cs="Calibri"/>
        </w:rPr>
        <w:t>T</w:t>
      </w:r>
      <w:r w:rsidR="00942C9B">
        <w:rPr>
          <w:rFonts w:cs="Calibri"/>
        </w:rPr>
        <w:t>o counter this impression,</w:t>
      </w:r>
      <w:r w:rsidR="002038EF">
        <w:rPr>
          <w:rFonts w:cs="Calibri"/>
        </w:rPr>
        <w:t xml:space="preserve"> </w:t>
      </w:r>
      <w:r w:rsidR="00E17D06">
        <w:rPr>
          <w:rFonts w:cs="Calibri"/>
        </w:rPr>
        <w:t>DRR p</w:t>
      </w:r>
      <w:r w:rsidR="00F43F13">
        <w:rPr>
          <w:rFonts w:cs="Calibri"/>
        </w:rPr>
        <w:t xml:space="preserve">rogramming </w:t>
      </w:r>
      <w:r w:rsidR="00942C9B">
        <w:rPr>
          <w:rFonts w:cs="Calibri"/>
        </w:rPr>
        <w:t>must show th</w:t>
      </w:r>
      <w:r w:rsidR="00E17D06">
        <w:rPr>
          <w:rFonts w:cs="Calibri"/>
        </w:rPr>
        <w:t xml:space="preserve">at </w:t>
      </w:r>
      <w:r w:rsidR="00D031DF">
        <w:rPr>
          <w:rFonts w:cs="Calibri"/>
        </w:rPr>
        <w:t xml:space="preserve">it </w:t>
      </w:r>
      <w:r w:rsidR="008C49B4">
        <w:rPr>
          <w:rFonts w:cs="Calibri"/>
        </w:rPr>
        <w:t xml:space="preserve">is effective and </w:t>
      </w:r>
      <w:r w:rsidR="00D031DF">
        <w:rPr>
          <w:rFonts w:cs="Calibri"/>
        </w:rPr>
        <w:t xml:space="preserve">can help country programs meet their development objectives. </w:t>
      </w:r>
      <w:r w:rsidR="002038EF">
        <w:rPr>
          <w:rFonts w:cs="Calibri"/>
        </w:rPr>
        <w:t xml:space="preserve"> </w:t>
      </w:r>
    </w:p>
    <w:p w:rsidR="002C567F" w:rsidRDefault="002C567F" w:rsidP="00466686">
      <w:pPr>
        <w:pStyle w:val="Heading2"/>
      </w:pPr>
      <w:bookmarkStart w:id="28" w:name="_Toc351121980"/>
      <w:bookmarkStart w:id="29" w:name="_Toc351122048"/>
      <w:bookmarkStart w:id="30" w:name="_Toc351122185"/>
      <w:r>
        <w:t xml:space="preserve">Outcome </w:t>
      </w:r>
      <w:r w:rsidRPr="009943F4">
        <w:t xml:space="preserve">Measurement </w:t>
      </w:r>
      <w:r>
        <w:t>and Evidence Base</w:t>
      </w:r>
      <w:bookmarkEnd w:id="28"/>
      <w:bookmarkEnd w:id="29"/>
      <w:bookmarkEnd w:id="30"/>
      <w:r>
        <w:t xml:space="preserve"> </w:t>
      </w:r>
    </w:p>
    <w:p w:rsidR="002C567F" w:rsidRDefault="002C567F" w:rsidP="00962AA6">
      <w:pPr>
        <w:spacing w:after="360"/>
        <w:rPr>
          <w:rFonts w:cs="Calibri"/>
        </w:rPr>
      </w:pPr>
      <w:r>
        <w:rPr>
          <w:rFonts w:cs="Calibri"/>
        </w:rPr>
        <w:t>Monitoring and evaluation of DRR activities tend to rely on proxies</w:t>
      </w:r>
      <w:r w:rsidR="003A1A26">
        <w:rPr>
          <w:rFonts w:cs="Calibri"/>
        </w:rPr>
        <w:t>, case studies and anecdote</w:t>
      </w:r>
      <w:r>
        <w:rPr>
          <w:rFonts w:cs="Calibri"/>
        </w:rPr>
        <w:t xml:space="preserve">.  </w:t>
      </w:r>
      <w:r w:rsidR="00B30110">
        <w:rPr>
          <w:rFonts w:cs="Calibri"/>
        </w:rPr>
        <w:t xml:space="preserve">While the preventative value of DRR makes intuitive sense, it is unlikely that one international norm on the cost to benefit ratio of DRR will be </w:t>
      </w:r>
      <w:r w:rsidR="005D1EE5">
        <w:rPr>
          <w:rFonts w:cs="Calibri"/>
        </w:rPr>
        <w:t>validated.</w:t>
      </w:r>
      <w:r w:rsidR="00B30110">
        <w:rPr>
          <w:rFonts w:cs="Calibri"/>
        </w:rPr>
        <w:t xml:space="preserve">  </w:t>
      </w:r>
      <w:r w:rsidR="005D1EE5">
        <w:rPr>
          <w:rFonts w:cs="Calibri"/>
        </w:rPr>
        <w:t>H</w:t>
      </w:r>
      <w:r>
        <w:rPr>
          <w:rFonts w:cs="Calibri"/>
        </w:rPr>
        <w:t>ow to determine the number of lives saved, the economic loss averted and the degree of resilience gained through DRR activities</w:t>
      </w:r>
      <w:r w:rsidR="00C55DD1">
        <w:rPr>
          <w:rFonts w:cs="Calibri"/>
        </w:rPr>
        <w:t>,</w:t>
      </w:r>
      <w:r>
        <w:rPr>
          <w:rFonts w:cs="Calibri"/>
        </w:rPr>
        <w:t xml:space="preserve"> is contentious and hampered by insufficient or unsuitable data</w:t>
      </w:r>
      <w:r w:rsidR="005D1EE5">
        <w:rPr>
          <w:rFonts w:cs="Calibri"/>
        </w:rPr>
        <w:t xml:space="preserve">.  </w:t>
      </w:r>
      <w:r>
        <w:rPr>
          <w:rFonts w:cs="Calibri"/>
        </w:rPr>
        <w:t>However, building a more empirical evidence base to justify investment in DRR</w:t>
      </w:r>
      <w:r w:rsidR="00B5790E">
        <w:rPr>
          <w:rFonts w:cs="Calibri"/>
        </w:rPr>
        <w:t xml:space="preserve"> and having simple methodologies available to measure its impact at activity level,</w:t>
      </w:r>
      <w:r>
        <w:rPr>
          <w:rFonts w:cs="Calibri"/>
        </w:rPr>
        <w:t xml:space="preserve"> is essential </w:t>
      </w:r>
      <w:r w:rsidR="00B5790E">
        <w:rPr>
          <w:rFonts w:cs="Calibri"/>
        </w:rPr>
        <w:t>for its</w:t>
      </w:r>
      <w:r>
        <w:rPr>
          <w:rFonts w:cs="Calibri"/>
        </w:rPr>
        <w:t xml:space="preserve"> wide</w:t>
      </w:r>
      <w:r w:rsidR="00B5790E">
        <w:rPr>
          <w:rFonts w:cs="Calibri"/>
        </w:rPr>
        <w:t xml:space="preserve">r </w:t>
      </w:r>
      <w:r>
        <w:rPr>
          <w:rFonts w:cs="Calibri"/>
        </w:rPr>
        <w:t>integrat</w:t>
      </w:r>
      <w:r w:rsidR="00B5790E">
        <w:rPr>
          <w:rFonts w:cs="Calibri"/>
        </w:rPr>
        <w:t xml:space="preserve">ion </w:t>
      </w:r>
      <w:r>
        <w:rPr>
          <w:rFonts w:cs="Calibri"/>
        </w:rPr>
        <w:t xml:space="preserve">into development planning.  </w:t>
      </w:r>
    </w:p>
    <w:p w:rsidR="00FF6046" w:rsidRDefault="00FF6046" w:rsidP="00466686">
      <w:pPr>
        <w:pStyle w:val="Heading1"/>
      </w:pPr>
      <w:bookmarkStart w:id="31" w:name="_Toc351121981"/>
      <w:bookmarkStart w:id="32" w:name="_Toc351122049"/>
      <w:bookmarkStart w:id="33" w:name="_Toc351122186"/>
      <w:r>
        <w:t>LES</w:t>
      </w:r>
      <w:r w:rsidR="00466686">
        <w:t>S</w:t>
      </w:r>
      <w:r>
        <w:t>ONS LEARNED</w:t>
      </w:r>
      <w:bookmarkEnd w:id="31"/>
      <w:bookmarkEnd w:id="32"/>
      <w:bookmarkEnd w:id="33"/>
    </w:p>
    <w:p w:rsidR="002C567F" w:rsidRDefault="002C567F" w:rsidP="00962AA6">
      <w:pPr>
        <w:spacing w:after="360"/>
        <w:rPr>
          <w:rFonts w:cs="Calibri"/>
        </w:rPr>
      </w:pPr>
      <w:r>
        <w:rPr>
          <w:rFonts w:cs="Calibri"/>
        </w:rPr>
        <w:t>The three most important lessons from implementation of the Policy over the last 18 months were:</w:t>
      </w:r>
    </w:p>
    <w:p w:rsidR="00605F18" w:rsidRDefault="00605F18" w:rsidP="00D137AD">
      <w:pPr>
        <w:pStyle w:val="ListParagraph"/>
        <w:numPr>
          <w:ilvl w:val="0"/>
          <w:numId w:val="14"/>
        </w:numPr>
        <w:spacing w:after="360"/>
        <w:ind w:left="360"/>
        <w:contextualSpacing w:val="0"/>
        <w:rPr>
          <w:rFonts w:cs="Calibri"/>
        </w:rPr>
      </w:pPr>
      <w:r>
        <w:rPr>
          <w:rFonts w:cs="Calibri"/>
        </w:rPr>
        <w:t xml:space="preserve">DRR in </w:t>
      </w:r>
      <w:proofErr w:type="spellStart"/>
      <w:r>
        <w:rPr>
          <w:rFonts w:cs="Calibri"/>
        </w:rPr>
        <w:t>AusAID</w:t>
      </w:r>
      <w:proofErr w:type="spellEnd"/>
      <w:r>
        <w:rPr>
          <w:rFonts w:cs="Calibri"/>
        </w:rPr>
        <w:t xml:space="preserve"> is evolving from </w:t>
      </w:r>
      <w:r w:rsidRPr="00605F18">
        <w:rPr>
          <w:rFonts w:cs="Calibri"/>
        </w:rPr>
        <w:t xml:space="preserve">getting ready to respond to the next disaster event </w:t>
      </w:r>
      <w:proofErr w:type="gramStart"/>
      <w:r w:rsidR="002C567F" w:rsidRPr="00605F18">
        <w:rPr>
          <w:rFonts w:cs="Calibri"/>
        </w:rPr>
        <w:t>t</w:t>
      </w:r>
      <w:r>
        <w:rPr>
          <w:rFonts w:cs="Calibri"/>
        </w:rPr>
        <w:t xml:space="preserve">owards </w:t>
      </w:r>
      <w:r w:rsidR="002C567F" w:rsidRPr="00605F18">
        <w:rPr>
          <w:rFonts w:cs="Calibri"/>
        </w:rPr>
        <w:t xml:space="preserve"> build</w:t>
      </w:r>
      <w:r>
        <w:rPr>
          <w:rFonts w:cs="Calibri"/>
        </w:rPr>
        <w:t>ing</w:t>
      </w:r>
      <w:proofErr w:type="gramEnd"/>
      <w:r w:rsidR="002C567F" w:rsidRPr="00605F18">
        <w:rPr>
          <w:rFonts w:cs="Calibri"/>
        </w:rPr>
        <w:t xml:space="preserve"> a culture of resilience </w:t>
      </w:r>
      <w:r w:rsidR="006F0BBB" w:rsidRPr="00605F18">
        <w:rPr>
          <w:rFonts w:cs="Calibri"/>
        </w:rPr>
        <w:t>in</w:t>
      </w:r>
      <w:r>
        <w:rPr>
          <w:rFonts w:cs="Calibri"/>
        </w:rPr>
        <w:t xml:space="preserve"> our programing. </w:t>
      </w:r>
      <w:r w:rsidR="002C567F" w:rsidRPr="00605F18">
        <w:rPr>
          <w:rFonts w:cs="Calibri"/>
        </w:rPr>
        <w:t xml:space="preserve"> </w:t>
      </w:r>
      <w:r>
        <w:rPr>
          <w:rFonts w:cs="Calibri"/>
        </w:rPr>
        <w:t xml:space="preserve">To push this </w:t>
      </w:r>
      <w:r w:rsidR="00C55DD1">
        <w:rPr>
          <w:rFonts w:cs="Calibri"/>
        </w:rPr>
        <w:t xml:space="preserve">positive </w:t>
      </w:r>
      <w:r>
        <w:rPr>
          <w:rFonts w:cs="Calibri"/>
        </w:rPr>
        <w:t xml:space="preserve">evolution forward </w:t>
      </w:r>
      <w:proofErr w:type="spellStart"/>
      <w:r w:rsidRPr="00605F18">
        <w:rPr>
          <w:rFonts w:cs="Calibri"/>
        </w:rPr>
        <w:t>AusAID</w:t>
      </w:r>
      <w:proofErr w:type="spellEnd"/>
      <w:r w:rsidRPr="00605F18">
        <w:rPr>
          <w:rFonts w:cs="Calibri"/>
        </w:rPr>
        <w:t xml:space="preserve"> needs to build commitment and partnerships in the countries where </w:t>
      </w:r>
      <w:proofErr w:type="spellStart"/>
      <w:r w:rsidRPr="00605F18">
        <w:rPr>
          <w:rFonts w:cs="Calibri"/>
        </w:rPr>
        <w:t>AusAID</w:t>
      </w:r>
      <w:proofErr w:type="spellEnd"/>
      <w:r w:rsidRPr="00605F18">
        <w:rPr>
          <w:rFonts w:cs="Calibri"/>
        </w:rPr>
        <w:t xml:space="preserve"> works and then ensur</w:t>
      </w:r>
      <w:r w:rsidR="00C55DD1">
        <w:rPr>
          <w:rFonts w:cs="Calibri"/>
        </w:rPr>
        <w:t>e</w:t>
      </w:r>
      <w:r w:rsidRPr="00605F18">
        <w:rPr>
          <w:rFonts w:cs="Calibri"/>
        </w:rPr>
        <w:t xml:space="preserve"> that we are positioned to capitalise on </w:t>
      </w:r>
      <w:r>
        <w:rPr>
          <w:rFonts w:cs="Calibri"/>
        </w:rPr>
        <w:t>opportunities</w:t>
      </w:r>
      <w:r w:rsidRPr="00605F18">
        <w:rPr>
          <w:rFonts w:cs="Calibri"/>
        </w:rPr>
        <w:t>.</w:t>
      </w:r>
    </w:p>
    <w:p w:rsidR="002C567F" w:rsidRDefault="002C567F" w:rsidP="00D137AD">
      <w:pPr>
        <w:pStyle w:val="ListParagraph"/>
        <w:numPr>
          <w:ilvl w:val="0"/>
          <w:numId w:val="14"/>
        </w:numPr>
        <w:spacing w:after="840"/>
        <w:ind w:left="432" w:hanging="432"/>
        <w:contextualSpacing w:val="0"/>
        <w:rPr>
          <w:rFonts w:cs="Calibri"/>
        </w:rPr>
      </w:pPr>
      <w:r w:rsidRPr="00310431">
        <w:rPr>
          <w:rFonts w:cs="Calibri"/>
        </w:rPr>
        <w:t xml:space="preserve">Leveraging resources </w:t>
      </w:r>
      <w:r>
        <w:rPr>
          <w:rFonts w:cs="Calibri"/>
        </w:rPr>
        <w:t xml:space="preserve">and collaborating with other parts of </w:t>
      </w:r>
      <w:proofErr w:type="spellStart"/>
      <w:r>
        <w:rPr>
          <w:rFonts w:cs="Calibri"/>
        </w:rPr>
        <w:t>AusAID</w:t>
      </w:r>
      <w:proofErr w:type="spellEnd"/>
      <w:r>
        <w:rPr>
          <w:rFonts w:cs="Calibri"/>
        </w:rPr>
        <w:t xml:space="preserve"> </w:t>
      </w:r>
      <w:r w:rsidRPr="00310431">
        <w:rPr>
          <w:rFonts w:cs="Calibri"/>
        </w:rPr>
        <w:t xml:space="preserve">is </w:t>
      </w:r>
      <w:r w:rsidR="00777874">
        <w:rPr>
          <w:rFonts w:cs="Calibri"/>
        </w:rPr>
        <w:t xml:space="preserve">also </w:t>
      </w:r>
      <w:r w:rsidRPr="00310431">
        <w:rPr>
          <w:rFonts w:cs="Calibri"/>
        </w:rPr>
        <w:t>critical</w:t>
      </w:r>
      <w:r>
        <w:rPr>
          <w:rFonts w:cs="Calibri"/>
        </w:rPr>
        <w:t xml:space="preserve"> for achieving results.  B</w:t>
      </w:r>
      <w:r w:rsidRPr="00310431">
        <w:rPr>
          <w:rFonts w:cs="Calibri"/>
        </w:rPr>
        <w:t xml:space="preserve">ilateral programs undertook the </w:t>
      </w:r>
      <w:r>
        <w:rPr>
          <w:rFonts w:cs="Calibri"/>
        </w:rPr>
        <w:t xml:space="preserve">large </w:t>
      </w:r>
      <w:r w:rsidRPr="00310431">
        <w:rPr>
          <w:rFonts w:cs="Calibri"/>
        </w:rPr>
        <w:t xml:space="preserve">majority of </w:t>
      </w:r>
      <w:r>
        <w:rPr>
          <w:rFonts w:cs="Calibri"/>
        </w:rPr>
        <w:t xml:space="preserve">DRR </w:t>
      </w:r>
      <w:r w:rsidRPr="00310431">
        <w:rPr>
          <w:rFonts w:cs="Calibri"/>
        </w:rPr>
        <w:t>programming</w:t>
      </w:r>
      <w:r>
        <w:rPr>
          <w:rFonts w:cs="Calibri"/>
        </w:rPr>
        <w:t>; the e</w:t>
      </w:r>
      <w:r w:rsidRPr="00310431">
        <w:rPr>
          <w:rFonts w:cs="Calibri"/>
        </w:rPr>
        <w:t>nvironment team built the E</w:t>
      </w:r>
      <w:r>
        <w:rPr>
          <w:rFonts w:cs="Calibri"/>
        </w:rPr>
        <w:t xml:space="preserve">nvironment </w:t>
      </w:r>
      <w:r w:rsidRPr="00310431">
        <w:rPr>
          <w:rFonts w:cs="Calibri"/>
        </w:rPr>
        <w:t>F</w:t>
      </w:r>
      <w:r>
        <w:rPr>
          <w:rFonts w:cs="Calibri"/>
        </w:rPr>
        <w:t xml:space="preserve">ocal </w:t>
      </w:r>
      <w:r w:rsidRPr="00310431">
        <w:rPr>
          <w:rFonts w:cs="Calibri"/>
        </w:rPr>
        <w:t>P</w:t>
      </w:r>
      <w:r>
        <w:rPr>
          <w:rFonts w:cs="Calibri"/>
        </w:rPr>
        <w:t xml:space="preserve">oint </w:t>
      </w:r>
      <w:r w:rsidRPr="00310431">
        <w:rPr>
          <w:rFonts w:cs="Calibri"/>
        </w:rPr>
        <w:t>N</w:t>
      </w:r>
      <w:r>
        <w:rPr>
          <w:rFonts w:cs="Calibri"/>
        </w:rPr>
        <w:t>etwork</w:t>
      </w:r>
      <w:r w:rsidRPr="00310431">
        <w:rPr>
          <w:rFonts w:cs="Calibri"/>
        </w:rPr>
        <w:t xml:space="preserve">; </w:t>
      </w:r>
      <w:r>
        <w:rPr>
          <w:rFonts w:cs="Calibri"/>
        </w:rPr>
        <w:t xml:space="preserve">and </w:t>
      </w:r>
      <w:r w:rsidRPr="00310431">
        <w:rPr>
          <w:rFonts w:cs="Calibri"/>
        </w:rPr>
        <w:t>the Climate Change Branch took the lead in the E-Learning package</w:t>
      </w:r>
      <w:r>
        <w:rPr>
          <w:rFonts w:cs="Calibri"/>
        </w:rPr>
        <w:t xml:space="preserve">.  Fostering these cooperative and mutually beneficial relationships is starting to build a constituency for </w:t>
      </w:r>
      <w:r w:rsidR="00C55DD1">
        <w:rPr>
          <w:rFonts w:cs="Calibri"/>
        </w:rPr>
        <w:t xml:space="preserve">integrated </w:t>
      </w:r>
      <w:r>
        <w:rPr>
          <w:rFonts w:cs="Calibri"/>
        </w:rPr>
        <w:t>DRR across the Agency.</w:t>
      </w:r>
      <w:r w:rsidRPr="00310431">
        <w:rPr>
          <w:rFonts w:cs="Calibri"/>
        </w:rPr>
        <w:t xml:space="preserve"> </w:t>
      </w:r>
    </w:p>
    <w:p w:rsidR="002C567F" w:rsidRDefault="002C567F" w:rsidP="00D137AD">
      <w:pPr>
        <w:pStyle w:val="ListParagraph"/>
        <w:numPr>
          <w:ilvl w:val="0"/>
          <w:numId w:val="14"/>
        </w:numPr>
        <w:spacing w:after="360"/>
        <w:ind w:left="432" w:hanging="432"/>
        <w:contextualSpacing w:val="0"/>
        <w:rPr>
          <w:rFonts w:cs="Calibri"/>
        </w:rPr>
      </w:pPr>
      <w:r>
        <w:rPr>
          <w:rFonts w:cs="Calibri"/>
        </w:rPr>
        <w:lastRenderedPageBreak/>
        <w:t>Building a</w:t>
      </w:r>
      <w:r w:rsidRPr="00310431">
        <w:rPr>
          <w:rFonts w:cs="Calibri"/>
        </w:rPr>
        <w:t xml:space="preserve">wareness of DRR across the Agency </w:t>
      </w:r>
      <w:r>
        <w:rPr>
          <w:rFonts w:cs="Calibri"/>
        </w:rPr>
        <w:t xml:space="preserve">remains the </w:t>
      </w:r>
      <w:r w:rsidRPr="00310431">
        <w:rPr>
          <w:rFonts w:cs="Calibri"/>
        </w:rPr>
        <w:t>key</w:t>
      </w:r>
      <w:r>
        <w:rPr>
          <w:rFonts w:cs="Calibri"/>
        </w:rPr>
        <w:t xml:space="preserve"> to achieving DRR outcomes</w:t>
      </w:r>
      <w:r w:rsidRPr="00310431">
        <w:rPr>
          <w:rFonts w:cs="Calibri"/>
        </w:rPr>
        <w:t xml:space="preserve">. When program areas are trained and supported, they </w:t>
      </w:r>
      <w:r w:rsidR="00461891">
        <w:rPr>
          <w:rFonts w:cs="Calibri"/>
        </w:rPr>
        <w:t xml:space="preserve">see benefit </w:t>
      </w:r>
      <w:r w:rsidRPr="00310431">
        <w:rPr>
          <w:rFonts w:cs="Calibri"/>
        </w:rPr>
        <w:t>in in</w:t>
      </w:r>
      <w:r>
        <w:rPr>
          <w:rFonts w:cs="Calibri"/>
        </w:rPr>
        <w:t>cluding DRR into their programs. This highlights</w:t>
      </w:r>
      <w:r w:rsidRPr="00310431">
        <w:rPr>
          <w:rFonts w:cs="Calibri"/>
        </w:rPr>
        <w:t xml:space="preserve"> the need to continue to dedicate resources to training and to provide seed funding in support of new </w:t>
      </w:r>
      <w:r>
        <w:rPr>
          <w:rFonts w:cs="Calibri"/>
        </w:rPr>
        <w:t xml:space="preserve">DRR initiatives that will point the way to broader and deeper integration of DRR into existing programs. </w:t>
      </w:r>
    </w:p>
    <w:p w:rsidR="002C567F" w:rsidRDefault="002C567F" w:rsidP="00466686">
      <w:pPr>
        <w:pStyle w:val="Heading1"/>
      </w:pPr>
      <w:bookmarkStart w:id="34" w:name="_Toc351121982"/>
      <w:bookmarkStart w:id="35" w:name="_Toc351122050"/>
      <w:bookmarkStart w:id="36" w:name="_Toc351122187"/>
      <w:r>
        <w:t>FUTURE DIRECTIONS</w:t>
      </w:r>
      <w:bookmarkEnd w:id="34"/>
      <w:bookmarkEnd w:id="35"/>
      <w:bookmarkEnd w:id="36"/>
    </w:p>
    <w:p w:rsidR="002C567F" w:rsidRDefault="002C567F" w:rsidP="004F0762">
      <w:pPr>
        <w:rPr>
          <w:rFonts w:cs="Calibri"/>
        </w:rPr>
      </w:pPr>
      <w:r>
        <w:rPr>
          <w:rFonts w:cs="Calibri"/>
        </w:rPr>
        <w:t xml:space="preserve">The main areas of the Policy that </w:t>
      </w:r>
      <w:r w:rsidR="00C55DD1">
        <w:rPr>
          <w:rFonts w:cs="Calibri"/>
        </w:rPr>
        <w:t xml:space="preserve">remain </w:t>
      </w:r>
      <w:r>
        <w:rPr>
          <w:rFonts w:cs="Calibri"/>
        </w:rPr>
        <w:t xml:space="preserve">to </w:t>
      </w:r>
      <w:r w:rsidR="00C55DD1">
        <w:rPr>
          <w:rFonts w:cs="Calibri"/>
        </w:rPr>
        <w:t xml:space="preserve">be fully </w:t>
      </w:r>
      <w:r>
        <w:rPr>
          <w:rFonts w:cs="Calibri"/>
        </w:rPr>
        <w:t>implement</w:t>
      </w:r>
      <w:r w:rsidR="00C55DD1">
        <w:rPr>
          <w:rFonts w:cs="Calibri"/>
        </w:rPr>
        <w:t>ed</w:t>
      </w:r>
      <w:r>
        <w:rPr>
          <w:rFonts w:cs="Calibri"/>
        </w:rPr>
        <w:t xml:space="preserve"> are integration of DRR into the aid program,</w:t>
      </w:r>
      <w:r w:rsidRPr="00481443">
        <w:rPr>
          <w:rFonts w:cs="Calibri"/>
        </w:rPr>
        <w:t xml:space="preserve"> coordinating </w:t>
      </w:r>
      <w:proofErr w:type="spellStart"/>
      <w:r>
        <w:rPr>
          <w:rFonts w:cs="Calibri"/>
        </w:rPr>
        <w:t>AusAID</w:t>
      </w:r>
      <w:proofErr w:type="spellEnd"/>
      <w:r>
        <w:rPr>
          <w:rFonts w:cs="Calibri"/>
        </w:rPr>
        <w:t xml:space="preserve"> </w:t>
      </w:r>
      <w:r w:rsidRPr="00481443">
        <w:rPr>
          <w:rFonts w:cs="Calibri"/>
        </w:rPr>
        <w:t>DRR and climate change adaptation programming</w:t>
      </w:r>
      <w:r>
        <w:rPr>
          <w:rFonts w:cs="Calibri"/>
        </w:rPr>
        <w:t xml:space="preserve">, and measuring results.  The better we can do all these things the better we can help partner countries integrate DRR across their development sectors.   To move these areas forward the </w:t>
      </w:r>
      <w:r w:rsidRPr="00466193">
        <w:rPr>
          <w:rFonts w:cs="Calibri"/>
        </w:rPr>
        <w:t xml:space="preserve">DRR Unit </w:t>
      </w:r>
      <w:r>
        <w:rPr>
          <w:rFonts w:cs="Calibri"/>
        </w:rPr>
        <w:t>will</w:t>
      </w:r>
      <w:r w:rsidRPr="00466193">
        <w:rPr>
          <w:rFonts w:cs="Calibri"/>
        </w:rPr>
        <w:t xml:space="preserve">: </w:t>
      </w:r>
    </w:p>
    <w:p w:rsidR="002C567F" w:rsidRDefault="002C567F" w:rsidP="00481443">
      <w:pPr>
        <w:pStyle w:val="ListParagraph"/>
        <w:numPr>
          <w:ilvl w:val="0"/>
          <w:numId w:val="15"/>
        </w:numPr>
        <w:rPr>
          <w:rFonts w:cs="Calibri"/>
        </w:rPr>
      </w:pPr>
      <w:proofErr w:type="gramStart"/>
      <w:r>
        <w:rPr>
          <w:rFonts w:cs="Calibri"/>
        </w:rPr>
        <w:t>fund</w:t>
      </w:r>
      <w:proofErr w:type="gramEnd"/>
      <w:r>
        <w:rPr>
          <w:rFonts w:cs="Calibri"/>
        </w:rPr>
        <w:t xml:space="preserve"> </w:t>
      </w:r>
      <w:r w:rsidRPr="00481443">
        <w:rPr>
          <w:rFonts w:cs="Calibri"/>
        </w:rPr>
        <w:t xml:space="preserve">the Asia Disaster Preparedness Centre </w:t>
      </w:r>
      <w:r>
        <w:rPr>
          <w:rFonts w:cs="Calibri"/>
        </w:rPr>
        <w:t>to build on its good practice in</w:t>
      </w:r>
      <w:r w:rsidRPr="00481443">
        <w:rPr>
          <w:rFonts w:cs="Calibri"/>
        </w:rPr>
        <w:t xml:space="preserve"> mainstreaming DRR into </w:t>
      </w:r>
      <w:bookmarkStart w:id="37" w:name="_GoBack"/>
      <w:r w:rsidRPr="00481443">
        <w:rPr>
          <w:rFonts w:cs="Calibri"/>
        </w:rPr>
        <w:t>sectors</w:t>
      </w:r>
      <w:r>
        <w:rPr>
          <w:rFonts w:cs="Calibri"/>
        </w:rPr>
        <w:t xml:space="preserve"> like town planning, and UNICEF to </w:t>
      </w:r>
      <w:r w:rsidRPr="00842380">
        <w:rPr>
          <w:rFonts w:cs="Calibri"/>
        </w:rPr>
        <w:t>finalise norms and standards for integration of DRR in</w:t>
      </w:r>
      <w:r>
        <w:rPr>
          <w:rFonts w:cs="Calibri"/>
        </w:rPr>
        <w:t>to</w:t>
      </w:r>
      <w:r w:rsidRPr="00842380">
        <w:rPr>
          <w:rFonts w:cs="Calibri"/>
        </w:rPr>
        <w:t xml:space="preserve"> the education sector</w:t>
      </w:r>
      <w:r>
        <w:rPr>
          <w:rFonts w:cs="Calibri"/>
        </w:rPr>
        <w:t xml:space="preserve">.  In both cases we will be looking for models that can be taken up by countries and </w:t>
      </w:r>
      <w:proofErr w:type="spellStart"/>
      <w:r>
        <w:rPr>
          <w:rFonts w:cs="Calibri"/>
        </w:rPr>
        <w:t>AusAID</w:t>
      </w:r>
      <w:proofErr w:type="spellEnd"/>
      <w:r>
        <w:rPr>
          <w:rFonts w:cs="Calibri"/>
        </w:rPr>
        <w:t xml:space="preserve"> country programs;  </w:t>
      </w:r>
    </w:p>
    <w:p w:rsidR="002C567F" w:rsidRDefault="00896342" w:rsidP="001A3B7F">
      <w:pPr>
        <w:pStyle w:val="ListParagraph"/>
        <w:numPr>
          <w:ilvl w:val="0"/>
          <w:numId w:val="15"/>
        </w:numPr>
        <w:rPr>
          <w:rFonts w:cs="Calibri"/>
        </w:rPr>
      </w:pPr>
      <w:proofErr w:type="gramStart"/>
      <w:r w:rsidRPr="00896342">
        <w:rPr>
          <w:rFonts w:cs="Calibri"/>
          <w:lang w:val="en-GB" w:eastAsia="zh-CN"/>
        </w:rPr>
        <w:t>encourage</w:t>
      </w:r>
      <w:proofErr w:type="gramEnd"/>
      <w:r w:rsidRPr="00896342">
        <w:rPr>
          <w:rFonts w:cs="Calibri"/>
          <w:lang w:val="en-GB" w:eastAsia="zh-CN"/>
        </w:rPr>
        <w:t xml:space="preserve"> </w:t>
      </w:r>
      <w:r w:rsidR="00F32753">
        <w:rPr>
          <w:rFonts w:cs="Calibri"/>
          <w:lang w:val="en-GB" w:eastAsia="zh-CN"/>
        </w:rPr>
        <w:t xml:space="preserve">DRR/CCA </w:t>
      </w:r>
      <w:r w:rsidR="004616AE">
        <w:rPr>
          <w:rFonts w:cs="Calibri"/>
          <w:lang w:val="en-GB" w:eastAsia="zh-CN"/>
        </w:rPr>
        <w:t xml:space="preserve">integration </w:t>
      </w:r>
      <w:r w:rsidR="00F32753">
        <w:rPr>
          <w:rFonts w:cs="Calibri"/>
          <w:lang w:val="en-GB" w:eastAsia="zh-CN"/>
        </w:rPr>
        <w:t xml:space="preserve">by making innovative joint programming </w:t>
      </w:r>
      <w:r w:rsidR="004616AE">
        <w:rPr>
          <w:rFonts w:cs="Calibri"/>
          <w:lang w:val="en-GB" w:eastAsia="zh-CN"/>
        </w:rPr>
        <w:t>a</w:t>
      </w:r>
      <w:r w:rsidR="002C567F" w:rsidRPr="0063400F">
        <w:rPr>
          <w:rFonts w:cs="Calibri"/>
          <w:lang w:val="en-GB" w:eastAsia="zh-CN"/>
        </w:rPr>
        <w:t xml:space="preserve"> </w:t>
      </w:r>
      <w:r w:rsidR="004616AE">
        <w:rPr>
          <w:rFonts w:cs="Calibri"/>
          <w:lang w:val="en-GB" w:eastAsia="zh-CN"/>
        </w:rPr>
        <w:t xml:space="preserve">criterion </w:t>
      </w:r>
      <w:r>
        <w:rPr>
          <w:rFonts w:cs="Calibri"/>
          <w:lang w:val="en-GB" w:eastAsia="zh-CN"/>
        </w:rPr>
        <w:t xml:space="preserve">within the competitive </w:t>
      </w:r>
      <w:r w:rsidR="002C567F" w:rsidRPr="0063400F">
        <w:rPr>
          <w:rFonts w:cs="Calibri"/>
          <w:lang w:val="en-GB" w:eastAsia="zh-CN"/>
        </w:rPr>
        <w:t xml:space="preserve">funding </w:t>
      </w:r>
      <w:r>
        <w:rPr>
          <w:rFonts w:cs="Calibri"/>
          <w:lang w:val="en-GB" w:eastAsia="zh-CN"/>
        </w:rPr>
        <w:t xml:space="preserve">round for country programs that the DRR Unit manages. </w:t>
      </w:r>
    </w:p>
    <w:p w:rsidR="002C567F" w:rsidRPr="00481443" w:rsidRDefault="00CF4645" w:rsidP="0063400F">
      <w:pPr>
        <w:pStyle w:val="ListParagraph"/>
        <w:numPr>
          <w:ilvl w:val="0"/>
          <w:numId w:val="15"/>
        </w:numPr>
        <w:rPr>
          <w:rFonts w:cs="Calibri"/>
        </w:rPr>
      </w:pPr>
      <w:proofErr w:type="gramStart"/>
      <w:r>
        <w:rPr>
          <w:rFonts w:cs="Calibri"/>
        </w:rPr>
        <w:t>a</w:t>
      </w:r>
      <w:r w:rsidR="002C567F" w:rsidRPr="00481443">
        <w:rPr>
          <w:rFonts w:cs="Calibri"/>
        </w:rPr>
        <w:t>dvoca</w:t>
      </w:r>
      <w:r w:rsidR="0020237E">
        <w:rPr>
          <w:rFonts w:cs="Calibri"/>
        </w:rPr>
        <w:t>te</w:t>
      </w:r>
      <w:proofErr w:type="gramEnd"/>
      <w:r w:rsidR="0020237E">
        <w:rPr>
          <w:rFonts w:cs="Calibri"/>
        </w:rPr>
        <w:t xml:space="preserve"> more strongly </w:t>
      </w:r>
      <w:r w:rsidR="002C567F" w:rsidRPr="00481443">
        <w:rPr>
          <w:rFonts w:cs="Calibri"/>
        </w:rPr>
        <w:t xml:space="preserve">for the development of results measurement </w:t>
      </w:r>
      <w:r w:rsidR="0020237E">
        <w:rPr>
          <w:rFonts w:cs="Calibri"/>
        </w:rPr>
        <w:t xml:space="preserve">standards in </w:t>
      </w:r>
      <w:r w:rsidR="002C567F">
        <w:rPr>
          <w:rFonts w:cs="Calibri"/>
        </w:rPr>
        <w:t xml:space="preserve">our dialogue with </w:t>
      </w:r>
      <w:r w:rsidR="002C567F" w:rsidRPr="0063400F">
        <w:rPr>
          <w:rFonts w:cs="Calibri"/>
        </w:rPr>
        <w:t>international partners</w:t>
      </w:r>
      <w:r w:rsidR="0020237E">
        <w:rPr>
          <w:rFonts w:cs="Calibri"/>
        </w:rPr>
        <w:t xml:space="preserve">.  Through our membership of UNISDR’s advisory group on a DRR framework </w:t>
      </w:r>
      <w:bookmarkEnd w:id="37"/>
      <w:r w:rsidR="0020237E">
        <w:rPr>
          <w:rFonts w:cs="Calibri"/>
        </w:rPr>
        <w:t xml:space="preserve">post 2015 we will </w:t>
      </w:r>
      <w:r w:rsidR="00C31583">
        <w:rPr>
          <w:rFonts w:cs="Calibri"/>
        </w:rPr>
        <w:t xml:space="preserve">be </w:t>
      </w:r>
      <w:r w:rsidR="0020237E">
        <w:rPr>
          <w:rFonts w:cs="Calibri"/>
        </w:rPr>
        <w:t>engaged in discussion of</w:t>
      </w:r>
      <w:r w:rsidR="00F376E8">
        <w:rPr>
          <w:rFonts w:cs="Calibri"/>
        </w:rPr>
        <w:t xml:space="preserve"> </w:t>
      </w:r>
      <w:r w:rsidR="00C31583">
        <w:rPr>
          <w:rFonts w:cs="Calibri"/>
        </w:rPr>
        <w:t xml:space="preserve">possible </w:t>
      </w:r>
      <w:r w:rsidR="00F376E8">
        <w:rPr>
          <w:rFonts w:cs="Calibri"/>
        </w:rPr>
        <w:t>targets that can be reported on at gl</w:t>
      </w:r>
      <w:r w:rsidR="0020237E">
        <w:rPr>
          <w:rFonts w:cs="Calibri"/>
        </w:rPr>
        <w:t>obal,</w:t>
      </w:r>
      <w:r w:rsidR="00F376E8">
        <w:rPr>
          <w:rFonts w:cs="Calibri"/>
        </w:rPr>
        <w:t xml:space="preserve"> </w:t>
      </w:r>
      <w:r w:rsidR="0020237E">
        <w:rPr>
          <w:rFonts w:cs="Calibri"/>
        </w:rPr>
        <w:t>regional and</w:t>
      </w:r>
      <w:r w:rsidR="00F376E8">
        <w:rPr>
          <w:rFonts w:cs="Calibri"/>
        </w:rPr>
        <w:t xml:space="preserve"> </w:t>
      </w:r>
      <w:r w:rsidR="0020237E">
        <w:rPr>
          <w:rFonts w:cs="Calibri"/>
        </w:rPr>
        <w:t xml:space="preserve">local </w:t>
      </w:r>
      <w:r w:rsidR="00F376E8">
        <w:rPr>
          <w:rFonts w:cs="Calibri"/>
        </w:rPr>
        <w:t xml:space="preserve">levels.  </w:t>
      </w:r>
      <w:r w:rsidR="00C31583">
        <w:rPr>
          <w:rFonts w:cs="Calibri"/>
        </w:rPr>
        <w:t xml:space="preserve">We have also agreed to </w:t>
      </w:r>
      <w:r w:rsidR="009D2091">
        <w:rPr>
          <w:rFonts w:cs="Calibri"/>
        </w:rPr>
        <w:t xml:space="preserve">provide </w:t>
      </w:r>
      <w:r w:rsidR="0024600B">
        <w:rPr>
          <w:rFonts w:cs="Calibri"/>
        </w:rPr>
        <w:t xml:space="preserve">regular </w:t>
      </w:r>
      <w:r w:rsidR="009D2091">
        <w:rPr>
          <w:rFonts w:cs="Calibri"/>
        </w:rPr>
        <w:t>feedback to</w:t>
      </w:r>
      <w:r w:rsidR="00C31583">
        <w:rPr>
          <w:rFonts w:cs="Calibri"/>
        </w:rPr>
        <w:t xml:space="preserve"> GFDRR</w:t>
      </w:r>
      <w:r w:rsidR="009D2091">
        <w:rPr>
          <w:rFonts w:cs="Calibri"/>
        </w:rPr>
        <w:t xml:space="preserve"> as it </w:t>
      </w:r>
      <w:r w:rsidR="00C31583">
        <w:rPr>
          <w:rFonts w:cs="Calibri"/>
        </w:rPr>
        <w:t>refin</w:t>
      </w:r>
      <w:r w:rsidR="009D2091">
        <w:rPr>
          <w:rFonts w:cs="Calibri"/>
        </w:rPr>
        <w:t>es</w:t>
      </w:r>
      <w:r w:rsidR="00C31583">
        <w:rPr>
          <w:rFonts w:cs="Calibri"/>
        </w:rPr>
        <w:t xml:space="preserve"> its results based management system and reporting</w:t>
      </w:r>
      <w:r w:rsidR="00495AA1">
        <w:rPr>
          <w:rFonts w:cs="Calibri"/>
        </w:rPr>
        <w:t xml:space="preserve"> over the next year</w:t>
      </w:r>
      <w:r w:rsidR="00C31583">
        <w:rPr>
          <w:rFonts w:cs="Calibri"/>
        </w:rPr>
        <w:t>.</w:t>
      </w:r>
    </w:p>
    <w:p w:rsidR="00B836B4" w:rsidRDefault="002C567F" w:rsidP="008D4265">
      <w:pPr>
        <w:rPr>
          <w:rFonts w:cs="Calibri"/>
        </w:rPr>
      </w:pPr>
      <w:r>
        <w:rPr>
          <w:rFonts w:cs="Calibri"/>
        </w:rPr>
        <w:t xml:space="preserve">If resources allow, the Unit will also </w:t>
      </w:r>
      <w:r w:rsidR="006F7A28">
        <w:rPr>
          <w:rFonts w:cs="Calibri"/>
        </w:rPr>
        <w:t>en</w:t>
      </w:r>
      <w:r w:rsidR="00003DB5">
        <w:rPr>
          <w:rFonts w:cs="Calibri"/>
        </w:rPr>
        <w:t xml:space="preserve">gage more </w:t>
      </w:r>
      <w:r w:rsidR="0020237E">
        <w:rPr>
          <w:rFonts w:cs="Calibri"/>
        </w:rPr>
        <w:t xml:space="preserve">on </w:t>
      </w:r>
      <w:r>
        <w:rPr>
          <w:rFonts w:cs="Calibri"/>
        </w:rPr>
        <w:t xml:space="preserve">vulnerabilities that the international community </w:t>
      </w:r>
      <w:r w:rsidR="001E0A9F">
        <w:rPr>
          <w:rFonts w:cs="Calibri"/>
        </w:rPr>
        <w:t xml:space="preserve">has been relatively slow to </w:t>
      </w:r>
      <w:r>
        <w:rPr>
          <w:rFonts w:cs="Calibri"/>
        </w:rPr>
        <w:t>recognis</w:t>
      </w:r>
      <w:r w:rsidR="001E0A9F">
        <w:rPr>
          <w:rFonts w:cs="Calibri"/>
        </w:rPr>
        <w:t>e</w:t>
      </w:r>
      <w:r>
        <w:rPr>
          <w:rFonts w:cs="Calibri"/>
        </w:rPr>
        <w:t>.  These include informal settle</w:t>
      </w:r>
      <w:r w:rsidR="00003DB5">
        <w:rPr>
          <w:rFonts w:cs="Calibri"/>
        </w:rPr>
        <w:t>ments</w:t>
      </w:r>
      <w:r>
        <w:rPr>
          <w:rFonts w:cs="Calibri"/>
        </w:rPr>
        <w:t xml:space="preserve"> in large urban environments </w:t>
      </w:r>
      <w:r w:rsidR="006F7A28">
        <w:rPr>
          <w:rFonts w:cs="Calibri"/>
        </w:rPr>
        <w:t>(</w:t>
      </w:r>
      <w:r w:rsidR="00003DB5">
        <w:rPr>
          <w:rFonts w:cs="Calibri"/>
        </w:rPr>
        <w:t xml:space="preserve">which </w:t>
      </w:r>
      <w:r w:rsidR="0020237E">
        <w:rPr>
          <w:rFonts w:cs="Calibri"/>
        </w:rPr>
        <w:t xml:space="preserve">our </w:t>
      </w:r>
      <w:r w:rsidR="006F7A28">
        <w:rPr>
          <w:rFonts w:cs="Calibri"/>
        </w:rPr>
        <w:t>Philippines program</w:t>
      </w:r>
      <w:r w:rsidR="0020237E">
        <w:rPr>
          <w:rFonts w:cs="Calibri"/>
        </w:rPr>
        <w:t xml:space="preserve"> is </w:t>
      </w:r>
      <w:r w:rsidR="00003DB5">
        <w:rPr>
          <w:rFonts w:cs="Calibri"/>
        </w:rPr>
        <w:t>addressing</w:t>
      </w:r>
      <w:r w:rsidR="006F7A28">
        <w:rPr>
          <w:rFonts w:cs="Calibri"/>
        </w:rPr>
        <w:t xml:space="preserve">) </w:t>
      </w:r>
      <w:r>
        <w:rPr>
          <w:rFonts w:cs="Calibri"/>
        </w:rPr>
        <w:t>and cyclical d</w:t>
      </w:r>
      <w:r w:rsidRPr="003D0D47">
        <w:rPr>
          <w:rFonts w:cs="Calibri"/>
        </w:rPr>
        <w:t xml:space="preserve">rought in environments </w:t>
      </w:r>
      <w:r>
        <w:rPr>
          <w:rFonts w:cs="Calibri"/>
        </w:rPr>
        <w:t xml:space="preserve">like the </w:t>
      </w:r>
      <w:r w:rsidRPr="003D0D47">
        <w:rPr>
          <w:rFonts w:cs="Calibri"/>
        </w:rPr>
        <w:t>Sahel</w:t>
      </w:r>
      <w:r>
        <w:rPr>
          <w:rFonts w:cs="Calibri"/>
        </w:rPr>
        <w:t xml:space="preserve"> and the</w:t>
      </w:r>
      <w:r w:rsidRPr="003D0D47">
        <w:rPr>
          <w:rFonts w:cs="Calibri"/>
        </w:rPr>
        <w:t xml:space="preserve"> Horn of Africa</w:t>
      </w:r>
      <w:r w:rsidR="006F7A28">
        <w:rPr>
          <w:rFonts w:cs="Calibri"/>
        </w:rPr>
        <w:t xml:space="preserve"> (as is happening in the Africa program).</w:t>
      </w:r>
      <w:r w:rsidR="006F22AA">
        <w:rPr>
          <w:rFonts w:cs="Calibri"/>
        </w:rPr>
        <w:t xml:space="preserve"> </w:t>
      </w:r>
    </w:p>
    <w:sectPr w:rsidR="00B836B4" w:rsidSect="000C4A5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54" w:rsidRDefault="00825E54" w:rsidP="00D20E82">
      <w:pPr>
        <w:spacing w:after="0" w:line="240" w:lineRule="auto"/>
      </w:pPr>
      <w:r>
        <w:separator/>
      </w:r>
    </w:p>
  </w:endnote>
  <w:endnote w:type="continuationSeparator" w:id="0">
    <w:p w:rsidR="00825E54" w:rsidRDefault="00825E54" w:rsidP="00D2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AA" w:rsidRDefault="006F2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86" w:rsidRDefault="00D70001">
    <w:pPr>
      <w:pStyle w:val="Footer"/>
      <w:jc w:val="right"/>
    </w:pPr>
    <w:r>
      <w:fldChar w:fldCharType="begin"/>
    </w:r>
    <w:r w:rsidR="00466686">
      <w:instrText xml:space="preserve"> PAGE   \* MERGEFORMAT </w:instrText>
    </w:r>
    <w:r>
      <w:fldChar w:fldCharType="separate"/>
    </w:r>
    <w:r w:rsidR="00707643">
      <w:rPr>
        <w:noProof/>
      </w:rPr>
      <w:t>8</w:t>
    </w:r>
    <w:r>
      <w:rPr>
        <w:noProof/>
      </w:rPr>
      <w:fldChar w:fldCharType="end"/>
    </w:r>
  </w:p>
  <w:p w:rsidR="00466686" w:rsidRDefault="00466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AA" w:rsidRDefault="006F2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54" w:rsidRDefault="00825E54" w:rsidP="00D20E82">
      <w:pPr>
        <w:spacing w:after="0" w:line="240" w:lineRule="auto"/>
      </w:pPr>
      <w:r>
        <w:separator/>
      </w:r>
    </w:p>
  </w:footnote>
  <w:footnote w:type="continuationSeparator" w:id="0">
    <w:p w:rsidR="00825E54" w:rsidRDefault="00825E54" w:rsidP="00D20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AA" w:rsidRDefault="006F2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86" w:rsidRDefault="004666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AA" w:rsidRDefault="006F2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CA9DE0"/>
    <w:lvl w:ilvl="0">
      <w:start w:val="1"/>
      <w:numFmt w:val="bullet"/>
      <w:pStyle w:val="bulletsch"/>
      <w:lvlText w:val=""/>
      <w:lvlJc w:val="left"/>
      <w:pPr>
        <w:tabs>
          <w:tab w:val="num" w:pos="643"/>
        </w:tabs>
        <w:ind w:left="643" w:hanging="360"/>
      </w:pPr>
      <w:rPr>
        <w:rFonts w:ascii="Symbol" w:hAnsi="Symbol" w:hint="default"/>
      </w:rPr>
    </w:lvl>
  </w:abstractNum>
  <w:abstractNum w:abstractNumId="1">
    <w:nsid w:val="055D5DF2"/>
    <w:multiLevelType w:val="hybridMultilevel"/>
    <w:tmpl w:val="B9BCE9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D7614BC"/>
    <w:multiLevelType w:val="hybridMultilevel"/>
    <w:tmpl w:val="2D56B2B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31A4740"/>
    <w:multiLevelType w:val="hybridMultilevel"/>
    <w:tmpl w:val="97841E7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C7304E4"/>
    <w:multiLevelType w:val="hybridMultilevel"/>
    <w:tmpl w:val="BA80633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CFB524E"/>
    <w:multiLevelType w:val="hybridMultilevel"/>
    <w:tmpl w:val="857A374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33CF5A81"/>
    <w:multiLevelType w:val="multilevel"/>
    <w:tmpl w:val="468CBE7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3B9D3C7E"/>
    <w:multiLevelType w:val="multilevel"/>
    <w:tmpl w:val="0EE82F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BD64A20"/>
    <w:multiLevelType w:val="hybridMultilevel"/>
    <w:tmpl w:val="2BF82F6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2882A93"/>
    <w:multiLevelType w:val="hybridMultilevel"/>
    <w:tmpl w:val="17F8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2B24C5F"/>
    <w:multiLevelType w:val="hybridMultilevel"/>
    <w:tmpl w:val="59CE9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6ACF4EDC"/>
    <w:multiLevelType w:val="hybridMultilevel"/>
    <w:tmpl w:val="C9E04AA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71AF288D"/>
    <w:multiLevelType w:val="hybridMultilevel"/>
    <w:tmpl w:val="C73CF74A"/>
    <w:lvl w:ilvl="0" w:tplc="0C090011">
      <w:start w:val="1"/>
      <w:numFmt w:val="bullet"/>
      <w:lvlText w:val=""/>
      <w:lvlJc w:val="left"/>
      <w:pPr>
        <w:ind w:left="720" w:hanging="360"/>
      </w:pPr>
      <w:rPr>
        <w:rFonts w:ascii="Symbol" w:hAnsi="Symbol" w:hint="default"/>
        <w:color w:val="548DD4"/>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3">
    <w:nsid w:val="7F093E22"/>
    <w:multiLevelType w:val="hybridMultilevel"/>
    <w:tmpl w:val="9C4A412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8"/>
  </w:num>
  <w:num w:numId="6">
    <w:abstractNumId w:val="2"/>
  </w:num>
  <w:num w:numId="7">
    <w:abstractNumId w:val="11"/>
  </w:num>
  <w:num w:numId="8">
    <w:abstractNumId w:val="0"/>
  </w:num>
  <w:num w:numId="9">
    <w:abstractNumId w:val="12"/>
  </w:num>
  <w:num w:numId="10">
    <w:abstractNumId w:val="13"/>
  </w:num>
  <w:num w:numId="11">
    <w:abstractNumId w:val="4"/>
  </w:num>
  <w:num w:numId="12">
    <w:abstractNumId w:val="0"/>
  </w:num>
  <w:num w:numId="13">
    <w:abstractNumId w:val="1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97"/>
    <w:rsid w:val="0000212E"/>
    <w:rsid w:val="00003DB5"/>
    <w:rsid w:val="0001347F"/>
    <w:rsid w:val="00015790"/>
    <w:rsid w:val="00016A95"/>
    <w:rsid w:val="000218E1"/>
    <w:rsid w:val="00022281"/>
    <w:rsid w:val="000315C8"/>
    <w:rsid w:val="000344C0"/>
    <w:rsid w:val="00036B97"/>
    <w:rsid w:val="00040D93"/>
    <w:rsid w:val="000413C6"/>
    <w:rsid w:val="00041587"/>
    <w:rsid w:val="00044AA0"/>
    <w:rsid w:val="000468C0"/>
    <w:rsid w:val="00052381"/>
    <w:rsid w:val="00054DFC"/>
    <w:rsid w:val="00055B9E"/>
    <w:rsid w:val="00061884"/>
    <w:rsid w:val="000629ED"/>
    <w:rsid w:val="00072913"/>
    <w:rsid w:val="00072E7A"/>
    <w:rsid w:val="000739EE"/>
    <w:rsid w:val="00074438"/>
    <w:rsid w:val="00086AF2"/>
    <w:rsid w:val="00090D56"/>
    <w:rsid w:val="00090E09"/>
    <w:rsid w:val="00097CC1"/>
    <w:rsid w:val="000A6420"/>
    <w:rsid w:val="000A7003"/>
    <w:rsid w:val="000B1DAF"/>
    <w:rsid w:val="000B2482"/>
    <w:rsid w:val="000B260C"/>
    <w:rsid w:val="000B51F1"/>
    <w:rsid w:val="000B51FC"/>
    <w:rsid w:val="000B6D16"/>
    <w:rsid w:val="000C1685"/>
    <w:rsid w:val="000C4A57"/>
    <w:rsid w:val="000D0DC7"/>
    <w:rsid w:val="000D11A5"/>
    <w:rsid w:val="000D37B7"/>
    <w:rsid w:val="000E0FDE"/>
    <w:rsid w:val="000E2EBB"/>
    <w:rsid w:val="000E60A0"/>
    <w:rsid w:val="000F2A83"/>
    <w:rsid w:val="000F6121"/>
    <w:rsid w:val="000F62A1"/>
    <w:rsid w:val="000F6BF3"/>
    <w:rsid w:val="000F77D3"/>
    <w:rsid w:val="000F7CC5"/>
    <w:rsid w:val="00114D29"/>
    <w:rsid w:val="00115F3B"/>
    <w:rsid w:val="00124246"/>
    <w:rsid w:val="00134967"/>
    <w:rsid w:val="00141B5E"/>
    <w:rsid w:val="001425AE"/>
    <w:rsid w:val="0014494C"/>
    <w:rsid w:val="00145A6B"/>
    <w:rsid w:val="00150965"/>
    <w:rsid w:val="00151D45"/>
    <w:rsid w:val="00154E6B"/>
    <w:rsid w:val="00163F36"/>
    <w:rsid w:val="00165413"/>
    <w:rsid w:val="00170264"/>
    <w:rsid w:val="001873DE"/>
    <w:rsid w:val="00187687"/>
    <w:rsid w:val="00192358"/>
    <w:rsid w:val="001925BC"/>
    <w:rsid w:val="001A145F"/>
    <w:rsid w:val="001A1C35"/>
    <w:rsid w:val="001A33A1"/>
    <w:rsid w:val="001A3B7F"/>
    <w:rsid w:val="001B17CB"/>
    <w:rsid w:val="001B2319"/>
    <w:rsid w:val="001B5412"/>
    <w:rsid w:val="001C3878"/>
    <w:rsid w:val="001D3F15"/>
    <w:rsid w:val="001E078E"/>
    <w:rsid w:val="001E0A9F"/>
    <w:rsid w:val="001E57BC"/>
    <w:rsid w:val="001E659B"/>
    <w:rsid w:val="001F4461"/>
    <w:rsid w:val="00201D18"/>
    <w:rsid w:val="0020237E"/>
    <w:rsid w:val="0020272A"/>
    <w:rsid w:val="00202EA8"/>
    <w:rsid w:val="002038EF"/>
    <w:rsid w:val="00204ABF"/>
    <w:rsid w:val="002104F6"/>
    <w:rsid w:val="0021728B"/>
    <w:rsid w:val="002174DA"/>
    <w:rsid w:val="00222A3B"/>
    <w:rsid w:val="00226F04"/>
    <w:rsid w:val="00230BEC"/>
    <w:rsid w:val="00230D75"/>
    <w:rsid w:val="002404E8"/>
    <w:rsid w:val="00240A0C"/>
    <w:rsid w:val="0024600B"/>
    <w:rsid w:val="00246328"/>
    <w:rsid w:val="00252014"/>
    <w:rsid w:val="00253B9C"/>
    <w:rsid w:val="002665BD"/>
    <w:rsid w:val="00277665"/>
    <w:rsid w:val="00281E0E"/>
    <w:rsid w:val="00290E56"/>
    <w:rsid w:val="002942D1"/>
    <w:rsid w:val="002A0FD1"/>
    <w:rsid w:val="002A7044"/>
    <w:rsid w:val="002B5D47"/>
    <w:rsid w:val="002C567F"/>
    <w:rsid w:val="002D2BF8"/>
    <w:rsid w:val="002D5263"/>
    <w:rsid w:val="002D5E5C"/>
    <w:rsid w:val="002D756E"/>
    <w:rsid w:val="002E3ACA"/>
    <w:rsid w:val="002E7B8F"/>
    <w:rsid w:val="002F37BE"/>
    <w:rsid w:val="003061C7"/>
    <w:rsid w:val="00310431"/>
    <w:rsid w:val="00315534"/>
    <w:rsid w:val="00322C9C"/>
    <w:rsid w:val="003240A9"/>
    <w:rsid w:val="003303DB"/>
    <w:rsid w:val="00333CC2"/>
    <w:rsid w:val="00337555"/>
    <w:rsid w:val="00345386"/>
    <w:rsid w:val="0034640C"/>
    <w:rsid w:val="0034680A"/>
    <w:rsid w:val="00346DDF"/>
    <w:rsid w:val="003507C4"/>
    <w:rsid w:val="00355AFE"/>
    <w:rsid w:val="0036670E"/>
    <w:rsid w:val="00367342"/>
    <w:rsid w:val="00373DEC"/>
    <w:rsid w:val="00374A08"/>
    <w:rsid w:val="00377E9C"/>
    <w:rsid w:val="00384AC8"/>
    <w:rsid w:val="00392174"/>
    <w:rsid w:val="00393F9A"/>
    <w:rsid w:val="00394400"/>
    <w:rsid w:val="003A1A26"/>
    <w:rsid w:val="003A3E38"/>
    <w:rsid w:val="003A5002"/>
    <w:rsid w:val="003A5972"/>
    <w:rsid w:val="003C36E5"/>
    <w:rsid w:val="003C6028"/>
    <w:rsid w:val="003C6BB2"/>
    <w:rsid w:val="003D07AF"/>
    <w:rsid w:val="003D0D47"/>
    <w:rsid w:val="003D6D7C"/>
    <w:rsid w:val="003E6C36"/>
    <w:rsid w:val="003E71C6"/>
    <w:rsid w:val="003F5F74"/>
    <w:rsid w:val="0040278C"/>
    <w:rsid w:val="00410E44"/>
    <w:rsid w:val="004148F7"/>
    <w:rsid w:val="004211F3"/>
    <w:rsid w:val="004433FD"/>
    <w:rsid w:val="004471D5"/>
    <w:rsid w:val="00451D7C"/>
    <w:rsid w:val="0045656F"/>
    <w:rsid w:val="004616AE"/>
    <w:rsid w:val="00461891"/>
    <w:rsid w:val="004654B9"/>
    <w:rsid w:val="00465559"/>
    <w:rsid w:val="00466193"/>
    <w:rsid w:val="00466686"/>
    <w:rsid w:val="0047188A"/>
    <w:rsid w:val="0048017F"/>
    <w:rsid w:val="00480C9D"/>
    <w:rsid w:val="00481443"/>
    <w:rsid w:val="00486CBA"/>
    <w:rsid w:val="004942E6"/>
    <w:rsid w:val="00495AA1"/>
    <w:rsid w:val="00497F5E"/>
    <w:rsid w:val="004A732C"/>
    <w:rsid w:val="004C6ED7"/>
    <w:rsid w:val="004C7E44"/>
    <w:rsid w:val="004C7E74"/>
    <w:rsid w:val="004D407A"/>
    <w:rsid w:val="004D4659"/>
    <w:rsid w:val="004F0365"/>
    <w:rsid w:val="004F0762"/>
    <w:rsid w:val="004F2147"/>
    <w:rsid w:val="00511465"/>
    <w:rsid w:val="00514C69"/>
    <w:rsid w:val="00517517"/>
    <w:rsid w:val="00521A74"/>
    <w:rsid w:val="00523EDF"/>
    <w:rsid w:val="00525D4B"/>
    <w:rsid w:val="00531326"/>
    <w:rsid w:val="00532B53"/>
    <w:rsid w:val="00535D7A"/>
    <w:rsid w:val="00541EE5"/>
    <w:rsid w:val="0054462D"/>
    <w:rsid w:val="00546641"/>
    <w:rsid w:val="00546BAC"/>
    <w:rsid w:val="005476DE"/>
    <w:rsid w:val="00550358"/>
    <w:rsid w:val="005508A9"/>
    <w:rsid w:val="0055561A"/>
    <w:rsid w:val="0055657B"/>
    <w:rsid w:val="00557F5B"/>
    <w:rsid w:val="00566944"/>
    <w:rsid w:val="00573C7F"/>
    <w:rsid w:val="00576DEC"/>
    <w:rsid w:val="00581CAC"/>
    <w:rsid w:val="0058299F"/>
    <w:rsid w:val="005A16A3"/>
    <w:rsid w:val="005A1AC3"/>
    <w:rsid w:val="005A414F"/>
    <w:rsid w:val="005A72D2"/>
    <w:rsid w:val="005A7E68"/>
    <w:rsid w:val="005B188F"/>
    <w:rsid w:val="005B2133"/>
    <w:rsid w:val="005B302A"/>
    <w:rsid w:val="005C12FA"/>
    <w:rsid w:val="005C4D78"/>
    <w:rsid w:val="005D1EE5"/>
    <w:rsid w:val="005D2213"/>
    <w:rsid w:val="005E46DE"/>
    <w:rsid w:val="005F1729"/>
    <w:rsid w:val="005F2B66"/>
    <w:rsid w:val="005F32AD"/>
    <w:rsid w:val="005F3ECE"/>
    <w:rsid w:val="005F5522"/>
    <w:rsid w:val="005F7824"/>
    <w:rsid w:val="00601B68"/>
    <w:rsid w:val="00601F1B"/>
    <w:rsid w:val="00605F18"/>
    <w:rsid w:val="006104F3"/>
    <w:rsid w:val="00611E44"/>
    <w:rsid w:val="00615DC8"/>
    <w:rsid w:val="0061697C"/>
    <w:rsid w:val="00620A04"/>
    <w:rsid w:val="00624E94"/>
    <w:rsid w:val="00625703"/>
    <w:rsid w:val="00625CCC"/>
    <w:rsid w:val="00631C8D"/>
    <w:rsid w:val="00632C24"/>
    <w:rsid w:val="0063400F"/>
    <w:rsid w:val="006366F5"/>
    <w:rsid w:val="006430FD"/>
    <w:rsid w:val="00643BBF"/>
    <w:rsid w:val="00645A4C"/>
    <w:rsid w:val="00654878"/>
    <w:rsid w:val="00654DBE"/>
    <w:rsid w:val="0065590F"/>
    <w:rsid w:val="006755E2"/>
    <w:rsid w:val="006808E8"/>
    <w:rsid w:val="006915C7"/>
    <w:rsid w:val="0069307E"/>
    <w:rsid w:val="00694304"/>
    <w:rsid w:val="0069472E"/>
    <w:rsid w:val="00697671"/>
    <w:rsid w:val="006A4C00"/>
    <w:rsid w:val="006A79E3"/>
    <w:rsid w:val="006A7EF5"/>
    <w:rsid w:val="006B29C5"/>
    <w:rsid w:val="006C0A3F"/>
    <w:rsid w:val="006C2436"/>
    <w:rsid w:val="006C2B52"/>
    <w:rsid w:val="006C460E"/>
    <w:rsid w:val="006C7C63"/>
    <w:rsid w:val="006D2C14"/>
    <w:rsid w:val="006D5D81"/>
    <w:rsid w:val="006E2D94"/>
    <w:rsid w:val="006E79AE"/>
    <w:rsid w:val="006F0BBB"/>
    <w:rsid w:val="006F0CD4"/>
    <w:rsid w:val="006F22AA"/>
    <w:rsid w:val="006F4A2B"/>
    <w:rsid w:val="006F7A28"/>
    <w:rsid w:val="00700570"/>
    <w:rsid w:val="00703D16"/>
    <w:rsid w:val="00707104"/>
    <w:rsid w:val="00707643"/>
    <w:rsid w:val="007110BA"/>
    <w:rsid w:val="00712EE7"/>
    <w:rsid w:val="007134EE"/>
    <w:rsid w:val="00714346"/>
    <w:rsid w:val="00715F8E"/>
    <w:rsid w:val="00717832"/>
    <w:rsid w:val="007305F2"/>
    <w:rsid w:val="00733F42"/>
    <w:rsid w:val="00751F93"/>
    <w:rsid w:val="00760738"/>
    <w:rsid w:val="00764F07"/>
    <w:rsid w:val="00765031"/>
    <w:rsid w:val="00766557"/>
    <w:rsid w:val="00773B7A"/>
    <w:rsid w:val="007750DC"/>
    <w:rsid w:val="00777874"/>
    <w:rsid w:val="00777FEB"/>
    <w:rsid w:val="0078050F"/>
    <w:rsid w:val="00781D2C"/>
    <w:rsid w:val="00785EDB"/>
    <w:rsid w:val="0078728E"/>
    <w:rsid w:val="00790E74"/>
    <w:rsid w:val="00797B44"/>
    <w:rsid w:val="007A2B68"/>
    <w:rsid w:val="007B1341"/>
    <w:rsid w:val="007B43E9"/>
    <w:rsid w:val="007B5B00"/>
    <w:rsid w:val="007B6FDA"/>
    <w:rsid w:val="007C04F8"/>
    <w:rsid w:val="007D4019"/>
    <w:rsid w:val="007D4055"/>
    <w:rsid w:val="007D7571"/>
    <w:rsid w:val="007E4765"/>
    <w:rsid w:val="007F4F94"/>
    <w:rsid w:val="00806FD0"/>
    <w:rsid w:val="008201A8"/>
    <w:rsid w:val="00825E54"/>
    <w:rsid w:val="008366C4"/>
    <w:rsid w:val="00840AB1"/>
    <w:rsid w:val="00840F33"/>
    <w:rsid w:val="00842380"/>
    <w:rsid w:val="00863A7E"/>
    <w:rsid w:val="00870F53"/>
    <w:rsid w:val="00871744"/>
    <w:rsid w:val="00871B3E"/>
    <w:rsid w:val="00887194"/>
    <w:rsid w:val="00896342"/>
    <w:rsid w:val="008A08DA"/>
    <w:rsid w:val="008B4695"/>
    <w:rsid w:val="008B6C4F"/>
    <w:rsid w:val="008C49B4"/>
    <w:rsid w:val="008C5514"/>
    <w:rsid w:val="008C7B01"/>
    <w:rsid w:val="008D4265"/>
    <w:rsid w:val="008E2A37"/>
    <w:rsid w:val="008E4F37"/>
    <w:rsid w:val="008F1D49"/>
    <w:rsid w:val="008F2431"/>
    <w:rsid w:val="008F2D6B"/>
    <w:rsid w:val="008F30C3"/>
    <w:rsid w:val="008F3896"/>
    <w:rsid w:val="008F42C3"/>
    <w:rsid w:val="008F7BDB"/>
    <w:rsid w:val="00902DA5"/>
    <w:rsid w:val="00903A1A"/>
    <w:rsid w:val="009101DA"/>
    <w:rsid w:val="009116C3"/>
    <w:rsid w:val="00911F12"/>
    <w:rsid w:val="00912063"/>
    <w:rsid w:val="00914240"/>
    <w:rsid w:val="00923C4E"/>
    <w:rsid w:val="00931508"/>
    <w:rsid w:val="00931BBF"/>
    <w:rsid w:val="00932722"/>
    <w:rsid w:val="00942C9B"/>
    <w:rsid w:val="00944EA2"/>
    <w:rsid w:val="009451A8"/>
    <w:rsid w:val="009460FC"/>
    <w:rsid w:val="00946805"/>
    <w:rsid w:val="00951D36"/>
    <w:rsid w:val="00957C57"/>
    <w:rsid w:val="00962AA6"/>
    <w:rsid w:val="0096374E"/>
    <w:rsid w:val="00964C60"/>
    <w:rsid w:val="00966E07"/>
    <w:rsid w:val="00973754"/>
    <w:rsid w:val="00976CB3"/>
    <w:rsid w:val="00990EDE"/>
    <w:rsid w:val="009943F4"/>
    <w:rsid w:val="00994BE7"/>
    <w:rsid w:val="009957FF"/>
    <w:rsid w:val="009A0065"/>
    <w:rsid w:val="009B79A9"/>
    <w:rsid w:val="009C3EC7"/>
    <w:rsid w:val="009C49D7"/>
    <w:rsid w:val="009D2091"/>
    <w:rsid w:val="009D4758"/>
    <w:rsid w:val="009E0021"/>
    <w:rsid w:val="009E292B"/>
    <w:rsid w:val="009E47E3"/>
    <w:rsid w:val="009E5AD5"/>
    <w:rsid w:val="009F1510"/>
    <w:rsid w:val="009F7229"/>
    <w:rsid w:val="00A0255F"/>
    <w:rsid w:val="00A033B9"/>
    <w:rsid w:val="00A0435E"/>
    <w:rsid w:val="00A0440A"/>
    <w:rsid w:val="00A04D24"/>
    <w:rsid w:val="00A073D8"/>
    <w:rsid w:val="00A16C65"/>
    <w:rsid w:val="00A20F63"/>
    <w:rsid w:val="00A25728"/>
    <w:rsid w:val="00A42649"/>
    <w:rsid w:val="00A50367"/>
    <w:rsid w:val="00A52107"/>
    <w:rsid w:val="00A54DFA"/>
    <w:rsid w:val="00A57186"/>
    <w:rsid w:val="00A604DA"/>
    <w:rsid w:val="00A6344F"/>
    <w:rsid w:val="00A65706"/>
    <w:rsid w:val="00A657D0"/>
    <w:rsid w:val="00A66AFF"/>
    <w:rsid w:val="00A72CA2"/>
    <w:rsid w:val="00A76492"/>
    <w:rsid w:val="00A82DC9"/>
    <w:rsid w:val="00A92343"/>
    <w:rsid w:val="00A92FEB"/>
    <w:rsid w:val="00A961F4"/>
    <w:rsid w:val="00AA4CD4"/>
    <w:rsid w:val="00AA6E0E"/>
    <w:rsid w:val="00AB75DE"/>
    <w:rsid w:val="00AC4AF3"/>
    <w:rsid w:val="00AC5E26"/>
    <w:rsid w:val="00AE0CEE"/>
    <w:rsid w:val="00AE329D"/>
    <w:rsid w:val="00AE527A"/>
    <w:rsid w:val="00AF05DB"/>
    <w:rsid w:val="00AF2BA2"/>
    <w:rsid w:val="00AF6193"/>
    <w:rsid w:val="00B03D1C"/>
    <w:rsid w:val="00B07126"/>
    <w:rsid w:val="00B0774D"/>
    <w:rsid w:val="00B1006A"/>
    <w:rsid w:val="00B112A3"/>
    <w:rsid w:val="00B16CA3"/>
    <w:rsid w:val="00B252A8"/>
    <w:rsid w:val="00B30110"/>
    <w:rsid w:val="00B30CFD"/>
    <w:rsid w:val="00B44D61"/>
    <w:rsid w:val="00B50742"/>
    <w:rsid w:val="00B5129E"/>
    <w:rsid w:val="00B522A5"/>
    <w:rsid w:val="00B527BC"/>
    <w:rsid w:val="00B5291C"/>
    <w:rsid w:val="00B555CA"/>
    <w:rsid w:val="00B563BF"/>
    <w:rsid w:val="00B57443"/>
    <w:rsid w:val="00B5790E"/>
    <w:rsid w:val="00B62B09"/>
    <w:rsid w:val="00B64B80"/>
    <w:rsid w:val="00B65DB7"/>
    <w:rsid w:val="00B67E73"/>
    <w:rsid w:val="00B71F5A"/>
    <w:rsid w:val="00B73F90"/>
    <w:rsid w:val="00B7556F"/>
    <w:rsid w:val="00B82DD5"/>
    <w:rsid w:val="00B836B4"/>
    <w:rsid w:val="00B85AEC"/>
    <w:rsid w:val="00B92D77"/>
    <w:rsid w:val="00B94BF8"/>
    <w:rsid w:val="00B9529B"/>
    <w:rsid w:val="00BA4690"/>
    <w:rsid w:val="00BA4702"/>
    <w:rsid w:val="00BA6D9E"/>
    <w:rsid w:val="00BB6873"/>
    <w:rsid w:val="00BB7E83"/>
    <w:rsid w:val="00BC4972"/>
    <w:rsid w:val="00BC6F8C"/>
    <w:rsid w:val="00BE1E6D"/>
    <w:rsid w:val="00BE2DFE"/>
    <w:rsid w:val="00BF114B"/>
    <w:rsid w:val="00BF36D6"/>
    <w:rsid w:val="00BF56F4"/>
    <w:rsid w:val="00C03627"/>
    <w:rsid w:val="00C05CB1"/>
    <w:rsid w:val="00C0649B"/>
    <w:rsid w:val="00C13226"/>
    <w:rsid w:val="00C14BFF"/>
    <w:rsid w:val="00C1532B"/>
    <w:rsid w:val="00C17C4C"/>
    <w:rsid w:val="00C20DD0"/>
    <w:rsid w:val="00C21EE8"/>
    <w:rsid w:val="00C2363D"/>
    <w:rsid w:val="00C266E6"/>
    <w:rsid w:val="00C268C2"/>
    <w:rsid w:val="00C30991"/>
    <w:rsid w:val="00C31583"/>
    <w:rsid w:val="00C339EB"/>
    <w:rsid w:val="00C513EA"/>
    <w:rsid w:val="00C52939"/>
    <w:rsid w:val="00C55DD1"/>
    <w:rsid w:val="00C668B7"/>
    <w:rsid w:val="00C735B0"/>
    <w:rsid w:val="00C81230"/>
    <w:rsid w:val="00C82E9A"/>
    <w:rsid w:val="00C843FE"/>
    <w:rsid w:val="00C87037"/>
    <w:rsid w:val="00C93F5A"/>
    <w:rsid w:val="00C93FE3"/>
    <w:rsid w:val="00C952C9"/>
    <w:rsid w:val="00C96CC8"/>
    <w:rsid w:val="00C97870"/>
    <w:rsid w:val="00CA0FDD"/>
    <w:rsid w:val="00CA1F03"/>
    <w:rsid w:val="00CA3D8C"/>
    <w:rsid w:val="00CA71D3"/>
    <w:rsid w:val="00CC486C"/>
    <w:rsid w:val="00CD121C"/>
    <w:rsid w:val="00CD59EC"/>
    <w:rsid w:val="00CD6741"/>
    <w:rsid w:val="00CE1075"/>
    <w:rsid w:val="00CF02EB"/>
    <w:rsid w:val="00CF4645"/>
    <w:rsid w:val="00CF7DDC"/>
    <w:rsid w:val="00D031DF"/>
    <w:rsid w:val="00D06466"/>
    <w:rsid w:val="00D06C97"/>
    <w:rsid w:val="00D07B28"/>
    <w:rsid w:val="00D13533"/>
    <w:rsid w:val="00D137AD"/>
    <w:rsid w:val="00D20E82"/>
    <w:rsid w:val="00D2129B"/>
    <w:rsid w:val="00D25920"/>
    <w:rsid w:val="00D27D6E"/>
    <w:rsid w:val="00D27D9F"/>
    <w:rsid w:val="00D32D8F"/>
    <w:rsid w:val="00D334BD"/>
    <w:rsid w:val="00D378F8"/>
    <w:rsid w:val="00D44515"/>
    <w:rsid w:val="00D50680"/>
    <w:rsid w:val="00D52089"/>
    <w:rsid w:val="00D52395"/>
    <w:rsid w:val="00D61BFA"/>
    <w:rsid w:val="00D67F73"/>
    <w:rsid w:val="00D70001"/>
    <w:rsid w:val="00D73EC2"/>
    <w:rsid w:val="00D75A3E"/>
    <w:rsid w:val="00D9074B"/>
    <w:rsid w:val="00D90812"/>
    <w:rsid w:val="00DA03CB"/>
    <w:rsid w:val="00DA1EDF"/>
    <w:rsid w:val="00DA3D25"/>
    <w:rsid w:val="00DA61A3"/>
    <w:rsid w:val="00DB2A29"/>
    <w:rsid w:val="00DB4230"/>
    <w:rsid w:val="00DB6CCE"/>
    <w:rsid w:val="00DC18BF"/>
    <w:rsid w:val="00DD3CB4"/>
    <w:rsid w:val="00DD7609"/>
    <w:rsid w:val="00DE1AB3"/>
    <w:rsid w:val="00DE1D4B"/>
    <w:rsid w:val="00DE251C"/>
    <w:rsid w:val="00DF2050"/>
    <w:rsid w:val="00DF5BCF"/>
    <w:rsid w:val="00E00CDC"/>
    <w:rsid w:val="00E12139"/>
    <w:rsid w:val="00E12F6A"/>
    <w:rsid w:val="00E17D06"/>
    <w:rsid w:val="00E20E85"/>
    <w:rsid w:val="00E251CE"/>
    <w:rsid w:val="00E3252E"/>
    <w:rsid w:val="00E34A40"/>
    <w:rsid w:val="00E36887"/>
    <w:rsid w:val="00E4399A"/>
    <w:rsid w:val="00E45922"/>
    <w:rsid w:val="00E53586"/>
    <w:rsid w:val="00E53D78"/>
    <w:rsid w:val="00E567CE"/>
    <w:rsid w:val="00E60FD1"/>
    <w:rsid w:val="00E6251A"/>
    <w:rsid w:val="00E627C2"/>
    <w:rsid w:val="00E650C6"/>
    <w:rsid w:val="00E756BC"/>
    <w:rsid w:val="00E762BB"/>
    <w:rsid w:val="00E813AE"/>
    <w:rsid w:val="00E843BC"/>
    <w:rsid w:val="00E877D5"/>
    <w:rsid w:val="00EA0F72"/>
    <w:rsid w:val="00EA1087"/>
    <w:rsid w:val="00EA48C2"/>
    <w:rsid w:val="00EB66E4"/>
    <w:rsid w:val="00EC0685"/>
    <w:rsid w:val="00EC1370"/>
    <w:rsid w:val="00EC174E"/>
    <w:rsid w:val="00EC5578"/>
    <w:rsid w:val="00EC671C"/>
    <w:rsid w:val="00EF50FB"/>
    <w:rsid w:val="00EF5920"/>
    <w:rsid w:val="00F02DD5"/>
    <w:rsid w:val="00F11EA7"/>
    <w:rsid w:val="00F17D35"/>
    <w:rsid w:val="00F26734"/>
    <w:rsid w:val="00F31075"/>
    <w:rsid w:val="00F32753"/>
    <w:rsid w:val="00F376E8"/>
    <w:rsid w:val="00F41AB8"/>
    <w:rsid w:val="00F43F13"/>
    <w:rsid w:val="00F4473F"/>
    <w:rsid w:val="00F47963"/>
    <w:rsid w:val="00F51ABF"/>
    <w:rsid w:val="00F52B39"/>
    <w:rsid w:val="00F5366E"/>
    <w:rsid w:val="00F540CB"/>
    <w:rsid w:val="00F553D4"/>
    <w:rsid w:val="00F55400"/>
    <w:rsid w:val="00F558ED"/>
    <w:rsid w:val="00F55EA1"/>
    <w:rsid w:val="00F61D26"/>
    <w:rsid w:val="00F62159"/>
    <w:rsid w:val="00F655B0"/>
    <w:rsid w:val="00F672CB"/>
    <w:rsid w:val="00F739AC"/>
    <w:rsid w:val="00F76A91"/>
    <w:rsid w:val="00F81ACC"/>
    <w:rsid w:val="00F82622"/>
    <w:rsid w:val="00F85209"/>
    <w:rsid w:val="00F85C25"/>
    <w:rsid w:val="00F86443"/>
    <w:rsid w:val="00F87E0B"/>
    <w:rsid w:val="00F93988"/>
    <w:rsid w:val="00F952A0"/>
    <w:rsid w:val="00FA53CB"/>
    <w:rsid w:val="00FB07F9"/>
    <w:rsid w:val="00FB0D76"/>
    <w:rsid w:val="00FD43A4"/>
    <w:rsid w:val="00FE02D3"/>
    <w:rsid w:val="00FE66DF"/>
    <w:rsid w:val="00FE7566"/>
    <w:rsid w:val="00FF6046"/>
    <w:rsid w:val="00FF7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8"/>
    <w:pPr>
      <w:spacing w:after="200" w:line="276" w:lineRule="auto"/>
    </w:pPr>
    <w:rPr>
      <w:sz w:val="22"/>
      <w:szCs w:val="22"/>
      <w:lang w:eastAsia="en-US"/>
    </w:rPr>
  </w:style>
  <w:style w:type="paragraph" w:styleId="Heading1">
    <w:name w:val="heading 1"/>
    <w:basedOn w:val="Normal"/>
    <w:next w:val="Normal"/>
    <w:link w:val="Heading1Char"/>
    <w:qFormat/>
    <w:locked/>
    <w:rsid w:val="00466686"/>
    <w:pPr>
      <w:pBdr>
        <w:bottom w:val="single" w:sz="12" w:space="1" w:color="auto"/>
      </w:pBdr>
      <w:outlineLvl w:val="0"/>
    </w:pPr>
    <w:rPr>
      <w:rFonts w:cs="Calibri"/>
      <w:b/>
    </w:rPr>
  </w:style>
  <w:style w:type="paragraph" w:styleId="Heading2">
    <w:name w:val="heading 2"/>
    <w:basedOn w:val="Normal"/>
    <w:next w:val="Normal"/>
    <w:link w:val="Heading2Char"/>
    <w:unhideWhenUsed/>
    <w:qFormat/>
    <w:locked/>
    <w:rsid w:val="00466686"/>
    <w:pPr>
      <w:spacing w:before="360" w:after="120" w:line="240" w:lineRule="auto"/>
      <w:outlineLvl w:val="1"/>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18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C18BF"/>
    <w:rPr>
      <w:rFonts w:ascii="Tahoma" w:hAnsi="Tahoma" w:cs="Tahoma"/>
      <w:sz w:val="16"/>
      <w:szCs w:val="16"/>
    </w:rPr>
  </w:style>
  <w:style w:type="table" w:styleId="TableGrid">
    <w:name w:val="Table Grid"/>
    <w:basedOn w:val="TableNormal"/>
    <w:uiPriority w:val="99"/>
    <w:rsid w:val="00760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87687"/>
    <w:pPr>
      <w:spacing w:before="80" w:after="80" w:line="280" w:lineRule="atLeast"/>
    </w:pPr>
    <w:rPr>
      <w:rFonts w:ascii="Georgia" w:eastAsia="Times New Roman" w:hAnsi="Georgia"/>
      <w:sz w:val="19"/>
      <w:szCs w:val="19"/>
      <w:lang w:eastAsia="en-AU"/>
    </w:rPr>
  </w:style>
  <w:style w:type="character" w:customStyle="1" w:styleId="BodyTextChar">
    <w:name w:val="Body Text Char"/>
    <w:link w:val="BodyText"/>
    <w:uiPriority w:val="99"/>
    <w:locked/>
    <w:rsid w:val="00187687"/>
    <w:rPr>
      <w:rFonts w:ascii="Georgia" w:hAnsi="Georgia" w:cs="Times New Roman"/>
      <w:sz w:val="19"/>
      <w:szCs w:val="19"/>
      <w:lang w:eastAsia="en-AU"/>
    </w:rPr>
  </w:style>
  <w:style w:type="paragraph" w:styleId="TOC1">
    <w:name w:val="toc 1"/>
    <w:basedOn w:val="BodyText"/>
    <w:next w:val="BodyText"/>
    <w:uiPriority w:val="39"/>
    <w:rsid w:val="00187687"/>
    <w:pPr>
      <w:tabs>
        <w:tab w:val="left" w:pos="397"/>
        <w:tab w:val="right" w:pos="7938"/>
      </w:tabs>
      <w:spacing w:before="120" w:after="60"/>
      <w:ind w:left="397" w:right="567" w:hanging="397"/>
    </w:pPr>
    <w:rPr>
      <w:rFonts w:ascii="Franklin Gothic Demi" w:hAnsi="Franklin Gothic Demi"/>
      <w:color w:val="54534A"/>
      <w:sz w:val="24"/>
      <w:szCs w:val="24"/>
    </w:rPr>
  </w:style>
  <w:style w:type="paragraph" w:styleId="TOC2">
    <w:name w:val="toc 2"/>
    <w:basedOn w:val="TOC1"/>
    <w:next w:val="TOC1"/>
    <w:uiPriority w:val="39"/>
    <w:rsid w:val="00187687"/>
    <w:pPr>
      <w:spacing w:line="240" w:lineRule="auto"/>
      <w:ind w:firstLine="0"/>
    </w:pPr>
    <w:rPr>
      <w:rFonts w:ascii="Franklin Gothic Medium" w:hAnsi="Franklin Gothic Medium"/>
      <w:color w:val="5A9A98"/>
      <w:sz w:val="21"/>
      <w:szCs w:val="21"/>
    </w:rPr>
  </w:style>
  <w:style w:type="character" w:styleId="Hyperlink">
    <w:name w:val="Hyperlink"/>
    <w:uiPriority w:val="99"/>
    <w:rsid w:val="00187687"/>
    <w:rPr>
      <w:rFonts w:cs="Times New Roman"/>
      <w:color w:val="00467F"/>
      <w:u w:val="none"/>
    </w:rPr>
  </w:style>
  <w:style w:type="paragraph" w:customStyle="1" w:styleId="CharChar">
    <w:name w:val="Char Char"/>
    <w:basedOn w:val="Normal"/>
    <w:uiPriority w:val="99"/>
    <w:semiHidden/>
    <w:rsid w:val="00187687"/>
    <w:pPr>
      <w:spacing w:before="180" w:after="0" w:line="280" w:lineRule="atLeast"/>
    </w:pPr>
    <w:rPr>
      <w:rFonts w:ascii="Arial" w:eastAsia="Times New Roman" w:hAnsi="Arial"/>
      <w:szCs w:val="20"/>
    </w:rPr>
  </w:style>
  <w:style w:type="paragraph" w:customStyle="1" w:styleId="Note">
    <w:name w:val="Note"/>
    <w:basedOn w:val="Normal"/>
    <w:next w:val="Normal"/>
    <w:link w:val="NoteCharChar"/>
    <w:uiPriority w:val="99"/>
    <w:rsid w:val="00B112A3"/>
    <w:pPr>
      <w:keepLines/>
      <w:spacing w:before="40" w:after="0" w:line="180" w:lineRule="atLeast"/>
    </w:pPr>
    <w:rPr>
      <w:rFonts w:ascii="Franklin Gothic Book" w:hAnsi="Franklin Gothic Book"/>
      <w:sz w:val="14"/>
      <w:szCs w:val="20"/>
      <w:lang w:eastAsia="en-AU"/>
    </w:rPr>
  </w:style>
  <w:style w:type="character" w:customStyle="1" w:styleId="NoteCharChar">
    <w:name w:val="Note Char Char"/>
    <w:link w:val="Note"/>
    <w:uiPriority w:val="99"/>
    <w:locked/>
    <w:rsid w:val="00B112A3"/>
    <w:rPr>
      <w:rFonts w:ascii="Franklin Gothic Book" w:hAnsi="Franklin Gothic Book"/>
      <w:sz w:val="14"/>
    </w:rPr>
  </w:style>
  <w:style w:type="paragraph" w:styleId="Header">
    <w:name w:val="header"/>
    <w:basedOn w:val="Normal"/>
    <w:link w:val="HeaderChar"/>
    <w:uiPriority w:val="99"/>
    <w:rsid w:val="00D20E82"/>
    <w:pPr>
      <w:tabs>
        <w:tab w:val="center" w:pos="4513"/>
        <w:tab w:val="right" w:pos="9026"/>
      </w:tabs>
      <w:spacing w:after="0" w:line="240" w:lineRule="auto"/>
    </w:pPr>
  </w:style>
  <w:style w:type="character" w:customStyle="1" w:styleId="HeaderChar">
    <w:name w:val="Header Char"/>
    <w:link w:val="Header"/>
    <w:uiPriority w:val="99"/>
    <w:locked/>
    <w:rsid w:val="00D20E82"/>
    <w:rPr>
      <w:rFonts w:cs="Times New Roman"/>
    </w:rPr>
  </w:style>
  <w:style w:type="paragraph" w:styleId="Footer">
    <w:name w:val="footer"/>
    <w:basedOn w:val="Normal"/>
    <w:link w:val="FooterChar"/>
    <w:uiPriority w:val="99"/>
    <w:rsid w:val="00D20E82"/>
    <w:pPr>
      <w:tabs>
        <w:tab w:val="center" w:pos="4513"/>
        <w:tab w:val="right" w:pos="9026"/>
      </w:tabs>
      <w:spacing w:after="0" w:line="240" w:lineRule="auto"/>
    </w:pPr>
  </w:style>
  <w:style w:type="character" w:customStyle="1" w:styleId="FooterChar">
    <w:name w:val="Footer Char"/>
    <w:link w:val="Footer"/>
    <w:uiPriority w:val="99"/>
    <w:locked/>
    <w:rsid w:val="00D20E82"/>
    <w:rPr>
      <w:rFonts w:cs="Times New Roman"/>
    </w:rPr>
  </w:style>
  <w:style w:type="paragraph" w:styleId="ListParagraph">
    <w:name w:val="List Paragraph"/>
    <w:basedOn w:val="Normal"/>
    <w:uiPriority w:val="99"/>
    <w:qFormat/>
    <w:rsid w:val="00EF50FB"/>
    <w:pPr>
      <w:ind w:left="720"/>
      <w:contextualSpacing/>
    </w:pPr>
  </w:style>
  <w:style w:type="character" w:customStyle="1" w:styleId="st1">
    <w:name w:val="st1"/>
    <w:uiPriority w:val="99"/>
    <w:rsid w:val="00715F8E"/>
    <w:rPr>
      <w:rFonts w:cs="Times New Roman"/>
    </w:rPr>
  </w:style>
  <w:style w:type="paragraph" w:customStyle="1" w:styleId="bulletsch">
    <w:name w:val="bullets ch"/>
    <w:basedOn w:val="Normal"/>
    <w:link w:val="bulletschChar"/>
    <w:uiPriority w:val="99"/>
    <w:rsid w:val="00CA1F03"/>
    <w:pPr>
      <w:numPr>
        <w:numId w:val="8"/>
      </w:numPr>
      <w:spacing w:after="0"/>
    </w:pPr>
    <w:rPr>
      <w:rFonts w:cs="Arial"/>
      <w:bCs/>
      <w:sz w:val="20"/>
      <w:szCs w:val="20"/>
      <w:lang w:val="en-US"/>
    </w:rPr>
  </w:style>
  <w:style w:type="character" w:customStyle="1" w:styleId="bulletschChar">
    <w:name w:val="bullets ch Char"/>
    <w:link w:val="bulletsch"/>
    <w:uiPriority w:val="99"/>
    <w:locked/>
    <w:rsid w:val="00CA1F03"/>
    <w:rPr>
      <w:rFonts w:ascii="Calibri" w:hAnsi="Calibri" w:cs="Arial"/>
      <w:bCs/>
      <w:sz w:val="20"/>
      <w:szCs w:val="20"/>
      <w:lang w:val="en-US"/>
    </w:rPr>
  </w:style>
  <w:style w:type="character" w:styleId="CommentReference">
    <w:name w:val="annotation reference"/>
    <w:uiPriority w:val="99"/>
    <w:semiHidden/>
    <w:rsid w:val="00654DBE"/>
    <w:rPr>
      <w:rFonts w:cs="Times New Roman"/>
      <w:sz w:val="16"/>
      <w:szCs w:val="16"/>
    </w:rPr>
  </w:style>
  <w:style w:type="paragraph" w:styleId="CommentText">
    <w:name w:val="annotation text"/>
    <w:basedOn w:val="Normal"/>
    <w:link w:val="CommentTextChar"/>
    <w:uiPriority w:val="99"/>
    <w:semiHidden/>
    <w:rsid w:val="00654DBE"/>
    <w:pPr>
      <w:spacing w:line="240" w:lineRule="auto"/>
    </w:pPr>
    <w:rPr>
      <w:sz w:val="20"/>
      <w:szCs w:val="20"/>
    </w:rPr>
  </w:style>
  <w:style w:type="character" w:customStyle="1" w:styleId="CommentTextChar">
    <w:name w:val="Comment Text Char"/>
    <w:link w:val="CommentText"/>
    <w:uiPriority w:val="99"/>
    <w:semiHidden/>
    <w:locked/>
    <w:rsid w:val="00654DBE"/>
    <w:rPr>
      <w:rFonts w:cs="Times New Roman"/>
      <w:sz w:val="20"/>
      <w:szCs w:val="20"/>
    </w:rPr>
  </w:style>
  <w:style w:type="paragraph" w:styleId="CommentSubject">
    <w:name w:val="annotation subject"/>
    <w:basedOn w:val="CommentText"/>
    <w:next w:val="CommentText"/>
    <w:link w:val="CommentSubjectChar"/>
    <w:uiPriority w:val="99"/>
    <w:semiHidden/>
    <w:rsid w:val="00654DBE"/>
    <w:rPr>
      <w:b/>
      <w:bCs/>
    </w:rPr>
  </w:style>
  <w:style w:type="character" w:customStyle="1" w:styleId="CommentSubjectChar">
    <w:name w:val="Comment Subject Char"/>
    <w:link w:val="CommentSubject"/>
    <w:uiPriority w:val="99"/>
    <w:semiHidden/>
    <w:locked/>
    <w:rsid w:val="00654DBE"/>
    <w:rPr>
      <w:rFonts w:cs="Times New Roman"/>
      <w:b/>
      <w:bCs/>
      <w:sz w:val="20"/>
      <w:szCs w:val="20"/>
    </w:rPr>
  </w:style>
  <w:style w:type="paragraph" w:styleId="Title">
    <w:name w:val="Title"/>
    <w:basedOn w:val="Normal"/>
    <w:next w:val="Normal"/>
    <w:link w:val="TitleChar"/>
    <w:qFormat/>
    <w:locked/>
    <w:rsid w:val="00466686"/>
    <w:pPr>
      <w:spacing w:after="0"/>
    </w:pPr>
    <w:rPr>
      <w:rFonts w:cs="Calibri"/>
      <w:b/>
      <w:color w:val="FFFFFF"/>
      <w:sz w:val="32"/>
      <w:szCs w:val="32"/>
    </w:rPr>
  </w:style>
  <w:style w:type="character" w:customStyle="1" w:styleId="TitleChar">
    <w:name w:val="Title Char"/>
    <w:link w:val="Title"/>
    <w:rsid w:val="00466686"/>
    <w:rPr>
      <w:rFonts w:cs="Calibri"/>
      <w:b/>
      <w:color w:val="FFFFFF"/>
      <w:sz w:val="32"/>
      <w:szCs w:val="32"/>
      <w:lang w:eastAsia="en-US"/>
    </w:rPr>
  </w:style>
  <w:style w:type="character" w:customStyle="1" w:styleId="Heading1Char">
    <w:name w:val="Heading 1 Char"/>
    <w:link w:val="Heading1"/>
    <w:rsid w:val="00466686"/>
    <w:rPr>
      <w:rFonts w:cs="Calibri"/>
      <w:b/>
      <w:sz w:val="22"/>
      <w:szCs w:val="22"/>
      <w:lang w:eastAsia="en-US"/>
    </w:rPr>
  </w:style>
  <w:style w:type="character" w:customStyle="1" w:styleId="Heading2Char">
    <w:name w:val="Heading 2 Char"/>
    <w:link w:val="Heading2"/>
    <w:rsid w:val="00466686"/>
    <w:rPr>
      <w:rFonts w:cs="Calibri"/>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8"/>
    <w:pPr>
      <w:spacing w:after="200" w:line="276" w:lineRule="auto"/>
    </w:pPr>
    <w:rPr>
      <w:sz w:val="22"/>
      <w:szCs w:val="22"/>
      <w:lang w:eastAsia="en-US"/>
    </w:rPr>
  </w:style>
  <w:style w:type="paragraph" w:styleId="Heading1">
    <w:name w:val="heading 1"/>
    <w:basedOn w:val="Normal"/>
    <w:next w:val="Normal"/>
    <w:link w:val="Heading1Char"/>
    <w:qFormat/>
    <w:locked/>
    <w:rsid w:val="00466686"/>
    <w:pPr>
      <w:pBdr>
        <w:bottom w:val="single" w:sz="12" w:space="1" w:color="auto"/>
      </w:pBdr>
      <w:outlineLvl w:val="0"/>
    </w:pPr>
    <w:rPr>
      <w:rFonts w:cs="Calibri"/>
      <w:b/>
    </w:rPr>
  </w:style>
  <w:style w:type="paragraph" w:styleId="Heading2">
    <w:name w:val="heading 2"/>
    <w:basedOn w:val="Normal"/>
    <w:next w:val="Normal"/>
    <w:link w:val="Heading2Char"/>
    <w:unhideWhenUsed/>
    <w:qFormat/>
    <w:locked/>
    <w:rsid w:val="00466686"/>
    <w:pPr>
      <w:spacing w:before="360" w:after="120" w:line="240" w:lineRule="auto"/>
      <w:outlineLvl w:val="1"/>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18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C18BF"/>
    <w:rPr>
      <w:rFonts w:ascii="Tahoma" w:hAnsi="Tahoma" w:cs="Tahoma"/>
      <w:sz w:val="16"/>
      <w:szCs w:val="16"/>
    </w:rPr>
  </w:style>
  <w:style w:type="table" w:styleId="TableGrid">
    <w:name w:val="Table Grid"/>
    <w:basedOn w:val="TableNormal"/>
    <w:uiPriority w:val="99"/>
    <w:rsid w:val="00760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87687"/>
    <w:pPr>
      <w:spacing w:before="80" w:after="80" w:line="280" w:lineRule="atLeast"/>
    </w:pPr>
    <w:rPr>
      <w:rFonts w:ascii="Georgia" w:eastAsia="Times New Roman" w:hAnsi="Georgia"/>
      <w:sz w:val="19"/>
      <w:szCs w:val="19"/>
      <w:lang w:eastAsia="en-AU"/>
    </w:rPr>
  </w:style>
  <w:style w:type="character" w:customStyle="1" w:styleId="BodyTextChar">
    <w:name w:val="Body Text Char"/>
    <w:link w:val="BodyText"/>
    <w:uiPriority w:val="99"/>
    <w:locked/>
    <w:rsid w:val="00187687"/>
    <w:rPr>
      <w:rFonts w:ascii="Georgia" w:hAnsi="Georgia" w:cs="Times New Roman"/>
      <w:sz w:val="19"/>
      <w:szCs w:val="19"/>
      <w:lang w:eastAsia="en-AU"/>
    </w:rPr>
  </w:style>
  <w:style w:type="paragraph" w:styleId="TOC1">
    <w:name w:val="toc 1"/>
    <w:basedOn w:val="BodyText"/>
    <w:next w:val="BodyText"/>
    <w:uiPriority w:val="39"/>
    <w:rsid w:val="00187687"/>
    <w:pPr>
      <w:tabs>
        <w:tab w:val="left" w:pos="397"/>
        <w:tab w:val="right" w:pos="7938"/>
      </w:tabs>
      <w:spacing w:before="120" w:after="60"/>
      <w:ind w:left="397" w:right="567" w:hanging="397"/>
    </w:pPr>
    <w:rPr>
      <w:rFonts w:ascii="Franklin Gothic Demi" w:hAnsi="Franklin Gothic Demi"/>
      <w:color w:val="54534A"/>
      <w:sz w:val="24"/>
      <w:szCs w:val="24"/>
    </w:rPr>
  </w:style>
  <w:style w:type="paragraph" w:styleId="TOC2">
    <w:name w:val="toc 2"/>
    <w:basedOn w:val="TOC1"/>
    <w:next w:val="TOC1"/>
    <w:uiPriority w:val="39"/>
    <w:rsid w:val="00187687"/>
    <w:pPr>
      <w:spacing w:line="240" w:lineRule="auto"/>
      <w:ind w:firstLine="0"/>
    </w:pPr>
    <w:rPr>
      <w:rFonts w:ascii="Franklin Gothic Medium" w:hAnsi="Franklin Gothic Medium"/>
      <w:color w:val="5A9A98"/>
      <w:sz w:val="21"/>
      <w:szCs w:val="21"/>
    </w:rPr>
  </w:style>
  <w:style w:type="character" w:styleId="Hyperlink">
    <w:name w:val="Hyperlink"/>
    <w:uiPriority w:val="99"/>
    <w:rsid w:val="00187687"/>
    <w:rPr>
      <w:rFonts w:cs="Times New Roman"/>
      <w:color w:val="00467F"/>
      <w:u w:val="none"/>
    </w:rPr>
  </w:style>
  <w:style w:type="paragraph" w:customStyle="1" w:styleId="CharChar">
    <w:name w:val="Char Char"/>
    <w:basedOn w:val="Normal"/>
    <w:uiPriority w:val="99"/>
    <w:semiHidden/>
    <w:rsid w:val="00187687"/>
    <w:pPr>
      <w:spacing w:before="180" w:after="0" w:line="280" w:lineRule="atLeast"/>
    </w:pPr>
    <w:rPr>
      <w:rFonts w:ascii="Arial" w:eastAsia="Times New Roman" w:hAnsi="Arial"/>
      <w:szCs w:val="20"/>
    </w:rPr>
  </w:style>
  <w:style w:type="paragraph" w:customStyle="1" w:styleId="Note">
    <w:name w:val="Note"/>
    <w:basedOn w:val="Normal"/>
    <w:next w:val="Normal"/>
    <w:link w:val="NoteCharChar"/>
    <w:uiPriority w:val="99"/>
    <w:rsid w:val="00B112A3"/>
    <w:pPr>
      <w:keepLines/>
      <w:spacing w:before="40" w:after="0" w:line="180" w:lineRule="atLeast"/>
    </w:pPr>
    <w:rPr>
      <w:rFonts w:ascii="Franklin Gothic Book" w:hAnsi="Franklin Gothic Book"/>
      <w:sz w:val="14"/>
      <w:szCs w:val="20"/>
      <w:lang w:eastAsia="en-AU"/>
    </w:rPr>
  </w:style>
  <w:style w:type="character" w:customStyle="1" w:styleId="NoteCharChar">
    <w:name w:val="Note Char Char"/>
    <w:link w:val="Note"/>
    <w:uiPriority w:val="99"/>
    <w:locked/>
    <w:rsid w:val="00B112A3"/>
    <w:rPr>
      <w:rFonts w:ascii="Franklin Gothic Book" w:hAnsi="Franklin Gothic Book"/>
      <w:sz w:val="14"/>
    </w:rPr>
  </w:style>
  <w:style w:type="paragraph" w:styleId="Header">
    <w:name w:val="header"/>
    <w:basedOn w:val="Normal"/>
    <w:link w:val="HeaderChar"/>
    <w:uiPriority w:val="99"/>
    <w:rsid w:val="00D20E82"/>
    <w:pPr>
      <w:tabs>
        <w:tab w:val="center" w:pos="4513"/>
        <w:tab w:val="right" w:pos="9026"/>
      </w:tabs>
      <w:spacing w:after="0" w:line="240" w:lineRule="auto"/>
    </w:pPr>
  </w:style>
  <w:style w:type="character" w:customStyle="1" w:styleId="HeaderChar">
    <w:name w:val="Header Char"/>
    <w:link w:val="Header"/>
    <w:uiPriority w:val="99"/>
    <w:locked/>
    <w:rsid w:val="00D20E82"/>
    <w:rPr>
      <w:rFonts w:cs="Times New Roman"/>
    </w:rPr>
  </w:style>
  <w:style w:type="paragraph" w:styleId="Footer">
    <w:name w:val="footer"/>
    <w:basedOn w:val="Normal"/>
    <w:link w:val="FooterChar"/>
    <w:uiPriority w:val="99"/>
    <w:rsid w:val="00D20E82"/>
    <w:pPr>
      <w:tabs>
        <w:tab w:val="center" w:pos="4513"/>
        <w:tab w:val="right" w:pos="9026"/>
      </w:tabs>
      <w:spacing w:after="0" w:line="240" w:lineRule="auto"/>
    </w:pPr>
  </w:style>
  <w:style w:type="character" w:customStyle="1" w:styleId="FooterChar">
    <w:name w:val="Footer Char"/>
    <w:link w:val="Footer"/>
    <w:uiPriority w:val="99"/>
    <w:locked/>
    <w:rsid w:val="00D20E82"/>
    <w:rPr>
      <w:rFonts w:cs="Times New Roman"/>
    </w:rPr>
  </w:style>
  <w:style w:type="paragraph" w:styleId="ListParagraph">
    <w:name w:val="List Paragraph"/>
    <w:basedOn w:val="Normal"/>
    <w:uiPriority w:val="99"/>
    <w:qFormat/>
    <w:rsid w:val="00EF50FB"/>
    <w:pPr>
      <w:ind w:left="720"/>
      <w:contextualSpacing/>
    </w:pPr>
  </w:style>
  <w:style w:type="character" w:customStyle="1" w:styleId="st1">
    <w:name w:val="st1"/>
    <w:uiPriority w:val="99"/>
    <w:rsid w:val="00715F8E"/>
    <w:rPr>
      <w:rFonts w:cs="Times New Roman"/>
    </w:rPr>
  </w:style>
  <w:style w:type="paragraph" w:customStyle="1" w:styleId="bulletsch">
    <w:name w:val="bullets ch"/>
    <w:basedOn w:val="Normal"/>
    <w:link w:val="bulletschChar"/>
    <w:uiPriority w:val="99"/>
    <w:rsid w:val="00CA1F03"/>
    <w:pPr>
      <w:numPr>
        <w:numId w:val="8"/>
      </w:numPr>
      <w:spacing w:after="0"/>
    </w:pPr>
    <w:rPr>
      <w:rFonts w:cs="Arial"/>
      <w:bCs/>
      <w:sz w:val="20"/>
      <w:szCs w:val="20"/>
      <w:lang w:val="en-US"/>
    </w:rPr>
  </w:style>
  <w:style w:type="character" w:customStyle="1" w:styleId="bulletschChar">
    <w:name w:val="bullets ch Char"/>
    <w:link w:val="bulletsch"/>
    <w:uiPriority w:val="99"/>
    <w:locked/>
    <w:rsid w:val="00CA1F03"/>
    <w:rPr>
      <w:rFonts w:ascii="Calibri" w:hAnsi="Calibri" w:cs="Arial"/>
      <w:bCs/>
      <w:sz w:val="20"/>
      <w:szCs w:val="20"/>
      <w:lang w:val="en-US"/>
    </w:rPr>
  </w:style>
  <w:style w:type="character" w:styleId="CommentReference">
    <w:name w:val="annotation reference"/>
    <w:uiPriority w:val="99"/>
    <w:semiHidden/>
    <w:rsid w:val="00654DBE"/>
    <w:rPr>
      <w:rFonts w:cs="Times New Roman"/>
      <w:sz w:val="16"/>
      <w:szCs w:val="16"/>
    </w:rPr>
  </w:style>
  <w:style w:type="paragraph" w:styleId="CommentText">
    <w:name w:val="annotation text"/>
    <w:basedOn w:val="Normal"/>
    <w:link w:val="CommentTextChar"/>
    <w:uiPriority w:val="99"/>
    <w:semiHidden/>
    <w:rsid w:val="00654DBE"/>
    <w:pPr>
      <w:spacing w:line="240" w:lineRule="auto"/>
    </w:pPr>
    <w:rPr>
      <w:sz w:val="20"/>
      <w:szCs w:val="20"/>
    </w:rPr>
  </w:style>
  <w:style w:type="character" w:customStyle="1" w:styleId="CommentTextChar">
    <w:name w:val="Comment Text Char"/>
    <w:link w:val="CommentText"/>
    <w:uiPriority w:val="99"/>
    <w:semiHidden/>
    <w:locked/>
    <w:rsid w:val="00654DBE"/>
    <w:rPr>
      <w:rFonts w:cs="Times New Roman"/>
      <w:sz w:val="20"/>
      <w:szCs w:val="20"/>
    </w:rPr>
  </w:style>
  <w:style w:type="paragraph" w:styleId="CommentSubject">
    <w:name w:val="annotation subject"/>
    <w:basedOn w:val="CommentText"/>
    <w:next w:val="CommentText"/>
    <w:link w:val="CommentSubjectChar"/>
    <w:uiPriority w:val="99"/>
    <w:semiHidden/>
    <w:rsid w:val="00654DBE"/>
    <w:rPr>
      <w:b/>
      <w:bCs/>
    </w:rPr>
  </w:style>
  <w:style w:type="character" w:customStyle="1" w:styleId="CommentSubjectChar">
    <w:name w:val="Comment Subject Char"/>
    <w:link w:val="CommentSubject"/>
    <w:uiPriority w:val="99"/>
    <w:semiHidden/>
    <w:locked/>
    <w:rsid w:val="00654DBE"/>
    <w:rPr>
      <w:rFonts w:cs="Times New Roman"/>
      <w:b/>
      <w:bCs/>
      <w:sz w:val="20"/>
      <w:szCs w:val="20"/>
    </w:rPr>
  </w:style>
  <w:style w:type="paragraph" w:styleId="Title">
    <w:name w:val="Title"/>
    <w:basedOn w:val="Normal"/>
    <w:next w:val="Normal"/>
    <w:link w:val="TitleChar"/>
    <w:qFormat/>
    <w:locked/>
    <w:rsid w:val="00466686"/>
    <w:pPr>
      <w:spacing w:after="0"/>
    </w:pPr>
    <w:rPr>
      <w:rFonts w:cs="Calibri"/>
      <w:b/>
      <w:color w:val="FFFFFF"/>
      <w:sz w:val="32"/>
      <w:szCs w:val="32"/>
    </w:rPr>
  </w:style>
  <w:style w:type="character" w:customStyle="1" w:styleId="TitleChar">
    <w:name w:val="Title Char"/>
    <w:link w:val="Title"/>
    <w:rsid w:val="00466686"/>
    <w:rPr>
      <w:rFonts w:cs="Calibri"/>
      <w:b/>
      <w:color w:val="FFFFFF"/>
      <w:sz w:val="32"/>
      <w:szCs w:val="32"/>
      <w:lang w:eastAsia="en-US"/>
    </w:rPr>
  </w:style>
  <w:style w:type="character" w:customStyle="1" w:styleId="Heading1Char">
    <w:name w:val="Heading 1 Char"/>
    <w:link w:val="Heading1"/>
    <w:rsid w:val="00466686"/>
    <w:rPr>
      <w:rFonts w:cs="Calibri"/>
      <w:b/>
      <w:sz w:val="22"/>
      <w:szCs w:val="22"/>
      <w:lang w:eastAsia="en-US"/>
    </w:rPr>
  </w:style>
  <w:style w:type="character" w:customStyle="1" w:styleId="Heading2Char">
    <w:name w:val="Heading 2 Char"/>
    <w:link w:val="Heading2"/>
    <w:rsid w:val="00466686"/>
    <w:rPr>
      <w:rFonts w:cs="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918">
      <w:marLeft w:val="0"/>
      <w:marRight w:val="0"/>
      <w:marTop w:val="0"/>
      <w:marBottom w:val="0"/>
      <w:divBdr>
        <w:top w:val="none" w:sz="0" w:space="0" w:color="auto"/>
        <w:left w:val="none" w:sz="0" w:space="0" w:color="auto"/>
        <w:bottom w:val="none" w:sz="0" w:space="0" w:color="auto"/>
        <w:right w:val="none" w:sz="0" w:space="0" w:color="auto"/>
      </w:divBdr>
    </w:div>
    <w:div w:id="30418919">
      <w:marLeft w:val="0"/>
      <w:marRight w:val="0"/>
      <w:marTop w:val="0"/>
      <w:marBottom w:val="0"/>
      <w:divBdr>
        <w:top w:val="none" w:sz="0" w:space="0" w:color="auto"/>
        <w:left w:val="none" w:sz="0" w:space="0" w:color="auto"/>
        <w:bottom w:val="none" w:sz="0" w:space="0" w:color="auto"/>
        <w:right w:val="none" w:sz="0" w:space="0" w:color="auto"/>
      </w:divBdr>
    </w:div>
    <w:div w:id="30418920">
      <w:marLeft w:val="0"/>
      <w:marRight w:val="0"/>
      <w:marTop w:val="0"/>
      <w:marBottom w:val="0"/>
      <w:divBdr>
        <w:top w:val="none" w:sz="0" w:space="0" w:color="auto"/>
        <w:left w:val="none" w:sz="0" w:space="0" w:color="auto"/>
        <w:bottom w:val="none" w:sz="0" w:space="0" w:color="auto"/>
        <w:right w:val="none" w:sz="0" w:space="0" w:color="auto"/>
      </w:divBdr>
    </w:div>
    <w:div w:id="30418921">
      <w:marLeft w:val="0"/>
      <w:marRight w:val="0"/>
      <w:marTop w:val="0"/>
      <w:marBottom w:val="0"/>
      <w:divBdr>
        <w:top w:val="none" w:sz="0" w:space="0" w:color="auto"/>
        <w:left w:val="none" w:sz="0" w:space="0" w:color="auto"/>
        <w:bottom w:val="none" w:sz="0" w:space="0" w:color="auto"/>
        <w:right w:val="none" w:sz="0" w:space="0" w:color="auto"/>
      </w:divBdr>
    </w:div>
    <w:div w:id="17913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14D7B-AF27-4512-AEEE-FE9B7058EC3F}"/>
</file>

<file path=customXml/itemProps2.xml><?xml version="1.0" encoding="utf-8"?>
<ds:datastoreItem xmlns:ds="http://schemas.openxmlformats.org/officeDocument/2006/customXml" ds:itemID="{CC0D4AB9-9376-4EB6-B66F-713C4BF70E85}"/>
</file>

<file path=customXml/itemProps3.xml><?xml version="1.0" encoding="utf-8"?>
<ds:datastoreItem xmlns:ds="http://schemas.openxmlformats.org/officeDocument/2006/customXml" ds:itemID="{39C7E86E-C456-42D4-B8EA-477358B641CB}"/>
</file>

<file path=customXml/itemProps4.xml><?xml version="1.0" encoding="utf-8"?>
<ds:datastoreItem xmlns:ds="http://schemas.openxmlformats.org/officeDocument/2006/customXml" ds:itemID="{7738FF6C-A1E1-4BFC-826D-0939FD56DE38}"/>
</file>

<file path=customXml/itemProps5.xml><?xml version="1.0" encoding="utf-8"?>
<ds:datastoreItem xmlns:ds="http://schemas.openxmlformats.org/officeDocument/2006/customXml" ds:itemID="{41832C69-2C8D-426C-8172-A56BFB72E2AD}"/>
</file>

<file path=docProps/app.xml><?xml version="1.0" encoding="utf-8"?>
<Properties xmlns="http://schemas.openxmlformats.org/officeDocument/2006/extended-properties" xmlns:vt="http://schemas.openxmlformats.org/officeDocument/2006/docPropsVTypes">
  <Template>Normal</Template>
  <TotalTime>0</TotalTime>
  <Pages>8</Pages>
  <Words>3299</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22065</CharactersWithSpaces>
  <SharedDoc>false</SharedDoc>
  <HLinks>
    <vt:vector size="78" baseType="variant">
      <vt:variant>
        <vt:i4>1638449</vt:i4>
      </vt:variant>
      <vt:variant>
        <vt:i4>74</vt:i4>
      </vt:variant>
      <vt:variant>
        <vt:i4>0</vt:i4>
      </vt:variant>
      <vt:variant>
        <vt:i4>5</vt:i4>
      </vt:variant>
      <vt:variant>
        <vt:lpwstr/>
      </vt:variant>
      <vt:variant>
        <vt:lpwstr>_Toc351122187</vt:lpwstr>
      </vt:variant>
      <vt:variant>
        <vt:i4>1638449</vt:i4>
      </vt:variant>
      <vt:variant>
        <vt:i4>68</vt:i4>
      </vt:variant>
      <vt:variant>
        <vt:i4>0</vt:i4>
      </vt:variant>
      <vt:variant>
        <vt:i4>5</vt:i4>
      </vt:variant>
      <vt:variant>
        <vt:lpwstr/>
      </vt:variant>
      <vt:variant>
        <vt:lpwstr>_Toc351122186</vt:lpwstr>
      </vt:variant>
      <vt:variant>
        <vt:i4>1638449</vt:i4>
      </vt:variant>
      <vt:variant>
        <vt:i4>62</vt:i4>
      </vt:variant>
      <vt:variant>
        <vt:i4>0</vt:i4>
      </vt:variant>
      <vt:variant>
        <vt:i4>5</vt:i4>
      </vt:variant>
      <vt:variant>
        <vt:lpwstr/>
      </vt:variant>
      <vt:variant>
        <vt:lpwstr>_Toc351122185</vt:lpwstr>
      </vt:variant>
      <vt:variant>
        <vt:i4>1638449</vt:i4>
      </vt:variant>
      <vt:variant>
        <vt:i4>56</vt:i4>
      </vt:variant>
      <vt:variant>
        <vt:i4>0</vt:i4>
      </vt:variant>
      <vt:variant>
        <vt:i4>5</vt:i4>
      </vt:variant>
      <vt:variant>
        <vt:lpwstr/>
      </vt:variant>
      <vt:variant>
        <vt:lpwstr>_Toc351122184</vt:lpwstr>
      </vt:variant>
      <vt:variant>
        <vt:i4>1638449</vt:i4>
      </vt:variant>
      <vt:variant>
        <vt:i4>50</vt:i4>
      </vt:variant>
      <vt:variant>
        <vt:i4>0</vt:i4>
      </vt:variant>
      <vt:variant>
        <vt:i4>5</vt:i4>
      </vt:variant>
      <vt:variant>
        <vt:lpwstr/>
      </vt:variant>
      <vt:variant>
        <vt:lpwstr>_Toc351122183</vt:lpwstr>
      </vt:variant>
      <vt:variant>
        <vt:i4>1638449</vt:i4>
      </vt:variant>
      <vt:variant>
        <vt:i4>44</vt:i4>
      </vt:variant>
      <vt:variant>
        <vt:i4>0</vt:i4>
      </vt:variant>
      <vt:variant>
        <vt:i4>5</vt:i4>
      </vt:variant>
      <vt:variant>
        <vt:lpwstr/>
      </vt:variant>
      <vt:variant>
        <vt:lpwstr>_Toc351122182</vt:lpwstr>
      </vt:variant>
      <vt:variant>
        <vt:i4>1638449</vt:i4>
      </vt:variant>
      <vt:variant>
        <vt:i4>38</vt:i4>
      </vt:variant>
      <vt:variant>
        <vt:i4>0</vt:i4>
      </vt:variant>
      <vt:variant>
        <vt:i4>5</vt:i4>
      </vt:variant>
      <vt:variant>
        <vt:lpwstr/>
      </vt:variant>
      <vt:variant>
        <vt:lpwstr>_Toc351122181</vt:lpwstr>
      </vt:variant>
      <vt:variant>
        <vt:i4>1638449</vt:i4>
      </vt:variant>
      <vt:variant>
        <vt:i4>32</vt:i4>
      </vt:variant>
      <vt:variant>
        <vt:i4>0</vt:i4>
      </vt:variant>
      <vt:variant>
        <vt:i4>5</vt:i4>
      </vt:variant>
      <vt:variant>
        <vt:lpwstr/>
      </vt:variant>
      <vt:variant>
        <vt:lpwstr>_Toc351122180</vt:lpwstr>
      </vt:variant>
      <vt:variant>
        <vt:i4>1441841</vt:i4>
      </vt:variant>
      <vt:variant>
        <vt:i4>26</vt:i4>
      </vt:variant>
      <vt:variant>
        <vt:i4>0</vt:i4>
      </vt:variant>
      <vt:variant>
        <vt:i4>5</vt:i4>
      </vt:variant>
      <vt:variant>
        <vt:lpwstr/>
      </vt:variant>
      <vt:variant>
        <vt:lpwstr>_Toc351122179</vt:lpwstr>
      </vt:variant>
      <vt:variant>
        <vt:i4>1441841</vt:i4>
      </vt:variant>
      <vt:variant>
        <vt:i4>20</vt:i4>
      </vt:variant>
      <vt:variant>
        <vt:i4>0</vt:i4>
      </vt:variant>
      <vt:variant>
        <vt:i4>5</vt:i4>
      </vt:variant>
      <vt:variant>
        <vt:lpwstr/>
      </vt:variant>
      <vt:variant>
        <vt:lpwstr>_Toc351122178</vt:lpwstr>
      </vt:variant>
      <vt:variant>
        <vt:i4>1441841</vt:i4>
      </vt:variant>
      <vt:variant>
        <vt:i4>14</vt:i4>
      </vt:variant>
      <vt:variant>
        <vt:i4>0</vt:i4>
      </vt:variant>
      <vt:variant>
        <vt:i4>5</vt:i4>
      </vt:variant>
      <vt:variant>
        <vt:lpwstr/>
      </vt:variant>
      <vt:variant>
        <vt:lpwstr>_Toc351122177</vt:lpwstr>
      </vt:variant>
      <vt:variant>
        <vt:i4>1441841</vt:i4>
      </vt:variant>
      <vt:variant>
        <vt:i4>8</vt:i4>
      </vt:variant>
      <vt:variant>
        <vt:i4>0</vt:i4>
      </vt:variant>
      <vt:variant>
        <vt:i4>5</vt:i4>
      </vt:variant>
      <vt:variant>
        <vt:lpwstr/>
      </vt:variant>
      <vt:variant>
        <vt:lpwstr>_Toc351122176</vt:lpwstr>
      </vt:variant>
      <vt:variant>
        <vt:i4>1441841</vt:i4>
      </vt:variant>
      <vt:variant>
        <vt:i4>2</vt:i4>
      </vt:variant>
      <vt:variant>
        <vt:i4>0</vt:i4>
      </vt:variant>
      <vt:variant>
        <vt:i4>5</vt:i4>
      </vt:variant>
      <vt:variant>
        <vt:lpwstr/>
      </vt:variant>
      <vt:variant>
        <vt:lpwstr>_Toc351122175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2013-07-09T14:12:00Z</dcterms:created>
  <dcterms:modified xsi:type="dcterms:W3CDTF">2013-07-09T14:12:00Z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212500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PublishingContact">
    <vt:lpwstr/>
  </property>
  <property fmtid="{D5CDD505-2E9C-101B-9397-08002B2CF9AE}" pid="10" name="WCMSPublicationSubCategory">
    <vt:lpwstr/>
  </property>
  <property fmtid="{D5CDD505-2E9C-101B-9397-08002B2CF9AE}" pid="11" name="PublishingRollupImage">
    <vt:lpwstr/>
  </property>
  <property fmtid="{D5CDD505-2E9C-101B-9397-08002B2CF9AE}" pid="12" name="AusAIDAggregationLevel">
    <vt:lpwstr/>
  </property>
  <property fmtid="{D5CDD505-2E9C-101B-9397-08002B2CF9AE}" pid="13" name="WCMSStatus">
    <vt:lpwstr/>
  </property>
  <property fmtid="{D5CDD505-2E9C-101B-9397-08002B2CF9AE}" pid="14" name="WCMSIPSSubCategory">
    <vt:lpwstr/>
  </property>
  <property fmtid="{D5CDD505-2E9C-101B-9397-08002B2CF9AE}" pid="15" name="PublishingContactEmail">
    <vt:lpwstr/>
  </property>
  <property fmtid="{D5CDD505-2E9C-101B-9397-08002B2CF9AE}" pid="16" name="WCMSPrintedMedia">
    <vt:bool>false</vt:bool>
  </property>
  <property fmtid="{D5CDD505-2E9C-101B-9397-08002B2CF9AE}" pid="17" name="WCMSIPSCategory">
    <vt:lpwstr/>
  </property>
  <property fmtid="{D5CDD505-2E9C-101B-9397-08002B2CF9AE}" pid="18" name="WCMSDocumentLink">
    <vt:lpwstr/>
  </property>
  <property fmtid="{D5CDD505-2E9C-101B-9397-08002B2CF9AE}" pid="19" name="RSS Feed Link">
    <vt:lpwstr/>
  </property>
  <property fmtid="{D5CDD505-2E9C-101B-9397-08002B2CF9AE}" pid="20" name="WCMSReportDisclaimer">
    <vt:bool>false</vt:bool>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ElectronicMedia">
    <vt:bool>false</vt:bool>
  </property>
  <property fmtid="{D5CDD505-2E9C-101B-9397-08002B2CF9AE}" pid="24" name="WCMSSourceId">
    <vt:lpwstr/>
  </property>
  <property fmtid="{D5CDD505-2E9C-101B-9397-08002B2CF9AE}" pid="25" name="WCMSLatest">
    <vt:bool>false</vt:bool>
  </property>
  <property fmtid="{D5CDD505-2E9C-101B-9397-08002B2CF9AE}" pid="26" name="WCMSPublicationFormat">
    <vt:lpwstr/>
  </property>
  <property fmtid="{D5CDD505-2E9C-101B-9397-08002B2CF9AE}" pid="27" name="AusAIDPageSubjectMetadata">
    <vt:lpwstr/>
  </property>
  <property fmtid="{D5CDD505-2E9C-101B-9397-08002B2CF9AE}" pid="28" name="AusAIDCategoryMetadata">
    <vt:lpwstr/>
  </property>
  <property fmtid="{D5CDD505-2E9C-101B-9397-08002B2CF9AE}" pid="29" name="AusAIDDocumentTypeMetaData">
    <vt:lpwstr/>
  </property>
  <property fmtid="{D5CDD505-2E9C-101B-9397-08002B2CF9AE}" pid="30" name="WCMSLanguage">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