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1586" w14:textId="4EA045F7" w:rsidR="00992C76" w:rsidRPr="00E40EC6" w:rsidRDefault="005D62B6" w:rsidP="00C80458">
      <w:pPr>
        <w:pStyle w:val="Title"/>
        <w:spacing w:before="240"/>
        <w:rPr>
          <w:color w:val="auto"/>
        </w:rPr>
      </w:pPr>
      <w:r w:rsidRPr="00E40EC6">
        <w:rPr>
          <w:color w:val="auto"/>
        </w:rPr>
        <w:t>Disability</w:t>
      </w:r>
      <w:r w:rsidR="00DD1367" w:rsidRPr="00E40EC6">
        <w:rPr>
          <w:color w:val="auto"/>
        </w:rPr>
        <w:t xml:space="preserve"> </w:t>
      </w:r>
      <w:r w:rsidR="003A068D" w:rsidRPr="00E40EC6">
        <w:rPr>
          <w:color w:val="auto"/>
        </w:rPr>
        <w:t>equity and rights</w:t>
      </w:r>
      <w:r w:rsidRPr="00E40EC6">
        <w:rPr>
          <w:color w:val="auto"/>
        </w:rPr>
        <w:t xml:space="preserve"> in </w:t>
      </w:r>
      <w:r w:rsidR="00CC720A">
        <w:rPr>
          <w:color w:val="auto"/>
        </w:rPr>
        <w:t>AUSTRALIA</w:t>
      </w:r>
      <w:r w:rsidR="003A068D" w:rsidRPr="00E40EC6">
        <w:rPr>
          <w:color w:val="auto"/>
        </w:rPr>
        <w:t>’s</w:t>
      </w:r>
      <w:r w:rsidRPr="00E40EC6">
        <w:rPr>
          <w:color w:val="auto"/>
        </w:rPr>
        <w:t xml:space="preserve"> </w:t>
      </w:r>
      <w:r w:rsidR="004E1AC6" w:rsidRPr="00E40EC6">
        <w:rPr>
          <w:color w:val="auto"/>
        </w:rPr>
        <w:t xml:space="preserve">International </w:t>
      </w:r>
      <w:r w:rsidR="008929EA" w:rsidRPr="00E40EC6">
        <w:rPr>
          <w:color w:val="auto"/>
        </w:rPr>
        <w:t xml:space="preserve">development </w:t>
      </w:r>
      <w:r w:rsidRPr="00E40EC6">
        <w:rPr>
          <w:color w:val="auto"/>
        </w:rPr>
        <w:t>program</w:t>
      </w:r>
      <w:r w:rsidR="00D37B04" w:rsidRPr="00E40EC6">
        <w:rPr>
          <w:color w:val="auto"/>
        </w:rPr>
        <w:t xml:space="preserve"> </w:t>
      </w:r>
    </w:p>
    <w:p w14:paraId="4E54989B" w14:textId="106FE8A0" w:rsidR="00B96CFA" w:rsidRPr="00E40EC6" w:rsidRDefault="005D62B6" w:rsidP="00887E16">
      <w:pPr>
        <w:pStyle w:val="Subtitle"/>
        <w:spacing w:before="120"/>
        <w:contextualSpacing w:val="0"/>
        <w:rPr>
          <w:color w:val="auto"/>
        </w:rPr>
      </w:pPr>
      <w:r w:rsidRPr="00E40EC6">
        <w:rPr>
          <w:iCs w:val="0"/>
          <w:color w:val="auto"/>
        </w:rPr>
        <w:t>Good practice note</w:t>
      </w:r>
      <w:r w:rsidR="00D47A2D" w:rsidRPr="00E40EC6">
        <w:rPr>
          <w:iCs w:val="0"/>
          <w:color w:val="auto"/>
        </w:rPr>
        <w:t xml:space="preserve"> </w:t>
      </w:r>
    </w:p>
    <w:p w14:paraId="026DACBA" w14:textId="59FE6D13" w:rsidR="005D62B6" w:rsidRPr="00E40EC6" w:rsidRDefault="005D62B6" w:rsidP="00C80458">
      <w:pPr>
        <w:pStyle w:val="Heading2"/>
        <w:rPr>
          <w:color w:val="auto"/>
        </w:rPr>
      </w:pPr>
      <w:r w:rsidRPr="00E40EC6">
        <w:rPr>
          <w:color w:val="auto"/>
        </w:rPr>
        <w:t>Overview</w:t>
      </w:r>
    </w:p>
    <w:p w14:paraId="5A7DD9CC" w14:textId="0659EAE6" w:rsidR="001909D9" w:rsidRPr="00070B72" w:rsidRDefault="005D62B6" w:rsidP="005D62B6">
      <w:pPr>
        <w:spacing w:after="120"/>
        <w:rPr>
          <w:rFonts w:cstheme="minorHAnsi"/>
          <w:color w:val="auto"/>
          <w:sz w:val="21"/>
          <w:szCs w:val="21"/>
        </w:rPr>
      </w:pPr>
      <w:r w:rsidRPr="00E40EC6">
        <w:rPr>
          <w:rFonts w:eastAsia="Times New Roman" w:cstheme="minorHAnsi"/>
          <w:color w:val="auto"/>
          <w:sz w:val="21"/>
          <w:szCs w:val="21"/>
        </w:rPr>
        <w:t>This good practice</w:t>
      </w:r>
      <w:r w:rsidR="00FE4A81" w:rsidRPr="00E40EC6">
        <w:rPr>
          <w:rFonts w:eastAsia="Times New Roman" w:cstheme="minorHAnsi"/>
          <w:color w:val="auto"/>
          <w:sz w:val="21"/>
          <w:szCs w:val="21"/>
        </w:rPr>
        <w:t xml:space="preserve"> </w:t>
      </w:r>
      <w:proofErr w:type="gramStart"/>
      <w:r w:rsidR="00FE4A81" w:rsidRPr="00E40EC6">
        <w:rPr>
          <w:rFonts w:eastAsia="Times New Roman" w:cstheme="minorHAnsi"/>
          <w:color w:val="auto"/>
          <w:sz w:val="21"/>
          <w:szCs w:val="21"/>
        </w:rPr>
        <w:t>note</w:t>
      </w:r>
      <w:proofErr w:type="gramEnd"/>
      <w:r w:rsidRPr="00E40EC6">
        <w:rPr>
          <w:rFonts w:eastAsia="Times New Roman" w:cstheme="minorHAnsi"/>
          <w:color w:val="auto"/>
          <w:sz w:val="21"/>
          <w:szCs w:val="21"/>
        </w:rPr>
        <w:t xml:space="preserve"> </w:t>
      </w:r>
      <w:r w:rsidR="00C76E8B" w:rsidRPr="00E40EC6">
        <w:rPr>
          <w:rFonts w:eastAsia="Times New Roman" w:cstheme="minorHAnsi"/>
          <w:color w:val="auto"/>
          <w:sz w:val="21"/>
          <w:szCs w:val="21"/>
        </w:rPr>
        <w:t>outlines</w:t>
      </w:r>
      <w:r w:rsidR="008A2F3B" w:rsidRPr="00E40EC6">
        <w:rPr>
          <w:rFonts w:eastAsia="Times New Roman" w:cstheme="minorHAnsi"/>
          <w:color w:val="auto"/>
          <w:sz w:val="21"/>
          <w:szCs w:val="21"/>
        </w:rPr>
        <w:t xml:space="preserve"> DFAT’s approach </w:t>
      </w:r>
      <w:r w:rsidR="008A2F3B" w:rsidRPr="00070B72">
        <w:rPr>
          <w:rFonts w:eastAsia="Times New Roman" w:cstheme="minorHAnsi"/>
          <w:color w:val="auto"/>
          <w:sz w:val="21"/>
          <w:szCs w:val="21"/>
        </w:rPr>
        <w:t xml:space="preserve">to </w:t>
      </w:r>
      <w:r w:rsidR="00D475C8" w:rsidRPr="00070B72">
        <w:rPr>
          <w:rFonts w:eastAsia="Times New Roman" w:cstheme="minorHAnsi"/>
          <w:color w:val="auto"/>
          <w:sz w:val="21"/>
          <w:szCs w:val="21"/>
        </w:rPr>
        <w:t xml:space="preserve">disability equity and rights in </w:t>
      </w:r>
      <w:r w:rsidR="00D6357E">
        <w:rPr>
          <w:rFonts w:eastAsia="Times New Roman" w:cstheme="minorHAnsi"/>
          <w:color w:val="auto"/>
          <w:sz w:val="21"/>
          <w:szCs w:val="21"/>
        </w:rPr>
        <w:t xml:space="preserve">Australia’s </w:t>
      </w:r>
      <w:r w:rsidR="00D475C8" w:rsidRPr="00070B72">
        <w:rPr>
          <w:rFonts w:eastAsia="Times New Roman" w:cstheme="minorHAnsi"/>
          <w:color w:val="auto"/>
          <w:sz w:val="21"/>
          <w:szCs w:val="21"/>
        </w:rPr>
        <w:t>international development program</w:t>
      </w:r>
      <w:r w:rsidR="0098015F" w:rsidRPr="00070B72">
        <w:rPr>
          <w:rFonts w:eastAsia="Times New Roman" w:cstheme="minorHAnsi"/>
          <w:color w:val="auto"/>
          <w:sz w:val="21"/>
          <w:szCs w:val="21"/>
        </w:rPr>
        <w:t xml:space="preserve"> </w:t>
      </w:r>
      <w:r w:rsidR="008A2F3B" w:rsidRPr="00070B72">
        <w:rPr>
          <w:rFonts w:eastAsia="Times New Roman" w:cstheme="minorHAnsi"/>
          <w:color w:val="auto"/>
          <w:sz w:val="21"/>
          <w:szCs w:val="21"/>
        </w:rPr>
        <w:t xml:space="preserve">and </w:t>
      </w:r>
      <w:r w:rsidR="00C76E8B" w:rsidRPr="00070B72">
        <w:rPr>
          <w:rFonts w:eastAsia="Times New Roman" w:cstheme="minorHAnsi"/>
          <w:color w:val="auto"/>
          <w:sz w:val="21"/>
          <w:szCs w:val="21"/>
        </w:rPr>
        <w:t xml:space="preserve">identifies </w:t>
      </w:r>
      <w:r w:rsidRPr="00070B72">
        <w:rPr>
          <w:rFonts w:eastAsia="Times New Roman" w:cstheme="minorHAnsi"/>
          <w:color w:val="auto"/>
          <w:sz w:val="21"/>
          <w:szCs w:val="21"/>
        </w:rPr>
        <w:t>main entry points for disability</w:t>
      </w:r>
      <w:r w:rsidR="00DD1367" w:rsidRPr="00070B72">
        <w:rPr>
          <w:rFonts w:eastAsia="Times New Roman" w:cstheme="minorHAnsi"/>
          <w:color w:val="auto"/>
          <w:sz w:val="21"/>
          <w:szCs w:val="21"/>
        </w:rPr>
        <w:t xml:space="preserve"> </w:t>
      </w:r>
      <w:r w:rsidR="00D475C8" w:rsidRPr="00070B72">
        <w:rPr>
          <w:rFonts w:eastAsia="Times New Roman" w:cstheme="minorHAnsi"/>
          <w:color w:val="auto"/>
          <w:sz w:val="21"/>
          <w:szCs w:val="21"/>
        </w:rPr>
        <w:t>considerations</w:t>
      </w:r>
      <w:r w:rsidRPr="00070B72">
        <w:rPr>
          <w:rFonts w:eastAsia="Times New Roman" w:cstheme="minorHAnsi"/>
          <w:color w:val="auto"/>
          <w:sz w:val="21"/>
          <w:szCs w:val="21"/>
        </w:rPr>
        <w:t xml:space="preserve"> within the </w:t>
      </w:r>
      <w:r w:rsidR="000867EC" w:rsidRPr="00070B72">
        <w:rPr>
          <w:rFonts w:eastAsia="Times New Roman" w:cstheme="minorHAnsi"/>
          <w:color w:val="auto"/>
          <w:sz w:val="21"/>
          <w:szCs w:val="21"/>
        </w:rPr>
        <w:t xml:space="preserve">program </w:t>
      </w:r>
      <w:r w:rsidRPr="00070B72">
        <w:rPr>
          <w:rFonts w:eastAsia="Times New Roman" w:cstheme="minorHAnsi"/>
          <w:color w:val="auto"/>
          <w:sz w:val="21"/>
          <w:szCs w:val="21"/>
        </w:rPr>
        <w:t>management cycl</w:t>
      </w:r>
      <w:r w:rsidR="008A2F3B" w:rsidRPr="00070B72">
        <w:rPr>
          <w:rFonts w:eastAsia="Times New Roman" w:cstheme="minorHAnsi"/>
          <w:color w:val="auto"/>
          <w:sz w:val="21"/>
          <w:szCs w:val="21"/>
        </w:rPr>
        <w:t>e</w:t>
      </w:r>
      <w:r w:rsidR="007717D7" w:rsidRPr="00070B72">
        <w:rPr>
          <w:rFonts w:eastAsia="Times New Roman" w:cstheme="minorHAnsi"/>
          <w:color w:val="auto"/>
          <w:sz w:val="21"/>
          <w:szCs w:val="21"/>
        </w:rPr>
        <w:t>.</w:t>
      </w:r>
      <w:r w:rsidR="000D4F52" w:rsidRPr="00070B72" w:rsidDel="000D4F52">
        <w:rPr>
          <w:rFonts w:eastAsia="Times New Roman" w:cstheme="minorHAnsi"/>
          <w:color w:val="auto"/>
          <w:sz w:val="21"/>
          <w:szCs w:val="21"/>
        </w:rPr>
        <w:t xml:space="preserve"> </w:t>
      </w:r>
      <w:r w:rsidR="008A2F3B" w:rsidRPr="00070B72">
        <w:rPr>
          <w:rFonts w:eastAsia="Times New Roman" w:cstheme="minorHAnsi"/>
          <w:color w:val="auto"/>
          <w:sz w:val="21"/>
          <w:szCs w:val="21"/>
        </w:rPr>
        <w:t xml:space="preserve">It </w:t>
      </w:r>
      <w:r w:rsidR="007717D7" w:rsidRPr="00070B72">
        <w:rPr>
          <w:rFonts w:cstheme="minorHAnsi"/>
          <w:color w:val="auto"/>
          <w:sz w:val="21"/>
          <w:szCs w:val="21"/>
        </w:rPr>
        <w:t xml:space="preserve">supports </w:t>
      </w:r>
      <w:r w:rsidR="008A2F3B" w:rsidRPr="00070B72">
        <w:rPr>
          <w:rFonts w:cstheme="minorHAnsi"/>
          <w:color w:val="auto"/>
          <w:sz w:val="21"/>
          <w:szCs w:val="21"/>
        </w:rPr>
        <w:t xml:space="preserve">the </w:t>
      </w:r>
      <w:r w:rsidR="007717D7" w:rsidRPr="00070B72">
        <w:rPr>
          <w:rFonts w:cstheme="minorHAnsi"/>
          <w:color w:val="auto"/>
          <w:sz w:val="21"/>
          <w:szCs w:val="21"/>
        </w:rPr>
        <w:t>implement</w:t>
      </w:r>
      <w:r w:rsidR="008A2F3B" w:rsidRPr="00070B72">
        <w:rPr>
          <w:rFonts w:cstheme="minorHAnsi"/>
          <w:color w:val="auto"/>
          <w:sz w:val="21"/>
          <w:szCs w:val="21"/>
        </w:rPr>
        <w:t>ation of</w:t>
      </w:r>
      <w:r w:rsidR="007717D7" w:rsidRPr="00915D4E">
        <w:rPr>
          <w:rFonts w:cstheme="minorHAnsi"/>
          <w:color w:val="0070C0"/>
          <w:sz w:val="21"/>
          <w:szCs w:val="21"/>
        </w:rPr>
        <w:t xml:space="preserve"> </w:t>
      </w:r>
      <w:hyperlink r:id="rId8" w:history="1">
        <w:r w:rsidR="007717D7" w:rsidRPr="00915D4E">
          <w:rPr>
            <w:rStyle w:val="Hyperlink"/>
            <w:rFonts w:cstheme="minorHAnsi"/>
            <w:color w:val="0070C0"/>
            <w:sz w:val="21"/>
            <w:szCs w:val="21"/>
          </w:rPr>
          <w:t xml:space="preserve">Australia’s </w:t>
        </w:r>
        <w:r w:rsidR="001909D9" w:rsidRPr="00915D4E">
          <w:rPr>
            <w:rStyle w:val="Hyperlink"/>
            <w:rFonts w:cstheme="minorHAnsi"/>
            <w:color w:val="0070C0"/>
            <w:sz w:val="21"/>
            <w:szCs w:val="21"/>
          </w:rPr>
          <w:t xml:space="preserve">International Disability Equity and Rights Strategy </w:t>
        </w:r>
        <w:r w:rsidR="00C76849" w:rsidRPr="00915D4E">
          <w:rPr>
            <w:rStyle w:val="Hyperlink"/>
            <w:rFonts w:cstheme="minorHAnsi"/>
            <w:color w:val="0070C0"/>
            <w:sz w:val="21"/>
            <w:szCs w:val="21"/>
          </w:rPr>
          <w:t>(IDEARS)</w:t>
        </w:r>
      </w:hyperlink>
      <w:r w:rsidR="00C76849" w:rsidRPr="00070B72">
        <w:rPr>
          <w:rFonts w:cstheme="minorHAnsi"/>
          <w:color w:val="auto"/>
          <w:sz w:val="21"/>
          <w:szCs w:val="21"/>
        </w:rPr>
        <w:t xml:space="preserve"> which </w:t>
      </w:r>
      <w:r w:rsidR="006A77D7" w:rsidRPr="00070B72">
        <w:rPr>
          <w:rFonts w:eastAsia="Times New Roman" w:cstheme="minorHAnsi"/>
          <w:color w:val="auto"/>
          <w:sz w:val="21"/>
          <w:szCs w:val="21"/>
        </w:rPr>
        <w:t xml:space="preserve">continues Australia’s legacy of support for the rights of people with disability. </w:t>
      </w:r>
      <w:r w:rsidR="007E43A3" w:rsidRPr="00070B72">
        <w:rPr>
          <w:rFonts w:eastAsia="Times New Roman" w:cstheme="minorHAnsi"/>
          <w:color w:val="auto"/>
          <w:sz w:val="21"/>
          <w:szCs w:val="21"/>
        </w:rPr>
        <w:t>IDEARS</w:t>
      </w:r>
      <w:r w:rsidR="006A77D7" w:rsidRPr="00070B72">
        <w:rPr>
          <w:rFonts w:eastAsia="Times New Roman" w:cstheme="minorHAnsi"/>
          <w:color w:val="auto"/>
          <w:sz w:val="21"/>
          <w:szCs w:val="21"/>
        </w:rPr>
        <w:t xml:space="preserve"> outlines how Australia will meet the demands of a changing world, integrating disability equity across our international engagement on foreign policy, international development, trade policy, humanitarian assistance and climate action.</w:t>
      </w:r>
      <w:r w:rsidR="00DC3E3A">
        <w:rPr>
          <w:rFonts w:eastAsia="Times New Roman" w:cstheme="minorHAnsi"/>
          <w:color w:val="auto"/>
          <w:sz w:val="21"/>
          <w:szCs w:val="21"/>
        </w:rPr>
        <w:t xml:space="preserve"> </w:t>
      </w:r>
      <w:r w:rsidR="00597F07" w:rsidRPr="00070B72">
        <w:rPr>
          <w:rFonts w:cstheme="minorHAnsi"/>
          <w:color w:val="auto"/>
          <w:sz w:val="21"/>
          <w:szCs w:val="21"/>
        </w:rPr>
        <w:t xml:space="preserve">IDEARS was a commitment in </w:t>
      </w:r>
      <w:hyperlink r:id="rId9" w:history="1">
        <w:r w:rsidR="00597F07" w:rsidRPr="002C4134">
          <w:rPr>
            <w:rStyle w:val="Hyperlink"/>
            <w:rFonts w:cstheme="minorHAnsi"/>
            <w:color w:val="0070C0"/>
            <w:sz w:val="21"/>
            <w:szCs w:val="21"/>
          </w:rPr>
          <w:t>Australia’s International Development Policy</w:t>
        </w:r>
      </w:hyperlink>
      <w:r w:rsidR="000D2959" w:rsidRPr="00070B72">
        <w:rPr>
          <w:rFonts w:cstheme="minorHAnsi"/>
          <w:color w:val="auto"/>
          <w:sz w:val="21"/>
          <w:szCs w:val="21"/>
        </w:rPr>
        <w:t xml:space="preserve"> </w:t>
      </w:r>
      <w:r w:rsidR="00285804" w:rsidRPr="00070B72">
        <w:rPr>
          <w:rFonts w:cstheme="minorHAnsi"/>
          <w:color w:val="auto"/>
          <w:sz w:val="21"/>
          <w:szCs w:val="21"/>
        </w:rPr>
        <w:t xml:space="preserve">and </w:t>
      </w:r>
      <w:r w:rsidR="00A109AE" w:rsidRPr="00070B72">
        <w:rPr>
          <w:rFonts w:cstheme="minorHAnsi"/>
          <w:color w:val="auto"/>
          <w:sz w:val="21"/>
          <w:szCs w:val="21"/>
        </w:rPr>
        <w:t xml:space="preserve">complements </w:t>
      </w:r>
      <w:hyperlink r:id="rId10" w:history="1">
        <w:r w:rsidR="00A109AE" w:rsidRPr="00915D4E">
          <w:rPr>
            <w:rStyle w:val="Hyperlink"/>
            <w:rFonts w:cstheme="minorHAnsi"/>
            <w:color w:val="0070C0"/>
            <w:sz w:val="21"/>
            <w:szCs w:val="21"/>
          </w:rPr>
          <w:t>Australia’s International Gender Equality Strategy</w:t>
        </w:r>
      </w:hyperlink>
      <w:r w:rsidR="00A109AE" w:rsidRPr="00070B72">
        <w:rPr>
          <w:rFonts w:cstheme="minorHAnsi"/>
          <w:color w:val="auto"/>
          <w:sz w:val="21"/>
          <w:szCs w:val="21"/>
        </w:rPr>
        <w:t xml:space="preserve"> and </w:t>
      </w:r>
      <w:hyperlink r:id="rId11" w:history="1">
        <w:r w:rsidR="00A109AE" w:rsidRPr="00915D4E">
          <w:rPr>
            <w:rStyle w:val="Hyperlink"/>
            <w:rFonts w:cstheme="minorHAnsi"/>
            <w:color w:val="0070C0"/>
            <w:sz w:val="21"/>
            <w:szCs w:val="21"/>
          </w:rPr>
          <w:t>Humanitarian Policy</w:t>
        </w:r>
      </w:hyperlink>
      <w:r w:rsidR="00A109AE" w:rsidRPr="00070B72">
        <w:rPr>
          <w:rFonts w:cstheme="minorHAnsi"/>
          <w:color w:val="auto"/>
          <w:sz w:val="21"/>
          <w:szCs w:val="21"/>
        </w:rPr>
        <w:t xml:space="preserve">. </w:t>
      </w:r>
    </w:p>
    <w:p w14:paraId="1B27A9DB" w14:textId="6F75436A" w:rsidR="005D62B6" w:rsidRPr="00E40EC6" w:rsidRDefault="005D62B6" w:rsidP="000947D9">
      <w:pPr>
        <w:pStyle w:val="Heading2"/>
        <w:spacing w:before="240"/>
        <w:rPr>
          <w:color w:val="auto"/>
        </w:rPr>
      </w:pPr>
      <w:r w:rsidRPr="00E40EC6">
        <w:rPr>
          <w:color w:val="auto"/>
        </w:rPr>
        <w:t>The importance of disability</w:t>
      </w:r>
      <w:r w:rsidR="00FB50DA" w:rsidRPr="00E40EC6">
        <w:rPr>
          <w:color w:val="auto"/>
        </w:rPr>
        <w:t xml:space="preserve"> EQU</w:t>
      </w:r>
      <w:r w:rsidR="00425CEB" w:rsidRPr="00E40EC6">
        <w:rPr>
          <w:color w:val="auto"/>
        </w:rPr>
        <w:t>IT</w:t>
      </w:r>
      <w:r w:rsidR="00FB50DA" w:rsidRPr="00E40EC6">
        <w:rPr>
          <w:color w:val="auto"/>
        </w:rPr>
        <w:t>Y and RiGHTS</w:t>
      </w:r>
      <w:r w:rsidRPr="00E40EC6">
        <w:rPr>
          <w:color w:val="auto"/>
        </w:rPr>
        <w:t xml:space="preserve"> </w:t>
      </w:r>
    </w:p>
    <w:p w14:paraId="457F626C" w14:textId="26AD8225" w:rsidR="00663F35" w:rsidRPr="002646CD" w:rsidRDefault="00191EED" w:rsidP="00663F35">
      <w:pPr>
        <w:spacing w:after="120"/>
        <w:rPr>
          <w:rFonts w:cstheme="minorHAnsi"/>
          <w:color w:val="auto"/>
          <w:sz w:val="21"/>
          <w:szCs w:val="21"/>
          <w:lang w:val="en-US"/>
        </w:rPr>
      </w:pPr>
      <w:r w:rsidRPr="00E40EC6">
        <w:rPr>
          <w:rFonts w:eastAsia="Times New Roman"/>
          <w:color w:val="auto"/>
          <w:sz w:val="21"/>
          <w:szCs w:val="21"/>
        </w:rPr>
        <w:t xml:space="preserve">Everyone benefits from disability equity. Poverty, isolation and disadvantage are reduced. The potential for economic growth is stronger. Cohesive societies are more peaceful, resilient and stable. </w:t>
      </w:r>
      <w:r w:rsidR="005D62B6" w:rsidRPr="00663F35">
        <w:rPr>
          <w:rFonts w:cstheme="minorHAnsi"/>
          <w:color w:val="auto"/>
          <w:sz w:val="21"/>
          <w:szCs w:val="21"/>
        </w:rPr>
        <w:t>To be effective in reducing poverty, development must actively include and benefit people with disabilit</w:t>
      </w:r>
      <w:r w:rsidR="00CF0931">
        <w:rPr>
          <w:rFonts w:cstheme="minorHAnsi"/>
          <w:color w:val="auto"/>
          <w:sz w:val="21"/>
          <w:szCs w:val="21"/>
        </w:rPr>
        <w:t>y</w:t>
      </w:r>
      <w:r w:rsidR="005D62B6" w:rsidRPr="00663F35">
        <w:rPr>
          <w:rFonts w:cstheme="minorHAnsi"/>
          <w:color w:val="auto"/>
          <w:sz w:val="21"/>
          <w:szCs w:val="21"/>
        </w:rPr>
        <w:t>. People with disabilit</w:t>
      </w:r>
      <w:r w:rsidR="00916491">
        <w:rPr>
          <w:rFonts w:cstheme="minorHAnsi"/>
          <w:color w:val="auto"/>
          <w:sz w:val="21"/>
          <w:szCs w:val="21"/>
        </w:rPr>
        <w:t>y</w:t>
      </w:r>
      <w:r w:rsidR="005D62B6" w:rsidRPr="00663F35">
        <w:rPr>
          <w:rFonts w:cstheme="minorHAnsi"/>
          <w:color w:val="auto"/>
          <w:sz w:val="21"/>
          <w:szCs w:val="21"/>
        </w:rPr>
        <w:t xml:space="preserve"> are the largest and most disadvantaged minority in the world. They make up 1</w:t>
      </w:r>
      <w:r w:rsidR="00CB7F5C" w:rsidRPr="00663F35">
        <w:rPr>
          <w:rFonts w:cstheme="minorHAnsi"/>
          <w:color w:val="auto"/>
          <w:sz w:val="21"/>
          <w:szCs w:val="21"/>
        </w:rPr>
        <w:t>6</w:t>
      </w:r>
      <w:r w:rsidR="005D62B6" w:rsidRPr="00663F35">
        <w:rPr>
          <w:rFonts w:cstheme="minorHAnsi"/>
          <w:color w:val="auto"/>
          <w:sz w:val="21"/>
          <w:szCs w:val="21"/>
        </w:rPr>
        <w:t xml:space="preserve"> per cent</w:t>
      </w:r>
      <w:r w:rsidR="005D62B6" w:rsidRPr="00663F35">
        <w:rPr>
          <w:rFonts w:cstheme="minorHAnsi"/>
          <w:color w:val="auto"/>
          <w:sz w:val="21"/>
          <w:szCs w:val="21"/>
          <w:lang w:val="en-CA"/>
        </w:rPr>
        <w:t xml:space="preserve"> of the global population (</w:t>
      </w:r>
      <w:r w:rsidR="005D62B6" w:rsidRPr="00663F35">
        <w:rPr>
          <w:rFonts w:cstheme="minorHAnsi"/>
          <w:color w:val="auto"/>
          <w:sz w:val="21"/>
          <w:szCs w:val="21"/>
        </w:rPr>
        <w:t>about</w:t>
      </w:r>
      <w:r w:rsidR="005D62B6" w:rsidRPr="00663F35">
        <w:rPr>
          <w:rFonts w:cstheme="minorHAnsi"/>
          <w:color w:val="auto"/>
          <w:sz w:val="21"/>
          <w:szCs w:val="21"/>
          <w:lang w:val="en-CA"/>
        </w:rPr>
        <w:t xml:space="preserve"> one billion people)</w:t>
      </w:r>
      <w:r w:rsidR="005D62B6" w:rsidRPr="00663F35">
        <w:rPr>
          <w:rStyle w:val="FootnoteReference"/>
          <w:rFonts w:cstheme="minorHAnsi"/>
          <w:color w:val="auto"/>
          <w:sz w:val="21"/>
          <w:szCs w:val="21"/>
          <w:lang w:val="en-CA"/>
        </w:rPr>
        <w:footnoteReference w:id="1"/>
      </w:r>
      <w:r w:rsidR="005D62B6" w:rsidRPr="00663F35">
        <w:rPr>
          <w:rFonts w:cstheme="minorHAnsi"/>
          <w:color w:val="auto"/>
          <w:sz w:val="21"/>
          <w:szCs w:val="21"/>
          <w:lang w:val="en-CA"/>
        </w:rPr>
        <w:t xml:space="preserve"> and one-in-five of the world’s poorest have a disability.</w:t>
      </w:r>
      <w:r w:rsidR="005D62B6" w:rsidRPr="00663F35">
        <w:rPr>
          <w:rFonts w:cstheme="minorHAnsi"/>
          <w:color w:val="auto"/>
          <w:sz w:val="21"/>
          <w:szCs w:val="21"/>
          <w:vertAlign w:val="superscript"/>
        </w:rPr>
        <w:footnoteReference w:id="2"/>
      </w:r>
      <w:r w:rsidR="005D62B6" w:rsidRPr="00663F35">
        <w:rPr>
          <w:rFonts w:cstheme="minorHAnsi"/>
          <w:color w:val="auto"/>
          <w:sz w:val="21"/>
          <w:szCs w:val="21"/>
          <w:vertAlign w:val="superscript"/>
          <w:lang w:val="en-CA"/>
        </w:rPr>
        <w:t xml:space="preserve"> </w:t>
      </w:r>
      <w:r w:rsidR="00663F35" w:rsidRPr="00663F35">
        <w:rPr>
          <w:rFonts w:cstheme="minorHAnsi"/>
          <w:color w:val="auto"/>
          <w:sz w:val="21"/>
          <w:szCs w:val="21"/>
          <w:lang w:val="en-US"/>
        </w:rPr>
        <w:t>Effectively addressing the needs of those who experience greatest vulnerability, including people with disabilit</w:t>
      </w:r>
      <w:r w:rsidR="00CF0931">
        <w:rPr>
          <w:rFonts w:cstheme="minorHAnsi"/>
          <w:color w:val="auto"/>
          <w:sz w:val="21"/>
          <w:szCs w:val="21"/>
          <w:lang w:val="en-US"/>
        </w:rPr>
        <w:t>y</w:t>
      </w:r>
      <w:r w:rsidR="00663F35" w:rsidRPr="00663F35">
        <w:rPr>
          <w:rFonts w:cstheme="minorHAnsi"/>
          <w:color w:val="auto"/>
          <w:sz w:val="21"/>
          <w:szCs w:val="21"/>
          <w:lang w:val="en-US"/>
        </w:rPr>
        <w:t>, provides the bedrock for social cohesion and contributes to a resilient and prosperous region.</w:t>
      </w:r>
    </w:p>
    <w:p w14:paraId="6EE4B9EE" w14:textId="7DF150E7" w:rsidR="005D62B6" w:rsidRPr="002646CD" w:rsidRDefault="00663F35" w:rsidP="007D3D2D">
      <w:pPr>
        <w:pStyle w:val="BodyCopyPrebulletsandnumberedbullets"/>
        <w:rPr>
          <w:rFonts w:eastAsiaTheme="minorHAnsi" w:cstheme="minorHAnsi"/>
          <w:sz w:val="21"/>
          <w:lang w:val="en-US"/>
        </w:rPr>
      </w:pPr>
      <w:r w:rsidRPr="002646CD">
        <w:rPr>
          <w:rFonts w:eastAsiaTheme="minorHAnsi" w:cstheme="minorHAnsi"/>
          <w:sz w:val="21"/>
          <w:lang w:val="en-US"/>
        </w:rPr>
        <w:t xml:space="preserve">Disability rights are firmly on the global agenda. Disability is a cross-cutting priority in the United Nations (UN) Sustainable Development Goals (SDGs) and the UN Convention on the Rights of Persons with Disabilities (CRPD) is near-universally ratified. The Pacific has set its priorities through the 2050 Strategy for the Blue Pacific Continent, and the UN Economic and Social Commission for Asia and the Pacific (ESCAP) community has declared its fourth Decade of Persons with Disabilities (2023–2032) to ‘make the right real’ for people with disability. </w:t>
      </w:r>
    </w:p>
    <w:p w14:paraId="730C640E" w14:textId="77777777" w:rsidR="00C24BAB" w:rsidRDefault="005D62B6" w:rsidP="00C24BAB">
      <w:pPr>
        <w:pStyle w:val="BodyText"/>
        <w:spacing w:after="120" w:line="240" w:lineRule="auto"/>
        <w:rPr>
          <w:rFonts w:eastAsia="Calibri" w:cstheme="minorHAnsi"/>
          <w:color w:val="auto"/>
          <w:sz w:val="21"/>
          <w:szCs w:val="21"/>
          <w:lang w:val="en-CA"/>
        </w:rPr>
      </w:pPr>
      <w:r w:rsidRPr="00663F35">
        <w:rPr>
          <w:rFonts w:eastAsia="Calibri" w:cstheme="minorHAnsi"/>
          <w:color w:val="auto"/>
          <w:sz w:val="21"/>
          <w:szCs w:val="21"/>
          <w:lang w:val="en-CA"/>
        </w:rPr>
        <w:t xml:space="preserve">As a party to the </w:t>
      </w:r>
      <w:hyperlink r:id="rId12" w:history="1">
        <w:r w:rsidRPr="00915D4E">
          <w:rPr>
            <w:rStyle w:val="Hyperlink"/>
            <w:rFonts w:cstheme="minorHAnsi"/>
            <w:i/>
            <w:color w:val="0070C0"/>
            <w:sz w:val="21"/>
            <w:szCs w:val="21"/>
          </w:rPr>
          <w:t>United Nations Convention on the Rights of Persons with Disabilitie</w:t>
        </w:r>
        <w:r w:rsidRPr="00663F35">
          <w:rPr>
            <w:rStyle w:val="Hyperlink"/>
            <w:rFonts w:cstheme="minorHAnsi"/>
            <w:i/>
            <w:sz w:val="21"/>
            <w:szCs w:val="21"/>
          </w:rPr>
          <w:t>s</w:t>
        </w:r>
      </w:hyperlink>
      <w:r w:rsidRPr="00663F35">
        <w:rPr>
          <w:rFonts w:eastAsia="Calibri" w:cstheme="minorHAnsi"/>
          <w:color w:val="auto"/>
          <w:sz w:val="21"/>
          <w:szCs w:val="21"/>
          <w:lang w:val="en-CA"/>
        </w:rPr>
        <w:t xml:space="preserve"> (CRPD), Australia has committed to supporting other countries implement the CRPD, including through ensuring our development programs and humanitarian efforts are inclusive of and accessible to people with disabilit</w:t>
      </w:r>
      <w:r w:rsidR="00916491">
        <w:rPr>
          <w:rFonts w:eastAsia="Calibri" w:cstheme="minorHAnsi"/>
          <w:color w:val="auto"/>
          <w:sz w:val="21"/>
          <w:szCs w:val="21"/>
          <w:lang w:val="en-CA"/>
        </w:rPr>
        <w:t>y</w:t>
      </w:r>
      <w:r w:rsidRPr="00663F35">
        <w:rPr>
          <w:rFonts w:eastAsia="Calibri" w:cstheme="minorHAnsi"/>
          <w:color w:val="auto"/>
          <w:sz w:val="21"/>
          <w:szCs w:val="21"/>
          <w:lang w:val="en-CA"/>
        </w:rPr>
        <w:t>.</w:t>
      </w:r>
      <w:r w:rsidRPr="00663F35">
        <w:rPr>
          <w:rFonts w:eastAsia="Calibri" w:cstheme="minorHAnsi"/>
          <w:color w:val="auto"/>
          <w:sz w:val="21"/>
          <w:szCs w:val="21"/>
          <w:vertAlign w:val="superscript"/>
          <w:lang w:val="en-CA"/>
        </w:rPr>
        <w:footnoteReference w:id="3"/>
      </w:r>
    </w:p>
    <w:p w14:paraId="3F97D3D6" w14:textId="77777777" w:rsidR="00C24BAB" w:rsidRPr="00C24BAB" w:rsidRDefault="005D62B6" w:rsidP="00C24BAB">
      <w:pPr>
        <w:pStyle w:val="BodyText"/>
        <w:spacing w:after="120" w:line="240" w:lineRule="auto"/>
        <w:rPr>
          <w:rFonts w:asciiTheme="majorHAnsi" w:eastAsiaTheme="majorEastAsia" w:hAnsiTheme="majorHAnsi" w:cstheme="majorBidi"/>
          <w:b/>
          <w:bCs/>
          <w:caps/>
          <w:color w:val="auto"/>
          <w:sz w:val="38"/>
          <w:szCs w:val="28"/>
        </w:rPr>
      </w:pPr>
      <w:r w:rsidRPr="00C24BAB">
        <w:rPr>
          <w:rFonts w:asciiTheme="majorHAnsi" w:eastAsiaTheme="majorEastAsia" w:hAnsiTheme="majorHAnsi" w:cstheme="majorBidi"/>
          <w:b/>
          <w:bCs/>
          <w:caps/>
          <w:color w:val="auto"/>
          <w:sz w:val="38"/>
          <w:szCs w:val="28"/>
        </w:rPr>
        <w:t>DFAT approach to disability</w:t>
      </w:r>
      <w:r w:rsidR="00694F37" w:rsidRPr="00C24BAB">
        <w:rPr>
          <w:rFonts w:asciiTheme="majorHAnsi" w:eastAsiaTheme="majorEastAsia" w:hAnsiTheme="majorHAnsi" w:cstheme="majorBidi"/>
          <w:b/>
          <w:bCs/>
          <w:caps/>
          <w:color w:val="auto"/>
          <w:sz w:val="38"/>
          <w:szCs w:val="28"/>
        </w:rPr>
        <w:t xml:space="preserve"> equity and rights</w:t>
      </w:r>
    </w:p>
    <w:p w14:paraId="5CDDC519" w14:textId="77777777" w:rsidR="00C24BAB" w:rsidRDefault="00255C0F" w:rsidP="00C24BAB">
      <w:pPr>
        <w:pStyle w:val="BodyText"/>
        <w:spacing w:after="120" w:line="240" w:lineRule="auto"/>
        <w:rPr>
          <w:rFonts w:eastAsia="Calibri" w:cstheme="minorHAnsi"/>
          <w:color w:val="auto"/>
          <w:sz w:val="21"/>
          <w:szCs w:val="21"/>
          <w:lang w:val="en-CA"/>
        </w:rPr>
      </w:pPr>
      <w:r w:rsidRPr="00255C0F">
        <w:rPr>
          <w:rFonts w:eastAsia="Calibri" w:cstheme="minorHAnsi"/>
          <w:color w:val="auto"/>
          <w:sz w:val="21"/>
          <w:szCs w:val="21"/>
          <w:lang w:val="en-CA"/>
        </w:rPr>
        <w:t xml:space="preserve">Australia’s approach to disability equity and rights is </w:t>
      </w:r>
      <w:r w:rsidR="00F14C1F">
        <w:rPr>
          <w:rFonts w:eastAsia="Calibri" w:cstheme="minorHAnsi"/>
          <w:color w:val="auto"/>
          <w:sz w:val="21"/>
          <w:szCs w:val="21"/>
          <w:lang w:val="en-CA"/>
        </w:rPr>
        <w:t xml:space="preserve">underpinned </w:t>
      </w:r>
      <w:r w:rsidR="00BE586B">
        <w:rPr>
          <w:rFonts w:eastAsia="Calibri" w:cstheme="minorHAnsi"/>
          <w:color w:val="auto"/>
          <w:sz w:val="21"/>
          <w:szCs w:val="21"/>
          <w:lang w:val="en-CA"/>
        </w:rPr>
        <w:t>by five key concepts</w:t>
      </w:r>
      <w:r w:rsidRPr="00255C0F">
        <w:rPr>
          <w:rFonts w:eastAsia="Calibri" w:cstheme="minorHAnsi"/>
          <w:color w:val="auto"/>
          <w:sz w:val="21"/>
          <w:szCs w:val="21"/>
          <w:lang w:val="en-CA"/>
        </w:rPr>
        <w:t>.</w:t>
      </w:r>
      <w:bookmarkStart w:id="0" w:name="_Toc183093058"/>
    </w:p>
    <w:p w14:paraId="609AEE9B" w14:textId="77777777" w:rsidR="00C24BAB" w:rsidRDefault="00ED4D86" w:rsidP="00C24BAB">
      <w:pPr>
        <w:pStyle w:val="BodyText"/>
        <w:spacing w:after="120" w:line="240" w:lineRule="auto"/>
        <w:rPr>
          <w:rFonts w:eastAsia="Calibri" w:cstheme="minorHAnsi"/>
          <w:bCs/>
          <w:color w:val="auto"/>
          <w:sz w:val="21"/>
          <w:szCs w:val="21"/>
          <w:lang w:val="en-CA"/>
        </w:rPr>
      </w:pPr>
      <w:r w:rsidRPr="00C24BAB">
        <w:rPr>
          <w:rFonts w:eastAsia="Calibri" w:cstheme="minorHAnsi"/>
          <w:b/>
          <w:color w:val="auto"/>
          <w:sz w:val="21"/>
          <w:szCs w:val="21"/>
          <w:lang w:val="en-CA"/>
        </w:rPr>
        <w:t>Supporting local leadership and decision-making</w:t>
      </w:r>
      <w:bookmarkEnd w:id="0"/>
      <w:r w:rsidR="009740E0" w:rsidRPr="00C24BAB">
        <w:rPr>
          <w:rFonts w:eastAsia="Calibri" w:cstheme="minorHAnsi"/>
          <w:b/>
          <w:color w:val="auto"/>
          <w:sz w:val="21"/>
          <w:szCs w:val="21"/>
          <w:lang w:val="en-CA"/>
        </w:rPr>
        <w:t>:</w:t>
      </w:r>
      <w:r w:rsidR="009740E0">
        <w:rPr>
          <w:rFonts w:eastAsia="Calibri" w:cstheme="minorHAnsi"/>
          <w:bCs/>
          <w:color w:val="auto"/>
          <w:sz w:val="21"/>
          <w:szCs w:val="21"/>
          <w:lang w:val="en-CA"/>
        </w:rPr>
        <w:t xml:space="preserve"> </w:t>
      </w:r>
      <w:r w:rsidRPr="00C24BAB">
        <w:rPr>
          <w:rFonts w:eastAsia="Calibri" w:cstheme="minorHAnsi"/>
          <w:bCs/>
          <w:color w:val="auto"/>
          <w:sz w:val="21"/>
          <w:szCs w:val="21"/>
          <w:lang w:val="en-CA"/>
        </w:rPr>
        <w:t xml:space="preserve">Advancing equity and rights for people with disability requires strong leadership and commitment at the local level. </w:t>
      </w:r>
      <w:r w:rsidR="004C7280" w:rsidRPr="00C24BAB">
        <w:rPr>
          <w:rFonts w:eastAsia="Calibri" w:cstheme="minorHAnsi"/>
          <w:bCs/>
          <w:color w:val="auto"/>
          <w:sz w:val="21"/>
          <w:szCs w:val="21"/>
          <w:lang w:val="en-CA"/>
        </w:rPr>
        <w:t>DFAT is</w:t>
      </w:r>
      <w:r w:rsidRPr="00C24BAB">
        <w:rPr>
          <w:rFonts w:eastAsia="Calibri" w:cstheme="minorHAnsi"/>
          <w:bCs/>
          <w:color w:val="auto"/>
          <w:sz w:val="21"/>
          <w:szCs w:val="21"/>
          <w:lang w:val="en-CA"/>
        </w:rPr>
        <w:t xml:space="preserve"> committed to supporting and empowering partner governments to implement their own solutions, take accountability and exercise sovereignty over their development trajectories. </w:t>
      </w:r>
      <w:bookmarkStart w:id="1" w:name="_Toc183093059"/>
    </w:p>
    <w:p w14:paraId="6D0F0431" w14:textId="4727E577" w:rsidR="00ED4D86" w:rsidRPr="00C24BAB" w:rsidRDefault="00ED4D86" w:rsidP="00C24BAB">
      <w:pPr>
        <w:pStyle w:val="BodyText"/>
        <w:spacing w:after="120" w:line="240" w:lineRule="auto"/>
        <w:rPr>
          <w:rFonts w:eastAsia="Calibri" w:cstheme="minorHAnsi"/>
          <w:bCs/>
          <w:color w:val="auto"/>
          <w:sz w:val="21"/>
          <w:szCs w:val="21"/>
          <w:lang w:val="en-CA"/>
        </w:rPr>
      </w:pPr>
      <w:r w:rsidRPr="00C24BAB">
        <w:rPr>
          <w:rFonts w:eastAsia="Calibri" w:cstheme="minorHAnsi"/>
          <w:b/>
          <w:color w:val="auto"/>
          <w:sz w:val="21"/>
          <w:szCs w:val="21"/>
          <w:lang w:val="en-CA"/>
        </w:rPr>
        <w:t>Working in partnership</w:t>
      </w:r>
      <w:bookmarkEnd w:id="1"/>
      <w:r w:rsidR="00D809E7" w:rsidRPr="00C24BAB">
        <w:rPr>
          <w:rFonts w:eastAsia="Calibri" w:cstheme="minorHAnsi"/>
          <w:b/>
          <w:color w:val="auto"/>
          <w:sz w:val="21"/>
          <w:szCs w:val="21"/>
          <w:lang w:val="en-CA"/>
        </w:rPr>
        <w:t>:</w:t>
      </w:r>
      <w:r w:rsidR="009740E0">
        <w:rPr>
          <w:rFonts w:eastAsia="Calibri" w:cstheme="minorHAnsi"/>
          <w:bCs/>
          <w:color w:val="auto"/>
          <w:sz w:val="21"/>
          <w:szCs w:val="21"/>
          <w:lang w:val="en-CA"/>
        </w:rPr>
        <w:t xml:space="preserve"> </w:t>
      </w:r>
      <w:r w:rsidRPr="00C24BAB">
        <w:rPr>
          <w:rFonts w:eastAsia="Calibri" w:cstheme="minorHAnsi"/>
          <w:bCs/>
          <w:color w:val="auto"/>
          <w:sz w:val="21"/>
          <w:szCs w:val="21"/>
          <w:lang w:val="en-CA"/>
        </w:rPr>
        <w:t xml:space="preserve">Disability equity and rights can only be achieved through strong collaborations. Australia </w:t>
      </w:r>
      <w:r w:rsidR="00C60248" w:rsidRPr="00C24BAB">
        <w:rPr>
          <w:rFonts w:eastAsia="Calibri" w:cstheme="minorHAnsi"/>
          <w:bCs/>
          <w:color w:val="auto"/>
          <w:sz w:val="21"/>
          <w:szCs w:val="21"/>
          <w:lang w:val="en-CA"/>
        </w:rPr>
        <w:t>champions</w:t>
      </w:r>
      <w:r w:rsidRPr="00C24BAB">
        <w:rPr>
          <w:rFonts w:eastAsia="Calibri" w:cstheme="minorHAnsi"/>
          <w:bCs/>
          <w:color w:val="auto"/>
          <w:sz w:val="21"/>
          <w:szCs w:val="21"/>
          <w:lang w:val="en-CA"/>
        </w:rPr>
        <w:t xml:space="preserve"> disability rights as a cross-cutting issue at international forums including the UN, the Association of Southeast Asian Nations (ASEAN), the Pacific Islands Forum and the Commonwealth, and promote coalitions </w:t>
      </w:r>
      <w:r w:rsidRPr="00C24BAB">
        <w:rPr>
          <w:rFonts w:eastAsia="Calibri" w:cstheme="minorHAnsi"/>
          <w:bCs/>
          <w:color w:val="auto"/>
          <w:sz w:val="21"/>
          <w:szCs w:val="21"/>
          <w:lang w:val="en-CA"/>
        </w:rPr>
        <w:lastRenderedPageBreak/>
        <w:t>that advance equity and rights. Partnership</w:t>
      </w:r>
      <w:r w:rsidR="00473AEA" w:rsidRPr="00C24BAB">
        <w:rPr>
          <w:rFonts w:eastAsia="Calibri" w:cstheme="minorHAnsi"/>
          <w:bCs/>
          <w:color w:val="auto"/>
          <w:sz w:val="21"/>
          <w:szCs w:val="21"/>
          <w:lang w:val="en-CA"/>
        </w:rPr>
        <w:t>s</w:t>
      </w:r>
      <w:r w:rsidRPr="00C24BAB">
        <w:rPr>
          <w:rFonts w:eastAsia="Calibri" w:cstheme="minorHAnsi"/>
          <w:bCs/>
          <w:color w:val="auto"/>
          <w:sz w:val="21"/>
          <w:szCs w:val="21"/>
          <w:lang w:val="en-CA"/>
        </w:rPr>
        <w:t xml:space="preserve"> with OPDs that are focused on mutual priorities </w:t>
      </w:r>
      <w:r w:rsidR="00C60248" w:rsidRPr="00C24BAB">
        <w:rPr>
          <w:rFonts w:eastAsia="Calibri" w:cstheme="minorHAnsi"/>
          <w:bCs/>
          <w:color w:val="auto"/>
          <w:sz w:val="21"/>
          <w:szCs w:val="21"/>
          <w:lang w:val="en-CA"/>
        </w:rPr>
        <w:t>are</w:t>
      </w:r>
      <w:r w:rsidRPr="00C24BAB">
        <w:rPr>
          <w:rFonts w:eastAsia="Calibri" w:cstheme="minorHAnsi"/>
          <w:bCs/>
          <w:color w:val="auto"/>
          <w:sz w:val="21"/>
          <w:szCs w:val="21"/>
          <w:lang w:val="en-CA"/>
        </w:rPr>
        <w:t xml:space="preserve"> an integral part of how Australia implements </w:t>
      </w:r>
      <w:r w:rsidR="00333859" w:rsidRPr="00C24BAB">
        <w:rPr>
          <w:rFonts w:eastAsia="Calibri" w:cstheme="minorHAnsi"/>
          <w:bCs/>
          <w:color w:val="auto"/>
          <w:sz w:val="21"/>
          <w:szCs w:val="21"/>
          <w:lang w:val="en-CA"/>
        </w:rPr>
        <w:t>IDEARS</w:t>
      </w:r>
      <w:r w:rsidRPr="00C24BAB">
        <w:rPr>
          <w:rFonts w:eastAsia="Calibri" w:cstheme="minorHAnsi"/>
          <w:bCs/>
          <w:color w:val="auto"/>
          <w:sz w:val="21"/>
          <w:szCs w:val="21"/>
          <w:lang w:val="en-CA"/>
        </w:rPr>
        <w:t xml:space="preserve">. </w:t>
      </w:r>
    </w:p>
    <w:p w14:paraId="5E7B1ABB" w14:textId="15EAD943" w:rsidR="00ED4D86" w:rsidRPr="009740E0" w:rsidRDefault="00ED4D86" w:rsidP="009740E0">
      <w:pPr>
        <w:pStyle w:val="Heading3"/>
        <w:spacing w:before="120" w:after="0" w:line="240" w:lineRule="auto"/>
        <w:contextualSpacing w:val="0"/>
        <w:rPr>
          <w:rFonts w:asciiTheme="minorHAnsi" w:eastAsia="Calibri" w:hAnsiTheme="minorHAnsi" w:cstheme="minorHAnsi"/>
          <w:b w:val="0"/>
          <w:bCs/>
          <w:color w:val="auto"/>
          <w:sz w:val="21"/>
          <w:szCs w:val="21"/>
          <w:lang w:val="en-CA"/>
        </w:rPr>
      </w:pPr>
      <w:bookmarkStart w:id="2" w:name="_Toc183093060"/>
      <w:r w:rsidRPr="00ED4D86">
        <w:rPr>
          <w:rFonts w:asciiTheme="minorHAnsi" w:eastAsia="Calibri" w:hAnsiTheme="minorHAnsi" w:cstheme="minorHAnsi"/>
          <w:bCs/>
          <w:color w:val="auto"/>
          <w:sz w:val="21"/>
          <w:szCs w:val="21"/>
          <w:lang w:val="en-CA"/>
        </w:rPr>
        <w:t>Do no harm</w:t>
      </w:r>
      <w:bookmarkEnd w:id="2"/>
      <w:r w:rsidR="00D809E7">
        <w:rPr>
          <w:rFonts w:asciiTheme="minorHAnsi" w:eastAsia="Calibri" w:hAnsiTheme="minorHAnsi" w:cstheme="minorHAnsi"/>
          <w:bCs/>
          <w:color w:val="auto"/>
          <w:sz w:val="21"/>
          <w:szCs w:val="21"/>
          <w:lang w:val="en-CA"/>
        </w:rPr>
        <w:t>:</w:t>
      </w:r>
      <w:r w:rsidR="009740E0">
        <w:rPr>
          <w:rFonts w:asciiTheme="minorHAnsi" w:eastAsia="Calibri" w:hAnsiTheme="minorHAnsi" w:cstheme="minorHAnsi"/>
          <w:bCs/>
          <w:color w:val="auto"/>
          <w:sz w:val="21"/>
          <w:szCs w:val="21"/>
          <w:lang w:val="en-CA"/>
        </w:rPr>
        <w:t xml:space="preserve"> </w:t>
      </w:r>
      <w:r w:rsidRPr="009740E0">
        <w:rPr>
          <w:rFonts w:asciiTheme="minorHAnsi" w:hAnsiTheme="minorHAnsi" w:cstheme="minorHAnsi"/>
          <w:b w:val="0"/>
          <w:bCs/>
          <w:color w:val="auto"/>
          <w:sz w:val="21"/>
          <w:szCs w:val="21"/>
          <w:lang w:val="en-US"/>
        </w:rPr>
        <w:t>People with disability experience violence, exploitation, neglect and abuse at significantly higher rates than people without disability.</w:t>
      </w:r>
      <w:r w:rsidR="00D31118" w:rsidRPr="009740E0">
        <w:rPr>
          <w:rFonts w:asciiTheme="minorHAnsi" w:hAnsiTheme="minorHAnsi" w:cstheme="minorHAnsi"/>
          <w:b w:val="0"/>
          <w:bCs/>
          <w:sz w:val="18"/>
          <w:szCs w:val="18"/>
          <w:vertAlign w:val="superscript"/>
          <w:lang w:val="en-US"/>
        </w:rPr>
        <w:footnoteReference w:id="4"/>
      </w:r>
      <w:r w:rsidR="00E911A8" w:rsidRPr="009740E0">
        <w:rPr>
          <w:rFonts w:asciiTheme="minorHAnsi" w:hAnsiTheme="minorHAnsi" w:cstheme="minorHAnsi"/>
          <w:b w:val="0"/>
          <w:bCs/>
          <w:color w:val="auto"/>
          <w:sz w:val="18"/>
          <w:szCs w:val="18"/>
          <w:vertAlign w:val="superscript"/>
          <w:lang w:val="en-US"/>
        </w:rPr>
        <w:t xml:space="preserve"> </w:t>
      </w:r>
      <w:r w:rsidRPr="009740E0">
        <w:rPr>
          <w:rFonts w:asciiTheme="minorHAnsi" w:hAnsiTheme="minorHAnsi" w:cstheme="minorHAnsi"/>
          <w:b w:val="0"/>
          <w:bCs/>
          <w:color w:val="auto"/>
          <w:sz w:val="18"/>
          <w:szCs w:val="18"/>
          <w:lang w:val="en-US"/>
        </w:rPr>
        <w:t xml:space="preserve"> </w:t>
      </w:r>
      <w:r w:rsidRPr="009740E0">
        <w:rPr>
          <w:rFonts w:asciiTheme="minorHAnsi" w:hAnsiTheme="minorHAnsi" w:cstheme="minorHAnsi"/>
          <w:b w:val="0"/>
          <w:bCs/>
          <w:color w:val="auto"/>
          <w:sz w:val="21"/>
          <w:szCs w:val="21"/>
          <w:lang w:val="en-US"/>
        </w:rPr>
        <w:t>Some groups are at even greater risk, including women and girls with disability, LGBTQIA+ people with disability, First Nations people with disability, and people with intellectual, cognitive and psychosocial disability.</w:t>
      </w:r>
      <w:r w:rsidR="00D31118" w:rsidRPr="009740E0">
        <w:rPr>
          <w:rFonts w:asciiTheme="minorHAnsi" w:hAnsiTheme="minorHAnsi" w:cstheme="minorHAnsi"/>
          <w:b w:val="0"/>
          <w:bCs/>
          <w:color w:val="auto"/>
          <w:sz w:val="21"/>
          <w:szCs w:val="21"/>
          <w:lang w:val="en-US"/>
        </w:rPr>
        <w:t xml:space="preserve"> </w:t>
      </w:r>
      <w:r w:rsidRPr="009740E0">
        <w:rPr>
          <w:rFonts w:asciiTheme="minorHAnsi" w:hAnsiTheme="minorHAnsi" w:cstheme="minorHAnsi"/>
          <w:b w:val="0"/>
          <w:bCs/>
          <w:color w:val="auto"/>
          <w:sz w:val="21"/>
          <w:szCs w:val="21"/>
          <w:lang w:val="en-US"/>
        </w:rPr>
        <w:t>Through our work we identify, mitigate and manage these risks.</w:t>
      </w:r>
      <w:r w:rsidRPr="009740E0">
        <w:rPr>
          <w:rFonts w:asciiTheme="minorHAnsi" w:eastAsia="Calibri" w:hAnsiTheme="minorHAnsi" w:cstheme="minorHAnsi"/>
          <w:b w:val="0"/>
          <w:bCs/>
          <w:color w:val="auto"/>
          <w:sz w:val="21"/>
          <w:szCs w:val="21"/>
          <w:lang w:val="en-CA"/>
        </w:rPr>
        <w:t xml:space="preserve"> </w:t>
      </w:r>
    </w:p>
    <w:p w14:paraId="0116892F" w14:textId="1E3788FE" w:rsidR="00ED4D86" w:rsidRPr="009740E0" w:rsidRDefault="00ED4D86" w:rsidP="009740E0">
      <w:pPr>
        <w:pStyle w:val="Heading3"/>
        <w:spacing w:before="120" w:after="0" w:line="240" w:lineRule="auto"/>
        <w:contextualSpacing w:val="0"/>
        <w:rPr>
          <w:rFonts w:asciiTheme="minorHAnsi" w:hAnsiTheme="minorHAnsi" w:cstheme="minorHAnsi"/>
          <w:b w:val="0"/>
          <w:bCs/>
          <w:color w:val="auto"/>
          <w:sz w:val="21"/>
          <w:szCs w:val="21"/>
          <w:lang w:val="en-US"/>
        </w:rPr>
      </w:pPr>
      <w:bookmarkStart w:id="3" w:name="_Toc183093061"/>
      <w:r w:rsidRPr="00ED4D86">
        <w:rPr>
          <w:rFonts w:asciiTheme="minorHAnsi" w:eastAsia="Calibri" w:hAnsiTheme="minorHAnsi" w:cstheme="minorHAnsi"/>
          <w:bCs/>
          <w:color w:val="auto"/>
          <w:sz w:val="21"/>
          <w:szCs w:val="21"/>
          <w:lang w:val="en-CA"/>
        </w:rPr>
        <w:t>Leave no one behind</w:t>
      </w:r>
      <w:bookmarkEnd w:id="3"/>
      <w:r w:rsidR="009740E0">
        <w:rPr>
          <w:rFonts w:asciiTheme="minorHAnsi" w:eastAsia="Calibri" w:hAnsiTheme="minorHAnsi" w:cstheme="minorHAnsi"/>
          <w:bCs/>
          <w:color w:val="auto"/>
          <w:sz w:val="21"/>
          <w:szCs w:val="21"/>
          <w:lang w:val="en-CA"/>
        </w:rPr>
        <w:t xml:space="preserve">: </w:t>
      </w:r>
      <w:r w:rsidRPr="009740E0">
        <w:rPr>
          <w:rFonts w:asciiTheme="minorHAnsi" w:hAnsiTheme="minorHAnsi" w:cstheme="minorHAnsi"/>
          <w:b w:val="0"/>
          <w:bCs/>
          <w:color w:val="auto"/>
          <w:sz w:val="21"/>
          <w:szCs w:val="21"/>
          <w:lang w:val="en-US"/>
        </w:rPr>
        <w:t>The UN’s 2030 Agenda for Sustainable Development establishes an ambitious plan of action for people, planet and prosperity. At its core is the pledge to leave no one behind – including people with disability – in efforts to achieve the SDGs. Australia is a strong supporter of the SDGs and is committed to ensuring people with disability are not left behind as the world develops.</w:t>
      </w:r>
    </w:p>
    <w:p w14:paraId="0C26AF2D" w14:textId="6E52C217" w:rsidR="005D62B6" w:rsidRPr="00D809E7" w:rsidRDefault="004C7280" w:rsidP="00D809E7">
      <w:pPr>
        <w:pStyle w:val="Heading3"/>
        <w:spacing w:before="120" w:after="0" w:line="240" w:lineRule="auto"/>
        <w:contextualSpacing w:val="0"/>
        <w:rPr>
          <w:rFonts w:asciiTheme="minorHAnsi" w:hAnsiTheme="minorHAnsi" w:cstheme="minorHAnsi"/>
          <w:b w:val="0"/>
          <w:bCs/>
          <w:color w:val="auto"/>
          <w:sz w:val="21"/>
          <w:szCs w:val="21"/>
          <w:lang w:val="en-US"/>
        </w:rPr>
      </w:pPr>
      <w:bookmarkStart w:id="4" w:name="_Toc183093062"/>
      <w:r w:rsidRPr="004C7280">
        <w:rPr>
          <w:rFonts w:asciiTheme="minorHAnsi" w:eastAsia="Calibri" w:hAnsiTheme="minorHAnsi" w:cstheme="minorHAnsi"/>
          <w:bCs/>
          <w:color w:val="auto"/>
          <w:sz w:val="21"/>
          <w:szCs w:val="21"/>
          <w:lang w:val="en-CA"/>
        </w:rPr>
        <w:t>Twin-track efforts</w:t>
      </w:r>
      <w:bookmarkEnd w:id="4"/>
      <w:r w:rsidR="009740E0">
        <w:rPr>
          <w:rFonts w:asciiTheme="minorHAnsi" w:eastAsia="Calibri" w:hAnsiTheme="minorHAnsi" w:cstheme="minorHAnsi"/>
          <w:bCs/>
          <w:color w:val="auto"/>
          <w:sz w:val="21"/>
          <w:szCs w:val="21"/>
          <w:lang w:val="en-CA"/>
        </w:rPr>
        <w:t xml:space="preserve">: </w:t>
      </w:r>
      <w:r w:rsidR="00D809E7">
        <w:rPr>
          <w:rFonts w:asciiTheme="minorHAnsi" w:eastAsia="Calibri" w:hAnsiTheme="minorHAnsi" w:cstheme="minorHAnsi"/>
          <w:bCs/>
          <w:color w:val="auto"/>
          <w:sz w:val="21"/>
          <w:szCs w:val="21"/>
          <w:lang w:val="en-CA"/>
        </w:rPr>
        <w:t xml:space="preserve"> </w:t>
      </w:r>
      <w:r w:rsidRPr="00D809E7">
        <w:rPr>
          <w:rFonts w:asciiTheme="minorHAnsi" w:hAnsiTheme="minorHAnsi" w:cstheme="minorHAnsi"/>
          <w:b w:val="0"/>
          <w:bCs/>
          <w:color w:val="auto"/>
          <w:sz w:val="21"/>
          <w:szCs w:val="21"/>
          <w:lang w:val="en-US"/>
        </w:rPr>
        <w:t xml:space="preserve">Australia will continue its long-term twin-track approach by supporting both targeted and mainstream approaches to disability equity. Targeted approaches address the specific priorities and needs of people with disability, and mainstream approaches work to actively include people with disability in all policies and programs. Mainstreaming disability equity requires deep expertise, </w:t>
      </w:r>
      <w:proofErr w:type="gramStart"/>
      <w:r w:rsidRPr="00D809E7">
        <w:rPr>
          <w:rFonts w:asciiTheme="minorHAnsi" w:hAnsiTheme="minorHAnsi" w:cstheme="minorHAnsi"/>
          <w:b w:val="0"/>
          <w:bCs/>
          <w:color w:val="auto"/>
          <w:sz w:val="21"/>
          <w:szCs w:val="21"/>
          <w:lang w:val="en-US"/>
        </w:rPr>
        <w:t>resourcing</w:t>
      </w:r>
      <w:proofErr w:type="gramEnd"/>
      <w:r w:rsidRPr="00D809E7">
        <w:rPr>
          <w:rFonts w:asciiTheme="minorHAnsi" w:hAnsiTheme="minorHAnsi" w:cstheme="minorHAnsi"/>
          <w:b w:val="0"/>
          <w:bCs/>
          <w:color w:val="auto"/>
          <w:sz w:val="21"/>
          <w:szCs w:val="21"/>
          <w:lang w:val="en-US"/>
        </w:rPr>
        <w:t xml:space="preserve"> and commitment. A combination of these two approaches at all levels is critical to achieving the vision set out in </w:t>
      </w:r>
      <w:r w:rsidR="00D571A0" w:rsidRPr="00D809E7">
        <w:rPr>
          <w:rFonts w:asciiTheme="minorHAnsi" w:hAnsiTheme="minorHAnsi" w:cstheme="minorHAnsi"/>
          <w:b w:val="0"/>
          <w:bCs/>
          <w:color w:val="auto"/>
          <w:sz w:val="21"/>
          <w:szCs w:val="21"/>
          <w:lang w:val="en-US"/>
        </w:rPr>
        <w:t>IDEARS</w:t>
      </w:r>
      <w:r w:rsidRPr="00D809E7">
        <w:rPr>
          <w:rFonts w:asciiTheme="minorHAnsi" w:hAnsiTheme="minorHAnsi" w:cstheme="minorHAnsi"/>
          <w:b w:val="0"/>
          <w:bCs/>
          <w:color w:val="auto"/>
          <w:sz w:val="21"/>
          <w:szCs w:val="21"/>
          <w:lang w:val="en-US"/>
        </w:rPr>
        <w:t>.</w:t>
      </w:r>
    </w:p>
    <w:p w14:paraId="3EBA1C69" w14:textId="7CB374CA" w:rsidR="00B96CFA" w:rsidRPr="00D809E7" w:rsidRDefault="005D62B6" w:rsidP="00D571A0">
      <w:pPr>
        <w:pStyle w:val="BodyText"/>
        <w:spacing w:after="120"/>
        <w:rPr>
          <w:rFonts w:eastAsiaTheme="majorEastAsia" w:cstheme="minorHAnsi"/>
          <w:bCs/>
          <w:color w:val="auto"/>
          <w:sz w:val="21"/>
          <w:szCs w:val="21"/>
          <w:lang w:val="en-US"/>
        </w:rPr>
      </w:pPr>
      <w:r w:rsidRPr="00D809E7">
        <w:rPr>
          <w:rFonts w:eastAsiaTheme="majorEastAsia" w:cstheme="minorHAnsi"/>
          <w:bCs/>
          <w:color w:val="auto"/>
          <w:sz w:val="21"/>
          <w:szCs w:val="21"/>
          <w:lang w:val="en-US"/>
        </w:rPr>
        <w:t>Actively including people with disabilit</w:t>
      </w:r>
      <w:r w:rsidR="00916491" w:rsidRPr="00D809E7">
        <w:rPr>
          <w:rFonts w:eastAsiaTheme="majorEastAsia" w:cstheme="minorHAnsi"/>
          <w:bCs/>
          <w:color w:val="auto"/>
          <w:sz w:val="21"/>
          <w:szCs w:val="21"/>
          <w:lang w:val="en-US"/>
        </w:rPr>
        <w:t>y</w:t>
      </w:r>
      <w:r w:rsidRPr="00D809E7">
        <w:rPr>
          <w:rFonts w:eastAsiaTheme="majorEastAsia" w:cstheme="minorHAnsi"/>
          <w:bCs/>
          <w:color w:val="auto"/>
          <w:sz w:val="21"/>
          <w:szCs w:val="21"/>
          <w:lang w:val="en-US"/>
        </w:rPr>
        <w:t xml:space="preserve"> in mainstream development efforts is necessary to ensure that broader systems, policies and services include and benefit people with disabilit</w:t>
      </w:r>
      <w:r w:rsidR="00E751CF" w:rsidRPr="00D809E7">
        <w:rPr>
          <w:rFonts w:eastAsiaTheme="majorEastAsia" w:cstheme="minorHAnsi"/>
          <w:bCs/>
          <w:color w:val="auto"/>
          <w:sz w:val="21"/>
          <w:szCs w:val="21"/>
          <w:lang w:val="en-US"/>
        </w:rPr>
        <w:t>y</w:t>
      </w:r>
      <w:r w:rsidRPr="00D809E7">
        <w:rPr>
          <w:rFonts w:eastAsiaTheme="majorEastAsia" w:cstheme="minorHAnsi"/>
          <w:bCs/>
          <w:color w:val="auto"/>
          <w:sz w:val="21"/>
          <w:szCs w:val="21"/>
          <w:lang w:val="en-US"/>
        </w:rPr>
        <w:t>. This cannot be fully realised without complementary targeted efforts to facilitate equality of access and participation for people with disabilit</w:t>
      </w:r>
      <w:r w:rsidR="00916491" w:rsidRPr="00D809E7">
        <w:rPr>
          <w:rFonts w:eastAsiaTheme="majorEastAsia" w:cstheme="minorHAnsi"/>
          <w:bCs/>
          <w:color w:val="auto"/>
          <w:sz w:val="21"/>
          <w:szCs w:val="21"/>
          <w:lang w:val="en-US"/>
        </w:rPr>
        <w:t>y</w:t>
      </w:r>
      <w:r w:rsidRPr="00D809E7">
        <w:rPr>
          <w:rFonts w:eastAsiaTheme="majorEastAsia" w:cstheme="minorHAnsi"/>
          <w:bCs/>
          <w:color w:val="auto"/>
          <w:sz w:val="21"/>
          <w:szCs w:val="21"/>
          <w:lang w:val="en-US"/>
        </w:rPr>
        <w:t>. For example, you can make a school</w:t>
      </w:r>
      <w:r w:rsidR="007717D7" w:rsidRPr="00D809E7">
        <w:rPr>
          <w:rFonts w:eastAsiaTheme="majorEastAsia" w:cstheme="minorHAnsi"/>
          <w:bCs/>
          <w:color w:val="auto"/>
          <w:sz w:val="21"/>
          <w:szCs w:val="21"/>
          <w:lang w:val="en-US"/>
        </w:rPr>
        <w:t>’s infrastructure</w:t>
      </w:r>
      <w:r w:rsidRPr="00D809E7">
        <w:rPr>
          <w:rFonts w:eastAsiaTheme="majorEastAsia" w:cstheme="minorHAnsi"/>
          <w:bCs/>
          <w:color w:val="auto"/>
          <w:sz w:val="21"/>
          <w:szCs w:val="21"/>
          <w:lang w:val="en-US"/>
        </w:rPr>
        <w:t xml:space="preserve"> </w:t>
      </w:r>
      <w:r w:rsidR="00D809E7" w:rsidRPr="00D809E7">
        <w:rPr>
          <w:rFonts w:eastAsiaTheme="majorEastAsia" w:cstheme="minorHAnsi"/>
          <w:bCs/>
          <w:color w:val="auto"/>
          <w:sz w:val="21"/>
          <w:szCs w:val="21"/>
          <w:lang w:val="en-US"/>
        </w:rPr>
        <w:t>accessible and</w:t>
      </w:r>
      <w:r w:rsidRPr="00D809E7">
        <w:rPr>
          <w:rFonts w:eastAsiaTheme="majorEastAsia" w:cstheme="minorHAnsi"/>
          <w:bCs/>
          <w:color w:val="auto"/>
          <w:sz w:val="21"/>
          <w:szCs w:val="21"/>
          <w:lang w:val="en-US"/>
        </w:rPr>
        <w:t xml:space="preserve"> train a teacher on disability inclusion (mainstream</w:t>
      </w:r>
      <w:r w:rsidR="006702EC" w:rsidRPr="00D809E7">
        <w:rPr>
          <w:rFonts w:eastAsiaTheme="majorEastAsia" w:cstheme="minorHAnsi"/>
          <w:bCs/>
          <w:color w:val="auto"/>
          <w:sz w:val="21"/>
          <w:szCs w:val="21"/>
          <w:lang w:val="en-US"/>
        </w:rPr>
        <w:t xml:space="preserve"> approach</w:t>
      </w:r>
      <w:r w:rsidRPr="00D809E7">
        <w:rPr>
          <w:rFonts w:eastAsiaTheme="majorEastAsia" w:cstheme="minorHAnsi"/>
          <w:bCs/>
          <w:color w:val="auto"/>
          <w:sz w:val="21"/>
          <w:szCs w:val="21"/>
          <w:lang w:val="en-US"/>
        </w:rPr>
        <w:t xml:space="preserve">) but if a child </w:t>
      </w:r>
      <w:r w:rsidR="00B172C7" w:rsidRPr="00D809E7">
        <w:rPr>
          <w:rFonts w:eastAsiaTheme="majorEastAsia" w:cstheme="minorHAnsi"/>
          <w:bCs/>
          <w:color w:val="auto"/>
          <w:sz w:val="21"/>
          <w:szCs w:val="21"/>
          <w:lang w:val="en-US"/>
        </w:rPr>
        <w:t>is deaf</w:t>
      </w:r>
      <w:r w:rsidRPr="00D809E7">
        <w:rPr>
          <w:rFonts w:eastAsiaTheme="majorEastAsia" w:cstheme="minorHAnsi"/>
          <w:bCs/>
          <w:color w:val="auto"/>
          <w:sz w:val="21"/>
          <w:szCs w:val="21"/>
          <w:lang w:val="en-US"/>
        </w:rPr>
        <w:t xml:space="preserve"> or </w:t>
      </w:r>
      <w:r w:rsidR="00B172C7" w:rsidRPr="00D809E7">
        <w:rPr>
          <w:rFonts w:eastAsiaTheme="majorEastAsia" w:cstheme="minorHAnsi"/>
          <w:bCs/>
          <w:color w:val="auto"/>
          <w:sz w:val="21"/>
          <w:szCs w:val="21"/>
          <w:lang w:val="en-US"/>
        </w:rPr>
        <w:t xml:space="preserve">has a </w:t>
      </w:r>
      <w:r w:rsidRPr="00D809E7">
        <w:rPr>
          <w:rFonts w:eastAsiaTheme="majorEastAsia" w:cstheme="minorHAnsi"/>
          <w:bCs/>
          <w:color w:val="auto"/>
          <w:sz w:val="21"/>
          <w:szCs w:val="21"/>
          <w:lang w:val="en-US"/>
        </w:rPr>
        <w:t>vision impairment these changes will not lead to equitable access without a</w:t>
      </w:r>
      <w:r w:rsidR="00A050E2" w:rsidRPr="00D809E7">
        <w:rPr>
          <w:rFonts w:eastAsiaTheme="majorEastAsia" w:cstheme="minorHAnsi"/>
          <w:bCs/>
          <w:color w:val="auto"/>
          <w:sz w:val="21"/>
          <w:szCs w:val="21"/>
          <w:lang w:val="en-US"/>
        </w:rPr>
        <w:t xml:space="preserve"> sign language interpreter </w:t>
      </w:r>
      <w:r w:rsidRPr="00D809E7">
        <w:rPr>
          <w:rFonts w:eastAsiaTheme="majorEastAsia" w:cstheme="minorHAnsi"/>
          <w:bCs/>
          <w:color w:val="auto"/>
          <w:sz w:val="21"/>
          <w:szCs w:val="21"/>
          <w:lang w:val="en-US"/>
        </w:rPr>
        <w:t xml:space="preserve">or </w:t>
      </w:r>
      <w:r w:rsidR="00893730" w:rsidRPr="00D809E7">
        <w:rPr>
          <w:rFonts w:eastAsiaTheme="majorEastAsia" w:cstheme="minorHAnsi"/>
          <w:bCs/>
          <w:color w:val="auto"/>
          <w:sz w:val="21"/>
          <w:szCs w:val="21"/>
          <w:lang w:val="en-US"/>
        </w:rPr>
        <w:t>provision of the</w:t>
      </w:r>
      <w:r w:rsidR="00B172C7" w:rsidRPr="00D809E7">
        <w:rPr>
          <w:rFonts w:eastAsiaTheme="majorEastAsia" w:cstheme="minorHAnsi"/>
          <w:bCs/>
          <w:color w:val="auto"/>
          <w:sz w:val="21"/>
          <w:szCs w:val="21"/>
          <w:lang w:val="en-US"/>
        </w:rPr>
        <w:t xml:space="preserve"> necessary assistive technology (e.g. magnifier or </w:t>
      </w:r>
      <w:r w:rsidRPr="00D809E7">
        <w:rPr>
          <w:rFonts w:eastAsiaTheme="majorEastAsia" w:cstheme="minorHAnsi"/>
          <w:bCs/>
          <w:color w:val="auto"/>
          <w:sz w:val="21"/>
          <w:szCs w:val="21"/>
          <w:lang w:val="en-US"/>
        </w:rPr>
        <w:t>screen reader</w:t>
      </w:r>
      <w:r w:rsidR="00B172C7" w:rsidRPr="00D809E7">
        <w:rPr>
          <w:rFonts w:eastAsiaTheme="majorEastAsia" w:cstheme="minorHAnsi"/>
          <w:bCs/>
          <w:color w:val="auto"/>
          <w:sz w:val="21"/>
          <w:szCs w:val="21"/>
          <w:lang w:val="en-US"/>
        </w:rPr>
        <w:t>)</w:t>
      </w:r>
      <w:r w:rsidRPr="00D809E7">
        <w:rPr>
          <w:rFonts w:eastAsiaTheme="majorEastAsia" w:cstheme="minorHAnsi"/>
          <w:bCs/>
          <w:color w:val="auto"/>
          <w:sz w:val="21"/>
          <w:szCs w:val="21"/>
          <w:lang w:val="en-US"/>
        </w:rPr>
        <w:t xml:space="preserve"> (targeted</w:t>
      </w:r>
      <w:r w:rsidR="006702EC" w:rsidRPr="00D809E7">
        <w:rPr>
          <w:rFonts w:eastAsiaTheme="majorEastAsia" w:cstheme="minorHAnsi"/>
          <w:bCs/>
          <w:color w:val="auto"/>
          <w:sz w:val="21"/>
          <w:szCs w:val="21"/>
          <w:lang w:val="en-US"/>
        </w:rPr>
        <w:t xml:space="preserve"> approach</w:t>
      </w:r>
      <w:r w:rsidRPr="00D809E7">
        <w:rPr>
          <w:rFonts w:eastAsiaTheme="majorEastAsia" w:cstheme="minorHAnsi"/>
          <w:bCs/>
          <w:color w:val="auto"/>
          <w:sz w:val="21"/>
          <w:szCs w:val="21"/>
          <w:lang w:val="en-US"/>
        </w:rPr>
        <w:t>).</w:t>
      </w:r>
    </w:p>
    <w:p w14:paraId="0BD74AE2" w14:textId="203B9363" w:rsidR="00C46170" w:rsidRPr="003128B1" w:rsidRDefault="00C46170" w:rsidP="00E65AFA">
      <w:pPr>
        <w:pStyle w:val="Heading4"/>
        <w:spacing w:before="0" w:after="0" w:line="240" w:lineRule="auto"/>
      </w:pPr>
      <w:r w:rsidRPr="003128B1">
        <w:t>Barriers for people with disabilit</w:t>
      </w:r>
      <w:r w:rsidR="00916491">
        <w:t>y</w:t>
      </w:r>
    </w:p>
    <w:p w14:paraId="0854FD55" w14:textId="4BA10CD3" w:rsidR="00C46170" w:rsidRPr="00755B3D" w:rsidRDefault="00C46170" w:rsidP="00E65AFA">
      <w:pPr>
        <w:pStyle w:val="Box2Heading"/>
        <w:spacing w:before="120" w:after="0" w:line="240" w:lineRule="auto"/>
        <w:rPr>
          <w:b w:val="0"/>
          <w:sz w:val="21"/>
          <w:szCs w:val="21"/>
        </w:rPr>
      </w:pPr>
      <w:r w:rsidRPr="00755B3D">
        <w:rPr>
          <w:b w:val="0"/>
          <w:sz w:val="21"/>
          <w:szCs w:val="21"/>
        </w:rPr>
        <w:t>People with disabilit</w:t>
      </w:r>
      <w:r w:rsidR="00916491">
        <w:rPr>
          <w:b w:val="0"/>
          <w:sz w:val="21"/>
          <w:szCs w:val="21"/>
        </w:rPr>
        <w:t>y</w:t>
      </w:r>
      <w:r w:rsidRPr="00755B3D">
        <w:rPr>
          <w:b w:val="0"/>
          <w:sz w:val="21"/>
          <w:szCs w:val="21"/>
        </w:rPr>
        <w:t xml:space="preserve"> commonly face a range of barriers in participating in society and benefitting from </w:t>
      </w:r>
      <w:r w:rsidR="00FF2327" w:rsidRPr="00755B3D">
        <w:rPr>
          <w:b w:val="0"/>
          <w:sz w:val="21"/>
          <w:szCs w:val="21"/>
        </w:rPr>
        <w:t xml:space="preserve">development </w:t>
      </w:r>
      <w:r w:rsidRPr="00755B3D">
        <w:rPr>
          <w:b w:val="0"/>
          <w:sz w:val="21"/>
          <w:szCs w:val="21"/>
        </w:rPr>
        <w:t>investments. The type</w:t>
      </w:r>
      <w:r w:rsidR="003E116C" w:rsidRPr="00755B3D">
        <w:rPr>
          <w:b w:val="0"/>
          <w:sz w:val="21"/>
          <w:szCs w:val="21"/>
        </w:rPr>
        <w:t>s</w:t>
      </w:r>
      <w:r w:rsidRPr="00755B3D">
        <w:rPr>
          <w:b w:val="0"/>
          <w:sz w:val="21"/>
          <w:szCs w:val="21"/>
        </w:rPr>
        <w:t xml:space="preserve"> of barriers include:</w:t>
      </w:r>
    </w:p>
    <w:p w14:paraId="2E5AE582" w14:textId="38DE400E" w:rsidR="00C46170" w:rsidRPr="00755B3D" w:rsidRDefault="00C46170" w:rsidP="00E65AFA">
      <w:pPr>
        <w:pStyle w:val="Box2Bullet"/>
        <w:spacing w:before="120" w:after="0" w:line="240" w:lineRule="auto"/>
        <w:rPr>
          <w:sz w:val="21"/>
          <w:szCs w:val="21"/>
        </w:rPr>
      </w:pPr>
      <w:r w:rsidRPr="00755B3D">
        <w:rPr>
          <w:sz w:val="21"/>
          <w:szCs w:val="21"/>
        </w:rPr>
        <w:t>Attitudinal and / or societal barriers (such as stigma)</w:t>
      </w:r>
    </w:p>
    <w:p w14:paraId="414C2104" w14:textId="075D921E" w:rsidR="00C46170" w:rsidRPr="00755B3D" w:rsidRDefault="00C46170" w:rsidP="00E65AFA">
      <w:pPr>
        <w:pStyle w:val="Box2Bullet"/>
        <w:spacing w:before="120" w:after="0" w:line="240" w:lineRule="auto"/>
        <w:rPr>
          <w:sz w:val="21"/>
          <w:szCs w:val="21"/>
        </w:rPr>
      </w:pPr>
      <w:r w:rsidRPr="00755B3D">
        <w:rPr>
          <w:sz w:val="21"/>
          <w:szCs w:val="21"/>
        </w:rPr>
        <w:t xml:space="preserve">Communication (such as information </w:t>
      </w:r>
      <w:r w:rsidR="00E65AFA">
        <w:rPr>
          <w:sz w:val="21"/>
          <w:szCs w:val="21"/>
        </w:rPr>
        <w:t>un</w:t>
      </w:r>
      <w:r w:rsidRPr="00755B3D">
        <w:rPr>
          <w:sz w:val="21"/>
          <w:szCs w:val="21"/>
        </w:rPr>
        <w:t>available in accessible formats</w:t>
      </w:r>
      <w:r w:rsidR="0093774C" w:rsidRPr="00755B3D">
        <w:rPr>
          <w:sz w:val="21"/>
          <w:szCs w:val="21"/>
        </w:rPr>
        <w:t xml:space="preserve"> or available in one format only</w:t>
      </w:r>
      <w:r w:rsidRPr="00755B3D">
        <w:rPr>
          <w:sz w:val="21"/>
          <w:szCs w:val="21"/>
        </w:rPr>
        <w:t>)</w:t>
      </w:r>
    </w:p>
    <w:p w14:paraId="01D123A0" w14:textId="294C97CE" w:rsidR="00C46170" w:rsidRPr="00755B3D" w:rsidRDefault="00C46170" w:rsidP="00E65AFA">
      <w:pPr>
        <w:pStyle w:val="Box2Bullet"/>
        <w:spacing w:before="120" w:after="0" w:line="240" w:lineRule="auto"/>
        <w:rPr>
          <w:sz w:val="21"/>
          <w:szCs w:val="21"/>
        </w:rPr>
      </w:pPr>
      <w:r w:rsidRPr="00755B3D">
        <w:rPr>
          <w:sz w:val="21"/>
          <w:szCs w:val="21"/>
        </w:rPr>
        <w:t xml:space="preserve">Physical and / or environmental barriers (such as stairs, inaccessible transport) and </w:t>
      </w:r>
    </w:p>
    <w:p w14:paraId="6DBFC193" w14:textId="246F9D8D" w:rsidR="00C46170" w:rsidRPr="00755B3D" w:rsidRDefault="00C46170" w:rsidP="00E65AFA">
      <w:pPr>
        <w:pStyle w:val="Box2Bullet"/>
        <w:spacing w:before="120" w:after="0" w:line="240" w:lineRule="auto"/>
        <w:rPr>
          <w:sz w:val="21"/>
          <w:szCs w:val="21"/>
        </w:rPr>
      </w:pPr>
      <w:r w:rsidRPr="00755B3D">
        <w:rPr>
          <w:sz w:val="21"/>
          <w:szCs w:val="21"/>
        </w:rPr>
        <w:t>Policy and / or systemic barriers (such as legislation, policies and procedures that explicitly or implicitly discriminate against people with disabilit</w:t>
      </w:r>
      <w:r w:rsidR="00916491">
        <w:rPr>
          <w:sz w:val="21"/>
          <w:szCs w:val="21"/>
        </w:rPr>
        <w:t>y</w:t>
      </w:r>
      <w:r w:rsidRPr="00755B3D">
        <w:rPr>
          <w:sz w:val="21"/>
          <w:szCs w:val="21"/>
        </w:rPr>
        <w:t>).</w:t>
      </w:r>
    </w:p>
    <w:p w14:paraId="4355CD6A" w14:textId="45055185" w:rsidR="00E133E4" w:rsidRPr="00C24BAB" w:rsidRDefault="005D62B6" w:rsidP="00C24BAB">
      <w:pPr>
        <w:pStyle w:val="Heading3"/>
        <w:spacing w:before="120" w:line="240" w:lineRule="auto"/>
        <w:contextualSpacing w:val="0"/>
        <w:rPr>
          <w:rFonts w:asciiTheme="minorHAnsi" w:eastAsiaTheme="minorEastAsia" w:hAnsiTheme="minorHAnsi" w:cstheme="minorHAnsi"/>
          <w:b w:val="0"/>
          <w:bCs/>
          <w:color w:val="auto"/>
          <w:sz w:val="21"/>
          <w:szCs w:val="21"/>
          <w:lang w:val="en-AU"/>
        </w:rPr>
      </w:pPr>
      <w:r w:rsidRPr="000947D9">
        <w:rPr>
          <w:rFonts w:asciiTheme="minorHAnsi" w:eastAsia="Calibri" w:hAnsiTheme="minorHAnsi" w:cstheme="minorHAnsi"/>
          <w:color w:val="auto"/>
          <w:sz w:val="21"/>
          <w:szCs w:val="21"/>
          <w:lang w:val="en-CA"/>
        </w:rPr>
        <w:t>Reasonable accommodation</w:t>
      </w:r>
      <w:r w:rsidR="00C24BAB">
        <w:rPr>
          <w:rFonts w:asciiTheme="minorHAnsi" w:eastAsia="Calibri" w:hAnsiTheme="minorHAnsi" w:cstheme="minorHAnsi"/>
          <w:color w:val="auto"/>
          <w:sz w:val="21"/>
          <w:szCs w:val="21"/>
          <w:lang w:val="en-CA"/>
        </w:rPr>
        <w:t xml:space="preserve">: </w:t>
      </w:r>
      <w:hyperlink r:id="rId13" w:history="1">
        <w:r w:rsidR="00E133E4" w:rsidRPr="00915D4E">
          <w:rPr>
            <w:rStyle w:val="Hyperlink"/>
            <w:rFonts w:cstheme="minorHAnsi"/>
            <w:b w:val="0"/>
            <w:bCs/>
            <w:color w:val="0070C0"/>
            <w:sz w:val="21"/>
            <w:szCs w:val="21"/>
          </w:rPr>
          <w:t>Reasonable accommodation</w:t>
        </w:r>
      </w:hyperlink>
      <w:r w:rsidR="00E133E4" w:rsidRPr="00C24BAB">
        <w:rPr>
          <w:rStyle w:val="cf01"/>
          <w:rFonts w:asciiTheme="minorHAnsi" w:hAnsiTheme="minorHAnsi" w:cstheme="minorHAnsi"/>
          <w:b w:val="0"/>
          <w:bCs/>
          <w:color w:val="auto"/>
          <w:sz w:val="21"/>
          <w:szCs w:val="21"/>
        </w:rPr>
        <w:t xml:space="preserve"> is the provision of support, modifications, and/or adjustments that meet the individual needs of people with disability to enable them to participate </w:t>
      </w:r>
      <w:r w:rsidR="00E133E4" w:rsidRPr="00C24BAB">
        <w:rPr>
          <w:rFonts w:asciiTheme="minorHAnsi" w:eastAsiaTheme="minorEastAsia" w:hAnsiTheme="minorHAnsi" w:cstheme="minorHAnsi"/>
          <w:b w:val="0"/>
          <w:bCs/>
          <w:color w:val="auto"/>
          <w:sz w:val="21"/>
          <w:szCs w:val="21"/>
        </w:rPr>
        <w:t xml:space="preserve">on an equal basis with others. People with disability have the right to request reasonable </w:t>
      </w:r>
      <w:r w:rsidR="00E133E4" w:rsidRPr="00C24BAB">
        <w:rPr>
          <w:rFonts w:asciiTheme="minorHAnsi" w:eastAsiaTheme="minorEastAsia" w:hAnsiTheme="minorHAnsi" w:cstheme="minorHAnsi"/>
          <w:b w:val="0"/>
          <w:bCs/>
          <w:color w:val="auto"/>
          <w:sz w:val="21"/>
          <w:szCs w:val="21"/>
          <w:lang w:val="en-US"/>
        </w:rPr>
        <w:t xml:space="preserve">support or adjustments that they consider to best support their participation in a specific situation. Checking whether reasonable accommodation is required should be built into processes, so it is not the sole responsibility of people with disability to ask. </w:t>
      </w:r>
    </w:p>
    <w:p w14:paraId="1383B0C3" w14:textId="0F122123" w:rsidR="00E133E4" w:rsidRPr="00C24BAB" w:rsidRDefault="00E133E4" w:rsidP="00E133E4">
      <w:pPr>
        <w:widowControl w:val="0"/>
        <w:autoSpaceDE w:val="0"/>
        <w:autoSpaceDN w:val="0"/>
        <w:adjustRightInd w:val="0"/>
        <w:spacing w:after="120"/>
        <w:textAlignment w:val="center"/>
        <w:rPr>
          <w:rFonts w:eastAsia="Times New Roman" w:cstheme="minorHAnsi"/>
          <w:color w:val="auto"/>
          <w:sz w:val="38"/>
          <w:szCs w:val="38"/>
        </w:rPr>
      </w:pPr>
      <w:r w:rsidRPr="00C24BAB">
        <w:rPr>
          <w:rFonts w:eastAsia="Franklin Gothic Book" w:cstheme="minorHAnsi"/>
          <w:color w:val="auto"/>
          <w:sz w:val="21"/>
          <w:szCs w:val="21"/>
          <w:lang w:val="en-CA"/>
        </w:rPr>
        <w:t xml:space="preserve">As a party to the </w:t>
      </w:r>
      <w:hyperlink r:id="rId14" w:history="1">
        <w:r w:rsidRPr="00915D4E">
          <w:rPr>
            <w:rStyle w:val="Hyperlink"/>
            <w:rFonts w:eastAsia="Franklin Gothic Book" w:cstheme="minorHAnsi"/>
            <w:color w:val="0070C0"/>
            <w:sz w:val="21"/>
            <w:szCs w:val="21"/>
            <w:lang w:val="en-CA"/>
          </w:rPr>
          <w:t>UN Convention on the Rights of Persons with Disabilities</w:t>
        </w:r>
      </w:hyperlink>
      <w:r w:rsidRPr="00C24BAB">
        <w:rPr>
          <w:rFonts w:eastAsia="Franklin Gothic Book" w:cstheme="minorHAnsi"/>
          <w:color w:val="auto"/>
          <w:sz w:val="21"/>
          <w:szCs w:val="21"/>
          <w:lang w:val="en-CA"/>
        </w:rPr>
        <w:t xml:space="preserve"> (CRPD), Australia has a responsibility to ensure its international cooperation, including development programs and humanitarian action, is inclusive of and accessible to people with disability. In line with this, </w:t>
      </w:r>
      <w:hyperlink r:id="rId15" w:history="1">
        <w:r w:rsidR="006B22A7" w:rsidRPr="009E3B44">
          <w:rPr>
            <w:rStyle w:val="Hyperlink"/>
            <w:rFonts w:eastAsiaTheme="minorEastAsia" w:cstheme="minorHAnsi"/>
            <w:color w:val="0070C0"/>
            <w:sz w:val="21"/>
            <w:szCs w:val="21"/>
            <w:lang w:val="en-US"/>
          </w:rPr>
          <w:t>IDEARS</w:t>
        </w:r>
      </w:hyperlink>
      <w:r w:rsidRPr="00C24BAB">
        <w:rPr>
          <w:rFonts w:eastAsiaTheme="minorEastAsia" w:cstheme="minorHAnsi"/>
          <w:color w:val="auto"/>
          <w:sz w:val="21"/>
          <w:szCs w:val="21"/>
          <w:lang w:val="en-US"/>
        </w:rPr>
        <w:t xml:space="preserve"> identifies reasonable accommodation as a key enabler for inclusion of people with disability across society.</w:t>
      </w:r>
    </w:p>
    <w:p w14:paraId="1996A16F" w14:textId="57ADBB48" w:rsidR="005D62B6" w:rsidRDefault="00C80E4C" w:rsidP="00C80E4C">
      <w:pPr>
        <w:pStyle w:val="Heading3"/>
        <w:spacing w:before="240"/>
        <w:contextualSpacing w:val="0"/>
        <w:rPr>
          <w:color w:val="auto"/>
          <w:sz w:val="38"/>
          <w:szCs w:val="38"/>
        </w:rPr>
      </w:pPr>
      <w:r w:rsidRPr="00E40EC6">
        <w:rPr>
          <w:color w:val="auto"/>
          <w:sz w:val="38"/>
          <w:szCs w:val="38"/>
        </w:rPr>
        <w:lastRenderedPageBreak/>
        <w:t>I</w:t>
      </w:r>
      <w:r w:rsidR="00DE62C3" w:rsidRPr="00E40EC6">
        <w:rPr>
          <w:color w:val="auto"/>
          <w:sz w:val="38"/>
          <w:szCs w:val="38"/>
        </w:rPr>
        <w:t xml:space="preserve">NTERNATIONAL DISABILITY EQUITY AND RIGHTS STRATEGY </w:t>
      </w:r>
    </w:p>
    <w:p w14:paraId="0446EA04" w14:textId="49899D8C" w:rsidR="00081ECD" w:rsidRPr="0029757B" w:rsidRDefault="00081ECD" w:rsidP="0074655F">
      <w:pPr>
        <w:spacing w:before="0"/>
        <w:rPr>
          <w:color w:val="auto"/>
          <w:sz w:val="21"/>
          <w:szCs w:val="21"/>
        </w:rPr>
      </w:pPr>
      <w:r w:rsidRPr="0029757B">
        <w:rPr>
          <w:color w:val="auto"/>
          <w:sz w:val="21"/>
          <w:szCs w:val="21"/>
        </w:rPr>
        <w:t xml:space="preserve">This framework </w:t>
      </w:r>
      <w:r w:rsidR="00CC72AD" w:rsidRPr="0029757B">
        <w:rPr>
          <w:color w:val="auto"/>
          <w:sz w:val="21"/>
          <w:szCs w:val="21"/>
        </w:rPr>
        <w:t>outlines Australia’s strategic approach to strengthening disability equity and rights</w:t>
      </w:r>
      <w:r w:rsidR="007E1120" w:rsidRPr="0029757B">
        <w:rPr>
          <w:color w:val="auto"/>
          <w:sz w:val="21"/>
          <w:szCs w:val="21"/>
        </w:rPr>
        <w:t xml:space="preserve"> </w:t>
      </w:r>
      <w:r w:rsidR="00EF0187">
        <w:rPr>
          <w:color w:val="auto"/>
          <w:sz w:val="21"/>
          <w:szCs w:val="21"/>
        </w:rPr>
        <w:t>in</w:t>
      </w:r>
      <w:r w:rsidR="001F77F0">
        <w:rPr>
          <w:color w:val="auto"/>
          <w:sz w:val="21"/>
          <w:szCs w:val="21"/>
        </w:rPr>
        <w:t xml:space="preserve"> international development, </w:t>
      </w:r>
      <w:r w:rsidR="0085322F">
        <w:rPr>
          <w:color w:val="auto"/>
          <w:sz w:val="21"/>
          <w:szCs w:val="21"/>
        </w:rPr>
        <w:t xml:space="preserve">foreign and </w:t>
      </w:r>
      <w:r w:rsidR="001F77F0">
        <w:rPr>
          <w:color w:val="auto"/>
          <w:sz w:val="21"/>
          <w:szCs w:val="21"/>
        </w:rPr>
        <w:t>trade policy</w:t>
      </w:r>
      <w:r w:rsidR="00EF0187">
        <w:rPr>
          <w:color w:val="auto"/>
          <w:sz w:val="21"/>
          <w:szCs w:val="21"/>
        </w:rPr>
        <w:t xml:space="preserve">, humanitarian assistance, disaster risk reduction and climate action. </w:t>
      </w:r>
    </w:p>
    <w:p w14:paraId="5D3A8C02" w14:textId="3951C51C" w:rsidR="00E24C0D" w:rsidRDefault="000947D9" w:rsidP="00C80458">
      <w:pPr>
        <w:pStyle w:val="Heading3"/>
      </w:pPr>
      <w:r>
        <w:rPr>
          <w:noProof/>
        </w:rPr>
        <w:drawing>
          <wp:inline distT="0" distB="0" distL="0" distR="0" wp14:anchorId="11039393" wp14:editId="0BFE7773">
            <wp:extent cx="6043315" cy="6377940"/>
            <wp:effectExtent l="0" t="0" r="0" b="3810"/>
            <wp:docPr id="1" name="Picture 1" descr="Image of a strategic framework outlining Australia's approach to international disability equity and rights. Based on five key approaches: support local leadership and decision-making; amplify our impact by working in partnership; do no harm in our international engagements; leave no one behind and twin-track efforts. See Annex 2 for written ver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a strategic framework outlining Australia's approach to international disability equity and rights. Based on five key approaches: support local leadership and decision-making; amplify our impact by working in partnership; do no harm in our international engagements; leave no one behind and twin-track efforts. See Annex 2 for written version.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48947" cy="6383884"/>
                    </a:xfrm>
                    <a:prstGeom prst="rect">
                      <a:avLst/>
                    </a:prstGeom>
                    <a:noFill/>
                    <a:ln>
                      <a:noFill/>
                    </a:ln>
                  </pic:spPr>
                </pic:pic>
              </a:graphicData>
            </a:graphic>
          </wp:inline>
        </w:drawing>
      </w:r>
    </w:p>
    <w:p w14:paraId="0AB06D43" w14:textId="77777777" w:rsidR="00887E16" w:rsidRDefault="00887E16">
      <w:pPr>
        <w:suppressAutoHyphens w:val="0"/>
        <w:spacing w:before="0" w:after="120" w:line="440" w:lineRule="atLeast"/>
        <w:rPr>
          <w:rFonts w:asciiTheme="majorHAnsi" w:eastAsiaTheme="majorEastAsia" w:hAnsiTheme="majorHAnsi" w:cstheme="majorBidi"/>
          <w:b/>
          <w:color w:val="auto"/>
          <w:sz w:val="30"/>
          <w:szCs w:val="28"/>
        </w:rPr>
      </w:pPr>
      <w:r>
        <w:rPr>
          <w:color w:val="auto"/>
        </w:rPr>
        <w:br w:type="page"/>
      </w:r>
    </w:p>
    <w:p w14:paraId="6ED8DC5E" w14:textId="0F7CAB96" w:rsidR="005D62B6" w:rsidRPr="00887E16" w:rsidRDefault="005D62B6" w:rsidP="00E40EC6">
      <w:pPr>
        <w:pStyle w:val="Heading3"/>
        <w:spacing w:before="240"/>
        <w:contextualSpacing w:val="0"/>
        <w:rPr>
          <w:color w:val="auto"/>
          <w:sz w:val="38"/>
          <w:szCs w:val="38"/>
        </w:rPr>
      </w:pPr>
      <w:r w:rsidRPr="00887E16">
        <w:rPr>
          <w:color w:val="auto"/>
          <w:sz w:val="38"/>
          <w:szCs w:val="38"/>
        </w:rPr>
        <w:lastRenderedPageBreak/>
        <w:t xml:space="preserve">Entry points in </w:t>
      </w:r>
      <w:r w:rsidR="00945594" w:rsidRPr="00887E16">
        <w:rPr>
          <w:color w:val="auto"/>
          <w:sz w:val="38"/>
          <w:szCs w:val="38"/>
        </w:rPr>
        <w:t xml:space="preserve">the </w:t>
      </w:r>
      <w:r w:rsidR="000867EC" w:rsidRPr="00887E16">
        <w:rPr>
          <w:color w:val="auto"/>
          <w:sz w:val="38"/>
          <w:szCs w:val="38"/>
        </w:rPr>
        <w:t xml:space="preserve">development program </w:t>
      </w:r>
      <w:r w:rsidRPr="00887E16">
        <w:rPr>
          <w:color w:val="auto"/>
          <w:sz w:val="38"/>
          <w:szCs w:val="38"/>
        </w:rPr>
        <w:t>management</w:t>
      </w:r>
      <w:r w:rsidR="00E309D5">
        <w:rPr>
          <w:color w:val="auto"/>
          <w:sz w:val="38"/>
          <w:szCs w:val="38"/>
        </w:rPr>
        <w:t xml:space="preserve"> cycle</w:t>
      </w:r>
    </w:p>
    <w:p w14:paraId="108AEFC6" w14:textId="05198407" w:rsidR="005D62B6" w:rsidRPr="00945594" w:rsidRDefault="005D62B6" w:rsidP="005D62B6">
      <w:pPr>
        <w:spacing w:after="120"/>
        <w:rPr>
          <w:rFonts w:eastAsia="Times New Roman"/>
          <w:color w:val="auto"/>
          <w:sz w:val="21"/>
          <w:szCs w:val="21"/>
        </w:rPr>
      </w:pPr>
      <w:r w:rsidRPr="00945594">
        <w:rPr>
          <w:rFonts w:eastAsia="Times New Roman"/>
          <w:color w:val="auto"/>
          <w:sz w:val="21"/>
          <w:szCs w:val="21"/>
        </w:rPr>
        <w:t>Disability</w:t>
      </w:r>
      <w:r w:rsidR="00F9280C" w:rsidRPr="00945594">
        <w:rPr>
          <w:rFonts w:eastAsia="Times New Roman"/>
          <w:color w:val="auto"/>
          <w:sz w:val="21"/>
          <w:szCs w:val="21"/>
        </w:rPr>
        <w:t xml:space="preserve"> </w:t>
      </w:r>
      <w:r w:rsidR="14F7F728" w:rsidRPr="00945594">
        <w:rPr>
          <w:rFonts w:eastAsia="Times New Roman"/>
          <w:color w:val="auto"/>
          <w:sz w:val="21"/>
          <w:szCs w:val="21"/>
        </w:rPr>
        <w:t>equity and rights</w:t>
      </w:r>
      <w:r w:rsidRPr="00945594">
        <w:rPr>
          <w:rFonts w:eastAsia="Times New Roman"/>
          <w:color w:val="auto"/>
          <w:sz w:val="21"/>
          <w:szCs w:val="21"/>
        </w:rPr>
        <w:t xml:space="preserve"> should be considered at all stages of the </w:t>
      </w:r>
      <w:r w:rsidR="000867EC" w:rsidRPr="00945594">
        <w:rPr>
          <w:rFonts w:eastAsia="Times New Roman"/>
          <w:color w:val="auto"/>
          <w:sz w:val="21"/>
          <w:szCs w:val="21"/>
        </w:rPr>
        <w:t xml:space="preserve">development program </w:t>
      </w:r>
      <w:r w:rsidRPr="00945594">
        <w:rPr>
          <w:rFonts w:eastAsia="Times New Roman"/>
          <w:color w:val="auto"/>
          <w:sz w:val="21"/>
          <w:szCs w:val="21"/>
        </w:rPr>
        <w:t xml:space="preserve">management cycle – in policy and </w:t>
      </w:r>
      <w:r w:rsidR="006702EC" w:rsidRPr="00945594">
        <w:rPr>
          <w:rFonts w:eastAsia="Times New Roman"/>
          <w:color w:val="auto"/>
          <w:sz w:val="21"/>
          <w:szCs w:val="21"/>
        </w:rPr>
        <w:t>planning</w:t>
      </w:r>
      <w:r w:rsidR="002A68CE" w:rsidRPr="00945594">
        <w:rPr>
          <w:rFonts w:eastAsia="Times New Roman"/>
          <w:color w:val="auto"/>
          <w:sz w:val="21"/>
          <w:szCs w:val="21"/>
        </w:rPr>
        <w:t>,</w:t>
      </w:r>
      <w:r w:rsidR="006702EC" w:rsidRPr="00945594">
        <w:rPr>
          <w:rFonts w:eastAsia="Times New Roman"/>
          <w:color w:val="auto"/>
          <w:sz w:val="21"/>
          <w:szCs w:val="21"/>
        </w:rPr>
        <w:t xml:space="preserve"> design and procurement</w:t>
      </w:r>
      <w:r w:rsidRPr="00945594">
        <w:rPr>
          <w:rFonts w:eastAsia="Times New Roman"/>
          <w:color w:val="auto"/>
          <w:sz w:val="21"/>
          <w:szCs w:val="21"/>
        </w:rPr>
        <w:t xml:space="preserve">, implementation and </w:t>
      </w:r>
      <w:r w:rsidR="006702EC" w:rsidRPr="00945594">
        <w:rPr>
          <w:rFonts w:eastAsia="Times New Roman"/>
          <w:color w:val="auto"/>
          <w:sz w:val="21"/>
          <w:szCs w:val="21"/>
        </w:rPr>
        <w:t>performance management</w:t>
      </w:r>
      <w:r w:rsidRPr="00945594">
        <w:rPr>
          <w:rFonts w:eastAsia="Times New Roman"/>
          <w:color w:val="auto"/>
          <w:sz w:val="21"/>
          <w:szCs w:val="21"/>
        </w:rPr>
        <w:t xml:space="preserve"> </w:t>
      </w:r>
      <w:r w:rsidR="006702EC" w:rsidRPr="00945594">
        <w:rPr>
          <w:rFonts w:eastAsia="Times New Roman"/>
          <w:color w:val="auto"/>
          <w:sz w:val="21"/>
          <w:szCs w:val="21"/>
        </w:rPr>
        <w:t>and review and evaluation</w:t>
      </w:r>
      <w:r w:rsidRPr="00945594">
        <w:rPr>
          <w:rFonts w:eastAsia="Times New Roman"/>
          <w:color w:val="auto"/>
          <w:sz w:val="21"/>
          <w:szCs w:val="21"/>
        </w:rPr>
        <w:t xml:space="preserve">. </w:t>
      </w:r>
      <w:r w:rsidR="00B303E5" w:rsidRPr="00945594">
        <w:rPr>
          <w:rFonts w:eastAsia="Times New Roman"/>
          <w:color w:val="auto"/>
          <w:sz w:val="21"/>
          <w:szCs w:val="21"/>
        </w:rPr>
        <w:t xml:space="preserve">Entry </w:t>
      </w:r>
      <w:r w:rsidRPr="00945594">
        <w:rPr>
          <w:rFonts w:eastAsia="Times New Roman"/>
          <w:color w:val="auto"/>
          <w:sz w:val="21"/>
          <w:szCs w:val="21"/>
        </w:rPr>
        <w:t>points to strengthen the disability objectives and outcomes</w:t>
      </w:r>
      <w:r w:rsidR="00B303E5" w:rsidRPr="00945594">
        <w:rPr>
          <w:rFonts w:eastAsia="Times New Roman"/>
          <w:color w:val="auto"/>
          <w:sz w:val="21"/>
          <w:szCs w:val="21"/>
        </w:rPr>
        <w:t xml:space="preserve"> include</w:t>
      </w:r>
      <w:r w:rsidRPr="00945594">
        <w:rPr>
          <w:rFonts w:eastAsia="Times New Roman"/>
          <w:color w:val="auto"/>
          <w:sz w:val="21"/>
          <w:szCs w:val="21"/>
        </w:rPr>
        <w:t>:</w:t>
      </w:r>
    </w:p>
    <w:p w14:paraId="491C6C04" w14:textId="77777777" w:rsidR="00356C0E" w:rsidRPr="00945594" w:rsidRDefault="00EA4B5C" w:rsidP="00356C0E">
      <w:pPr>
        <w:pStyle w:val="ListParagraph"/>
        <w:numPr>
          <w:ilvl w:val="0"/>
          <w:numId w:val="13"/>
        </w:numPr>
        <w:spacing w:before="120" w:after="120"/>
        <w:rPr>
          <w:rFonts w:asciiTheme="minorHAnsi" w:hAnsiTheme="minorHAnsi" w:cstheme="minorBidi"/>
          <w:sz w:val="21"/>
          <w:szCs w:val="21"/>
        </w:rPr>
      </w:pPr>
      <w:r w:rsidRPr="00945594">
        <w:rPr>
          <w:rFonts w:asciiTheme="minorHAnsi" w:hAnsiTheme="minorHAnsi" w:cstheme="minorBidi"/>
          <w:sz w:val="21"/>
          <w:szCs w:val="21"/>
        </w:rPr>
        <w:t xml:space="preserve">Conducting </w:t>
      </w:r>
      <w:r w:rsidR="00226D2C" w:rsidRPr="00945594">
        <w:rPr>
          <w:rFonts w:asciiTheme="minorHAnsi" w:hAnsiTheme="minorHAnsi" w:cstheme="minorBidi"/>
          <w:sz w:val="21"/>
          <w:szCs w:val="21"/>
        </w:rPr>
        <w:t>disability analysis (including as part of an intersectional GEDSI analysis) to i</w:t>
      </w:r>
      <w:r w:rsidR="005D62B6" w:rsidRPr="00945594">
        <w:rPr>
          <w:rFonts w:asciiTheme="minorHAnsi" w:hAnsiTheme="minorHAnsi" w:cstheme="minorBidi"/>
          <w:sz w:val="21"/>
          <w:szCs w:val="21"/>
        </w:rPr>
        <w:t>dentifying key challenges and barriers to disabilit</w:t>
      </w:r>
      <w:r w:rsidR="00F9280C" w:rsidRPr="00945594">
        <w:rPr>
          <w:rFonts w:asciiTheme="minorHAnsi" w:hAnsiTheme="minorHAnsi" w:cstheme="minorBidi"/>
          <w:sz w:val="21"/>
          <w:szCs w:val="21"/>
        </w:rPr>
        <w:t xml:space="preserve">y </w:t>
      </w:r>
      <w:r w:rsidR="41C03DB8" w:rsidRPr="00945594">
        <w:rPr>
          <w:rFonts w:asciiTheme="minorHAnsi" w:hAnsiTheme="minorHAnsi" w:cstheme="minorBidi"/>
          <w:sz w:val="21"/>
          <w:szCs w:val="21"/>
        </w:rPr>
        <w:t>equity and rights</w:t>
      </w:r>
      <w:r w:rsidR="005D62B6" w:rsidRPr="00945594">
        <w:rPr>
          <w:rFonts w:asciiTheme="minorHAnsi" w:hAnsiTheme="minorHAnsi" w:cstheme="minorBidi"/>
          <w:sz w:val="21"/>
          <w:szCs w:val="21"/>
        </w:rPr>
        <w:t xml:space="preserve"> in the country/ region</w:t>
      </w:r>
      <w:r w:rsidR="00226D2C" w:rsidRPr="00945594">
        <w:rPr>
          <w:rFonts w:asciiTheme="minorHAnsi" w:hAnsiTheme="minorHAnsi" w:cstheme="minorBidi"/>
          <w:sz w:val="21"/>
          <w:szCs w:val="21"/>
        </w:rPr>
        <w:t>.</w:t>
      </w:r>
      <w:r w:rsidR="00356C0E" w:rsidRPr="00945594">
        <w:rPr>
          <w:rFonts w:asciiTheme="minorHAnsi" w:hAnsiTheme="minorHAnsi" w:cstheme="minorBidi"/>
          <w:sz w:val="21"/>
          <w:szCs w:val="21"/>
        </w:rPr>
        <w:t xml:space="preserve"> </w:t>
      </w:r>
    </w:p>
    <w:p w14:paraId="3D1D2884" w14:textId="7E972E4C" w:rsidR="005D62B6" w:rsidRPr="00945594" w:rsidRDefault="00356C0E" w:rsidP="00356C0E">
      <w:pPr>
        <w:pStyle w:val="ListParagraph"/>
        <w:numPr>
          <w:ilvl w:val="0"/>
          <w:numId w:val="13"/>
        </w:numPr>
        <w:spacing w:before="120" w:after="120"/>
        <w:rPr>
          <w:rFonts w:asciiTheme="minorHAnsi" w:hAnsiTheme="minorHAnsi" w:cstheme="minorBidi"/>
          <w:sz w:val="21"/>
          <w:szCs w:val="21"/>
        </w:rPr>
      </w:pPr>
      <w:r w:rsidRPr="00945594">
        <w:rPr>
          <w:rFonts w:asciiTheme="minorHAnsi" w:hAnsiTheme="minorHAnsi" w:cstheme="minorBidi"/>
          <w:sz w:val="21"/>
          <w:szCs w:val="21"/>
        </w:rPr>
        <w:t xml:space="preserve">Consulting with </w:t>
      </w:r>
      <w:r w:rsidR="005D62B6" w:rsidRPr="00945594">
        <w:rPr>
          <w:rFonts w:asciiTheme="minorHAnsi" w:hAnsiTheme="minorHAnsi" w:cstheme="minorBidi"/>
          <w:sz w:val="21"/>
          <w:szCs w:val="21"/>
        </w:rPr>
        <w:t>people with disabilit</w:t>
      </w:r>
      <w:r w:rsidR="668CFEB8" w:rsidRPr="00945594">
        <w:rPr>
          <w:rFonts w:asciiTheme="minorHAnsi" w:hAnsiTheme="minorHAnsi" w:cstheme="minorBidi"/>
          <w:sz w:val="21"/>
          <w:szCs w:val="21"/>
        </w:rPr>
        <w:t>y</w:t>
      </w:r>
      <w:r w:rsidR="005D62B6" w:rsidRPr="00945594">
        <w:rPr>
          <w:rFonts w:asciiTheme="minorHAnsi" w:hAnsiTheme="minorHAnsi" w:cstheme="minorBidi"/>
          <w:sz w:val="21"/>
          <w:szCs w:val="21"/>
        </w:rPr>
        <w:t xml:space="preserve"> and </w:t>
      </w:r>
      <w:r w:rsidR="00735681" w:rsidRPr="00945594">
        <w:rPr>
          <w:rFonts w:asciiTheme="minorHAnsi" w:hAnsiTheme="minorHAnsi" w:cstheme="minorBidi"/>
          <w:sz w:val="21"/>
          <w:szCs w:val="21"/>
        </w:rPr>
        <w:t xml:space="preserve">organisations of people with disabilities </w:t>
      </w:r>
      <w:r w:rsidR="00F00F1A" w:rsidRPr="00945594">
        <w:rPr>
          <w:rFonts w:asciiTheme="minorHAnsi" w:hAnsiTheme="minorHAnsi" w:cstheme="minorBidi"/>
          <w:sz w:val="21"/>
          <w:szCs w:val="21"/>
        </w:rPr>
        <w:t>(</w:t>
      </w:r>
      <w:r w:rsidR="00735681" w:rsidRPr="00945594">
        <w:rPr>
          <w:rFonts w:asciiTheme="minorHAnsi" w:hAnsiTheme="minorHAnsi" w:cstheme="minorBidi"/>
          <w:sz w:val="21"/>
          <w:szCs w:val="21"/>
        </w:rPr>
        <w:t>OPDs</w:t>
      </w:r>
      <w:r w:rsidR="005D62B6" w:rsidRPr="00945594">
        <w:rPr>
          <w:rFonts w:asciiTheme="minorHAnsi" w:hAnsiTheme="minorHAnsi" w:cstheme="minorBidi"/>
          <w:sz w:val="21"/>
          <w:szCs w:val="21"/>
        </w:rPr>
        <w:t>)</w:t>
      </w:r>
      <w:r w:rsidR="00DB6D67" w:rsidRPr="00945594">
        <w:rPr>
          <w:rFonts w:asciiTheme="minorHAnsi" w:hAnsiTheme="minorHAnsi" w:cstheme="minorBidi"/>
          <w:sz w:val="21"/>
          <w:szCs w:val="21"/>
        </w:rPr>
        <w:t>.</w:t>
      </w:r>
      <w:r w:rsidR="005D62B6" w:rsidRPr="00945594">
        <w:rPr>
          <w:sz w:val="21"/>
          <w:szCs w:val="21"/>
        </w:rPr>
        <w:t xml:space="preserve"> </w:t>
      </w:r>
    </w:p>
    <w:p w14:paraId="22A82287" w14:textId="519FE1E9" w:rsidR="005D62B6" w:rsidRPr="00945594" w:rsidRDefault="005D62B6" w:rsidP="00292F72">
      <w:pPr>
        <w:pStyle w:val="ListParagraph"/>
        <w:numPr>
          <w:ilvl w:val="0"/>
          <w:numId w:val="13"/>
        </w:numPr>
        <w:spacing w:before="120" w:after="120"/>
        <w:rPr>
          <w:rFonts w:asciiTheme="minorHAnsi" w:hAnsiTheme="minorHAnsi" w:cstheme="minorBidi"/>
          <w:sz w:val="21"/>
          <w:szCs w:val="21"/>
        </w:rPr>
      </w:pPr>
      <w:r w:rsidRPr="00945594">
        <w:rPr>
          <w:rFonts w:asciiTheme="minorHAnsi" w:hAnsiTheme="minorHAnsi" w:cstheme="minorBidi"/>
          <w:sz w:val="21"/>
          <w:szCs w:val="21"/>
        </w:rPr>
        <w:t>Identifying opportunities to address challenges</w:t>
      </w:r>
      <w:r w:rsidR="00836D43" w:rsidRPr="00945594">
        <w:rPr>
          <w:rFonts w:asciiTheme="minorHAnsi" w:hAnsiTheme="minorHAnsi" w:cstheme="minorBidi"/>
          <w:sz w:val="21"/>
          <w:szCs w:val="21"/>
        </w:rPr>
        <w:t xml:space="preserve"> and barriers to </w:t>
      </w:r>
      <w:r w:rsidR="004A37B2" w:rsidRPr="00945594">
        <w:rPr>
          <w:rFonts w:asciiTheme="minorHAnsi" w:hAnsiTheme="minorHAnsi" w:cstheme="minorBidi"/>
          <w:sz w:val="21"/>
          <w:szCs w:val="21"/>
        </w:rPr>
        <w:t>disability equity and rights through</w:t>
      </w:r>
      <w:r w:rsidRPr="00945594">
        <w:rPr>
          <w:rFonts w:asciiTheme="minorHAnsi" w:hAnsiTheme="minorHAnsi" w:cstheme="minorBidi"/>
          <w:sz w:val="21"/>
          <w:szCs w:val="21"/>
        </w:rPr>
        <w:t xml:space="preserve"> targeted </w:t>
      </w:r>
      <w:r w:rsidR="00DB6D67" w:rsidRPr="00945594">
        <w:rPr>
          <w:rFonts w:asciiTheme="minorHAnsi" w:hAnsiTheme="minorHAnsi" w:cstheme="minorBidi"/>
          <w:sz w:val="21"/>
          <w:szCs w:val="21"/>
        </w:rPr>
        <w:t xml:space="preserve">and </w:t>
      </w:r>
      <w:r w:rsidRPr="00945594">
        <w:rPr>
          <w:rFonts w:asciiTheme="minorHAnsi" w:hAnsiTheme="minorHAnsi" w:cstheme="minorBidi"/>
          <w:sz w:val="21"/>
          <w:szCs w:val="21"/>
        </w:rPr>
        <w:t>mainstreamed approach</w:t>
      </w:r>
      <w:r w:rsidR="004A37B2" w:rsidRPr="00945594">
        <w:rPr>
          <w:rFonts w:asciiTheme="minorHAnsi" w:hAnsiTheme="minorHAnsi" w:cstheme="minorBidi"/>
          <w:sz w:val="21"/>
          <w:szCs w:val="21"/>
        </w:rPr>
        <w:t>es.</w:t>
      </w:r>
    </w:p>
    <w:p w14:paraId="27414EF7" w14:textId="76BC8047" w:rsidR="005D62B6" w:rsidRPr="00945594" w:rsidRDefault="005D62B6" w:rsidP="00292F72">
      <w:pPr>
        <w:pStyle w:val="ListParagraph"/>
        <w:numPr>
          <w:ilvl w:val="0"/>
          <w:numId w:val="13"/>
        </w:numPr>
        <w:spacing w:before="120" w:after="120"/>
        <w:ind w:left="357" w:hanging="357"/>
        <w:rPr>
          <w:rFonts w:asciiTheme="minorHAnsi" w:hAnsiTheme="minorHAnsi" w:cstheme="minorBidi"/>
          <w:sz w:val="21"/>
          <w:szCs w:val="21"/>
        </w:rPr>
      </w:pPr>
      <w:r w:rsidRPr="00945594">
        <w:rPr>
          <w:rFonts w:asciiTheme="minorHAnsi" w:hAnsiTheme="minorHAnsi" w:cstheme="minorBidi"/>
          <w:sz w:val="21"/>
          <w:szCs w:val="21"/>
        </w:rPr>
        <w:t>Making disability</w:t>
      </w:r>
      <w:r w:rsidR="00C5748E" w:rsidRPr="00945594">
        <w:rPr>
          <w:rFonts w:asciiTheme="minorHAnsi" w:hAnsiTheme="minorHAnsi" w:cstheme="minorBidi"/>
          <w:sz w:val="21"/>
          <w:szCs w:val="21"/>
        </w:rPr>
        <w:t xml:space="preserve"> </w:t>
      </w:r>
      <w:r w:rsidR="7B555F67" w:rsidRPr="00945594">
        <w:rPr>
          <w:rFonts w:asciiTheme="minorHAnsi" w:hAnsiTheme="minorHAnsi" w:cstheme="minorBidi"/>
          <w:sz w:val="21"/>
          <w:szCs w:val="21"/>
        </w:rPr>
        <w:t>equity and rights</w:t>
      </w:r>
      <w:r w:rsidRPr="00945594">
        <w:rPr>
          <w:rFonts w:asciiTheme="minorHAnsi" w:hAnsiTheme="minorHAnsi" w:cstheme="minorBidi"/>
          <w:sz w:val="21"/>
          <w:szCs w:val="21"/>
        </w:rPr>
        <w:t xml:space="preserve"> actions clear in all</w:t>
      </w:r>
      <w:r w:rsidR="002A68CE" w:rsidRPr="00945594">
        <w:rPr>
          <w:rFonts w:asciiTheme="minorHAnsi" w:hAnsiTheme="minorHAnsi" w:cstheme="minorBidi"/>
          <w:sz w:val="21"/>
          <w:szCs w:val="21"/>
        </w:rPr>
        <w:t xml:space="preserve"> program</w:t>
      </w:r>
      <w:r w:rsidRPr="00945594">
        <w:rPr>
          <w:rFonts w:asciiTheme="minorHAnsi" w:hAnsiTheme="minorHAnsi" w:cstheme="minorBidi"/>
          <w:sz w:val="21"/>
          <w:szCs w:val="21"/>
        </w:rPr>
        <w:t xml:space="preserve"> documentation</w:t>
      </w:r>
      <w:r w:rsidR="002A68CE" w:rsidRPr="00945594">
        <w:rPr>
          <w:rFonts w:asciiTheme="minorHAnsi" w:hAnsiTheme="minorHAnsi" w:cstheme="minorBidi"/>
          <w:sz w:val="21"/>
          <w:szCs w:val="21"/>
        </w:rPr>
        <w:t xml:space="preserve"> </w:t>
      </w:r>
      <w:r w:rsidR="007717D7" w:rsidRPr="00945594">
        <w:rPr>
          <w:rFonts w:asciiTheme="minorHAnsi" w:hAnsiTheme="minorHAnsi" w:cstheme="minorBidi"/>
          <w:sz w:val="21"/>
          <w:szCs w:val="21"/>
        </w:rPr>
        <w:t xml:space="preserve">including </w:t>
      </w:r>
      <w:r w:rsidRPr="00945594">
        <w:rPr>
          <w:rFonts w:asciiTheme="minorHAnsi" w:hAnsiTheme="minorHAnsi" w:cstheme="minorBidi"/>
          <w:sz w:val="21"/>
          <w:szCs w:val="21"/>
        </w:rPr>
        <w:t>designs</w:t>
      </w:r>
      <w:r w:rsidR="007717D7" w:rsidRPr="00945594">
        <w:rPr>
          <w:rFonts w:asciiTheme="minorHAnsi" w:hAnsiTheme="minorHAnsi" w:cstheme="minorBidi"/>
          <w:sz w:val="21"/>
          <w:szCs w:val="21"/>
        </w:rPr>
        <w:t>,</w:t>
      </w:r>
      <w:r w:rsidR="006702EC" w:rsidRPr="00945594">
        <w:rPr>
          <w:rFonts w:asciiTheme="minorHAnsi" w:hAnsiTheme="minorHAnsi" w:cstheme="minorBidi"/>
          <w:sz w:val="21"/>
          <w:szCs w:val="21"/>
        </w:rPr>
        <w:t xml:space="preserve"> </w:t>
      </w:r>
      <w:r w:rsidR="007717D7" w:rsidRPr="00945594">
        <w:rPr>
          <w:rFonts w:asciiTheme="minorHAnsi" w:hAnsiTheme="minorHAnsi" w:cstheme="minorBidi"/>
          <w:sz w:val="21"/>
          <w:szCs w:val="21"/>
        </w:rPr>
        <w:t>risk assessments</w:t>
      </w:r>
      <w:r w:rsidR="006702EC" w:rsidRPr="00945594">
        <w:rPr>
          <w:rFonts w:asciiTheme="minorHAnsi" w:hAnsiTheme="minorHAnsi" w:cstheme="minorBidi"/>
          <w:sz w:val="21"/>
          <w:szCs w:val="21"/>
        </w:rPr>
        <w:t xml:space="preserve">, </w:t>
      </w:r>
      <w:r w:rsidRPr="00945594">
        <w:rPr>
          <w:rFonts w:asciiTheme="minorHAnsi" w:hAnsiTheme="minorHAnsi" w:cstheme="minorBidi"/>
          <w:sz w:val="21"/>
          <w:szCs w:val="21"/>
        </w:rPr>
        <w:t>analys</w:t>
      </w:r>
      <w:r w:rsidR="007717D7" w:rsidRPr="00945594">
        <w:rPr>
          <w:rFonts w:asciiTheme="minorHAnsi" w:hAnsiTheme="minorHAnsi" w:cstheme="minorBidi"/>
          <w:sz w:val="21"/>
          <w:szCs w:val="21"/>
        </w:rPr>
        <w:t>e</w:t>
      </w:r>
      <w:r w:rsidRPr="00945594">
        <w:rPr>
          <w:rFonts w:asciiTheme="minorHAnsi" w:hAnsiTheme="minorHAnsi" w:cstheme="minorBidi"/>
          <w:sz w:val="21"/>
          <w:szCs w:val="21"/>
        </w:rPr>
        <w:t xml:space="preserve">s, contracts and grant agreements, </w:t>
      </w:r>
      <w:r w:rsidR="007717D7" w:rsidRPr="00945594">
        <w:rPr>
          <w:rFonts w:asciiTheme="minorHAnsi" w:hAnsiTheme="minorHAnsi" w:cstheme="minorBidi"/>
          <w:sz w:val="21"/>
          <w:szCs w:val="21"/>
        </w:rPr>
        <w:t>evaluation frameworks,</w:t>
      </w:r>
      <w:r w:rsidR="009345A8" w:rsidRPr="00945594">
        <w:rPr>
          <w:rFonts w:asciiTheme="minorHAnsi" w:hAnsiTheme="minorHAnsi" w:cstheme="minorBidi"/>
          <w:sz w:val="21"/>
          <w:szCs w:val="21"/>
        </w:rPr>
        <w:t xml:space="preserve"> </w:t>
      </w:r>
      <w:r w:rsidRPr="00945594">
        <w:rPr>
          <w:rFonts w:asciiTheme="minorHAnsi" w:hAnsiTheme="minorHAnsi" w:cstheme="minorBidi"/>
          <w:sz w:val="21"/>
          <w:szCs w:val="21"/>
        </w:rPr>
        <w:t>reviews</w:t>
      </w:r>
      <w:r w:rsidR="00DB6D67" w:rsidRPr="00945594">
        <w:rPr>
          <w:rFonts w:asciiTheme="minorHAnsi" w:hAnsiTheme="minorHAnsi" w:cstheme="minorBidi"/>
          <w:sz w:val="21"/>
          <w:szCs w:val="21"/>
        </w:rPr>
        <w:t xml:space="preserve"> and evaluations</w:t>
      </w:r>
      <w:r w:rsidR="007300BF" w:rsidRPr="00945594">
        <w:rPr>
          <w:rFonts w:asciiTheme="minorHAnsi" w:hAnsiTheme="minorHAnsi" w:cstheme="minorBidi"/>
          <w:sz w:val="21"/>
          <w:szCs w:val="21"/>
        </w:rPr>
        <w:t>.</w:t>
      </w:r>
    </w:p>
    <w:p w14:paraId="3EFA132F" w14:textId="5DC3835E" w:rsidR="000B47BC" w:rsidRDefault="000B47BC" w:rsidP="00292F72">
      <w:pPr>
        <w:pStyle w:val="ListParagraph"/>
        <w:numPr>
          <w:ilvl w:val="0"/>
          <w:numId w:val="13"/>
        </w:numPr>
        <w:spacing w:before="120" w:after="120"/>
        <w:rPr>
          <w:rFonts w:asciiTheme="minorHAnsi" w:hAnsiTheme="minorHAnsi" w:cstheme="minorBidi"/>
          <w:sz w:val="21"/>
          <w:szCs w:val="21"/>
        </w:rPr>
      </w:pPr>
      <w:r w:rsidRPr="000B47BC">
        <w:rPr>
          <w:rFonts w:asciiTheme="minorHAnsi" w:hAnsiTheme="minorHAnsi" w:cstheme="minorBidi"/>
          <w:sz w:val="21"/>
          <w:szCs w:val="21"/>
        </w:rPr>
        <w:t>Ensuring adequate funding has been set aside (approximately 3 to 5 per cent of the budget should be allocated specifically for ensuring the program or strategy development process is inclusive and accessible)</w:t>
      </w:r>
      <w:r>
        <w:rPr>
          <w:rStyle w:val="FootnoteReference"/>
          <w:rFonts w:asciiTheme="minorHAnsi" w:hAnsiTheme="minorHAnsi" w:cstheme="minorBidi"/>
          <w:sz w:val="21"/>
          <w:szCs w:val="21"/>
        </w:rPr>
        <w:footnoteReference w:id="5"/>
      </w:r>
      <w:r w:rsidRPr="000B47BC">
        <w:rPr>
          <w:rFonts w:asciiTheme="minorHAnsi" w:hAnsiTheme="minorHAnsi" w:cstheme="minorBidi"/>
          <w:sz w:val="21"/>
          <w:szCs w:val="21"/>
        </w:rPr>
        <w:t xml:space="preserve"> to cover potential costs associated with ensuring people with disabilities and their representative organisations can participate in and benefit from the program.</w:t>
      </w:r>
    </w:p>
    <w:p w14:paraId="1A8340E6" w14:textId="663CDE5B" w:rsidR="005D62B6" w:rsidRPr="00945594" w:rsidRDefault="007E7DCC" w:rsidP="00292F72">
      <w:pPr>
        <w:pStyle w:val="ListParagraph"/>
        <w:numPr>
          <w:ilvl w:val="0"/>
          <w:numId w:val="13"/>
        </w:numPr>
        <w:spacing w:before="120" w:after="120"/>
        <w:rPr>
          <w:rFonts w:asciiTheme="minorHAnsi" w:hAnsiTheme="minorHAnsi" w:cstheme="minorBidi"/>
          <w:sz w:val="21"/>
          <w:szCs w:val="21"/>
        </w:rPr>
      </w:pPr>
      <w:r w:rsidRPr="00945594">
        <w:rPr>
          <w:rFonts w:asciiTheme="minorHAnsi" w:hAnsiTheme="minorHAnsi" w:cstheme="minorBidi"/>
          <w:sz w:val="21"/>
          <w:szCs w:val="21"/>
        </w:rPr>
        <w:t>Ensuring people with</w:t>
      </w:r>
      <w:r w:rsidR="005D62B6" w:rsidRPr="00945594">
        <w:rPr>
          <w:rFonts w:asciiTheme="minorHAnsi" w:hAnsiTheme="minorHAnsi" w:cstheme="minorBidi"/>
          <w:sz w:val="21"/>
          <w:szCs w:val="21"/>
        </w:rPr>
        <w:t xml:space="preserve"> disability</w:t>
      </w:r>
      <w:r w:rsidR="687500A2" w:rsidRPr="00945594">
        <w:rPr>
          <w:rFonts w:asciiTheme="minorHAnsi" w:hAnsiTheme="minorHAnsi" w:cstheme="minorBidi"/>
          <w:sz w:val="21"/>
          <w:szCs w:val="21"/>
        </w:rPr>
        <w:t xml:space="preserve"> </w:t>
      </w:r>
      <w:r w:rsidRPr="00945594">
        <w:rPr>
          <w:rFonts w:asciiTheme="minorHAnsi" w:hAnsiTheme="minorHAnsi" w:cstheme="minorBidi"/>
          <w:sz w:val="21"/>
          <w:szCs w:val="21"/>
        </w:rPr>
        <w:t xml:space="preserve">and OPDs can meaningfully participate in </w:t>
      </w:r>
      <w:r w:rsidR="005D62B6" w:rsidRPr="00945594">
        <w:rPr>
          <w:rFonts w:asciiTheme="minorHAnsi" w:hAnsiTheme="minorHAnsi" w:cstheme="minorBidi"/>
          <w:sz w:val="21"/>
          <w:szCs w:val="21"/>
        </w:rPr>
        <w:t>monitoring and evaluation</w:t>
      </w:r>
      <w:r w:rsidR="00DB6D67" w:rsidRPr="00945594">
        <w:rPr>
          <w:rFonts w:asciiTheme="minorHAnsi" w:hAnsiTheme="minorHAnsi" w:cstheme="minorBidi"/>
          <w:sz w:val="21"/>
          <w:szCs w:val="21"/>
        </w:rPr>
        <w:t>.</w:t>
      </w:r>
    </w:p>
    <w:p w14:paraId="385D7FA3" w14:textId="235D24E3" w:rsidR="005D62B6" w:rsidRPr="00945594" w:rsidRDefault="005D62B6" w:rsidP="00292F72">
      <w:pPr>
        <w:pStyle w:val="ListParagraph"/>
        <w:numPr>
          <w:ilvl w:val="0"/>
          <w:numId w:val="13"/>
        </w:numPr>
        <w:spacing w:before="120" w:after="120"/>
        <w:rPr>
          <w:rFonts w:asciiTheme="minorHAnsi" w:hAnsiTheme="minorHAnsi" w:cstheme="minorBidi"/>
          <w:sz w:val="21"/>
          <w:szCs w:val="21"/>
        </w:rPr>
      </w:pPr>
      <w:r w:rsidRPr="00945594">
        <w:rPr>
          <w:rFonts w:asciiTheme="minorHAnsi" w:hAnsiTheme="minorHAnsi" w:cstheme="minorBidi"/>
          <w:sz w:val="21"/>
          <w:szCs w:val="21"/>
        </w:rPr>
        <w:t>Finding opportunities to leverage other work and engage in policy dialogue to promote disability</w:t>
      </w:r>
      <w:r w:rsidR="00F9280C" w:rsidRPr="00945594">
        <w:rPr>
          <w:rFonts w:asciiTheme="minorHAnsi" w:hAnsiTheme="minorHAnsi" w:cstheme="minorBidi"/>
          <w:sz w:val="21"/>
          <w:szCs w:val="21"/>
        </w:rPr>
        <w:t xml:space="preserve"> </w:t>
      </w:r>
      <w:r w:rsidR="63273F32" w:rsidRPr="00945594">
        <w:rPr>
          <w:rFonts w:asciiTheme="minorHAnsi" w:hAnsiTheme="minorHAnsi" w:cstheme="minorBidi"/>
          <w:sz w:val="21"/>
          <w:szCs w:val="21"/>
        </w:rPr>
        <w:t>equity and rights</w:t>
      </w:r>
      <w:r w:rsidRPr="00945594">
        <w:rPr>
          <w:rFonts w:asciiTheme="minorHAnsi" w:hAnsiTheme="minorHAnsi" w:cstheme="minorBidi"/>
          <w:sz w:val="21"/>
          <w:szCs w:val="21"/>
        </w:rPr>
        <w:t xml:space="preserve"> (e.g. using a poli</w:t>
      </w:r>
      <w:r w:rsidR="00735681" w:rsidRPr="00945594">
        <w:rPr>
          <w:rFonts w:asciiTheme="minorHAnsi" w:hAnsiTheme="minorHAnsi" w:cstheme="minorBidi"/>
          <w:sz w:val="21"/>
          <w:szCs w:val="21"/>
        </w:rPr>
        <w:t>ti</w:t>
      </w:r>
      <w:r w:rsidRPr="00945594">
        <w:rPr>
          <w:rFonts w:asciiTheme="minorHAnsi" w:hAnsiTheme="minorHAnsi" w:cstheme="minorBidi"/>
          <w:sz w:val="21"/>
          <w:szCs w:val="21"/>
        </w:rPr>
        <w:t xml:space="preserve">cal economy lens to identify when, where and through whom policy change on disability </w:t>
      </w:r>
      <w:r w:rsidR="70B38D61" w:rsidRPr="00945594">
        <w:rPr>
          <w:rFonts w:asciiTheme="minorHAnsi" w:hAnsiTheme="minorHAnsi" w:cstheme="minorBidi"/>
          <w:sz w:val="21"/>
          <w:szCs w:val="21"/>
        </w:rPr>
        <w:t>equity and rights</w:t>
      </w:r>
      <w:r w:rsidRPr="00945594">
        <w:rPr>
          <w:rFonts w:asciiTheme="minorHAnsi" w:hAnsiTheme="minorHAnsi" w:cstheme="minorBidi"/>
          <w:sz w:val="21"/>
          <w:szCs w:val="21"/>
        </w:rPr>
        <w:t xml:space="preserve"> might be possible or most effective)</w:t>
      </w:r>
      <w:r w:rsidR="00DB6D67" w:rsidRPr="00945594">
        <w:rPr>
          <w:rFonts w:asciiTheme="minorHAnsi" w:hAnsiTheme="minorHAnsi" w:cstheme="minorBidi"/>
          <w:sz w:val="21"/>
          <w:szCs w:val="21"/>
        </w:rPr>
        <w:t>.</w:t>
      </w:r>
    </w:p>
    <w:p w14:paraId="75F66003" w14:textId="72B081B9" w:rsidR="005D62B6" w:rsidRPr="00AB4E7D" w:rsidRDefault="005D62B6" w:rsidP="00292F72">
      <w:pPr>
        <w:pStyle w:val="ListParagraph"/>
        <w:numPr>
          <w:ilvl w:val="0"/>
          <w:numId w:val="13"/>
        </w:numPr>
        <w:spacing w:before="120" w:after="120"/>
        <w:ind w:left="357" w:hanging="357"/>
        <w:rPr>
          <w:rFonts w:asciiTheme="minorHAnsi" w:hAnsiTheme="minorHAnsi" w:cstheme="minorBidi"/>
          <w:sz w:val="21"/>
          <w:szCs w:val="21"/>
        </w:rPr>
      </w:pPr>
      <w:r w:rsidRPr="00AB4E7D">
        <w:rPr>
          <w:rFonts w:asciiTheme="minorHAnsi" w:hAnsiTheme="minorHAnsi" w:cstheme="minorBidi"/>
          <w:sz w:val="21"/>
          <w:szCs w:val="21"/>
        </w:rPr>
        <w:t xml:space="preserve">Supporting </w:t>
      </w:r>
      <w:r w:rsidR="00574E95" w:rsidRPr="00AB4E7D">
        <w:rPr>
          <w:rFonts w:asciiTheme="minorHAnsi" w:hAnsiTheme="minorHAnsi" w:cstheme="minorBidi"/>
          <w:sz w:val="21"/>
          <w:szCs w:val="21"/>
        </w:rPr>
        <w:t>people with disabilit</w:t>
      </w:r>
      <w:r w:rsidR="37B2CC14" w:rsidRPr="00AB4E7D">
        <w:rPr>
          <w:rFonts w:asciiTheme="minorHAnsi" w:hAnsiTheme="minorHAnsi" w:cstheme="minorBidi"/>
          <w:sz w:val="21"/>
          <w:szCs w:val="21"/>
        </w:rPr>
        <w:t>y</w:t>
      </w:r>
      <w:r w:rsidR="00574E95" w:rsidRPr="00AB4E7D">
        <w:rPr>
          <w:rFonts w:asciiTheme="minorHAnsi" w:hAnsiTheme="minorHAnsi" w:cstheme="minorBidi"/>
          <w:sz w:val="21"/>
          <w:szCs w:val="21"/>
        </w:rPr>
        <w:t xml:space="preserve"> and their representative organisations </w:t>
      </w:r>
      <w:r w:rsidRPr="00AB4E7D">
        <w:rPr>
          <w:rFonts w:asciiTheme="minorHAnsi" w:hAnsiTheme="minorHAnsi" w:cstheme="minorBidi"/>
          <w:sz w:val="21"/>
          <w:szCs w:val="21"/>
        </w:rPr>
        <w:t xml:space="preserve">to promote disability </w:t>
      </w:r>
      <w:r w:rsidR="01CEB852" w:rsidRPr="00AB4E7D">
        <w:rPr>
          <w:rFonts w:asciiTheme="minorHAnsi" w:hAnsiTheme="minorHAnsi" w:cstheme="minorBidi"/>
          <w:sz w:val="21"/>
          <w:szCs w:val="21"/>
        </w:rPr>
        <w:t>equity and rights</w:t>
      </w:r>
      <w:r w:rsidR="00DB6D67" w:rsidRPr="00AB4E7D">
        <w:rPr>
          <w:rFonts w:asciiTheme="minorHAnsi" w:hAnsiTheme="minorHAnsi" w:cstheme="minorBidi"/>
          <w:sz w:val="21"/>
          <w:szCs w:val="21"/>
        </w:rPr>
        <w:t>.</w:t>
      </w:r>
    </w:p>
    <w:p w14:paraId="07CE3E17" w14:textId="55D1FDC4" w:rsidR="005D62B6" w:rsidRPr="00AB4E7D" w:rsidRDefault="005D62B6" w:rsidP="00292F72">
      <w:pPr>
        <w:pStyle w:val="ListParagraph"/>
        <w:numPr>
          <w:ilvl w:val="0"/>
          <w:numId w:val="13"/>
        </w:numPr>
        <w:spacing w:before="120" w:after="120"/>
        <w:ind w:left="357" w:hanging="357"/>
        <w:rPr>
          <w:rFonts w:asciiTheme="minorHAnsi" w:hAnsiTheme="minorHAnsi" w:cstheme="minorHAnsi"/>
          <w:sz w:val="21"/>
          <w:szCs w:val="21"/>
        </w:rPr>
      </w:pPr>
      <w:r w:rsidRPr="00AB4E7D">
        <w:rPr>
          <w:rFonts w:asciiTheme="minorHAnsi" w:hAnsiTheme="minorHAnsi" w:cstheme="minorHAnsi"/>
          <w:sz w:val="21"/>
          <w:szCs w:val="21"/>
        </w:rPr>
        <w:t xml:space="preserve">Encouraging partner governments to ascertain disability prevalence by incorporating the Washington Group </w:t>
      </w:r>
      <w:r w:rsidR="006B3B3B">
        <w:rPr>
          <w:rFonts w:asciiTheme="minorHAnsi" w:hAnsiTheme="minorHAnsi" w:cstheme="minorHAnsi"/>
          <w:sz w:val="21"/>
          <w:szCs w:val="21"/>
        </w:rPr>
        <w:t>q</w:t>
      </w:r>
      <w:r w:rsidRPr="00AB4E7D">
        <w:rPr>
          <w:rFonts w:asciiTheme="minorHAnsi" w:hAnsiTheme="minorHAnsi" w:cstheme="minorHAnsi"/>
          <w:sz w:val="21"/>
          <w:szCs w:val="21"/>
        </w:rPr>
        <w:t>uestions in national censuses and administrative surveys</w:t>
      </w:r>
      <w:r w:rsidR="00673612" w:rsidRPr="00AB4E7D">
        <w:rPr>
          <w:rFonts w:asciiTheme="minorHAnsi" w:hAnsiTheme="minorHAnsi" w:cstheme="minorHAnsi"/>
          <w:sz w:val="21"/>
          <w:szCs w:val="21"/>
        </w:rPr>
        <w:t>,</w:t>
      </w:r>
      <w:r w:rsidR="00362893" w:rsidRPr="00AB4E7D">
        <w:rPr>
          <w:rFonts w:asciiTheme="minorHAnsi" w:hAnsiTheme="minorHAnsi" w:cstheme="minorHAnsi"/>
          <w:sz w:val="21"/>
          <w:szCs w:val="21"/>
        </w:rPr>
        <w:t xml:space="preserve"> alongside sex disaggregation</w:t>
      </w:r>
      <w:r w:rsidRPr="00AB4E7D">
        <w:rPr>
          <w:rStyle w:val="FootnoteReference"/>
          <w:rFonts w:asciiTheme="minorHAnsi" w:hAnsiTheme="minorHAnsi" w:cstheme="minorHAnsi"/>
          <w:sz w:val="21"/>
          <w:szCs w:val="21"/>
        </w:rPr>
        <w:footnoteReference w:id="6"/>
      </w:r>
      <w:r w:rsidR="00DB6D67" w:rsidRPr="00AB4E7D">
        <w:rPr>
          <w:rFonts w:asciiTheme="minorHAnsi" w:hAnsiTheme="minorHAnsi" w:cstheme="minorHAnsi"/>
          <w:sz w:val="21"/>
          <w:szCs w:val="21"/>
        </w:rPr>
        <w:t>.</w:t>
      </w:r>
    </w:p>
    <w:p w14:paraId="05FFB738" w14:textId="62B7EC81" w:rsidR="00362893" w:rsidRPr="00AB4E7D" w:rsidRDefault="005D62B6" w:rsidP="00292F72">
      <w:pPr>
        <w:pStyle w:val="ListParagraph"/>
        <w:numPr>
          <w:ilvl w:val="0"/>
          <w:numId w:val="13"/>
        </w:numPr>
        <w:spacing w:before="120" w:after="120"/>
        <w:ind w:left="357" w:hanging="357"/>
        <w:rPr>
          <w:rFonts w:cstheme="minorBidi"/>
          <w:sz w:val="21"/>
          <w:szCs w:val="21"/>
        </w:rPr>
      </w:pPr>
      <w:r w:rsidRPr="00AB4E7D">
        <w:rPr>
          <w:rFonts w:asciiTheme="minorHAnsi" w:hAnsiTheme="minorHAnsi" w:cstheme="minorBidi"/>
          <w:sz w:val="21"/>
          <w:szCs w:val="21"/>
        </w:rPr>
        <w:t>Using the Washington Group questions to disaggregate program-level data by disability</w:t>
      </w:r>
      <w:r w:rsidR="00574E95" w:rsidRPr="00AB4E7D">
        <w:rPr>
          <w:rFonts w:asciiTheme="minorHAnsi" w:hAnsiTheme="minorHAnsi" w:cstheme="minorBidi"/>
          <w:sz w:val="21"/>
          <w:szCs w:val="21"/>
        </w:rPr>
        <w:t xml:space="preserve"> </w:t>
      </w:r>
      <w:r w:rsidR="00673612" w:rsidRPr="00AB4E7D">
        <w:rPr>
          <w:rFonts w:asciiTheme="minorHAnsi" w:hAnsiTheme="minorHAnsi" w:cstheme="minorBidi"/>
          <w:sz w:val="21"/>
          <w:szCs w:val="21"/>
        </w:rPr>
        <w:t>(</w:t>
      </w:r>
      <w:r w:rsidR="00574E95" w:rsidRPr="00AB4E7D">
        <w:rPr>
          <w:rFonts w:asciiTheme="minorHAnsi" w:hAnsiTheme="minorHAnsi" w:cstheme="minorBidi"/>
          <w:sz w:val="21"/>
          <w:szCs w:val="21"/>
        </w:rPr>
        <w:t>and by sex where it is possible</w:t>
      </w:r>
      <w:r w:rsidR="00673612" w:rsidRPr="00AB4E7D">
        <w:rPr>
          <w:rFonts w:asciiTheme="minorHAnsi" w:hAnsiTheme="minorHAnsi" w:cstheme="minorBidi"/>
          <w:sz w:val="21"/>
          <w:szCs w:val="21"/>
        </w:rPr>
        <w:t>) and ensuring there are</w:t>
      </w:r>
      <w:r w:rsidR="00673612" w:rsidRPr="00AB4E7D">
        <w:rPr>
          <w:rFonts w:cstheme="minorBidi"/>
          <w:sz w:val="21"/>
          <w:szCs w:val="21"/>
        </w:rPr>
        <w:t xml:space="preserve"> </w:t>
      </w:r>
      <w:r w:rsidR="00673612" w:rsidRPr="00AB4E7D">
        <w:rPr>
          <w:rFonts w:asciiTheme="minorHAnsi" w:hAnsiTheme="minorHAnsi" w:cstheme="minorBidi"/>
          <w:sz w:val="21"/>
          <w:szCs w:val="21"/>
        </w:rPr>
        <w:t xml:space="preserve">qualitative </w:t>
      </w:r>
      <w:r w:rsidR="007300BF" w:rsidRPr="00AB4E7D">
        <w:rPr>
          <w:rFonts w:asciiTheme="minorHAnsi" w:hAnsiTheme="minorHAnsi" w:cstheme="minorBidi"/>
          <w:sz w:val="21"/>
          <w:szCs w:val="21"/>
        </w:rPr>
        <w:t>data collected</w:t>
      </w:r>
      <w:r w:rsidR="00673612" w:rsidRPr="00AB4E7D">
        <w:rPr>
          <w:rFonts w:asciiTheme="minorHAnsi" w:hAnsiTheme="minorHAnsi" w:cstheme="minorBidi"/>
          <w:sz w:val="21"/>
          <w:szCs w:val="21"/>
        </w:rPr>
        <w:t xml:space="preserve"> which enable</w:t>
      </w:r>
      <w:r w:rsidR="007300BF" w:rsidRPr="00AB4E7D">
        <w:rPr>
          <w:rFonts w:asciiTheme="minorHAnsi" w:hAnsiTheme="minorHAnsi" w:cstheme="minorBidi"/>
          <w:sz w:val="21"/>
          <w:szCs w:val="21"/>
        </w:rPr>
        <w:t>s</w:t>
      </w:r>
      <w:r w:rsidR="00673612" w:rsidRPr="00AB4E7D">
        <w:rPr>
          <w:rFonts w:asciiTheme="minorHAnsi" w:hAnsiTheme="minorHAnsi" w:cstheme="minorBidi"/>
          <w:sz w:val="21"/>
          <w:szCs w:val="21"/>
        </w:rPr>
        <w:t xml:space="preserve"> process</w:t>
      </w:r>
      <w:r w:rsidR="007300BF" w:rsidRPr="00AB4E7D">
        <w:rPr>
          <w:rFonts w:asciiTheme="minorHAnsi" w:hAnsiTheme="minorHAnsi" w:cstheme="minorBidi"/>
          <w:sz w:val="21"/>
          <w:szCs w:val="21"/>
        </w:rPr>
        <w:t>es</w:t>
      </w:r>
      <w:r w:rsidR="00673612" w:rsidRPr="00AB4E7D">
        <w:rPr>
          <w:rFonts w:asciiTheme="minorHAnsi" w:hAnsiTheme="minorHAnsi" w:cstheme="minorBidi"/>
          <w:sz w:val="21"/>
          <w:szCs w:val="21"/>
        </w:rPr>
        <w:t xml:space="preserve"> and outcome</w:t>
      </w:r>
      <w:r w:rsidR="007300BF" w:rsidRPr="00AB4E7D">
        <w:rPr>
          <w:rFonts w:asciiTheme="minorHAnsi" w:hAnsiTheme="minorHAnsi" w:cstheme="minorBidi"/>
          <w:sz w:val="21"/>
          <w:szCs w:val="21"/>
        </w:rPr>
        <w:t>s</w:t>
      </w:r>
      <w:r w:rsidR="00673612" w:rsidRPr="00AB4E7D">
        <w:rPr>
          <w:rFonts w:asciiTheme="minorHAnsi" w:hAnsiTheme="minorHAnsi" w:cstheme="minorBidi"/>
          <w:sz w:val="21"/>
          <w:szCs w:val="21"/>
        </w:rPr>
        <w:t xml:space="preserve"> related</w:t>
      </w:r>
      <w:r w:rsidR="007300BF" w:rsidRPr="00AB4E7D">
        <w:rPr>
          <w:rFonts w:asciiTheme="minorHAnsi" w:hAnsiTheme="minorHAnsi" w:cstheme="minorBidi"/>
          <w:sz w:val="21"/>
          <w:szCs w:val="21"/>
        </w:rPr>
        <w:t xml:space="preserve"> to</w:t>
      </w:r>
      <w:r w:rsidR="00673612" w:rsidRPr="00AB4E7D">
        <w:rPr>
          <w:rFonts w:asciiTheme="minorHAnsi" w:hAnsiTheme="minorHAnsi" w:cstheme="minorBidi"/>
          <w:sz w:val="21"/>
          <w:szCs w:val="21"/>
        </w:rPr>
        <w:t xml:space="preserve"> disability</w:t>
      </w:r>
      <w:r w:rsidR="66EDD7E2" w:rsidRPr="00AB4E7D">
        <w:rPr>
          <w:rFonts w:asciiTheme="minorHAnsi" w:hAnsiTheme="minorHAnsi" w:cstheme="minorBidi"/>
          <w:sz w:val="21"/>
          <w:szCs w:val="21"/>
        </w:rPr>
        <w:t xml:space="preserve"> inclusion,</w:t>
      </w:r>
      <w:r w:rsidR="00673612" w:rsidRPr="00AB4E7D">
        <w:rPr>
          <w:rFonts w:asciiTheme="minorHAnsi" w:hAnsiTheme="minorHAnsi" w:cstheme="minorBidi"/>
          <w:sz w:val="21"/>
          <w:szCs w:val="21"/>
        </w:rPr>
        <w:t xml:space="preserve"> </w:t>
      </w:r>
      <w:r w:rsidR="7B83C795" w:rsidRPr="00AB4E7D">
        <w:rPr>
          <w:rFonts w:asciiTheme="minorHAnsi" w:hAnsiTheme="minorHAnsi" w:cstheme="minorBidi"/>
          <w:sz w:val="21"/>
          <w:szCs w:val="21"/>
        </w:rPr>
        <w:t>equity and rights</w:t>
      </w:r>
      <w:r w:rsidR="00673612" w:rsidRPr="00AB4E7D">
        <w:rPr>
          <w:rFonts w:asciiTheme="minorHAnsi" w:hAnsiTheme="minorHAnsi" w:cstheme="minorBidi"/>
          <w:sz w:val="21"/>
          <w:szCs w:val="21"/>
        </w:rPr>
        <w:t xml:space="preserve"> to be measured. </w:t>
      </w:r>
    </w:p>
    <w:p w14:paraId="33BBCAAF" w14:textId="48F52F11" w:rsidR="005D62B6" w:rsidRPr="00AB4E7D" w:rsidRDefault="005D62B6" w:rsidP="29011230">
      <w:pPr>
        <w:spacing w:after="120"/>
        <w:rPr>
          <w:color w:val="auto"/>
          <w:sz w:val="21"/>
          <w:szCs w:val="21"/>
        </w:rPr>
      </w:pPr>
      <w:r w:rsidRPr="00AB4E7D">
        <w:rPr>
          <w:color w:val="auto"/>
          <w:sz w:val="21"/>
          <w:szCs w:val="21"/>
        </w:rPr>
        <w:t>For guidance on disability inclusion</w:t>
      </w:r>
      <w:r w:rsidR="198AC975" w:rsidRPr="00AB4E7D">
        <w:rPr>
          <w:color w:val="auto"/>
          <w:sz w:val="21"/>
          <w:szCs w:val="21"/>
        </w:rPr>
        <w:t xml:space="preserve"> and equity</w:t>
      </w:r>
      <w:r w:rsidRPr="00AB4E7D">
        <w:rPr>
          <w:color w:val="auto"/>
          <w:sz w:val="21"/>
          <w:szCs w:val="21"/>
        </w:rPr>
        <w:t xml:space="preserve"> in humanitarian settings, please refer to the </w:t>
      </w:r>
      <w:hyperlink r:id="rId17" w:history="1">
        <w:r w:rsidRPr="00AB4E7D">
          <w:rPr>
            <w:rStyle w:val="Hyperlink"/>
            <w:rFonts w:cstheme="minorBidi"/>
            <w:i/>
            <w:sz w:val="21"/>
            <w:szCs w:val="21"/>
          </w:rPr>
          <w:t xml:space="preserve">Protection </w:t>
        </w:r>
        <w:r w:rsidR="00A52A75" w:rsidRPr="00AB4E7D">
          <w:rPr>
            <w:rStyle w:val="Hyperlink"/>
            <w:rFonts w:cstheme="minorBidi"/>
            <w:i/>
            <w:sz w:val="21"/>
            <w:szCs w:val="21"/>
          </w:rPr>
          <w:t xml:space="preserve">in </w:t>
        </w:r>
        <w:r w:rsidR="00A52A75" w:rsidRPr="00925A11">
          <w:rPr>
            <w:rStyle w:val="Hyperlink"/>
            <w:rFonts w:cstheme="minorBidi"/>
            <w:i/>
            <w:color w:val="0070C0"/>
            <w:sz w:val="21"/>
            <w:szCs w:val="21"/>
          </w:rPr>
          <w:t>Humanitarian Action Framework</w:t>
        </w:r>
      </w:hyperlink>
      <w:r w:rsidRPr="00AB4E7D">
        <w:rPr>
          <w:rStyle w:val="FootnoteReference"/>
          <w:color w:val="auto"/>
          <w:sz w:val="21"/>
          <w:szCs w:val="21"/>
        </w:rPr>
        <w:footnoteReference w:id="7"/>
      </w:r>
      <w:r w:rsidR="00A52A75" w:rsidRPr="00AB4E7D">
        <w:rPr>
          <w:i/>
          <w:color w:val="auto"/>
          <w:sz w:val="21"/>
          <w:szCs w:val="21"/>
        </w:rPr>
        <w:t xml:space="preserve"> </w:t>
      </w:r>
      <w:r w:rsidR="00A52A75" w:rsidRPr="00AB4E7D">
        <w:rPr>
          <w:color w:val="auto"/>
          <w:sz w:val="21"/>
          <w:szCs w:val="21"/>
        </w:rPr>
        <w:t>and the</w:t>
      </w:r>
      <w:r w:rsidR="00A52A75" w:rsidRPr="00925A11">
        <w:rPr>
          <w:i/>
          <w:color w:val="0070C0"/>
          <w:sz w:val="21"/>
          <w:szCs w:val="21"/>
        </w:rPr>
        <w:t xml:space="preserve"> </w:t>
      </w:r>
      <w:hyperlink r:id="rId18" w:history="1">
        <w:r w:rsidR="00A52A75" w:rsidRPr="00925A11">
          <w:rPr>
            <w:rStyle w:val="Hyperlink"/>
            <w:rFonts w:cstheme="minorBidi"/>
            <w:i/>
            <w:color w:val="0070C0"/>
            <w:sz w:val="21"/>
            <w:szCs w:val="21"/>
          </w:rPr>
          <w:t>Inter-Agency Standing Committee Guidelines, Inclusion of Persons with Disabilities in Humanitarian Action</w:t>
        </w:r>
        <w:r w:rsidR="00A52A75" w:rsidRPr="00925A11">
          <w:rPr>
            <w:rStyle w:val="FootnoteReference"/>
            <w:i/>
            <w:color w:val="auto"/>
            <w:sz w:val="21"/>
            <w:szCs w:val="21"/>
            <w:u w:val="single"/>
          </w:rPr>
          <w:footnoteReference w:id="8"/>
        </w:r>
        <w:r w:rsidR="00A52A75" w:rsidRPr="00925A11">
          <w:rPr>
            <w:rStyle w:val="Hyperlink"/>
            <w:rFonts w:cstheme="minorBidi"/>
            <w:i/>
            <w:color w:val="0070C0"/>
            <w:sz w:val="21"/>
            <w:szCs w:val="21"/>
          </w:rPr>
          <w:t>.</w:t>
        </w:r>
      </w:hyperlink>
    </w:p>
    <w:p w14:paraId="465B6694" w14:textId="77777777" w:rsidR="005D62B6" w:rsidRPr="002A3BC1" w:rsidRDefault="005D62B6" w:rsidP="004974DC">
      <w:pPr>
        <w:pStyle w:val="Heading3"/>
        <w:spacing w:before="120" w:after="120"/>
        <w:rPr>
          <w:color w:val="auto"/>
        </w:rPr>
      </w:pPr>
      <w:r w:rsidRPr="002A3BC1">
        <w:rPr>
          <w:color w:val="auto"/>
        </w:rPr>
        <w:t>Measuring results</w:t>
      </w:r>
    </w:p>
    <w:p w14:paraId="4FF1B9CB" w14:textId="2063DC96" w:rsidR="00FC2CF2" w:rsidRPr="00F7288B" w:rsidRDefault="005D62B6" w:rsidP="00F7288B">
      <w:pPr>
        <w:pStyle w:val="BodyCopy"/>
        <w:rPr>
          <w:rFonts w:asciiTheme="minorHAnsi" w:eastAsia="Times New Roman" w:hAnsiTheme="minorHAnsi" w:cstheme="minorBidi"/>
          <w:color w:val="auto"/>
          <w:sz w:val="21"/>
          <w:lang w:val="en-GB"/>
        </w:rPr>
      </w:pPr>
      <w:r w:rsidRPr="00086748">
        <w:rPr>
          <w:rFonts w:eastAsia="Times New Roman"/>
          <w:color w:val="auto"/>
          <w:sz w:val="21"/>
        </w:rPr>
        <w:t xml:space="preserve">DFAT needs </w:t>
      </w:r>
      <w:r w:rsidR="007E25A3">
        <w:rPr>
          <w:rFonts w:eastAsia="Times New Roman"/>
          <w:color w:val="auto"/>
          <w:sz w:val="21"/>
        </w:rPr>
        <w:t xml:space="preserve">to </w:t>
      </w:r>
      <w:r w:rsidRPr="00086748">
        <w:rPr>
          <w:rFonts w:eastAsia="Times New Roman"/>
          <w:color w:val="auto"/>
          <w:sz w:val="21"/>
        </w:rPr>
        <w:t xml:space="preserve">report on results from </w:t>
      </w:r>
      <w:r w:rsidR="000867EC" w:rsidRPr="00086748">
        <w:rPr>
          <w:rFonts w:eastAsia="Times New Roman"/>
          <w:color w:val="auto"/>
          <w:sz w:val="21"/>
        </w:rPr>
        <w:t xml:space="preserve">development </w:t>
      </w:r>
      <w:r w:rsidRPr="00086748">
        <w:rPr>
          <w:rFonts w:eastAsia="Times New Roman"/>
          <w:color w:val="auto"/>
          <w:sz w:val="21"/>
        </w:rPr>
        <w:t xml:space="preserve">investments, and ensure those results are credible. </w:t>
      </w:r>
      <w:r w:rsidR="00F7288B" w:rsidRPr="000F4A16">
        <w:rPr>
          <w:rFonts w:asciiTheme="minorHAnsi" w:eastAsia="Times New Roman" w:hAnsiTheme="minorHAnsi" w:cstheme="minorBidi"/>
          <w:color w:val="auto"/>
          <w:sz w:val="21"/>
          <w:lang w:val="en-GB"/>
        </w:rPr>
        <w:t>DFAT monitor</w:t>
      </w:r>
      <w:r w:rsidR="00F7288B">
        <w:rPr>
          <w:rFonts w:eastAsia="Times New Roman"/>
          <w:color w:val="auto"/>
          <w:sz w:val="21"/>
        </w:rPr>
        <w:t>s</w:t>
      </w:r>
      <w:r w:rsidR="00F7288B" w:rsidRPr="000F4A16">
        <w:rPr>
          <w:rFonts w:asciiTheme="minorHAnsi" w:eastAsia="Times New Roman" w:hAnsiTheme="minorHAnsi" w:cstheme="minorBidi"/>
          <w:color w:val="auto"/>
          <w:sz w:val="21"/>
          <w:lang w:val="en-GB"/>
        </w:rPr>
        <w:t xml:space="preserve"> performance on disability equity and rights through its annual investment monitoring report process. </w:t>
      </w:r>
      <w:r w:rsidR="0068083B" w:rsidRPr="0068083B">
        <w:rPr>
          <w:color w:val="auto"/>
        </w:rPr>
        <w:t xml:space="preserve">IDEARS commits to working with people with disability throughout the program cycle, including in monitoring and evaluation. </w:t>
      </w:r>
      <w:r w:rsidR="00F7288B" w:rsidRPr="000F4A16">
        <w:rPr>
          <w:rFonts w:asciiTheme="minorHAnsi" w:eastAsia="Times New Roman" w:hAnsiTheme="minorHAnsi" w:cstheme="minorBidi"/>
          <w:color w:val="auto"/>
          <w:sz w:val="21"/>
          <w:lang w:val="en-GB"/>
        </w:rPr>
        <w:t xml:space="preserve">DFAT investment monitoring, evaluation and learning (MEL) systems should include qualitative and quantitative indicators on disability equity and collect and use disability disaggregated data, where applicable. </w:t>
      </w:r>
      <w:r w:rsidRPr="0068083B">
        <w:rPr>
          <w:rFonts w:eastAsia="Times New Roman"/>
          <w:color w:val="auto"/>
          <w:sz w:val="21"/>
        </w:rPr>
        <w:t>Invest</w:t>
      </w:r>
      <w:r w:rsidRPr="00086748">
        <w:rPr>
          <w:rFonts w:eastAsia="Times New Roman"/>
          <w:color w:val="auto"/>
          <w:sz w:val="21"/>
        </w:rPr>
        <w:t>ments that are clear about what they want to achieve on disability</w:t>
      </w:r>
      <w:r w:rsidR="00F9280C" w:rsidRPr="00086748">
        <w:rPr>
          <w:rFonts w:eastAsia="Times New Roman"/>
          <w:color w:val="auto"/>
          <w:sz w:val="21"/>
        </w:rPr>
        <w:t xml:space="preserve"> </w:t>
      </w:r>
      <w:r w:rsidR="7A34AE30" w:rsidRPr="00086748">
        <w:rPr>
          <w:rFonts w:eastAsia="Times New Roman"/>
          <w:color w:val="auto"/>
          <w:sz w:val="21"/>
        </w:rPr>
        <w:t>equity and rights</w:t>
      </w:r>
      <w:r w:rsidRPr="00086748">
        <w:rPr>
          <w:rFonts w:eastAsia="Times New Roman"/>
          <w:color w:val="auto"/>
          <w:sz w:val="21"/>
        </w:rPr>
        <w:t xml:space="preserve"> are more likely to be effective in implementation and delivery of disability</w:t>
      </w:r>
      <w:r w:rsidR="003503F7" w:rsidRPr="00086748">
        <w:rPr>
          <w:rFonts w:eastAsia="Times New Roman"/>
          <w:color w:val="auto"/>
          <w:sz w:val="21"/>
        </w:rPr>
        <w:t xml:space="preserve"> </w:t>
      </w:r>
      <w:r w:rsidR="495CF38E" w:rsidRPr="00086748">
        <w:rPr>
          <w:rFonts w:eastAsia="Times New Roman"/>
          <w:color w:val="auto"/>
          <w:sz w:val="21"/>
        </w:rPr>
        <w:t>equity</w:t>
      </w:r>
      <w:r w:rsidRPr="00086748">
        <w:rPr>
          <w:rFonts w:eastAsia="Times New Roman"/>
          <w:color w:val="auto"/>
          <w:sz w:val="21"/>
        </w:rPr>
        <w:t xml:space="preserve"> outcomes and mitigate the risk of adverse effects on people with disabilit</w:t>
      </w:r>
      <w:r w:rsidR="66285434" w:rsidRPr="00086748">
        <w:rPr>
          <w:rFonts w:eastAsia="Times New Roman"/>
          <w:color w:val="auto"/>
          <w:sz w:val="21"/>
        </w:rPr>
        <w:t>y</w:t>
      </w:r>
      <w:r w:rsidRPr="00086748">
        <w:rPr>
          <w:rFonts w:eastAsia="Times New Roman"/>
          <w:color w:val="auto"/>
          <w:sz w:val="21"/>
        </w:rPr>
        <w:t xml:space="preserve">. </w:t>
      </w:r>
    </w:p>
    <w:p w14:paraId="3A97BE01" w14:textId="31A30F15" w:rsidR="00AB0C2D" w:rsidRPr="000F4A16" w:rsidRDefault="00AB0C2D" w:rsidP="00B53A77">
      <w:pPr>
        <w:suppressAutoHyphens w:val="0"/>
        <w:spacing w:before="0" w:after="120" w:line="440" w:lineRule="atLeast"/>
        <w:rPr>
          <w:rFonts w:eastAsia="Times New Roman"/>
          <w:color w:val="auto"/>
          <w:sz w:val="21"/>
          <w:szCs w:val="21"/>
        </w:rPr>
      </w:pPr>
      <w:r w:rsidRPr="000F4A16">
        <w:rPr>
          <w:rFonts w:eastAsia="Times New Roman"/>
          <w:color w:val="auto"/>
          <w:sz w:val="21"/>
          <w:szCs w:val="21"/>
        </w:rPr>
        <w:br w:type="page"/>
      </w:r>
    </w:p>
    <w:p w14:paraId="002566BD" w14:textId="0653FCD0" w:rsidR="005D62B6" w:rsidRPr="00132685" w:rsidRDefault="00B53A77" w:rsidP="00C80458">
      <w:pPr>
        <w:pStyle w:val="Heading2"/>
        <w:rPr>
          <w:color w:val="auto"/>
        </w:rPr>
      </w:pPr>
      <w:r>
        <w:rPr>
          <w:color w:val="auto"/>
        </w:rPr>
        <w:lastRenderedPageBreak/>
        <w:t xml:space="preserve">Annex 1: </w:t>
      </w:r>
      <w:r w:rsidR="005D62B6" w:rsidRPr="00132685">
        <w:rPr>
          <w:color w:val="auto"/>
        </w:rPr>
        <w:t xml:space="preserve">check list for </w:t>
      </w:r>
      <w:r w:rsidR="008904B0" w:rsidRPr="00132685">
        <w:rPr>
          <w:color w:val="auto"/>
        </w:rPr>
        <w:t>disability inclusion</w:t>
      </w:r>
      <w:r w:rsidR="005D62B6" w:rsidRPr="00132685">
        <w:rPr>
          <w:color w:val="auto"/>
        </w:rPr>
        <w:t xml:space="preserve"> within the </w:t>
      </w:r>
      <w:r w:rsidR="008904B0" w:rsidRPr="00132685">
        <w:rPr>
          <w:color w:val="auto"/>
        </w:rPr>
        <w:t>development program management</w:t>
      </w:r>
      <w:r w:rsidR="005D62B6" w:rsidRPr="00132685">
        <w:rPr>
          <w:color w:val="auto"/>
        </w:rPr>
        <w:t xml:space="preserve"> cycle</w:t>
      </w:r>
    </w:p>
    <w:p w14:paraId="761ADE31" w14:textId="19702C05" w:rsidR="003128B1" w:rsidRPr="00FD1A38" w:rsidRDefault="003128B1" w:rsidP="000C6D60">
      <w:pPr>
        <w:pStyle w:val="Heading3"/>
        <w:spacing w:before="120" w:after="120"/>
        <w:rPr>
          <w:color w:val="auto"/>
        </w:rPr>
      </w:pPr>
      <w:r w:rsidRPr="00FD1A38">
        <w:rPr>
          <w:color w:val="auto"/>
        </w:rPr>
        <w:t>Policy and Planning</w:t>
      </w:r>
    </w:p>
    <w:p w14:paraId="54A00988" w14:textId="651F60A6" w:rsidR="004E0C6E" w:rsidRDefault="004E0C6E" w:rsidP="00292F72">
      <w:pPr>
        <w:numPr>
          <w:ilvl w:val="0"/>
          <w:numId w:val="12"/>
        </w:numPr>
        <w:suppressAutoHyphens w:val="0"/>
        <w:spacing w:after="0" w:line="240" w:lineRule="auto"/>
        <w:rPr>
          <w:rFonts w:eastAsia="Times New Roman"/>
          <w:color w:val="auto"/>
          <w:spacing w:val="-2"/>
          <w:sz w:val="21"/>
          <w:szCs w:val="21"/>
          <w:lang w:val="en-AU" w:eastAsia="en-AU"/>
        </w:rPr>
      </w:pPr>
      <w:r>
        <w:rPr>
          <w:rFonts w:eastAsia="Times New Roman"/>
          <w:color w:val="auto"/>
          <w:spacing w:val="-2"/>
          <w:sz w:val="21"/>
          <w:szCs w:val="21"/>
          <w:lang w:val="en-AU" w:eastAsia="en-AU"/>
        </w:rPr>
        <w:t xml:space="preserve">Cross reference </w:t>
      </w:r>
      <w:r w:rsidR="0007747F">
        <w:rPr>
          <w:rFonts w:eastAsia="Times New Roman"/>
          <w:color w:val="auto"/>
          <w:spacing w:val="-2"/>
          <w:sz w:val="21"/>
          <w:szCs w:val="21"/>
          <w:lang w:val="en-AU" w:eastAsia="en-AU"/>
        </w:rPr>
        <w:t>design documents with disability equity and rights commitments e.g. IDEARS</w:t>
      </w:r>
      <w:r w:rsidR="0004004E">
        <w:rPr>
          <w:rFonts w:eastAsia="Times New Roman"/>
          <w:color w:val="auto"/>
          <w:spacing w:val="-2"/>
          <w:sz w:val="21"/>
          <w:szCs w:val="21"/>
          <w:lang w:val="en-AU" w:eastAsia="en-AU"/>
        </w:rPr>
        <w:t xml:space="preserve">, DFAT’s International Development Policy. </w:t>
      </w:r>
    </w:p>
    <w:p w14:paraId="61EB0D44" w14:textId="41FF3B66" w:rsidR="00D47CB4" w:rsidRPr="004E0C6E" w:rsidRDefault="00E675B8" w:rsidP="00292F72">
      <w:pPr>
        <w:numPr>
          <w:ilvl w:val="0"/>
          <w:numId w:val="12"/>
        </w:numPr>
        <w:suppressAutoHyphens w:val="0"/>
        <w:spacing w:after="0" w:line="240" w:lineRule="auto"/>
        <w:rPr>
          <w:rFonts w:eastAsia="Times New Roman"/>
          <w:color w:val="auto"/>
          <w:spacing w:val="-2"/>
          <w:sz w:val="21"/>
          <w:szCs w:val="21"/>
          <w:lang w:val="en-AU" w:eastAsia="en-AU"/>
        </w:rPr>
      </w:pPr>
      <w:r>
        <w:rPr>
          <w:rFonts w:eastAsia="Times New Roman"/>
          <w:color w:val="auto"/>
          <w:spacing w:val="-2"/>
          <w:sz w:val="21"/>
          <w:szCs w:val="21"/>
          <w:lang w:val="en-AU" w:eastAsia="en-AU"/>
        </w:rPr>
        <w:t>Has a disability (or broader gender equality, disability and social inclusion) analysis been completed</w:t>
      </w:r>
      <w:r w:rsidR="007F0ED2">
        <w:rPr>
          <w:rFonts w:eastAsia="Times New Roman"/>
          <w:color w:val="auto"/>
          <w:spacing w:val="-2"/>
          <w:sz w:val="21"/>
          <w:szCs w:val="21"/>
          <w:lang w:val="en-AU" w:eastAsia="en-AU"/>
        </w:rPr>
        <w:t xml:space="preserve"> or planned for the design stage</w:t>
      </w:r>
      <w:r>
        <w:rPr>
          <w:rFonts w:eastAsia="Times New Roman"/>
          <w:color w:val="auto"/>
          <w:spacing w:val="-2"/>
          <w:sz w:val="21"/>
          <w:szCs w:val="21"/>
          <w:lang w:val="en-AU" w:eastAsia="en-AU"/>
        </w:rPr>
        <w:t>?</w:t>
      </w:r>
    </w:p>
    <w:p w14:paraId="38AD0154" w14:textId="51C66630" w:rsidR="003128B1" w:rsidRPr="00FD1A38" w:rsidRDefault="003128B1" w:rsidP="000C6D60">
      <w:pPr>
        <w:pStyle w:val="Heading3"/>
        <w:spacing w:before="120" w:after="120"/>
        <w:contextualSpacing w:val="0"/>
        <w:rPr>
          <w:color w:val="auto"/>
          <w:lang w:eastAsia="en-AU"/>
        </w:rPr>
      </w:pPr>
      <w:r w:rsidRPr="00FD1A38">
        <w:rPr>
          <w:color w:val="auto"/>
          <w:lang w:eastAsia="en-AU"/>
        </w:rPr>
        <w:t>Design</w:t>
      </w:r>
    </w:p>
    <w:p w14:paraId="4946254D" w14:textId="395A7169" w:rsidR="00DF5767" w:rsidRPr="003460A7" w:rsidRDefault="00D7667C" w:rsidP="00EB5FD7">
      <w:pPr>
        <w:rPr>
          <w:color w:val="auto"/>
          <w:sz w:val="21"/>
          <w:szCs w:val="21"/>
          <w:lang w:eastAsia="en-AU"/>
        </w:rPr>
      </w:pPr>
      <w:r>
        <w:rPr>
          <w:color w:val="auto"/>
          <w:sz w:val="21"/>
          <w:szCs w:val="21"/>
          <w:lang w:eastAsia="en-AU"/>
        </w:rPr>
        <w:t>S</w:t>
      </w:r>
      <w:r w:rsidR="00EB5FD7" w:rsidRPr="003460A7">
        <w:rPr>
          <w:color w:val="auto"/>
          <w:sz w:val="21"/>
          <w:szCs w:val="21"/>
          <w:lang w:eastAsia="en-AU"/>
        </w:rPr>
        <w:t>ee</w:t>
      </w:r>
      <w:r w:rsidR="00D1737C" w:rsidRPr="003460A7">
        <w:rPr>
          <w:color w:val="auto"/>
          <w:sz w:val="21"/>
          <w:szCs w:val="21"/>
          <w:lang w:eastAsia="en-AU"/>
        </w:rPr>
        <w:t xml:space="preserve"> </w:t>
      </w:r>
      <w:r w:rsidR="0015772E" w:rsidRPr="003460A7">
        <w:rPr>
          <w:color w:val="auto"/>
          <w:sz w:val="21"/>
          <w:szCs w:val="21"/>
          <w:lang w:eastAsia="en-AU"/>
        </w:rPr>
        <w:t xml:space="preserve">the </w:t>
      </w:r>
      <w:hyperlink r:id="rId19" w:history="1">
        <w:r w:rsidR="00A723B1" w:rsidRPr="00925A11">
          <w:rPr>
            <w:rStyle w:val="Hyperlink"/>
            <w:rFonts w:cstheme="minorBidi"/>
            <w:color w:val="0070C0"/>
            <w:sz w:val="21"/>
            <w:szCs w:val="21"/>
            <w:lang w:eastAsia="en-AU"/>
          </w:rPr>
          <w:t>Disabil</w:t>
        </w:r>
        <w:r w:rsidR="002C2C35" w:rsidRPr="00925A11">
          <w:rPr>
            <w:rStyle w:val="Hyperlink"/>
            <w:rFonts w:cstheme="minorBidi"/>
            <w:color w:val="0070C0"/>
            <w:sz w:val="21"/>
            <w:szCs w:val="21"/>
            <w:lang w:eastAsia="en-AU"/>
          </w:rPr>
          <w:t>ity Equi</w:t>
        </w:r>
        <w:r w:rsidR="006D0744" w:rsidRPr="00925A11">
          <w:rPr>
            <w:rStyle w:val="Hyperlink"/>
            <w:rFonts w:cstheme="minorBidi"/>
            <w:color w:val="0070C0"/>
            <w:sz w:val="21"/>
            <w:szCs w:val="21"/>
            <w:lang w:eastAsia="en-AU"/>
          </w:rPr>
          <w:t xml:space="preserve">ty in Investment Design </w:t>
        </w:r>
        <w:r w:rsidR="006B4222" w:rsidRPr="00925A11">
          <w:rPr>
            <w:rStyle w:val="Hyperlink"/>
            <w:rFonts w:cstheme="minorBidi"/>
            <w:color w:val="0070C0"/>
            <w:sz w:val="21"/>
            <w:szCs w:val="21"/>
            <w:lang w:eastAsia="en-AU"/>
          </w:rPr>
          <w:t>Good Practice Note</w:t>
        </w:r>
      </w:hyperlink>
      <w:r w:rsidR="006B4222" w:rsidRPr="003460A7">
        <w:rPr>
          <w:color w:val="auto"/>
          <w:sz w:val="21"/>
          <w:szCs w:val="21"/>
          <w:lang w:eastAsia="en-AU"/>
        </w:rPr>
        <w:t xml:space="preserve"> </w:t>
      </w:r>
      <w:r w:rsidR="001F4AB5" w:rsidRPr="003460A7">
        <w:rPr>
          <w:color w:val="auto"/>
          <w:sz w:val="21"/>
          <w:szCs w:val="21"/>
          <w:lang w:eastAsia="en-AU"/>
        </w:rPr>
        <w:t xml:space="preserve">for </w:t>
      </w:r>
      <w:r w:rsidR="009F314B">
        <w:rPr>
          <w:color w:val="auto"/>
          <w:sz w:val="21"/>
          <w:szCs w:val="21"/>
          <w:lang w:eastAsia="en-AU"/>
        </w:rPr>
        <w:t xml:space="preserve">detailed </w:t>
      </w:r>
      <w:r w:rsidR="001F4AB5" w:rsidRPr="003460A7">
        <w:rPr>
          <w:color w:val="auto"/>
          <w:sz w:val="21"/>
          <w:szCs w:val="21"/>
          <w:lang w:eastAsia="en-AU"/>
        </w:rPr>
        <w:t xml:space="preserve">design guidance. </w:t>
      </w:r>
    </w:p>
    <w:p w14:paraId="1A6E8A53" w14:textId="194B6C48" w:rsidR="00EB5FD7" w:rsidRPr="00FD1A38" w:rsidRDefault="001F4AB5" w:rsidP="00EB5FD7">
      <w:pPr>
        <w:rPr>
          <w:color w:val="auto"/>
          <w:lang w:eastAsia="en-AU"/>
        </w:rPr>
      </w:pPr>
      <w:r w:rsidRPr="00FD1A38">
        <w:rPr>
          <w:color w:val="auto"/>
          <w:lang w:eastAsia="en-AU"/>
        </w:rPr>
        <w:t xml:space="preserve">Key </w:t>
      </w:r>
      <w:r w:rsidR="00DF5767" w:rsidRPr="00FD1A38">
        <w:rPr>
          <w:color w:val="auto"/>
          <w:lang w:eastAsia="en-AU"/>
        </w:rPr>
        <w:t>design considerations:</w:t>
      </w:r>
    </w:p>
    <w:p w14:paraId="482DCDF8" w14:textId="77777777" w:rsidR="00732D54" w:rsidRPr="00FD1A38" w:rsidRDefault="00732D54" w:rsidP="00732D54">
      <w:pPr>
        <w:pStyle w:val="List-bullet-1"/>
        <w:numPr>
          <w:ilvl w:val="0"/>
          <w:numId w:val="12"/>
        </w:numPr>
        <w:rPr>
          <w:rFonts w:asciiTheme="minorHAnsi" w:hAnsiTheme="minorHAnsi" w:cstheme="minorHAnsi"/>
          <w:spacing w:val="-2"/>
          <w:sz w:val="21"/>
          <w:szCs w:val="21"/>
          <w:lang w:eastAsia="en-AU"/>
        </w:rPr>
      </w:pPr>
      <w:r w:rsidRPr="00FD1A38">
        <w:rPr>
          <w:rFonts w:asciiTheme="minorHAnsi" w:hAnsiTheme="minorHAnsi" w:cstheme="minorHAnsi"/>
          <w:spacing w:val="-2"/>
          <w:sz w:val="21"/>
          <w:szCs w:val="21"/>
          <w:lang w:eastAsia="en-AU"/>
        </w:rPr>
        <w:t>Has disability analysis informed the investment concept? This can include disability issues identified through e.g. intersectional GEDSI analysis, political economy analysis, social safeguarding assessments or other disability-related research or reviews.</w:t>
      </w:r>
    </w:p>
    <w:p w14:paraId="3151C6EE" w14:textId="7B3486CB" w:rsidR="001B3205" w:rsidRPr="00FD1A38" w:rsidRDefault="001B3205" w:rsidP="001B3205">
      <w:pPr>
        <w:pStyle w:val="List-bullet-1"/>
        <w:numPr>
          <w:ilvl w:val="0"/>
          <w:numId w:val="12"/>
        </w:numPr>
        <w:rPr>
          <w:rFonts w:asciiTheme="minorHAnsi" w:hAnsiTheme="minorHAnsi" w:cstheme="minorHAnsi"/>
          <w:spacing w:val="-2"/>
          <w:sz w:val="21"/>
          <w:szCs w:val="21"/>
          <w:lang w:eastAsia="en-AU"/>
        </w:rPr>
      </w:pPr>
      <w:r w:rsidRPr="00FD1A38">
        <w:rPr>
          <w:rFonts w:asciiTheme="minorHAnsi" w:hAnsiTheme="minorHAnsi" w:cstheme="minorHAnsi"/>
          <w:spacing w:val="-2"/>
          <w:sz w:val="21"/>
          <w:szCs w:val="21"/>
          <w:lang w:eastAsia="en-AU"/>
        </w:rPr>
        <w:t>Does the design commit to developing a disability or GEDSI strategy or action plan?</w:t>
      </w:r>
    </w:p>
    <w:p w14:paraId="195FB9ED" w14:textId="28A4CEA9" w:rsidR="002674BF" w:rsidRPr="00FD1A38" w:rsidRDefault="002674BF" w:rsidP="002674BF">
      <w:pPr>
        <w:pStyle w:val="List-bullet-1"/>
        <w:numPr>
          <w:ilvl w:val="0"/>
          <w:numId w:val="12"/>
        </w:numPr>
        <w:rPr>
          <w:rFonts w:asciiTheme="minorHAnsi" w:hAnsiTheme="minorHAnsi" w:cstheme="minorHAnsi"/>
          <w:spacing w:val="-2"/>
          <w:sz w:val="21"/>
          <w:szCs w:val="21"/>
          <w:lang w:eastAsia="en-AU"/>
        </w:rPr>
      </w:pPr>
      <w:r w:rsidRPr="00FD1A38">
        <w:rPr>
          <w:rFonts w:asciiTheme="minorHAnsi" w:hAnsiTheme="minorHAnsi" w:cstheme="minorHAnsi"/>
          <w:spacing w:val="-2"/>
          <w:sz w:val="21"/>
          <w:szCs w:val="21"/>
          <w:lang w:eastAsia="en-AU"/>
        </w:rPr>
        <w:t xml:space="preserve">Has expertise in disability equity and rights been sought to inform the investment concept and design? This should include consulting </w:t>
      </w:r>
      <w:r w:rsidR="00E71A4F" w:rsidRPr="00FD1A38">
        <w:rPr>
          <w:rFonts w:asciiTheme="minorHAnsi" w:hAnsiTheme="minorHAnsi" w:cstheme="minorHAnsi"/>
          <w:spacing w:val="-2"/>
          <w:sz w:val="21"/>
          <w:szCs w:val="21"/>
          <w:lang w:eastAsia="en-AU"/>
        </w:rPr>
        <w:t xml:space="preserve">diverse </w:t>
      </w:r>
      <w:r w:rsidRPr="00FD1A38">
        <w:rPr>
          <w:rFonts w:asciiTheme="minorHAnsi" w:hAnsiTheme="minorHAnsi" w:cstheme="minorHAnsi"/>
          <w:spacing w:val="-2"/>
          <w:sz w:val="21"/>
          <w:szCs w:val="21"/>
          <w:lang w:eastAsia="en-AU"/>
        </w:rPr>
        <w:t xml:space="preserve">people with disability and their representative organisations from the local context. </w:t>
      </w:r>
    </w:p>
    <w:p w14:paraId="6F1D5226" w14:textId="6FF84CC3" w:rsidR="00DF5767" w:rsidRPr="00FD1A38" w:rsidRDefault="002674BF" w:rsidP="00EB5FD7">
      <w:pPr>
        <w:pStyle w:val="List-bullet-1"/>
        <w:numPr>
          <w:ilvl w:val="0"/>
          <w:numId w:val="12"/>
        </w:numPr>
        <w:rPr>
          <w:rFonts w:asciiTheme="minorHAnsi" w:hAnsiTheme="minorHAnsi" w:cstheme="minorHAnsi"/>
          <w:spacing w:val="-2"/>
          <w:sz w:val="21"/>
          <w:szCs w:val="21"/>
          <w:lang w:eastAsia="en-AU"/>
        </w:rPr>
      </w:pPr>
      <w:r w:rsidRPr="00FD1A38">
        <w:rPr>
          <w:rFonts w:asciiTheme="minorHAnsi" w:hAnsiTheme="minorHAnsi" w:cstheme="minorHAnsi"/>
          <w:spacing w:val="-2"/>
          <w:sz w:val="21"/>
          <w:szCs w:val="21"/>
          <w:lang w:eastAsia="en-AU"/>
        </w:rPr>
        <w:t>Has approximately 3 to 5 per cent of the budget been set aside to ensure people with disability and their representative organisations can meaningfully participate in the design, implementation and monitoring and evaluation of the investment (for example, support person, sign language interpreters and accessible transport).</w:t>
      </w:r>
    </w:p>
    <w:p w14:paraId="7B545BF3" w14:textId="5650B789" w:rsidR="00EB5FD7" w:rsidRPr="00FD1A38" w:rsidRDefault="00EB5FD7" w:rsidP="000C6D60">
      <w:pPr>
        <w:pStyle w:val="Heading3"/>
        <w:spacing w:before="120" w:after="120"/>
        <w:rPr>
          <w:color w:val="auto"/>
          <w:lang w:eastAsia="en-AU"/>
        </w:rPr>
      </w:pPr>
      <w:r w:rsidRPr="00FD1A38">
        <w:rPr>
          <w:color w:val="auto"/>
          <w:lang w:eastAsia="en-AU"/>
        </w:rPr>
        <w:t>Procurement</w:t>
      </w:r>
    </w:p>
    <w:p w14:paraId="73420481" w14:textId="77777777" w:rsidR="003128B1" w:rsidRPr="00FD1A38" w:rsidRDefault="003128B1" w:rsidP="00292F72">
      <w:pPr>
        <w:pStyle w:val="List-bullet-1"/>
        <w:numPr>
          <w:ilvl w:val="0"/>
          <w:numId w:val="12"/>
        </w:numPr>
        <w:rPr>
          <w:rFonts w:asciiTheme="minorHAnsi" w:hAnsiTheme="minorHAnsi" w:cstheme="minorHAnsi"/>
          <w:spacing w:val="-2"/>
          <w:sz w:val="21"/>
          <w:szCs w:val="21"/>
          <w:lang w:eastAsia="en-AU"/>
        </w:rPr>
      </w:pPr>
      <w:r w:rsidRPr="00FD1A38">
        <w:rPr>
          <w:rFonts w:asciiTheme="minorHAnsi" w:hAnsiTheme="minorHAnsi" w:cstheme="minorHAnsi"/>
          <w:spacing w:val="-2"/>
          <w:sz w:val="21"/>
          <w:szCs w:val="21"/>
          <w:lang w:eastAsia="en-AU"/>
        </w:rPr>
        <w:t>Do terms of references require implementing partners to be disability-inclusive, including providing reasonable accommodation?</w:t>
      </w:r>
    </w:p>
    <w:p w14:paraId="3BD0664C" w14:textId="77777777" w:rsidR="003128B1" w:rsidRPr="00FD1A38" w:rsidRDefault="003128B1" w:rsidP="00292F72">
      <w:pPr>
        <w:pStyle w:val="List-bullet-1"/>
        <w:numPr>
          <w:ilvl w:val="0"/>
          <w:numId w:val="12"/>
        </w:numPr>
        <w:rPr>
          <w:rFonts w:asciiTheme="minorHAnsi" w:hAnsiTheme="minorHAnsi" w:cstheme="minorHAnsi"/>
          <w:spacing w:val="-2"/>
          <w:sz w:val="21"/>
          <w:szCs w:val="21"/>
          <w:lang w:eastAsia="en-AU"/>
        </w:rPr>
      </w:pPr>
      <w:r w:rsidRPr="00FD1A38">
        <w:rPr>
          <w:rFonts w:asciiTheme="minorHAnsi" w:hAnsiTheme="minorHAnsi" w:cstheme="minorHAnsi"/>
          <w:spacing w:val="-2"/>
          <w:sz w:val="21"/>
          <w:szCs w:val="21"/>
          <w:lang w:eastAsia="en-AU"/>
        </w:rPr>
        <w:t xml:space="preserve">Are there disability-inclusion deliverables clearly outlined in the Statement of Requirement or agreement, and financed (recommended at 3 to 5 per cent of the budget)? Do they include plans on: </w:t>
      </w:r>
    </w:p>
    <w:p w14:paraId="6C359CAA" w14:textId="13AA3EA6" w:rsidR="003128B1" w:rsidRPr="00FD1A38" w:rsidRDefault="003128B1" w:rsidP="00292F72">
      <w:pPr>
        <w:pStyle w:val="List-bullet-1"/>
        <w:numPr>
          <w:ilvl w:val="1"/>
          <w:numId w:val="15"/>
        </w:numPr>
        <w:rPr>
          <w:rFonts w:asciiTheme="minorHAnsi" w:hAnsiTheme="minorHAnsi" w:cstheme="minorHAnsi"/>
          <w:spacing w:val="-2"/>
          <w:sz w:val="21"/>
          <w:szCs w:val="21"/>
          <w:lang w:eastAsia="en-AU"/>
        </w:rPr>
      </w:pPr>
      <w:r w:rsidRPr="00FD1A38">
        <w:rPr>
          <w:rFonts w:asciiTheme="minorHAnsi" w:hAnsiTheme="minorHAnsi" w:cstheme="minorHAnsi"/>
          <w:spacing w:val="-2"/>
          <w:sz w:val="21"/>
          <w:szCs w:val="21"/>
          <w:lang w:eastAsia="en-AU"/>
        </w:rPr>
        <w:t xml:space="preserve">how people with disabilities will be included in the development of the investment concept and/or investment design </w:t>
      </w:r>
    </w:p>
    <w:p w14:paraId="2417F28B" w14:textId="1EEE72E3" w:rsidR="003128B1" w:rsidRPr="00FD1A38" w:rsidRDefault="003128B1" w:rsidP="00292F72">
      <w:pPr>
        <w:pStyle w:val="List-bullet-1"/>
        <w:numPr>
          <w:ilvl w:val="1"/>
          <w:numId w:val="15"/>
        </w:numPr>
        <w:rPr>
          <w:rFonts w:asciiTheme="minorHAnsi" w:hAnsiTheme="minorHAnsi" w:cstheme="minorHAnsi"/>
          <w:spacing w:val="-2"/>
          <w:sz w:val="21"/>
          <w:szCs w:val="21"/>
          <w:lang w:eastAsia="en-AU"/>
        </w:rPr>
      </w:pPr>
      <w:r w:rsidRPr="00FD1A38">
        <w:rPr>
          <w:rFonts w:asciiTheme="minorHAnsi" w:hAnsiTheme="minorHAnsi" w:cstheme="minorHAnsi"/>
          <w:spacing w:val="-2"/>
          <w:sz w:val="21"/>
          <w:szCs w:val="21"/>
          <w:lang w:eastAsia="en-AU"/>
        </w:rPr>
        <w:t>what measures will be taken to ensure people with disabilities will be able to participate in and benefit from the given investment</w:t>
      </w:r>
    </w:p>
    <w:p w14:paraId="5044D9A4" w14:textId="73AA77EC" w:rsidR="003128B1" w:rsidRPr="00FD1A38" w:rsidRDefault="003128B1" w:rsidP="00292F72">
      <w:pPr>
        <w:pStyle w:val="List-bullet-1"/>
        <w:numPr>
          <w:ilvl w:val="1"/>
          <w:numId w:val="15"/>
        </w:numPr>
        <w:rPr>
          <w:rFonts w:asciiTheme="minorHAnsi" w:hAnsiTheme="minorHAnsi" w:cstheme="minorHAnsi"/>
          <w:spacing w:val="-2"/>
          <w:sz w:val="21"/>
          <w:szCs w:val="21"/>
          <w:lang w:eastAsia="en-AU"/>
        </w:rPr>
      </w:pPr>
      <w:r w:rsidRPr="00FD1A38">
        <w:rPr>
          <w:rFonts w:asciiTheme="minorHAnsi" w:hAnsiTheme="minorHAnsi" w:cstheme="minorHAnsi"/>
          <w:spacing w:val="-2"/>
          <w:sz w:val="21"/>
          <w:szCs w:val="21"/>
          <w:lang w:eastAsia="en-AU"/>
        </w:rPr>
        <w:t xml:space="preserve">what specific targets will be used to monitor progress towards disability-inclusion and how will data be disaggregated by disability status </w:t>
      </w:r>
    </w:p>
    <w:p w14:paraId="022BD59F" w14:textId="452C24C0" w:rsidR="003128B1" w:rsidRPr="00FD1A38" w:rsidRDefault="003128B1" w:rsidP="00292F72">
      <w:pPr>
        <w:pStyle w:val="List-bullet-1"/>
        <w:numPr>
          <w:ilvl w:val="1"/>
          <w:numId w:val="15"/>
        </w:numPr>
        <w:rPr>
          <w:rFonts w:asciiTheme="minorHAnsi" w:hAnsiTheme="minorHAnsi" w:cstheme="minorHAnsi"/>
          <w:spacing w:val="-2"/>
          <w:sz w:val="21"/>
          <w:szCs w:val="21"/>
          <w:lang w:eastAsia="en-AU"/>
        </w:rPr>
      </w:pPr>
      <w:r w:rsidRPr="00FD1A38">
        <w:rPr>
          <w:rFonts w:asciiTheme="minorHAnsi" w:hAnsiTheme="minorHAnsi" w:cstheme="minorHAnsi"/>
          <w:spacing w:val="-2"/>
          <w:sz w:val="21"/>
          <w:szCs w:val="21"/>
          <w:lang w:eastAsia="en-AU"/>
        </w:rPr>
        <w:t>hiring people with disabilities as implementers, evaluators and researchers (where possible)?</w:t>
      </w:r>
    </w:p>
    <w:p w14:paraId="05C197D4" w14:textId="77777777" w:rsidR="003128B1" w:rsidRPr="00FD1A38" w:rsidRDefault="003128B1" w:rsidP="004605DB">
      <w:pPr>
        <w:pStyle w:val="Heading3"/>
        <w:spacing w:before="120" w:after="120"/>
        <w:rPr>
          <w:color w:val="auto"/>
          <w:lang w:eastAsia="en-AU"/>
        </w:rPr>
      </w:pPr>
      <w:r w:rsidRPr="00FD1A38">
        <w:rPr>
          <w:color w:val="auto"/>
          <w:lang w:eastAsia="en-AU"/>
        </w:rPr>
        <w:t xml:space="preserve">Implementation and performance management </w:t>
      </w:r>
    </w:p>
    <w:p w14:paraId="4EEF8B94" w14:textId="4AE56600" w:rsidR="003128B1" w:rsidRPr="00FD1A38" w:rsidRDefault="003128B1" w:rsidP="00292F72">
      <w:pPr>
        <w:pStyle w:val="List-bullet-1"/>
        <w:numPr>
          <w:ilvl w:val="0"/>
          <w:numId w:val="12"/>
        </w:numPr>
        <w:rPr>
          <w:rFonts w:asciiTheme="minorHAnsi" w:hAnsiTheme="minorHAnsi" w:cstheme="minorHAnsi"/>
          <w:spacing w:val="-2"/>
          <w:sz w:val="21"/>
          <w:szCs w:val="21"/>
          <w:lang w:eastAsia="en-AU"/>
        </w:rPr>
      </w:pPr>
      <w:r w:rsidRPr="00FD1A38">
        <w:rPr>
          <w:rFonts w:asciiTheme="minorHAnsi" w:hAnsiTheme="minorHAnsi" w:cstheme="minorHAnsi"/>
          <w:spacing w:val="-2"/>
          <w:sz w:val="21"/>
          <w:szCs w:val="21"/>
          <w:lang w:eastAsia="en-AU"/>
        </w:rPr>
        <w:t>Has</w:t>
      </w:r>
      <w:r w:rsidR="00430B7D" w:rsidRPr="00FD1A38">
        <w:rPr>
          <w:rFonts w:asciiTheme="minorHAnsi" w:hAnsiTheme="minorHAnsi" w:cstheme="minorHAnsi"/>
          <w:spacing w:val="-2"/>
          <w:sz w:val="21"/>
          <w:szCs w:val="21"/>
          <w:lang w:eastAsia="en-AU"/>
        </w:rPr>
        <w:t xml:space="preserve"> a baseline of disability equity and rights been established</w:t>
      </w:r>
      <w:r w:rsidR="008312E9" w:rsidRPr="00FD1A38">
        <w:rPr>
          <w:rFonts w:asciiTheme="minorHAnsi" w:hAnsiTheme="minorHAnsi" w:cstheme="minorHAnsi"/>
          <w:spacing w:val="-2"/>
          <w:sz w:val="21"/>
          <w:szCs w:val="21"/>
          <w:lang w:eastAsia="en-AU"/>
        </w:rPr>
        <w:t xml:space="preserve"> </w:t>
      </w:r>
      <w:r w:rsidR="00F50C72" w:rsidRPr="00FD1A38">
        <w:rPr>
          <w:rFonts w:asciiTheme="minorHAnsi" w:hAnsiTheme="minorHAnsi" w:cstheme="minorHAnsi"/>
          <w:spacing w:val="-2"/>
          <w:sz w:val="21"/>
          <w:szCs w:val="21"/>
          <w:lang w:eastAsia="en-AU"/>
        </w:rPr>
        <w:t>to measure progress</w:t>
      </w:r>
      <w:r w:rsidR="00D92BBC" w:rsidRPr="00FD1A38">
        <w:rPr>
          <w:rFonts w:asciiTheme="minorHAnsi" w:hAnsiTheme="minorHAnsi" w:cstheme="minorHAnsi"/>
          <w:spacing w:val="-2"/>
          <w:sz w:val="21"/>
          <w:szCs w:val="21"/>
          <w:lang w:eastAsia="en-AU"/>
        </w:rPr>
        <w:t xml:space="preserve"> (using quantitative and qualitative data)</w:t>
      </w:r>
      <w:r w:rsidR="00F50C72" w:rsidRPr="00FD1A38">
        <w:rPr>
          <w:rFonts w:asciiTheme="minorHAnsi" w:hAnsiTheme="minorHAnsi" w:cstheme="minorHAnsi"/>
          <w:spacing w:val="-2"/>
          <w:sz w:val="21"/>
          <w:szCs w:val="21"/>
          <w:lang w:eastAsia="en-AU"/>
        </w:rPr>
        <w:t>?</w:t>
      </w:r>
      <w:r w:rsidR="00DB0B3A" w:rsidRPr="00FD1A38">
        <w:rPr>
          <w:rFonts w:asciiTheme="minorHAnsi" w:hAnsiTheme="minorHAnsi" w:cstheme="minorHAnsi"/>
          <w:spacing w:val="-2"/>
          <w:sz w:val="21"/>
          <w:szCs w:val="21"/>
          <w:lang w:eastAsia="en-AU"/>
        </w:rPr>
        <w:t xml:space="preserve"> </w:t>
      </w:r>
      <w:r w:rsidR="002030B8" w:rsidRPr="00FD1A38">
        <w:rPr>
          <w:rFonts w:asciiTheme="minorHAnsi" w:hAnsiTheme="minorHAnsi" w:cstheme="minorHAnsi"/>
          <w:spacing w:val="-2"/>
          <w:sz w:val="21"/>
          <w:szCs w:val="21"/>
          <w:lang w:eastAsia="en-AU"/>
        </w:rPr>
        <w:t>A</w:t>
      </w:r>
      <w:r w:rsidRPr="00FD1A38">
        <w:rPr>
          <w:rFonts w:asciiTheme="minorHAnsi" w:hAnsiTheme="minorHAnsi" w:cstheme="minorHAnsi"/>
          <w:spacing w:val="-2"/>
          <w:sz w:val="21"/>
          <w:szCs w:val="21"/>
          <w:lang w:eastAsia="en-AU"/>
        </w:rPr>
        <w:t xml:space="preserve"> lack of </w:t>
      </w:r>
      <w:r w:rsidR="002030B8" w:rsidRPr="00FD1A38">
        <w:rPr>
          <w:rFonts w:asciiTheme="minorHAnsi" w:hAnsiTheme="minorHAnsi" w:cstheme="minorHAnsi"/>
          <w:spacing w:val="-2"/>
          <w:sz w:val="21"/>
          <w:szCs w:val="21"/>
          <w:lang w:eastAsia="en-AU"/>
        </w:rPr>
        <w:t xml:space="preserve">available </w:t>
      </w:r>
      <w:r w:rsidRPr="00FD1A38">
        <w:rPr>
          <w:rFonts w:asciiTheme="minorHAnsi" w:hAnsiTheme="minorHAnsi" w:cstheme="minorHAnsi"/>
          <w:spacing w:val="-2"/>
          <w:sz w:val="21"/>
          <w:szCs w:val="21"/>
          <w:lang w:eastAsia="en-AU"/>
        </w:rPr>
        <w:t>data</w:t>
      </w:r>
      <w:r w:rsidR="00315B55" w:rsidRPr="00FD1A38">
        <w:rPr>
          <w:rFonts w:asciiTheme="minorHAnsi" w:hAnsiTheme="minorHAnsi" w:cstheme="minorHAnsi"/>
          <w:spacing w:val="-2"/>
          <w:sz w:val="21"/>
          <w:szCs w:val="21"/>
          <w:lang w:eastAsia="en-AU"/>
        </w:rPr>
        <w:t xml:space="preserve"> </w:t>
      </w:r>
      <w:r w:rsidRPr="00FD1A38">
        <w:rPr>
          <w:rFonts w:asciiTheme="minorHAnsi" w:hAnsiTheme="minorHAnsi" w:cstheme="minorHAnsi"/>
          <w:spacing w:val="-2"/>
          <w:sz w:val="21"/>
          <w:szCs w:val="21"/>
          <w:lang w:eastAsia="en-AU"/>
        </w:rPr>
        <w:t>should not prevent action on disability</w:t>
      </w:r>
      <w:r w:rsidR="008A16AB" w:rsidRPr="00FD1A38">
        <w:rPr>
          <w:rFonts w:asciiTheme="minorHAnsi" w:hAnsiTheme="minorHAnsi" w:cstheme="minorHAnsi"/>
          <w:spacing w:val="-2"/>
          <w:sz w:val="21"/>
          <w:szCs w:val="21"/>
          <w:lang w:eastAsia="en-AU"/>
        </w:rPr>
        <w:t xml:space="preserve"> equity and </w:t>
      </w:r>
      <w:r w:rsidR="008D36A3" w:rsidRPr="00FD1A38">
        <w:rPr>
          <w:rFonts w:asciiTheme="minorHAnsi" w:hAnsiTheme="minorHAnsi" w:cstheme="minorHAnsi"/>
          <w:spacing w:val="-2"/>
          <w:sz w:val="21"/>
          <w:szCs w:val="21"/>
          <w:lang w:eastAsia="en-AU"/>
        </w:rPr>
        <w:t>rights</w:t>
      </w:r>
      <w:r w:rsidR="009501D0" w:rsidRPr="00FD1A38">
        <w:rPr>
          <w:rFonts w:asciiTheme="minorHAnsi" w:hAnsiTheme="minorHAnsi" w:cstheme="minorHAnsi"/>
          <w:spacing w:val="-2"/>
          <w:sz w:val="21"/>
          <w:szCs w:val="21"/>
          <w:lang w:eastAsia="en-AU"/>
        </w:rPr>
        <w:t xml:space="preserve"> – </w:t>
      </w:r>
      <w:r w:rsidRPr="00FD1A38">
        <w:rPr>
          <w:rFonts w:asciiTheme="minorHAnsi" w:hAnsiTheme="minorHAnsi" w:cstheme="minorHAnsi"/>
          <w:spacing w:val="-2"/>
          <w:sz w:val="21"/>
          <w:szCs w:val="21"/>
          <w:lang w:eastAsia="en-AU"/>
        </w:rPr>
        <w:t>approximately</w:t>
      </w:r>
      <w:r w:rsidR="009501D0" w:rsidRPr="00FD1A38">
        <w:rPr>
          <w:rFonts w:asciiTheme="minorHAnsi" w:hAnsiTheme="minorHAnsi" w:cstheme="minorHAnsi"/>
          <w:spacing w:val="-2"/>
          <w:sz w:val="21"/>
          <w:szCs w:val="21"/>
          <w:lang w:eastAsia="en-AU"/>
        </w:rPr>
        <w:t xml:space="preserve"> </w:t>
      </w:r>
      <w:r w:rsidRPr="00FD1A38">
        <w:rPr>
          <w:rFonts w:asciiTheme="minorHAnsi" w:hAnsiTheme="minorHAnsi" w:cstheme="minorHAnsi"/>
          <w:spacing w:val="-2"/>
          <w:sz w:val="21"/>
          <w:szCs w:val="21"/>
          <w:lang w:eastAsia="en-AU"/>
        </w:rPr>
        <w:t>1</w:t>
      </w:r>
      <w:r w:rsidR="00D87FFB">
        <w:rPr>
          <w:rFonts w:asciiTheme="minorHAnsi" w:hAnsiTheme="minorHAnsi" w:cstheme="minorHAnsi"/>
          <w:spacing w:val="-2"/>
          <w:sz w:val="21"/>
          <w:szCs w:val="21"/>
          <w:lang w:eastAsia="en-AU"/>
        </w:rPr>
        <w:t>6</w:t>
      </w:r>
      <w:r w:rsidRPr="00FD1A38">
        <w:rPr>
          <w:rFonts w:asciiTheme="minorHAnsi" w:hAnsiTheme="minorHAnsi" w:cstheme="minorHAnsi"/>
          <w:spacing w:val="-2"/>
          <w:sz w:val="21"/>
          <w:szCs w:val="21"/>
          <w:lang w:eastAsia="en-AU"/>
        </w:rPr>
        <w:t xml:space="preserve"> per cent of a given population has a disability</w:t>
      </w:r>
      <w:r w:rsidR="00DB0B3A" w:rsidRPr="00FD1A38">
        <w:rPr>
          <w:rFonts w:asciiTheme="minorHAnsi" w:hAnsiTheme="minorHAnsi" w:cstheme="minorHAnsi"/>
          <w:spacing w:val="-2"/>
          <w:sz w:val="21"/>
          <w:szCs w:val="21"/>
          <w:lang w:eastAsia="en-AU"/>
        </w:rPr>
        <w:t xml:space="preserve"> and</w:t>
      </w:r>
      <w:r w:rsidRPr="00FD1A38">
        <w:rPr>
          <w:rFonts w:asciiTheme="minorHAnsi" w:hAnsiTheme="minorHAnsi" w:cstheme="minorHAnsi"/>
          <w:spacing w:val="-2"/>
          <w:sz w:val="21"/>
          <w:szCs w:val="21"/>
          <w:lang w:eastAsia="en-AU"/>
        </w:rPr>
        <w:t xml:space="preserve"> is often higher in developing or conflict-affected countries.</w:t>
      </w:r>
    </w:p>
    <w:p w14:paraId="56CA8D46" w14:textId="77777777" w:rsidR="003128B1" w:rsidRPr="00FD1A38" w:rsidRDefault="003128B1" w:rsidP="00292F72">
      <w:pPr>
        <w:pStyle w:val="List-bullet-1"/>
        <w:numPr>
          <w:ilvl w:val="0"/>
          <w:numId w:val="12"/>
        </w:numPr>
        <w:rPr>
          <w:rFonts w:asciiTheme="minorHAnsi" w:hAnsiTheme="minorHAnsi" w:cstheme="minorHAnsi"/>
          <w:spacing w:val="-2"/>
          <w:sz w:val="21"/>
          <w:szCs w:val="21"/>
          <w:lang w:eastAsia="en-AU"/>
        </w:rPr>
      </w:pPr>
      <w:r w:rsidRPr="00FD1A38">
        <w:rPr>
          <w:rFonts w:asciiTheme="minorHAnsi" w:hAnsiTheme="minorHAnsi" w:cstheme="minorHAnsi"/>
          <w:spacing w:val="-2"/>
          <w:sz w:val="21"/>
          <w:szCs w:val="21"/>
          <w:lang w:eastAsia="en-AU"/>
        </w:rPr>
        <w:t xml:space="preserve">Are both quantitative and qualitative indicators used to track progress on disability-inclusive development outcomes within the M&amp;E framework?  </w:t>
      </w:r>
    </w:p>
    <w:p w14:paraId="339A8E79" w14:textId="6768059A" w:rsidR="003128B1" w:rsidRPr="008B1F20" w:rsidRDefault="003128B1" w:rsidP="00292F72">
      <w:pPr>
        <w:pStyle w:val="List-bullet-1"/>
        <w:numPr>
          <w:ilvl w:val="0"/>
          <w:numId w:val="12"/>
        </w:numPr>
        <w:rPr>
          <w:rFonts w:asciiTheme="minorHAnsi" w:hAnsiTheme="minorHAnsi" w:cstheme="minorHAnsi"/>
          <w:spacing w:val="-2"/>
          <w:sz w:val="21"/>
          <w:szCs w:val="21"/>
          <w:lang w:eastAsia="en-AU"/>
        </w:rPr>
      </w:pPr>
      <w:r w:rsidRPr="008B1F20">
        <w:rPr>
          <w:rFonts w:asciiTheme="minorHAnsi" w:hAnsiTheme="minorHAnsi" w:cstheme="minorHAnsi"/>
          <w:spacing w:val="-2"/>
          <w:sz w:val="21"/>
          <w:szCs w:val="21"/>
          <w:lang w:eastAsia="en-AU"/>
        </w:rPr>
        <w:lastRenderedPageBreak/>
        <w:t>Is disability disaggregated data being collected and analysed using the Washington Group short set of questions? Is this data also disaggregated by sex and age to assess the impacts on women, men, girls, and boys with disabilit</w:t>
      </w:r>
      <w:r w:rsidR="00151A57" w:rsidRPr="008B1F20">
        <w:rPr>
          <w:rFonts w:asciiTheme="minorHAnsi" w:hAnsiTheme="minorHAnsi" w:cstheme="minorHAnsi"/>
          <w:spacing w:val="-2"/>
          <w:sz w:val="21"/>
          <w:szCs w:val="21"/>
          <w:lang w:eastAsia="en-AU"/>
        </w:rPr>
        <w:t>y</w:t>
      </w:r>
      <w:r w:rsidRPr="008B1F20">
        <w:rPr>
          <w:rFonts w:asciiTheme="minorHAnsi" w:hAnsiTheme="minorHAnsi" w:cstheme="minorHAnsi"/>
          <w:spacing w:val="-2"/>
          <w:sz w:val="21"/>
          <w:szCs w:val="21"/>
          <w:lang w:eastAsia="en-AU"/>
        </w:rPr>
        <w:t xml:space="preserve">? </w:t>
      </w:r>
    </w:p>
    <w:p w14:paraId="2FA59806" w14:textId="0BE2D1B2" w:rsidR="00527F03" w:rsidRPr="008B1F20" w:rsidRDefault="003128B1" w:rsidP="00506A03">
      <w:pPr>
        <w:pStyle w:val="List-bullet-1"/>
        <w:numPr>
          <w:ilvl w:val="0"/>
          <w:numId w:val="12"/>
        </w:numPr>
        <w:rPr>
          <w:rFonts w:asciiTheme="minorHAnsi" w:hAnsiTheme="minorHAnsi" w:cstheme="minorHAnsi"/>
          <w:spacing w:val="-2"/>
          <w:sz w:val="21"/>
          <w:szCs w:val="21"/>
          <w:lang w:eastAsia="en-AU"/>
        </w:rPr>
      </w:pPr>
      <w:r w:rsidRPr="008B1F20">
        <w:rPr>
          <w:rFonts w:asciiTheme="minorHAnsi" w:hAnsiTheme="minorHAnsi" w:cstheme="minorHAnsi"/>
          <w:spacing w:val="-2"/>
          <w:sz w:val="21"/>
          <w:szCs w:val="21"/>
          <w:lang w:eastAsia="en-AU"/>
        </w:rPr>
        <w:t>Have systems been established from the outset to capture disability information for Investment Monitoring Reports (required for those over $3 million)</w:t>
      </w:r>
      <w:r w:rsidR="00506A03" w:rsidRPr="008B1F20">
        <w:rPr>
          <w:rFonts w:asciiTheme="minorHAnsi" w:hAnsiTheme="minorHAnsi" w:cstheme="minorHAnsi"/>
          <w:spacing w:val="-2"/>
          <w:sz w:val="21"/>
          <w:szCs w:val="21"/>
          <w:lang w:eastAsia="en-AU"/>
        </w:rPr>
        <w:t xml:space="preserve">. </w:t>
      </w:r>
    </w:p>
    <w:p w14:paraId="6A0E8520" w14:textId="77777777" w:rsidR="00092014" w:rsidRPr="008B1F20" w:rsidRDefault="00092014" w:rsidP="00292F72">
      <w:pPr>
        <w:pStyle w:val="List-bullet-1"/>
        <w:numPr>
          <w:ilvl w:val="0"/>
          <w:numId w:val="12"/>
        </w:numPr>
        <w:rPr>
          <w:rFonts w:asciiTheme="minorHAnsi" w:hAnsiTheme="minorHAnsi" w:cstheme="minorHAnsi"/>
          <w:spacing w:val="-2"/>
          <w:sz w:val="21"/>
          <w:szCs w:val="21"/>
          <w:lang w:eastAsia="en-AU"/>
        </w:rPr>
      </w:pPr>
      <w:r w:rsidRPr="008B1F20">
        <w:rPr>
          <w:rFonts w:asciiTheme="minorHAnsi" w:hAnsiTheme="minorHAnsi" w:cstheme="minorHAnsi"/>
          <w:spacing w:val="-2"/>
          <w:sz w:val="21"/>
          <w:szCs w:val="21"/>
          <w:lang w:val="en-US" w:eastAsia="en-AU"/>
        </w:rPr>
        <w:t>Does the MEL plan enable regular monitoring of the implementing partner’s disability equity performance?</w:t>
      </w:r>
    </w:p>
    <w:p w14:paraId="5CEE1668" w14:textId="36C97807" w:rsidR="003128B1" w:rsidRPr="008B1F20" w:rsidRDefault="003128B1" w:rsidP="00292F72">
      <w:pPr>
        <w:pStyle w:val="List-bullet-1"/>
        <w:numPr>
          <w:ilvl w:val="0"/>
          <w:numId w:val="12"/>
        </w:numPr>
        <w:rPr>
          <w:rFonts w:asciiTheme="minorHAnsi" w:hAnsiTheme="minorHAnsi" w:cstheme="minorHAnsi"/>
          <w:spacing w:val="-2"/>
          <w:sz w:val="21"/>
          <w:szCs w:val="21"/>
          <w:lang w:eastAsia="en-AU"/>
        </w:rPr>
      </w:pPr>
      <w:r w:rsidRPr="008B1F20">
        <w:rPr>
          <w:rFonts w:asciiTheme="minorHAnsi" w:hAnsiTheme="minorHAnsi" w:cstheme="minorHAnsi"/>
          <w:spacing w:val="-2"/>
          <w:sz w:val="21"/>
          <w:szCs w:val="21"/>
          <w:lang w:eastAsia="en-AU"/>
        </w:rPr>
        <w:t>Have people with disability expertis</w:t>
      </w:r>
      <w:r w:rsidR="007F0577" w:rsidRPr="008B1F20">
        <w:rPr>
          <w:rFonts w:asciiTheme="minorHAnsi" w:hAnsiTheme="minorHAnsi" w:cstheme="minorHAnsi"/>
          <w:spacing w:val="-2"/>
          <w:sz w:val="21"/>
          <w:szCs w:val="21"/>
          <w:lang w:eastAsia="en-AU"/>
        </w:rPr>
        <w:t xml:space="preserve">e – </w:t>
      </w:r>
      <w:r w:rsidRPr="008B1F20">
        <w:rPr>
          <w:rFonts w:asciiTheme="minorHAnsi" w:hAnsiTheme="minorHAnsi" w:cstheme="minorHAnsi"/>
          <w:spacing w:val="-2"/>
          <w:sz w:val="21"/>
          <w:szCs w:val="21"/>
          <w:lang w:eastAsia="en-AU"/>
        </w:rPr>
        <w:t>including people with disabilit</w:t>
      </w:r>
      <w:r w:rsidR="007F0577" w:rsidRPr="008B1F20">
        <w:rPr>
          <w:rFonts w:asciiTheme="minorHAnsi" w:hAnsiTheme="minorHAnsi" w:cstheme="minorHAnsi"/>
          <w:spacing w:val="-2"/>
          <w:sz w:val="21"/>
          <w:szCs w:val="21"/>
          <w:lang w:eastAsia="en-AU"/>
        </w:rPr>
        <w:t>y</w:t>
      </w:r>
      <w:r w:rsidRPr="008B1F20">
        <w:rPr>
          <w:rFonts w:asciiTheme="minorHAnsi" w:hAnsiTheme="minorHAnsi" w:cstheme="minorHAnsi"/>
          <w:spacing w:val="-2"/>
          <w:sz w:val="21"/>
          <w:szCs w:val="21"/>
          <w:lang w:eastAsia="en-AU"/>
        </w:rPr>
        <w:t xml:space="preserve"> and/or their representative organisations</w:t>
      </w:r>
      <w:r w:rsidR="007F0577" w:rsidRPr="008B1F20">
        <w:rPr>
          <w:rFonts w:asciiTheme="minorHAnsi" w:hAnsiTheme="minorHAnsi" w:cstheme="minorHAnsi"/>
          <w:spacing w:val="-2"/>
          <w:sz w:val="21"/>
          <w:szCs w:val="21"/>
          <w:lang w:eastAsia="en-AU"/>
        </w:rPr>
        <w:t xml:space="preserve"> –</w:t>
      </w:r>
      <w:r w:rsidRPr="008B1F20">
        <w:rPr>
          <w:rFonts w:asciiTheme="minorHAnsi" w:hAnsiTheme="minorHAnsi" w:cstheme="minorHAnsi"/>
          <w:spacing w:val="-2"/>
          <w:sz w:val="21"/>
          <w:szCs w:val="21"/>
          <w:lang w:eastAsia="en-AU"/>
        </w:rPr>
        <w:t xml:space="preserve"> </w:t>
      </w:r>
      <w:r w:rsidR="007F0577" w:rsidRPr="008B1F20">
        <w:rPr>
          <w:rFonts w:asciiTheme="minorHAnsi" w:hAnsiTheme="minorHAnsi" w:cstheme="minorHAnsi"/>
          <w:spacing w:val="-2"/>
          <w:sz w:val="21"/>
          <w:szCs w:val="21"/>
          <w:lang w:eastAsia="en-AU"/>
        </w:rPr>
        <w:t xml:space="preserve">been involved </w:t>
      </w:r>
      <w:r w:rsidR="00A13C12" w:rsidRPr="008B1F20">
        <w:rPr>
          <w:rFonts w:asciiTheme="minorHAnsi" w:hAnsiTheme="minorHAnsi" w:cstheme="minorHAnsi"/>
          <w:spacing w:val="-2"/>
          <w:sz w:val="21"/>
          <w:szCs w:val="21"/>
          <w:lang w:eastAsia="en-AU"/>
        </w:rPr>
        <w:t>in</w:t>
      </w:r>
      <w:r w:rsidR="000A2D46" w:rsidRPr="008B1F20">
        <w:rPr>
          <w:rFonts w:asciiTheme="minorHAnsi" w:hAnsiTheme="minorHAnsi" w:cstheme="minorHAnsi"/>
          <w:spacing w:val="-2"/>
          <w:sz w:val="21"/>
          <w:szCs w:val="21"/>
          <w:lang w:eastAsia="en-AU"/>
        </w:rPr>
        <w:t xml:space="preserve"> developing the </w:t>
      </w:r>
      <w:r w:rsidRPr="008B1F20">
        <w:rPr>
          <w:rFonts w:asciiTheme="minorHAnsi" w:hAnsiTheme="minorHAnsi" w:cstheme="minorHAnsi"/>
          <w:spacing w:val="-2"/>
          <w:sz w:val="21"/>
          <w:szCs w:val="21"/>
          <w:lang w:eastAsia="en-AU"/>
        </w:rPr>
        <w:t>M&amp;E framework and actively engaged in monitoring and evaluation?</w:t>
      </w:r>
    </w:p>
    <w:p w14:paraId="6DA3C656" w14:textId="7F364247" w:rsidR="003128B1" w:rsidRPr="008B1F20" w:rsidRDefault="003128B1" w:rsidP="004605DB">
      <w:pPr>
        <w:pStyle w:val="Heading3"/>
        <w:spacing w:before="120" w:after="120"/>
        <w:rPr>
          <w:color w:val="auto"/>
          <w:lang w:eastAsia="en-AU"/>
        </w:rPr>
      </w:pPr>
      <w:r w:rsidRPr="008B1F20">
        <w:rPr>
          <w:color w:val="auto"/>
          <w:lang w:eastAsia="en-AU"/>
        </w:rPr>
        <w:t>Review and Evaluation</w:t>
      </w:r>
    </w:p>
    <w:p w14:paraId="39D5EC1C" w14:textId="16D08397" w:rsidR="00C27BFC" w:rsidRPr="008B1F20" w:rsidRDefault="00C27BFC" w:rsidP="00292F72">
      <w:pPr>
        <w:pStyle w:val="List-bullet-1"/>
        <w:numPr>
          <w:ilvl w:val="0"/>
          <w:numId w:val="12"/>
        </w:numPr>
        <w:rPr>
          <w:rFonts w:asciiTheme="minorHAnsi" w:hAnsiTheme="minorHAnsi" w:cstheme="minorHAnsi"/>
          <w:spacing w:val="-2"/>
          <w:sz w:val="21"/>
          <w:szCs w:val="21"/>
          <w:lang w:eastAsia="en-AU"/>
        </w:rPr>
      </w:pPr>
      <w:r w:rsidRPr="008B1F20">
        <w:rPr>
          <w:rFonts w:asciiTheme="minorHAnsi" w:hAnsiTheme="minorHAnsi" w:cstheme="minorHAnsi"/>
          <w:spacing w:val="-2"/>
          <w:sz w:val="21"/>
          <w:szCs w:val="21"/>
          <w:lang w:eastAsia="en-AU"/>
        </w:rPr>
        <w:t xml:space="preserve">Are program evaluations designed to </w:t>
      </w:r>
      <w:r w:rsidR="00F75098" w:rsidRPr="008B1F20">
        <w:rPr>
          <w:rFonts w:asciiTheme="minorHAnsi" w:hAnsiTheme="minorHAnsi" w:cstheme="minorHAnsi"/>
          <w:spacing w:val="-2"/>
          <w:sz w:val="21"/>
          <w:szCs w:val="21"/>
          <w:lang w:eastAsia="en-AU"/>
        </w:rPr>
        <w:t xml:space="preserve">measure </w:t>
      </w:r>
      <w:r w:rsidR="00D82A70" w:rsidRPr="008B1F20">
        <w:rPr>
          <w:rFonts w:asciiTheme="minorHAnsi" w:hAnsiTheme="minorHAnsi" w:cstheme="minorHAnsi"/>
          <w:spacing w:val="-2"/>
          <w:sz w:val="21"/>
          <w:szCs w:val="21"/>
          <w:lang w:eastAsia="en-AU"/>
        </w:rPr>
        <w:t>disability inclusion, equity and rights outcomes and process.</w:t>
      </w:r>
    </w:p>
    <w:p w14:paraId="68803931" w14:textId="77777777" w:rsidR="00B27690" w:rsidRPr="008B1F20" w:rsidRDefault="003128B1" w:rsidP="00B27690">
      <w:pPr>
        <w:pStyle w:val="List-bullet-1"/>
        <w:numPr>
          <w:ilvl w:val="0"/>
          <w:numId w:val="12"/>
        </w:numPr>
        <w:rPr>
          <w:rFonts w:asciiTheme="minorHAnsi" w:hAnsiTheme="minorHAnsi" w:cstheme="minorHAnsi"/>
          <w:spacing w:val="-2"/>
          <w:sz w:val="21"/>
          <w:szCs w:val="21"/>
          <w:lang w:eastAsia="en-AU"/>
        </w:rPr>
      </w:pPr>
      <w:r w:rsidRPr="008B1F20">
        <w:rPr>
          <w:rFonts w:asciiTheme="minorHAnsi" w:hAnsiTheme="minorHAnsi" w:cstheme="minorHAnsi"/>
          <w:spacing w:val="-2"/>
          <w:sz w:val="21"/>
          <w:szCs w:val="21"/>
          <w:lang w:eastAsia="en-AU"/>
        </w:rPr>
        <w:t>Does the evaluation and the final investment reporting assess how well the investment performed on disability-inclusion and detail lessons learned?</w:t>
      </w:r>
    </w:p>
    <w:p w14:paraId="0B532867" w14:textId="78B66D1B" w:rsidR="003128B1" w:rsidRPr="008B1F20" w:rsidRDefault="00B27690" w:rsidP="00B27690">
      <w:pPr>
        <w:pStyle w:val="List-bullet-1"/>
        <w:numPr>
          <w:ilvl w:val="0"/>
          <w:numId w:val="12"/>
        </w:numPr>
        <w:rPr>
          <w:rFonts w:asciiTheme="minorHAnsi" w:hAnsiTheme="minorHAnsi" w:cstheme="minorHAnsi"/>
          <w:spacing w:val="-2"/>
          <w:sz w:val="21"/>
          <w:szCs w:val="21"/>
          <w:lang w:eastAsia="en-AU"/>
        </w:rPr>
      </w:pPr>
      <w:r w:rsidRPr="008B1F20">
        <w:rPr>
          <w:rFonts w:asciiTheme="minorHAnsi" w:hAnsiTheme="minorHAnsi" w:cstheme="minorHAnsi"/>
          <w:spacing w:val="-2"/>
          <w:sz w:val="21"/>
          <w:szCs w:val="21"/>
          <w:lang w:eastAsia="en-AU"/>
        </w:rPr>
        <w:t>Have people with disability expertise – including people with disability and/or their representative organisations – been involved in</w:t>
      </w:r>
      <w:r w:rsidRPr="008B1F20">
        <w:rPr>
          <w:rFonts w:cstheme="minorHAnsi"/>
          <w:spacing w:val="-2"/>
          <w:sz w:val="21"/>
          <w:szCs w:val="21"/>
          <w:lang w:eastAsia="en-AU"/>
        </w:rPr>
        <w:t xml:space="preserve"> </w:t>
      </w:r>
      <w:r w:rsidR="00370B6B" w:rsidRPr="008B1F20">
        <w:rPr>
          <w:rFonts w:asciiTheme="minorHAnsi" w:hAnsiTheme="minorHAnsi" w:cstheme="minorHAnsi"/>
          <w:spacing w:val="-2"/>
          <w:sz w:val="21"/>
          <w:szCs w:val="21"/>
          <w:lang w:eastAsia="en-AU"/>
        </w:rPr>
        <w:t>program evaluation activities.</w:t>
      </w:r>
    </w:p>
    <w:p w14:paraId="7EAC3F5C" w14:textId="10684607" w:rsidR="005D62B6" w:rsidRPr="00FD1A38" w:rsidRDefault="005D62B6" w:rsidP="00BC3211">
      <w:pPr>
        <w:suppressAutoHyphens w:val="0"/>
        <w:spacing w:before="240" w:after="120" w:line="440" w:lineRule="atLeast"/>
        <w:rPr>
          <w:rFonts w:asciiTheme="majorHAnsi" w:hAnsiTheme="majorHAnsi" w:cstheme="majorBidi"/>
          <w:b/>
          <w:bCs/>
          <w:caps/>
          <w:color w:val="auto"/>
          <w:sz w:val="38"/>
          <w:szCs w:val="28"/>
        </w:rPr>
      </w:pPr>
      <w:r w:rsidRPr="00FD1A38">
        <w:rPr>
          <w:rFonts w:asciiTheme="majorHAnsi" w:hAnsiTheme="majorHAnsi" w:cstheme="majorBidi"/>
          <w:b/>
          <w:bCs/>
          <w:caps/>
          <w:color w:val="auto"/>
          <w:sz w:val="38"/>
          <w:szCs w:val="28"/>
        </w:rPr>
        <w:t>Additional resources</w:t>
      </w:r>
    </w:p>
    <w:p w14:paraId="23F8AECE" w14:textId="54B217A9" w:rsidR="006702EC" w:rsidRPr="00BC3211" w:rsidRDefault="006702EC" w:rsidP="005D62B6">
      <w:pPr>
        <w:spacing w:after="120"/>
        <w:rPr>
          <w:rFonts w:cstheme="minorHAnsi"/>
          <w:color w:val="auto"/>
          <w:sz w:val="21"/>
          <w:szCs w:val="21"/>
          <w:u w:val="single" w:color="0070C0"/>
        </w:rPr>
      </w:pPr>
      <w:hyperlink r:id="rId20" w:history="1">
        <w:r w:rsidRPr="001264DC">
          <w:rPr>
            <w:rStyle w:val="Hyperlink"/>
            <w:rFonts w:cstheme="minorHAnsi"/>
            <w:color w:val="0070C0"/>
            <w:sz w:val="21"/>
            <w:szCs w:val="21"/>
          </w:rPr>
          <w:t>DID4All: Resources for Disability Inclusive Development</w:t>
        </w:r>
      </w:hyperlink>
      <w:r w:rsidRPr="001264DC">
        <w:rPr>
          <w:rFonts w:cstheme="minorHAnsi"/>
          <w:color w:val="0070C0"/>
          <w:sz w:val="21"/>
          <w:szCs w:val="21"/>
        </w:rPr>
        <w:t>:</w:t>
      </w:r>
      <w:r w:rsidRPr="00BC3211">
        <w:rPr>
          <w:rFonts w:cstheme="minorHAnsi"/>
          <w:color w:val="auto"/>
          <w:sz w:val="21"/>
          <w:szCs w:val="21"/>
        </w:rPr>
        <w:t xml:space="preserve"> includes detailed evidence and guidance on mainstreaming disability-inclusive development in a range of sectors. Requests for technical assistance may be logged </w:t>
      </w:r>
      <w:r w:rsidRPr="00BC3211">
        <w:rPr>
          <w:rFonts w:eastAsia="Times New Roman" w:cstheme="minorHAnsi"/>
          <w:color w:val="auto"/>
          <w:sz w:val="21"/>
          <w:szCs w:val="21"/>
        </w:rPr>
        <w:t>through the DID4</w:t>
      </w:r>
      <w:r w:rsidR="000D666F" w:rsidRPr="00BC3211">
        <w:rPr>
          <w:rFonts w:eastAsia="Times New Roman" w:cstheme="minorHAnsi"/>
          <w:color w:val="auto"/>
          <w:sz w:val="21"/>
          <w:szCs w:val="21"/>
        </w:rPr>
        <w:t>sA</w:t>
      </w:r>
      <w:r w:rsidRPr="00BC3211">
        <w:rPr>
          <w:rFonts w:eastAsia="Times New Roman" w:cstheme="minorHAnsi"/>
          <w:color w:val="auto"/>
          <w:sz w:val="21"/>
          <w:szCs w:val="21"/>
        </w:rPr>
        <w:t xml:space="preserve">ll disability help desk managed by </w:t>
      </w:r>
      <w:r w:rsidR="00FD1A38" w:rsidRPr="00BC3211">
        <w:rPr>
          <w:rFonts w:eastAsia="Times New Roman" w:cstheme="minorHAnsi"/>
          <w:color w:val="auto"/>
          <w:sz w:val="21"/>
          <w:szCs w:val="21"/>
        </w:rPr>
        <w:t>DFAT</w:t>
      </w:r>
      <w:r w:rsidRPr="00BC3211">
        <w:rPr>
          <w:rFonts w:eastAsia="Times New Roman" w:cstheme="minorHAnsi"/>
          <w:color w:val="auto"/>
          <w:sz w:val="21"/>
          <w:szCs w:val="21"/>
        </w:rPr>
        <w:t xml:space="preserve"> and partner CBM Australia</w:t>
      </w:r>
    </w:p>
    <w:p w14:paraId="2503C2D8" w14:textId="35A0D6ED" w:rsidR="0074648D" w:rsidRPr="00BC3211" w:rsidRDefault="0074648D" w:rsidP="00D65771">
      <w:pPr>
        <w:spacing w:after="120"/>
        <w:rPr>
          <w:rFonts w:cstheme="minorHAnsi"/>
          <w:b/>
          <w:bCs/>
          <w:color w:val="auto"/>
          <w:sz w:val="21"/>
          <w:szCs w:val="21"/>
        </w:rPr>
      </w:pPr>
      <w:hyperlink r:id="rId21" w:history="1">
        <w:r w:rsidRPr="001264DC">
          <w:rPr>
            <w:rStyle w:val="Hyperlink"/>
            <w:rFonts w:cstheme="minorHAnsi"/>
            <w:color w:val="0070C0"/>
            <w:sz w:val="21"/>
            <w:szCs w:val="21"/>
          </w:rPr>
          <w:t>Reasonable accommodation in development programs Good Practice Note</w:t>
        </w:r>
        <w:r w:rsidRPr="00BC3211">
          <w:rPr>
            <w:rStyle w:val="Hyperlink"/>
            <w:rFonts w:cstheme="minorHAnsi"/>
            <w:b/>
            <w:bCs/>
            <w:sz w:val="21"/>
            <w:szCs w:val="21"/>
          </w:rPr>
          <w:t>:</w:t>
        </w:r>
      </w:hyperlink>
      <w:r w:rsidR="00B02EC5" w:rsidRPr="00BC3211">
        <w:rPr>
          <w:rFonts w:ascii="Open Sans" w:hAnsi="Open Sans" w:cs="Open Sans"/>
          <w:color w:val="auto"/>
          <w:sz w:val="21"/>
          <w:szCs w:val="21"/>
          <w:shd w:val="clear" w:color="auto" w:fill="FFFFFF"/>
        </w:rPr>
        <w:t xml:space="preserve"> </w:t>
      </w:r>
      <w:r w:rsidR="00B02EC5" w:rsidRPr="00BC3211">
        <w:rPr>
          <w:rFonts w:cstheme="minorHAnsi"/>
          <w:color w:val="auto"/>
          <w:sz w:val="21"/>
          <w:szCs w:val="21"/>
        </w:rPr>
        <w:t>supports DFAT staff and partners to understand what reasonable accommodation is, DFAT’s obligations to ensure it is provided, and how to use it as a tool for enabling participation of people with disability on an equal basis with others. It includes specific examples across the development program cycle and suggestions for systemic improvements to ensure access to reasonable accommodation wherever and whenever it is needed.</w:t>
      </w:r>
    </w:p>
    <w:p w14:paraId="0314FE17" w14:textId="79A10DBE" w:rsidR="00B43CC1" w:rsidRPr="00BC3211" w:rsidRDefault="00B43CC1" w:rsidP="00B43CC1">
      <w:pPr>
        <w:spacing w:after="120"/>
        <w:rPr>
          <w:color w:val="auto"/>
          <w:sz w:val="21"/>
          <w:szCs w:val="21"/>
        </w:rPr>
      </w:pPr>
      <w:hyperlink r:id="rId22" w:history="1">
        <w:r w:rsidRPr="001264DC">
          <w:rPr>
            <w:rStyle w:val="Hyperlink"/>
            <w:rFonts w:cstheme="minorBidi"/>
            <w:color w:val="0070C0"/>
            <w:sz w:val="21"/>
            <w:szCs w:val="21"/>
          </w:rPr>
          <w:t>DFAT (2025) Disability Equity in Investment Design Good Practice Note</w:t>
        </w:r>
      </w:hyperlink>
      <w:r w:rsidRPr="00BC3211">
        <w:rPr>
          <w:sz w:val="21"/>
          <w:szCs w:val="21"/>
        </w:rPr>
        <w:t xml:space="preserve"> </w:t>
      </w:r>
      <w:r w:rsidR="00DD530D" w:rsidRPr="00BC3211">
        <w:rPr>
          <w:color w:val="auto"/>
          <w:sz w:val="21"/>
          <w:szCs w:val="21"/>
        </w:rPr>
        <w:t xml:space="preserve">Investment design is a critical enabler of disability equity and rights across development programs. This Good Practice Note helps program managers and design teams to embed disability equity and rights in investment designs, aligned with DFAT’s </w:t>
      </w:r>
      <w:hyperlink r:id="rId23" w:history="1">
        <w:r w:rsidR="00DD530D" w:rsidRPr="001264DC">
          <w:rPr>
            <w:rStyle w:val="Hyperlink"/>
            <w:color w:val="0070C0"/>
            <w:sz w:val="21"/>
            <w:szCs w:val="21"/>
          </w:rPr>
          <w:t>International Development Programming Guide</w:t>
        </w:r>
      </w:hyperlink>
      <w:r w:rsidR="00DD530D" w:rsidRPr="00BC3211">
        <w:rPr>
          <w:color w:val="auto"/>
          <w:sz w:val="21"/>
          <w:szCs w:val="21"/>
        </w:rPr>
        <w:t>.</w:t>
      </w:r>
    </w:p>
    <w:p w14:paraId="312FE8F1" w14:textId="57645CEC" w:rsidR="00B43CC1" w:rsidRPr="00BC3211" w:rsidRDefault="00B43CC1" w:rsidP="00B43CC1">
      <w:pPr>
        <w:spacing w:after="120"/>
        <w:rPr>
          <w:rFonts w:cstheme="minorHAnsi"/>
          <w:color w:val="auto"/>
          <w:sz w:val="21"/>
          <w:szCs w:val="21"/>
        </w:rPr>
      </w:pPr>
      <w:hyperlink r:id="rId24" w:history="1">
        <w:r w:rsidRPr="001264DC">
          <w:rPr>
            <w:rStyle w:val="Hyperlink"/>
            <w:rFonts w:cstheme="minorHAnsi"/>
            <w:color w:val="0070C0"/>
            <w:sz w:val="21"/>
            <w:szCs w:val="21"/>
          </w:rPr>
          <w:t>Accessibility Design Guide: Universal design principles for Australia’s aid program</w:t>
        </w:r>
      </w:hyperlink>
      <w:r w:rsidRPr="00BC3211">
        <w:rPr>
          <w:rStyle w:val="Hyperlink"/>
          <w:rFonts w:cstheme="minorHAnsi"/>
          <w:b/>
          <w:sz w:val="21"/>
          <w:szCs w:val="21"/>
        </w:rPr>
        <w:t>:</w:t>
      </w:r>
      <w:r w:rsidRPr="00BC3211">
        <w:rPr>
          <w:rFonts w:cstheme="minorHAnsi"/>
          <w:b/>
          <w:color w:val="auto"/>
          <w:sz w:val="21"/>
          <w:szCs w:val="21"/>
        </w:rPr>
        <w:t xml:space="preserve"> </w:t>
      </w:r>
      <w:r w:rsidRPr="00BC3211">
        <w:rPr>
          <w:rFonts w:cstheme="minorHAnsi"/>
          <w:color w:val="auto"/>
          <w:sz w:val="21"/>
          <w:szCs w:val="21"/>
        </w:rPr>
        <w:t>provides practical information about how to apply universal design principles to physical infrastructure (such as schools, roads, hospitals and courthouses) to minimise barriers and enable people with disabilities to participate more fully in social and economic life.</w:t>
      </w:r>
    </w:p>
    <w:p w14:paraId="66CD9D89" w14:textId="77777777" w:rsidR="00535824" w:rsidRPr="00BC3211" w:rsidRDefault="00535824" w:rsidP="00DF0A85">
      <w:pPr>
        <w:spacing w:after="120"/>
        <w:rPr>
          <w:rFonts w:cstheme="minorHAnsi"/>
          <w:color w:val="auto"/>
          <w:sz w:val="21"/>
          <w:szCs w:val="21"/>
        </w:rPr>
      </w:pPr>
    </w:p>
    <w:p w14:paraId="3C0480D5" w14:textId="275AF09E" w:rsidR="0074648D" w:rsidRDefault="00DF0A85" w:rsidP="00DF0A85">
      <w:pPr>
        <w:spacing w:after="120"/>
      </w:pPr>
      <w:r w:rsidRPr="00BC3211">
        <w:rPr>
          <w:rFonts w:cstheme="minorHAnsi"/>
          <w:b/>
          <w:bCs/>
          <w:color w:val="auto"/>
          <w:sz w:val="21"/>
          <w:szCs w:val="21"/>
        </w:rPr>
        <w:t xml:space="preserve">For further assistance or advice on disability equity, please contact </w:t>
      </w:r>
      <w:hyperlink r:id="rId25" w:history="1">
        <w:r w:rsidRPr="001264DC">
          <w:rPr>
            <w:color w:val="0070C0"/>
            <w:sz w:val="21"/>
            <w:szCs w:val="21"/>
            <w:u w:val="single"/>
          </w:rPr>
          <w:t>GEDSI.GEB@dfat.gov.au</w:t>
        </w:r>
      </w:hyperlink>
    </w:p>
    <w:p w14:paraId="4FB1E925" w14:textId="77777777" w:rsidR="00B85FBE" w:rsidRDefault="00B85FBE">
      <w:pPr>
        <w:suppressAutoHyphens w:val="0"/>
        <w:spacing w:before="0" w:after="120" w:line="440" w:lineRule="atLeast"/>
        <w:rPr>
          <w:rFonts w:asciiTheme="majorHAnsi" w:hAnsiTheme="majorHAnsi" w:cstheme="majorBidi"/>
          <w:b/>
          <w:bCs/>
          <w:caps/>
          <w:color w:val="auto"/>
          <w:sz w:val="38"/>
          <w:szCs w:val="28"/>
        </w:rPr>
      </w:pPr>
      <w:r>
        <w:rPr>
          <w:rFonts w:asciiTheme="majorHAnsi" w:hAnsiTheme="majorHAnsi" w:cstheme="majorBidi"/>
          <w:b/>
          <w:bCs/>
          <w:caps/>
          <w:color w:val="auto"/>
          <w:sz w:val="38"/>
          <w:szCs w:val="28"/>
        </w:rPr>
        <w:br w:type="page"/>
      </w:r>
    </w:p>
    <w:p w14:paraId="47161D30" w14:textId="145BE87F" w:rsidR="00B85FBE" w:rsidRDefault="00B85FBE" w:rsidP="00DF0A85">
      <w:pPr>
        <w:spacing w:after="120"/>
        <w:rPr>
          <w:rFonts w:asciiTheme="majorHAnsi" w:hAnsiTheme="majorHAnsi" w:cstheme="majorBidi"/>
          <w:b/>
          <w:bCs/>
          <w:caps/>
          <w:color w:val="auto"/>
          <w:sz w:val="38"/>
          <w:szCs w:val="28"/>
        </w:rPr>
      </w:pPr>
      <w:r w:rsidRPr="00B85FBE">
        <w:rPr>
          <w:rFonts w:asciiTheme="majorHAnsi" w:hAnsiTheme="majorHAnsi" w:cstheme="majorBidi"/>
          <w:b/>
          <w:bCs/>
          <w:caps/>
          <w:color w:val="auto"/>
          <w:sz w:val="38"/>
          <w:szCs w:val="28"/>
        </w:rPr>
        <w:lastRenderedPageBreak/>
        <w:t xml:space="preserve">Annex </w:t>
      </w:r>
      <w:r>
        <w:rPr>
          <w:rFonts w:asciiTheme="majorHAnsi" w:hAnsiTheme="majorHAnsi" w:cstheme="majorBidi"/>
          <w:b/>
          <w:bCs/>
          <w:caps/>
          <w:color w:val="auto"/>
          <w:sz w:val="38"/>
          <w:szCs w:val="28"/>
        </w:rPr>
        <w:t>2</w:t>
      </w:r>
      <w:r w:rsidRPr="00B85FBE">
        <w:rPr>
          <w:rFonts w:asciiTheme="majorHAnsi" w:hAnsiTheme="majorHAnsi" w:cstheme="majorBidi"/>
          <w:b/>
          <w:bCs/>
          <w:caps/>
          <w:color w:val="auto"/>
          <w:sz w:val="38"/>
          <w:szCs w:val="28"/>
        </w:rPr>
        <w:t xml:space="preserve">: </w:t>
      </w:r>
      <w:r w:rsidR="009B6424">
        <w:rPr>
          <w:rFonts w:asciiTheme="majorHAnsi" w:hAnsiTheme="majorHAnsi" w:cstheme="majorBidi"/>
          <w:b/>
          <w:bCs/>
          <w:caps/>
          <w:color w:val="auto"/>
          <w:sz w:val="38"/>
          <w:szCs w:val="28"/>
        </w:rPr>
        <w:t>Written version of strategic framework</w:t>
      </w:r>
    </w:p>
    <w:p w14:paraId="1965B524" w14:textId="200880BF" w:rsidR="009B6424" w:rsidRDefault="0032682B" w:rsidP="00DF0A85">
      <w:pPr>
        <w:spacing w:after="120"/>
        <w:rPr>
          <w:rFonts w:cstheme="minorHAnsi"/>
          <w:color w:val="auto"/>
          <w:sz w:val="21"/>
          <w:szCs w:val="21"/>
        </w:rPr>
      </w:pPr>
      <w:r>
        <w:rPr>
          <w:rFonts w:cstheme="minorHAnsi"/>
          <w:color w:val="auto"/>
          <w:sz w:val="21"/>
          <w:szCs w:val="21"/>
        </w:rPr>
        <w:t>Top tier of the framework</w:t>
      </w:r>
      <w:r w:rsidR="0061714A">
        <w:rPr>
          <w:rFonts w:cstheme="minorHAnsi"/>
          <w:color w:val="auto"/>
          <w:sz w:val="21"/>
          <w:szCs w:val="21"/>
        </w:rPr>
        <w:t xml:space="preserve"> articulates ‘</w:t>
      </w:r>
      <w:r w:rsidR="009C747E">
        <w:rPr>
          <w:rFonts w:cstheme="minorHAnsi"/>
          <w:color w:val="auto"/>
          <w:sz w:val="21"/>
          <w:szCs w:val="21"/>
        </w:rPr>
        <w:t>Our vision: A fairer, more equitable world in which people with disability are valued members of the community with equal rights, dignity, and the support they need to achieve equal outcomes.</w:t>
      </w:r>
      <w:r w:rsidR="0061714A">
        <w:rPr>
          <w:rFonts w:cstheme="minorHAnsi"/>
          <w:color w:val="auto"/>
          <w:sz w:val="21"/>
          <w:szCs w:val="21"/>
        </w:rPr>
        <w:t>’</w:t>
      </w:r>
      <w:r w:rsidR="009C747E">
        <w:rPr>
          <w:rFonts w:cstheme="minorHAnsi"/>
          <w:color w:val="auto"/>
          <w:sz w:val="21"/>
          <w:szCs w:val="21"/>
        </w:rPr>
        <w:t xml:space="preserve"> </w:t>
      </w:r>
    </w:p>
    <w:p w14:paraId="3FAB0CE4" w14:textId="20F922E0" w:rsidR="009F3285" w:rsidRDefault="0061714A" w:rsidP="00DF0A85">
      <w:pPr>
        <w:spacing w:after="120"/>
        <w:rPr>
          <w:rFonts w:cstheme="minorHAnsi"/>
          <w:color w:val="auto"/>
          <w:sz w:val="21"/>
          <w:szCs w:val="21"/>
        </w:rPr>
      </w:pPr>
      <w:r>
        <w:rPr>
          <w:rFonts w:cstheme="minorHAnsi"/>
          <w:color w:val="auto"/>
          <w:sz w:val="21"/>
          <w:szCs w:val="21"/>
        </w:rPr>
        <w:t xml:space="preserve">Second tier, </w:t>
      </w:r>
      <w:r w:rsidR="009F3285">
        <w:rPr>
          <w:rFonts w:cstheme="minorHAnsi"/>
          <w:color w:val="auto"/>
          <w:sz w:val="21"/>
          <w:szCs w:val="21"/>
        </w:rPr>
        <w:t>Guiding Principles:</w:t>
      </w:r>
    </w:p>
    <w:p w14:paraId="33A73A77" w14:textId="759FA6F6" w:rsidR="009F3285" w:rsidRPr="0003444F" w:rsidRDefault="0003444F" w:rsidP="009F3285">
      <w:pPr>
        <w:pStyle w:val="ListParagraph"/>
        <w:numPr>
          <w:ilvl w:val="0"/>
          <w:numId w:val="15"/>
        </w:numPr>
        <w:spacing w:after="120"/>
        <w:rPr>
          <w:rFonts w:asciiTheme="minorHAnsi" w:eastAsiaTheme="minorHAnsi" w:hAnsiTheme="minorHAnsi" w:cstheme="minorHAnsi"/>
          <w:sz w:val="21"/>
          <w:szCs w:val="21"/>
          <w:lang w:val="en-GB"/>
        </w:rPr>
      </w:pPr>
      <w:r w:rsidRPr="0003444F">
        <w:rPr>
          <w:rFonts w:asciiTheme="minorHAnsi" w:eastAsiaTheme="minorHAnsi" w:hAnsiTheme="minorHAnsi" w:cstheme="minorHAnsi"/>
          <w:sz w:val="21"/>
          <w:szCs w:val="21"/>
          <w:lang w:val="en-GB"/>
        </w:rPr>
        <w:t>Recognise that disability rights are human rights</w:t>
      </w:r>
    </w:p>
    <w:p w14:paraId="75CCE829" w14:textId="0BEA4692" w:rsidR="0003444F" w:rsidRDefault="0003444F" w:rsidP="009F3285">
      <w:pPr>
        <w:pStyle w:val="ListParagraph"/>
        <w:numPr>
          <w:ilvl w:val="0"/>
          <w:numId w:val="15"/>
        </w:numPr>
        <w:spacing w:after="120"/>
        <w:rPr>
          <w:rFonts w:asciiTheme="minorHAnsi" w:eastAsiaTheme="minorHAnsi" w:hAnsiTheme="minorHAnsi" w:cstheme="minorHAnsi"/>
          <w:sz w:val="21"/>
          <w:szCs w:val="21"/>
          <w:lang w:val="en-GB"/>
        </w:rPr>
      </w:pPr>
      <w:r w:rsidRPr="0003444F">
        <w:rPr>
          <w:rFonts w:asciiTheme="minorHAnsi" w:eastAsiaTheme="minorHAnsi" w:hAnsiTheme="minorHAnsi" w:cstheme="minorHAnsi"/>
          <w:sz w:val="21"/>
          <w:szCs w:val="21"/>
          <w:lang w:val="en-GB"/>
        </w:rPr>
        <w:t xml:space="preserve">Follow the movement’s call for </w:t>
      </w:r>
      <w:r w:rsidR="00BD13C5">
        <w:rPr>
          <w:rFonts w:asciiTheme="minorHAnsi" w:eastAsiaTheme="minorHAnsi" w:hAnsiTheme="minorHAnsi" w:cstheme="minorHAnsi"/>
          <w:sz w:val="21"/>
          <w:szCs w:val="21"/>
          <w:lang w:val="en-GB"/>
        </w:rPr>
        <w:t>nothing without us</w:t>
      </w:r>
    </w:p>
    <w:p w14:paraId="2205621D" w14:textId="15D9C160" w:rsidR="00BD13C5" w:rsidRDefault="00BD13C5" w:rsidP="009F3285">
      <w:pPr>
        <w:pStyle w:val="ListParagraph"/>
        <w:numPr>
          <w:ilvl w:val="0"/>
          <w:numId w:val="15"/>
        </w:numPr>
        <w:spacing w:after="120"/>
        <w:rPr>
          <w:rFonts w:asciiTheme="minorHAnsi" w:eastAsiaTheme="minorHAnsi" w:hAnsiTheme="minorHAnsi" w:cstheme="minorHAnsi"/>
          <w:sz w:val="21"/>
          <w:szCs w:val="21"/>
          <w:lang w:val="en-GB"/>
        </w:rPr>
      </w:pPr>
      <w:r>
        <w:rPr>
          <w:rFonts w:asciiTheme="minorHAnsi" w:eastAsiaTheme="minorHAnsi" w:hAnsiTheme="minorHAnsi" w:cstheme="minorHAnsi"/>
          <w:sz w:val="21"/>
          <w:szCs w:val="21"/>
          <w:lang w:val="en-GB"/>
        </w:rPr>
        <w:t>People with disability are valued members of the community</w:t>
      </w:r>
    </w:p>
    <w:p w14:paraId="63321ACC" w14:textId="63A06D9C" w:rsidR="00BD13C5" w:rsidRDefault="00BD13C5" w:rsidP="009F3285">
      <w:pPr>
        <w:pStyle w:val="ListParagraph"/>
        <w:numPr>
          <w:ilvl w:val="0"/>
          <w:numId w:val="15"/>
        </w:numPr>
        <w:spacing w:after="120"/>
        <w:rPr>
          <w:rFonts w:asciiTheme="minorHAnsi" w:eastAsiaTheme="minorHAnsi" w:hAnsiTheme="minorHAnsi" w:cstheme="minorHAnsi"/>
          <w:sz w:val="21"/>
          <w:szCs w:val="21"/>
          <w:lang w:val="en-GB"/>
        </w:rPr>
      </w:pPr>
      <w:r>
        <w:rPr>
          <w:rFonts w:asciiTheme="minorHAnsi" w:eastAsiaTheme="minorHAnsi" w:hAnsiTheme="minorHAnsi" w:cstheme="minorHAnsi"/>
          <w:sz w:val="21"/>
          <w:szCs w:val="21"/>
          <w:lang w:val="en-GB"/>
        </w:rPr>
        <w:t>Support inclusion, equity and diversity for all people across our work</w:t>
      </w:r>
    </w:p>
    <w:p w14:paraId="57C3B2B0" w14:textId="27074151" w:rsidR="00BD13C5" w:rsidRPr="00BD13C5" w:rsidRDefault="0061714A" w:rsidP="00BD13C5">
      <w:pPr>
        <w:spacing w:after="120"/>
        <w:rPr>
          <w:rFonts w:cstheme="minorHAnsi"/>
          <w:color w:val="auto"/>
          <w:sz w:val="21"/>
          <w:szCs w:val="21"/>
        </w:rPr>
      </w:pPr>
      <w:r>
        <w:rPr>
          <w:rFonts w:cstheme="minorHAnsi"/>
          <w:color w:val="auto"/>
          <w:sz w:val="21"/>
          <w:szCs w:val="21"/>
        </w:rPr>
        <w:t xml:space="preserve">Third tier, </w:t>
      </w:r>
      <w:r w:rsidR="00BD13C5" w:rsidRPr="00BD13C5">
        <w:rPr>
          <w:rFonts w:cstheme="minorHAnsi"/>
          <w:color w:val="auto"/>
          <w:sz w:val="21"/>
          <w:szCs w:val="21"/>
        </w:rPr>
        <w:t>Strategic Priorities:</w:t>
      </w:r>
    </w:p>
    <w:p w14:paraId="0707122D" w14:textId="4FCC1469" w:rsidR="00BD13C5" w:rsidRDefault="00BD13C5" w:rsidP="00BD13C5">
      <w:pPr>
        <w:pStyle w:val="ListParagraph"/>
        <w:numPr>
          <w:ilvl w:val="0"/>
          <w:numId w:val="15"/>
        </w:numPr>
        <w:spacing w:after="120"/>
        <w:rPr>
          <w:rFonts w:asciiTheme="minorHAnsi" w:eastAsiaTheme="minorHAnsi" w:hAnsiTheme="minorHAnsi" w:cstheme="minorHAnsi"/>
          <w:sz w:val="21"/>
          <w:szCs w:val="21"/>
          <w:lang w:val="en-GB"/>
        </w:rPr>
      </w:pPr>
      <w:r w:rsidRPr="00BD13C5">
        <w:rPr>
          <w:rFonts w:asciiTheme="minorHAnsi" w:eastAsiaTheme="minorHAnsi" w:hAnsiTheme="minorHAnsi" w:cstheme="minorHAnsi"/>
          <w:sz w:val="21"/>
          <w:szCs w:val="21"/>
          <w:lang w:val="en-GB"/>
        </w:rPr>
        <w:t xml:space="preserve">Invest in partnerships and </w:t>
      </w:r>
      <w:r w:rsidR="00BE5115">
        <w:rPr>
          <w:rFonts w:asciiTheme="minorHAnsi" w:eastAsiaTheme="minorHAnsi" w:hAnsiTheme="minorHAnsi" w:cstheme="minorHAnsi"/>
          <w:sz w:val="21"/>
          <w:szCs w:val="21"/>
          <w:lang w:val="en-GB"/>
        </w:rPr>
        <w:t>movements to enable a strong, effective disability rights movement</w:t>
      </w:r>
    </w:p>
    <w:p w14:paraId="6D700941" w14:textId="68FD044C" w:rsidR="00E81E2A" w:rsidRDefault="00E81E2A" w:rsidP="00BD13C5">
      <w:pPr>
        <w:pStyle w:val="ListParagraph"/>
        <w:numPr>
          <w:ilvl w:val="0"/>
          <w:numId w:val="15"/>
        </w:numPr>
        <w:spacing w:after="120"/>
        <w:rPr>
          <w:rFonts w:asciiTheme="minorHAnsi" w:eastAsiaTheme="minorHAnsi" w:hAnsiTheme="minorHAnsi" w:cstheme="minorHAnsi"/>
          <w:sz w:val="21"/>
          <w:szCs w:val="21"/>
          <w:lang w:val="en-GB"/>
        </w:rPr>
      </w:pPr>
      <w:r>
        <w:rPr>
          <w:rFonts w:asciiTheme="minorHAnsi" w:eastAsiaTheme="minorHAnsi" w:hAnsiTheme="minorHAnsi" w:cstheme="minorHAnsi"/>
          <w:sz w:val="21"/>
          <w:szCs w:val="21"/>
          <w:lang w:val="en-GB"/>
        </w:rPr>
        <w:t>Address discrimination and exclusion in all sectors across all societies</w:t>
      </w:r>
    </w:p>
    <w:p w14:paraId="790A5866" w14:textId="00EE4050" w:rsidR="002E5389" w:rsidRDefault="002E5389" w:rsidP="00BD13C5">
      <w:pPr>
        <w:pStyle w:val="ListParagraph"/>
        <w:numPr>
          <w:ilvl w:val="0"/>
          <w:numId w:val="15"/>
        </w:numPr>
        <w:spacing w:after="120"/>
        <w:rPr>
          <w:rFonts w:asciiTheme="minorHAnsi" w:eastAsiaTheme="minorHAnsi" w:hAnsiTheme="minorHAnsi" w:cstheme="minorHAnsi"/>
          <w:sz w:val="21"/>
          <w:szCs w:val="21"/>
          <w:lang w:val="en-GB"/>
        </w:rPr>
      </w:pPr>
      <w:r>
        <w:rPr>
          <w:rFonts w:asciiTheme="minorHAnsi" w:eastAsiaTheme="minorHAnsi" w:hAnsiTheme="minorHAnsi" w:cstheme="minorHAnsi"/>
          <w:sz w:val="21"/>
          <w:szCs w:val="21"/>
          <w:lang w:val="en-GB"/>
        </w:rPr>
        <w:t>Promote preconditions for inclusion to build more equitable and inclusive systems</w:t>
      </w:r>
    </w:p>
    <w:p w14:paraId="7B114C41" w14:textId="143CDFF7" w:rsidR="002E5389" w:rsidRDefault="002E5389" w:rsidP="00BD13C5">
      <w:pPr>
        <w:pStyle w:val="ListParagraph"/>
        <w:numPr>
          <w:ilvl w:val="0"/>
          <w:numId w:val="15"/>
        </w:numPr>
        <w:spacing w:after="120"/>
        <w:rPr>
          <w:rFonts w:asciiTheme="minorHAnsi" w:eastAsiaTheme="minorHAnsi" w:hAnsiTheme="minorHAnsi" w:cstheme="minorHAnsi"/>
          <w:sz w:val="21"/>
          <w:szCs w:val="21"/>
          <w:lang w:val="en-GB"/>
        </w:rPr>
      </w:pPr>
      <w:r>
        <w:rPr>
          <w:rFonts w:asciiTheme="minorHAnsi" w:eastAsiaTheme="minorHAnsi" w:hAnsiTheme="minorHAnsi" w:cstheme="minorHAnsi"/>
          <w:sz w:val="21"/>
          <w:szCs w:val="21"/>
          <w:lang w:val="en-GB"/>
        </w:rPr>
        <w:t>Support equity in humanitarian assistance and climate action informed by the expertise of people with disability</w:t>
      </w:r>
    </w:p>
    <w:p w14:paraId="1485605E" w14:textId="1F17B42E" w:rsidR="002E5389" w:rsidRDefault="002E5389" w:rsidP="00BD13C5">
      <w:pPr>
        <w:pStyle w:val="ListParagraph"/>
        <w:numPr>
          <w:ilvl w:val="0"/>
          <w:numId w:val="15"/>
        </w:numPr>
        <w:spacing w:after="120"/>
        <w:rPr>
          <w:rFonts w:asciiTheme="minorHAnsi" w:eastAsiaTheme="minorHAnsi" w:hAnsiTheme="minorHAnsi" w:cstheme="minorHAnsi"/>
          <w:sz w:val="21"/>
          <w:szCs w:val="21"/>
          <w:lang w:val="en-GB"/>
        </w:rPr>
      </w:pPr>
      <w:r>
        <w:rPr>
          <w:rFonts w:asciiTheme="minorHAnsi" w:eastAsiaTheme="minorHAnsi" w:hAnsiTheme="minorHAnsi" w:cstheme="minorHAnsi"/>
          <w:sz w:val="21"/>
          <w:szCs w:val="21"/>
          <w:lang w:val="en-GB"/>
        </w:rPr>
        <w:t>Strengthen the evidence base on what works to inform policies, programs and decision-making</w:t>
      </w:r>
    </w:p>
    <w:p w14:paraId="30042AB1" w14:textId="08270757" w:rsidR="00B31CF0" w:rsidRPr="00B31CF0" w:rsidRDefault="0061714A" w:rsidP="00B31CF0">
      <w:pPr>
        <w:spacing w:after="120"/>
        <w:rPr>
          <w:rFonts w:cstheme="minorHAnsi"/>
          <w:color w:val="auto"/>
          <w:sz w:val="21"/>
          <w:szCs w:val="21"/>
        </w:rPr>
      </w:pPr>
      <w:r>
        <w:rPr>
          <w:rFonts w:cstheme="minorHAnsi"/>
          <w:color w:val="auto"/>
          <w:sz w:val="21"/>
          <w:szCs w:val="21"/>
        </w:rPr>
        <w:t xml:space="preserve">Fourth tier, </w:t>
      </w:r>
      <w:r w:rsidR="00B31CF0" w:rsidRPr="00B31CF0">
        <w:rPr>
          <w:rFonts w:cstheme="minorHAnsi"/>
          <w:color w:val="auto"/>
          <w:sz w:val="21"/>
          <w:szCs w:val="21"/>
        </w:rPr>
        <w:t>Our approach:</w:t>
      </w:r>
    </w:p>
    <w:p w14:paraId="64E8044A" w14:textId="5D6C4D53" w:rsidR="00B31CF0" w:rsidRPr="00B31CF0" w:rsidRDefault="00B31CF0" w:rsidP="00B31CF0">
      <w:pPr>
        <w:pStyle w:val="ListParagraph"/>
        <w:numPr>
          <w:ilvl w:val="0"/>
          <w:numId w:val="15"/>
        </w:numPr>
        <w:spacing w:after="120"/>
        <w:rPr>
          <w:rFonts w:asciiTheme="minorHAnsi" w:eastAsiaTheme="minorHAnsi" w:hAnsiTheme="minorHAnsi" w:cstheme="minorHAnsi"/>
          <w:sz w:val="21"/>
          <w:szCs w:val="21"/>
          <w:lang w:val="en-GB"/>
        </w:rPr>
      </w:pPr>
      <w:r w:rsidRPr="00B31CF0">
        <w:rPr>
          <w:rFonts w:asciiTheme="minorHAnsi" w:eastAsiaTheme="minorHAnsi" w:hAnsiTheme="minorHAnsi" w:cstheme="minorHAnsi"/>
          <w:sz w:val="21"/>
          <w:szCs w:val="21"/>
          <w:lang w:val="en-GB"/>
        </w:rPr>
        <w:t>Support local leadership and decision-making</w:t>
      </w:r>
    </w:p>
    <w:p w14:paraId="784782DA" w14:textId="134373EB" w:rsidR="00B31CF0" w:rsidRDefault="00B31CF0" w:rsidP="00B31CF0">
      <w:pPr>
        <w:pStyle w:val="ListParagraph"/>
        <w:numPr>
          <w:ilvl w:val="0"/>
          <w:numId w:val="15"/>
        </w:numPr>
        <w:spacing w:after="120"/>
        <w:rPr>
          <w:rFonts w:asciiTheme="minorHAnsi" w:eastAsiaTheme="minorHAnsi" w:hAnsiTheme="minorHAnsi" w:cstheme="minorHAnsi"/>
          <w:sz w:val="21"/>
          <w:szCs w:val="21"/>
          <w:lang w:val="en-GB"/>
        </w:rPr>
      </w:pPr>
      <w:r w:rsidRPr="00B31CF0">
        <w:rPr>
          <w:rFonts w:asciiTheme="minorHAnsi" w:eastAsiaTheme="minorHAnsi" w:hAnsiTheme="minorHAnsi" w:cstheme="minorHAnsi"/>
          <w:sz w:val="21"/>
          <w:szCs w:val="21"/>
          <w:lang w:val="en-GB"/>
        </w:rPr>
        <w:t xml:space="preserve">Amplify our impact by </w:t>
      </w:r>
      <w:r>
        <w:rPr>
          <w:rFonts w:asciiTheme="minorHAnsi" w:eastAsiaTheme="minorHAnsi" w:hAnsiTheme="minorHAnsi" w:cstheme="minorHAnsi"/>
          <w:sz w:val="21"/>
          <w:szCs w:val="21"/>
          <w:lang w:val="en-GB"/>
        </w:rPr>
        <w:t>working in partnership</w:t>
      </w:r>
    </w:p>
    <w:p w14:paraId="67DFE7AF" w14:textId="50486796" w:rsidR="00DA37ED" w:rsidRDefault="00DA37ED" w:rsidP="00B31CF0">
      <w:pPr>
        <w:pStyle w:val="ListParagraph"/>
        <w:numPr>
          <w:ilvl w:val="0"/>
          <w:numId w:val="15"/>
        </w:numPr>
        <w:spacing w:after="120"/>
        <w:rPr>
          <w:rFonts w:asciiTheme="minorHAnsi" w:eastAsiaTheme="minorHAnsi" w:hAnsiTheme="minorHAnsi" w:cstheme="minorHAnsi"/>
          <w:sz w:val="21"/>
          <w:szCs w:val="21"/>
          <w:lang w:val="en-GB"/>
        </w:rPr>
      </w:pPr>
      <w:r>
        <w:rPr>
          <w:rFonts w:asciiTheme="minorHAnsi" w:eastAsiaTheme="minorHAnsi" w:hAnsiTheme="minorHAnsi" w:cstheme="minorHAnsi"/>
          <w:sz w:val="21"/>
          <w:szCs w:val="21"/>
          <w:lang w:val="en-GB"/>
        </w:rPr>
        <w:t>Do no harm in our international engagement</w:t>
      </w:r>
    </w:p>
    <w:p w14:paraId="0C1FB65F" w14:textId="212CDE72" w:rsidR="00DA37ED" w:rsidRDefault="00DA37ED" w:rsidP="00B31CF0">
      <w:pPr>
        <w:pStyle w:val="ListParagraph"/>
        <w:numPr>
          <w:ilvl w:val="0"/>
          <w:numId w:val="15"/>
        </w:numPr>
        <w:spacing w:after="120"/>
        <w:rPr>
          <w:rFonts w:asciiTheme="minorHAnsi" w:eastAsiaTheme="minorHAnsi" w:hAnsiTheme="minorHAnsi" w:cstheme="minorHAnsi"/>
          <w:sz w:val="21"/>
          <w:szCs w:val="21"/>
          <w:lang w:val="en-GB"/>
        </w:rPr>
      </w:pPr>
      <w:r>
        <w:rPr>
          <w:rFonts w:asciiTheme="minorHAnsi" w:eastAsiaTheme="minorHAnsi" w:hAnsiTheme="minorHAnsi" w:cstheme="minorHAnsi"/>
          <w:sz w:val="21"/>
          <w:szCs w:val="21"/>
          <w:lang w:val="en-GB"/>
        </w:rPr>
        <w:t>Leave no one behind</w:t>
      </w:r>
    </w:p>
    <w:p w14:paraId="32B665A0" w14:textId="58625F1D" w:rsidR="00DA37ED" w:rsidRPr="00B31CF0" w:rsidRDefault="00DA37ED" w:rsidP="00B31CF0">
      <w:pPr>
        <w:pStyle w:val="ListParagraph"/>
        <w:numPr>
          <w:ilvl w:val="0"/>
          <w:numId w:val="15"/>
        </w:numPr>
        <w:spacing w:after="120"/>
        <w:rPr>
          <w:rFonts w:asciiTheme="minorHAnsi" w:eastAsiaTheme="minorHAnsi" w:hAnsiTheme="minorHAnsi" w:cstheme="minorHAnsi"/>
          <w:sz w:val="21"/>
          <w:szCs w:val="21"/>
          <w:lang w:val="en-GB"/>
        </w:rPr>
      </w:pPr>
      <w:r>
        <w:rPr>
          <w:rFonts w:asciiTheme="minorHAnsi" w:eastAsiaTheme="minorHAnsi" w:hAnsiTheme="minorHAnsi" w:cstheme="minorHAnsi"/>
          <w:sz w:val="21"/>
          <w:szCs w:val="21"/>
          <w:lang w:val="en-GB"/>
        </w:rPr>
        <w:t>Twin-track efforts – both targeted and mainstream</w:t>
      </w:r>
    </w:p>
    <w:p w14:paraId="7F277303" w14:textId="4BC6C88F" w:rsidR="009F3285" w:rsidRPr="00BD13C5" w:rsidRDefault="009F3285" w:rsidP="009F3285">
      <w:pPr>
        <w:spacing w:after="120"/>
        <w:rPr>
          <w:rFonts w:cstheme="minorHAnsi"/>
          <w:color w:val="auto"/>
          <w:sz w:val="21"/>
          <w:szCs w:val="21"/>
        </w:rPr>
      </w:pPr>
    </w:p>
    <w:sectPr w:rsidR="009F3285" w:rsidRPr="00BD13C5" w:rsidSect="00E751CF">
      <w:headerReference w:type="even" r:id="rId26"/>
      <w:headerReference w:type="default" r:id="rId27"/>
      <w:footerReference w:type="even" r:id="rId28"/>
      <w:footerReference w:type="default" r:id="rId29"/>
      <w:headerReference w:type="first" r:id="rId30"/>
      <w:footerReference w:type="first" r:id="rId31"/>
      <w:pgSz w:w="11906" w:h="16838" w:code="9"/>
      <w:pgMar w:top="1701" w:right="1134" w:bottom="1276" w:left="1134" w:header="425" w:footer="493"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F8376" w14:textId="77777777" w:rsidR="000C163F" w:rsidRDefault="000C163F" w:rsidP="00D37B04">
      <w:r>
        <w:separator/>
      </w:r>
    </w:p>
  </w:endnote>
  <w:endnote w:type="continuationSeparator" w:id="0">
    <w:p w14:paraId="53251CA1" w14:textId="77777777" w:rsidR="000C163F" w:rsidRDefault="000C163F" w:rsidP="00D3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4991" w14:textId="3ABE38F0" w:rsidR="00021697" w:rsidRDefault="00021697">
    <w:pPr>
      <w:pStyle w:val="Footer"/>
    </w:pPr>
    <w:r>
      <w:rPr>
        <w:noProof/>
      </w:rPr>
      <mc:AlternateContent>
        <mc:Choice Requires="wps">
          <w:drawing>
            <wp:anchor distT="0" distB="0" distL="0" distR="0" simplePos="0" relativeHeight="251658247" behindDoc="0" locked="0" layoutInCell="1" allowOverlap="1" wp14:anchorId="2E9B1F96" wp14:editId="0789C273">
              <wp:simplePos x="635" y="635"/>
              <wp:positionH relativeFrom="page">
                <wp:align>center</wp:align>
              </wp:positionH>
              <wp:positionV relativeFrom="page">
                <wp:align>bottom</wp:align>
              </wp:positionV>
              <wp:extent cx="622300" cy="452755"/>
              <wp:effectExtent l="0" t="0" r="6350" b="0"/>
              <wp:wrapNone/>
              <wp:docPr id="5387733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C78072F" w14:textId="23B89E12" w:rsidR="00021697" w:rsidRPr="00021697" w:rsidRDefault="00021697" w:rsidP="00021697">
                          <w:pPr>
                            <w:spacing w:after="0"/>
                            <w:rPr>
                              <w:rFonts w:ascii="Aptos" w:eastAsia="Aptos" w:hAnsi="Aptos" w:cs="Aptos"/>
                              <w:noProof/>
                              <w:color w:val="FF0000"/>
                              <w:sz w:val="24"/>
                              <w:szCs w:val="24"/>
                            </w:rPr>
                          </w:pPr>
                          <w:r w:rsidRPr="0002169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9B1F96"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5.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7C78072F" w14:textId="23B89E12" w:rsidR="00021697" w:rsidRPr="00021697" w:rsidRDefault="00021697" w:rsidP="00021697">
                    <w:pPr>
                      <w:spacing w:after="0"/>
                      <w:rPr>
                        <w:rFonts w:ascii="Aptos" w:eastAsia="Aptos" w:hAnsi="Aptos" w:cs="Aptos"/>
                        <w:noProof/>
                        <w:color w:val="FF0000"/>
                        <w:sz w:val="24"/>
                        <w:szCs w:val="24"/>
                      </w:rPr>
                    </w:pPr>
                    <w:r w:rsidRPr="00021697">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BA68" w14:textId="43D97407" w:rsidR="00FC322F" w:rsidRPr="00FC322F" w:rsidRDefault="00021697" w:rsidP="00FC322F">
    <w:pPr>
      <w:pStyle w:val="Footer"/>
      <w:rPr>
        <w:b/>
      </w:rPr>
    </w:pPr>
    <w:r>
      <w:rPr>
        <w:b/>
        <w:noProof/>
        <w:lang w:val="en-AU" w:eastAsia="en-AU"/>
      </w:rPr>
      <mc:AlternateContent>
        <mc:Choice Requires="wps">
          <w:drawing>
            <wp:anchor distT="0" distB="0" distL="0" distR="0" simplePos="0" relativeHeight="251658245" behindDoc="0" locked="0" layoutInCell="1" allowOverlap="1" wp14:anchorId="084501B2" wp14:editId="3EBB3E52">
              <wp:simplePos x="720725" y="10227310"/>
              <wp:positionH relativeFrom="page">
                <wp:align>center</wp:align>
              </wp:positionH>
              <wp:positionV relativeFrom="page">
                <wp:align>bottom</wp:align>
              </wp:positionV>
              <wp:extent cx="622300" cy="452755"/>
              <wp:effectExtent l="0" t="0" r="6350" b="0"/>
              <wp:wrapNone/>
              <wp:docPr id="11058153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7D4A7FF" w14:textId="543D9FE7" w:rsidR="00021697" w:rsidRPr="00021697" w:rsidRDefault="00021697" w:rsidP="00021697">
                          <w:pPr>
                            <w:spacing w:after="0"/>
                            <w:rPr>
                              <w:rFonts w:ascii="Aptos" w:eastAsia="Aptos" w:hAnsi="Aptos" w:cs="Aptos"/>
                              <w:noProof/>
                              <w:color w:val="FF0000"/>
                              <w:sz w:val="24"/>
                              <w:szCs w:val="24"/>
                            </w:rPr>
                          </w:pPr>
                          <w:r w:rsidRPr="0002169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4501B2"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17D4A7FF" w14:textId="543D9FE7" w:rsidR="00021697" w:rsidRPr="00021697" w:rsidRDefault="00021697" w:rsidP="00021697">
                    <w:pPr>
                      <w:spacing w:after="0"/>
                      <w:rPr>
                        <w:rFonts w:ascii="Aptos" w:eastAsia="Aptos" w:hAnsi="Aptos" w:cs="Aptos"/>
                        <w:noProof/>
                        <w:color w:val="FF0000"/>
                        <w:sz w:val="24"/>
                        <w:szCs w:val="24"/>
                      </w:rPr>
                    </w:pPr>
                    <w:r w:rsidRPr="00021697">
                      <w:rPr>
                        <w:rFonts w:ascii="Aptos" w:eastAsia="Aptos" w:hAnsi="Aptos" w:cs="Aptos"/>
                        <w:noProof/>
                        <w:color w:val="FF0000"/>
                        <w:sz w:val="24"/>
                        <w:szCs w:val="24"/>
                      </w:rPr>
                      <w:t>OFFICIAL</w:t>
                    </w:r>
                  </w:p>
                </w:txbxContent>
              </v:textbox>
              <w10:wrap anchorx="page" anchory="page"/>
            </v:shape>
          </w:pict>
        </mc:Fallback>
      </mc:AlternateContent>
    </w:r>
    <w:r w:rsidR="00FC322F" w:rsidRPr="00FC322F">
      <w:rPr>
        <w:b/>
        <w:noProof/>
        <w:lang w:val="en-AU" w:eastAsia="en-AU"/>
      </w:rPr>
      <w:drawing>
        <wp:inline distT="0" distB="0" distL="0" distR="0" wp14:anchorId="42CCDA17" wp14:editId="47D78C0E">
          <wp:extent cx="108000" cy="87480"/>
          <wp:effectExtent l="0" t="0" r="6350" b="8255"/>
          <wp:docPr id="1524214716" name="Picture 1524214716" descr="Twitter" title="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2-Twitter.png"/>
                  <pic:cNvPicPr/>
                </pic:nvPicPr>
                <pic:blipFill>
                  <a:blip r:embed="rId1">
                    <a:extLst>
                      <a:ext uri="{28A0092B-C50C-407E-A947-70E740481C1C}">
                        <a14:useLocalDpi xmlns:a14="http://schemas.microsoft.com/office/drawing/2010/main" val="0"/>
                      </a:ext>
                    </a:extLst>
                  </a:blip>
                  <a:stretch>
                    <a:fillRect/>
                  </a:stretch>
                </pic:blipFill>
                <pic:spPr>
                  <a:xfrm>
                    <a:off x="0" y="0"/>
                    <a:ext cx="108000" cy="87480"/>
                  </a:xfrm>
                  <a:prstGeom prst="rect">
                    <a:avLst/>
                  </a:prstGeom>
                </pic:spPr>
              </pic:pic>
            </a:graphicData>
          </a:graphic>
        </wp:inline>
      </w:drawing>
    </w:r>
    <w:r w:rsidR="00FC322F" w:rsidRPr="00FC322F">
      <w:rPr>
        <w:b/>
      </w:rPr>
      <w:t>@</w:t>
    </w:r>
    <w:proofErr w:type="gramStart"/>
    <w:r w:rsidR="00FC322F" w:rsidRPr="00FC322F">
      <w:rPr>
        <w:b/>
      </w:rPr>
      <w:t xml:space="preserve">DFAT  </w:t>
    </w:r>
    <w:r w:rsidR="00FC322F" w:rsidRPr="00FC322F">
      <w:rPr>
        <w:rStyle w:val="Green"/>
        <w:b/>
      </w:rPr>
      <w:t>DFAT.GOV.AU</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7AE1" w14:textId="23A5EDE8" w:rsidR="00FC322F" w:rsidRPr="00FC322F" w:rsidRDefault="00021697" w:rsidP="00FC322F">
    <w:pPr>
      <w:pStyle w:val="Footer"/>
      <w:rPr>
        <w:b/>
      </w:rPr>
    </w:pPr>
    <w:r>
      <w:rPr>
        <w:b/>
        <w:noProof/>
        <w:lang w:val="en-AU" w:eastAsia="en-AU"/>
      </w:rPr>
      <mc:AlternateContent>
        <mc:Choice Requires="wps">
          <w:drawing>
            <wp:anchor distT="0" distB="0" distL="0" distR="0" simplePos="0" relativeHeight="251658244" behindDoc="0" locked="0" layoutInCell="1" allowOverlap="1" wp14:anchorId="2FA4AFDB" wp14:editId="49F819F5">
              <wp:simplePos x="723900" y="10226040"/>
              <wp:positionH relativeFrom="page">
                <wp:align>center</wp:align>
              </wp:positionH>
              <wp:positionV relativeFrom="page">
                <wp:align>bottom</wp:align>
              </wp:positionV>
              <wp:extent cx="622300" cy="452755"/>
              <wp:effectExtent l="0" t="0" r="6350" b="0"/>
              <wp:wrapNone/>
              <wp:docPr id="44115799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617A38A" w14:textId="23E9AD37" w:rsidR="00021697" w:rsidRPr="00021697" w:rsidRDefault="00021697" w:rsidP="00021697">
                          <w:pPr>
                            <w:spacing w:after="0"/>
                            <w:rPr>
                              <w:rFonts w:ascii="Aptos" w:eastAsia="Aptos" w:hAnsi="Aptos" w:cs="Aptos"/>
                              <w:noProof/>
                              <w:color w:val="FF0000"/>
                              <w:sz w:val="24"/>
                              <w:szCs w:val="24"/>
                            </w:rPr>
                          </w:pPr>
                          <w:r w:rsidRPr="0002169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A4AFDB"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textbox style="mso-fit-shape-to-text:t" inset="0,0,0,15pt">
                <w:txbxContent>
                  <w:p w14:paraId="1617A38A" w14:textId="23E9AD37" w:rsidR="00021697" w:rsidRPr="00021697" w:rsidRDefault="00021697" w:rsidP="00021697">
                    <w:pPr>
                      <w:spacing w:after="0"/>
                      <w:rPr>
                        <w:rFonts w:ascii="Aptos" w:eastAsia="Aptos" w:hAnsi="Aptos" w:cs="Aptos"/>
                        <w:noProof/>
                        <w:color w:val="FF0000"/>
                        <w:sz w:val="24"/>
                        <w:szCs w:val="24"/>
                      </w:rPr>
                    </w:pPr>
                    <w:r w:rsidRPr="00021697">
                      <w:rPr>
                        <w:rFonts w:ascii="Aptos" w:eastAsia="Aptos" w:hAnsi="Aptos" w:cs="Aptos"/>
                        <w:noProof/>
                        <w:color w:val="FF0000"/>
                        <w:sz w:val="24"/>
                        <w:szCs w:val="24"/>
                      </w:rPr>
                      <w:t>OFFICIAL</w:t>
                    </w:r>
                  </w:p>
                </w:txbxContent>
              </v:textbox>
              <w10:wrap anchorx="page" anchory="page"/>
            </v:shape>
          </w:pict>
        </mc:Fallback>
      </mc:AlternateContent>
    </w:r>
    <w:r w:rsidR="00FC322F" w:rsidRPr="00FC322F">
      <w:rPr>
        <w:b/>
        <w:noProof/>
        <w:lang w:val="en-AU" w:eastAsia="en-AU"/>
      </w:rPr>
      <w:drawing>
        <wp:inline distT="0" distB="0" distL="0" distR="0" wp14:anchorId="17E2EC49" wp14:editId="778F6277">
          <wp:extent cx="108000" cy="87480"/>
          <wp:effectExtent l="0" t="0" r="6350" b="8255"/>
          <wp:docPr id="1682940996" name="Picture 1682940996" descr="Twitter" title="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2-Twitter.png"/>
                  <pic:cNvPicPr/>
                </pic:nvPicPr>
                <pic:blipFill>
                  <a:blip r:embed="rId1">
                    <a:extLst>
                      <a:ext uri="{28A0092B-C50C-407E-A947-70E740481C1C}">
                        <a14:useLocalDpi xmlns:a14="http://schemas.microsoft.com/office/drawing/2010/main" val="0"/>
                      </a:ext>
                    </a:extLst>
                  </a:blip>
                  <a:stretch>
                    <a:fillRect/>
                  </a:stretch>
                </pic:blipFill>
                <pic:spPr>
                  <a:xfrm>
                    <a:off x="0" y="0"/>
                    <a:ext cx="108000" cy="87480"/>
                  </a:xfrm>
                  <a:prstGeom prst="rect">
                    <a:avLst/>
                  </a:prstGeom>
                </pic:spPr>
              </pic:pic>
            </a:graphicData>
          </a:graphic>
        </wp:inline>
      </w:drawing>
    </w:r>
    <w:r w:rsidR="00FC322F" w:rsidRPr="00FC322F">
      <w:rPr>
        <w:b/>
      </w:rPr>
      <w:t>@</w:t>
    </w:r>
    <w:proofErr w:type="gramStart"/>
    <w:r w:rsidR="00FC322F" w:rsidRPr="00FC322F">
      <w:rPr>
        <w:b/>
      </w:rPr>
      <w:t xml:space="preserve">DFAT  </w:t>
    </w:r>
    <w:r w:rsidR="00FC322F" w:rsidRPr="00FC322F">
      <w:rPr>
        <w:rStyle w:val="Green"/>
        <w:b/>
      </w:rPr>
      <w:t>DFAT.GOV.AU</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DECEA" w14:textId="77777777" w:rsidR="000C163F" w:rsidRPr="008C5A0E" w:rsidRDefault="000C163F" w:rsidP="00D37B04">
      <w:pPr>
        <w:pStyle w:val="Footer"/>
      </w:pPr>
    </w:p>
  </w:footnote>
  <w:footnote w:type="continuationSeparator" w:id="0">
    <w:p w14:paraId="7E49B923" w14:textId="77777777" w:rsidR="000C163F" w:rsidRDefault="000C163F" w:rsidP="00D37B04">
      <w:r>
        <w:continuationSeparator/>
      </w:r>
    </w:p>
  </w:footnote>
  <w:footnote w:id="1">
    <w:p w14:paraId="609AD58E" w14:textId="5AFDCD52" w:rsidR="005D62B6" w:rsidRPr="00867A67" w:rsidRDefault="005D62B6" w:rsidP="003503F7">
      <w:pPr>
        <w:pStyle w:val="FootnoteText"/>
        <w:spacing w:before="0"/>
        <w:rPr>
          <w:rStyle w:val="FootnoteReference"/>
          <w:rFonts w:cstheme="minorHAnsi"/>
          <w:sz w:val="16"/>
          <w:szCs w:val="16"/>
        </w:rPr>
      </w:pPr>
      <w:r w:rsidRPr="007E4582">
        <w:rPr>
          <w:rStyle w:val="FootnoteReference"/>
          <w:rFonts w:cstheme="minorHAnsi"/>
          <w:sz w:val="18"/>
          <w:szCs w:val="18"/>
        </w:rPr>
        <w:footnoteRef/>
      </w:r>
      <w:r w:rsidRPr="007E4582">
        <w:rPr>
          <w:rStyle w:val="FootnoteReference"/>
          <w:rFonts w:cstheme="minorHAnsi"/>
          <w:sz w:val="18"/>
          <w:szCs w:val="18"/>
        </w:rPr>
        <w:t xml:space="preserve"> </w:t>
      </w:r>
      <w:r w:rsidR="00867A67" w:rsidRPr="00867A67">
        <w:rPr>
          <w:sz w:val="16"/>
          <w:szCs w:val="16"/>
        </w:rPr>
        <w:t xml:space="preserve">World Health Organization (2022), </w:t>
      </w:r>
      <w:hyperlink r:id="rId1" w:history="1">
        <w:r w:rsidR="00867A67" w:rsidRPr="00867A67">
          <w:rPr>
            <w:rStyle w:val="Hyperlink"/>
            <w:i/>
            <w:sz w:val="16"/>
            <w:szCs w:val="16"/>
          </w:rPr>
          <w:t>Global report on health equity for persons with disabilities</w:t>
        </w:r>
      </w:hyperlink>
      <w:r w:rsidRPr="00867A67">
        <w:rPr>
          <w:rStyle w:val="FootnoteReference"/>
          <w:rFonts w:cstheme="minorHAnsi"/>
          <w:sz w:val="16"/>
          <w:szCs w:val="16"/>
          <w:vertAlign w:val="baseline"/>
        </w:rPr>
        <w:t>.</w:t>
      </w:r>
    </w:p>
  </w:footnote>
  <w:footnote w:id="2">
    <w:p w14:paraId="2EFF8A25" w14:textId="77777777" w:rsidR="005D62B6" w:rsidRPr="0093774C" w:rsidRDefault="005D62B6" w:rsidP="003503F7">
      <w:pPr>
        <w:pStyle w:val="FootnoteText"/>
        <w:spacing w:before="0"/>
        <w:rPr>
          <w:rStyle w:val="FootnoteReference"/>
          <w:rFonts w:cstheme="minorHAnsi"/>
          <w:sz w:val="16"/>
          <w:szCs w:val="16"/>
        </w:rPr>
      </w:pPr>
      <w:r w:rsidRPr="0093774C">
        <w:rPr>
          <w:rStyle w:val="FootnoteReference"/>
          <w:rFonts w:cstheme="minorHAnsi"/>
          <w:sz w:val="16"/>
          <w:szCs w:val="16"/>
        </w:rPr>
        <w:footnoteRef/>
      </w:r>
      <w:r w:rsidRPr="0093774C">
        <w:rPr>
          <w:rStyle w:val="FootnoteReference"/>
          <w:rFonts w:cstheme="minorHAnsi"/>
          <w:sz w:val="16"/>
          <w:szCs w:val="16"/>
        </w:rPr>
        <w:t xml:space="preserve"> </w:t>
      </w:r>
      <w:r w:rsidRPr="0093774C">
        <w:rPr>
          <w:rStyle w:val="FootnoteReference"/>
          <w:rFonts w:cstheme="minorHAnsi"/>
          <w:sz w:val="16"/>
          <w:szCs w:val="16"/>
          <w:vertAlign w:val="baseline"/>
        </w:rPr>
        <w:t>World Bank and World Health Organization, World Report on Disability, 2011.</w:t>
      </w:r>
    </w:p>
  </w:footnote>
  <w:footnote w:id="3">
    <w:p w14:paraId="1C6373F4" w14:textId="5E97DD57" w:rsidR="005D62B6" w:rsidRPr="0093774C" w:rsidRDefault="005D62B6" w:rsidP="003503F7">
      <w:pPr>
        <w:pStyle w:val="FootnoteText"/>
        <w:spacing w:before="0"/>
        <w:rPr>
          <w:rStyle w:val="FootnoteReference"/>
          <w:rFonts w:cstheme="minorHAnsi"/>
          <w:sz w:val="16"/>
          <w:szCs w:val="16"/>
          <w:vertAlign w:val="baseline"/>
        </w:rPr>
      </w:pPr>
      <w:r w:rsidRPr="0093774C">
        <w:rPr>
          <w:rStyle w:val="FootnoteReference"/>
          <w:rFonts w:cstheme="minorHAnsi"/>
          <w:sz w:val="16"/>
          <w:szCs w:val="16"/>
        </w:rPr>
        <w:footnoteRef/>
      </w:r>
      <w:r w:rsidRPr="0093774C">
        <w:rPr>
          <w:rStyle w:val="FootnoteReference"/>
          <w:rFonts w:cstheme="minorHAnsi"/>
          <w:sz w:val="16"/>
          <w:szCs w:val="16"/>
        </w:rPr>
        <w:t xml:space="preserve"> </w:t>
      </w:r>
      <w:r w:rsidRPr="0093774C">
        <w:rPr>
          <w:rStyle w:val="FootnoteReference"/>
          <w:rFonts w:cstheme="minorHAnsi"/>
          <w:sz w:val="16"/>
          <w:szCs w:val="16"/>
          <w:vertAlign w:val="baseline"/>
        </w:rPr>
        <w:t>United Nations Convention on the Rights of Persons with Disabilities, Articles 11 and 32.</w:t>
      </w:r>
    </w:p>
  </w:footnote>
  <w:footnote w:id="4">
    <w:p w14:paraId="003951EB" w14:textId="77777777" w:rsidR="00D31118" w:rsidRPr="00D31118" w:rsidRDefault="00D31118" w:rsidP="00D31118">
      <w:pPr>
        <w:pStyle w:val="BodyCopy"/>
        <w:rPr>
          <w:sz w:val="16"/>
          <w:szCs w:val="16"/>
        </w:rPr>
      </w:pPr>
      <w:r>
        <w:rPr>
          <w:rStyle w:val="FootnoteReference"/>
        </w:rPr>
        <w:footnoteRef/>
      </w:r>
      <w:r>
        <w:t xml:space="preserve"> </w:t>
      </w:r>
      <w:r w:rsidRPr="00D31118">
        <w:rPr>
          <w:sz w:val="16"/>
          <w:szCs w:val="16"/>
        </w:rPr>
        <w:t xml:space="preserve">Centre of Research Excellence in Disability and Health (CRE-DH), </w:t>
      </w:r>
      <w:hyperlink r:id="rId2" w:history="1">
        <w:r w:rsidRPr="00D31118">
          <w:rPr>
            <w:rStyle w:val="Hyperlink"/>
            <w:i/>
            <w:iCs/>
            <w:sz w:val="16"/>
            <w:szCs w:val="16"/>
          </w:rPr>
          <w:t>Research report: nature and extent of violence, abuse, neglect and exploitation against people with disability in Australia</w:t>
        </w:r>
      </w:hyperlink>
      <w:r w:rsidRPr="00D31118">
        <w:rPr>
          <w:sz w:val="16"/>
          <w:szCs w:val="16"/>
        </w:rPr>
        <w:t>, report for the Royal Commission into Violence, Abuse, Neglect and Exploitation of People with Disability, CRE-DH, Melbourne, 2021.</w:t>
      </w:r>
    </w:p>
    <w:p w14:paraId="68991AC1" w14:textId="320857B3" w:rsidR="00D31118" w:rsidRPr="00D31118" w:rsidRDefault="00D31118">
      <w:pPr>
        <w:pStyle w:val="FootnoteText"/>
        <w:rPr>
          <w:lang w:val="en-AU"/>
        </w:rPr>
      </w:pPr>
    </w:p>
  </w:footnote>
  <w:footnote w:id="5">
    <w:p w14:paraId="309392FA" w14:textId="0B5FD63B" w:rsidR="000B47BC" w:rsidRPr="00B53A77" w:rsidRDefault="000B47BC">
      <w:pPr>
        <w:pStyle w:val="FootnoteText"/>
        <w:rPr>
          <w:sz w:val="16"/>
          <w:szCs w:val="16"/>
          <w:lang w:val="en-AU"/>
        </w:rPr>
      </w:pPr>
      <w:r>
        <w:rPr>
          <w:rStyle w:val="FootnoteReference"/>
        </w:rPr>
        <w:footnoteRef/>
      </w:r>
      <w:r>
        <w:t xml:space="preserve"> </w:t>
      </w:r>
      <w:r w:rsidR="005F75FF" w:rsidRPr="00B53A77">
        <w:rPr>
          <w:sz w:val="16"/>
          <w:szCs w:val="16"/>
        </w:rPr>
        <w:t xml:space="preserve">Kelly, L and </w:t>
      </w:r>
      <w:proofErr w:type="spellStart"/>
      <w:r w:rsidR="005F75FF" w:rsidRPr="00B53A77">
        <w:rPr>
          <w:sz w:val="16"/>
          <w:szCs w:val="16"/>
        </w:rPr>
        <w:t>Wapling</w:t>
      </w:r>
      <w:proofErr w:type="spellEnd"/>
      <w:r w:rsidR="005F75FF" w:rsidRPr="00B53A77">
        <w:rPr>
          <w:sz w:val="16"/>
          <w:szCs w:val="16"/>
        </w:rPr>
        <w:t>, L.; 2012, ‘Mid-term Review of Development for All - Towards a disability-inclusive Australian aid program 2009-2014, p. 42</w:t>
      </w:r>
    </w:p>
  </w:footnote>
  <w:footnote w:id="6">
    <w:p w14:paraId="77EAAB46" w14:textId="3E62FEC1" w:rsidR="005D62B6" w:rsidRPr="00112E54" w:rsidRDefault="005D62B6" w:rsidP="003503F7">
      <w:pPr>
        <w:pStyle w:val="FootnoteText"/>
        <w:spacing w:before="0"/>
        <w:rPr>
          <w:rStyle w:val="FootnoteReference"/>
          <w:rFonts w:cstheme="minorHAnsi"/>
          <w:sz w:val="16"/>
          <w:szCs w:val="16"/>
          <w:vertAlign w:val="baseline"/>
        </w:rPr>
      </w:pPr>
      <w:r w:rsidRPr="0093774C">
        <w:rPr>
          <w:rStyle w:val="FootnoteReference"/>
          <w:rFonts w:cstheme="minorHAnsi"/>
          <w:sz w:val="16"/>
          <w:szCs w:val="16"/>
        </w:rPr>
        <w:footnoteRef/>
      </w:r>
      <w:r w:rsidRPr="0093774C">
        <w:rPr>
          <w:rStyle w:val="FootnoteReference"/>
          <w:rFonts w:cstheme="minorHAnsi"/>
          <w:sz w:val="16"/>
          <w:szCs w:val="16"/>
        </w:rPr>
        <w:t xml:space="preserve"> </w:t>
      </w:r>
      <w:r w:rsidRPr="0093774C">
        <w:rPr>
          <w:rStyle w:val="FootnoteReference"/>
          <w:rFonts w:cstheme="minorHAnsi"/>
          <w:sz w:val="16"/>
          <w:szCs w:val="16"/>
          <w:vertAlign w:val="baseline"/>
        </w:rPr>
        <w:t>The Washington Group’s short set of six questions is recommended by the United Nations for use in all national censuses and household surveys to provide internationally comparable disability data: Washington Group on Disability Statistics, Short Set of Questions on Disability, viewed</w:t>
      </w:r>
      <w:r w:rsidR="00735681" w:rsidRPr="0093774C">
        <w:rPr>
          <w:rStyle w:val="FootnoteReference"/>
          <w:rFonts w:cstheme="minorHAnsi"/>
          <w:sz w:val="16"/>
          <w:szCs w:val="16"/>
          <w:vertAlign w:val="baseline"/>
        </w:rPr>
        <w:t xml:space="preserve"> 3 December 2020</w:t>
      </w:r>
      <w:r w:rsidRPr="0093774C">
        <w:rPr>
          <w:rStyle w:val="FootnoteReference"/>
          <w:rFonts w:cstheme="minorHAnsi"/>
          <w:sz w:val="16"/>
          <w:szCs w:val="16"/>
          <w:vertAlign w:val="baseline"/>
        </w:rPr>
        <w:t>, &lt;</w:t>
      </w:r>
      <w:r w:rsidR="00735681" w:rsidRPr="0093774C">
        <w:rPr>
          <w:rStyle w:val="FootnoteReference"/>
          <w:rFonts w:cstheme="minorHAnsi"/>
          <w:sz w:val="16"/>
          <w:szCs w:val="16"/>
          <w:vertAlign w:val="baseline"/>
        </w:rPr>
        <w:t>https://www.washingtongroup-disability.com/question-sets/wg-short-set-on-functioning-wg-</w:t>
      </w:r>
      <w:hyperlink r:id="rId3" w:history="1">
        <w:r w:rsidR="00735681" w:rsidRPr="00112E54">
          <w:rPr>
            <w:rStyle w:val="FootnoteReference"/>
            <w:vertAlign w:val="baseline"/>
          </w:rPr>
          <w:t>ss</w:t>
        </w:r>
      </w:hyperlink>
      <w:r w:rsidR="00735681" w:rsidRPr="0093774C">
        <w:rPr>
          <w:rStyle w:val="FootnoteReference"/>
          <w:rFonts w:cstheme="minorHAnsi"/>
          <w:sz w:val="16"/>
          <w:szCs w:val="16"/>
          <w:vertAlign w:val="baseline"/>
        </w:rPr>
        <w:t>/</w:t>
      </w:r>
      <w:r w:rsidRPr="0093774C">
        <w:rPr>
          <w:rStyle w:val="FootnoteReference"/>
          <w:rFonts w:cstheme="minorHAnsi"/>
          <w:sz w:val="16"/>
          <w:szCs w:val="16"/>
          <w:vertAlign w:val="baseline"/>
        </w:rPr>
        <w:t>&gt;</w:t>
      </w:r>
      <w:r w:rsidR="00735681" w:rsidRPr="00112E54">
        <w:rPr>
          <w:rStyle w:val="FootnoteReference"/>
          <w:rFonts w:cstheme="minorHAnsi"/>
          <w:sz w:val="16"/>
          <w:szCs w:val="16"/>
          <w:vertAlign w:val="baseline"/>
        </w:rPr>
        <w:t xml:space="preserve"> </w:t>
      </w:r>
    </w:p>
  </w:footnote>
  <w:footnote w:id="7">
    <w:p w14:paraId="00B9A4CE" w14:textId="76D418D6" w:rsidR="005D62B6" w:rsidRPr="00112E54" w:rsidRDefault="005D62B6" w:rsidP="00112E54">
      <w:pPr>
        <w:pStyle w:val="FootnoteText"/>
        <w:spacing w:before="0"/>
        <w:rPr>
          <w:rStyle w:val="FootnoteReference"/>
          <w:rFonts w:cstheme="minorHAnsi"/>
          <w:sz w:val="16"/>
          <w:szCs w:val="16"/>
          <w:vertAlign w:val="baseline"/>
        </w:rPr>
      </w:pPr>
      <w:r w:rsidRPr="00112E54">
        <w:rPr>
          <w:rStyle w:val="FootnoteReference"/>
          <w:rFonts w:cstheme="minorHAnsi"/>
          <w:sz w:val="16"/>
          <w:szCs w:val="16"/>
          <w:vertAlign w:val="baseline"/>
        </w:rPr>
        <w:footnoteRef/>
      </w:r>
      <w:r w:rsidRPr="00112E54">
        <w:rPr>
          <w:rStyle w:val="FootnoteReference"/>
          <w:vertAlign w:val="baseline"/>
        </w:rPr>
        <w:t xml:space="preserve"> </w:t>
      </w:r>
      <w:r w:rsidRPr="00112E54">
        <w:rPr>
          <w:rStyle w:val="FootnoteReference"/>
          <w:rFonts w:cstheme="minorHAnsi"/>
          <w:sz w:val="16"/>
          <w:szCs w:val="16"/>
          <w:vertAlign w:val="baseline"/>
        </w:rPr>
        <w:t xml:space="preserve">AusAID, Protection in Humanitarian Action Framework for the Australian aid program 2013, July 2013, PUB9 </w:t>
      </w:r>
      <w:hyperlink r:id="rId4" w:history="1">
        <w:r w:rsidRPr="0093774C">
          <w:rPr>
            <w:rStyle w:val="FootnoteReference"/>
            <w:rFonts w:cstheme="minorHAnsi"/>
            <w:sz w:val="16"/>
            <w:szCs w:val="16"/>
            <w:vertAlign w:val="baseline"/>
          </w:rPr>
          <w:t>&lt;</w:t>
        </w:r>
        <w:r w:rsidR="00997191" w:rsidRPr="00112E54">
          <w:rPr>
            <w:rStyle w:val="FootnoteReference"/>
            <w:rFonts w:cstheme="minorHAnsi"/>
            <w:sz w:val="16"/>
            <w:szCs w:val="16"/>
            <w:vertAlign w:val="baseline"/>
          </w:rPr>
          <w:t xml:space="preserve"> </w:t>
        </w:r>
        <w:r w:rsidR="00997191" w:rsidRPr="0093774C">
          <w:rPr>
            <w:rStyle w:val="FootnoteReference"/>
            <w:rFonts w:cstheme="minorHAnsi"/>
            <w:sz w:val="16"/>
            <w:szCs w:val="16"/>
            <w:vertAlign w:val="baseline"/>
          </w:rPr>
          <w:t>https://www.dfat.gov.au/about-us/publications/Pages/protection-in-humanitarian-action-framework</w:t>
        </w:r>
        <w:r w:rsidRPr="0093774C">
          <w:rPr>
            <w:rStyle w:val="FootnoteReference"/>
            <w:rFonts w:cstheme="minorHAnsi"/>
            <w:sz w:val="16"/>
            <w:szCs w:val="16"/>
            <w:vertAlign w:val="baseline"/>
          </w:rPr>
          <w:t>&gt;</w:t>
        </w:r>
      </w:hyperlink>
    </w:p>
  </w:footnote>
  <w:footnote w:id="8">
    <w:p w14:paraId="669E692B" w14:textId="24EBFC3D" w:rsidR="00A52A75" w:rsidRPr="002D61F6" w:rsidRDefault="00A52A75" w:rsidP="00112E54">
      <w:pPr>
        <w:pStyle w:val="FootnoteText"/>
        <w:spacing w:before="0"/>
        <w:rPr>
          <w:lang w:val="en-AU"/>
        </w:rPr>
      </w:pPr>
      <w:r w:rsidRPr="00112E54">
        <w:rPr>
          <w:rStyle w:val="FootnoteReference"/>
          <w:rFonts w:cstheme="minorHAnsi"/>
          <w:sz w:val="16"/>
          <w:szCs w:val="16"/>
          <w:vertAlign w:val="baseline"/>
        </w:rPr>
        <w:footnoteRef/>
      </w:r>
      <w:r w:rsidRPr="00A52A75">
        <w:rPr>
          <w:rStyle w:val="FootnoteReference"/>
          <w:rFonts w:cstheme="minorHAnsi"/>
          <w:sz w:val="16"/>
          <w:szCs w:val="16"/>
          <w:vertAlign w:val="baseline"/>
        </w:rPr>
        <w:t xml:space="preserve"> </w:t>
      </w:r>
      <w:r>
        <w:rPr>
          <w:rStyle w:val="FootnoteReference"/>
          <w:rFonts w:cstheme="minorHAnsi"/>
          <w:sz w:val="16"/>
          <w:szCs w:val="16"/>
          <w:vertAlign w:val="baseline"/>
        </w:rPr>
        <w:t xml:space="preserve">IASC, IASG Guidelines, </w:t>
      </w:r>
      <w:r w:rsidRPr="002D61F6">
        <w:rPr>
          <w:rStyle w:val="FootnoteReference"/>
          <w:sz w:val="16"/>
          <w:szCs w:val="16"/>
          <w:vertAlign w:val="baseline"/>
        </w:rPr>
        <w:t>Inclusion of Persons with Disabilities in Humanitarian Action, 2019. Viewed 17 December 2020, &lt;</w:t>
      </w:r>
      <w:r w:rsidRPr="002D61F6">
        <w:rPr>
          <w:rStyle w:val="FootnoteReference"/>
          <w:rFonts w:cstheme="minorHAnsi"/>
          <w:sz w:val="16"/>
          <w:szCs w:val="16"/>
          <w:vertAlign w:val="baseline"/>
        </w:rPr>
        <w:t xml:space="preserve"> </w:t>
      </w:r>
      <w:r w:rsidRPr="002D61F6">
        <w:rPr>
          <w:rStyle w:val="FootnoteReference"/>
          <w:sz w:val="16"/>
          <w:szCs w:val="16"/>
          <w:vertAlign w:val="baseline"/>
        </w:rPr>
        <w:t>https://interagencystandingcommittee.org/iasc-task-team-inclusion-persons-disabilities-humanitarian-action/documents/iasc-guidelines&gt;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82F5" w14:textId="42B52E38" w:rsidR="00021697" w:rsidRDefault="00021697">
    <w:pPr>
      <w:pStyle w:val="Header"/>
    </w:pPr>
    <w:r>
      <w:rPr>
        <w:noProof/>
      </w:rPr>
      <mc:AlternateContent>
        <mc:Choice Requires="wps">
          <w:drawing>
            <wp:anchor distT="0" distB="0" distL="0" distR="0" simplePos="0" relativeHeight="251658246" behindDoc="0" locked="0" layoutInCell="1" allowOverlap="1" wp14:anchorId="3BBAEB58" wp14:editId="0203ED99">
              <wp:simplePos x="635" y="635"/>
              <wp:positionH relativeFrom="page">
                <wp:align>center</wp:align>
              </wp:positionH>
              <wp:positionV relativeFrom="page">
                <wp:align>top</wp:align>
              </wp:positionV>
              <wp:extent cx="622300" cy="452755"/>
              <wp:effectExtent l="0" t="0" r="6350" b="4445"/>
              <wp:wrapNone/>
              <wp:docPr id="20843634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128C099" w14:textId="13714C88" w:rsidR="00021697" w:rsidRPr="00021697" w:rsidRDefault="00021697" w:rsidP="00021697">
                          <w:pPr>
                            <w:spacing w:after="0"/>
                            <w:rPr>
                              <w:rFonts w:ascii="Aptos" w:eastAsia="Aptos" w:hAnsi="Aptos" w:cs="Aptos"/>
                              <w:noProof/>
                              <w:color w:val="FF0000"/>
                              <w:sz w:val="24"/>
                              <w:szCs w:val="24"/>
                            </w:rPr>
                          </w:pPr>
                          <w:r w:rsidRPr="0002169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BAEB58"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5.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0128C099" w14:textId="13714C88" w:rsidR="00021697" w:rsidRPr="00021697" w:rsidRDefault="00021697" w:rsidP="00021697">
                    <w:pPr>
                      <w:spacing w:after="0"/>
                      <w:rPr>
                        <w:rFonts w:ascii="Aptos" w:eastAsia="Aptos" w:hAnsi="Aptos" w:cs="Aptos"/>
                        <w:noProof/>
                        <w:color w:val="FF0000"/>
                        <w:sz w:val="24"/>
                        <w:szCs w:val="24"/>
                      </w:rPr>
                    </w:pPr>
                    <w:r w:rsidRPr="00021697">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AE89" w14:textId="117E45E6" w:rsidR="002D5B25" w:rsidRPr="000854FD" w:rsidRDefault="00021697" w:rsidP="002D5B25">
    <w:pPr>
      <w:pStyle w:val="Header"/>
    </w:pPr>
    <w:r>
      <w:rPr>
        <w:noProof/>
        <w:lang w:val="en-AU" w:eastAsia="en-AU"/>
      </w:rPr>
      <mc:AlternateContent>
        <mc:Choice Requires="wps">
          <w:drawing>
            <wp:anchor distT="0" distB="0" distL="0" distR="0" simplePos="0" relativeHeight="251658243" behindDoc="0" locked="0" layoutInCell="1" allowOverlap="1" wp14:anchorId="344C4805" wp14:editId="54CAD019">
              <wp:simplePos x="720725" y="270510"/>
              <wp:positionH relativeFrom="page">
                <wp:align>center</wp:align>
              </wp:positionH>
              <wp:positionV relativeFrom="page">
                <wp:align>top</wp:align>
              </wp:positionV>
              <wp:extent cx="622300" cy="452755"/>
              <wp:effectExtent l="0" t="0" r="6350" b="4445"/>
              <wp:wrapNone/>
              <wp:docPr id="2027936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4DAC846" w14:textId="68420423" w:rsidR="00021697" w:rsidRPr="00021697" w:rsidRDefault="00021697" w:rsidP="00021697">
                          <w:pPr>
                            <w:spacing w:after="0"/>
                            <w:rPr>
                              <w:rFonts w:ascii="Aptos" w:eastAsia="Aptos" w:hAnsi="Aptos" w:cs="Aptos"/>
                              <w:noProof/>
                              <w:color w:val="FF0000"/>
                              <w:sz w:val="24"/>
                              <w:szCs w:val="24"/>
                            </w:rPr>
                          </w:pPr>
                          <w:r w:rsidRPr="0002169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4C4805"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54DAC846" w14:textId="68420423" w:rsidR="00021697" w:rsidRPr="00021697" w:rsidRDefault="00021697" w:rsidP="00021697">
                    <w:pPr>
                      <w:spacing w:after="0"/>
                      <w:rPr>
                        <w:rFonts w:ascii="Aptos" w:eastAsia="Aptos" w:hAnsi="Aptos" w:cs="Aptos"/>
                        <w:noProof/>
                        <w:color w:val="FF0000"/>
                        <w:sz w:val="24"/>
                        <w:szCs w:val="24"/>
                      </w:rPr>
                    </w:pPr>
                    <w:r w:rsidRPr="00021697">
                      <w:rPr>
                        <w:rFonts w:ascii="Aptos" w:eastAsia="Aptos" w:hAnsi="Aptos" w:cs="Aptos"/>
                        <w:noProof/>
                        <w:color w:val="FF0000"/>
                        <w:sz w:val="24"/>
                        <w:szCs w:val="24"/>
                      </w:rPr>
                      <w:t>OFFICIAL</w:t>
                    </w:r>
                  </w:p>
                </w:txbxContent>
              </v:textbox>
              <w10:wrap anchorx="page" anchory="page"/>
            </v:shape>
          </w:pict>
        </mc:Fallback>
      </mc:AlternateContent>
    </w:r>
    <w:r w:rsidR="002D5B25" w:rsidRPr="00943730">
      <w:rPr>
        <w:noProof/>
        <w:lang w:val="en-AU" w:eastAsia="en-AU"/>
      </w:rPr>
      <w:drawing>
        <wp:anchor distT="0" distB="0" distL="114300" distR="114300" simplePos="0" relativeHeight="251658241" behindDoc="1" locked="1" layoutInCell="1" allowOverlap="1" wp14:anchorId="65591407" wp14:editId="045193D3">
          <wp:simplePos x="0" y="0"/>
          <wp:positionH relativeFrom="page">
            <wp:posOffset>12700</wp:posOffset>
          </wp:positionH>
          <wp:positionV relativeFrom="page">
            <wp:posOffset>0</wp:posOffset>
          </wp:positionV>
          <wp:extent cx="7559040" cy="10692765"/>
          <wp:effectExtent l="0" t="0" r="3810" b="0"/>
          <wp:wrapNone/>
          <wp:docPr id="232543397" name="Picture 2325433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33C7" w14:textId="0B86E31C" w:rsidR="00C80458" w:rsidRDefault="00021697" w:rsidP="00943730">
    <w:pPr>
      <w:pStyle w:val="Header"/>
    </w:pPr>
    <w:r>
      <w:rPr>
        <w:noProof/>
        <w:color w:val="000000" w:themeColor="text1"/>
      </w:rPr>
      <mc:AlternateContent>
        <mc:Choice Requires="wps">
          <w:drawing>
            <wp:anchor distT="0" distB="0" distL="0" distR="0" simplePos="0" relativeHeight="251658242" behindDoc="0" locked="0" layoutInCell="1" allowOverlap="1" wp14:anchorId="739AAE84" wp14:editId="5C3CD4AE">
              <wp:simplePos x="723900" y="274320"/>
              <wp:positionH relativeFrom="page">
                <wp:align>center</wp:align>
              </wp:positionH>
              <wp:positionV relativeFrom="page">
                <wp:align>top</wp:align>
              </wp:positionV>
              <wp:extent cx="622300" cy="452755"/>
              <wp:effectExtent l="0" t="0" r="6350" b="4445"/>
              <wp:wrapNone/>
              <wp:docPr id="121816959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459BA05" w14:textId="31424DAD" w:rsidR="00021697" w:rsidRPr="00021697" w:rsidRDefault="00021697" w:rsidP="00021697">
                          <w:pPr>
                            <w:spacing w:after="0"/>
                            <w:rPr>
                              <w:rFonts w:ascii="Aptos" w:eastAsia="Aptos" w:hAnsi="Aptos" w:cs="Aptos"/>
                              <w:noProof/>
                              <w:color w:val="FF0000"/>
                              <w:sz w:val="24"/>
                              <w:szCs w:val="24"/>
                            </w:rPr>
                          </w:pPr>
                          <w:r w:rsidRPr="0002169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9AAE84"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textbox style="mso-fit-shape-to-text:t" inset="0,15pt,0,0">
                <w:txbxContent>
                  <w:p w14:paraId="7459BA05" w14:textId="31424DAD" w:rsidR="00021697" w:rsidRPr="00021697" w:rsidRDefault="00021697" w:rsidP="00021697">
                    <w:pPr>
                      <w:spacing w:after="0"/>
                      <w:rPr>
                        <w:rFonts w:ascii="Aptos" w:eastAsia="Aptos" w:hAnsi="Aptos" w:cs="Aptos"/>
                        <w:noProof/>
                        <w:color w:val="FF0000"/>
                        <w:sz w:val="24"/>
                        <w:szCs w:val="24"/>
                      </w:rPr>
                    </w:pPr>
                    <w:r w:rsidRPr="00021697">
                      <w:rPr>
                        <w:rFonts w:ascii="Aptos" w:eastAsia="Aptos" w:hAnsi="Aptos" w:cs="Aptos"/>
                        <w:noProof/>
                        <w:color w:val="FF0000"/>
                        <w:sz w:val="24"/>
                        <w:szCs w:val="24"/>
                      </w:rPr>
                      <w:t>OFFICIAL</w:t>
                    </w:r>
                  </w:p>
                </w:txbxContent>
              </v:textbox>
              <w10:wrap anchorx="page" anchory="page"/>
            </v:shape>
          </w:pict>
        </mc:Fallback>
      </mc:AlternateContent>
    </w:r>
    <w:r w:rsidR="002D5B25" w:rsidRPr="00C80458">
      <w:rPr>
        <w:color w:val="000000" w:themeColor="text1"/>
      </w:rPr>
      <w:fldChar w:fldCharType="begin"/>
    </w:r>
    <w:r w:rsidR="002D5B25" w:rsidRPr="00C80458">
      <w:rPr>
        <w:color w:val="000000" w:themeColor="text1"/>
      </w:rPr>
      <w:instrText xml:space="preserve"> DATE  \@ "MMMM yyyy"  \* MERGEFORMAT </w:instrText>
    </w:r>
    <w:r w:rsidR="002D5B25" w:rsidRPr="00C80458">
      <w:rPr>
        <w:color w:val="000000" w:themeColor="text1"/>
      </w:rPr>
      <w:fldChar w:fldCharType="separate"/>
    </w:r>
    <w:r w:rsidR="00D712A7">
      <w:rPr>
        <w:noProof/>
        <w:color w:val="000000" w:themeColor="text1"/>
      </w:rPr>
      <w:t>June 2026</w:t>
    </w:r>
    <w:r w:rsidR="002D5B25" w:rsidRPr="00C80458">
      <w:rPr>
        <w:color w:val="000000" w:themeColor="text1"/>
      </w:rPr>
      <w:fldChar w:fldCharType="end"/>
    </w:r>
  </w:p>
  <w:p w14:paraId="1DDDB78C" w14:textId="77777777" w:rsidR="00C80458" w:rsidRDefault="00C80458" w:rsidP="00943730">
    <w:pPr>
      <w:pStyle w:val="Header"/>
    </w:pPr>
  </w:p>
  <w:p w14:paraId="49806D2B" w14:textId="4C4814C4" w:rsidR="00D37B04" w:rsidRPr="00943730" w:rsidRDefault="002D5B25" w:rsidP="00C80458">
    <w:pPr>
      <w:pStyle w:val="Header"/>
      <w:tabs>
        <w:tab w:val="clear" w:pos="9026"/>
        <w:tab w:val="left" w:pos="7440"/>
        <w:tab w:val="left" w:pos="7890"/>
      </w:tabs>
      <w:ind w:left="0"/>
    </w:pPr>
    <w:r w:rsidRPr="00943730">
      <w:rPr>
        <w:noProof/>
        <w:lang w:val="en-AU" w:eastAsia="en-AU"/>
      </w:rPr>
      <w:drawing>
        <wp:inline distT="0" distB="0" distL="0" distR="0" wp14:anchorId="5555B816" wp14:editId="5A16FA25">
          <wp:extent cx="3166920" cy="554400"/>
          <wp:effectExtent l="0" t="0" r="0" b="0"/>
          <wp:docPr id="2081955418" name="Picture 2081955418" descr="Department of Foreign Affairs and Trade" title="Department of Foreign Affairs and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AT-corporate-grey.png"/>
                  <pic:cNvPicPr/>
                </pic:nvPicPr>
                <pic:blipFill>
                  <a:blip r:embed="rId1">
                    <a:extLst>
                      <a:ext uri="{28A0092B-C50C-407E-A947-70E740481C1C}">
                        <a14:useLocalDpi xmlns:a14="http://schemas.microsoft.com/office/drawing/2010/main" val="0"/>
                      </a:ext>
                    </a:extLst>
                  </a:blip>
                  <a:stretch>
                    <a:fillRect/>
                  </a:stretch>
                </pic:blipFill>
                <pic:spPr>
                  <a:xfrm>
                    <a:off x="0" y="0"/>
                    <a:ext cx="3166920" cy="554400"/>
                  </a:xfrm>
                  <a:prstGeom prst="rect">
                    <a:avLst/>
                  </a:prstGeom>
                </pic:spPr>
              </pic:pic>
            </a:graphicData>
          </a:graphic>
        </wp:inline>
      </w:drawing>
    </w:r>
    <w:r w:rsidR="00C80458">
      <w:t xml:space="preserve"> </w:t>
    </w:r>
    <w:r w:rsidR="00C80458">
      <w:tab/>
    </w:r>
    <w:r w:rsidR="00C80458" w:rsidRPr="00252C04">
      <w:rPr>
        <w:noProof/>
        <w:lang w:val="en-AU" w:eastAsia="en-AU"/>
      </w:rPr>
      <w:drawing>
        <wp:inline distT="0" distB="0" distL="0" distR="0" wp14:anchorId="6890C1D2" wp14:editId="14688682">
          <wp:extent cx="1115640" cy="512640"/>
          <wp:effectExtent l="0" t="0" r="8890" b="1905"/>
          <wp:docPr id="372942163" name="Picture 372942163" descr="Australian Aid" title="Australian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AT-corporate-grey.png"/>
                  <pic:cNvPicPr/>
                </pic:nvPicPr>
                <pic:blipFill>
                  <a:blip r:embed="rId2">
                    <a:extLst>
                      <a:ext uri="{28A0092B-C50C-407E-A947-70E740481C1C}">
                        <a14:useLocalDpi xmlns:a14="http://schemas.microsoft.com/office/drawing/2010/main" val="0"/>
                      </a:ext>
                    </a:extLst>
                  </a:blip>
                  <a:stretch>
                    <a:fillRect/>
                  </a:stretch>
                </pic:blipFill>
                <pic:spPr>
                  <a:xfrm>
                    <a:off x="0" y="0"/>
                    <a:ext cx="1115640" cy="512640"/>
                  </a:xfrm>
                  <a:prstGeom prst="rect">
                    <a:avLst/>
                  </a:prstGeom>
                </pic:spPr>
              </pic:pic>
            </a:graphicData>
          </a:graphic>
        </wp:inline>
      </w:drawing>
    </w:r>
    <w:r w:rsidRPr="00943730">
      <w:rPr>
        <w:noProof/>
        <w:lang w:val="en-AU" w:eastAsia="en-AU"/>
      </w:rPr>
      <w:drawing>
        <wp:anchor distT="0" distB="0" distL="114300" distR="114300" simplePos="0" relativeHeight="251658240" behindDoc="1" locked="1" layoutInCell="1" allowOverlap="1" wp14:anchorId="6A6ADAFC" wp14:editId="00A335F0">
          <wp:simplePos x="0" y="0"/>
          <wp:positionH relativeFrom="page">
            <wp:posOffset>12700</wp:posOffset>
          </wp:positionH>
          <wp:positionV relativeFrom="page">
            <wp:posOffset>0</wp:posOffset>
          </wp:positionV>
          <wp:extent cx="7559040" cy="10692130"/>
          <wp:effectExtent l="0" t="0" r="3810" b="0"/>
          <wp:wrapNone/>
          <wp:docPr id="1354201844" name="Picture 13542018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F6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7A24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CE23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4C40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A008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0AF3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967D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1474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C077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48FE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61D06"/>
    <w:multiLevelType w:val="hybridMultilevel"/>
    <w:tmpl w:val="4C90934A"/>
    <w:lvl w:ilvl="0" w:tplc="0C09000D">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503C9D"/>
    <w:multiLevelType w:val="hybridMultilevel"/>
    <w:tmpl w:val="24DEAD82"/>
    <w:lvl w:ilvl="0" w:tplc="C04462B6">
      <w:start w:val="1"/>
      <w:numFmt w:val="decimal"/>
      <w:lvlText w:val="%1."/>
      <w:lvlJc w:val="left"/>
      <w:pPr>
        <w:ind w:left="720" w:hanging="360"/>
      </w:pPr>
      <w:rPr>
        <w:rFonts w:asciiTheme="minorHAnsi" w:eastAsia="SimSun" w:hAnsiTheme="minorHAnsi" w:cstheme="minorHAnsi" w:hint="default"/>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15" w15:restartNumberingAfterBreak="0">
    <w:nsid w:val="25264A5A"/>
    <w:multiLevelType w:val="hybridMultilevel"/>
    <w:tmpl w:val="0D2C9A66"/>
    <w:lvl w:ilvl="0" w:tplc="48FC474E">
      <w:start w:val="1"/>
      <w:numFmt w:val="bullet"/>
      <w:pStyle w:val="List-bullet-1"/>
      <w:lvlText w:val=""/>
      <w:lvlJc w:val="left"/>
      <w:pPr>
        <w:tabs>
          <w:tab w:val="num" w:pos="720"/>
        </w:tabs>
        <w:ind w:left="720" w:hanging="363"/>
      </w:pPr>
      <w:rPr>
        <w:rFonts w:ascii="Symbol" w:hAnsi="Symbol" w:hint="default"/>
        <w:color w:val="auto"/>
        <w:sz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70D579E"/>
    <w:multiLevelType w:val="hybridMultilevel"/>
    <w:tmpl w:val="6E541D66"/>
    <w:lvl w:ilvl="0" w:tplc="2B8ADCC2">
      <w:numFmt w:val="bullet"/>
      <w:lvlText w:val="-"/>
      <w:lvlJc w:val="left"/>
      <w:pPr>
        <w:ind w:left="360" w:hanging="360"/>
      </w:pPr>
      <w:rPr>
        <w:rFonts w:ascii="Calibri Light" w:eastAsiaTheme="minorHAnsi" w:hAnsi="Calibri Light" w:cs="Calibri Light" w:hint="default"/>
        <w:b w:val="0"/>
        <w:sz w:val="21"/>
      </w:rPr>
    </w:lvl>
    <w:lvl w:ilvl="1" w:tplc="0C090017">
      <w:start w:val="1"/>
      <w:numFmt w:val="lowerLetter"/>
      <w:lvlText w:val="%2)"/>
      <w:lvlJc w:val="left"/>
      <w:pPr>
        <w:ind w:left="1080" w:hanging="360"/>
      </w:pPr>
      <w:rPr>
        <w:rFonts w:hint="default"/>
      </w:rPr>
    </w:lvl>
    <w:lvl w:ilvl="2" w:tplc="2B8ADCC2">
      <w:numFmt w:val="bullet"/>
      <w:lvlText w:val="-"/>
      <w:lvlJc w:val="left"/>
      <w:pPr>
        <w:ind w:left="1800" w:hanging="360"/>
      </w:pPr>
      <w:rPr>
        <w:rFonts w:ascii="Calibri Light" w:eastAsiaTheme="minorHAnsi" w:hAnsi="Calibri Light" w:cs="Calibri Light" w:hint="default"/>
        <w:b w:val="0"/>
        <w:sz w:val="21"/>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323132F1"/>
    <w:multiLevelType w:val="hybridMultilevel"/>
    <w:tmpl w:val="F1282A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B583A72"/>
    <w:multiLevelType w:val="hybridMultilevel"/>
    <w:tmpl w:val="E3445CF2"/>
    <w:lvl w:ilvl="0" w:tplc="0C09000D">
      <w:start w:val="1"/>
      <w:numFmt w:val="bullet"/>
      <w:lvlText w:val=""/>
      <w:lvlJc w:val="left"/>
      <w:pPr>
        <w:ind w:left="360" w:hanging="360"/>
      </w:pPr>
      <w:rPr>
        <w:rFonts w:ascii="Wingdings" w:hAnsi="Wingdings" w:hint="default"/>
      </w:rPr>
    </w:lvl>
    <w:lvl w:ilvl="1" w:tplc="0C090017">
      <w:start w:val="1"/>
      <w:numFmt w:val="lowerLetter"/>
      <w:lvlText w:val="%2)"/>
      <w:lvlJc w:val="left"/>
      <w:pPr>
        <w:ind w:left="1080" w:hanging="360"/>
      </w:p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ED21163"/>
    <w:multiLevelType w:val="hybridMultilevel"/>
    <w:tmpl w:val="57C8F6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2553D9F"/>
    <w:multiLevelType w:val="multilevel"/>
    <w:tmpl w:val="A6FA45D0"/>
    <w:numStyleLink w:val="BulletsList"/>
  </w:abstractNum>
  <w:abstractNum w:abstractNumId="22"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3" w15:restartNumberingAfterBreak="0">
    <w:nsid w:val="5D3C1EA7"/>
    <w:multiLevelType w:val="multilevel"/>
    <w:tmpl w:val="A6FA45D0"/>
    <w:numStyleLink w:val="BulletsList"/>
  </w:abstractNum>
  <w:abstractNum w:abstractNumId="24"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5" w15:restartNumberingAfterBreak="0">
    <w:nsid w:val="66E7769D"/>
    <w:multiLevelType w:val="hybridMultilevel"/>
    <w:tmpl w:val="7612FFD8"/>
    <w:lvl w:ilvl="0" w:tplc="0C09000D">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CFB17F5"/>
    <w:multiLevelType w:val="hybridMultilevel"/>
    <w:tmpl w:val="9F6451A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73107305"/>
    <w:multiLevelType w:val="multilevel"/>
    <w:tmpl w:val="A6FA45D0"/>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7D9356F6"/>
    <w:multiLevelType w:val="hybridMultilevel"/>
    <w:tmpl w:val="54A0D434"/>
    <w:lvl w:ilvl="0" w:tplc="FFFFFFFF">
      <w:start w:val="1"/>
      <w:numFmt w:val="bullet"/>
      <w:lvlText w:val=""/>
      <w:lvlJc w:val="left"/>
      <w:pPr>
        <w:ind w:left="360" w:hanging="360"/>
      </w:pPr>
      <w:rPr>
        <w:rFonts w:ascii="Wingdings" w:hAnsi="Wingdings" w:hint="default"/>
      </w:rPr>
    </w:lvl>
    <w:lvl w:ilvl="1" w:tplc="0C090017">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00281954">
    <w:abstractNumId w:val="27"/>
  </w:num>
  <w:num w:numId="2" w16cid:durableId="1247500875">
    <w:abstractNumId w:val="11"/>
  </w:num>
  <w:num w:numId="3" w16cid:durableId="1585801174">
    <w:abstractNumId w:val="17"/>
  </w:num>
  <w:num w:numId="4" w16cid:durableId="1641962368">
    <w:abstractNumId w:val="22"/>
  </w:num>
  <w:num w:numId="5" w16cid:durableId="1578830604">
    <w:abstractNumId w:val="24"/>
  </w:num>
  <w:num w:numId="6" w16cid:durableId="1036738964">
    <w:abstractNumId w:val="17"/>
  </w:num>
  <w:num w:numId="7" w16cid:durableId="690881447">
    <w:abstractNumId w:val="11"/>
  </w:num>
  <w:num w:numId="8" w16cid:durableId="1500265743">
    <w:abstractNumId w:val="14"/>
  </w:num>
  <w:num w:numId="9" w16cid:durableId="1676762283">
    <w:abstractNumId w:val="28"/>
  </w:num>
  <w:num w:numId="10" w16cid:durableId="1630671666">
    <w:abstractNumId w:val="21"/>
  </w:num>
  <w:num w:numId="11" w16cid:durableId="148402197">
    <w:abstractNumId w:val="15"/>
  </w:num>
  <w:num w:numId="12" w16cid:durableId="1890068849">
    <w:abstractNumId w:val="19"/>
  </w:num>
  <w:num w:numId="13" w16cid:durableId="1546404470">
    <w:abstractNumId w:val="18"/>
  </w:num>
  <w:num w:numId="14" w16cid:durableId="266011828">
    <w:abstractNumId w:val="20"/>
  </w:num>
  <w:num w:numId="15" w16cid:durableId="694386251">
    <w:abstractNumId w:val="16"/>
  </w:num>
  <w:num w:numId="16" w16cid:durableId="1854418891">
    <w:abstractNumId w:val="29"/>
  </w:num>
  <w:num w:numId="17" w16cid:durableId="1942953720">
    <w:abstractNumId w:val="15"/>
  </w:num>
  <w:num w:numId="18" w16cid:durableId="600260684">
    <w:abstractNumId w:val="26"/>
  </w:num>
  <w:num w:numId="19" w16cid:durableId="14197889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5886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17870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35059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82834">
    <w:abstractNumId w:val="12"/>
  </w:num>
  <w:num w:numId="24" w16cid:durableId="1215972033">
    <w:abstractNumId w:val="9"/>
  </w:num>
  <w:num w:numId="25" w16cid:durableId="412245102">
    <w:abstractNumId w:val="7"/>
  </w:num>
  <w:num w:numId="26" w16cid:durableId="173695244">
    <w:abstractNumId w:val="6"/>
  </w:num>
  <w:num w:numId="27" w16cid:durableId="1642688472">
    <w:abstractNumId w:val="5"/>
  </w:num>
  <w:num w:numId="28" w16cid:durableId="1752698730">
    <w:abstractNumId w:val="4"/>
  </w:num>
  <w:num w:numId="29" w16cid:durableId="1266618563">
    <w:abstractNumId w:val="8"/>
  </w:num>
  <w:num w:numId="30" w16cid:durableId="2115318464">
    <w:abstractNumId w:val="3"/>
  </w:num>
  <w:num w:numId="31" w16cid:durableId="1544977300">
    <w:abstractNumId w:val="2"/>
  </w:num>
  <w:num w:numId="32" w16cid:durableId="549653796">
    <w:abstractNumId w:val="1"/>
  </w:num>
  <w:num w:numId="33" w16cid:durableId="2045519599">
    <w:abstractNumId w:val="0"/>
  </w:num>
  <w:num w:numId="34" w16cid:durableId="2141338166">
    <w:abstractNumId w:val="23"/>
  </w:num>
  <w:num w:numId="35" w16cid:durableId="2014140346">
    <w:abstractNumId w:val="10"/>
  </w:num>
  <w:num w:numId="36" w16cid:durableId="1185250567">
    <w:abstractNumId w:val="25"/>
  </w:num>
  <w:num w:numId="37" w16cid:durableId="18585463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89701698">
    <w:abstractNumId w:val="13"/>
  </w:num>
  <w:num w:numId="39" w16cid:durableId="1114984258">
    <w:abstractNumId w:val="15"/>
  </w:num>
  <w:num w:numId="40" w16cid:durableId="1487236576">
    <w:abstractNumId w:val="15"/>
  </w:num>
  <w:num w:numId="41" w16cid:durableId="150123597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en-AU" w:vendorID="64" w:dllVersion="0" w:nlCheck="1" w:checkStyle="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2B6"/>
    <w:rsid w:val="0000137A"/>
    <w:rsid w:val="00001DA8"/>
    <w:rsid w:val="000020C1"/>
    <w:rsid w:val="0000438D"/>
    <w:rsid w:val="000068FD"/>
    <w:rsid w:val="00010F66"/>
    <w:rsid w:val="0001399E"/>
    <w:rsid w:val="00014F46"/>
    <w:rsid w:val="000150B3"/>
    <w:rsid w:val="00017E35"/>
    <w:rsid w:val="0002009F"/>
    <w:rsid w:val="0002080A"/>
    <w:rsid w:val="00021697"/>
    <w:rsid w:val="000230A7"/>
    <w:rsid w:val="00023242"/>
    <w:rsid w:val="00025F4D"/>
    <w:rsid w:val="0002782F"/>
    <w:rsid w:val="00031CD0"/>
    <w:rsid w:val="0003444F"/>
    <w:rsid w:val="00035BBF"/>
    <w:rsid w:val="00037CC2"/>
    <w:rsid w:val="00037DCA"/>
    <w:rsid w:val="0004004E"/>
    <w:rsid w:val="0004188D"/>
    <w:rsid w:val="00050806"/>
    <w:rsid w:val="000546D9"/>
    <w:rsid w:val="00054E4D"/>
    <w:rsid w:val="00056B93"/>
    <w:rsid w:val="00057CCC"/>
    <w:rsid w:val="00060073"/>
    <w:rsid w:val="000616C6"/>
    <w:rsid w:val="00062BFA"/>
    <w:rsid w:val="000654FD"/>
    <w:rsid w:val="00070B72"/>
    <w:rsid w:val="000718A5"/>
    <w:rsid w:val="00071FD4"/>
    <w:rsid w:val="00072A79"/>
    <w:rsid w:val="00072F91"/>
    <w:rsid w:val="0007747F"/>
    <w:rsid w:val="00080B77"/>
    <w:rsid w:val="00081ECD"/>
    <w:rsid w:val="00083D20"/>
    <w:rsid w:val="000854FD"/>
    <w:rsid w:val="00086748"/>
    <w:rsid w:val="000867EC"/>
    <w:rsid w:val="00092014"/>
    <w:rsid w:val="00092C13"/>
    <w:rsid w:val="000947D9"/>
    <w:rsid w:val="000970C1"/>
    <w:rsid w:val="000A0860"/>
    <w:rsid w:val="000A2733"/>
    <w:rsid w:val="000A2AE3"/>
    <w:rsid w:val="000A2D46"/>
    <w:rsid w:val="000A422D"/>
    <w:rsid w:val="000A604C"/>
    <w:rsid w:val="000A6B7C"/>
    <w:rsid w:val="000A73FF"/>
    <w:rsid w:val="000B056F"/>
    <w:rsid w:val="000B2C38"/>
    <w:rsid w:val="000B2D13"/>
    <w:rsid w:val="000B37F5"/>
    <w:rsid w:val="000B47BC"/>
    <w:rsid w:val="000B7977"/>
    <w:rsid w:val="000C163F"/>
    <w:rsid w:val="000C2DD9"/>
    <w:rsid w:val="000C462B"/>
    <w:rsid w:val="000C5933"/>
    <w:rsid w:val="000C5A3F"/>
    <w:rsid w:val="000C678E"/>
    <w:rsid w:val="000C6D60"/>
    <w:rsid w:val="000C7DE2"/>
    <w:rsid w:val="000D2959"/>
    <w:rsid w:val="000D4F52"/>
    <w:rsid w:val="000D65A1"/>
    <w:rsid w:val="000D666F"/>
    <w:rsid w:val="000D66D6"/>
    <w:rsid w:val="000D7CDB"/>
    <w:rsid w:val="000E0DF6"/>
    <w:rsid w:val="000E3B5C"/>
    <w:rsid w:val="000F0116"/>
    <w:rsid w:val="000F4A16"/>
    <w:rsid w:val="000F7FD5"/>
    <w:rsid w:val="001004DA"/>
    <w:rsid w:val="00100D26"/>
    <w:rsid w:val="0010231F"/>
    <w:rsid w:val="001030EC"/>
    <w:rsid w:val="00103A16"/>
    <w:rsid w:val="00105FF8"/>
    <w:rsid w:val="00112E54"/>
    <w:rsid w:val="00113288"/>
    <w:rsid w:val="001214BE"/>
    <w:rsid w:val="00122B3C"/>
    <w:rsid w:val="00123F2B"/>
    <w:rsid w:val="00124B7C"/>
    <w:rsid w:val="001264DC"/>
    <w:rsid w:val="0013101C"/>
    <w:rsid w:val="00132685"/>
    <w:rsid w:val="00133AE2"/>
    <w:rsid w:val="00135CA4"/>
    <w:rsid w:val="0013725A"/>
    <w:rsid w:val="0014281B"/>
    <w:rsid w:val="00145303"/>
    <w:rsid w:val="001461D6"/>
    <w:rsid w:val="001464D1"/>
    <w:rsid w:val="00150A0B"/>
    <w:rsid w:val="00151A57"/>
    <w:rsid w:val="001541EA"/>
    <w:rsid w:val="0015772E"/>
    <w:rsid w:val="0017009B"/>
    <w:rsid w:val="001767DA"/>
    <w:rsid w:val="001909D9"/>
    <w:rsid w:val="00191EED"/>
    <w:rsid w:val="001936B3"/>
    <w:rsid w:val="00196958"/>
    <w:rsid w:val="001A0D31"/>
    <w:rsid w:val="001A1756"/>
    <w:rsid w:val="001A1F11"/>
    <w:rsid w:val="001A5FE2"/>
    <w:rsid w:val="001B2D02"/>
    <w:rsid w:val="001B3205"/>
    <w:rsid w:val="001B5C54"/>
    <w:rsid w:val="001B5DC7"/>
    <w:rsid w:val="001B5F22"/>
    <w:rsid w:val="001B7EBD"/>
    <w:rsid w:val="001C1DFE"/>
    <w:rsid w:val="001C2B8F"/>
    <w:rsid w:val="001C3E87"/>
    <w:rsid w:val="001C531A"/>
    <w:rsid w:val="001D01B1"/>
    <w:rsid w:val="001D0FFE"/>
    <w:rsid w:val="001D3380"/>
    <w:rsid w:val="001D5370"/>
    <w:rsid w:val="001D5608"/>
    <w:rsid w:val="001D61FB"/>
    <w:rsid w:val="001D663E"/>
    <w:rsid w:val="001D711D"/>
    <w:rsid w:val="001E1DC0"/>
    <w:rsid w:val="001E3A53"/>
    <w:rsid w:val="001E53E0"/>
    <w:rsid w:val="001F24EF"/>
    <w:rsid w:val="001F4AB5"/>
    <w:rsid w:val="001F77F0"/>
    <w:rsid w:val="002000DC"/>
    <w:rsid w:val="00200504"/>
    <w:rsid w:val="002030B8"/>
    <w:rsid w:val="00203277"/>
    <w:rsid w:val="002058C2"/>
    <w:rsid w:val="00205A89"/>
    <w:rsid w:val="00205B2E"/>
    <w:rsid w:val="00206107"/>
    <w:rsid w:val="00206AE7"/>
    <w:rsid w:val="00210A8B"/>
    <w:rsid w:val="00211638"/>
    <w:rsid w:val="00217F1C"/>
    <w:rsid w:val="00220497"/>
    <w:rsid w:val="002204E4"/>
    <w:rsid w:val="00222E8A"/>
    <w:rsid w:val="0022382B"/>
    <w:rsid w:val="00224A3C"/>
    <w:rsid w:val="00226D2C"/>
    <w:rsid w:val="00226FC7"/>
    <w:rsid w:val="002323E3"/>
    <w:rsid w:val="00232521"/>
    <w:rsid w:val="0023431F"/>
    <w:rsid w:val="002366F0"/>
    <w:rsid w:val="0024011B"/>
    <w:rsid w:val="00240B7E"/>
    <w:rsid w:val="002413F7"/>
    <w:rsid w:val="00241CC2"/>
    <w:rsid w:val="00242034"/>
    <w:rsid w:val="00242AAD"/>
    <w:rsid w:val="002505E7"/>
    <w:rsid w:val="00252C04"/>
    <w:rsid w:val="00255C0F"/>
    <w:rsid w:val="00256A63"/>
    <w:rsid w:val="00261822"/>
    <w:rsid w:val="00263DF3"/>
    <w:rsid w:val="002646CD"/>
    <w:rsid w:val="002674BF"/>
    <w:rsid w:val="002675D1"/>
    <w:rsid w:val="00275256"/>
    <w:rsid w:val="002770D8"/>
    <w:rsid w:val="00280C1A"/>
    <w:rsid w:val="00280ED0"/>
    <w:rsid w:val="00281015"/>
    <w:rsid w:val="00283B7F"/>
    <w:rsid w:val="00285639"/>
    <w:rsid w:val="00285804"/>
    <w:rsid w:val="0028584B"/>
    <w:rsid w:val="0028602A"/>
    <w:rsid w:val="00292F72"/>
    <w:rsid w:val="002935A2"/>
    <w:rsid w:val="0029757B"/>
    <w:rsid w:val="002A2C92"/>
    <w:rsid w:val="002A3BC1"/>
    <w:rsid w:val="002A3D1C"/>
    <w:rsid w:val="002A3E69"/>
    <w:rsid w:val="002A68CE"/>
    <w:rsid w:val="002B202A"/>
    <w:rsid w:val="002B39D6"/>
    <w:rsid w:val="002B5E10"/>
    <w:rsid w:val="002B66FC"/>
    <w:rsid w:val="002C2C35"/>
    <w:rsid w:val="002C4134"/>
    <w:rsid w:val="002C6297"/>
    <w:rsid w:val="002C6C15"/>
    <w:rsid w:val="002C793D"/>
    <w:rsid w:val="002D380E"/>
    <w:rsid w:val="002D5B25"/>
    <w:rsid w:val="002D61F6"/>
    <w:rsid w:val="002E0F2F"/>
    <w:rsid w:val="002E323B"/>
    <w:rsid w:val="002E364C"/>
    <w:rsid w:val="002E4360"/>
    <w:rsid w:val="002E5389"/>
    <w:rsid w:val="002F4F2B"/>
    <w:rsid w:val="003002C0"/>
    <w:rsid w:val="00301144"/>
    <w:rsid w:val="003022F0"/>
    <w:rsid w:val="003031C6"/>
    <w:rsid w:val="00304984"/>
    <w:rsid w:val="003103B1"/>
    <w:rsid w:val="003128B1"/>
    <w:rsid w:val="00312BF8"/>
    <w:rsid w:val="003148B7"/>
    <w:rsid w:val="00315594"/>
    <w:rsid w:val="00315705"/>
    <w:rsid w:val="003158C3"/>
    <w:rsid w:val="00315B55"/>
    <w:rsid w:val="00316D85"/>
    <w:rsid w:val="0032024B"/>
    <w:rsid w:val="00321323"/>
    <w:rsid w:val="00325A2E"/>
    <w:rsid w:val="0032682B"/>
    <w:rsid w:val="003274CD"/>
    <w:rsid w:val="00327D49"/>
    <w:rsid w:val="003301BC"/>
    <w:rsid w:val="003303ED"/>
    <w:rsid w:val="003304A0"/>
    <w:rsid w:val="00333501"/>
    <w:rsid w:val="00333859"/>
    <w:rsid w:val="00334921"/>
    <w:rsid w:val="00334DB5"/>
    <w:rsid w:val="00340E80"/>
    <w:rsid w:val="0034209F"/>
    <w:rsid w:val="00343C26"/>
    <w:rsid w:val="003457C4"/>
    <w:rsid w:val="003460A7"/>
    <w:rsid w:val="0034796C"/>
    <w:rsid w:val="003503F7"/>
    <w:rsid w:val="0035044C"/>
    <w:rsid w:val="0035119A"/>
    <w:rsid w:val="0035119D"/>
    <w:rsid w:val="00355B2B"/>
    <w:rsid w:val="00356C0E"/>
    <w:rsid w:val="00362893"/>
    <w:rsid w:val="00364A9D"/>
    <w:rsid w:val="00365543"/>
    <w:rsid w:val="003657C3"/>
    <w:rsid w:val="003660DC"/>
    <w:rsid w:val="00370B6B"/>
    <w:rsid w:val="00377148"/>
    <w:rsid w:val="00384150"/>
    <w:rsid w:val="00384D28"/>
    <w:rsid w:val="00384D40"/>
    <w:rsid w:val="0039344A"/>
    <w:rsid w:val="00395163"/>
    <w:rsid w:val="003969BF"/>
    <w:rsid w:val="003A068D"/>
    <w:rsid w:val="003A117F"/>
    <w:rsid w:val="003A1E9D"/>
    <w:rsid w:val="003A7B6D"/>
    <w:rsid w:val="003B466D"/>
    <w:rsid w:val="003B4F12"/>
    <w:rsid w:val="003C1B49"/>
    <w:rsid w:val="003C75AD"/>
    <w:rsid w:val="003C7A49"/>
    <w:rsid w:val="003D23DA"/>
    <w:rsid w:val="003D3CDF"/>
    <w:rsid w:val="003D3F9B"/>
    <w:rsid w:val="003D648E"/>
    <w:rsid w:val="003D7577"/>
    <w:rsid w:val="003D7B90"/>
    <w:rsid w:val="003E116C"/>
    <w:rsid w:val="003E30BE"/>
    <w:rsid w:val="003F2041"/>
    <w:rsid w:val="003F2A67"/>
    <w:rsid w:val="003F3082"/>
    <w:rsid w:val="00400286"/>
    <w:rsid w:val="00402ACC"/>
    <w:rsid w:val="00403122"/>
    <w:rsid w:val="0041065E"/>
    <w:rsid w:val="004120EC"/>
    <w:rsid w:val="00412462"/>
    <w:rsid w:val="004129E0"/>
    <w:rsid w:val="00415876"/>
    <w:rsid w:val="00416715"/>
    <w:rsid w:val="00420F03"/>
    <w:rsid w:val="00422DAB"/>
    <w:rsid w:val="00423B93"/>
    <w:rsid w:val="00423F31"/>
    <w:rsid w:val="004258E5"/>
    <w:rsid w:val="00425CEB"/>
    <w:rsid w:val="00430B7D"/>
    <w:rsid w:val="00431899"/>
    <w:rsid w:val="00432C50"/>
    <w:rsid w:val="0043350B"/>
    <w:rsid w:val="004353D3"/>
    <w:rsid w:val="004406B5"/>
    <w:rsid w:val="00441A1E"/>
    <w:rsid w:val="00442055"/>
    <w:rsid w:val="00442126"/>
    <w:rsid w:val="004433DA"/>
    <w:rsid w:val="00446343"/>
    <w:rsid w:val="0044682D"/>
    <w:rsid w:val="00447FBF"/>
    <w:rsid w:val="00450975"/>
    <w:rsid w:val="00456AE4"/>
    <w:rsid w:val="00456BE8"/>
    <w:rsid w:val="004605DB"/>
    <w:rsid w:val="00460AAF"/>
    <w:rsid w:val="00461BB3"/>
    <w:rsid w:val="00463942"/>
    <w:rsid w:val="00467852"/>
    <w:rsid w:val="00471237"/>
    <w:rsid w:val="00473AEA"/>
    <w:rsid w:val="00482AE8"/>
    <w:rsid w:val="0048492D"/>
    <w:rsid w:val="00486804"/>
    <w:rsid w:val="0049065B"/>
    <w:rsid w:val="00491D24"/>
    <w:rsid w:val="00491E77"/>
    <w:rsid w:val="0049394D"/>
    <w:rsid w:val="004939C4"/>
    <w:rsid w:val="00496EF7"/>
    <w:rsid w:val="004974DC"/>
    <w:rsid w:val="004A37B2"/>
    <w:rsid w:val="004B3775"/>
    <w:rsid w:val="004B472B"/>
    <w:rsid w:val="004C1CB5"/>
    <w:rsid w:val="004C2341"/>
    <w:rsid w:val="004C6342"/>
    <w:rsid w:val="004C7280"/>
    <w:rsid w:val="004C7FCB"/>
    <w:rsid w:val="004D0BA0"/>
    <w:rsid w:val="004D1BD4"/>
    <w:rsid w:val="004D62F9"/>
    <w:rsid w:val="004E058F"/>
    <w:rsid w:val="004E0C6E"/>
    <w:rsid w:val="004E1AC6"/>
    <w:rsid w:val="004E3B87"/>
    <w:rsid w:val="004E5EEC"/>
    <w:rsid w:val="004F006E"/>
    <w:rsid w:val="004F651A"/>
    <w:rsid w:val="00500256"/>
    <w:rsid w:val="00500FB9"/>
    <w:rsid w:val="0050275D"/>
    <w:rsid w:val="00505AEB"/>
    <w:rsid w:val="00505E6B"/>
    <w:rsid w:val="00506A03"/>
    <w:rsid w:val="00510921"/>
    <w:rsid w:val="00510AD3"/>
    <w:rsid w:val="00511049"/>
    <w:rsid w:val="005118E5"/>
    <w:rsid w:val="00512670"/>
    <w:rsid w:val="005127CD"/>
    <w:rsid w:val="00513348"/>
    <w:rsid w:val="00513497"/>
    <w:rsid w:val="00513AD8"/>
    <w:rsid w:val="0051474F"/>
    <w:rsid w:val="00516300"/>
    <w:rsid w:val="00520350"/>
    <w:rsid w:val="005204D2"/>
    <w:rsid w:val="005212D7"/>
    <w:rsid w:val="005213EE"/>
    <w:rsid w:val="00522396"/>
    <w:rsid w:val="00527431"/>
    <w:rsid w:val="005278ED"/>
    <w:rsid w:val="00527F03"/>
    <w:rsid w:val="005307C9"/>
    <w:rsid w:val="00533B5D"/>
    <w:rsid w:val="00535824"/>
    <w:rsid w:val="0053640B"/>
    <w:rsid w:val="005368F2"/>
    <w:rsid w:val="00537ABD"/>
    <w:rsid w:val="00537DA3"/>
    <w:rsid w:val="0054276C"/>
    <w:rsid w:val="0054282C"/>
    <w:rsid w:val="00547DE4"/>
    <w:rsid w:val="0055171E"/>
    <w:rsid w:val="00552E76"/>
    <w:rsid w:val="00553833"/>
    <w:rsid w:val="00561ABA"/>
    <w:rsid w:val="00565E96"/>
    <w:rsid w:val="00574E95"/>
    <w:rsid w:val="00575095"/>
    <w:rsid w:val="00575D71"/>
    <w:rsid w:val="005815D0"/>
    <w:rsid w:val="00581A23"/>
    <w:rsid w:val="005841DF"/>
    <w:rsid w:val="00585524"/>
    <w:rsid w:val="00590710"/>
    <w:rsid w:val="00590D96"/>
    <w:rsid w:val="00590EB1"/>
    <w:rsid w:val="00597F07"/>
    <w:rsid w:val="005A1CA2"/>
    <w:rsid w:val="005A20F6"/>
    <w:rsid w:val="005A434F"/>
    <w:rsid w:val="005B242D"/>
    <w:rsid w:val="005B55E8"/>
    <w:rsid w:val="005B71E9"/>
    <w:rsid w:val="005C0E7F"/>
    <w:rsid w:val="005C14A8"/>
    <w:rsid w:val="005C37D3"/>
    <w:rsid w:val="005D3655"/>
    <w:rsid w:val="005D62B6"/>
    <w:rsid w:val="005D664F"/>
    <w:rsid w:val="005E08B8"/>
    <w:rsid w:val="005E2904"/>
    <w:rsid w:val="005E3719"/>
    <w:rsid w:val="005E4830"/>
    <w:rsid w:val="005F3786"/>
    <w:rsid w:val="005F3975"/>
    <w:rsid w:val="005F3B93"/>
    <w:rsid w:val="005F75FF"/>
    <w:rsid w:val="00604A55"/>
    <w:rsid w:val="006060C8"/>
    <w:rsid w:val="00606D01"/>
    <w:rsid w:val="00611FA4"/>
    <w:rsid w:val="00612ACC"/>
    <w:rsid w:val="0061714A"/>
    <w:rsid w:val="00620022"/>
    <w:rsid w:val="00620207"/>
    <w:rsid w:val="006208C2"/>
    <w:rsid w:val="006225E3"/>
    <w:rsid w:val="00622B86"/>
    <w:rsid w:val="00623BA1"/>
    <w:rsid w:val="006240D5"/>
    <w:rsid w:val="0062468A"/>
    <w:rsid w:val="006254E3"/>
    <w:rsid w:val="00630880"/>
    <w:rsid w:val="00631423"/>
    <w:rsid w:val="00631F9E"/>
    <w:rsid w:val="006335CE"/>
    <w:rsid w:val="00633AB9"/>
    <w:rsid w:val="006346BC"/>
    <w:rsid w:val="00635DF1"/>
    <w:rsid w:val="0064029D"/>
    <w:rsid w:val="006405BD"/>
    <w:rsid w:val="00640B5D"/>
    <w:rsid w:val="00640F4E"/>
    <w:rsid w:val="006431CE"/>
    <w:rsid w:val="0064369E"/>
    <w:rsid w:val="00663F35"/>
    <w:rsid w:val="0066652A"/>
    <w:rsid w:val="006702EC"/>
    <w:rsid w:val="006711A2"/>
    <w:rsid w:val="006719C3"/>
    <w:rsid w:val="00673612"/>
    <w:rsid w:val="00675CFC"/>
    <w:rsid w:val="00680522"/>
    <w:rsid w:val="00680540"/>
    <w:rsid w:val="00680684"/>
    <w:rsid w:val="0068083B"/>
    <w:rsid w:val="00682167"/>
    <w:rsid w:val="00682E11"/>
    <w:rsid w:val="00694E66"/>
    <w:rsid w:val="00694F37"/>
    <w:rsid w:val="006979E6"/>
    <w:rsid w:val="006A109C"/>
    <w:rsid w:val="006A5069"/>
    <w:rsid w:val="006A5E1A"/>
    <w:rsid w:val="006A77D7"/>
    <w:rsid w:val="006B22A7"/>
    <w:rsid w:val="006B3B3B"/>
    <w:rsid w:val="006B4222"/>
    <w:rsid w:val="006B527B"/>
    <w:rsid w:val="006B628F"/>
    <w:rsid w:val="006C42AF"/>
    <w:rsid w:val="006D0744"/>
    <w:rsid w:val="006D1923"/>
    <w:rsid w:val="006D19A2"/>
    <w:rsid w:val="006D19E4"/>
    <w:rsid w:val="006D68D3"/>
    <w:rsid w:val="006E0F47"/>
    <w:rsid w:val="006E1DAE"/>
    <w:rsid w:val="006E2F94"/>
    <w:rsid w:val="006E6CD3"/>
    <w:rsid w:val="006E6F9E"/>
    <w:rsid w:val="006F3EA1"/>
    <w:rsid w:val="00702687"/>
    <w:rsid w:val="007043E2"/>
    <w:rsid w:val="007064D2"/>
    <w:rsid w:val="00711D8E"/>
    <w:rsid w:val="00712672"/>
    <w:rsid w:val="007134E7"/>
    <w:rsid w:val="00714496"/>
    <w:rsid w:val="007155C1"/>
    <w:rsid w:val="00717F1A"/>
    <w:rsid w:val="007206CF"/>
    <w:rsid w:val="00720DE7"/>
    <w:rsid w:val="007264DF"/>
    <w:rsid w:val="007300BF"/>
    <w:rsid w:val="007319BB"/>
    <w:rsid w:val="00732D54"/>
    <w:rsid w:val="00732E57"/>
    <w:rsid w:val="007338FC"/>
    <w:rsid w:val="00733C7F"/>
    <w:rsid w:val="00734E3F"/>
    <w:rsid w:val="00735681"/>
    <w:rsid w:val="00736956"/>
    <w:rsid w:val="00736985"/>
    <w:rsid w:val="00740640"/>
    <w:rsid w:val="00745DF5"/>
    <w:rsid w:val="0074648D"/>
    <w:rsid w:val="0074655F"/>
    <w:rsid w:val="00753C93"/>
    <w:rsid w:val="00755B3D"/>
    <w:rsid w:val="0076250F"/>
    <w:rsid w:val="007636F1"/>
    <w:rsid w:val="00764DCC"/>
    <w:rsid w:val="007700DD"/>
    <w:rsid w:val="007706B8"/>
    <w:rsid w:val="007717D7"/>
    <w:rsid w:val="00774A1F"/>
    <w:rsid w:val="00774EE4"/>
    <w:rsid w:val="00776B82"/>
    <w:rsid w:val="00780FA5"/>
    <w:rsid w:val="00784ED6"/>
    <w:rsid w:val="00785431"/>
    <w:rsid w:val="00791E1E"/>
    <w:rsid w:val="007927D4"/>
    <w:rsid w:val="007A0470"/>
    <w:rsid w:val="007A0BE8"/>
    <w:rsid w:val="007A4F10"/>
    <w:rsid w:val="007A58B8"/>
    <w:rsid w:val="007A6A3A"/>
    <w:rsid w:val="007A73DE"/>
    <w:rsid w:val="007B1FCB"/>
    <w:rsid w:val="007B3226"/>
    <w:rsid w:val="007B6200"/>
    <w:rsid w:val="007B7115"/>
    <w:rsid w:val="007C16FD"/>
    <w:rsid w:val="007C3443"/>
    <w:rsid w:val="007D0C6F"/>
    <w:rsid w:val="007D3795"/>
    <w:rsid w:val="007D3D2D"/>
    <w:rsid w:val="007D5D1B"/>
    <w:rsid w:val="007D772F"/>
    <w:rsid w:val="007E1120"/>
    <w:rsid w:val="007E25A3"/>
    <w:rsid w:val="007E43A3"/>
    <w:rsid w:val="007E4582"/>
    <w:rsid w:val="007E7DCC"/>
    <w:rsid w:val="007F0577"/>
    <w:rsid w:val="007F0ED2"/>
    <w:rsid w:val="007F15E2"/>
    <w:rsid w:val="007F1752"/>
    <w:rsid w:val="007F1BB5"/>
    <w:rsid w:val="007F28AA"/>
    <w:rsid w:val="007F3395"/>
    <w:rsid w:val="007F3DAE"/>
    <w:rsid w:val="007F42D7"/>
    <w:rsid w:val="007F4BE2"/>
    <w:rsid w:val="00801048"/>
    <w:rsid w:val="008019DA"/>
    <w:rsid w:val="00801B9F"/>
    <w:rsid w:val="00801BA8"/>
    <w:rsid w:val="0080204D"/>
    <w:rsid w:val="008056D7"/>
    <w:rsid w:val="00805B7D"/>
    <w:rsid w:val="00805B9C"/>
    <w:rsid w:val="008160D1"/>
    <w:rsid w:val="0082779B"/>
    <w:rsid w:val="0083052F"/>
    <w:rsid w:val="00830EA9"/>
    <w:rsid w:val="008312BC"/>
    <w:rsid w:val="008312E9"/>
    <w:rsid w:val="0083169A"/>
    <w:rsid w:val="00831D7B"/>
    <w:rsid w:val="00834EEF"/>
    <w:rsid w:val="00835D27"/>
    <w:rsid w:val="00836D43"/>
    <w:rsid w:val="008409CE"/>
    <w:rsid w:val="00842D32"/>
    <w:rsid w:val="008475F0"/>
    <w:rsid w:val="00847C3F"/>
    <w:rsid w:val="00847D29"/>
    <w:rsid w:val="00850079"/>
    <w:rsid w:val="0085322F"/>
    <w:rsid w:val="008557A7"/>
    <w:rsid w:val="008568D6"/>
    <w:rsid w:val="00856989"/>
    <w:rsid w:val="00867A67"/>
    <w:rsid w:val="00870928"/>
    <w:rsid w:val="008764C1"/>
    <w:rsid w:val="00885A62"/>
    <w:rsid w:val="0088788B"/>
    <w:rsid w:val="00887E16"/>
    <w:rsid w:val="008904B0"/>
    <w:rsid w:val="00892011"/>
    <w:rsid w:val="0089272D"/>
    <w:rsid w:val="008929EA"/>
    <w:rsid w:val="00893730"/>
    <w:rsid w:val="0089405C"/>
    <w:rsid w:val="00897FA2"/>
    <w:rsid w:val="008A14D7"/>
    <w:rsid w:val="008A16AB"/>
    <w:rsid w:val="008A27E5"/>
    <w:rsid w:val="008A2F3B"/>
    <w:rsid w:val="008A30B3"/>
    <w:rsid w:val="008A433C"/>
    <w:rsid w:val="008A5AFE"/>
    <w:rsid w:val="008B088E"/>
    <w:rsid w:val="008B1F20"/>
    <w:rsid w:val="008B2977"/>
    <w:rsid w:val="008B3A5F"/>
    <w:rsid w:val="008C35BB"/>
    <w:rsid w:val="008C5A0E"/>
    <w:rsid w:val="008C6063"/>
    <w:rsid w:val="008D2E02"/>
    <w:rsid w:val="008D36A3"/>
    <w:rsid w:val="008D4730"/>
    <w:rsid w:val="008D6DDB"/>
    <w:rsid w:val="008E01A9"/>
    <w:rsid w:val="008E0BCE"/>
    <w:rsid w:val="008E17CB"/>
    <w:rsid w:val="008E3978"/>
    <w:rsid w:val="008E4DB9"/>
    <w:rsid w:val="008E553D"/>
    <w:rsid w:val="008F0A2E"/>
    <w:rsid w:val="008F101D"/>
    <w:rsid w:val="008F4086"/>
    <w:rsid w:val="0090121E"/>
    <w:rsid w:val="00901376"/>
    <w:rsid w:val="009057C1"/>
    <w:rsid w:val="009158D1"/>
    <w:rsid w:val="00915D4E"/>
    <w:rsid w:val="00916491"/>
    <w:rsid w:val="00917248"/>
    <w:rsid w:val="00922AFC"/>
    <w:rsid w:val="00925A11"/>
    <w:rsid w:val="009339BD"/>
    <w:rsid w:val="00934018"/>
    <w:rsid w:val="009345A8"/>
    <w:rsid w:val="0093774C"/>
    <w:rsid w:val="00943730"/>
    <w:rsid w:val="00945594"/>
    <w:rsid w:val="009501D0"/>
    <w:rsid w:val="00950EC3"/>
    <w:rsid w:val="00952765"/>
    <w:rsid w:val="009565CD"/>
    <w:rsid w:val="00961E72"/>
    <w:rsid w:val="009630A4"/>
    <w:rsid w:val="00964250"/>
    <w:rsid w:val="009713B6"/>
    <w:rsid w:val="009725F5"/>
    <w:rsid w:val="009740E0"/>
    <w:rsid w:val="00975CA5"/>
    <w:rsid w:val="0098015F"/>
    <w:rsid w:val="00981CBC"/>
    <w:rsid w:val="00982375"/>
    <w:rsid w:val="00983AED"/>
    <w:rsid w:val="00984324"/>
    <w:rsid w:val="00985C67"/>
    <w:rsid w:val="00986590"/>
    <w:rsid w:val="009866E6"/>
    <w:rsid w:val="009876E6"/>
    <w:rsid w:val="00992BA6"/>
    <w:rsid w:val="00992C76"/>
    <w:rsid w:val="0099308E"/>
    <w:rsid w:val="00993423"/>
    <w:rsid w:val="00995531"/>
    <w:rsid w:val="009969D6"/>
    <w:rsid w:val="00997191"/>
    <w:rsid w:val="009974EE"/>
    <w:rsid w:val="009A0B7A"/>
    <w:rsid w:val="009A2DF0"/>
    <w:rsid w:val="009A3774"/>
    <w:rsid w:val="009A38B1"/>
    <w:rsid w:val="009A3DD2"/>
    <w:rsid w:val="009A5CC5"/>
    <w:rsid w:val="009B41FC"/>
    <w:rsid w:val="009B477D"/>
    <w:rsid w:val="009B4D3B"/>
    <w:rsid w:val="009B554D"/>
    <w:rsid w:val="009B606B"/>
    <w:rsid w:val="009B6424"/>
    <w:rsid w:val="009B7942"/>
    <w:rsid w:val="009C1DF2"/>
    <w:rsid w:val="009C4BF6"/>
    <w:rsid w:val="009C5526"/>
    <w:rsid w:val="009C6111"/>
    <w:rsid w:val="009C689C"/>
    <w:rsid w:val="009C747E"/>
    <w:rsid w:val="009C75AD"/>
    <w:rsid w:val="009D210A"/>
    <w:rsid w:val="009D2D89"/>
    <w:rsid w:val="009D2F38"/>
    <w:rsid w:val="009D50DA"/>
    <w:rsid w:val="009D5903"/>
    <w:rsid w:val="009D67A5"/>
    <w:rsid w:val="009D7407"/>
    <w:rsid w:val="009D753C"/>
    <w:rsid w:val="009E0866"/>
    <w:rsid w:val="009E273C"/>
    <w:rsid w:val="009E27B5"/>
    <w:rsid w:val="009E3383"/>
    <w:rsid w:val="009E3B44"/>
    <w:rsid w:val="009E4166"/>
    <w:rsid w:val="009E6850"/>
    <w:rsid w:val="009F1350"/>
    <w:rsid w:val="009F25DD"/>
    <w:rsid w:val="009F314B"/>
    <w:rsid w:val="009F3285"/>
    <w:rsid w:val="009F5386"/>
    <w:rsid w:val="009F6423"/>
    <w:rsid w:val="009F7565"/>
    <w:rsid w:val="009F7965"/>
    <w:rsid w:val="00A0090E"/>
    <w:rsid w:val="00A050E2"/>
    <w:rsid w:val="00A10162"/>
    <w:rsid w:val="00A109AE"/>
    <w:rsid w:val="00A13C12"/>
    <w:rsid w:val="00A175B3"/>
    <w:rsid w:val="00A211CC"/>
    <w:rsid w:val="00A249E3"/>
    <w:rsid w:val="00A24A62"/>
    <w:rsid w:val="00A259A1"/>
    <w:rsid w:val="00A25B41"/>
    <w:rsid w:val="00A31C9F"/>
    <w:rsid w:val="00A3337F"/>
    <w:rsid w:val="00A36273"/>
    <w:rsid w:val="00A4144F"/>
    <w:rsid w:val="00A437B0"/>
    <w:rsid w:val="00A45F51"/>
    <w:rsid w:val="00A52A75"/>
    <w:rsid w:val="00A52F06"/>
    <w:rsid w:val="00A56308"/>
    <w:rsid w:val="00A61B4D"/>
    <w:rsid w:val="00A63834"/>
    <w:rsid w:val="00A70494"/>
    <w:rsid w:val="00A717FD"/>
    <w:rsid w:val="00A723B1"/>
    <w:rsid w:val="00A72D20"/>
    <w:rsid w:val="00A80F95"/>
    <w:rsid w:val="00A84DFC"/>
    <w:rsid w:val="00A86B1E"/>
    <w:rsid w:val="00A91795"/>
    <w:rsid w:val="00A92BD1"/>
    <w:rsid w:val="00A952B0"/>
    <w:rsid w:val="00A97BF1"/>
    <w:rsid w:val="00AA1A50"/>
    <w:rsid w:val="00AA298A"/>
    <w:rsid w:val="00AA2F0F"/>
    <w:rsid w:val="00AA315B"/>
    <w:rsid w:val="00AA6AEC"/>
    <w:rsid w:val="00AA71A4"/>
    <w:rsid w:val="00AB05F0"/>
    <w:rsid w:val="00AB0674"/>
    <w:rsid w:val="00AB0C2D"/>
    <w:rsid w:val="00AB2477"/>
    <w:rsid w:val="00AB47A4"/>
    <w:rsid w:val="00AB4E7D"/>
    <w:rsid w:val="00AB4EA2"/>
    <w:rsid w:val="00AB63D8"/>
    <w:rsid w:val="00AC164A"/>
    <w:rsid w:val="00AC4C00"/>
    <w:rsid w:val="00AC59B2"/>
    <w:rsid w:val="00AD0025"/>
    <w:rsid w:val="00AD1214"/>
    <w:rsid w:val="00AD1A0A"/>
    <w:rsid w:val="00AD7314"/>
    <w:rsid w:val="00AE0851"/>
    <w:rsid w:val="00AE32BB"/>
    <w:rsid w:val="00AE448A"/>
    <w:rsid w:val="00AE5D3B"/>
    <w:rsid w:val="00AE5EC1"/>
    <w:rsid w:val="00AF2050"/>
    <w:rsid w:val="00AF3921"/>
    <w:rsid w:val="00B0086E"/>
    <w:rsid w:val="00B021A0"/>
    <w:rsid w:val="00B02C1E"/>
    <w:rsid w:val="00B02EC5"/>
    <w:rsid w:val="00B03CA8"/>
    <w:rsid w:val="00B06101"/>
    <w:rsid w:val="00B06227"/>
    <w:rsid w:val="00B0740E"/>
    <w:rsid w:val="00B0764B"/>
    <w:rsid w:val="00B14B39"/>
    <w:rsid w:val="00B152EC"/>
    <w:rsid w:val="00B15803"/>
    <w:rsid w:val="00B172C7"/>
    <w:rsid w:val="00B217D0"/>
    <w:rsid w:val="00B24AC5"/>
    <w:rsid w:val="00B2588B"/>
    <w:rsid w:val="00B27690"/>
    <w:rsid w:val="00B303E5"/>
    <w:rsid w:val="00B30F2B"/>
    <w:rsid w:val="00B31CF0"/>
    <w:rsid w:val="00B32662"/>
    <w:rsid w:val="00B33680"/>
    <w:rsid w:val="00B33C0A"/>
    <w:rsid w:val="00B3411B"/>
    <w:rsid w:val="00B34F9E"/>
    <w:rsid w:val="00B4025C"/>
    <w:rsid w:val="00B4049D"/>
    <w:rsid w:val="00B40DB8"/>
    <w:rsid w:val="00B43CC1"/>
    <w:rsid w:val="00B47933"/>
    <w:rsid w:val="00B47CB4"/>
    <w:rsid w:val="00B50E97"/>
    <w:rsid w:val="00B52A76"/>
    <w:rsid w:val="00B52B08"/>
    <w:rsid w:val="00B52EA1"/>
    <w:rsid w:val="00B53822"/>
    <w:rsid w:val="00B53A77"/>
    <w:rsid w:val="00B55E19"/>
    <w:rsid w:val="00B55FEE"/>
    <w:rsid w:val="00B57456"/>
    <w:rsid w:val="00B57700"/>
    <w:rsid w:val="00B60BD4"/>
    <w:rsid w:val="00B615C6"/>
    <w:rsid w:val="00B643A4"/>
    <w:rsid w:val="00B6445B"/>
    <w:rsid w:val="00B674E1"/>
    <w:rsid w:val="00B73B7F"/>
    <w:rsid w:val="00B744D9"/>
    <w:rsid w:val="00B748BB"/>
    <w:rsid w:val="00B8191D"/>
    <w:rsid w:val="00B82629"/>
    <w:rsid w:val="00B8266B"/>
    <w:rsid w:val="00B82C5C"/>
    <w:rsid w:val="00B838E9"/>
    <w:rsid w:val="00B85FBE"/>
    <w:rsid w:val="00B8673B"/>
    <w:rsid w:val="00B90E2F"/>
    <w:rsid w:val="00B91848"/>
    <w:rsid w:val="00B91DC8"/>
    <w:rsid w:val="00B94758"/>
    <w:rsid w:val="00B9493E"/>
    <w:rsid w:val="00B950A7"/>
    <w:rsid w:val="00B96CFA"/>
    <w:rsid w:val="00BA0C9D"/>
    <w:rsid w:val="00BA0CFA"/>
    <w:rsid w:val="00BA147A"/>
    <w:rsid w:val="00BA3839"/>
    <w:rsid w:val="00BA488B"/>
    <w:rsid w:val="00BA494D"/>
    <w:rsid w:val="00BA4B6D"/>
    <w:rsid w:val="00BA70B2"/>
    <w:rsid w:val="00BA774A"/>
    <w:rsid w:val="00BB26C5"/>
    <w:rsid w:val="00BB46EF"/>
    <w:rsid w:val="00BB4A31"/>
    <w:rsid w:val="00BC0C67"/>
    <w:rsid w:val="00BC2FF4"/>
    <w:rsid w:val="00BC31BD"/>
    <w:rsid w:val="00BC3211"/>
    <w:rsid w:val="00BC7EDF"/>
    <w:rsid w:val="00BD13C5"/>
    <w:rsid w:val="00BD2F7C"/>
    <w:rsid w:val="00BD6C05"/>
    <w:rsid w:val="00BE4324"/>
    <w:rsid w:val="00BE5115"/>
    <w:rsid w:val="00BE5168"/>
    <w:rsid w:val="00BE586B"/>
    <w:rsid w:val="00BE6B78"/>
    <w:rsid w:val="00BF01B6"/>
    <w:rsid w:val="00BF1466"/>
    <w:rsid w:val="00BF2045"/>
    <w:rsid w:val="00BF4DE6"/>
    <w:rsid w:val="00BF67A9"/>
    <w:rsid w:val="00C01827"/>
    <w:rsid w:val="00C03EF9"/>
    <w:rsid w:val="00C055EC"/>
    <w:rsid w:val="00C06618"/>
    <w:rsid w:val="00C06B13"/>
    <w:rsid w:val="00C11819"/>
    <w:rsid w:val="00C128CB"/>
    <w:rsid w:val="00C165D0"/>
    <w:rsid w:val="00C2135E"/>
    <w:rsid w:val="00C24BAB"/>
    <w:rsid w:val="00C2683B"/>
    <w:rsid w:val="00C279A0"/>
    <w:rsid w:val="00C27BFC"/>
    <w:rsid w:val="00C27D25"/>
    <w:rsid w:val="00C3499C"/>
    <w:rsid w:val="00C41ECD"/>
    <w:rsid w:val="00C42541"/>
    <w:rsid w:val="00C42CDE"/>
    <w:rsid w:val="00C437D4"/>
    <w:rsid w:val="00C44D54"/>
    <w:rsid w:val="00C458AD"/>
    <w:rsid w:val="00C46170"/>
    <w:rsid w:val="00C46EBB"/>
    <w:rsid w:val="00C46F7C"/>
    <w:rsid w:val="00C5182A"/>
    <w:rsid w:val="00C51E8C"/>
    <w:rsid w:val="00C54004"/>
    <w:rsid w:val="00C5748E"/>
    <w:rsid w:val="00C5770D"/>
    <w:rsid w:val="00C60248"/>
    <w:rsid w:val="00C637BD"/>
    <w:rsid w:val="00C63EE9"/>
    <w:rsid w:val="00C6598D"/>
    <w:rsid w:val="00C76849"/>
    <w:rsid w:val="00C76E8B"/>
    <w:rsid w:val="00C80458"/>
    <w:rsid w:val="00C809E6"/>
    <w:rsid w:val="00C80E4C"/>
    <w:rsid w:val="00C828E4"/>
    <w:rsid w:val="00C842D9"/>
    <w:rsid w:val="00C84843"/>
    <w:rsid w:val="00C86AD1"/>
    <w:rsid w:val="00C91228"/>
    <w:rsid w:val="00C949F8"/>
    <w:rsid w:val="00C973B2"/>
    <w:rsid w:val="00CA16F3"/>
    <w:rsid w:val="00CA2EC9"/>
    <w:rsid w:val="00CA37B1"/>
    <w:rsid w:val="00CA4DDC"/>
    <w:rsid w:val="00CA5103"/>
    <w:rsid w:val="00CA753B"/>
    <w:rsid w:val="00CA7800"/>
    <w:rsid w:val="00CB0017"/>
    <w:rsid w:val="00CB0EF1"/>
    <w:rsid w:val="00CB13B7"/>
    <w:rsid w:val="00CB1959"/>
    <w:rsid w:val="00CB28D7"/>
    <w:rsid w:val="00CB2C64"/>
    <w:rsid w:val="00CB7F5C"/>
    <w:rsid w:val="00CC188D"/>
    <w:rsid w:val="00CC3720"/>
    <w:rsid w:val="00CC40BC"/>
    <w:rsid w:val="00CC720A"/>
    <w:rsid w:val="00CC72AD"/>
    <w:rsid w:val="00CC741B"/>
    <w:rsid w:val="00CD0E4B"/>
    <w:rsid w:val="00CE11E6"/>
    <w:rsid w:val="00CE48C2"/>
    <w:rsid w:val="00CE4C89"/>
    <w:rsid w:val="00CF07BA"/>
    <w:rsid w:val="00CF0931"/>
    <w:rsid w:val="00CF25F3"/>
    <w:rsid w:val="00CF40C3"/>
    <w:rsid w:val="00CF6345"/>
    <w:rsid w:val="00D01ACD"/>
    <w:rsid w:val="00D0296C"/>
    <w:rsid w:val="00D0560C"/>
    <w:rsid w:val="00D06E7E"/>
    <w:rsid w:val="00D14265"/>
    <w:rsid w:val="00D1737C"/>
    <w:rsid w:val="00D1790D"/>
    <w:rsid w:val="00D31118"/>
    <w:rsid w:val="00D32863"/>
    <w:rsid w:val="00D32D6F"/>
    <w:rsid w:val="00D33CAC"/>
    <w:rsid w:val="00D37B04"/>
    <w:rsid w:val="00D4281D"/>
    <w:rsid w:val="00D43DA7"/>
    <w:rsid w:val="00D46B24"/>
    <w:rsid w:val="00D475C8"/>
    <w:rsid w:val="00D47A2D"/>
    <w:rsid w:val="00D47CB4"/>
    <w:rsid w:val="00D5070B"/>
    <w:rsid w:val="00D5387D"/>
    <w:rsid w:val="00D540C6"/>
    <w:rsid w:val="00D543C5"/>
    <w:rsid w:val="00D55801"/>
    <w:rsid w:val="00D562DB"/>
    <w:rsid w:val="00D571A0"/>
    <w:rsid w:val="00D6357E"/>
    <w:rsid w:val="00D63BDF"/>
    <w:rsid w:val="00D64BD1"/>
    <w:rsid w:val="00D65771"/>
    <w:rsid w:val="00D6583F"/>
    <w:rsid w:val="00D712A7"/>
    <w:rsid w:val="00D728A4"/>
    <w:rsid w:val="00D72D81"/>
    <w:rsid w:val="00D7367E"/>
    <w:rsid w:val="00D738EF"/>
    <w:rsid w:val="00D74962"/>
    <w:rsid w:val="00D7667C"/>
    <w:rsid w:val="00D809E7"/>
    <w:rsid w:val="00D82A70"/>
    <w:rsid w:val="00D87BB4"/>
    <w:rsid w:val="00D87FFB"/>
    <w:rsid w:val="00D90A07"/>
    <w:rsid w:val="00D92254"/>
    <w:rsid w:val="00D92BBC"/>
    <w:rsid w:val="00D94C6F"/>
    <w:rsid w:val="00DA0C3F"/>
    <w:rsid w:val="00DA37ED"/>
    <w:rsid w:val="00DA4446"/>
    <w:rsid w:val="00DA50AD"/>
    <w:rsid w:val="00DA5B76"/>
    <w:rsid w:val="00DA5D9D"/>
    <w:rsid w:val="00DB0B3A"/>
    <w:rsid w:val="00DB1474"/>
    <w:rsid w:val="00DB6D67"/>
    <w:rsid w:val="00DC3E3A"/>
    <w:rsid w:val="00DC43E6"/>
    <w:rsid w:val="00DC7A17"/>
    <w:rsid w:val="00DD1367"/>
    <w:rsid w:val="00DD4B39"/>
    <w:rsid w:val="00DD530D"/>
    <w:rsid w:val="00DD7E2D"/>
    <w:rsid w:val="00DE02B4"/>
    <w:rsid w:val="00DE084C"/>
    <w:rsid w:val="00DE2A7C"/>
    <w:rsid w:val="00DE4A9F"/>
    <w:rsid w:val="00DE62C3"/>
    <w:rsid w:val="00DE6E4A"/>
    <w:rsid w:val="00DF0A85"/>
    <w:rsid w:val="00DF2407"/>
    <w:rsid w:val="00DF5767"/>
    <w:rsid w:val="00E04835"/>
    <w:rsid w:val="00E133E4"/>
    <w:rsid w:val="00E14F51"/>
    <w:rsid w:val="00E16C8B"/>
    <w:rsid w:val="00E224E1"/>
    <w:rsid w:val="00E24AE2"/>
    <w:rsid w:val="00E24C0D"/>
    <w:rsid w:val="00E2742A"/>
    <w:rsid w:val="00E27F16"/>
    <w:rsid w:val="00E3078E"/>
    <w:rsid w:val="00E309D5"/>
    <w:rsid w:val="00E357B7"/>
    <w:rsid w:val="00E35992"/>
    <w:rsid w:val="00E40EC6"/>
    <w:rsid w:val="00E4419D"/>
    <w:rsid w:val="00E47F8F"/>
    <w:rsid w:val="00E53800"/>
    <w:rsid w:val="00E53973"/>
    <w:rsid w:val="00E5485D"/>
    <w:rsid w:val="00E6081F"/>
    <w:rsid w:val="00E65AFA"/>
    <w:rsid w:val="00E675B8"/>
    <w:rsid w:val="00E71A4F"/>
    <w:rsid w:val="00E730CA"/>
    <w:rsid w:val="00E73874"/>
    <w:rsid w:val="00E751CF"/>
    <w:rsid w:val="00E7653C"/>
    <w:rsid w:val="00E76685"/>
    <w:rsid w:val="00E77481"/>
    <w:rsid w:val="00E77DD3"/>
    <w:rsid w:val="00E80746"/>
    <w:rsid w:val="00E81E2A"/>
    <w:rsid w:val="00E8296D"/>
    <w:rsid w:val="00E8457B"/>
    <w:rsid w:val="00E84AED"/>
    <w:rsid w:val="00E856A9"/>
    <w:rsid w:val="00E911A8"/>
    <w:rsid w:val="00EA04B2"/>
    <w:rsid w:val="00EA20F3"/>
    <w:rsid w:val="00EA2896"/>
    <w:rsid w:val="00EA3E09"/>
    <w:rsid w:val="00EA41A9"/>
    <w:rsid w:val="00EA4B53"/>
    <w:rsid w:val="00EA4B5C"/>
    <w:rsid w:val="00EA4C6B"/>
    <w:rsid w:val="00EA53DB"/>
    <w:rsid w:val="00EB0677"/>
    <w:rsid w:val="00EB5AB5"/>
    <w:rsid w:val="00EB5EB8"/>
    <w:rsid w:val="00EB5FD7"/>
    <w:rsid w:val="00EC26F1"/>
    <w:rsid w:val="00ED0543"/>
    <w:rsid w:val="00ED124A"/>
    <w:rsid w:val="00ED2831"/>
    <w:rsid w:val="00ED379E"/>
    <w:rsid w:val="00ED43D1"/>
    <w:rsid w:val="00ED4D86"/>
    <w:rsid w:val="00ED5E68"/>
    <w:rsid w:val="00ED6356"/>
    <w:rsid w:val="00ED711C"/>
    <w:rsid w:val="00EE2575"/>
    <w:rsid w:val="00EE25F4"/>
    <w:rsid w:val="00EE2B47"/>
    <w:rsid w:val="00EE4EE1"/>
    <w:rsid w:val="00EE6AFE"/>
    <w:rsid w:val="00EF0187"/>
    <w:rsid w:val="00EF2EDE"/>
    <w:rsid w:val="00EF4574"/>
    <w:rsid w:val="00EF4980"/>
    <w:rsid w:val="00EF4E98"/>
    <w:rsid w:val="00EF5FB3"/>
    <w:rsid w:val="00EF6D25"/>
    <w:rsid w:val="00F00F1A"/>
    <w:rsid w:val="00F01C89"/>
    <w:rsid w:val="00F026C4"/>
    <w:rsid w:val="00F07B31"/>
    <w:rsid w:val="00F10DDE"/>
    <w:rsid w:val="00F14C1F"/>
    <w:rsid w:val="00F209B5"/>
    <w:rsid w:val="00F25A93"/>
    <w:rsid w:val="00F25AA0"/>
    <w:rsid w:val="00F2684E"/>
    <w:rsid w:val="00F268D4"/>
    <w:rsid w:val="00F27567"/>
    <w:rsid w:val="00F349FC"/>
    <w:rsid w:val="00F34EBA"/>
    <w:rsid w:val="00F3621D"/>
    <w:rsid w:val="00F376F7"/>
    <w:rsid w:val="00F441E0"/>
    <w:rsid w:val="00F50C72"/>
    <w:rsid w:val="00F53FBB"/>
    <w:rsid w:val="00F5404C"/>
    <w:rsid w:val="00F60136"/>
    <w:rsid w:val="00F613B2"/>
    <w:rsid w:val="00F66D9E"/>
    <w:rsid w:val="00F6756D"/>
    <w:rsid w:val="00F67D44"/>
    <w:rsid w:val="00F70727"/>
    <w:rsid w:val="00F71FD5"/>
    <w:rsid w:val="00F7288B"/>
    <w:rsid w:val="00F729EF"/>
    <w:rsid w:val="00F7330F"/>
    <w:rsid w:val="00F744A2"/>
    <w:rsid w:val="00F74B74"/>
    <w:rsid w:val="00F75098"/>
    <w:rsid w:val="00F77CAE"/>
    <w:rsid w:val="00F80A14"/>
    <w:rsid w:val="00F82271"/>
    <w:rsid w:val="00F8244C"/>
    <w:rsid w:val="00F83428"/>
    <w:rsid w:val="00F84220"/>
    <w:rsid w:val="00F9280C"/>
    <w:rsid w:val="00F96A4D"/>
    <w:rsid w:val="00F96BB9"/>
    <w:rsid w:val="00F96BBF"/>
    <w:rsid w:val="00F97899"/>
    <w:rsid w:val="00FA01D1"/>
    <w:rsid w:val="00FA3B4C"/>
    <w:rsid w:val="00FB12D1"/>
    <w:rsid w:val="00FB50DA"/>
    <w:rsid w:val="00FC04A6"/>
    <w:rsid w:val="00FC10B6"/>
    <w:rsid w:val="00FC111A"/>
    <w:rsid w:val="00FC2192"/>
    <w:rsid w:val="00FC2CF2"/>
    <w:rsid w:val="00FC322F"/>
    <w:rsid w:val="00FC5099"/>
    <w:rsid w:val="00FC5BE0"/>
    <w:rsid w:val="00FC7E6D"/>
    <w:rsid w:val="00FD19EC"/>
    <w:rsid w:val="00FD1A38"/>
    <w:rsid w:val="00FD259F"/>
    <w:rsid w:val="00FD47CC"/>
    <w:rsid w:val="00FD6A9C"/>
    <w:rsid w:val="00FD709F"/>
    <w:rsid w:val="00FD7307"/>
    <w:rsid w:val="00FE04B6"/>
    <w:rsid w:val="00FE46A2"/>
    <w:rsid w:val="00FE4A81"/>
    <w:rsid w:val="00FE602E"/>
    <w:rsid w:val="00FE6B3E"/>
    <w:rsid w:val="00FE6D51"/>
    <w:rsid w:val="00FE6F2A"/>
    <w:rsid w:val="00FF2327"/>
    <w:rsid w:val="00FF2739"/>
    <w:rsid w:val="00FF4072"/>
    <w:rsid w:val="00FF450C"/>
    <w:rsid w:val="01CEB852"/>
    <w:rsid w:val="0224D6FA"/>
    <w:rsid w:val="025D0AAC"/>
    <w:rsid w:val="030E0890"/>
    <w:rsid w:val="04BEF8F3"/>
    <w:rsid w:val="04E5DB6E"/>
    <w:rsid w:val="08998DBC"/>
    <w:rsid w:val="0A06D2C8"/>
    <w:rsid w:val="0A3379A3"/>
    <w:rsid w:val="0B788E59"/>
    <w:rsid w:val="0E9017E5"/>
    <w:rsid w:val="0FFCA8FE"/>
    <w:rsid w:val="104F9CC3"/>
    <w:rsid w:val="1158392F"/>
    <w:rsid w:val="121181F1"/>
    <w:rsid w:val="12E2691B"/>
    <w:rsid w:val="14F7F728"/>
    <w:rsid w:val="180105D1"/>
    <w:rsid w:val="18420A77"/>
    <w:rsid w:val="198AC975"/>
    <w:rsid w:val="1ED9F995"/>
    <w:rsid w:val="21E8EF42"/>
    <w:rsid w:val="22E2BD86"/>
    <w:rsid w:val="280EFB38"/>
    <w:rsid w:val="28998491"/>
    <w:rsid w:val="28BC1E12"/>
    <w:rsid w:val="29011230"/>
    <w:rsid w:val="2AF273C8"/>
    <w:rsid w:val="2D35C759"/>
    <w:rsid w:val="303384C5"/>
    <w:rsid w:val="346CC736"/>
    <w:rsid w:val="355A4CA9"/>
    <w:rsid w:val="35814596"/>
    <w:rsid w:val="3624ED9E"/>
    <w:rsid w:val="36A03AC0"/>
    <w:rsid w:val="36C87CF4"/>
    <w:rsid w:val="37B2CC14"/>
    <w:rsid w:val="3821DEBC"/>
    <w:rsid w:val="397175A9"/>
    <w:rsid w:val="39E2C8D7"/>
    <w:rsid w:val="3BEA1690"/>
    <w:rsid w:val="3C4A7B1E"/>
    <w:rsid w:val="3E6B43B2"/>
    <w:rsid w:val="41C03DB8"/>
    <w:rsid w:val="42A1A4EC"/>
    <w:rsid w:val="443F3946"/>
    <w:rsid w:val="4687024E"/>
    <w:rsid w:val="47BBFBB3"/>
    <w:rsid w:val="482B94FA"/>
    <w:rsid w:val="495CF38E"/>
    <w:rsid w:val="4BCDA6E4"/>
    <w:rsid w:val="4E31844A"/>
    <w:rsid w:val="4FBF3DE7"/>
    <w:rsid w:val="50BD5775"/>
    <w:rsid w:val="50F99E7A"/>
    <w:rsid w:val="51D74622"/>
    <w:rsid w:val="522639B7"/>
    <w:rsid w:val="52B07A8D"/>
    <w:rsid w:val="52B6ABE5"/>
    <w:rsid w:val="556D819D"/>
    <w:rsid w:val="57CE41B2"/>
    <w:rsid w:val="583BB643"/>
    <w:rsid w:val="598053A2"/>
    <w:rsid w:val="5AE4B5D4"/>
    <w:rsid w:val="5B35DB08"/>
    <w:rsid w:val="5B3BA97F"/>
    <w:rsid w:val="5BA3A354"/>
    <w:rsid w:val="5D50B9E1"/>
    <w:rsid w:val="5D808958"/>
    <w:rsid w:val="615E39BF"/>
    <w:rsid w:val="629D8C0C"/>
    <w:rsid w:val="63273F32"/>
    <w:rsid w:val="66285434"/>
    <w:rsid w:val="668CFEB8"/>
    <w:rsid w:val="66EDD7E2"/>
    <w:rsid w:val="687500A2"/>
    <w:rsid w:val="70B38D61"/>
    <w:rsid w:val="70DAB468"/>
    <w:rsid w:val="728F707B"/>
    <w:rsid w:val="73380AD8"/>
    <w:rsid w:val="749F0CDF"/>
    <w:rsid w:val="74A422BC"/>
    <w:rsid w:val="75896C69"/>
    <w:rsid w:val="77906C13"/>
    <w:rsid w:val="7A1040C8"/>
    <w:rsid w:val="7A22EC86"/>
    <w:rsid w:val="7A34AE30"/>
    <w:rsid w:val="7B555F67"/>
    <w:rsid w:val="7B687D0A"/>
    <w:rsid w:val="7B83C795"/>
    <w:rsid w:val="7C1B5217"/>
    <w:rsid w:val="7D45F171"/>
    <w:rsid w:val="7DBA1001"/>
    <w:rsid w:val="7E36BE1F"/>
    <w:rsid w:val="7EAD54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F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qFormat="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iPriority="0"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locked="0"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128B1"/>
    <w:pPr>
      <w:suppressAutoHyphens/>
      <w:spacing w:before="120" w:after="60" w:line="260" w:lineRule="atLeast"/>
    </w:pPr>
    <w:rPr>
      <w:color w:val="495965" w:themeColor="text2"/>
      <w:lang w:val="en-GB"/>
    </w:rPr>
  </w:style>
  <w:style w:type="paragraph" w:styleId="Heading1">
    <w:name w:val="heading 1"/>
    <w:basedOn w:val="Normal"/>
    <w:next w:val="Normal"/>
    <w:link w:val="Heading1Char"/>
    <w:qFormat/>
    <w:rsid w:val="007706B8"/>
    <w:pPr>
      <w:keepNext/>
      <w:keepLines/>
      <w:spacing w:before="0" w:after="180" w:line="380" w:lineRule="exact"/>
      <w:contextualSpacing/>
      <w:outlineLvl w:val="0"/>
    </w:pPr>
    <w:rPr>
      <w:rFonts w:asciiTheme="majorHAnsi" w:eastAsiaTheme="majorEastAsia" w:hAnsiTheme="majorHAnsi" w:cstheme="majorBidi"/>
      <w:b/>
      <w:bCs/>
      <w:caps/>
      <w:sz w:val="38"/>
      <w:szCs w:val="28"/>
    </w:rPr>
  </w:style>
  <w:style w:type="paragraph" w:styleId="Heading2">
    <w:name w:val="heading 2"/>
    <w:basedOn w:val="Heading1"/>
    <w:next w:val="Normal"/>
    <w:link w:val="Heading2Char"/>
    <w:unhideWhenUsed/>
    <w:qFormat/>
    <w:rsid w:val="00C80458"/>
    <w:pPr>
      <w:outlineLvl w:val="1"/>
    </w:pPr>
  </w:style>
  <w:style w:type="paragraph" w:styleId="Heading3">
    <w:name w:val="heading 3"/>
    <w:basedOn w:val="Normal"/>
    <w:next w:val="Normal"/>
    <w:link w:val="Heading3Char"/>
    <w:uiPriority w:val="9"/>
    <w:unhideWhenUsed/>
    <w:qFormat/>
    <w:rsid w:val="00C80458"/>
    <w:pPr>
      <w:keepNext/>
      <w:keepLines/>
      <w:spacing w:before="60" w:after="180" w:line="360" w:lineRule="atLeast"/>
      <w:contextualSpacing/>
      <w:outlineLvl w:val="2"/>
    </w:pPr>
    <w:rPr>
      <w:rFonts w:asciiTheme="majorHAnsi" w:eastAsiaTheme="majorEastAsia" w:hAnsiTheme="majorHAnsi" w:cstheme="majorBidi"/>
      <w:b/>
      <w:sz w:val="30"/>
      <w:szCs w:val="28"/>
    </w:rPr>
  </w:style>
  <w:style w:type="paragraph" w:styleId="Heading4">
    <w:name w:val="heading 4"/>
    <w:basedOn w:val="Box2Heading"/>
    <w:next w:val="Normal"/>
    <w:link w:val="Heading4Char"/>
    <w:uiPriority w:val="9"/>
    <w:unhideWhenUsed/>
    <w:qFormat/>
    <w:rsid w:val="003128B1"/>
    <w:pPr>
      <w:outlineLvl w:val="3"/>
    </w:pPr>
  </w:style>
  <w:style w:type="paragraph" w:styleId="Heading5">
    <w:name w:val="heading 5"/>
    <w:basedOn w:val="Heading4"/>
    <w:next w:val="Normal"/>
    <w:link w:val="Heading5Char"/>
    <w:uiPriority w:val="9"/>
    <w:unhideWhenUsed/>
    <w:qFormat/>
    <w:rsid w:val="007706B8"/>
    <w:pPr>
      <w:spacing w:line="200" w:lineRule="atLeast"/>
      <w:outlineLvl w:val="4"/>
    </w:pPr>
    <w:rPr>
      <w:b w:val="0"/>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286B5F" w:themeColor="accent1" w:themeShade="7F"/>
    </w:rPr>
  </w:style>
  <w:style w:type="paragraph" w:styleId="Heading7">
    <w:name w:val="heading 7"/>
    <w:basedOn w:val="Heading6"/>
    <w:next w:val="Normal"/>
    <w:link w:val="Heading7Char"/>
    <w:uiPriority w:val="9"/>
    <w:semiHidden/>
    <w:unhideWhenUsed/>
    <w:qFormat/>
    <w:locked/>
    <w:rsid w:val="00486804"/>
    <w:pPr>
      <w:outlineLvl w:val="6"/>
    </w:pPr>
    <w:rPr>
      <w:i/>
      <w:iCs/>
    </w:rPr>
  </w:style>
  <w:style w:type="paragraph" w:styleId="Heading8">
    <w:name w:val="heading 8"/>
    <w:basedOn w:val="Heading7"/>
    <w:next w:val="Normal"/>
    <w:link w:val="Heading8Char"/>
    <w:uiPriority w:val="9"/>
    <w:semiHidden/>
    <w:unhideWhenUsed/>
    <w:qFormat/>
    <w:locked/>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486804"/>
    <w:p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6B8"/>
    <w:rPr>
      <w:rFonts w:asciiTheme="majorHAnsi" w:eastAsiaTheme="majorEastAsia" w:hAnsiTheme="majorHAnsi" w:cstheme="majorBidi"/>
      <w:b/>
      <w:bCs/>
      <w:caps/>
      <w:color w:val="495965" w:themeColor="text2"/>
      <w:sz w:val="38"/>
      <w:szCs w:val="28"/>
      <w:lang w:val="en-GB"/>
    </w:rPr>
  </w:style>
  <w:style w:type="character" w:customStyle="1" w:styleId="Heading2Char">
    <w:name w:val="Heading 2 Char"/>
    <w:basedOn w:val="DefaultParagraphFont"/>
    <w:link w:val="Heading2"/>
    <w:rsid w:val="00C80458"/>
    <w:rPr>
      <w:rFonts w:asciiTheme="majorHAnsi" w:eastAsiaTheme="majorEastAsia" w:hAnsiTheme="majorHAnsi" w:cstheme="majorBidi"/>
      <w:b/>
      <w:bCs/>
      <w:caps/>
      <w:color w:val="495965" w:themeColor="text2"/>
      <w:sz w:val="38"/>
      <w:szCs w:val="28"/>
      <w:lang w:val="en-GB"/>
    </w:rPr>
  </w:style>
  <w:style w:type="character" w:customStyle="1" w:styleId="Heading3Char">
    <w:name w:val="Heading 3 Char"/>
    <w:basedOn w:val="DefaultParagraphFont"/>
    <w:link w:val="Heading3"/>
    <w:uiPriority w:val="9"/>
    <w:rsid w:val="00C80458"/>
    <w:rPr>
      <w:rFonts w:asciiTheme="majorHAnsi" w:eastAsiaTheme="majorEastAsia" w:hAnsiTheme="majorHAnsi" w:cstheme="majorBidi"/>
      <w:b/>
      <w:color w:val="495965" w:themeColor="text2"/>
      <w:sz w:val="30"/>
      <w:szCs w:val="28"/>
      <w:lang w:val="en-GB"/>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64BD1"/>
    <w:pPr>
      <w:spacing w:after="0"/>
    </w:pPr>
    <w:rPr>
      <w:spacing w:val="-10"/>
      <w:kern w:val="28"/>
      <w:szCs w:val="52"/>
    </w:rPr>
  </w:style>
  <w:style w:type="character" w:customStyle="1" w:styleId="TitleChar">
    <w:name w:val="Title Char"/>
    <w:basedOn w:val="DefaultParagraphFont"/>
    <w:link w:val="Title"/>
    <w:uiPriority w:val="10"/>
    <w:rsid w:val="00D64BD1"/>
    <w:rPr>
      <w:rFonts w:asciiTheme="majorHAnsi" w:eastAsiaTheme="majorEastAsia" w:hAnsiTheme="majorHAnsi" w:cstheme="majorBidi"/>
      <w:b/>
      <w:bCs/>
      <w:caps/>
      <w:color w:val="495965" w:themeColor="text2"/>
      <w:spacing w:val="-10"/>
      <w:kern w:val="28"/>
      <w:sz w:val="38"/>
      <w:szCs w:val="52"/>
    </w:rPr>
  </w:style>
  <w:style w:type="paragraph" w:styleId="Subtitle">
    <w:name w:val="Subtitle"/>
    <w:basedOn w:val="Title"/>
    <w:next w:val="Normal"/>
    <w:link w:val="SubtitleChar"/>
    <w:uiPriority w:val="11"/>
    <w:qFormat/>
    <w:rsid w:val="00D64BD1"/>
    <w:pPr>
      <w:numPr>
        <w:ilvl w:val="1"/>
      </w:numPr>
      <w:spacing w:before="60" w:after="300"/>
    </w:pPr>
    <w:rPr>
      <w:rFonts w:asciiTheme="minorHAnsi" w:hAnsiTheme="minorHAnsi"/>
      <w:b w:val="0"/>
      <w:iCs/>
      <w:szCs w:val="24"/>
    </w:rPr>
  </w:style>
  <w:style w:type="character" w:customStyle="1" w:styleId="SubtitleChar">
    <w:name w:val="Subtitle Char"/>
    <w:basedOn w:val="DefaultParagraphFont"/>
    <w:link w:val="Subtitle"/>
    <w:uiPriority w:val="11"/>
    <w:rsid w:val="00D64BD1"/>
    <w:rPr>
      <w:rFonts w:eastAsiaTheme="majorEastAsia" w:cstheme="majorBidi"/>
      <w:bCs/>
      <w:iCs/>
      <w:caps/>
      <w:color w:val="495965" w:themeColor="text2"/>
      <w:spacing w:val="-10"/>
      <w:kern w:val="28"/>
      <w:sz w:val="38"/>
      <w:szCs w:val="24"/>
    </w:rPr>
  </w:style>
  <w:style w:type="paragraph" w:customStyle="1" w:styleId="Bullet1">
    <w:name w:val="Bullet 1"/>
    <w:basedOn w:val="Normal"/>
    <w:qFormat/>
    <w:rsid w:val="007706B8"/>
    <w:pPr>
      <w:numPr>
        <w:numId w:val="10"/>
      </w:numPr>
      <w:spacing w:before="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F2684E"/>
    <w:pPr>
      <w:numPr>
        <w:numId w:val="7"/>
      </w:numPr>
      <w:spacing w:before="0"/>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paragraph" w:customStyle="1" w:styleId="Heading1Numbered">
    <w:name w:val="Heading 1 Numbered"/>
    <w:basedOn w:val="Heading1"/>
    <w:next w:val="Normal"/>
    <w:qFormat/>
    <w:rsid w:val="001E1DC0"/>
    <w:pPr>
      <w:numPr>
        <w:numId w:val="6"/>
      </w:numPr>
    </w:pPr>
  </w:style>
  <w:style w:type="paragraph" w:customStyle="1" w:styleId="Heading2Numbered">
    <w:name w:val="Heading 2 Numbered"/>
    <w:basedOn w:val="Heading2"/>
    <w:next w:val="Normal"/>
    <w:qFormat/>
    <w:rsid w:val="00ED2831"/>
    <w:pPr>
      <w:numPr>
        <w:ilvl w:val="1"/>
        <w:numId w:val="6"/>
      </w:numPr>
      <w:spacing w:after="60"/>
    </w:pPr>
    <w:rPr>
      <w:bCs w:val="0"/>
    </w:rPr>
  </w:style>
  <w:style w:type="paragraph" w:customStyle="1" w:styleId="Heading3Numbered">
    <w:name w:val="Heading 3 Numbered"/>
    <w:basedOn w:val="Heading3"/>
    <w:next w:val="Normal"/>
    <w:qFormat/>
    <w:rsid w:val="00ED2831"/>
    <w:pPr>
      <w:numPr>
        <w:ilvl w:val="2"/>
        <w:numId w:val="6"/>
      </w:numPr>
      <w:spacing w:before="300" w:after="60"/>
    </w:pPr>
    <w:rPr>
      <w:szCs w:val="22"/>
    </w:rPr>
  </w:style>
  <w:style w:type="numbering" w:customStyle="1" w:styleId="BulletsList">
    <w:name w:val="Bullets List"/>
    <w:uiPriority w:val="99"/>
    <w:rsid w:val="007706B8"/>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ED2831"/>
    <w:pPr>
      <w:suppressAutoHyphens w:val="0"/>
      <w:spacing w:after="600"/>
      <w:contextualSpacing w:val="0"/>
      <w:outlineLvl w:val="9"/>
    </w:pPr>
    <w:rPr>
      <w:bCs w:val="0"/>
      <w:szCs w:val="32"/>
    </w:rPr>
  </w:style>
  <w:style w:type="character" w:customStyle="1" w:styleId="Heading4Char">
    <w:name w:val="Heading 4 Char"/>
    <w:basedOn w:val="DefaultParagraphFont"/>
    <w:link w:val="Heading4"/>
    <w:uiPriority w:val="9"/>
    <w:rsid w:val="003128B1"/>
    <w:rPr>
      <w:b/>
      <w:color w:val="FFFFFF" w:themeColor="background1"/>
      <w:sz w:val="26"/>
      <w:shd w:val="clear" w:color="auto" w:fill="495965" w:themeFill="text2"/>
    </w:rPr>
  </w:style>
  <w:style w:type="paragraph" w:styleId="TOC1">
    <w:name w:val="toc 1"/>
    <w:basedOn w:val="Normal"/>
    <w:next w:val="Normal"/>
    <w:autoRedefine/>
    <w:uiPriority w:val="39"/>
    <w:unhideWhenUsed/>
    <w:rsid w:val="00ED2831"/>
    <w:pPr>
      <w:pBdr>
        <w:top w:val="single" w:sz="4" w:space="6" w:color="65C5B4" w:themeColor="accent1"/>
        <w:between w:val="single" w:sz="4" w:space="6" w:color="65C5B4" w:themeColor="accent1"/>
      </w:pBdr>
      <w:tabs>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ED2831"/>
    <w:pPr>
      <w:spacing w:after="100"/>
      <w:ind w:left="199"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FC322F"/>
    <w:pPr>
      <w:tabs>
        <w:tab w:val="center" w:pos="4513"/>
        <w:tab w:val="right" w:pos="9026"/>
      </w:tabs>
      <w:spacing w:before="0" w:after="0"/>
      <w:ind w:left="227"/>
    </w:pPr>
    <w:rPr>
      <w:b/>
      <w:caps/>
      <w:color w:val="FFFFFF" w:themeColor="background1"/>
      <w:sz w:val="20"/>
    </w:r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ED2831"/>
    <w:pPr>
      <w:numPr>
        <w:numId w:val="4"/>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7706B8"/>
    <w:pPr>
      <w:spacing w:before="400" w:after="400" w:line="280" w:lineRule="exact"/>
    </w:pPr>
    <w:rPr>
      <w:b/>
      <w:color w:val="ACD08C" w:themeColor="accent2"/>
      <w:sz w:val="28"/>
    </w:rPr>
  </w:style>
  <w:style w:type="table" w:styleId="TableGrid">
    <w:name w:val="Table Grid"/>
    <w:basedOn w:val="TableNormal"/>
    <w:uiPriority w:val="59"/>
    <w:locked/>
    <w:rsid w:val="00ED2831"/>
    <w:pPr>
      <w:spacing w:after="0" w:line="240" w:lineRule="auto"/>
    </w:pPr>
    <w:tblPr/>
  </w:style>
  <w:style w:type="character" w:customStyle="1" w:styleId="HeaderChar">
    <w:name w:val="Header Char"/>
    <w:basedOn w:val="DefaultParagraphFont"/>
    <w:link w:val="Header"/>
    <w:uiPriority w:val="99"/>
    <w:rsid w:val="00FC322F"/>
    <w:rPr>
      <w:b/>
      <w:caps/>
      <w:color w:val="FFFFFF" w:themeColor="background1"/>
      <w:sz w:val="20"/>
      <w:lang w:val="en-GB"/>
    </w:rPr>
  </w:style>
  <w:style w:type="numbering" w:customStyle="1" w:styleId="FigureTitles">
    <w:name w:val="Figure Titles"/>
    <w:uiPriority w:val="99"/>
    <w:rsid w:val="006346BC"/>
    <w:pPr>
      <w:numPr>
        <w:numId w:val="5"/>
      </w:numPr>
    </w:pPr>
  </w:style>
  <w:style w:type="character" w:styleId="Hyperlink">
    <w:name w:val="Hyperlink"/>
    <w:basedOn w:val="DefaultParagraphFont"/>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D32D6F"/>
    <w:rPr>
      <w:b/>
      <w:i/>
      <w:iCs/>
      <w:color w:val="495965" w:themeColor="text2"/>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7706B8"/>
    <w:rPr>
      <w:rFonts w:asciiTheme="majorHAnsi" w:eastAsiaTheme="majorEastAsia" w:hAnsiTheme="majorHAnsi" w:cstheme="majorBidi"/>
      <w:b/>
      <w:bCs/>
      <w:iCs/>
      <w:color w:val="495965" w:themeColor="text2"/>
      <w:szCs w:val="26"/>
      <w:lang w:val="en-GB"/>
    </w:rPr>
  </w:style>
  <w:style w:type="paragraph" w:styleId="Caption">
    <w:name w:val="caption"/>
    <w:basedOn w:val="Normal"/>
    <w:next w:val="Normal"/>
    <w:uiPriority w:val="35"/>
    <w:unhideWhenUsed/>
    <w:qFormat/>
    <w:rsid w:val="001214BE"/>
    <w:pPr>
      <w:spacing w:before="240" w:after="180" w:line="240" w:lineRule="atLeast"/>
      <w:contextualSpacing/>
    </w:pPr>
    <w:rPr>
      <w:b/>
      <w:iCs/>
      <w:sz w:val="20"/>
      <w:szCs w:val="18"/>
    </w:rPr>
  </w:style>
  <w:style w:type="paragraph" w:styleId="Footer">
    <w:name w:val="footer"/>
    <w:basedOn w:val="Normal"/>
    <w:link w:val="FooterChar"/>
    <w:uiPriority w:val="99"/>
    <w:unhideWhenUsed/>
    <w:rsid w:val="00FC322F"/>
    <w:pPr>
      <w:spacing w:before="0" w:after="0" w:line="240" w:lineRule="exact"/>
      <w:ind w:left="284" w:right="284"/>
    </w:pPr>
    <w:rPr>
      <w:color w:val="FFFFFF" w:themeColor="background1"/>
    </w:rPr>
  </w:style>
  <w:style w:type="character" w:customStyle="1" w:styleId="FooterChar">
    <w:name w:val="Footer Char"/>
    <w:basedOn w:val="DefaultParagraphFont"/>
    <w:link w:val="Footer"/>
    <w:uiPriority w:val="99"/>
    <w:rsid w:val="00FC322F"/>
    <w:rPr>
      <w:color w:val="FFFFFF" w:themeColor="background1"/>
      <w:lang w:val="en-GB"/>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rsid w:val="00ED2831"/>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D64BD1"/>
    <w:pPr>
      <w:spacing w:before="0" w:after="180" w:line="320" w:lineRule="atLeast"/>
    </w:pPr>
    <w:rPr>
      <w:iCs/>
      <w:sz w:val="28"/>
    </w:rPr>
  </w:style>
  <w:style w:type="character" w:customStyle="1" w:styleId="QuoteChar">
    <w:name w:val="Quote Char"/>
    <w:basedOn w:val="DefaultParagraphFont"/>
    <w:link w:val="Quote"/>
    <w:uiPriority w:val="29"/>
    <w:rsid w:val="00D64BD1"/>
    <w:rPr>
      <w:iCs/>
      <w:color w:val="495965" w:themeColor="text2"/>
      <w:sz w:val="28"/>
      <w:lang w:val="en-GB"/>
    </w:rPr>
  </w:style>
  <w:style w:type="paragraph" w:customStyle="1" w:styleId="QuoteHeading">
    <w:name w:val="Quote Heading"/>
    <w:basedOn w:val="Quote"/>
    <w:qFormat/>
    <w:locked/>
    <w:rsid w:val="00C5182A"/>
    <w:rPr>
      <w:b/>
      <w:sz w:val="20"/>
    </w:rPr>
  </w:style>
  <w:style w:type="paragraph" w:styleId="FootnoteText">
    <w:name w:val="footnote text"/>
    <w:aliases w:val="Footnote Text Char Char Char,Footnote Text Char Char Char Char Char Char Char Char,Footnote Text Char Char Ch Char,Footnote Text Char Char Ch Char Char Char Char,Footnote Text Char Char Char Ch,FA Fu,FIAS Rpt Footnote,ALTS FOOTNOTE"/>
    <w:basedOn w:val="Normal"/>
    <w:link w:val="FootnoteTextChar"/>
    <w:unhideWhenUsed/>
    <w:rsid w:val="008C5A0E"/>
    <w:pPr>
      <w:spacing w:before="60" w:after="0" w:line="140" w:lineRule="atLeast"/>
      <w:ind w:left="170" w:hanging="170"/>
    </w:pPr>
    <w:rPr>
      <w:sz w:val="12"/>
      <w:szCs w:val="20"/>
    </w:rPr>
  </w:style>
  <w:style w:type="character" w:customStyle="1" w:styleId="FootnoteTextChar">
    <w:name w:val="Footnote Text Char"/>
    <w:aliases w:val="Footnote Text Char Char Char Char,Footnote Text Char Char Char Char Char Char Char Char Char,Footnote Text Char Char Ch Char Char,Footnote Text Char Char Ch Char Char Char Char Char,Footnote Text Char Char Char Ch Char,FA Fu Char"/>
    <w:basedOn w:val="DefaultParagraphFont"/>
    <w:link w:val="FootnoteText"/>
    <w:rsid w:val="008C5A0E"/>
    <w:rPr>
      <w:color w:val="495965" w:themeColor="text2"/>
      <w:sz w:val="12"/>
      <w:szCs w:val="20"/>
    </w:rPr>
  </w:style>
  <w:style w:type="character" w:styleId="FootnoteReference">
    <w:name w:val="footnote reference"/>
    <w:aliases w:val="ftref,Normal + Font:9 Point,Superscript 3 Point Times,16 Point,Superscript 6 Point,(NECG) Footnote Reference,Fußnotenzeichen DISS,Superscript 6 Point + 11 pt,4_G,BVI fnr,Footnote Reference1,Ref,de nota al pie,Footnote Reference Number"/>
    <w:basedOn w:val="DefaultParagraphFont"/>
    <w:unhideWhenUsed/>
    <w:rsid w:val="003002C0"/>
    <w:rPr>
      <w:vertAlign w:val="superscript"/>
    </w:rPr>
  </w:style>
  <w:style w:type="paragraph" w:customStyle="1" w:styleId="GreyRoundBoxText">
    <w:name w:val="Grey Round Box Text"/>
    <w:basedOn w:val="Normal"/>
    <w:qFormat/>
    <w:rsid w:val="000D66D6"/>
    <w:pPr>
      <w:spacing w:before="0"/>
    </w:pPr>
    <w:rPr>
      <w:b/>
      <w:caps/>
      <w:color w:val="FFFFFF" w:themeColor="background1"/>
      <w:sz w:val="18"/>
    </w:rPr>
  </w:style>
  <w:style w:type="character" w:customStyle="1" w:styleId="Green">
    <w:name w:val="Green"/>
    <w:basedOn w:val="DefaultParagraphFont"/>
    <w:uiPriority w:val="1"/>
    <w:qFormat/>
    <w:rsid w:val="00961E72"/>
    <w:rPr>
      <w:color w:val="ACD08C" w:themeColor="accent2"/>
    </w:rPr>
  </w:style>
  <w:style w:type="paragraph" w:customStyle="1" w:styleId="PhotoMargins">
    <w:name w:val="Photo Margins"/>
    <w:basedOn w:val="Normal"/>
    <w:qFormat/>
    <w:rsid w:val="00992C76"/>
  </w:style>
  <w:style w:type="paragraph" w:customStyle="1" w:styleId="PhotoLeft">
    <w:name w:val="Photo Left"/>
    <w:basedOn w:val="PhotoMargins"/>
    <w:qFormat/>
    <w:rsid w:val="00F82271"/>
    <w:pPr>
      <w:ind w:left="-851"/>
    </w:pPr>
  </w:style>
  <w:style w:type="paragraph" w:customStyle="1" w:styleId="PhotoRight">
    <w:name w:val="Photo Right"/>
    <w:basedOn w:val="PhotoMargins"/>
    <w:qFormat/>
    <w:rsid w:val="00F82271"/>
    <w:pPr>
      <w:ind w:right="-851"/>
      <w:jc w:val="right"/>
    </w:pPr>
  </w:style>
  <w:style w:type="paragraph" w:customStyle="1" w:styleId="PhotoCaption">
    <w:name w:val="Photo Caption"/>
    <w:basedOn w:val="Normal"/>
    <w:qFormat/>
    <w:rsid w:val="00897FA2"/>
    <w:pPr>
      <w:spacing w:after="200" w:line="200" w:lineRule="atLeast"/>
      <w:jc w:val="right"/>
    </w:pPr>
    <w:rPr>
      <w:sz w:val="16"/>
    </w:rPr>
  </w:style>
  <w:style w:type="table" w:customStyle="1" w:styleId="DFATTable1">
    <w:name w:val="DFAT Table 1"/>
    <w:basedOn w:val="TableNormal"/>
    <w:uiPriority w:val="99"/>
    <w:rsid w:val="00C06B13"/>
    <w:pPr>
      <w:spacing w:before="60" w:after="60" w:line="260" w:lineRule="atLeast"/>
    </w:pPr>
    <w:rPr>
      <w:rFonts w:ascii="Calibri" w:hAnsi="Calibri"/>
    </w:rPr>
    <w:tblPr/>
    <w:tblStylePr w:type="firstRow">
      <w:rPr>
        <w:b w:val="0"/>
      </w:rPr>
    </w:tblStylePr>
    <w:tblStylePr w:type="lastRow">
      <w:rPr>
        <w:b/>
        <w:color w:val="FFFFFF"/>
      </w:rPr>
    </w:tblStylePr>
  </w:style>
  <w:style w:type="paragraph" w:customStyle="1" w:styleId="FootnoteSeparator">
    <w:name w:val="Footnote Separator"/>
    <w:basedOn w:val="Footer"/>
    <w:qFormat/>
    <w:rsid w:val="00ED2831"/>
    <w:pPr>
      <w:pBdr>
        <w:top w:val="single" w:sz="4" w:space="1" w:color="495965" w:themeColor="text2"/>
      </w:pBdr>
      <w:tabs>
        <w:tab w:val="right" w:pos="9356"/>
        <w:tab w:val="center" w:pos="10036"/>
      </w:tabs>
      <w:spacing w:line="220" w:lineRule="atLeast"/>
      <w:ind w:right="0"/>
    </w:pPr>
    <w:rPr>
      <w:color w:val="495965" w:themeColor="text2"/>
      <w:sz w:val="14"/>
    </w:rPr>
  </w:style>
  <w:style w:type="paragraph" w:customStyle="1" w:styleId="Heading1smallspaceafter">
    <w:name w:val="Heading 1 small space after"/>
    <w:basedOn w:val="Heading1"/>
    <w:qFormat/>
    <w:rsid w:val="00F25A93"/>
    <w:pPr>
      <w:spacing w:after="600"/>
      <w:contextualSpacing w:val="0"/>
    </w:pPr>
  </w:style>
  <w:style w:type="paragraph" w:customStyle="1" w:styleId="TableBullet1">
    <w:name w:val="Table Bullet 1"/>
    <w:basedOn w:val="Bullet1"/>
    <w:qFormat/>
    <w:rsid w:val="00ED2831"/>
    <w:pPr>
      <w:numPr>
        <w:numId w:val="0"/>
      </w:numPr>
      <w:spacing w:before="60" w:line="220" w:lineRule="atLeast"/>
      <w:ind w:left="284" w:hanging="284"/>
    </w:pPr>
    <w:rPr>
      <w:rFonts w:ascii="Calibri" w:hAnsi="Calibri"/>
      <w:sz w:val="18"/>
    </w:rPr>
  </w:style>
  <w:style w:type="paragraph" w:customStyle="1" w:styleId="TableBullet2">
    <w:name w:val="Table Bullet 2"/>
    <w:basedOn w:val="Bullet2"/>
    <w:qFormat/>
    <w:rsid w:val="00ED2831"/>
    <w:pPr>
      <w:numPr>
        <w:ilvl w:val="0"/>
        <w:numId w:val="0"/>
      </w:numPr>
      <w:spacing w:before="60" w:line="220" w:lineRule="atLeast"/>
      <w:ind w:left="568" w:hanging="284"/>
    </w:pPr>
    <w:rPr>
      <w:rFonts w:ascii="Calibri" w:hAnsi="Calibri"/>
      <w:sz w:val="18"/>
    </w:rPr>
  </w:style>
  <w:style w:type="paragraph" w:customStyle="1" w:styleId="TableBullet3">
    <w:name w:val="Table Bullet 3"/>
    <w:basedOn w:val="Bullet3"/>
    <w:qFormat/>
    <w:rsid w:val="00ED2831"/>
    <w:pPr>
      <w:numPr>
        <w:ilvl w:val="0"/>
        <w:numId w:val="0"/>
      </w:numPr>
      <w:spacing w:before="60" w:line="220" w:lineRule="atLeast"/>
      <w:ind w:left="852" w:hanging="284"/>
    </w:pPr>
    <w:rPr>
      <w:rFonts w:ascii="Calibri" w:hAnsi="Calibri"/>
      <w:sz w:val="18"/>
    </w:rPr>
  </w:style>
  <w:style w:type="paragraph" w:customStyle="1" w:styleId="TableHeaderRow">
    <w:name w:val="Table Header Row"/>
    <w:basedOn w:val="Normal"/>
    <w:qFormat/>
    <w:rsid w:val="00C06B13"/>
    <w:pPr>
      <w:framePr w:hSpace="180" w:wrap="around" w:vAnchor="page" w:hAnchor="margin" w:y="5061"/>
      <w:spacing w:before="60"/>
    </w:pPr>
    <w:rPr>
      <w:rFonts w:ascii="Calibri" w:hAnsi="Calibri"/>
      <w:b/>
      <w:szCs w:val="21"/>
    </w:rPr>
  </w:style>
  <w:style w:type="paragraph" w:customStyle="1" w:styleId="TableNumberedList1">
    <w:name w:val="Table Numbered List 1"/>
    <w:basedOn w:val="NumberedList1"/>
    <w:qFormat/>
    <w:rsid w:val="00ED2831"/>
    <w:pPr>
      <w:spacing w:before="60" w:line="220" w:lineRule="atLeast"/>
    </w:pPr>
    <w:rPr>
      <w:rFonts w:ascii="Calibri" w:hAnsi="Calibri"/>
      <w:sz w:val="18"/>
    </w:rPr>
  </w:style>
  <w:style w:type="paragraph" w:customStyle="1" w:styleId="TableNumberedList2">
    <w:name w:val="Table Numbered List 2"/>
    <w:basedOn w:val="NumberedList2"/>
    <w:qFormat/>
    <w:rsid w:val="00ED2831"/>
    <w:pPr>
      <w:spacing w:before="60" w:line="220" w:lineRule="atLeast"/>
    </w:pPr>
    <w:rPr>
      <w:rFonts w:ascii="Calibri" w:hAnsi="Calibri"/>
      <w:sz w:val="18"/>
    </w:rPr>
  </w:style>
  <w:style w:type="paragraph" w:customStyle="1" w:styleId="TableNumberedList3">
    <w:name w:val="Table Numbered List 3"/>
    <w:basedOn w:val="NumberedList3"/>
    <w:qFormat/>
    <w:rsid w:val="00ED2831"/>
    <w:pPr>
      <w:spacing w:before="60" w:line="220" w:lineRule="atLeast"/>
      <w:ind w:left="851"/>
    </w:pPr>
    <w:rPr>
      <w:rFonts w:ascii="Calibri" w:hAnsi="Calibri"/>
      <w:sz w:val="18"/>
    </w:rPr>
  </w:style>
  <w:style w:type="paragraph" w:customStyle="1" w:styleId="TableSourceNotes">
    <w:name w:val="Table Source Notes"/>
    <w:basedOn w:val="Normal"/>
    <w:qFormat/>
    <w:rsid w:val="00ED2831"/>
    <w:pPr>
      <w:tabs>
        <w:tab w:val="left" w:pos="284"/>
      </w:tabs>
      <w:spacing w:line="160" w:lineRule="atLeast"/>
      <w:ind w:left="284" w:hanging="284"/>
      <w:contextualSpacing/>
    </w:pPr>
    <w:rPr>
      <w:sz w:val="12"/>
    </w:rPr>
  </w:style>
  <w:style w:type="paragraph" w:customStyle="1" w:styleId="TableTotalRow">
    <w:name w:val="Table Total Row"/>
    <w:basedOn w:val="Normal"/>
    <w:qFormat/>
    <w:rsid w:val="00CF07BA"/>
    <w:pPr>
      <w:spacing w:before="60"/>
    </w:pPr>
    <w:rPr>
      <w:rFonts w:ascii="Calibri" w:hAnsi="Calibri"/>
      <w:b/>
      <w:color w:val="FFFFFF" w:themeColor="background1"/>
    </w:rPr>
  </w:style>
  <w:style w:type="paragraph" w:customStyle="1" w:styleId="BoxHeading">
    <w:name w:val="Box Heading"/>
    <w:basedOn w:val="Heading3"/>
    <w:qFormat/>
    <w:locked/>
    <w:rsid w:val="00ED2831"/>
  </w:style>
  <w:style w:type="paragraph" w:customStyle="1" w:styleId="QuoteAuthor">
    <w:name w:val="Quote Author"/>
    <w:basedOn w:val="Quote"/>
    <w:qFormat/>
    <w:rsid w:val="00D64BD1"/>
    <w:pPr>
      <w:spacing w:after="60" w:line="200" w:lineRule="atLeast"/>
    </w:pPr>
    <w:rPr>
      <w:sz w:val="16"/>
    </w:rPr>
  </w:style>
  <w:style w:type="paragraph" w:customStyle="1" w:styleId="TableText">
    <w:name w:val="Table Text"/>
    <w:basedOn w:val="Normal"/>
    <w:qFormat/>
    <w:rsid w:val="0080204D"/>
    <w:pPr>
      <w:framePr w:hSpace="180" w:wrap="around" w:vAnchor="page" w:hAnchor="margin" w:y="5061"/>
      <w:spacing w:before="60"/>
    </w:pPr>
    <w:rPr>
      <w:rFonts w:ascii="Calibri" w:hAnsi="Calibri"/>
      <w:szCs w:val="21"/>
    </w:rPr>
  </w:style>
  <w:style w:type="paragraph" w:customStyle="1" w:styleId="PhotoCredit">
    <w:name w:val="Photo Credit"/>
    <w:basedOn w:val="Normal"/>
    <w:qFormat/>
    <w:rsid w:val="00A80F95"/>
    <w:pPr>
      <w:spacing w:after="200" w:line="160" w:lineRule="atLeast"/>
      <w:jc w:val="right"/>
    </w:pPr>
    <w:rPr>
      <w:sz w:val="12"/>
    </w:rPr>
  </w:style>
  <w:style w:type="paragraph" w:styleId="BalloonText">
    <w:name w:val="Balloon Text"/>
    <w:basedOn w:val="Normal"/>
    <w:link w:val="BalloonTextChar"/>
    <w:uiPriority w:val="99"/>
    <w:semiHidden/>
    <w:unhideWhenUsed/>
    <w:locked/>
    <w:rsid w:val="00A61B4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B4D"/>
    <w:rPr>
      <w:rFonts w:ascii="Tahoma" w:hAnsi="Tahoma" w:cs="Tahoma"/>
      <w:color w:val="495965" w:themeColor="text2"/>
      <w:sz w:val="16"/>
      <w:szCs w:val="16"/>
      <w:lang w:val="en-GB"/>
    </w:rPr>
  </w:style>
  <w:style w:type="paragraph" w:customStyle="1" w:styleId="SpacebeforeTitle">
    <w:name w:val="Space before Title"/>
    <w:basedOn w:val="Normal"/>
    <w:qFormat/>
    <w:rsid w:val="00B33C0A"/>
    <w:pPr>
      <w:spacing w:after="900"/>
    </w:pPr>
  </w:style>
  <w:style w:type="paragraph" w:customStyle="1" w:styleId="Box1Text">
    <w:name w:val="Box 1 Text"/>
    <w:basedOn w:val="Normal"/>
    <w:qFormat/>
    <w:rsid w:val="00E8296D"/>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lang w:val="en-AU"/>
    </w:rPr>
  </w:style>
  <w:style w:type="paragraph" w:customStyle="1" w:styleId="Box1Heading">
    <w:name w:val="Box 1 Heading"/>
    <w:basedOn w:val="Box1Text"/>
    <w:qFormat/>
    <w:rsid w:val="00E8296D"/>
    <w:pPr>
      <w:keepNext/>
      <w:spacing w:line="300" w:lineRule="atLeast"/>
    </w:pPr>
    <w:rPr>
      <w:b/>
      <w:sz w:val="26"/>
    </w:rPr>
  </w:style>
  <w:style w:type="paragraph" w:customStyle="1" w:styleId="Box2Text">
    <w:name w:val="Box 2 Text"/>
    <w:basedOn w:val="Box1Text"/>
    <w:qFormat/>
    <w:rsid w:val="00522396"/>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E8296D"/>
    <w:pPr>
      <w:keepNext/>
      <w:spacing w:line="300" w:lineRule="atLeast"/>
    </w:pPr>
    <w:rPr>
      <w:b/>
      <w:sz w:val="26"/>
    </w:rPr>
  </w:style>
  <w:style w:type="paragraph" w:customStyle="1" w:styleId="Box1Bullet">
    <w:name w:val="Box 1 Bullet"/>
    <w:basedOn w:val="Box1Text"/>
    <w:qFormat/>
    <w:rsid w:val="00C42541"/>
    <w:pPr>
      <w:numPr>
        <w:numId w:val="8"/>
      </w:numPr>
      <w:ind w:left="454" w:hanging="170"/>
    </w:pPr>
  </w:style>
  <w:style w:type="paragraph" w:customStyle="1" w:styleId="Box2Bullet">
    <w:name w:val="Box 2 Bullet"/>
    <w:basedOn w:val="Box2Text"/>
    <w:qFormat/>
    <w:rsid w:val="00C42541"/>
    <w:pPr>
      <w:numPr>
        <w:numId w:val="9"/>
      </w:numPr>
      <w:ind w:left="454" w:hanging="170"/>
    </w:pPr>
  </w:style>
  <w:style w:type="paragraph" w:styleId="BodyText">
    <w:name w:val="Body Text"/>
    <w:basedOn w:val="Normal"/>
    <w:link w:val="BodyTextChar"/>
    <w:unhideWhenUsed/>
    <w:qFormat/>
    <w:rsid w:val="000020C1"/>
  </w:style>
  <w:style w:type="character" w:customStyle="1" w:styleId="BodyTextChar">
    <w:name w:val="Body Text Char"/>
    <w:basedOn w:val="DefaultParagraphFont"/>
    <w:link w:val="BodyText"/>
    <w:rsid w:val="000020C1"/>
    <w:rPr>
      <w:color w:val="495965" w:themeColor="text2"/>
      <w:lang w:val="en-GB"/>
    </w:rPr>
  </w:style>
  <w:style w:type="paragraph" w:styleId="BodyText2">
    <w:name w:val="Body Text 2"/>
    <w:basedOn w:val="Normal"/>
    <w:link w:val="BodyText2Char"/>
    <w:uiPriority w:val="99"/>
    <w:semiHidden/>
    <w:unhideWhenUsed/>
    <w:locked/>
    <w:rsid w:val="000020C1"/>
    <w:pPr>
      <w:spacing w:line="480" w:lineRule="auto"/>
    </w:pPr>
  </w:style>
  <w:style w:type="character" w:customStyle="1" w:styleId="BodyText2Char">
    <w:name w:val="Body Text 2 Char"/>
    <w:basedOn w:val="DefaultParagraphFont"/>
    <w:link w:val="BodyText2"/>
    <w:uiPriority w:val="99"/>
    <w:semiHidden/>
    <w:rsid w:val="000020C1"/>
    <w:rPr>
      <w:color w:val="495965" w:themeColor="text2"/>
      <w:lang w:val="en-GB"/>
    </w:rPr>
  </w:style>
  <w:style w:type="paragraph" w:styleId="BodyText3">
    <w:name w:val="Body Text 3"/>
    <w:basedOn w:val="Normal"/>
    <w:link w:val="BodyText3Char"/>
    <w:uiPriority w:val="99"/>
    <w:semiHidden/>
    <w:unhideWhenUsed/>
    <w:locked/>
    <w:rsid w:val="000020C1"/>
    <w:rPr>
      <w:sz w:val="16"/>
      <w:szCs w:val="16"/>
    </w:rPr>
  </w:style>
  <w:style w:type="character" w:customStyle="1" w:styleId="BodyText3Char">
    <w:name w:val="Body Text 3 Char"/>
    <w:basedOn w:val="DefaultParagraphFont"/>
    <w:link w:val="BodyText3"/>
    <w:uiPriority w:val="99"/>
    <w:semiHidden/>
    <w:rsid w:val="000020C1"/>
    <w:rPr>
      <w:color w:val="495965" w:themeColor="text2"/>
      <w:sz w:val="16"/>
      <w:szCs w:val="16"/>
      <w:lang w:val="en-GB"/>
    </w:rPr>
  </w:style>
  <w:style w:type="paragraph" w:styleId="BodyTextFirstIndent">
    <w:name w:val="Body Text First Indent"/>
    <w:basedOn w:val="NormalIndented"/>
    <w:link w:val="BodyTextFirstIndentChar"/>
    <w:uiPriority w:val="99"/>
    <w:unhideWhenUsed/>
    <w:rsid w:val="000020C1"/>
  </w:style>
  <w:style w:type="character" w:customStyle="1" w:styleId="BodyTextFirstIndentChar">
    <w:name w:val="Body Text First Indent Char"/>
    <w:basedOn w:val="BodyTextChar"/>
    <w:link w:val="BodyTextFirstIndent"/>
    <w:uiPriority w:val="99"/>
    <w:rsid w:val="000020C1"/>
    <w:rPr>
      <w:color w:val="495965" w:themeColor="text2"/>
      <w:lang w:val="en-GB"/>
    </w:rPr>
  </w:style>
  <w:style w:type="paragraph" w:styleId="BodyTextIndent">
    <w:name w:val="Body Text Indent"/>
    <w:basedOn w:val="Normal"/>
    <w:link w:val="BodyTextIndentChar"/>
    <w:uiPriority w:val="99"/>
    <w:semiHidden/>
    <w:unhideWhenUsed/>
    <w:locked/>
    <w:rsid w:val="000020C1"/>
    <w:pPr>
      <w:spacing w:after="120"/>
      <w:ind w:left="283"/>
    </w:pPr>
  </w:style>
  <w:style w:type="character" w:customStyle="1" w:styleId="BodyTextIndentChar">
    <w:name w:val="Body Text Indent Char"/>
    <w:basedOn w:val="DefaultParagraphFont"/>
    <w:link w:val="BodyTextIndent"/>
    <w:uiPriority w:val="99"/>
    <w:semiHidden/>
    <w:rsid w:val="000020C1"/>
    <w:rPr>
      <w:color w:val="495965" w:themeColor="text2"/>
      <w:lang w:val="en-GB"/>
    </w:rPr>
  </w:style>
  <w:style w:type="paragraph" w:styleId="BodyTextFirstIndent2">
    <w:name w:val="Body Text First Indent 2"/>
    <w:basedOn w:val="BodyTextIndent"/>
    <w:link w:val="BodyTextFirstIndent2Char"/>
    <w:uiPriority w:val="99"/>
    <w:semiHidden/>
    <w:unhideWhenUsed/>
    <w:locked/>
    <w:rsid w:val="00E8457B"/>
    <w:pPr>
      <w:spacing w:after="60"/>
      <w:ind w:left="567"/>
    </w:pPr>
  </w:style>
  <w:style w:type="character" w:customStyle="1" w:styleId="BodyTextFirstIndent2Char">
    <w:name w:val="Body Text First Indent 2 Char"/>
    <w:basedOn w:val="BodyTextIndentChar"/>
    <w:link w:val="BodyTextFirstIndent2"/>
    <w:uiPriority w:val="99"/>
    <w:semiHidden/>
    <w:rsid w:val="00E8457B"/>
    <w:rPr>
      <w:color w:val="495965" w:themeColor="text2"/>
      <w:lang w:val="en-GB"/>
    </w:rPr>
  </w:style>
  <w:style w:type="paragraph" w:styleId="BlockText">
    <w:name w:val="Block Text"/>
    <w:basedOn w:val="Normal"/>
    <w:uiPriority w:val="99"/>
    <w:unhideWhenUsed/>
    <w:locked/>
    <w:rsid w:val="00E8457B"/>
    <w:pPr>
      <w:pBdr>
        <w:top w:val="single" w:sz="2" w:space="10" w:color="65C5B4" w:themeColor="accent1"/>
        <w:left w:val="single" w:sz="2" w:space="10" w:color="65C5B4" w:themeColor="accent1"/>
        <w:bottom w:val="single" w:sz="2" w:space="10" w:color="65C5B4" w:themeColor="accent1"/>
        <w:right w:val="single" w:sz="2" w:space="10" w:color="65C5B4" w:themeColor="accent1"/>
      </w:pBdr>
      <w:ind w:left="1152" w:right="1152"/>
    </w:pPr>
    <w:rPr>
      <w:rFonts w:eastAsiaTheme="minorEastAsia"/>
      <w:i/>
      <w:iCs/>
      <w:color w:val="65C5B4" w:themeColor="accent1"/>
    </w:rPr>
  </w:style>
  <w:style w:type="table" w:customStyle="1" w:styleId="DFATTable2">
    <w:name w:val="DFAT Table 2"/>
    <w:basedOn w:val="TableNormal"/>
    <w:uiPriority w:val="99"/>
    <w:rsid w:val="00482AE8"/>
    <w:pPr>
      <w:spacing w:after="0" w:line="260" w:lineRule="atLeast"/>
    </w:pPr>
    <w:rPr>
      <w:rFonts w:ascii="Calibri" w:hAnsi="Calibri"/>
      <w:color w:val="495965" w:themeColor="text2"/>
    </w:rPr>
    <w:tblPr/>
  </w:style>
  <w:style w:type="character" w:styleId="CommentReference">
    <w:name w:val="annotation reference"/>
    <w:basedOn w:val="DefaultParagraphFont"/>
    <w:uiPriority w:val="99"/>
    <w:semiHidden/>
    <w:unhideWhenUsed/>
    <w:rsid w:val="005204D2"/>
    <w:rPr>
      <w:sz w:val="16"/>
      <w:szCs w:val="16"/>
    </w:rPr>
  </w:style>
  <w:style w:type="paragraph" w:styleId="CommentText">
    <w:name w:val="annotation text"/>
    <w:basedOn w:val="Normal"/>
    <w:link w:val="CommentTextChar"/>
    <w:uiPriority w:val="99"/>
    <w:unhideWhenUsed/>
    <w:rsid w:val="005204D2"/>
    <w:pPr>
      <w:spacing w:line="240" w:lineRule="auto"/>
    </w:pPr>
    <w:rPr>
      <w:sz w:val="20"/>
      <w:szCs w:val="20"/>
    </w:rPr>
  </w:style>
  <w:style w:type="character" w:customStyle="1" w:styleId="CommentTextChar">
    <w:name w:val="Comment Text Char"/>
    <w:basedOn w:val="DefaultParagraphFont"/>
    <w:link w:val="CommentText"/>
    <w:uiPriority w:val="99"/>
    <w:rsid w:val="005204D2"/>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5204D2"/>
    <w:rPr>
      <w:b/>
      <w:bCs/>
    </w:rPr>
  </w:style>
  <w:style w:type="character" w:customStyle="1" w:styleId="CommentSubjectChar">
    <w:name w:val="Comment Subject Char"/>
    <w:basedOn w:val="CommentTextChar"/>
    <w:link w:val="CommentSubject"/>
    <w:uiPriority w:val="99"/>
    <w:semiHidden/>
    <w:rsid w:val="005204D2"/>
    <w:rPr>
      <w:b/>
      <w:bCs/>
      <w:color w:val="495965" w:themeColor="text2"/>
      <w:sz w:val="20"/>
      <w:szCs w:val="20"/>
      <w:lang w:val="en-GB"/>
    </w:rPr>
  </w:style>
  <w:style w:type="character" w:customStyle="1" w:styleId="ColourAccent1">
    <w:name w:val="Colour Accent 1"/>
    <w:basedOn w:val="DefaultParagraphFont"/>
    <w:uiPriority w:val="1"/>
    <w:qFormat/>
    <w:locked/>
    <w:rsid w:val="001214BE"/>
    <w:rPr>
      <w:color w:val="65C5B4" w:themeColor="accent1"/>
    </w:rPr>
  </w:style>
  <w:style w:type="paragraph" w:customStyle="1" w:styleId="PublicationDate">
    <w:name w:val="Publication Date"/>
    <w:next w:val="Heading1"/>
    <w:rsid w:val="005D62B6"/>
    <w:pPr>
      <w:spacing w:after="360" w:line="276" w:lineRule="auto"/>
    </w:pPr>
    <w:rPr>
      <w:rFonts w:ascii="Helvetica" w:eastAsia="Times New Roman" w:hAnsi="Helvetica" w:cs="Times New Roman"/>
      <w:color w:val="A8A5A8"/>
      <w:spacing w:val="-10"/>
      <w:kern w:val="24"/>
      <w:sz w:val="24"/>
      <w:szCs w:val="28"/>
      <w:lang w:eastAsia="en-AU"/>
    </w:rPr>
  </w:style>
  <w:style w:type="paragraph" w:customStyle="1" w:styleId="List-bullet-1">
    <w:name w:val="List-bullet-1"/>
    <w:basedOn w:val="Normal"/>
    <w:link w:val="List-bullet-1Char"/>
    <w:qFormat/>
    <w:rsid w:val="005D62B6"/>
    <w:pPr>
      <w:numPr>
        <w:numId w:val="11"/>
      </w:numPr>
      <w:suppressAutoHyphens w:val="0"/>
      <w:spacing w:after="0" w:line="240" w:lineRule="auto"/>
    </w:pPr>
    <w:rPr>
      <w:rFonts w:ascii="Arial" w:eastAsia="Times New Roman" w:hAnsi="Arial" w:cs="Arial"/>
      <w:color w:val="auto"/>
      <w:sz w:val="20"/>
      <w:lang w:val="en-AU"/>
    </w:rPr>
  </w:style>
  <w:style w:type="character" w:customStyle="1" w:styleId="List-bullet-1Char">
    <w:name w:val="List-bullet-1 Char"/>
    <w:link w:val="List-bullet-1"/>
    <w:rsid w:val="005D62B6"/>
    <w:rPr>
      <w:rFonts w:ascii="Arial" w:eastAsia="Times New Roman" w:hAnsi="Arial" w:cs="Arial"/>
      <w:sz w:val="20"/>
    </w:rPr>
  </w:style>
  <w:style w:type="paragraph" w:styleId="ListParagraph">
    <w:name w:val="List Paragraph"/>
    <w:basedOn w:val="Normal"/>
    <w:uiPriority w:val="34"/>
    <w:qFormat/>
    <w:locked/>
    <w:rsid w:val="005D62B6"/>
    <w:pPr>
      <w:suppressAutoHyphens w:val="0"/>
      <w:spacing w:before="0" w:after="0" w:line="240" w:lineRule="auto"/>
      <w:ind w:left="720"/>
      <w:contextualSpacing/>
    </w:pPr>
    <w:rPr>
      <w:rFonts w:ascii="Times New Roman" w:eastAsia="Times New Roman" w:hAnsi="Times New Roman" w:cs="Times New Roman"/>
      <w:color w:val="auto"/>
      <w:sz w:val="24"/>
      <w:szCs w:val="24"/>
      <w:lang w:val="en-AU"/>
    </w:rPr>
  </w:style>
  <w:style w:type="character" w:styleId="FollowedHyperlink">
    <w:name w:val="FollowedHyperlink"/>
    <w:basedOn w:val="DefaultParagraphFont"/>
    <w:uiPriority w:val="99"/>
    <w:semiHidden/>
    <w:unhideWhenUsed/>
    <w:rsid w:val="001767DA"/>
    <w:rPr>
      <w:color w:val="800080" w:themeColor="followedHyperlink"/>
      <w:u w:val="single"/>
    </w:rPr>
  </w:style>
  <w:style w:type="paragraph" w:styleId="Revision">
    <w:name w:val="Revision"/>
    <w:hidden/>
    <w:uiPriority w:val="99"/>
    <w:semiHidden/>
    <w:rsid w:val="009630A4"/>
    <w:pPr>
      <w:spacing w:after="0" w:line="240" w:lineRule="auto"/>
    </w:pPr>
    <w:rPr>
      <w:color w:val="495965" w:themeColor="text2"/>
      <w:lang w:val="en-GB"/>
    </w:rPr>
  </w:style>
  <w:style w:type="character" w:styleId="UnresolvedMention">
    <w:name w:val="Unresolved Mention"/>
    <w:basedOn w:val="DefaultParagraphFont"/>
    <w:uiPriority w:val="99"/>
    <w:semiHidden/>
    <w:unhideWhenUsed/>
    <w:rsid w:val="000F0116"/>
    <w:rPr>
      <w:color w:val="605E5C"/>
      <w:shd w:val="clear" w:color="auto" w:fill="E1DFDD"/>
    </w:rPr>
  </w:style>
  <w:style w:type="character" w:customStyle="1" w:styleId="cf01">
    <w:name w:val="cf01"/>
    <w:basedOn w:val="DefaultParagraphFont"/>
    <w:rsid w:val="00E133E4"/>
    <w:rPr>
      <w:rFonts w:ascii="Segoe UI" w:hAnsi="Segoe UI" w:cs="Segoe UI" w:hint="default"/>
      <w:color w:val="0D0D0D"/>
      <w:sz w:val="18"/>
      <w:szCs w:val="18"/>
    </w:rPr>
  </w:style>
  <w:style w:type="paragraph" w:customStyle="1" w:styleId="BodyCopyBullets">
    <w:name w:val="Body Copy Bullets"/>
    <w:basedOn w:val="Normal"/>
    <w:uiPriority w:val="1"/>
    <w:qFormat/>
    <w:rsid w:val="006A77D7"/>
    <w:pPr>
      <w:spacing w:before="40" w:after="120"/>
      <w:ind w:left="360" w:hanging="360"/>
    </w:pPr>
    <w:rPr>
      <w:rFonts w:ascii="Calibri Light" w:eastAsia="Calibri" w:hAnsi="Calibri Light" w:cs="Calibri Light"/>
      <w:color w:val="313E48"/>
    </w:rPr>
  </w:style>
  <w:style w:type="paragraph" w:customStyle="1" w:styleId="BodyCopyPrebulletsandnumberedbullets">
    <w:name w:val="Body Copy Pre bullets and numbered bullets"/>
    <w:basedOn w:val="Normal"/>
    <w:qFormat/>
    <w:rsid w:val="00663F35"/>
    <w:pPr>
      <w:suppressAutoHyphens w:val="0"/>
      <w:spacing w:before="0" w:after="160" w:line="256" w:lineRule="auto"/>
    </w:pPr>
    <w:rPr>
      <w:rFonts w:eastAsia="Calibri" w:cs="Calibri Light"/>
      <w:color w:val="auto"/>
      <w:szCs w:val="21"/>
      <w:lang w:val="en-AU"/>
    </w:rPr>
  </w:style>
  <w:style w:type="character" w:customStyle="1" w:styleId="BodyCopyChar">
    <w:name w:val="Body Copy Char"/>
    <w:basedOn w:val="DefaultParagraphFont"/>
    <w:link w:val="BodyCopy"/>
    <w:locked/>
    <w:rsid w:val="00ED4D86"/>
    <w:rPr>
      <w:rFonts w:ascii="Calibri Light" w:hAnsi="Calibri Light" w:cs="Calibri Light"/>
      <w:color w:val="313E48"/>
      <w:szCs w:val="21"/>
    </w:rPr>
  </w:style>
  <w:style w:type="paragraph" w:customStyle="1" w:styleId="BodyCopy">
    <w:name w:val="Body Copy"/>
    <w:link w:val="BodyCopyChar"/>
    <w:qFormat/>
    <w:rsid w:val="00ED4D86"/>
    <w:pPr>
      <w:spacing w:before="40" w:line="240" w:lineRule="auto"/>
    </w:pPr>
    <w:rPr>
      <w:rFonts w:ascii="Calibri Light" w:hAnsi="Calibri Light" w:cs="Calibri Light"/>
      <w:color w:val="313E48"/>
      <w:szCs w:val="21"/>
    </w:rPr>
  </w:style>
  <w:style w:type="character" w:styleId="EndnoteReference">
    <w:name w:val="endnote reference"/>
    <w:basedOn w:val="DefaultParagraphFont"/>
    <w:uiPriority w:val="99"/>
    <w:semiHidden/>
    <w:unhideWhenUsed/>
    <w:rsid w:val="00ED4D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99813">
      <w:bodyDiv w:val="1"/>
      <w:marLeft w:val="0"/>
      <w:marRight w:val="0"/>
      <w:marTop w:val="0"/>
      <w:marBottom w:val="0"/>
      <w:divBdr>
        <w:top w:val="none" w:sz="0" w:space="0" w:color="auto"/>
        <w:left w:val="none" w:sz="0" w:space="0" w:color="auto"/>
        <w:bottom w:val="none" w:sz="0" w:space="0" w:color="auto"/>
        <w:right w:val="none" w:sz="0" w:space="0" w:color="auto"/>
      </w:divBdr>
    </w:div>
    <w:div w:id="373311569">
      <w:bodyDiv w:val="1"/>
      <w:marLeft w:val="0"/>
      <w:marRight w:val="0"/>
      <w:marTop w:val="0"/>
      <w:marBottom w:val="0"/>
      <w:divBdr>
        <w:top w:val="none" w:sz="0" w:space="0" w:color="auto"/>
        <w:left w:val="none" w:sz="0" w:space="0" w:color="auto"/>
        <w:bottom w:val="none" w:sz="0" w:space="0" w:color="auto"/>
        <w:right w:val="none" w:sz="0" w:space="0" w:color="auto"/>
      </w:divBdr>
    </w:div>
    <w:div w:id="628977701">
      <w:bodyDiv w:val="1"/>
      <w:marLeft w:val="0"/>
      <w:marRight w:val="0"/>
      <w:marTop w:val="0"/>
      <w:marBottom w:val="0"/>
      <w:divBdr>
        <w:top w:val="none" w:sz="0" w:space="0" w:color="auto"/>
        <w:left w:val="none" w:sz="0" w:space="0" w:color="auto"/>
        <w:bottom w:val="none" w:sz="0" w:space="0" w:color="auto"/>
        <w:right w:val="none" w:sz="0" w:space="0" w:color="auto"/>
      </w:divBdr>
    </w:div>
    <w:div w:id="846599091">
      <w:bodyDiv w:val="1"/>
      <w:marLeft w:val="0"/>
      <w:marRight w:val="0"/>
      <w:marTop w:val="0"/>
      <w:marBottom w:val="0"/>
      <w:divBdr>
        <w:top w:val="none" w:sz="0" w:space="0" w:color="auto"/>
        <w:left w:val="none" w:sz="0" w:space="0" w:color="auto"/>
        <w:bottom w:val="none" w:sz="0" w:space="0" w:color="auto"/>
        <w:right w:val="none" w:sz="0" w:space="0" w:color="auto"/>
      </w:divBdr>
    </w:div>
    <w:div w:id="1004355772">
      <w:bodyDiv w:val="1"/>
      <w:marLeft w:val="0"/>
      <w:marRight w:val="0"/>
      <w:marTop w:val="0"/>
      <w:marBottom w:val="0"/>
      <w:divBdr>
        <w:top w:val="none" w:sz="0" w:space="0" w:color="auto"/>
        <w:left w:val="none" w:sz="0" w:space="0" w:color="auto"/>
        <w:bottom w:val="none" w:sz="0" w:space="0" w:color="auto"/>
        <w:right w:val="none" w:sz="0" w:space="0" w:color="auto"/>
      </w:divBdr>
    </w:div>
    <w:div w:id="1034618529">
      <w:bodyDiv w:val="1"/>
      <w:marLeft w:val="0"/>
      <w:marRight w:val="0"/>
      <w:marTop w:val="0"/>
      <w:marBottom w:val="0"/>
      <w:divBdr>
        <w:top w:val="none" w:sz="0" w:space="0" w:color="auto"/>
        <w:left w:val="none" w:sz="0" w:space="0" w:color="auto"/>
        <w:bottom w:val="none" w:sz="0" w:space="0" w:color="auto"/>
        <w:right w:val="none" w:sz="0" w:space="0" w:color="auto"/>
      </w:divBdr>
    </w:div>
    <w:div w:id="1417509286">
      <w:bodyDiv w:val="1"/>
      <w:marLeft w:val="0"/>
      <w:marRight w:val="0"/>
      <w:marTop w:val="0"/>
      <w:marBottom w:val="0"/>
      <w:divBdr>
        <w:top w:val="none" w:sz="0" w:space="0" w:color="auto"/>
        <w:left w:val="none" w:sz="0" w:space="0" w:color="auto"/>
        <w:bottom w:val="none" w:sz="0" w:space="0" w:color="auto"/>
        <w:right w:val="none" w:sz="0" w:space="0" w:color="auto"/>
      </w:divBdr>
    </w:div>
    <w:div w:id="1444301770">
      <w:bodyDiv w:val="1"/>
      <w:marLeft w:val="0"/>
      <w:marRight w:val="0"/>
      <w:marTop w:val="0"/>
      <w:marBottom w:val="0"/>
      <w:divBdr>
        <w:top w:val="none" w:sz="0" w:space="0" w:color="auto"/>
        <w:left w:val="none" w:sz="0" w:space="0" w:color="auto"/>
        <w:bottom w:val="none" w:sz="0" w:space="0" w:color="auto"/>
        <w:right w:val="none" w:sz="0" w:space="0" w:color="auto"/>
      </w:divBdr>
    </w:div>
    <w:div w:id="1586189652">
      <w:bodyDiv w:val="1"/>
      <w:marLeft w:val="0"/>
      <w:marRight w:val="0"/>
      <w:marTop w:val="0"/>
      <w:marBottom w:val="0"/>
      <w:divBdr>
        <w:top w:val="none" w:sz="0" w:space="0" w:color="auto"/>
        <w:left w:val="none" w:sz="0" w:space="0" w:color="auto"/>
        <w:bottom w:val="none" w:sz="0" w:space="0" w:color="auto"/>
        <w:right w:val="none" w:sz="0" w:space="0" w:color="auto"/>
      </w:divBdr>
    </w:div>
    <w:div w:id="189060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d4all.com.au/resources/dfat-2025-reasonable-accommodation-in-development-programs-good-practice-note" TargetMode="External"/><Relationship Id="rId18" Type="http://schemas.openxmlformats.org/officeDocument/2006/relationships/hyperlink" Target="https://interagencystandingcommittee.org/iasc-task-team-inclusion-persons-disabilities-humanitarian-action/documents/iasc-guidelin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id4all.com.au/resources/dfat-2025-reasonable-accommodation-in-development-programs-good-practice-note" TargetMode="External"/><Relationship Id="rId7" Type="http://schemas.openxmlformats.org/officeDocument/2006/relationships/endnotes" Target="endnotes.xml"/><Relationship Id="rId12" Type="http://schemas.openxmlformats.org/officeDocument/2006/relationships/hyperlink" Target="https://www.un.org/development/desa/disabilities/convention-on-the-rights-of-persons-with-disabilities.html" TargetMode="External"/><Relationship Id="rId17" Type="http://schemas.openxmlformats.org/officeDocument/2006/relationships/hyperlink" Target="https://www.dfat.gov.au/about-us/publications/Pages/protection-in-humanitarian-action-framework.aspx" TargetMode="External"/><Relationship Id="rId25" Type="http://schemas.openxmlformats.org/officeDocument/2006/relationships/hyperlink" Target="mailto:GEDSI.GEB@dfat.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www.did4all.com.au/Default.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fat.gov.au/publications/publications/australias-humanitarian-policy" TargetMode="External"/><Relationship Id="rId24" Type="http://schemas.openxmlformats.org/officeDocument/2006/relationships/hyperlink" Target="http://aid.dfat.gov.au/publications/Pages/accessibilty-design-guide.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fat.gov.au/publications/publications/australias-international-disability-equity-and-rights-strategy-advancing-equity-transform-lives" TargetMode="External"/><Relationship Id="rId23" Type="http://schemas.openxmlformats.org/officeDocument/2006/relationships/hyperlink" Target="https://www.dfat.gov.au/about-us/publications/international-development-programming-guide" TargetMode="External"/><Relationship Id="rId28" Type="http://schemas.openxmlformats.org/officeDocument/2006/relationships/footer" Target="footer1.xml"/><Relationship Id="rId10" Type="http://schemas.openxmlformats.org/officeDocument/2006/relationships/hyperlink" Target="https://www.dfat.gov.au/publications/development/australias-international-gender-equality-strategy" TargetMode="External"/><Relationship Id="rId19" Type="http://schemas.openxmlformats.org/officeDocument/2006/relationships/hyperlink" Target="https://icnprod01.sharepoint.com/sites/CHCH-MPD-GenderEqualityBranch/Shared%20Documents/General/GPU/06.%20Technical%20and%20thematic%20resources/Guidance%20Notes/Guidance%20Notes%20for%20Update%202025/DFAT%20(2025)%20Disability%20Equity%20in%20Investment%20Design%20Good%20Practice%20Note%20|%20DID4al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dfat.gov.au/publications/development/australias-international-development-policy" TargetMode="External"/><Relationship Id="rId14" Type="http://schemas.openxmlformats.org/officeDocument/2006/relationships/hyperlink" Target="https://www.ohchr.org/en/instruments-mechanisms/instruments/convention-rights-persons-disabilities" TargetMode="External"/><Relationship Id="rId22" Type="http://schemas.openxmlformats.org/officeDocument/2006/relationships/hyperlink" Target="https://did4all.com.au/resources/disability-equity-in-investment-design-good-practice-note-pdf?catid=750"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dfat.gov.au/publications/publications/australias-international-disability-equity-and-rights-strategy-advancing-equity-transform-liv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washingtongroup-disability.com/question-sets/wg-short-set-on-functioning-wg-ss/" TargetMode="External"/><Relationship Id="rId2" Type="http://schemas.openxmlformats.org/officeDocument/2006/relationships/hyperlink" Target="https://disability.royalcommission.gov.au/publications/nature-and-extent-violence-abuse-neglect-and-exploitation-against-people-disability-australia" TargetMode="External"/><Relationship Id="rId1" Type="http://schemas.openxmlformats.org/officeDocument/2006/relationships/hyperlink" Target="https://www.who.int/publications/i/item/9789240063600" TargetMode="External"/><Relationship Id="rId4" Type="http://schemas.openxmlformats.org/officeDocument/2006/relationships/hyperlink" Target="https://www.dfat.gov.au/about-us/publications/Pages/protection-in-humanitarian-action-framewor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0CBA0-BF4E-4385-A03A-A5AE8BAAB660}">
  <ds:schemaRefs>
    <ds:schemaRef ds:uri="http://schemas.openxmlformats.org/officeDocument/2006/bibliography"/>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2955</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19760</CharactersWithSpaces>
  <SharedDoc>false</SharedDoc>
  <HLinks>
    <vt:vector size="114" baseType="variant">
      <vt:variant>
        <vt:i4>1179701</vt:i4>
      </vt:variant>
      <vt:variant>
        <vt:i4>42</vt:i4>
      </vt:variant>
      <vt:variant>
        <vt:i4>0</vt:i4>
      </vt:variant>
      <vt:variant>
        <vt:i4>5</vt:i4>
      </vt:variant>
      <vt:variant>
        <vt:lpwstr>mailto:GEDSI.GEB@dfat.gov.au</vt:lpwstr>
      </vt:variant>
      <vt:variant>
        <vt:lpwstr/>
      </vt:variant>
      <vt:variant>
        <vt:i4>4390981</vt:i4>
      </vt:variant>
      <vt:variant>
        <vt:i4>39</vt:i4>
      </vt:variant>
      <vt:variant>
        <vt:i4>0</vt:i4>
      </vt:variant>
      <vt:variant>
        <vt:i4>5</vt:i4>
      </vt:variant>
      <vt:variant>
        <vt:lpwstr>http://aid.dfat.gov.au/publications/Pages/accessibilty-design-guide.aspx</vt:lpwstr>
      </vt:variant>
      <vt:variant>
        <vt:lpwstr/>
      </vt:variant>
      <vt:variant>
        <vt:i4>6946873</vt:i4>
      </vt:variant>
      <vt:variant>
        <vt:i4>36</vt:i4>
      </vt:variant>
      <vt:variant>
        <vt:i4>0</vt:i4>
      </vt:variant>
      <vt:variant>
        <vt:i4>5</vt:i4>
      </vt:variant>
      <vt:variant>
        <vt:lpwstr>https://did4all.com.au/resources/dfat-2025-reasonable-accommodation-in-development-programs-good-practice-note</vt:lpwstr>
      </vt:variant>
      <vt:variant>
        <vt:lpwstr/>
      </vt:variant>
      <vt:variant>
        <vt:i4>2818153</vt:i4>
      </vt:variant>
      <vt:variant>
        <vt:i4>33</vt:i4>
      </vt:variant>
      <vt:variant>
        <vt:i4>0</vt:i4>
      </vt:variant>
      <vt:variant>
        <vt:i4>5</vt:i4>
      </vt:variant>
      <vt:variant>
        <vt:lpwstr>http://www.did4all.com.au/Default.aspx</vt:lpwstr>
      </vt:variant>
      <vt:variant>
        <vt:lpwstr/>
      </vt:variant>
      <vt:variant>
        <vt:i4>7798893</vt:i4>
      </vt:variant>
      <vt:variant>
        <vt:i4>30</vt:i4>
      </vt:variant>
      <vt:variant>
        <vt:i4>0</vt:i4>
      </vt:variant>
      <vt:variant>
        <vt:i4>5</vt:i4>
      </vt:variant>
      <vt:variant>
        <vt:lpwstr>DFAT (2025) Disability Equity in Investment Design Good Practice Note | DID4all</vt:lpwstr>
      </vt:variant>
      <vt:variant>
        <vt:lpwstr/>
      </vt:variant>
      <vt:variant>
        <vt:i4>983111</vt:i4>
      </vt:variant>
      <vt:variant>
        <vt:i4>27</vt:i4>
      </vt:variant>
      <vt:variant>
        <vt:i4>0</vt:i4>
      </vt:variant>
      <vt:variant>
        <vt:i4>5</vt:i4>
      </vt:variant>
      <vt:variant>
        <vt:lpwstr>https://interagencystandingcommittee.org/iasc-task-team-inclusion-persons-disabilities-humanitarian-action/documents/iasc-guidelines</vt:lpwstr>
      </vt:variant>
      <vt:variant>
        <vt:lpwstr/>
      </vt:variant>
      <vt:variant>
        <vt:i4>25</vt:i4>
      </vt:variant>
      <vt:variant>
        <vt:i4>24</vt:i4>
      </vt:variant>
      <vt:variant>
        <vt:i4>0</vt:i4>
      </vt:variant>
      <vt:variant>
        <vt:i4>5</vt:i4>
      </vt:variant>
      <vt:variant>
        <vt:lpwstr>https://www.dfat.gov.au/about-us/publications/Pages/protection-in-humanitarian-action-framework.aspx</vt:lpwstr>
      </vt:variant>
      <vt:variant>
        <vt:lpwstr/>
      </vt:variant>
      <vt:variant>
        <vt:i4>4980737</vt:i4>
      </vt:variant>
      <vt:variant>
        <vt:i4>21</vt:i4>
      </vt:variant>
      <vt:variant>
        <vt:i4>0</vt:i4>
      </vt:variant>
      <vt:variant>
        <vt:i4>5</vt:i4>
      </vt:variant>
      <vt:variant>
        <vt:lpwstr>https://www.dfat.gov.au/publications/publications/australias-international-disability-equity-and-rights-strategy-advancing-equity-transform-lives</vt:lpwstr>
      </vt:variant>
      <vt:variant>
        <vt:lpwstr/>
      </vt:variant>
      <vt:variant>
        <vt:i4>2293870</vt:i4>
      </vt:variant>
      <vt:variant>
        <vt:i4>18</vt:i4>
      </vt:variant>
      <vt:variant>
        <vt:i4>0</vt:i4>
      </vt:variant>
      <vt:variant>
        <vt:i4>5</vt:i4>
      </vt:variant>
      <vt:variant>
        <vt:lpwstr>https://www.ohchr.org/en/instruments-mechanisms/instruments/convention-rights-persons-disabilities</vt:lpwstr>
      </vt:variant>
      <vt:variant>
        <vt:lpwstr/>
      </vt:variant>
      <vt:variant>
        <vt:i4>6946873</vt:i4>
      </vt:variant>
      <vt:variant>
        <vt:i4>15</vt:i4>
      </vt:variant>
      <vt:variant>
        <vt:i4>0</vt:i4>
      </vt:variant>
      <vt:variant>
        <vt:i4>5</vt:i4>
      </vt:variant>
      <vt:variant>
        <vt:lpwstr>https://did4all.com.au/resources/dfat-2025-reasonable-accommodation-in-development-programs-good-practice-note</vt:lpwstr>
      </vt:variant>
      <vt:variant>
        <vt:lpwstr/>
      </vt:variant>
      <vt:variant>
        <vt:i4>3604583</vt:i4>
      </vt:variant>
      <vt:variant>
        <vt:i4>12</vt:i4>
      </vt:variant>
      <vt:variant>
        <vt:i4>0</vt:i4>
      </vt:variant>
      <vt:variant>
        <vt:i4>5</vt:i4>
      </vt:variant>
      <vt:variant>
        <vt:lpwstr>https://www.un.org/development/desa/disabilities/convention-on-the-rights-of-persons-with-disabilities.html</vt:lpwstr>
      </vt:variant>
      <vt:variant>
        <vt:lpwstr/>
      </vt:variant>
      <vt:variant>
        <vt:i4>65627</vt:i4>
      </vt:variant>
      <vt:variant>
        <vt:i4>9</vt:i4>
      </vt:variant>
      <vt:variant>
        <vt:i4>0</vt:i4>
      </vt:variant>
      <vt:variant>
        <vt:i4>5</vt:i4>
      </vt:variant>
      <vt:variant>
        <vt:lpwstr>https://www.dfat.gov.au/publications/publications/australias-humanitarian-policy</vt:lpwstr>
      </vt:variant>
      <vt:variant>
        <vt:lpwstr/>
      </vt:variant>
      <vt:variant>
        <vt:i4>2424930</vt:i4>
      </vt:variant>
      <vt:variant>
        <vt:i4>6</vt:i4>
      </vt:variant>
      <vt:variant>
        <vt:i4>0</vt:i4>
      </vt:variant>
      <vt:variant>
        <vt:i4>5</vt:i4>
      </vt:variant>
      <vt:variant>
        <vt:lpwstr>https://www.dfat.gov.au/publications/development/australias-international-gender-equality-strategy</vt:lpwstr>
      </vt:variant>
      <vt:variant>
        <vt:lpwstr/>
      </vt:variant>
      <vt:variant>
        <vt:i4>4456529</vt:i4>
      </vt:variant>
      <vt:variant>
        <vt:i4>3</vt:i4>
      </vt:variant>
      <vt:variant>
        <vt:i4>0</vt:i4>
      </vt:variant>
      <vt:variant>
        <vt:i4>5</vt:i4>
      </vt:variant>
      <vt:variant>
        <vt:lpwstr>https://www.dfat.gov.au/publications/development/australias-international-development-policy</vt:lpwstr>
      </vt:variant>
      <vt:variant>
        <vt:lpwstr/>
      </vt:variant>
      <vt:variant>
        <vt:i4>4980737</vt:i4>
      </vt:variant>
      <vt:variant>
        <vt:i4>0</vt:i4>
      </vt:variant>
      <vt:variant>
        <vt:i4>0</vt:i4>
      </vt:variant>
      <vt:variant>
        <vt:i4>5</vt:i4>
      </vt:variant>
      <vt:variant>
        <vt:lpwstr>https://www.dfat.gov.au/publications/publications/australias-international-disability-equity-and-rights-strategy-advancing-equity-transform-lives</vt:lpwstr>
      </vt:variant>
      <vt:variant>
        <vt:lpwstr/>
      </vt:variant>
      <vt:variant>
        <vt:i4>2424931</vt:i4>
      </vt:variant>
      <vt:variant>
        <vt:i4>9</vt:i4>
      </vt:variant>
      <vt:variant>
        <vt:i4>0</vt:i4>
      </vt:variant>
      <vt:variant>
        <vt:i4>5</vt:i4>
      </vt:variant>
      <vt:variant>
        <vt:lpwstr>https://www.dfat.gov.au/about-us/publications/Pages/protection-in-humanitarian-action-framework</vt:lpwstr>
      </vt:variant>
      <vt:variant>
        <vt:lpwstr/>
      </vt:variant>
      <vt:variant>
        <vt:i4>2818171</vt:i4>
      </vt:variant>
      <vt:variant>
        <vt:i4>6</vt:i4>
      </vt:variant>
      <vt:variant>
        <vt:i4>0</vt:i4>
      </vt:variant>
      <vt:variant>
        <vt:i4>5</vt:i4>
      </vt:variant>
      <vt:variant>
        <vt:lpwstr>https://www.washingtongroup-disability.com/question-sets/wg-short-set-on-functioning-wg-ss/</vt:lpwstr>
      </vt:variant>
      <vt:variant>
        <vt:lpwstr/>
      </vt:variant>
      <vt:variant>
        <vt:i4>1704011</vt:i4>
      </vt:variant>
      <vt:variant>
        <vt:i4>3</vt:i4>
      </vt:variant>
      <vt:variant>
        <vt:i4>0</vt:i4>
      </vt:variant>
      <vt:variant>
        <vt:i4>5</vt:i4>
      </vt:variant>
      <vt:variant>
        <vt:lpwstr>https://disability.royalcommission.gov.au/publications/nature-and-extent-violence-abuse-neglect-and-exploitation-against-people-disability-australia</vt:lpwstr>
      </vt:variant>
      <vt:variant>
        <vt:lpwstr/>
      </vt:variant>
      <vt:variant>
        <vt:i4>1966146</vt:i4>
      </vt:variant>
      <vt:variant>
        <vt:i4>0</vt:i4>
      </vt:variant>
      <vt:variant>
        <vt:i4>0</vt:i4>
      </vt:variant>
      <vt:variant>
        <vt:i4>5</vt:i4>
      </vt:variant>
      <vt:variant>
        <vt:lpwstr>https://www.who.int/publications/i/item/9789240063600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equity and rights in Australia’s international development program - Good practice note</dc:title>
  <dc:subject/>
  <dc:creator/>
  <cp:keywords/>
  <dc:description/>
  <cp:lastModifiedBy/>
  <cp:revision>1</cp:revision>
  <dcterms:created xsi:type="dcterms:W3CDTF">2026-06-04T00:21:00Z</dcterms:created>
  <dcterms:modified xsi:type="dcterms:W3CDTF">2026-06-04T00:21:00Z</dcterms:modified>
  <cp:category/>
</cp:coreProperties>
</file>