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94867" w14:textId="77777777" w:rsidR="00A778DE" w:rsidRPr="00C07D82" w:rsidRDefault="00A778DE" w:rsidP="006D03A3">
      <w:pPr>
        <w:pStyle w:val="Heading1"/>
        <w:numPr>
          <w:ilvl w:val="0"/>
          <w:numId w:val="0"/>
        </w:numPr>
        <w:ind w:left="720"/>
        <w:jc w:val="center"/>
        <w:rPr>
          <w:rFonts w:ascii="Arial" w:eastAsia="Times New Roman" w:hAnsi="Arial" w:cs="Arial"/>
          <w:bCs w:val="0"/>
          <w:color w:val="auto"/>
          <w:sz w:val="28"/>
          <w:szCs w:val="28"/>
          <w:lang w:val="en-GB"/>
        </w:rPr>
      </w:pPr>
      <w:bookmarkStart w:id="0" w:name="_Toc381803612"/>
      <w:bookmarkStart w:id="1" w:name="_GoBack"/>
      <w:bookmarkEnd w:id="1"/>
      <w:r w:rsidRPr="00C07D82">
        <w:rPr>
          <w:rFonts w:ascii="Arial" w:eastAsia="Times New Roman" w:hAnsi="Arial" w:cs="Arial"/>
          <w:bCs w:val="0"/>
          <w:color w:val="auto"/>
          <w:sz w:val="28"/>
          <w:szCs w:val="28"/>
          <w:lang w:val="en-GB"/>
        </w:rPr>
        <w:t>Direct Funding Agreement</w:t>
      </w:r>
      <w:bookmarkEnd w:id="0"/>
      <w:r w:rsidRPr="00C07D82">
        <w:rPr>
          <w:rFonts w:ascii="Arial" w:eastAsia="Times New Roman" w:hAnsi="Arial" w:cs="Arial"/>
          <w:bCs w:val="0"/>
          <w:color w:val="auto"/>
          <w:sz w:val="28"/>
          <w:szCs w:val="28"/>
          <w:lang w:val="en-GB"/>
        </w:rPr>
        <w:t xml:space="preserve"> between the</w:t>
      </w:r>
    </w:p>
    <w:p w14:paraId="36A94868" w14:textId="77777777" w:rsidR="00A778DE" w:rsidRPr="00C07D82" w:rsidRDefault="00A778DE" w:rsidP="00A778DE">
      <w:pPr>
        <w:spacing w:after="120"/>
        <w:jc w:val="center"/>
        <w:rPr>
          <w:rFonts w:cs="Arial"/>
          <w:b/>
          <w:sz w:val="28"/>
          <w:szCs w:val="28"/>
          <w:lang w:val="en-GB"/>
        </w:rPr>
      </w:pPr>
      <w:r w:rsidRPr="00C07D82">
        <w:rPr>
          <w:rFonts w:cs="Arial"/>
          <w:b/>
          <w:sz w:val="28"/>
          <w:szCs w:val="28"/>
          <w:lang w:val="en-GB"/>
        </w:rPr>
        <w:t>Government of Australia as represented by the Department of Foreign Affairs and Trade</w:t>
      </w:r>
      <w:r w:rsidRPr="00C07D82">
        <w:rPr>
          <w:rFonts w:cs="Arial"/>
          <w:b/>
          <w:sz w:val="28"/>
          <w:szCs w:val="28"/>
          <w:lang w:val="en-GB"/>
        </w:rPr>
        <w:br/>
        <w:t>and</w:t>
      </w:r>
    </w:p>
    <w:p w14:paraId="36A94869" w14:textId="77777777" w:rsidR="00A778DE" w:rsidRPr="00C07D82" w:rsidRDefault="00A778DE" w:rsidP="00A778DE">
      <w:pPr>
        <w:spacing w:after="120"/>
        <w:jc w:val="center"/>
        <w:rPr>
          <w:rFonts w:cs="Arial"/>
          <w:b/>
          <w:i/>
          <w:sz w:val="28"/>
          <w:szCs w:val="28"/>
          <w:lang w:val="en-GB"/>
        </w:rPr>
      </w:pPr>
      <w:r w:rsidRPr="00C07D82">
        <w:rPr>
          <w:rFonts w:cs="Arial"/>
          <w:b/>
          <w:sz w:val="28"/>
          <w:szCs w:val="28"/>
          <w:lang w:val="en-GB"/>
        </w:rPr>
        <w:t xml:space="preserve">Government of Vietnam as represented by </w:t>
      </w:r>
      <w:r w:rsidR="000A7186" w:rsidRPr="00C07D82">
        <w:rPr>
          <w:rFonts w:cs="Arial"/>
          <w:b/>
          <w:sz w:val="28"/>
          <w:szCs w:val="28"/>
          <w:lang w:val="en-GB"/>
        </w:rPr>
        <w:t>the Ministry of Planning and Investment</w:t>
      </w:r>
      <w:r w:rsidR="006D03A3" w:rsidRPr="00C07D82">
        <w:rPr>
          <w:rFonts w:cs="Arial"/>
          <w:b/>
          <w:sz w:val="28"/>
          <w:szCs w:val="28"/>
          <w:lang w:val="en-GB"/>
        </w:rPr>
        <w:t xml:space="preserve">, </w:t>
      </w:r>
      <w:r w:rsidR="000A7186" w:rsidRPr="00C07D82">
        <w:rPr>
          <w:rFonts w:cs="Arial"/>
          <w:b/>
          <w:sz w:val="28"/>
          <w:szCs w:val="28"/>
          <w:lang w:val="en-GB"/>
        </w:rPr>
        <w:t xml:space="preserve">the Ministry of Industry and Trade </w:t>
      </w:r>
      <w:r w:rsidR="006D03A3" w:rsidRPr="00C07D82">
        <w:rPr>
          <w:rFonts w:cs="Arial"/>
          <w:b/>
          <w:sz w:val="28"/>
          <w:szCs w:val="28"/>
          <w:lang w:val="en-GB"/>
        </w:rPr>
        <w:t xml:space="preserve">and </w:t>
      </w:r>
      <w:r w:rsidR="000A7186" w:rsidRPr="00C07D82">
        <w:rPr>
          <w:rFonts w:cs="Arial"/>
          <w:b/>
          <w:sz w:val="28"/>
          <w:szCs w:val="28"/>
          <w:lang w:val="en-GB"/>
        </w:rPr>
        <w:t>the Ministry of Agriculture and Rural Development</w:t>
      </w:r>
    </w:p>
    <w:p w14:paraId="36A9486A" w14:textId="77777777" w:rsidR="00A778DE" w:rsidRPr="00C07D82" w:rsidRDefault="00A778DE" w:rsidP="00A778DE">
      <w:pPr>
        <w:spacing w:after="120"/>
        <w:jc w:val="center"/>
        <w:rPr>
          <w:rFonts w:cs="Arial"/>
          <w:b/>
          <w:sz w:val="28"/>
          <w:szCs w:val="28"/>
          <w:lang w:val="en-GB"/>
        </w:rPr>
      </w:pPr>
      <w:r w:rsidRPr="00C07D82">
        <w:rPr>
          <w:rFonts w:cs="Arial"/>
          <w:b/>
          <w:sz w:val="28"/>
          <w:szCs w:val="28"/>
          <w:lang w:val="en-GB"/>
        </w:rPr>
        <w:t>In relation to</w:t>
      </w:r>
    </w:p>
    <w:p w14:paraId="36A9486B" w14:textId="77777777" w:rsidR="00A778DE" w:rsidRPr="00C07D82" w:rsidRDefault="00A778DE" w:rsidP="00A778DE">
      <w:pPr>
        <w:spacing w:before="240" w:after="240"/>
        <w:jc w:val="center"/>
        <w:rPr>
          <w:rFonts w:cs="Arial"/>
          <w:b/>
          <w:i/>
          <w:sz w:val="28"/>
          <w:szCs w:val="28"/>
          <w:lang w:val="en-GB"/>
        </w:rPr>
      </w:pPr>
      <w:r w:rsidRPr="00C07D82">
        <w:rPr>
          <w:rFonts w:cs="Arial"/>
          <w:b/>
          <w:i/>
          <w:sz w:val="28"/>
          <w:szCs w:val="28"/>
          <w:lang w:val="en-GB"/>
        </w:rPr>
        <w:t xml:space="preserve">Restructuring for a more Competitive Vietnam </w:t>
      </w:r>
      <w:r w:rsidR="006D03A3" w:rsidRPr="00C07D82">
        <w:rPr>
          <w:rFonts w:cs="Arial"/>
          <w:b/>
          <w:i/>
          <w:sz w:val="28"/>
          <w:szCs w:val="28"/>
          <w:lang w:val="en-GB"/>
        </w:rPr>
        <w:t xml:space="preserve">Project </w:t>
      </w:r>
      <w:r w:rsidRPr="00C07D82">
        <w:rPr>
          <w:rFonts w:cs="Arial"/>
          <w:b/>
          <w:i/>
          <w:sz w:val="28"/>
          <w:szCs w:val="28"/>
          <w:lang w:val="en-GB"/>
        </w:rPr>
        <w:t>(RCV)</w:t>
      </w:r>
    </w:p>
    <w:p w14:paraId="36A9486C" w14:textId="77777777" w:rsidR="00A778DE" w:rsidRPr="00C07D82" w:rsidRDefault="00A778DE" w:rsidP="00A778DE">
      <w:pPr>
        <w:spacing w:before="240" w:after="240"/>
        <w:rPr>
          <w:rFonts w:cs="Arial"/>
          <w:b/>
          <w:szCs w:val="22"/>
          <w:lang w:val="en-GB"/>
        </w:rPr>
      </w:pPr>
      <w:r w:rsidRPr="00C07D82">
        <w:rPr>
          <w:rFonts w:cs="Arial"/>
          <w:b/>
          <w:szCs w:val="22"/>
          <w:lang w:val="en-GB"/>
        </w:rPr>
        <w:t>General</w:t>
      </w:r>
    </w:p>
    <w:p w14:paraId="36A9486D" w14:textId="77777777" w:rsidR="00A778DE" w:rsidRPr="00C07D82" w:rsidRDefault="00A778DE" w:rsidP="006D03A3">
      <w:pPr>
        <w:pStyle w:val="ListParagraph"/>
        <w:rPr>
          <w:b/>
        </w:rPr>
      </w:pPr>
      <w:r w:rsidRPr="00C07D82">
        <w:rPr>
          <w:lang w:val="en-GB"/>
        </w:rPr>
        <w:t xml:space="preserve">This Agreement expresses understandings between the Government of </w:t>
      </w:r>
      <w:r w:rsidRPr="00C07D82">
        <w:t>Vietnam</w:t>
      </w:r>
      <w:r w:rsidRPr="00C07D82">
        <w:rPr>
          <w:b/>
        </w:rPr>
        <w:t xml:space="preserve"> </w:t>
      </w:r>
      <w:r w:rsidRPr="00C07D82">
        <w:t xml:space="preserve">as represented by </w:t>
      </w:r>
      <w:r w:rsidR="000A7186" w:rsidRPr="00C07D82">
        <w:t>the Ministry of Planning and Investment</w:t>
      </w:r>
      <w:r w:rsidR="00AE4DF2" w:rsidRPr="00C07D82">
        <w:t xml:space="preserve"> (MPI</w:t>
      </w:r>
      <w:r w:rsidR="006D03A3" w:rsidRPr="00C07D82">
        <w:t>),</w:t>
      </w:r>
      <w:r w:rsidR="000A7186" w:rsidRPr="00C07D82">
        <w:t xml:space="preserve"> the Ministry of Industry and Trade</w:t>
      </w:r>
      <w:r w:rsidR="006D03A3" w:rsidRPr="00C07D82">
        <w:t xml:space="preserve"> (MOIT), and </w:t>
      </w:r>
      <w:r w:rsidR="000A7186" w:rsidRPr="00C07D82">
        <w:t>the Ministry of Agriculture and Rural Development</w:t>
      </w:r>
      <w:r w:rsidR="00AE4DF2" w:rsidRPr="00C07D82">
        <w:t xml:space="preserve"> (</w:t>
      </w:r>
      <w:r w:rsidR="006D03A3" w:rsidRPr="00C07D82">
        <w:t>M</w:t>
      </w:r>
      <w:r w:rsidR="000A7186" w:rsidRPr="00C07D82">
        <w:t>ARD</w:t>
      </w:r>
      <w:r w:rsidR="00AE4DF2" w:rsidRPr="00C07D82">
        <w:t>)</w:t>
      </w:r>
      <w:r w:rsidR="000A7186" w:rsidRPr="00C07D82">
        <w:t xml:space="preserve"> </w:t>
      </w:r>
      <w:r w:rsidRPr="00C07D82">
        <w:t>hereafter referred to as the “Partner Government”</w:t>
      </w:r>
      <w:r w:rsidRPr="00C07D82">
        <w:rPr>
          <w:b/>
        </w:rPr>
        <w:t xml:space="preserve"> </w:t>
      </w:r>
      <w:r w:rsidRPr="00C07D82">
        <w:rPr>
          <w:lang w:val="en-GB"/>
        </w:rPr>
        <w:t>and the Government of Australia as represented by the Department of Foreign Affairs and Trade hereafter referred to as “GOA”, hereafter referred to collectively as “the Parties”.</w:t>
      </w:r>
    </w:p>
    <w:p w14:paraId="36A9486E" w14:textId="77777777" w:rsidR="00A778DE" w:rsidRPr="00C07D82" w:rsidRDefault="00A778DE" w:rsidP="00A778DE">
      <w:pPr>
        <w:pStyle w:val="ListParagraph"/>
        <w:rPr>
          <w:szCs w:val="22"/>
        </w:rPr>
      </w:pPr>
      <w:r w:rsidRPr="00C07D82">
        <w:rPr>
          <w:lang w:val="en-GB"/>
        </w:rPr>
        <w:t>This Agreement is made pursuant to the terms of Memorandum of Understanding on Development Cooperation of 27 May 1993 and its amendment of 28 August 2011 (MOU) between GOA and the Partner Government</w:t>
      </w:r>
      <w:r w:rsidRPr="00C07D82">
        <w:rPr>
          <w:b/>
          <w:bCs/>
          <w:lang w:val="en-GB"/>
        </w:rPr>
        <w:t xml:space="preserve">. </w:t>
      </w:r>
      <w:r w:rsidRPr="00C07D82">
        <w:rPr>
          <w:lang w:val="en-GB"/>
        </w:rPr>
        <w:t>This Agreement constitutes a Subsidiary Arrangement under</w:t>
      </w:r>
      <w:r w:rsidRPr="00C07D82">
        <w:rPr>
          <w:b/>
          <w:bCs/>
          <w:lang w:val="en-GB"/>
        </w:rPr>
        <w:t xml:space="preserve"> </w:t>
      </w:r>
      <w:r w:rsidRPr="00C07D82">
        <w:rPr>
          <w:lang w:val="en-GB"/>
        </w:rPr>
        <w:t>Article 5 of the MOU.</w:t>
      </w:r>
      <w:r w:rsidRPr="00C07D82">
        <w:t xml:space="preserve"> </w:t>
      </w:r>
    </w:p>
    <w:p w14:paraId="36A9486F" w14:textId="77777777" w:rsidR="00A778DE" w:rsidRPr="00C07D82" w:rsidRDefault="00A778DE" w:rsidP="00A778DE">
      <w:pPr>
        <w:pStyle w:val="ListParagraph"/>
        <w:rPr>
          <w:szCs w:val="22"/>
        </w:rPr>
      </w:pPr>
      <w:r w:rsidRPr="00C07D82">
        <w:rPr>
          <w:szCs w:val="22"/>
        </w:rPr>
        <w:t>The terms of the MOU between GOA and the Partner Government apply to this Agreement.</w:t>
      </w:r>
    </w:p>
    <w:p w14:paraId="36A94870" w14:textId="77777777" w:rsidR="00A778DE" w:rsidRPr="00C07D82" w:rsidRDefault="00A778DE" w:rsidP="00A778DE">
      <w:pPr>
        <w:pStyle w:val="ListParagraph"/>
        <w:rPr>
          <w:szCs w:val="22"/>
        </w:rPr>
      </w:pPr>
      <w:r w:rsidRPr="00C07D82">
        <w:rPr>
          <w:szCs w:val="22"/>
        </w:rPr>
        <w:t xml:space="preserve">This Agreement represents the understanding of the respective responsibilities and contributions of both Parties with regard to the provision of the Restructuring for a more Competitive Vietnam </w:t>
      </w:r>
      <w:r w:rsidR="006D03A3" w:rsidRPr="00C07D82">
        <w:rPr>
          <w:szCs w:val="22"/>
        </w:rPr>
        <w:t xml:space="preserve">Project </w:t>
      </w:r>
      <w:r w:rsidRPr="00C07D82">
        <w:rPr>
          <w:szCs w:val="22"/>
        </w:rPr>
        <w:t>(”the Pro</w:t>
      </w:r>
      <w:r w:rsidR="006D03A3" w:rsidRPr="00C07D82">
        <w:rPr>
          <w:szCs w:val="22"/>
        </w:rPr>
        <w:t>ject</w:t>
      </w:r>
      <w:r w:rsidRPr="00C07D82">
        <w:rPr>
          <w:szCs w:val="22"/>
        </w:rPr>
        <w:t>”).</w:t>
      </w:r>
      <w:r w:rsidR="004E5F02" w:rsidRPr="00C07D82">
        <w:rPr>
          <w:szCs w:val="22"/>
        </w:rPr>
        <w:t xml:space="preserve"> </w:t>
      </w:r>
    </w:p>
    <w:p w14:paraId="36A94871" w14:textId="77777777" w:rsidR="00A778DE" w:rsidRPr="00C07D82" w:rsidRDefault="00A778DE" w:rsidP="00A778DE">
      <w:pPr>
        <w:ind w:left="426"/>
        <w:rPr>
          <w:rFonts w:cs="Arial"/>
          <w:b/>
          <w:szCs w:val="22"/>
        </w:rPr>
      </w:pPr>
      <w:r w:rsidRPr="00C07D82">
        <w:rPr>
          <w:rFonts w:cs="Arial"/>
          <w:b/>
          <w:szCs w:val="22"/>
        </w:rPr>
        <w:t>Definitions</w:t>
      </w:r>
    </w:p>
    <w:p w14:paraId="36A94872" w14:textId="77777777" w:rsidR="000A7186" w:rsidRPr="00C07D82" w:rsidRDefault="000A7186" w:rsidP="00A778DE">
      <w:pPr>
        <w:ind w:left="426"/>
        <w:rPr>
          <w:rFonts w:cs="Arial"/>
          <w:b/>
          <w:szCs w:val="22"/>
        </w:rPr>
      </w:pPr>
    </w:p>
    <w:p w14:paraId="36A94873" w14:textId="77777777" w:rsidR="00A778DE" w:rsidRPr="00C07D82" w:rsidRDefault="00A778DE" w:rsidP="00A778DE">
      <w:pPr>
        <w:pStyle w:val="ListParagraph"/>
        <w:rPr>
          <w:szCs w:val="22"/>
        </w:rPr>
      </w:pPr>
      <w:r w:rsidRPr="00C07D82">
        <w:rPr>
          <w:szCs w:val="22"/>
        </w:rPr>
        <w:t>Under this Agreement:</w:t>
      </w:r>
    </w:p>
    <w:p w14:paraId="36A94874" w14:textId="77777777" w:rsidR="00077695" w:rsidRPr="00C07D82" w:rsidRDefault="00077695" w:rsidP="00077695">
      <w:pPr>
        <w:spacing w:after="120"/>
        <w:ind w:left="426"/>
        <w:rPr>
          <w:rFonts w:cs="Arial"/>
          <w:szCs w:val="22"/>
        </w:rPr>
      </w:pPr>
      <w:r w:rsidRPr="00C07D82">
        <w:rPr>
          <w:rFonts w:cs="Arial"/>
          <w:b/>
          <w:szCs w:val="22"/>
        </w:rPr>
        <w:t xml:space="preserve">AWP </w:t>
      </w:r>
      <w:r w:rsidRPr="00C07D82">
        <w:rPr>
          <w:rFonts w:cs="Arial"/>
          <w:szCs w:val="22"/>
        </w:rPr>
        <w:t>refers to the Annual Work Plan</w:t>
      </w:r>
    </w:p>
    <w:p w14:paraId="36A94875" w14:textId="77777777" w:rsidR="00077695" w:rsidRPr="00C07D82" w:rsidRDefault="00077695" w:rsidP="00077695">
      <w:pPr>
        <w:spacing w:after="120"/>
        <w:ind w:left="426"/>
        <w:rPr>
          <w:rFonts w:cs="Arial"/>
          <w:b/>
          <w:szCs w:val="22"/>
        </w:rPr>
      </w:pPr>
      <w:r w:rsidRPr="00C07D82">
        <w:rPr>
          <w:rFonts w:cs="Arial"/>
          <w:b/>
          <w:szCs w:val="22"/>
        </w:rPr>
        <w:t xml:space="preserve">CD </w:t>
      </w:r>
      <w:r w:rsidRPr="00C07D82">
        <w:rPr>
          <w:rFonts w:cs="Arial"/>
          <w:szCs w:val="22"/>
        </w:rPr>
        <w:t>refers to the Component Director</w:t>
      </w:r>
    </w:p>
    <w:p w14:paraId="36A94876" w14:textId="77777777" w:rsidR="00077695" w:rsidRPr="00C07D82" w:rsidRDefault="00077695" w:rsidP="00A778DE">
      <w:pPr>
        <w:spacing w:after="120"/>
        <w:ind w:left="426"/>
        <w:rPr>
          <w:rFonts w:cs="Arial"/>
          <w:szCs w:val="22"/>
        </w:rPr>
      </w:pPr>
      <w:r w:rsidRPr="00C07D82">
        <w:rPr>
          <w:rFonts w:cs="Arial"/>
          <w:b/>
          <w:szCs w:val="22"/>
        </w:rPr>
        <w:t>CIEM</w:t>
      </w:r>
      <w:r w:rsidRPr="00C07D82">
        <w:rPr>
          <w:rFonts w:cs="Arial"/>
          <w:szCs w:val="22"/>
        </w:rPr>
        <w:t xml:space="preserve"> refers to the Central Institute for Economic Management</w:t>
      </w:r>
    </w:p>
    <w:p w14:paraId="36A94877" w14:textId="77777777" w:rsidR="00077695" w:rsidRPr="00C07D82" w:rsidRDefault="00077695" w:rsidP="00A778DE">
      <w:pPr>
        <w:spacing w:after="120"/>
        <w:ind w:left="426"/>
        <w:rPr>
          <w:rFonts w:cs="Arial"/>
          <w:b/>
          <w:szCs w:val="22"/>
        </w:rPr>
      </w:pPr>
      <w:r w:rsidRPr="00C07D82">
        <w:rPr>
          <w:rFonts w:cs="Arial"/>
          <w:b/>
          <w:szCs w:val="22"/>
        </w:rPr>
        <w:t xml:space="preserve">CPV </w:t>
      </w:r>
      <w:r w:rsidRPr="00C07D82">
        <w:rPr>
          <w:rFonts w:cs="Arial"/>
          <w:szCs w:val="22"/>
        </w:rPr>
        <w:t>refers to Communist Party of Vietnam</w:t>
      </w:r>
    </w:p>
    <w:p w14:paraId="36A94878" w14:textId="77777777" w:rsidR="00077695" w:rsidRPr="00C07D82" w:rsidRDefault="00077695" w:rsidP="00077695">
      <w:pPr>
        <w:spacing w:after="120"/>
        <w:ind w:left="426"/>
        <w:rPr>
          <w:rFonts w:cs="Arial"/>
          <w:szCs w:val="22"/>
          <w:lang w:val="en-US"/>
        </w:rPr>
      </w:pPr>
      <w:r w:rsidRPr="00C07D82">
        <w:rPr>
          <w:rFonts w:cs="Arial"/>
          <w:b/>
          <w:szCs w:val="22"/>
        </w:rPr>
        <w:t>IPSARD</w:t>
      </w:r>
      <w:r w:rsidRPr="00C07D82">
        <w:rPr>
          <w:rFonts w:cs="Arial"/>
          <w:szCs w:val="22"/>
        </w:rPr>
        <w:t xml:space="preserve"> refers to the Institute for Policy and Strategy of </w:t>
      </w:r>
      <w:r w:rsidRPr="00C07D82">
        <w:rPr>
          <w:rFonts w:cs="Arial"/>
          <w:szCs w:val="22"/>
          <w:lang w:val="en-US"/>
        </w:rPr>
        <w:t>Agriculture and Rural Development</w:t>
      </w:r>
    </w:p>
    <w:p w14:paraId="36A94879" w14:textId="77777777" w:rsidR="000A7186" w:rsidRPr="00C07D82" w:rsidRDefault="000A7186" w:rsidP="000A7186">
      <w:pPr>
        <w:spacing w:after="120"/>
        <w:ind w:left="426"/>
        <w:rPr>
          <w:rFonts w:cs="Arial"/>
          <w:szCs w:val="22"/>
          <w:lang w:val="en-US"/>
        </w:rPr>
      </w:pPr>
      <w:r w:rsidRPr="00C07D82">
        <w:rPr>
          <w:rFonts w:cs="Arial"/>
          <w:b/>
          <w:szCs w:val="22"/>
        </w:rPr>
        <w:t xml:space="preserve">MARD </w:t>
      </w:r>
      <w:r w:rsidRPr="00C07D82">
        <w:rPr>
          <w:rFonts w:cs="Arial"/>
          <w:szCs w:val="22"/>
        </w:rPr>
        <w:t xml:space="preserve">refers to the </w:t>
      </w:r>
      <w:r w:rsidRPr="00C07D82">
        <w:rPr>
          <w:rFonts w:cs="Arial"/>
          <w:szCs w:val="22"/>
          <w:lang w:val="en-US"/>
        </w:rPr>
        <w:t>Ministry of Agriculture and Rural Development</w:t>
      </w:r>
    </w:p>
    <w:p w14:paraId="36A9487A" w14:textId="77777777" w:rsidR="00077695" w:rsidRPr="00C07D82" w:rsidRDefault="00077695" w:rsidP="00077695">
      <w:pPr>
        <w:spacing w:after="120"/>
        <w:ind w:left="426"/>
        <w:rPr>
          <w:rFonts w:cs="Arial"/>
          <w:szCs w:val="22"/>
          <w:lang w:val="en-US"/>
        </w:rPr>
      </w:pPr>
      <w:r w:rsidRPr="00C07D82">
        <w:rPr>
          <w:rFonts w:cs="Arial"/>
          <w:b/>
          <w:szCs w:val="22"/>
        </w:rPr>
        <w:t xml:space="preserve">MOIT </w:t>
      </w:r>
      <w:r w:rsidRPr="00C07D82">
        <w:rPr>
          <w:rFonts w:cs="Arial"/>
          <w:szCs w:val="22"/>
        </w:rPr>
        <w:t xml:space="preserve">refers to the </w:t>
      </w:r>
      <w:r w:rsidRPr="00C07D82">
        <w:rPr>
          <w:rFonts w:cs="Arial"/>
          <w:szCs w:val="22"/>
          <w:lang w:val="en-US"/>
        </w:rPr>
        <w:t xml:space="preserve">Ministry of Industry and Trade </w:t>
      </w:r>
    </w:p>
    <w:p w14:paraId="36A9487B" w14:textId="77777777" w:rsidR="00077695" w:rsidRPr="00C07D82" w:rsidRDefault="00077695" w:rsidP="00077695">
      <w:pPr>
        <w:spacing w:after="120"/>
        <w:ind w:left="426"/>
        <w:rPr>
          <w:rFonts w:cs="Arial"/>
          <w:szCs w:val="22"/>
        </w:rPr>
      </w:pPr>
      <w:r w:rsidRPr="00C07D82">
        <w:rPr>
          <w:rFonts w:cs="Arial"/>
          <w:b/>
          <w:szCs w:val="22"/>
        </w:rPr>
        <w:t>MPER</w:t>
      </w:r>
      <w:r w:rsidRPr="00C07D82">
        <w:rPr>
          <w:rFonts w:cs="Arial"/>
          <w:szCs w:val="22"/>
        </w:rPr>
        <w:t xml:space="preserve"> refers to the Master Plan on Economic Restructuring of the Government of Vietnam</w:t>
      </w:r>
    </w:p>
    <w:p w14:paraId="36A9487C" w14:textId="77777777" w:rsidR="00077695" w:rsidRPr="00C07D82" w:rsidRDefault="00077695" w:rsidP="00077695">
      <w:pPr>
        <w:spacing w:after="120"/>
        <w:ind w:left="426"/>
        <w:rPr>
          <w:rFonts w:cs="Arial"/>
          <w:szCs w:val="22"/>
        </w:rPr>
      </w:pPr>
      <w:r w:rsidRPr="00C07D82">
        <w:rPr>
          <w:rFonts w:cs="Arial"/>
          <w:b/>
          <w:szCs w:val="22"/>
        </w:rPr>
        <w:t xml:space="preserve">MPI </w:t>
      </w:r>
      <w:r w:rsidRPr="00C07D82">
        <w:rPr>
          <w:rFonts w:cs="Arial"/>
          <w:szCs w:val="22"/>
        </w:rPr>
        <w:t xml:space="preserve">refers to the </w:t>
      </w:r>
      <w:r w:rsidRPr="00C07D82">
        <w:rPr>
          <w:rFonts w:cs="Arial"/>
          <w:szCs w:val="22"/>
          <w:lang w:val="en-US"/>
        </w:rPr>
        <w:t>Ministry of Planning and Investment</w:t>
      </w:r>
    </w:p>
    <w:p w14:paraId="36A9487D" w14:textId="77777777" w:rsidR="00077695" w:rsidRPr="00C07D82" w:rsidRDefault="00077695" w:rsidP="00077695">
      <w:pPr>
        <w:spacing w:after="120"/>
        <w:ind w:left="426"/>
        <w:rPr>
          <w:rFonts w:cs="Arial"/>
          <w:szCs w:val="22"/>
        </w:rPr>
      </w:pPr>
      <w:r w:rsidRPr="00C07D82">
        <w:rPr>
          <w:rFonts w:cs="Arial"/>
          <w:b/>
          <w:szCs w:val="22"/>
        </w:rPr>
        <w:t xml:space="preserve">NA </w:t>
      </w:r>
      <w:r w:rsidRPr="00C07D82">
        <w:rPr>
          <w:rFonts w:cs="Arial"/>
          <w:szCs w:val="22"/>
        </w:rPr>
        <w:t>refers to National Assembly of Vietnam</w:t>
      </w:r>
    </w:p>
    <w:p w14:paraId="36A9487E" w14:textId="77777777" w:rsidR="00077695" w:rsidRPr="00C07D82" w:rsidRDefault="00077695" w:rsidP="00077695">
      <w:pPr>
        <w:spacing w:after="120"/>
        <w:ind w:left="426"/>
        <w:rPr>
          <w:rFonts w:cs="Arial"/>
          <w:b/>
          <w:szCs w:val="22"/>
        </w:rPr>
      </w:pPr>
      <w:r w:rsidRPr="00C07D82">
        <w:rPr>
          <w:rFonts w:cs="Arial"/>
          <w:b/>
          <w:szCs w:val="22"/>
        </w:rPr>
        <w:t xml:space="preserve">PCC </w:t>
      </w:r>
      <w:r w:rsidRPr="00C07D82">
        <w:rPr>
          <w:rFonts w:cs="Arial"/>
          <w:szCs w:val="22"/>
        </w:rPr>
        <w:t>refers to the Project Coordination Committee</w:t>
      </w:r>
    </w:p>
    <w:p w14:paraId="36A9487F" w14:textId="77777777" w:rsidR="00077695" w:rsidRPr="00C07D82" w:rsidRDefault="00077695" w:rsidP="00077695">
      <w:pPr>
        <w:spacing w:after="120"/>
        <w:ind w:left="426"/>
        <w:rPr>
          <w:rFonts w:cs="Arial"/>
          <w:szCs w:val="22"/>
        </w:rPr>
      </w:pPr>
      <w:r w:rsidRPr="00C07D82">
        <w:rPr>
          <w:rFonts w:cs="Arial"/>
          <w:b/>
          <w:szCs w:val="22"/>
        </w:rPr>
        <w:t xml:space="preserve">PCU </w:t>
      </w:r>
      <w:r w:rsidRPr="00C07D82">
        <w:rPr>
          <w:rFonts w:cs="Arial"/>
          <w:szCs w:val="22"/>
        </w:rPr>
        <w:t>refers to the Project Coordination Unit</w:t>
      </w:r>
    </w:p>
    <w:p w14:paraId="36A94880" w14:textId="77777777" w:rsidR="00077695" w:rsidRPr="00C07D82" w:rsidRDefault="00077695" w:rsidP="00077695">
      <w:pPr>
        <w:spacing w:after="120"/>
        <w:ind w:left="426"/>
        <w:rPr>
          <w:rFonts w:cs="Arial"/>
          <w:szCs w:val="22"/>
        </w:rPr>
      </w:pPr>
      <w:r w:rsidRPr="00C07D82">
        <w:rPr>
          <w:rFonts w:cs="Arial"/>
          <w:b/>
          <w:szCs w:val="22"/>
        </w:rPr>
        <w:t xml:space="preserve">PD </w:t>
      </w:r>
      <w:r w:rsidRPr="00C07D82">
        <w:rPr>
          <w:rFonts w:cs="Arial"/>
          <w:szCs w:val="22"/>
        </w:rPr>
        <w:t>refers to the Project Director</w:t>
      </w:r>
    </w:p>
    <w:p w14:paraId="36A94881" w14:textId="77777777" w:rsidR="00077695" w:rsidRPr="00C07D82" w:rsidRDefault="00077695" w:rsidP="00077695">
      <w:pPr>
        <w:spacing w:after="120"/>
        <w:ind w:left="426"/>
        <w:rPr>
          <w:rFonts w:cs="Arial"/>
          <w:b/>
          <w:szCs w:val="22"/>
        </w:rPr>
      </w:pPr>
      <w:r w:rsidRPr="00C07D82">
        <w:rPr>
          <w:rFonts w:cs="Arial"/>
          <w:b/>
          <w:szCs w:val="22"/>
        </w:rPr>
        <w:lastRenderedPageBreak/>
        <w:t xml:space="preserve">PDD </w:t>
      </w:r>
      <w:r w:rsidRPr="00C07D82">
        <w:rPr>
          <w:rFonts w:cs="Arial"/>
          <w:szCs w:val="22"/>
        </w:rPr>
        <w:t>refers to the Project Design Document commissioned by the Parties</w:t>
      </w:r>
    </w:p>
    <w:p w14:paraId="36A94882" w14:textId="77777777" w:rsidR="00077695" w:rsidRPr="00C07D82" w:rsidRDefault="00077695" w:rsidP="00077695">
      <w:pPr>
        <w:spacing w:after="120"/>
        <w:ind w:left="426"/>
        <w:rPr>
          <w:rFonts w:cs="Arial"/>
          <w:b/>
          <w:szCs w:val="22"/>
        </w:rPr>
      </w:pPr>
      <w:r w:rsidRPr="00C07D82">
        <w:rPr>
          <w:rFonts w:cs="Arial"/>
          <w:b/>
          <w:szCs w:val="22"/>
        </w:rPr>
        <w:t xml:space="preserve">OM </w:t>
      </w:r>
      <w:r w:rsidRPr="00C07D82">
        <w:rPr>
          <w:rFonts w:cs="Arial"/>
          <w:szCs w:val="22"/>
        </w:rPr>
        <w:t xml:space="preserve">refers to the </w:t>
      </w:r>
      <w:r w:rsidRPr="00C07D82">
        <w:rPr>
          <w:lang w:val="en-GB"/>
        </w:rPr>
        <w:t xml:space="preserve">Operational Manual </w:t>
      </w:r>
    </w:p>
    <w:p w14:paraId="44A8F2F5" w14:textId="37E67FFB" w:rsidR="0065156E" w:rsidRPr="00C07D82" w:rsidRDefault="0065156E" w:rsidP="00077695">
      <w:pPr>
        <w:spacing w:after="120"/>
        <w:ind w:left="426"/>
        <w:rPr>
          <w:rFonts w:cs="Arial"/>
          <w:b/>
          <w:szCs w:val="22"/>
        </w:rPr>
      </w:pPr>
      <w:r w:rsidRPr="00C07D82">
        <w:rPr>
          <w:rFonts w:cs="Arial"/>
          <w:b/>
          <w:szCs w:val="22"/>
        </w:rPr>
        <w:t xml:space="preserve">RMP </w:t>
      </w:r>
      <w:r w:rsidRPr="00C07D82">
        <w:rPr>
          <w:rFonts w:cs="Arial"/>
          <w:szCs w:val="22"/>
        </w:rPr>
        <w:t>refers to the Risk Management Plan</w:t>
      </w:r>
    </w:p>
    <w:p w14:paraId="36A94883" w14:textId="77777777" w:rsidR="00077695" w:rsidRPr="00C07D82" w:rsidRDefault="00077695" w:rsidP="00077695">
      <w:pPr>
        <w:spacing w:after="120"/>
        <w:ind w:left="426"/>
        <w:rPr>
          <w:rFonts w:cs="Arial"/>
          <w:b/>
          <w:szCs w:val="22"/>
        </w:rPr>
      </w:pPr>
      <w:r w:rsidRPr="00C07D82">
        <w:rPr>
          <w:rFonts w:cs="Arial"/>
          <w:b/>
          <w:szCs w:val="22"/>
        </w:rPr>
        <w:t xml:space="preserve">SAG </w:t>
      </w:r>
      <w:r w:rsidRPr="00C07D82">
        <w:rPr>
          <w:rFonts w:cs="Arial"/>
          <w:szCs w:val="22"/>
        </w:rPr>
        <w:t>refers to the Senior Advisory Group</w:t>
      </w:r>
    </w:p>
    <w:p w14:paraId="36A94884" w14:textId="77777777" w:rsidR="00077695" w:rsidRPr="00C07D82" w:rsidRDefault="00077695" w:rsidP="00077695">
      <w:pPr>
        <w:spacing w:after="120"/>
        <w:ind w:left="426"/>
        <w:rPr>
          <w:rFonts w:cs="Arial"/>
          <w:szCs w:val="22"/>
        </w:rPr>
      </w:pPr>
      <w:r w:rsidRPr="00C07D82">
        <w:rPr>
          <w:rFonts w:cs="Arial"/>
          <w:b/>
          <w:szCs w:val="22"/>
        </w:rPr>
        <w:t xml:space="preserve">SEDP </w:t>
      </w:r>
      <w:r w:rsidRPr="00C07D82">
        <w:rPr>
          <w:rFonts w:cs="Arial"/>
          <w:szCs w:val="22"/>
        </w:rPr>
        <w:t xml:space="preserve">refers to the Socio Economic Development Plan of the Government of Vietnam </w:t>
      </w:r>
    </w:p>
    <w:p w14:paraId="36A94885" w14:textId="77777777" w:rsidR="00077695" w:rsidRPr="00C07D82" w:rsidRDefault="00077695" w:rsidP="00077695">
      <w:pPr>
        <w:spacing w:after="120"/>
        <w:ind w:left="426"/>
        <w:rPr>
          <w:rFonts w:cs="Arial"/>
          <w:szCs w:val="22"/>
        </w:rPr>
      </w:pPr>
      <w:r w:rsidRPr="00C07D82">
        <w:rPr>
          <w:rFonts w:cs="Arial"/>
          <w:b/>
          <w:szCs w:val="22"/>
        </w:rPr>
        <w:t xml:space="preserve">SPC-E </w:t>
      </w:r>
      <w:r w:rsidRPr="00C07D82">
        <w:rPr>
          <w:rFonts w:cs="Arial"/>
          <w:szCs w:val="22"/>
        </w:rPr>
        <w:t>refers to the Senior Project Coordinator cum Economist</w:t>
      </w:r>
    </w:p>
    <w:p w14:paraId="36A94886" w14:textId="77777777" w:rsidR="00D95D3D" w:rsidRPr="00C07D82" w:rsidRDefault="00D95D3D" w:rsidP="00A778DE">
      <w:pPr>
        <w:spacing w:after="120"/>
        <w:ind w:left="426"/>
        <w:rPr>
          <w:rFonts w:cs="Arial"/>
          <w:b/>
          <w:szCs w:val="22"/>
        </w:rPr>
      </w:pPr>
      <w:r w:rsidRPr="00C07D82">
        <w:rPr>
          <w:rFonts w:cs="Arial"/>
          <w:b/>
          <w:szCs w:val="22"/>
        </w:rPr>
        <w:t xml:space="preserve">STA </w:t>
      </w:r>
      <w:r w:rsidRPr="00C07D82">
        <w:rPr>
          <w:rFonts w:cs="Arial"/>
          <w:szCs w:val="22"/>
        </w:rPr>
        <w:t>refers to the Senior Technical Adviser</w:t>
      </w:r>
    </w:p>
    <w:p w14:paraId="36A94887" w14:textId="69E420B0" w:rsidR="00077695" w:rsidRPr="00C07D82" w:rsidRDefault="00077695" w:rsidP="00077695">
      <w:pPr>
        <w:spacing w:after="120"/>
        <w:ind w:left="426"/>
        <w:rPr>
          <w:rFonts w:cs="Arial"/>
          <w:b/>
          <w:szCs w:val="22"/>
        </w:rPr>
      </w:pPr>
      <w:r w:rsidRPr="00C07D82">
        <w:rPr>
          <w:rFonts w:cs="Arial"/>
          <w:b/>
          <w:szCs w:val="22"/>
        </w:rPr>
        <w:t xml:space="preserve">VCA </w:t>
      </w:r>
      <w:r w:rsidRPr="00C07D82">
        <w:rPr>
          <w:rFonts w:cs="Arial"/>
          <w:szCs w:val="22"/>
        </w:rPr>
        <w:t>refers to the Vietnam Competition A</w:t>
      </w:r>
      <w:r w:rsidR="0065156E" w:rsidRPr="00C07D82">
        <w:rPr>
          <w:rFonts w:cs="Arial"/>
          <w:szCs w:val="22"/>
        </w:rPr>
        <w:t>uthority</w:t>
      </w:r>
    </w:p>
    <w:p w14:paraId="36A94888" w14:textId="77777777" w:rsidR="00A778DE" w:rsidRPr="00C07D82" w:rsidRDefault="00A778DE" w:rsidP="00A778DE">
      <w:pPr>
        <w:spacing w:before="240" w:after="120"/>
        <w:ind w:left="426"/>
        <w:rPr>
          <w:rFonts w:cs="Arial"/>
          <w:b/>
          <w:szCs w:val="22"/>
          <w:lang w:val="en-GB"/>
        </w:rPr>
      </w:pPr>
      <w:r w:rsidRPr="00C07D82">
        <w:rPr>
          <w:rFonts w:cs="Arial"/>
          <w:b/>
          <w:szCs w:val="22"/>
          <w:lang w:val="en-GB"/>
        </w:rPr>
        <w:t>Implementation Arrangements and responsibilities</w:t>
      </w:r>
    </w:p>
    <w:p w14:paraId="36A94889" w14:textId="77777777" w:rsidR="00A778DE" w:rsidRPr="00C07D82" w:rsidRDefault="00A778DE" w:rsidP="00A778DE">
      <w:pPr>
        <w:pStyle w:val="ListParagraph"/>
        <w:rPr>
          <w:szCs w:val="22"/>
        </w:rPr>
      </w:pPr>
      <w:r w:rsidRPr="00C07D82">
        <w:rPr>
          <w:lang w:val="en-GB"/>
        </w:rPr>
        <w:t xml:space="preserve">The Partner Government will be fully responsible for the implementation of the </w:t>
      </w:r>
      <w:r w:rsidR="00B33CFA" w:rsidRPr="00C07D82">
        <w:rPr>
          <w:lang w:val="en-GB"/>
        </w:rPr>
        <w:t>Project</w:t>
      </w:r>
      <w:r w:rsidRPr="00C07D82">
        <w:rPr>
          <w:lang w:val="en-GB"/>
        </w:rPr>
        <w:t xml:space="preserve"> and for the management of the GOA financial contributions. </w:t>
      </w:r>
    </w:p>
    <w:p w14:paraId="36A9488A" w14:textId="77777777" w:rsidR="00A778DE" w:rsidRPr="00C07D82" w:rsidRDefault="00A778DE" w:rsidP="00A778DE">
      <w:pPr>
        <w:pStyle w:val="ListParagraph"/>
        <w:rPr>
          <w:szCs w:val="22"/>
        </w:rPr>
      </w:pPr>
      <w:r w:rsidRPr="00C07D82">
        <w:rPr>
          <w:lang w:val="en-GB"/>
        </w:rPr>
        <w:t xml:space="preserve">The Partner Government will provide quarterly (3 monthly) financial statements in accordance with an identified and applicable financial reporting framework – </w:t>
      </w:r>
      <w:r w:rsidR="000A7186" w:rsidRPr="00C07D82">
        <w:rPr>
          <w:lang w:val="en-GB"/>
        </w:rPr>
        <w:t xml:space="preserve">Vietnamese </w:t>
      </w:r>
      <w:r w:rsidRPr="00C07D82">
        <w:rPr>
          <w:lang w:val="en-GB"/>
        </w:rPr>
        <w:t xml:space="preserve">Accounting Standards. The financial statements will show all sources of funding, with sufficient breakdowns of data to permit identification of individual sources of funds and disbursements on major activities or types of expenditure. </w:t>
      </w:r>
      <w:r w:rsidR="00077695" w:rsidRPr="00C07D82">
        <w:rPr>
          <w:lang w:val="en-GB"/>
        </w:rPr>
        <w:t>Project reporting formats are detailed in Project Operational Manual (OM), which will be developed by the Project Coordination Unit (PCU) in consultation with</w:t>
      </w:r>
      <w:r w:rsidR="00070324" w:rsidRPr="00C07D82">
        <w:rPr>
          <w:lang w:val="en-GB"/>
        </w:rPr>
        <w:t xml:space="preserve"> Partner Government agencies</w:t>
      </w:r>
      <w:r w:rsidR="00077695" w:rsidRPr="00C07D82">
        <w:rPr>
          <w:lang w:val="en-GB"/>
        </w:rPr>
        <w:t xml:space="preserve">.  </w:t>
      </w:r>
    </w:p>
    <w:p w14:paraId="36A9488B" w14:textId="77777777" w:rsidR="00A778DE" w:rsidRPr="00C07D82" w:rsidRDefault="00A778DE" w:rsidP="00A778DE">
      <w:pPr>
        <w:pStyle w:val="ListParagraph"/>
        <w:rPr>
          <w:szCs w:val="22"/>
        </w:rPr>
      </w:pPr>
      <w:r w:rsidRPr="00C07D82">
        <w:rPr>
          <w:lang w:val="en-GB"/>
        </w:rPr>
        <w:t xml:space="preserve">The Partner Government will immediately inform GOA in writing of any circumstance which may interfere or threaten to interfere with the successful implementation of the </w:t>
      </w:r>
      <w:r w:rsidR="00B33CFA" w:rsidRPr="00C07D82">
        <w:rPr>
          <w:lang w:val="en-GB"/>
        </w:rPr>
        <w:t>Project</w:t>
      </w:r>
      <w:r w:rsidRPr="00C07D82">
        <w:rPr>
          <w:lang w:val="en-GB"/>
        </w:rPr>
        <w:t xml:space="preserve"> and, with a view to resolving the issue, will consult with the GOA on remedial action to be taken.</w:t>
      </w:r>
    </w:p>
    <w:p w14:paraId="36A9488C" w14:textId="77777777" w:rsidR="00A778DE" w:rsidRPr="00C07D82" w:rsidRDefault="00A778DE" w:rsidP="00A778DE">
      <w:pPr>
        <w:pStyle w:val="ListParagraph"/>
        <w:rPr>
          <w:szCs w:val="22"/>
        </w:rPr>
      </w:pPr>
      <w:r w:rsidRPr="00C07D82">
        <w:rPr>
          <w:lang w:val="en-GB"/>
        </w:rPr>
        <w:t xml:space="preserve">In matters pertaining to the implementation of this Agreement, the Partner Government Ministry with overall responsibility for implementing the </w:t>
      </w:r>
      <w:r w:rsidR="00B33CFA" w:rsidRPr="00C07D82">
        <w:rPr>
          <w:lang w:val="en-GB"/>
        </w:rPr>
        <w:t>Project</w:t>
      </w:r>
      <w:r w:rsidRPr="00C07D82">
        <w:rPr>
          <w:lang w:val="en-GB"/>
        </w:rPr>
        <w:t xml:space="preserve"> will be the M</w:t>
      </w:r>
      <w:r w:rsidR="00AE4DF2" w:rsidRPr="00C07D82">
        <w:rPr>
          <w:lang w:val="en-GB"/>
        </w:rPr>
        <w:t>PI</w:t>
      </w:r>
      <w:r w:rsidR="00B33CFA" w:rsidRPr="00C07D82">
        <w:rPr>
          <w:lang w:val="en-GB"/>
        </w:rPr>
        <w:t>.</w:t>
      </w:r>
      <w:r w:rsidRPr="00C07D82">
        <w:rPr>
          <w:lang w:val="en-GB"/>
        </w:rPr>
        <w:t xml:space="preserve"> </w:t>
      </w:r>
    </w:p>
    <w:p w14:paraId="36A9488D" w14:textId="77777777" w:rsidR="00A778DE" w:rsidRPr="00C07D82" w:rsidRDefault="00A778DE" w:rsidP="00A778DE">
      <w:pPr>
        <w:spacing w:after="120"/>
        <w:ind w:left="426"/>
        <w:rPr>
          <w:rFonts w:cs="Arial"/>
          <w:b/>
          <w:szCs w:val="22"/>
        </w:rPr>
      </w:pPr>
      <w:r w:rsidRPr="00C07D82">
        <w:rPr>
          <w:rFonts w:cs="Arial"/>
          <w:b/>
          <w:szCs w:val="22"/>
        </w:rPr>
        <w:t>Implementing Principles</w:t>
      </w:r>
    </w:p>
    <w:p w14:paraId="36A9488E" w14:textId="7103DCFE" w:rsidR="00A778DE" w:rsidRPr="00C07D82" w:rsidRDefault="00A778DE" w:rsidP="00A778DE">
      <w:pPr>
        <w:pStyle w:val="ListParagraph"/>
        <w:rPr>
          <w:szCs w:val="22"/>
        </w:rPr>
      </w:pPr>
      <w:r w:rsidRPr="00C07D82">
        <w:rPr>
          <w:szCs w:val="22"/>
        </w:rPr>
        <w:t xml:space="preserve">The Parties agree that the implementation of the </w:t>
      </w:r>
      <w:r w:rsidR="00B33CFA" w:rsidRPr="00C07D82">
        <w:rPr>
          <w:szCs w:val="22"/>
        </w:rPr>
        <w:t>Project</w:t>
      </w:r>
      <w:r w:rsidRPr="00C07D82">
        <w:rPr>
          <w:szCs w:val="22"/>
        </w:rPr>
        <w:t xml:space="preserve"> under this Agreement will be guided by the following principles</w:t>
      </w:r>
      <w:r w:rsidR="005478BA" w:rsidRPr="00C07D82">
        <w:rPr>
          <w:szCs w:val="22"/>
        </w:rPr>
        <w:t>:</w:t>
      </w:r>
    </w:p>
    <w:p w14:paraId="36A9488F" w14:textId="77777777" w:rsidR="00A778DE" w:rsidRPr="00C07D82" w:rsidRDefault="00A778DE" w:rsidP="00420006">
      <w:pPr>
        <w:pStyle w:val="ListParagraphindent"/>
        <w:numPr>
          <w:ilvl w:val="2"/>
          <w:numId w:val="13"/>
        </w:numPr>
      </w:pPr>
      <w:r w:rsidRPr="00C07D82">
        <w:t>Implementation will be based on a partnership approach</w:t>
      </w:r>
      <w:r w:rsidR="00420006" w:rsidRPr="00C07D82">
        <w:t>;</w:t>
      </w:r>
    </w:p>
    <w:p w14:paraId="36A94890" w14:textId="77777777" w:rsidR="00A778DE" w:rsidRPr="00C07D82" w:rsidRDefault="00A778DE" w:rsidP="00420006">
      <w:pPr>
        <w:pStyle w:val="ListParagraphindent"/>
        <w:numPr>
          <w:ilvl w:val="2"/>
          <w:numId w:val="13"/>
        </w:numPr>
      </w:pPr>
      <w:r w:rsidRPr="00C07D82">
        <w:t xml:space="preserve">Partner Government leadership and ownership of the </w:t>
      </w:r>
      <w:r w:rsidR="00B33CFA" w:rsidRPr="00C07D82">
        <w:t>Project</w:t>
      </w:r>
      <w:r w:rsidRPr="00C07D82">
        <w:t xml:space="preserve"> is maximised</w:t>
      </w:r>
      <w:r w:rsidR="00420006" w:rsidRPr="00C07D82">
        <w:t>;</w:t>
      </w:r>
    </w:p>
    <w:p w14:paraId="36A94891" w14:textId="77777777" w:rsidR="00A778DE" w:rsidRPr="00C07D82" w:rsidRDefault="008D3D01" w:rsidP="00420006">
      <w:pPr>
        <w:pStyle w:val="ListParagraphindent"/>
        <w:numPr>
          <w:ilvl w:val="2"/>
          <w:numId w:val="13"/>
        </w:numPr>
      </w:pPr>
      <w:r w:rsidRPr="00C07D82">
        <w:t>GOA</w:t>
      </w:r>
      <w:r w:rsidR="00A778DE" w:rsidRPr="00C07D82">
        <w:t xml:space="preserve"> support is aligned to the Partner Government needs and priorities</w:t>
      </w:r>
      <w:r w:rsidR="00420006" w:rsidRPr="00C07D82">
        <w:t>;</w:t>
      </w:r>
    </w:p>
    <w:p w14:paraId="36A94892" w14:textId="77777777" w:rsidR="00A778DE" w:rsidRPr="00C07D82" w:rsidRDefault="00A778DE" w:rsidP="00420006">
      <w:pPr>
        <w:pStyle w:val="ListParagraphindent"/>
        <w:numPr>
          <w:ilvl w:val="2"/>
          <w:numId w:val="13"/>
        </w:numPr>
      </w:pPr>
      <w:r w:rsidRPr="00C07D82">
        <w:t>Fairness, transparency, openness, accountability and mutual trust in all dealings</w:t>
      </w:r>
      <w:r w:rsidR="00420006" w:rsidRPr="00C07D82">
        <w:t>;</w:t>
      </w:r>
    </w:p>
    <w:p w14:paraId="36A94893" w14:textId="77777777" w:rsidR="00A778DE" w:rsidRPr="00C07D82" w:rsidRDefault="00A778DE" w:rsidP="00420006">
      <w:pPr>
        <w:pStyle w:val="ListParagraphindent"/>
        <w:numPr>
          <w:ilvl w:val="2"/>
          <w:numId w:val="13"/>
        </w:numPr>
      </w:pPr>
      <w:r w:rsidRPr="00C07D82">
        <w:t>A focus on sustainable and equitable development that meets the needs of the Partner Government and beneficiary communities</w:t>
      </w:r>
      <w:r w:rsidR="00420006" w:rsidRPr="00C07D82">
        <w:t>;</w:t>
      </w:r>
    </w:p>
    <w:p w14:paraId="36A94894" w14:textId="77777777" w:rsidR="00A778DE" w:rsidRPr="00C07D82" w:rsidRDefault="00A778DE" w:rsidP="00420006">
      <w:pPr>
        <w:pStyle w:val="ListParagraphindent"/>
        <w:numPr>
          <w:ilvl w:val="2"/>
          <w:numId w:val="13"/>
        </w:numPr>
      </w:pPr>
      <w:r w:rsidRPr="00C07D82">
        <w:t>The strategic orientation of policies and strategies</w:t>
      </w:r>
      <w:r w:rsidR="00420006" w:rsidRPr="00C07D82">
        <w:t>;</w:t>
      </w:r>
    </w:p>
    <w:p w14:paraId="36A94895" w14:textId="77777777" w:rsidR="00A778DE" w:rsidRPr="00C07D82" w:rsidRDefault="00A778DE" w:rsidP="00420006">
      <w:pPr>
        <w:pStyle w:val="ListParagraphindent"/>
        <w:numPr>
          <w:ilvl w:val="2"/>
          <w:numId w:val="13"/>
        </w:numPr>
      </w:pPr>
      <w:r w:rsidRPr="00C07D82">
        <w:t xml:space="preserve">The effective and efficient use of </w:t>
      </w:r>
      <w:r w:rsidR="00B33CFA" w:rsidRPr="00C07D82">
        <w:t>Project</w:t>
      </w:r>
      <w:r w:rsidRPr="00C07D82">
        <w:t xml:space="preserve"> resources</w:t>
      </w:r>
      <w:r w:rsidR="00420006" w:rsidRPr="00C07D82">
        <w:t>;</w:t>
      </w:r>
    </w:p>
    <w:p w14:paraId="36A94896" w14:textId="77777777" w:rsidR="00A778DE" w:rsidRPr="00C07D82" w:rsidRDefault="00A778DE" w:rsidP="00420006">
      <w:pPr>
        <w:pStyle w:val="ListParagraphindent"/>
        <w:numPr>
          <w:ilvl w:val="2"/>
          <w:numId w:val="13"/>
        </w:numPr>
        <w:tabs>
          <w:tab w:val="left" w:pos="1080"/>
        </w:tabs>
      </w:pPr>
      <w:r w:rsidRPr="00C07D82">
        <w:t>A commitment to joint monitoring and evaluation within an agreed performance assessment framework</w:t>
      </w:r>
      <w:r w:rsidR="00420006" w:rsidRPr="00C07D82">
        <w:t>;</w:t>
      </w:r>
    </w:p>
    <w:p w14:paraId="36A94897" w14:textId="77777777" w:rsidR="00A778DE" w:rsidRPr="00C07D82" w:rsidRDefault="00A778DE" w:rsidP="00420006">
      <w:pPr>
        <w:pStyle w:val="ListParagraphindent"/>
        <w:numPr>
          <w:ilvl w:val="2"/>
          <w:numId w:val="13"/>
        </w:numPr>
      </w:pPr>
      <w:r w:rsidRPr="00C07D82">
        <w:t>Ensuring the pace of implementation is appropriate and responsive to the absorptive capacity of the Partner Government and appropriate capacity building measures are implemented</w:t>
      </w:r>
      <w:r w:rsidR="00420006" w:rsidRPr="00C07D82">
        <w:t>;</w:t>
      </w:r>
    </w:p>
    <w:p w14:paraId="36A94898" w14:textId="77777777" w:rsidR="00A778DE" w:rsidRPr="00C07D82" w:rsidRDefault="00A778DE" w:rsidP="00420006">
      <w:pPr>
        <w:pStyle w:val="ListParagraphindent"/>
        <w:numPr>
          <w:ilvl w:val="2"/>
          <w:numId w:val="13"/>
        </w:numPr>
      </w:pPr>
      <w:r w:rsidRPr="00C07D82">
        <w:lastRenderedPageBreak/>
        <w:t>Be based on the Partner Government’s sectoral policy and plans as detailed in</w:t>
      </w:r>
      <w:r w:rsidR="00D22E53" w:rsidRPr="00C07D82">
        <w:t xml:space="preserve"> the </w:t>
      </w:r>
      <w:r w:rsidR="00D22E53" w:rsidRPr="00C07D82">
        <w:rPr>
          <w:szCs w:val="22"/>
        </w:rPr>
        <w:t>Socio Economic Development Plan (</w:t>
      </w:r>
      <w:r w:rsidRPr="00C07D82">
        <w:t>SEDP</w:t>
      </w:r>
      <w:r w:rsidR="00D22E53" w:rsidRPr="00C07D82">
        <w:t>)</w:t>
      </w:r>
      <w:r w:rsidRPr="00C07D82">
        <w:t xml:space="preserve"> and</w:t>
      </w:r>
      <w:r w:rsidR="00D22E53" w:rsidRPr="00C07D82">
        <w:t xml:space="preserve"> the </w:t>
      </w:r>
      <w:r w:rsidR="00D22E53" w:rsidRPr="00C07D82">
        <w:rPr>
          <w:szCs w:val="22"/>
        </w:rPr>
        <w:t>Master Plan on Economic Restructuring (</w:t>
      </w:r>
      <w:r w:rsidRPr="00C07D82">
        <w:t>MPER</w:t>
      </w:r>
      <w:r w:rsidR="00D22E53" w:rsidRPr="00C07D82">
        <w:t>)</w:t>
      </w:r>
      <w:r w:rsidRPr="00C07D82">
        <w:t xml:space="preserve"> as may be amended from time to time</w:t>
      </w:r>
      <w:r w:rsidR="00420006" w:rsidRPr="00C07D82">
        <w:t>; and</w:t>
      </w:r>
    </w:p>
    <w:p w14:paraId="36A94899" w14:textId="3C41F2E3" w:rsidR="00A778DE" w:rsidRPr="00C07D82" w:rsidRDefault="00A778DE" w:rsidP="00420006">
      <w:pPr>
        <w:pStyle w:val="ListParagraphindent"/>
        <w:numPr>
          <w:ilvl w:val="2"/>
          <w:numId w:val="13"/>
        </w:numPr>
      </w:pPr>
      <w:r w:rsidRPr="00C07D82">
        <w:t>The Paris Declaration</w:t>
      </w:r>
      <w:r w:rsidR="00FB2244" w:rsidRPr="00C07D82">
        <w:t>,</w:t>
      </w:r>
      <w:r w:rsidRPr="00C07D82">
        <w:t xml:space="preserve"> Accra </w:t>
      </w:r>
      <w:r w:rsidR="00FB2244" w:rsidRPr="00C07D82">
        <w:t xml:space="preserve">Agenda for </w:t>
      </w:r>
      <w:r w:rsidRPr="00C07D82">
        <w:t xml:space="preserve">Action </w:t>
      </w:r>
      <w:r w:rsidR="00FB2244" w:rsidRPr="00C07D82">
        <w:t xml:space="preserve">and Busan </w:t>
      </w:r>
      <w:r w:rsidRPr="00C07D82">
        <w:t>partnership commitments are reflected in implementation to the maximum extent possible.</w:t>
      </w:r>
    </w:p>
    <w:p w14:paraId="36A9489A" w14:textId="77777777" w:rsidR="00A778DE" w:rsidRPr="00C07D82" w:rsidRDefault="00A778DE" w:rsidP="00A778DE">
      <w:pPr>
        <w:spacing w:after="120"/>
        <w:rPr>
          <w:rFonts w:cs="Arial"/>
          <w:b/>
          <w:szCs w:val="22"/>
        </w:rPr>
      </w:pPr>
      <w:r w:rsidRPr="00C07D82">
        <w:rPr>
          <w:rFonts w:cs="Arial"/>
          <w:b/>
          <w:szCs w:val="22"/>
        </w:rPr>
        <w:t>Goal and Strategic Objectives</w:t>
      </w:r>
    </w:p>
    <w:p w14:paraId="36A9489B" w14:textId="77777777" w:rsidR="00A778DE" w:rsidRPr="00C07D82" w:rsidRDefault="00A778DE" w:rsidP="00A778DE">
      <w:pPr>
        <w:pStyle w:val="ListParagraph"/>
        <w:rPr>
          <w:szCs w:val="22"/>
        </w:rPr>
      </w:pPr>
      <w:r w:rsidRPr="00C07D82">
        <w:rPr>
          <w:szCs w:val="22"/>
        </w:rPr>
        <w:t xml:space="preserve">The overall goal of the </w:t>
      </w:r>
      <w:r w:rsidR="00B33CFA" w:rsidRPr="00C07D82">
        <w:rPr>
          <w:szCs w:val="22"/>
        </w:rPr>
        <w:t>Project</w:t>
      </w:r>
      <w:r w:rsidRPr="00C07D82">
        <w:rPr>
          <w:szCs w:val="22"/>
        </w:rPr>
        <w:t xml:space="preserve"> is to support the Partner Government in achieving </w:t>
      </w:r>
      <w:r w:rsidR="0028610A" w:rsidRPr="00C07D82">
        <w:rPr>
          <w:lang w:val="en-AU"/>
        </w:rPr>
        <w:t xml:space="preserve">its MPER goals of developing a more internationally competitive economy with increased productivity, reduced corruption and accelerated growth in employment and income. </w:t>
      </w:r>
      <w:r w:rsidRPr="00C07D82">
        <w:rPr>
          <w:szCs w:val="22"/>
        </w:rPr>
        <w:t xml:space="preserve"> </w:t>
      </w:r>
    </w:p>
    <w:p w14:paraId="36A9489C" w14:textId="77777777" w:rsidR="00A778DE" w:rsidRPr="00C07D82" w:rsidRDefault="00A778DE" w:rsidP="00A778DE">
      <w:pPr>
        <w:pStyle w:val="ListParagraph"/>
        <w:rPr>
          <w:lang w:val="en-AU"/>
        </w:rPr>
      </w:pPr>
      <w:r w:rsidRPr="00C07D82">
        <w:rPr>
          <w:szCs w:val="22"/>
        </w:rPr>
        <w:t xml:space="preserve">The strategic objective of the </w:t>
      </w:r>
      <w:r w:rsidR="00B33CFA" w:rsidRPr="00C07D82">
        <w:rPr>
          <w:szCs w:val="22"/>
        </w:rPr>
        <w:t>Project</w:t>
      </w:r>
      <w:r w:rsidRPr="00C07D82">
        <w:rPr>
          <w:szCs w:val="22"/>
        </w:rPr>
        <w:t xml:space="preserve"> </w:t>
      </w:r>
      <w:r w:rsidR="0028610A" w:rsidRPr="00C07D82">
        <w:rPr>
          <w:szCs w:val="22"/>
        </w:rPr>
        <w:t>is</w:t>
      </w:r>
      <w:r w:rsidRPr="00C07D82">
        <w:rPr>
          <w:szCs w:val="22"/>
        </w:rPr>
        <w:t xml:space="preserve"> </w:t>
      </w:r>
      <w:r w:rsidRPr="00C07D82">
        <w:rPr>
          <w:lang w:val="en-AU"/>
        </w:rPr>
        <w:t>improved implementation of selected elements of the MPER in line with international economic cooperation agreements</w:t>
      </w:r>
      <w:r w:rsidR="00B33CFA" w:rsidRPr="00C07D82">
        <w:rPr>
          <w:lang w:val="en-AU"/>
        </w:rPr>
        <w:t>, supported by the following key sub-objectives</w:t>
      </w:r>
      <w:r w:rsidRPr="00C07D82">
        <w:rPr>
          <w:lang w:val="en-AU"/>
        </w:rPr>
        <w:t xml:space="preserve">: </w:t>
      </w:r>
    </w:p>
    <w:p w14:paraId="36A9489D" w14:textId="4EFDE6CB" w:rsidR="00A778DE" w:rsidRPr="00C07D82" w:rsidRDefault="00A778DE" w:rsidP="00A778DE">
      <w:pPr>
        <w:pStyle w:val="ListParagraphindent"/>
      </w:pPr>
      <w:r w:rsidRPr="00C07D82">
        <w:t>Improved business-enabling environment with reduced compliance costs, greater transparency, reduced corruption and improved corporate governance (including reforms to enterprise and investment legislation)</w:t>
      </w:r>
      <w:r w:rsidR="00B15E35" w:rsidRPr="00C07D82">
        <w:t>;</w:t>
      </w:r>
    </w:p>
    <w:p w14:paraId="36A9489E" w14:textId="77777777" w:rsidR="00A778DE" w:rsidRPr="00C07D82" w:rsidRDefault="00A778DE" w:rsidP="00A778DE">
      <w:pPr>
        <w:pStyle w:val="ListParagraphindent"/>
      </w:pPr>
      <w:r w:rsidRPr="00C07D82">
        <w:t xml:space="preserve">Strengthened analytical capacity and information base resulting in enhanced implementation of competition policy in line with international good practice (including proposals submitted to the </w:t>
      </w:r>
      <w:r w:rsidR="00DD4802" w:rsidRPr="00C07D82">
        <w:t xml:space="preserve">Partner </w:t>
      </w:r>
      <w:r w:rsidRPr="00C07D82">
        <w:t>Go</w:t>
      </w:r>
      <w:r w:rsidR="00D95D3D" w:rsidRPr="00C07D82">
        <w:t xml:space="preserve">vernment </w:t>
      </w:r>
      <w:r w:rsidRPr="00C07D82">
        <w:t xml:space="preserve">on changes in the Competition Law); </w:t>
      </w:r>
    </w:p>
    <w:p w14:paraId="36A9489F" w14:textId="2652CD6F" w:rsidR="00A778DE" w:rsidRPr="00C07D82" w:rsidRDefault="00A778DE" w:rsidP="00A778DE">
      <w:pPr>
        <w:pStyle w:val="ListParagraphindent"/>
      </w:pPr>
      <w:r w:rsidRPr="00C07D82">
        <w:t xml:space="preserve">Concrete actions taken by provincial authorities and other stakeholders in Dong Thap </w:t>
      </w:r>
      <w:r w:rsidR="00D95D3D" w:rsidRPr="00C07D82">
        <w:t xml:space="preserve">province </w:t>
      </w:r>
      <w:r w:rsidRPr="00C07D82">
        <w:t>to restructure rice value chain institutions, with pilot initiatives attracting interest from local and central stakeholders. Ideally, there should also be evidence of more substantive policy debate about the impediments to increasing value added in the rural economy</w:t>
      </w:r>
      <w:r w:rsidR="00DD4802" w:rsidRPr="00C07D82">
        <w:t>;</w:t>
      </w:r>
      <w:r w:rsidR="00B15E35" w:rsidRPr="00C07D82">
        <w:t xml:space="preserve"> and</w:t>
      </w:r>
    </w:p>
    <w:p w14:paraId="36A948A0" w14:textId="77777777" w:rsidR="00DD4802" w:rsidRPr="00C07D82" w:rsidRDefault="00DD4802" w:rsidP="00A778DE">
      <w:pPr>
        <w:pStyle w:val="ListParagraphindent"/>
      </w:pPr>
      <w:r w:rsidRPr="00C07D82">
        <w:t>Policy recommendation result</w:t>
      </w:r>
      <w:r w:rsidR="009110F2" w:rsidRPr="00C07D82">
        <w:t>ing</w:t>
      </w:r>
      <w:r w:rsidRPr="00C07D82">
        <w:t xml:space="preserve"> in Partner Government strategic documents dealing with economic restructuring including restructuring of the rural economy</w:t>
      </w:r>
      <w:r w:rsidR="009110F2" w:rsidRPr="00C07D82">
        <w:t>.</w:t>
      </w:r>
    </w:p>
    <w:p w14:paraId="36A948A1" w14:textId="77777777" w:rsidR="009110F2" w:rsidRPr="00C07D82" w:rsidRDefault="009110F2" w:rsidP="0062529A">
      <w:pPr>
        <w:pStyle w:val="ListParagraph"/>
      </w:pPr>
      <w:r w:rsidRPr="00C07D82">
        <w:rPr>
          <w:lang w:val="en-AU"/>
        </w:rPr>
        <w:t xml:space="preserve">A summary outline of the Project is attached as </w:t>
      </w:r>
      <w:r w:rsidRPr="00C07D82">
        <w:rPr>
          <w:b/>
          <w:u w:val="single"/>
          <w:lang w:val="en-AU"/>
        </w:rPr>
        <w:t>Annex 1.</w:t>
      </w:r>
    </w:p>
    <w:p w14:paraId="36A948A2" w14:textId="77777777" w:rsidR="00A778DE" w:rsidRPr="00C07D82" w:rsidRDefault="00A778DE" w:rsidP="00A778DE">
      <w:pPr>
        <w:spacing w:after="120"/>
        <w:rPr>
          <w:rFonts w:cs="Arial"/>
          <w:b/>
          <w:szCs w:val="22"/>
        </w:rPr>
      </w:pPr>
      <w:r w:rsidRPr="00C07D82">
        <w:rPr>
          <w:rFonts w:cs="Arial"/>
          <w:b/>
          <w:szCs w:val="22"/>
        </w:rPr>
        <w:t xml:space="preserve">Duration of </w:t>
      </w:r>
      <w:r w:rsidR="00B33CFA" w:rsidRPr="00C07D82">
        <w:rPr>
          <w:rFonts w:cs="Arial"/>
          <w:b/>
          <w:szCs w:val="22"/>
        </w:rPr>
        <w:t>Project</w:t>
      </w:r>
    </w:p>
    <w:p w14:paraId="36A948A3" w14:textId="65115192" w:rsidR="00A778DE" w:rsidRPr="00C07D82" w:rsidRDefault="00A778DE" w:rsidP="00A778DE">
      <w:pPr>
        <w:pStyle w:val="ListParagraph"/>
        <w:rPr>
          <w:szCs w:val="22"/>
        </w:rPr>
      </w:pPr>
      <w:r w:rsidRPr="00C07D82">
        <w:rPr>
          <w:szCs w:val="22"/>
        </w:rPr>
        <w:t xml:space="preserve">The duration of the initial Phase of the </w:t>
      </w:r>
      <w:r w:rsidR="00B33CFA" w:rsidRPr="00C07D82">
        <w:rPr>
          <w:szCs w:val="22"/>
        </w:rPr>
        <w:t>Project</w:t>
      </w:r>
      <w:r w:rsidRPr="00C07D82">
        <w:rPr>
          <w:szCs w:val="22"/>
        </w:rPr>
        <w:t xml:space="preserve"> is 2 years</w:t>
      </w:r>
      <w:r w:rsidR="00D95D3D" w:rsidRPr="00C07D82">
        <w:rPr>
          <w:szCs w:val="22"/>
        </w:rPr>
        <w:t xml:space="preserve"> </w:t>
      </w:r>
      <w:r w:rsidR="006B4755">
        <w:rPr>
          <w:szCs w:val="22"/>
        </w:rPr>
        <w:t>6</w:t>
      </w:r>
      <w:r w:rsidR="00AA7A8C" w:rsidRPr="00C07D82">
        <w:rPr>
          <w:szCs w:val="22"/>
        </w:rPr>
        <w:t xml:space="preserve"> </w:t>
      </w:r>
      <w:r w:rsidR="00B33CFA" w:rsidRPr="00C07D82">
        <w:rPr>
          <w:szCs w:val="22"/>
        </w:rPr>
        <w:t xml:space="preserve">months </w:t>
      </w:r>
      <w:r w:rsidR="00D95D3D" w:rsidRPr="00C07D82">
        <w:rPr>
          <w:szCs w:val="22"/>
        </w:rPr>
        <w:t>(</w:t>
      </w:r>
      <w:r w:rsidR="00AA7A8C" w:rsidRPr="00C07D82">
        <w:rPr>
          <w:szCs w:val="22"/>
        </w:rPr>
        <w:t xml:space="preserve">June </w:t>
      </w:r>
      <w:r w:rsidR="00D95D3D" w:rsidRPr="00C07D82">
        <w:rPr>
          <w:szCs w:val="22"/>
        </w:rPr>
        <w:t>2014-</w:t>
      </w:r>
      <w:r w:rsidR="00AA7A8C" w:rsidRPr="00C07D82">
        <w:rPr>
          <w:szCs w:val="22"/>
        </w:rPr>
        <w:t xml:space="preserve">December </w:t>
      </w:r>
      <w:r w:rsidR="00D95D3D" w:rsidRPr="00C07D82">
        <w:rPr>
          <w:szCs w:val="22"/>
        </w:rPr>
        <w:t>2016)</w:t>
      </w:r>
      <w:r w:rsidRPr="00C07D82">
        <w:rPr>
          <w:szCs w:val="22"/>
        </w:rPr>
        <w:t>.</w:t>
      </w:r>
    </w:p>
    <w:p w14:paraId="36A948A4" w14:textId="77777777" w:rsidR="00A778DE" w:rsidRPr="00C07D82" w:rsidRDefault="00A778DE" w:rsidP="00A778DE">
      <w:pPr>
        <w:pStyle w:val="ListParagraph"/>
        <w:rPr>
          <w:szCs w:val="22"/>
        </w:rPr>
      </w:pPr>
      <w:r w:rsidRPr="00C07D82">
        <w:rPr>
          <w:szCs w:val="22"/>
        </w:rPr>
        <w:t>This Agreement will take effect from the date of its signature by the Parties and will conclude when all responsibilities and obligations of the Parties have been fulfilled unless the Agreement is terminated earlier.</w:t>
      </w:r>
    </w:p>
    <w:p w14:paraId="36A948A5" w14:textId="77777777" w:rsidR="00A778DE" w:rsidRPr="00C07D82" w:rsidRDefault="00A778DE" w:rsidP="00A778DE">
      <w:pPr>
        <w:pStyle w:val="ListParagraph"/>
        <w:rPr>
          <w:b/>
          <w:szCs w:val="22"/>
        </w:rPr>
      </w:pPr>
      <w:r w:rsidRPr="00C07D82">
        <w:rPr>
          <w:szCs w:val="22"/>
        </w:rPr>
        <w:t xml:space="preserve">Any changes to the </w:t>
      </w:r>
      <w:r w:rsidR="00B33CFA" w:rsidRPr="00C07D82">
        <w:rPr>
          <w:szCs w:val="22"/>
        </w:rPr>
        <w:t>Project</w:t>
      </w:r>
      <w:r w:rsidRPr="00C07D82">
        <w:rPr>
          <w:szCs w:val="22"/>
        </w:rPr>
        <w:t xml:space="preserve"> including changes to the funding as shown in </w:t>
      </w:r>
      <w:r w:rsidRPr="00C07D82">
        <w:rPr>
          <w:b/>
          <w:i/>
          <w:szCs w:val="22"/>
          <w:u w:val="single"/>
        </w:rPr>
        <w:t xml:space="preserve">Table </w:t>
      </w:r>
      <w:r w:rsidR="004E77C8" w:rsidRPr="00C07D82">
        <w:rPr>
          <w:b/>
          <w:i/>
          <w:szCs w:val="22"/>
          <w:u w:val="single"/>
        </w:rPr>
        <w:t>2</w:t>
      </w:r>
      <w:r w:rsidRPr="00C07D82">
        <w:rPr>
          <w:szCs w:val="22"/>
        </w:rPr>
        <w:t xml:space="preserve"> or duration will be subject to the mutual agreement of the Parties and a formal amendment of this Agreement. </w:t>
      </w:r>
    </w:p>
    <w:p w14:paraId="36A948A6" w14:textId="77777777" w:rsidR="00A778DE" w:rsidRPr="00C07D82" w:rsidRDefault="00A778DE" w:rsidP="005478BA">
      <w:pPr>
        <w:spacing w:after="120"/>
        <w:rPr>
          <w:rFonts w:cs="Arial"/>
          <w:b/>
          <w:szCs w:val="22"/>
        </w:rPr>
      </w:pPr>
      <w:r w:rsidRPr="00C07D82">
        <w:rPr>
          <w:rFonts w:cs="Arial"/>
          <w:b/>
          <w:szCs w:val="22"/>
        </w:rPr>
        <w:t>GOA Funding</w:t>
      </w:r>
    </w:p>
    <w:p w14:paraId="36A948A7" w14:textId="490FB69F" w:rsidR="00A778DE" w:rsidRPr="00C07D82" w:rsidRDefault="00A778DE" w:rsidP="00A778DE">
      <w:pPr>
        <w:pStyle w:val="ListParagraph"/>
        <w:rPr>
          <w:szCs w:val="22"/>
        </w:rPr>
      </w:pPr>
      <w:r w:rsidRPr="00C07D82">
        <w:rPr>
          <w:szCs w:val="22"/>
        </w:rPr>
        <w:t xml:space="preserve">Subject to annual parliamentary appropriations, the GOA will contribute up to a maximum of </w:t>
      </w:r>
      <w:r w:rsidRPr="00C07D82">
        <w:rPr>
          <w:b/>
          <w:szCs w:val="22"/>
        </w:rPr>
        <w:t>AUD</w:t>
      </w:r>
      <w:r w:rsidR="00D95D3D" w:rsidRPr="00C07D82">
        <w:rPr>
          <w:b/>
          <w:szCs w:val="22"/>
        </w:rPr>
        <w:t>2,</w:t>
      </w:r>
      <w:r w:rsidR="00D22E53" w:rsidRPr="00C07D82">
        <w:rPr>
          <w:b/>
          <w:szCs w:val="22"/>
        </w:rPr>
        <w:t>5</w:t>
      </w:r>
      <w:r w:rsidR="00D95D3D" w:rsidRPr="00C07D82">
        <w:rPr>
          <w:b/>
          <w:szCs w:val="22"/>
        </w:rPr>
        <w:t>00,000</w:t>
      </w:r>
      <w:r w:rsidRPr="00C07D82">
        <w:rPr>
          <w:szCs w:val="22"/>
        </w:rPr>
        <w:t xml:space="preserve"> through direct funding support to the Partner Government for the </w:t>
      </w:r>
      <w:r w:rsidR="00B33CFA" w:rsidRPr="00C07D82">
        <w:rPr>
          <w:szCs w:val="22"/>
        </w:rPr>
        <w:t>Project</w:t>
      </w:r>
      <w:r w:rsidRPr="00C07D82">
        <w:rPr>
          <w:szCs w:val="22"/>
        </w:rPr>
        <w:t xml:space="preserve"> activities.</w:t>
      </w:r>
    </w:p>
    <w:p w14:paraId="36A948A8" w14:textId="77777777" w:rsidR="00A778DE" w:rsidRPr="00C07D82" w:rsidRDefault="00A778DE" w:rsidP="00A778DE">
      <w:pPr>
        <w:pStyle w:val="ListParagraph"/>
        <w:rPr>
          <w:szCs w:val="22"/>
        </w:rPr>
      </w:pPr>
      <w:r w:rsidRPr="00C07D82">
        <w:rPr>
          <w:szCs w:val="22"/>
        </w:rPr>
        <w:t xml:space="preserve">The indicative annual funding to be provided by GOA is shown in </w:t>
      </w:r>
      <w:r w:rsidRPr="00C07D82">
        <w:rPr>
          <w:b/>
          <w:i/>
          <w:szCs w:val="22"/>
          <w:u w:val="single"/>
        </w:rPr>
        <w:t xml:space="preserve">Table </w:t>
      </w:r>
      <w:r w:rsidR="004E77C8" w:rsidRPr="00C07D82">
        <w:rPr>
          <w:b/>
          <w:i/>
          <w:szCs w:val="22"/>
          <w:u w:val="single"/>
        </w:rPr>
        <w:t>2</w:t>
      </w:r>
      <w:r w:rsidRPr="00C07D82">
        <w:rPr>
          <w:szCs w:val="22"/>
        </w:rPr>
        <w:t>.</w:t>
      </w:r>
    </w:p>
    <w:p w14:paraId="36A948A9" w14:textId="7ADDC887" w:rsidR="00A778DE" w:rsidRPr="00C07D82" w:rsidRDefault="00A778DE" w:rsidP="00A778DE">
      <w:pPr>
        <w:pStyle w:val="ListParagraph"/>
        <w:rPr>
          <w:szCs w:val="22"/>
        </w:rPr>
      </w:pPr>
      <w:r w:rsidRPr="00C07D82">
        <w:rPr>
          <w:szCs w:val="22"/>
        </w:rPr>
        <w:t xml:space="preserve">In addition to the indicative total amount as shown in </w:t>
      </w:r>
      <w:r w:rsidRPr="00C07D82">
        <w:rPr>
          <w:b/>
          <w:i/>
          <w:szCs w:val="22"/>
          <w:u w:val="single"/>
        </w:rPr>
        <w:t xml:space="preserve">Table </w:t>
      </w:r>
      <w:r w:rsidR="004E77C8" w:rsidRPr="00C07D82">
        <w:rPr>
          <w:b/>
          <w:i/>
          <w:szCs w:val="22"/>
          <w:u w:val="single"/>
        </w:rPr>
        <w:t>2</w:t>
      </w:r>
      <w:r w:rsidRPr="00C07D82">
        <w:rPr>
          <w:szCs w:val="22"/>
        </w:rPr>
        <w:t>, GOA will also provide up to an estimated AUD</w:t>
      </w:r>
      <w:r w:rsidR="00D22E53" w:rsidRPr="00C07D82">
        <w:rPr>
          <w:szCs w:val="22"/>
        </w:rPr>
        <w:t>6</w:t>
      </w:r>
      <w:r w:rsidR="00D95D3D" w:rsidRPr="00C07D82">
        <w:rPr>
          <w:szCs w:val="22"/>
        </w:rPr>
        <w:t>0</w:t>
      </w:r>
      <w:r w:rsidRPr="00C07D82">
        <w:rPr>
          <w:szCs w:val="22"/>
        </w:rPr>
        <w:t xml:space="preserve">0,000 for technical assistance and related support for the implementation of the </w:t>
      </w:r>
      <w:r w:rsidR="00B33CFA" w:rsidRPr="00C07D82">
        <w:rPr>
          <w:szCs w:val="22"/>
        </w:rPr>
        <w:t>Project</w:t>
      </w:r>
      <w:r w:rsidR="00D22E53" w:rsidRPr="00C07D82">
        <w:rPr>
          <w:szCs w:val="22"/>
        </w:rPr>
        <w:t xml:space="preserve"> and design of the new phase</w:t>
      </w:r>
      <w:r w:rsidRPr="00C07D82">
        <w:rPr>
          <w:szCs w:val="22"/>
        </w:rPr>
        <w:t xml:space="preserve"> either through a separate Agreement with a contracted service provider and/or by direct contracting by </w:t>
      </w:r>
      <w:r w:rsidR="008D3D01" w:rsidRPr="00C07D82">
        <w:rPr>
          <w:szCs w:val="22"/>
        </w:rPr>
        <w:t>GOA</w:t>
      </w:r>
      <w:r w:rsidR="00DD4802" w:rsidRPr="00C07D82">
        <w:rPr>
          <w:szCs w:val="22"/>
        </w:rPr>
        <w:t xml:space="preserve">. This includes </w:t>
      </w:r>
      <w:r w:rsidR="00B33CFA" w:rsidRPr="00C07D82">
        <w:rPr>
          <w:szCs w:val="22"/>
        </w:rPr>
        <w:t xml:space="preserve">fund for </w:t>
      </w:r>
      <w:r w:rsidR="00DD4802" w:rsidRPr="00C07D82">
        <w:rPr>
          <w:szCs w:val="22"/>
        </w:rPr>
        <w:t xml:space="preserve">the Senior Technical Adviser (STA) position, which will be directly </w:t>
      </w:r>
      <w:r w:rsidR="00D95D3D" w:rsidRPr="00C07D82">
        <w:rPr>
          <w:szCs w:val="22"/>
        </w:rPr>
        <w:t xml:space="preserve">contracted by </w:t>
      </w:r>
      <w:r w:rsidR="008D3D01" w:rsidRPr="00C07D82">
        <w:rPr>
          <w:szCs w:val="22"/>
        </w:rPr>
        <w:t>GOA</w:t>
      </w:r>
      <w:r w:rsidRPr="00C07D82">
        <w:rPr>
          <w:szCs w:val="22"/>
        </w:rPr>
        <w:t xml:space="preserve">. </w:t>
      </w:r>
    </w:p>
    <w:p w14:paraId="36A948AA" w14:textId="77777777" w:rsidR="00A778DE" w:rsidRPr="00C07D82" w:rsidRDefault="00A778DE" w:rsidP="00A778DE">
      <w:pPr>
        <w:pStyle w:val="ListParagraph"/>
        <w:rPr>
          <w:szCs w:val="22"/>
        </w:rPr>
      </w:pPr>
      <w:r w:rsidRPr="00C07D82">
        <w:rPr>
          <w:szCs w:val="22"/>
        </w:rPr>
        <w:t>Any technical assistance to be provided is to be demand driven and the Partner Government is responsible for requesting specific technical assistance and providing an outline of the justification, purpose and estimated duration of the assistance.</w:t>
      </w:r>
    </w:p>
    <w:p w14:paraId="36A948AB" w14:textId="77777777" w:rsidR="00A778DE" w:rsidRPr="00C07D82" w:rsidRDefault="00A778DE" w:rsidP="00A778DE">
      <w:pPr>
        <w:pStyle w:val="ListParagraph"/>
        <w:rPr>
          <w:szCs w:val="22"/>
        </w:rPr>
      </w:pPr>
      <w:r w:rsidRPr="00C07D82">
        <w:rPr>
          <w:szCs w:val="22"/>
        </w:rPr>
        <w:t xml:space="preserve">The Partner Government agrees to use the GOA funding provided solely for the implementation of the </w:t>
      </w:r>
      <w:r w:rsidR="00B33CFA" w:rsidRPr="00C07D82">
        <w:rPr>
          <w:szCs w:val="22"/>
        </w:rPr>
        <w:t>Project</w:t>
      </w:r>
      <w:r w:rsidRPr="00C07D82">
        <w:rPr>
          <w:szCs w:val="22"/>
        </w:rPr>
        <w:t xml:space="preserve"> and in accordance with expenditures as detailed in the Annual Work </w:t>
      </w:r>
      <w:r w:rsidR="00B33CFA" w:rsidRPr="00C07D82">
        <w:rPr>
          <w:szCs w:val="22"/>
        </w:rPr>
        <w:t>P</w:t>
      </w:r>
      <w:r w:rsidR="00166374" w:rsidRPr="00C07D82">
        <w:rPr>
          <w:szCs w:val="22"/>
        </w:rPr>
        <w:t xml:space="preserve">lans (AWP) </w:t>
      </w:r>
      <w:r w:rsidRPr="00C07D82">
        <w:rPr>
          <w:szCs w:val="22"/>
        </w:rPr>
        <w:t>unless the GOA provides written advice to the contrary.</w:t>
      </w:r>
    </w:p>
    <w:p w14:paraId="36A948AC" w14:textId="77777777" w:rsidR="00A778DE" w:rsidRPr="00C07D82" w:rsidRDefault="00A778DE" w:rsidP="00A778DE">
      <w:pPr>
        <w:pStyle w:val="ListParagraph"/>
        <w:rPr>
          <w:szCs w:val="22"/>
        </w:rPr>
      </w:pPr>
      <w:r w:rsidRPr="00C07D82">
        <w:rPr>
          <w:szCs w:val="22"/>
        </w:rPr>
        <w:t xml:space="preserve">In the event that GOA funding is not used in accordance with </w:t>
      </w:r>
      <w:r w:rsidRPr="00C07D82">
        <w:rPr>
          <w:b/>
          <w:szCs w:val="22"/>
        </w:rPr>
        <w:t>Clause 2</w:t>
      </w:r>
      <w:r w:rsidR="002C0297" w:rsidRPr="00C07D82">
        <w:rPr>
          <w:b/>
          <w:szCs w:val="22"/>
        </w:rPr>
        <w:t>1</w:t>
      </w:r>
      <w:r w:rsidRPr="00C07D82">
        <w:rPr>
          <w:szCs w:val="22"/>
        </w:rPr>
        <w:t xml:space="preserve"> above and/or there is a finding of fraudulent or corrupt practice in respect of the </w:t>
      </w:r>
      <w:r w:rsidR="00B33CFA" w:rsidRPr="00C07D82">
        <w:rPr>
          <w:szCs w:val="22"/>
        </w:rPr>
        <w:t>Project</w:t>
      </w:r>
      <w:r w:rsidRPr="00C07D82">
        <w:rPr>
          <w:szCs w:val="22"/>
        </w:rPr>
        <w:t>, GOA may reduce or suspend its funding until such time as both Parties agree a mutual resolution.</w:t>
      </w:r>
    </w:p>
    <w:p w14:paraId="36A948AD" w14:textId="77777777" w:rsidR="00A778DE" w:rsidRPr="00C07D82" w:rsidRDefault="00A778DE" w:rsidP="00A778DE">
      <w:pPr>
        <w:pStyle w:val="ListParagraph"/>
      </w:pPr>
      <w:r w:rsidRPr="00C07D82">
        <w:rPr>
          <w:szCs w:val="22"/>
        </w:rPr>
        <w:t xml:space="preserve">The </w:t>
      </w:r>
      <w:r w:rsidRPr="00C07D82">
        <w:t xml:space="preserve">Partner Government agrees that GOA funds will </w:t>
      </w:r>
      <w:r w:rsidRPr="00C07D82">
        <w:rPr>
          <w:b/>
        </w:rPr>
        <w:t>not</w:t>
      </w:r>
      <w:r w:rsidRPr="00C07D82">
        <w:t xml:space="preserve"> to be used for the </w:t>
      </w:r>
    </w:p>
    <w:p w14:paraId="36A948AE" w14:textId="519FEF9E" w:rsidR="00A778DE" w:rsidRPr="00C07D82" w:rsidRDefault="00A778DE" w:rsidP="00A778DE">
      <w:pPr>
        <w:pStyle w:val="ListParagraphindent"/>
      </w:pPr>
      <w:r w:rsidRPr="00C07D82">
        <w:t>Recurrent administrative costs including salaries of permanent staff, housing allowances or office costs;</w:t>
      </w:r>
      <w:r w:rsidR="00B15E35" w:rsidRPr="00C07D82">
        <w:t xml:space="preserve"> and</w:t>
      </w:r>
    </w:p>
    <w:p w14:paraId="36A948AF" w14:textId="77777777" w:rsidR="00A778DE" w:rsidRPr="00C07D82" w:rsidRDefault="00A778DE" w:rsidP="00A778DE">
      <w:pPr>
        <w:pStyle w:val="ListParagraphindent"/>
      </w:pPr>
      <w:r w:rsidRPr="00C07D82">
        <w:t>Capital costs, vehicles and equipment.</w:t>
      </w:r>
    </w:p>
    <w:p w14:paraId="2A66BF56" w14:textId="610741C4" w:rsidR="00697FA4" w:rsidRPr="00C07D82" w:rsidRDefault="002C2263" w:rsidP="0065156E">
      <w:pPr>
        <w:pStyle w:val="ListParagraph"/>
        <w:rPr>
          <w:szCs w:val="22"/>
        </w:rPr>
      </w:pPr>
      <w:r w:rsidRPr="00C07D82">
        <w:t>T</w:t>
      </w:r>
      <w:r w:rsidR="00697FA4" w:rsidRPr="00C07D82">
        <w:t xml:space="preserve">he GOA funds </w:t>
      </w:r>
      <w:r w:rsidRPr="00C07D82">
        <w:t xml:space="preserve">may </w:t>
      </w:r>
      <w:r w:rsidR="00697FA4" w:rsidRPr="00C07D82">
        <w:t xml:space="preserve">be considered to co-fund eligible office costs of the Project Coordination Unit, which must be approved by GOA </w:t>
      </w:r>
      <w:r w:rsidR="00482296" w:rsidRPr="00C07D82">
        <w:t xml:space="preserve">in writing </w:t>
      </w:r>
      <w:r w:rsidR="00697FA4" w:rsidRPr="00C07D82">
        <w:t>as part of the Annual Work Plan</w:t>
      </w:r>
      <w:r w:rsidR="00697FA4" w:rsidRPr="00C07D82">
        <w:rPr>
          <w:szCs w:val="22"/>
        </w:rPr>
        <w:t>.</w:t>
      </w:r>
    </w:p>
    <w:p w14:paraId="36A948B0" w14:textId="77777777" w:rsidR="009110F2" w:rsidRPr="00C07D82" w:rsidRDefault="009110F2" w:rsidP="0062529A">
      <w:pPr>
        <w:pStyle w:val="ListParagraph"/>
        <w:rPr>
          <w:szCs w:val="22"/>
        </w:rPr>
      </w:pPr>
      <w:r w:rsidRPr="00C07D82">
        <w:rPr>
          <w:szCs w:val="22"/>
        </w:rPr>
        <w:t>At the Agreement Completion Date any unexpended portions of GOA funds will be refunded to GOA.</w:t>
      </w:r>
    </w:p>
    <w:p w14:paraId="78E0C1D9" w14:textId="77777777" w:rsidR="0065156E" w:rsidRPr="00C07D82" w:rsidRDefault="0065156E" w:rsidP="00A778DE">
      <w:pPr>
        <w:spacing w:after="120"/>
        <w:rPr>
          <w:rFonts w:cs="Arial"/>
          <w:b/>
          <w:szCs w:val="22"/>
        </w:rPr>
      </w:pPr>
    </w:p>
    <w:p w14:paraId="36A948B1" w14:textId="77777777" w:rsidR="00A778DE" w:rsidRPr="00C07D82" w:rsidRDefault="00A778DE" w:rsidP="00A778DE">
      <w:pPr>
        <w:spacing w:after="120"/>
        <w:rPr>
          <w:rFonts w:cs="Arial"/>
          <w:b/>
          <w:szCs w:val="22"/>
        </w:rPr>
      </w:pPr>
      <w:r w:rsidRPr="00C07D82">
        <w:rPr>
          <w:rFonts w:cs="Arial"/>
          <w:b/>
          <w:szCs w:val="22"/>
        </w:rPr>
        <w:t>Partner Government Contribution and funding</w:t>
      </w:r>
    </w:p>
    <w:p w14:paraId="36A948B2" w14:textId="77777777" w:rsidR="00A778DE" w:rsidRPr="00C07D82" w:rsidRDefault="00A778DE" w:rsidP="00A778DE">
      <w:pPr>
        <w:pStyle w:val="ListParagraph"/>
        <w:rPr>
          <w:szCs w:val="22"/>
        </w:rPr>
      </w:pPr>
      <w:r w:rsidRPr="00C07D82">
        <w:rPr>
          <w:szCs w:val="22"/>
        </w:rPr>
        <w:t xml:space="preserve">Partner Government Budget funding </w:t>
      </w:r>
      <w:r w:rsidR="00C6312A" w:rsidRPr="00C07D82">
        <w:rPr>
          <w:szCs w:val="22"/>
        </w:rPr>
        <w:t xml:space="preserve">details over </w:t>
      </w:r>
      <w:r w:rsidRPr="00C07D82">
        <w:rPr>
          <w:szCs w:val="22"/>
        </w:rPr>
        <w:t xml:space="preserve">the duration of the </w:t>
      </w:r>
      <w:r w:rsidR="00B33CFA" w:rsidRPr="00C07D82">
        <w:rPr>
          <w:szCs w:val="22"/>
        </w:rPr>
        <w:t>Project</w:t>
      </w:r>
      <w:r w:rsidRPr="00C07D82">
        <w:rPr>
          <w:szCs w:val="22"/>
        </w:rPr>
        <w:t xml:space="preserve"> and breakdown by component</w:t>
      </w:r>
      <w:r w:rsidR="00C6312A" w:rsidRPr="00C07D82">
        <w:rPr>
          <w:szCs w:val="22"/>
        </w:rPr>
        <w:t xml:space="preserve"> are shown in </w:t>
      </w:r>
      <w:r w:rsidR="00C6312A" w:rsidRPr="00C07D82">
        <w:rPr>
          <w:b/>
          <w:i/>
          <w:szCs w:val="22"/>
          <w:u w:val="single"/>
        </w:rPr>
        <w:t>Table 1</w:t>
      </w:r>
      <w:r w:rsidR="00C6312A" w:rsidRPr="00C07D82">
        <w:rPr>
          <w:szCs w:val="22"/>
        </w:rPr>
        <w:t xml:space="preserve"> below</w:t>
      </w:r>
      <w:r w:rsidRPr="00C07D82">
        <w:rPr>
          <w:szCs w:val="22"/>
        </w:rPr>
        <w:t>.</w:t>
      </w:r>
    </w:p>
    <w:p w14:paraId="36A948B3" w14:textId="12D75F82" w:rsidR="00FB3519" w:rsidRDefault="00C6312A" w:rsidP="00C6312A">
      <w:pPr>
        <w:pStyle w:val="ListParagraph"/>
        <w:numPr>
          <w:ilvl w:val="0"/>
          <w:numId w:val="0"/>
        </w:numPr>
        <w:ind w:left="426"/>
        <w:rPr>
          <w:b/>
        </w:rPr>
      </w:pPr>
      <w:r w:rsidRPr="00C07D82">
        <w:rPr>
          <w:b/>
        </w:rPr>
        <w:t xml:space="preserve">Table 1: Indicative Partner Government Project Funding (AUD’000) </w:t>
      </w:r>
    </w:p>
    <w:tbl>
      <w:tblPr>
        <w:tblStyle w:val="TableGrid"/>
        <w:tblW w:w="0" w:type="auto"/>
        <w:tblInd w:w="357" w:type="dxa"/>
        <w:tblLayout w:type="fixed"/>
        <w:tblLook w:val="04A0" w:firstRow="1" w:lastRow="0" w:firstColumn="1" w:lastColumn="0" w:noHBand="0" w:noVBand="1"/>
      </w:tblPr>
      <w:tblGrid>
        <w:gridCol w:w="2870"/>
        <w:gridCol w:w="1322"/>
        <w:gridCol w:w="1322"/>
        <w:gridCol w:w="1322"/>
        <w:gridCol w:w="995"/>
      </w:tblGrid>
      <w:tr w:rsidR="00E84308" w:rsidRPr="00C07D82" w14:paraId="36A948B9" w14:textId="77777777" w:rsidTr="00292C1F">
        <w:tc>
          <w:tcPr>
            <w:tcW w:w="2870" w:type="dxa"/>
            <w:shd w:val="clear" w:color="auto" w:fill="auto"/>
          </w:tcPr>
          <w:p w14:paraId="36A948B4" w14:textId="01105EE3" w:rsidR="00E84308" w:rsidRPr="00C07D82" w:rsidRDefault="00FB3519" w:rsidP="00C6312A">
            <w:pPr>
              <w:spacing w:after="120"/>
              <w:jc w:val="center"/>
              <w:rPr>
                <w:rFonts w:cs="Arial"/>
                <w:b/>
                <w:szCs w:val="22"/>
                <w:lang w:val="en-AU"/>
              </w:rPr>
            </w:pPr>
            <w:r>
              <w:rPr>
                <w:b/>
              </w:rPr>
              <w:br w:type="page"/>
            </w:r>
            <w:r w:rsidR="00E84308" w:rsidRPr="00C07D82">
              <w:rPr>
                <w:rFonts w:cs="Arial"/>
                <w:b/>
                <w:szCs w:val="22"/>
                <w:lang w:val="en-AU"/>
              </w:rPr>
              <w:t>Year/Component</w:t>
            </w:r>
          </w:p>
        </w:tc>
        <w:tc>
          <w:tcPr>
            <w:tcW w:w="1322" w:type="dxa"/>
            <w:shd w:val="clear" w:color="auto" w:fill="auto"/>
          </w:tcPr>
          <w:p w14:paraId="36A948B5" w14:textId="24F3CDDD" w:rsidR="00E84308" w:rsidRPr="00C07D82" w:rsidRDefault="00E84308" w:rsidP="00C6312A">
            <w:pPr>
              <w:spacing w:after="120"/>
              <w:rPr>
                <w:rFonts w:cs="Arial"/>
                <w:b/>
                <w:szCs w:val="22"/>
                <w:lang w:val="en-AU"/>
              </w:rPr>
            </w:pPr>
            <w:r w:rsidRPr="00C07D82">
              <w:rPr>
                <w:rFonts w:cs="Arial"/>
                <w:b/>
                <w:szCs w:val="22"/>
                <w:lang w:val="en-AU"/>
              </w:rPr>
              <w:t>2014-15</w:t>
            </w:r>
          </w:p>
        </w:tc>
        <w:tc>
          <w:tcPr>
            <w:tcW w:w="1322" w:type="dxa"/>
            <w:shd w:val="clear" w:color="auto" w:fill="auto"/>
          </w:tcPr>
          <w:p w14:paraId="36A948B6" w14:textId="382D6A15" w:rsidR="00E84308" w:rsidRPr="00C07D82" w:rsidRDefault="00E84308" w:rsidP="00C6312A">
            <w:pPr>
              <w:spacing w:after="120"/>
              <w:rPr>
                <w:rFonts w:cs="Arial"/>
                <w:b/>
                <w:szCs w:val="22"/>
                <w:lang w:val="en-AU"/>
              </w:rPr>
            </w:pPr>
            <w:r w:rsidRPr="00C07D82">
              <w:rPr>
                <w:rFonts w:cs="Arial"/>
                <w:b/>
                <w:szCs w:val="22"/>
                <w:lang w:val="en-AU"/>
              </w:rPr>
              <w:t>2015-16</w:t>
            </w:r>
          </w:p>
        </w:tc>
        <w:tc>
          <w:tcPr>
            <w:tcW w:w="1322" w:type="dxa"/>
            <w:shd w:val="clear" w:color="auto" w:fill="auto"/>
          </w:tcPr>
          <w:p w14:paraId="36A948B7" w14:textId="283165B9" w:rsidR="00E84308" w:rsidRPr="00C07D82" w:rsidRDefault="00E84308" w:rsidP="00E84308">
            <w:pPr>
              <w:spacing w:after="120"/>
              <w:rPr>
                <w:rFonts w:cs="Arial"/>
                <w:b/>
                <w:szCs w:val="22"/>
                <w:lang w:val="en-AU"/>
              </w:rPr>
            </w:pPr>
            <w:r w:rsidRPr="00C07D82">
              <w:rPr>
                <w:rFonts w:cs="Arial"/>
                <w:b/>
                <w:szCs w:val="22"/>
                <w:lang w:val="en-AU"/>
              </w:rPr>
              <w:t>201</w:t>
            </w:r>
            <w:r>
              <w:rPr>
                <w:rFonts w:cs="Arial"/>
                <w:b/>
                <w:szCs w:val="22"/>
                <w:lang w:val="en-AU"/>
              </w:rPr>
              <w:t>6</w:t>
            </w:r>
            <w:r w:rsidRPr="00C07D82">
              <w:rPr>
                <w:rFonts w:cs="Arial"/>
                <w:b/>
                <w:szCs w:val="22"/>
                <w:lang w:val="en-AU"/>
              </w:rPr>
              <w:t>-1</w:t>
            </w:r>
            <w:r>
              <w:rPr>
                <w:rFonts w:cs="Arial"/>
                <w:b/>
                <w:szCs w:val="22"/>
                <w:lang w:val="en-AU"/>
              </w:rPr>
              <w:t>7</w:t>
            </w:r>
          </w:p>
        </w:tc>
        <w:tc>
          <w:tcPr>
            <w:tcW w:w="995" w:type="dxa"/>
            <w:shd w:val="clear" w:color="auto" w:fill="auto"/>
          </w:tcPr>
          <w:p w14:paraId="36A948B8" w14:textId="77777777" w:rsidR="00E84308" w:rsidRPr="00C07D82" w:rsidRDefault="00E84308" w:rsidP="00C6312A">
            <w:pPr>
              <w:spacing w:after="120"/>
              <w:rPr>
                <w:rFonts w:cs="Arial"/>
                <w:b/>
                <w:szCs w:val="22"/>
                <w:lang w:val="en-AU"/>
              </w:rPr>
            </w:pPr>
            <w:r w:rsidRPr="00C07D82">
              <w:rPr>
                <w:rFonts w:cs="Arial"/>
                <w:b/>
                <w:szCs w:val="22"/>
                <w:lang w:val="en-AU"/>
              </w:rPr>
              <w:t>Total</w:t>
            </w:r>
          </w:p>
        </w:tc>
      </w:tr>
      <w:tr w:rsidR="00E84308" w:rsidRPr="00C07D82" w14:paraId="36A948BB" w14:textId="77777777" w:rsidTr="00292C1F">
        <w:tc>
          <w:tcPr>
            <w:tcW w:w="7831" w:type="dxa"/>
            <w:gridSpan w:val="5"/>
          </w:tcPr>
          <w:p w14:paraId="36A948BA" w14:textId="77777777" w:rsidR="00E84308" w:rsidRPr="00C07D82" w:rsidRDefault="00E84308" w:rsidP="00C6312A">
            <w:pPr>
              <w:pStyle w:val="Table-normal-text"/>
              <w:rPr>
                <w:rFonts w:cs="Arial"/>
              </w:rPr>
            </w:pPr>
            <w:r w:rsidRPr="00C07D82">
              <w:rPr>
                <w:rFonts w:cs="Arial"/>
              </w:rPr>
              <w:t>Component 1</w:t>
            </w:r>
          </w:p>
        </w:tc>
      </w:tr>
      <w:tr w:rsidR="00E84308" w:rsidRPr="00C07D82" w14:paraId="36A948C1" w14:textId="77777777" w:rsidTr="00292C1F">
        <w:tc>
          <w:tcPr>
            <w:tcW w:w="2870" w:type="dxa"/>
          </w:tcPr>
          <w:p w14:paraId="36A948BC" w14:textId="77777777" w:rsidR="00E84308" w:rsidRPr="00C07D82" w:rsidRDefault="00E84308" w:rsidP="004E77C8">
            <w:pPr>
              <w:pStyle w:val="Table-normal-text"/>
              <w:ind w:left="426"/>
              <w:rPr>
                <w:rFonts w:cs="Arial"/>
              </w:rPr>
            </w:pPr>
            <w:r w:rsidRPr="00C07D82">
              <w:rPr>
                <w:rFonts w:cs="Arial"/>
              </w:rPr>
              <w:t>MPI</w:t>
            </w:r>
          </w:p>
        </w:tc>
        <w:tc>
          <w:tcPr>
            <w:tcW w:w="1322" w:type="dxa"/>
          </w:tcPr>
          <w:p w14:paraId="36A948BD" w14:textId="5F61D8C1" w:rsidR="00E84308" w:rsidRPr="00C07D82" w:rsidRDefault="00E84308" w:rsidP="004E77C8">
            <w:pPr>
              <w:pStyle w:val="Table-normal-text"/>
              <w:ind w:left="426"/>
              <w:jc w:val="right"/>
              <w:rPr>
                <w:rFonts w:cs="Arial"/>
              </w:rPr>
            </w:pPr>
            <w:r>
              <w:rPr>
                <w:rFonts w:cs="Arial"/>
              </w:rPr>
              <w:t>10</w:t>
            </w:r>
          </w:p>
        </w:tc>
        <w:tc>
          <w:tcPr>
            <w:tcW w:w="1322" w:type="dxa"/>
          </w:tcPr>
          <w:p w14:paraId="36A948BE" w14:textId="77777777" w:rsidR="00E84308" w:rsidRPr="00C07D82" w:rsidRDefault="00E84308" w:rsidP="00CF47DD">
            <w:pPr>
              <w:pStyle w:val="Table-normal-text"/>
              <w:ind w:left="426"/>
              <w:jc w:val="right"/>
              <w:rPr>
                <w:rFonts w:cs="Arial"/>
              </w:rPr>
            </w:pPr>
            <w:r w:rsidRPr="00C07D82">
              <w:rPr>
                <w:rFonts w:cs="Arial"/>
              </w:rPr>
              <w:t>10</w:t>
            </w:r>
          </w:p>
        </w:tc>
        <w:tc>
          <w:tcPr>
            <w:tcW w:w="1322" w:type="dxa"/>
          </w:tcPr>
          <w:p w14:paraId="36A948BF" w14:textId="7833A54A" w:rsidR="00E84308" w:rsidRPr="00C07D82" w:rsidRDefault="00E84308" w:rsidP="004E77C8">
            <w:pPr>
              <w:pStyle w:val="Table-normal-text"/>
              <w:ind w:left="426"/>
              <w:jc w:val="right"/>
              <w:rPr>
                <w:rFonts w:cs="Arial"/>
              </w:rPr>
            </w:pPr>
            <w:r>
              <w:rPr>
                <w:rFonts w:cs="Arial"/>
              </w:rPr>
              <w:t>6</w:t>
            </w:r>
          </w:p>
        </w:tc>
        <w:tc>
          <w:tcPr>
            <w:tcW w:w="995" w:type="dxa"/>
          </w:tcPr>
          <w:p w14:paraId="36A948C0" w14:textId="1F2E2D0E" w:rsidR="00E84308" w:rsidRPr="00C07D82" w:rsidRDefault="00E84308" w:rsidP="00CF47DD">
            <w:pPr>
              <w:pStyle w:val="Table-normal-text"/>
              <w:ind w:left="426"/>
              <w:jc w:val="right"/>
              <w:rPr>
                <w:rFonts w:cs="Arial"/>
                <w:b/>
              </w:rPr>
            </w:pPr>
            <w:r>
              <w:rPr>
                <w:rFonts w:cs="Arial"/>
                <w:b/>
              </w:rPr>
              <w:t>26</w:t>
            </w:r>
          </w:p>
        </w:tc>
      </w:tr>
      <w:tr w:rsidR="00E84308" w:rsidRPr="00C07D82" w14:paraId="36A948C3" w14:textId="77777777" w:rsidTr="00292C1F">
        <w:tc>
          <w:tcPr>
            <w:tcW w:w="7831" w:type="dxa"/>
            <w:gridSpan w:val="5"/>
          </w:tcPr>
          <w:p w14:paraId="36A948C2" w14:textId="77777777" w:rsidR="00E84308" w:rsidRPr="00C07D82" w:rsidRDefault="00E84308" w:rsidP="00C6312A">
            <w:pPr>
              <w:pStyle w:val="Table-normal-text"/>
              <w:rPr>
                <w:rFonts w:cs="Arial"/>
              </w:rPr>
            </w:pPr>
            <w:r w:rsidRPr="00C07D82">
              <w:rPr>
                <w:rFonts w:cs="Arial"/>
              </w:rPr>
              <w:t>Component 2</w:t>
            </w:r>
          </w:p>
        </w:tc>
      </w:tr>
      <w:tr w:rsidR="00E84308" w:rsidRPr="00C07D82" w14:paraId="36A948C9" w14:textId="77777777" w:rsidTr="00292C1F">
        <w:tc>
          <w:tcPr>
            <w:tcW w:w="2870" w:type="dxa"/>
          </w:tcPr>
          <w:p w14:paraId="36A948C4" w14:textId="77777777" w:rsidR="00E84308" w:rsidRPr="00C07D82" w:rsidRDefault="00E84308" w:rsidP="004E77C8">
            <w:pPr>
              <w:pStyle w:val="Table-normal-text"/>
              <w:ind w:left="426"/>
              <w:rPr>
                <w:rFonts w:cs="Arial"/>
              </w:rPr>
            </w:pPr>
            <w:r w:rsidRPr="00C07D82">
              <w:rPr>
                <w:rFonts w:cs="Arial"/>
              </w:rPr>
              <w:t>MOIT</w:t>
            </w:r>
          </w:p>
        </w:tc>
        <w:tc>
          <w:tcPr>
            <w:tcW w:w="1322" w:type="dxa"/>
          </w:tcPr>
          <w:p w14:paraId="36A948C5" w14:textId="2EAFD590" w:rsidR="00E84308" w:rsidRPr="00C07D82" w:rsidRDefault="00E84308" w:rsidP="004E77C8">
            <w:pPr>
              <w:pStyle w:val="Table-normal-text"/>
              <w:ind w:left="426"/>
              <w:jc w:val="right"/>
              <w:rPr>
                <w:rFonts w:cs="Arial"/>
              </w:rPr>
            </w:pPr>
            <w:r>
              <w:rPr>
                <w:rFonts w:cs="Arial"/>
              </w:rPr>
              <w:t>13</w:t>
            </w:r>
          </w:p>
        </w:tc>
        <w:tc>
          <w:tcPr>
            <w:tcW w:w="1322" w:type="dxa"/>
          </w:tcPr>
          <w:p w14:paraId="36A948C6" w14:textId="75F89FAF" w:rsidR="00E84308" w:rsidRPr="00C07D82" w:rsidRDefault="00E84308" w:rsidP="00E84308">
            <w:pPr>
              <w:pStyle w:val="Table-normal-text"/>
              <w:ind w:left="426"/>
              <w:jc w:val="right"/>
              <w:rPr>
                <w:rFonts w:cs="Arial"/>
              </w:rPr>
            </w:pPr>
            <w:r w:rsidRPr="00C07D82">
              <w:rPr>
                <w:rFonts w:cs="Arial"/>
              </w:rPr>
              <w:t>1</w:t>
            </w:r>
            <w:r>
              <w:rPr>
                <w:rFonts w:cs="Arial"/>
              </w:rPr>
              <w:t>3</w:t>
            </w:r>
          </w:p>
        </w:tc>
        <w:tc>
          <w:tcPr>
            <w:tcW w:w="1322" w:type="dxa"/>
          </w:tcPr>
          <w:p w14:paraId="36A948C7" w14:textId="15BDDAFB" w:rsidR="00E84308" w:rsidRPr="00C07D82" w:rsidRDefault="00E84308" w:rsidP="004E77C8">
            <w:pPr>
              <w:pStyle w:val="Table-normal-text"/>
              <w:ind w:left="426"/>
              <w:jc w:val="right"/>
              <w:rPr>
                <w:rFonts w:cs="Arial"/>
              </w:rPr>
            </w:pPr>
            <w:r>
              <w:rPr>
                <w:rFonts w:cs="Arial"/>
              </w:rPr>
              <w:t>9</w:t>
            </w:r>
          </w:p>
        </w:tc>
        <w:tc>
          <w:tcPr>
            <w:tcW w:w="995" w:type="dxa"/>
          </w:tcPr>
          <w:p w14:paraId="36A948C8" w14:textId="4C07A026" w:rsidR="00E84308" w:rsidRPr="00C07D82" w:rsidRDefault="00E84308" w:rsidP="00E84308">
            <w:pPr>
              <w:pStyle w:val="Table-normal-text"/>
              <w:ind w:left="426"/>
              <w:jc w:val="right"/>
              <w:rPr>
                <w:rFonts w:cs="Arial"/>
                <w:b/>
              </w:rPr>
            </w:pPr>
            <w:r w:rsidRPr="00C07D82">
              <w:rPr>
                <w:rFonts w:cs="Arial"/>
                <w:b/>
              </w:rPr>
              <w:t>3</w:t>
            </w:r>
            <w:r>
              <w:rPr>
                <w:rFonts w:cs="Arial"/>
                <w:b/>
              </w:rPr>
              <w:t>5</w:t>
            </w:r>
          </w:p>
        </w:tc>
      </w:tr>
      <w:tr w:rsidR="00E84308" w:rsidRPr="00C07D82" w14:paraId="36A948CB" w14:textId="77777777" w:rsidTr="00292C1F">
        <w:tc>
          <w:tcPr>
            <w:tcW w:w="7831" w:type="dxa"/>
            <w:gridSpan w:val="5"/>
          </w:tcPr>
          <w:p w14:paraId="36A948CA" w14:textId="77777777" w:rsidR="00E84308" w:rsidRPr="00C07D82" w:rsidRDefault="00E84308" w:rsidP="00C6312A">
            <w:pPr>
              <w:pStyle w:val="Table-normal-text"/>
              <w:rPr>
                <w:rFonts w:cs="Arial"/>
              </w:rPr>
            </w:pPr>
            <w:r w:rsidRPr="00C07D82">
              <w:rPr>
                <w:rFonts w:cs="Arial"/>
              </w:rPr>
              <w:t>Component 3</w:t>
            </w:r>
          </w:p>
        </w:tc>
      </w:tr>
      <w:tr w:rsidR="00E84308" w:rsidRPr="00C07D82" w14:paraId="36A948D1" w14:textId="77777777" w:rsidTr="00292C1F">
        <w:tc>
          <w:tcPr>
            <w:tcW w:w="2870" w:type="dxa"/>
          </w:tcPr>
          <w:p w14:paraId="36A948CC" w14:textId="77777777" w:rsidR="00E84308" w:rsidRPr="00C07D82" w:rsidRDefault="00E84308" w:rsidP="004E77C8">
            <w:pPr>
              <w:pStyle w:val="Table-normal-text"/>
              <w:ind w:left="426"/>
              <w:rPr>
                <w:rFonts w:cs="Arial"/>
              </w:rPr>
            </w:pPr>
            <w:r w:rsidRPr="00C07D82">
              <w:rPr>
                <w:rFonts w:cs="Arial"/>
              </w:rPr>
              <w:t>MARD</w:t>
            </w:r>
          </w:p>
        </w:tc>
        <w:tc>
          <w:tcPr>
            <w:tcW w:w="1322" w:type="dxa"/>
          </w:tcPr>
          <w:p w14:paraId="36A948CD" w14:textId="555B0A0F" w:rsidR="00E84308" w:rsidRPr="00C07D82" w:rsidRDefault="00E84308" w:rsidP="004E77C8">
            <w:pPr>
              <w:pStyle w:val="Table-normal-text"/>
              <w:ind w:left="426"/>
              <w:jc w:val="right"/>
              <w:rPr>
                <w:rFonts w:cs="Arial"/>
              </w:rPr>
            </w:pPr>
            <w:r>
              <w:rPr>
                <w:rFonts w:cs="Arial"/>
              </w:rPr>
              <w:t>14</w:t>
            </w:r>
          </w:p>
        </w:tc>
        <w:tc>
          <w:tcPr>
            <w:tcW w:w="1322" w:type="dxa"/>
          </w:tcPr>
          <w:p w14:paraId="36A948CE" w14:textId="5ED62FAA" w:rsidR="00E84308" w:rsidRPr="00C07D82" w:rsidRDefault="00E84308" w:rsidP="00E84308">
            <w:pPr>
              <w:pStyle w:val="Table-normal-text"/>
              <w:ind w:left="426"/>
              <w:jc w:val="right"/>
              <w:rPr>
                <w:rFonts w:cs="Arial"/>
              </w:rPr>
            </w:pPr>
            <w:r w:rsidRPr="00C07D82">
              <w:rPr>
                <w:rFonts w:cs="Arial"/>
              </w:rPr>
              <w:t>1</w:t>
            </w:r>
            <w:r>
              <w:rPr>
                <w:rFonts w:cs="Arial"/>
              </w:rPr>
              <w:t>4</w:t>
            </w:r>
          </w:p>
        </w:tc>
        <w:tc>
          <w:tcPr>
            <w:tcW w:w="1322" w:type="dxa"/>
          </w:tcPr>
          <w:p w14:paraId="36A948CF" w14:textId="52C0D06A" w:rsidR="00E84308" w:rsidRPr="00C07D82" w:rsidRDefault="00E84308" w:rsidP="004E77C8">
            <w:pPr>
              <w:pStyle w:val="Table-normal-text"/>
              <w:ind w:left="426"/>
              <w:jc w:val="right"/>
              <w:rPr>
                <w:rFonts w:cs="Arial"/>
              </w:rPr>
            </w:pPr>
            <w:r>
              <w:rPr>
                <w:rFonts w:cs="Arial"/>
              </w:rPr>
              <w:t>9</w:t>
            </w:r>
          </w:p>
        </w:tc>
        <w:tc>
          <w:tcPr>
            <w:tcW w:w="995" w:type="dxa"/>
          </w:tcPr>
          <w:p w14:paraId="36A948D0" w14:textId="672A4D62" w:rsidR="00E84308" w:rsidRPr="00C07D82" w:rsidRDefault="00E84308" w:rsidP="00E84308">
            <w:pPr>
              <w:pStyle w:val="Table-normal-text"/>
              <w:ind w:left="426"/>
              <w:jc w:val="right"/>
              <w:rPr>
                <w:rFonts w:cs="Arial"/>
                <w:b/>
              </w:rPr>
            </w:pPr>
            <w:r w:rsidRPr="00C07D82">
              <w:rPr>
                <w:rFonts w:cs="Arial"/>
                <w:b/>
              </w:rPr>
              <w:t>3</w:t>
            </w:r>
            <w:r>
              <w:rPr>
                <w:rFonts w:cs="Arial"/>
                <w:b/>
              </w:rPr>
              <w:t>7</w:t>
            </w:r>
          </w:p>
        </w:tc>
      </w:tr>
      <w:tr w:rsidR="00E84308" w:rsidRPr="00C07D82" w14:paraId="36A948D3" w14:textId="77777777" w:rsidTr="00292C1F">
        <w:tc>
          <w:tcPr>
            <w:tcW w:w="7831" w:type="dxa"/>
            <w:gridSpan w:val="5"/>
          </w:tcPr>
          <w:p w14:paraId="36A948D2" w14:textId="77777777" w:rsidR="00E84308" w:rsidRPr="00C07D82" w:rsidRDefault="00E84308" w:rsidP="00C6312A">
            <w:pPr>
              <w:pStyle w:val="Table-normal-text"/>
              <w:rPr>
                <w:rFonts w:cs="Arial"/>
              </w:rPr>
            </w:pPr>
            <w:r w:rsidRPr="00C07D82">
              <w:rPr>
                <w:rFonts w:cs="Arial"/>
              </w:rPr>
              <w:t>Component 4 - Flexible fund and project coordination</w:t>
            </w:r>
          </w:p>
        </w:tc>
      </w:tr>
      <w:tr w:rsidR="00E84308" w:rsidRPr="00C07D82" w14:paraId="36A948D9" w14:textId="77777777" w:rsidTr="00292C1F">
        <w:tc>
          <w:tcPr>
            <w:tcW w:w="2870" w:type="dxa"/>
          </w:tcPr>
          <w:p w14:paraId="36A948D4" w14:textId="77777777" w:rsidR="00E84308" w:rsidRPr="00C07D82" w:rsidRDefault="00E84308" w:rsidP="004E77C8">
            <w:pPr>
              <w:pStyle w:val="Table-normal-text"/>
              <w:ind w:left="426"/>
              <w:rPr>
                <w:rFonts w:cs="Arial"/>
              </w:rPr>
            </w:pPr>
            <w:r w:rsidRPr="00C07D82">
              <w:rPr>
                <w:rFonts w:cs="Arial"/>
              </w:rPr>
              <w:t>MPI</w:t>
            </w:r>
          </w:p>
        </w:tc>
        <w:tc>
          <w:tcPr>
            <w:tcW w:w="1322" w:type="dxa"/>
          </w:tcPr>
          <w:p w14:paraId="36A948D5" w14:textId="022E6D8F" w:rsidR="00E84308" w:rsidRPr="00C07D82" w:rsidRDefault="00E84308" w:rsidP="00E42099">
            <w:pPr>
              <w:pStyle w:val="Table-normal-text"/>
              <w:ind w:left="426"/>
              <w:jc w:val="right"/>
              <w:rPr>
                <w:rFonts w:cs="Arial"/>
              </w:rPr>
            </w:pPr>
            <w:r>
              <w:rPr>
                <w:rFonts w:cs="Arial"/>
              </w:rPr>
              <w:t>14</w:t>
            </w:r>
          </w:p>
        </w:tc>
        <w:tc>
          <w:tcPr>
            <w:tcW w:w="1322" w:type="dxa"/>
          </w:tcPr>
          <w:p w14:paraId="36A948D6" w14:textId="550873C8" w:rsidR="00E84308" w:rsidRPr="00C07D82" w:rsidRDefault="00E84308" w:rsidP="00E42099">
            <w:pPr>
              <w:pStyle w:val="Table-normal-text"/>
              <w:ind w:left="426"/>
              <w:jc w:val="right"/>
              <w:rPr>
                <w:rFonts w:cs="Arial"/>
              </w:rPr>
            </w:pPr>
            <w:r w:rsidRPr="00C07D82">
              <w:rPr>
                <w:rFonts w:cs="Arial"/>
              </w:rPr>
              <w:t>1</w:t>
            </w:r>
            <w:r>
              <w:rPr>
                <w:rFonts w:cs="Arial"/>
              </w:rPr>
              <w:t>4</w:t>
            </w:r>
          </w:p>
        </w:tc>
        <w:tc>
          <w:tcPr>
            <w:tcW w:w="1322" w:type="dxa"/>
          </w:tcPr>
          <w:p w14:paraId="36A948D7" w14:textId="25E44676" w:rsidR="00E84308" w:rsidRPr="00C07D82" w:rsidRDefault="00E84308" w:rsidP="00E42099">
            <w:pPr>
              <w:pStyle w:val="Table-normal-text"/>
              <w:ind w:left="426"/>
              <w:jc w:val="right"/>
              <w:rPr>
                <w:rFonts w:cs="Arial"/>
              </w:rPr>
            </w:pPr>
            <w:r>
              <w:rPr>
                <w:rFonts w:cs="Arial"/>
              </w:rPr>
              <w:t>9</w:t>
            </w:r>
          </w:p>
        </w:tc>
        <w:tc>
          <w:tcPr>
            <w:tcW w:w="995" w:type="dxa"/>
          </w:tcPr>
          <w:p w14:paraId="36A948D8" w14:textId="3C9A4BA6" w:rsidR="00E84308" w:rsidRPr="00C07D82" w:rsidRDefault="00E84308" w:rsidP="00E84308">
            <w:pPr>
              <w:pStyle w:val="Table-normal-text"/>
              <w:ind w:left="426"/>
              <w:jc w:val="right"/>
              <w:rPr>
                <w:rFonts w:cs="Arial"/>
                <w:b/>
              </w:rPr>
            </w:pPr>
            <w:r w:rsidRPr="00C07D82">
              <w:rPr>
                <w:rFonts w:cs="Arial"/>
                <w:b/>
              </w:rPr>
              <w:t>3</w:t>
            </w:r>
            <w:r>
              <w:rPr>
                <w:rFonts w:cs="Arial"/>
                <w:b/>
              </w:rPr>
              <w:t>7</w:t>
            </w:r>
          </w:p>
        </w:tc>
      </w:tr>
      <w:tr w:rsidR="00E84308" w:rsidRPr="00C07D82" w14:paraId="36A948DF" w14:textId="77777777" w:rsidTr="00292C1F">
        <w:tc>
          <w:tcPr>
            <w:tcW w:w="2870" w:type="dxa"/>
          </w:tcPr>
          <w:p w14:paraId="36A948DA" w14:textId="77777777" w:rsidR="00E84308" w:rsidRPr="00C07D82" w:rsidRDefault="00E84308" w:rsidP="004E77C8">
            <w:pPr>
              <w:pStyle w:val="Table-normal-text"/>
              <w:ind w:left="426"/>
              <w:rPr>
                <w:rFonts w:cs="Arial"/>
                <w:b/>
              </w:rPr>
            </w:pPr>
            <w:r w:rsidRPr="00C07D82">
              <w:rPr>
                <w:rFonts w:cs="Arial"/>
                <w:b/>
              </w:rPr>
              <w:t>Total</w:t>
            </w:r>
          </w:p>
        </w:tc>
        <w:tc>
          <w:tcPr>
            <w:tcW w:w="1322" w:type="dxa"/>
          </w:tcPr>
          <w:p w14:paraId="36A948DB" w14:textId="7C503257" w:rsidR="00E84308" w:rsidRPr="00C07D82" w:rsidRDefault="00E84308" w:rsidP="00E42099">
            <w:pPr>
              <w:pStyle w:val="Table-normal-text"/>
              <w:ind w:left="426"/>
              <w:jc w:val="right"/>
              <w:rPr>
                <w:rFonts w:cs="Arial"/>
                <w:b/>
              </w:rPr>
            </w:pPr>
            <w:r w:rsidRPr="00C07D82">
              <w:rPr>
                <w:rFonts w:cs="Arial"/>
                <w:b/>
              </w:rPr>
              <w:t>5</w:t>
            </w:r>
            <w:r>
              <w:rPr>
                <w:rFonts w:cs="Arial"/>
                <w:b/>
              </w:rPr>
              <w:t>1</w:t>
            </w:r>
          </w:p>
        </w:tc>
        <w:tc>
          <w:tcPr>
            <w:tcW w:w="1322" w:type="dxa"/>
          </w:tcPr>
          <w:p w14:paraId="36A948DC" w14:textId="6ECCDE76" w:rsidR="00E84308" w:rsidRPr="00C07D82" w:rsidRDefault="00E84308" w:rsidP="00E84308">
            <w:pPr>
              <w:pStyle w:val="Table-normal-text"/>
              <w:ind w:left="426"/>
              <w:jc w:val="right"/>
              <w:rPr>
                <w:rFonts w:cs="Arial"/>
                <w:b/>
              </w:rPr>
            </w:pPr>
            <w:r w:rsidRPr="00C07D82">
              <w:rPr>
                <w:rFonts w:cs="Arial"/>
                <w:b/>
              </w:rPr>
              <w:t>5</w:t>
            </w:r>
            <w:r>
              <w:rPr>
                <w:rFonts w:cs="Arial"/>
                <w:b/>
              </w:rPr>
              <w:t>1</w:t>
            </w:r>
          </w:p>
        </w:tc>
        <w:tc>
          <w:tcPr>
            <w:tcW w:w="1322" w:type="dxa"/>
          </w:tcPr>
          <w:p w14:paraId="36A948DD" w14:textId="61A21FDF" w:rsidR="00E84308" w:rsidRPr="00C07D82" w:rsidRDefault="00E84308" w:rsidP="004E77C8">
            <w:pPr>
              <w:pStyle w:val="Table-normal-text"/>
              <w:ind w:left="426"/>
              <w:jc w:val="right"/>
              <w:rPr>
                <w:rFonts w:cs="Arial"/>
                <w:b/>
              </w:rPr>
            </w:pPr>
            <w:r>
              <w:rPr>
                <w:rFonts w:cs="Arial"/>
                <w:b/>
              </w:rPr>
              <w:t>33</w:t>
            </w:r>
          </w:p>
        </w:tc>
        <w:tc>
          <w:tcPr>
            <w:tcW w:w="995" w:type="dxa"/>
            <w:shd w:val="clear" w:color="auto" w:fill="auto"/>
          </w:tcPr>
          <w:p w14:paraId="36A948DE" w14:textId="0440199E" w:rsidR="00E84308" w:rsidRPr="00C07D82" w:rsidRDefault="00E84308" w:rsidP="00E84308">
            <w:pPr>
              <w:pStyle w:val="Table-normal-text"/>
              <w:ind w:left="426"/>
              <w:jc w:val="right"/>
              <w:rPr>
                <w:rFonts w:cs="Arial"/>
                <w:b/>
              </w:rPr>
            </w:pPr>
            <w:r w:rsidRPr="00C07D82">
              <w:rPr>
                <w:rFonts w:cs="Arial"/>
                <w:b/>
              </w:rPr>
              <w:t>1</w:t>
            </w:r>
            <w:r>
              <w:rPr>
                <w:rFonts w:cs="Arial"/>
                <w:b/>
              </w:rPr>
              <w:t>35</w:t>
            </w:r>
          </w:p>
        </w:tc>
      </w:tr>
    </w:tbl>
    <w:p w14:paraId="3D967582" w14:textId="2886ABB7" w:rsidR="00C801E0" w:rsidRPr="00C07D82" w:rsidRDefault="00C801E0" w:rsidP="00C801E0">
      <w:pPr>
        <w:pStyle w:val="ListParagraph"/>
        <w:numPr>
          <w:ilvl w:val="0"/>
          <w:numId w:val="0"/>
        </w:numPr>
        <w:ind w:left="426"/>
        <w:rPr>
          <w:b/>
        </w:rPr>
      </w:pPr>
    </w:p>
    <w:p w14:paraId="36A948E1" w14:textId="77777777" w:rsidR="00A778DE" w:rsidRPr="00C07D82" w:rsidRDefault="00A778DE" w:rsidP="00A778DE">
      <w:pPr>
        <w:pStyle w:val="ListParagraph"/>
        <w:rPr>
          <w:szCs w:val="22"/>
        </w:rPr>
      </w:pPr>
      <w:r w:rsidRPr="00C07D82">
        <w:rPr>
          <w:szCs w:val="22"/>
        </w:rPr>
        <w:t xml:space="preserve">The </w:t>
      </w:r>
      <w:r w:rsidR="002C0297" w:rsidRPr="00C07D82">
        <w:rPr>
          <w:szCs w:val="22"/>
        </w:rPr>
        <w:t xml:space="preserve">GOA and </w:t>
      </w:r>
      <w:r w:rsidRPr="00C07D82">
        <w:rPr>
          <w:szCs w:val="22"/>
        </w:rPr>
        <w:t xml:space="preserve">Partner Government funding for the </w:t>
      </w:r>
      <w:r w:rsidR="00B33CFA" w:rsidRPr="00C07D82">
        <w:rPr>
          <w:szCs w:val="22"/>
        </w:rPr>
        <w:t>Project</w:t>
      </w:r>
      <w:r w:rsidRPr="00C07D82">
        <w:rPr>
          <w:szCs w:val="22"/>
        </w:rPr>
        <w:t xml:space="preserve"> is shown in </w:t>
      </w:r>
      <w:r w:rsidRPr="00C07D82">
        <w:rPr>
          <w:b/>
          <w:i/>
          <w:szCs w:val="22"/>
          <w:u w:val="single"/>
        </w:rPr>
        <w:t xml:space="preserve">Table </w:t>
      </w:r>
      <w:r w:rsidR="00C6312A" w:rsidRPr="00C07D82">
        <w:rPr>
          <w:b/>
          <w:i/>
          <w:szCs w:val="22"/>
          <w:u w:val="single"/>
        </w:rPr>
        <w:t>2</w:t>
      </w:r>
      <w:r w:rsidRPr="00C07D82">
        <w:rPr>
          <w:szCs w:val="22"/>
        </w:rPr>
        <w:t>.</w:t>
      </w:r>
    </w:p>
    <w:p w14:paraId="62D88B70" w14:textId="77777777" w:rsidR="001478CB" w:rsidRDefault="001478CB">
      <w:pPr>
        <w:spacing w:before="0" w:after="200" w:line="276" w:lineRule="auto"/>
        <w:rPr>
          <w:rFonts w:cs="Arial"/>
          <w:b/>
          <w:szCs w:val="22"/>
        </w:rPr>
      </w:pPr>
      <w:r>
        <w:rPr>
          <w:rFonts w:cs="Arial"/>
          <w:b/>
          <w:szCs w:val="22"/>
        </w:rPr>
        <w:br w:type="page"/>
      </w:r>
    </w:p>
    <w:p w14:paraId="36A948E2" w14:textId="59DBDDCB" w:rsidR="00A778DE" w:rsidRPr="00C07D82" w:rsidRDefault="00A778DE" w:rsidP="00A778DE">
      <w:pPr>
        <w:spacing w:after="120"/>
        <w:rPr>
          <w:rFonts w:cs="Arial"/>
          <w:b/>
          <w:szCs w:val="22"/>
        </w:rPr>
      </w:pPr>
      <w:r w:rsidRPr="00C07D82">
        <w:rPr>
          <w:rFonts w:cs="Arial"/>
          <w:b/>
          <w:szCs w:val="22"/>
        </w:rPr>
        <w:t xml:space="preserve">Table </w:t>
      </w:r>
      <w:r w:rsidR="00C6312A" w:rsidRPr="00C07D82">
        <w:rPr>
          <w:rFonts w:cs="Arial"/>
          <w:b/>
          <w:szCs w:val="22"/>
        </w:rPr>
        <w:t>2</w:t>
      </w:r>
      <w:r w:rsidRPr="00C07D82">
        <w:rPr>
          <w:rFonts w:cs="Arial"/>
          <w:b/>
          <w:szCs w:val="22"/>
        </w:rPr>
        <w:t xml:space="preserve">: Indicative </w:t>
      </w:r>
      <w:r w:rsidR="00B33CFA" w:rsidRPr="00C07D82">
        <w:rPr>
          <w:rFonts w:cs="Arial"/>
          <w:b/>
          <w:szCs w:val="22"/>
        </w:rPr>
        <w:t>Project</w:t>
      </w:r>
      <w:r w:rsidRPr="00C07D82">
        <w:rPr>
          <w:rFonts w:cs="Arial"/>
          <w:b/>
          <w:szCs w:val="22"/>
        </w:rPr>
        <w:t xml:space="preserve"> Funding (AUD’000)</w:t>
      </w:r>
    </w:p>
    <w:tbl>
      <w:tblPr>
        <w:tblW w:w="78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34"/>
        <w:gridCol w:w="1134"/>
        <w:gridCol w:w="1134"/>
        <w:gridCol w:w="986"/>
      </w:tblGrid>
      <w:tr w:rsidR="00E84308" w:rsidRPr="00C07D82" w14:paraId="36A948E9" w14:textId="77777777" w:rsidTr="00E84308">
        <w:tc>
          <w:tcPr>
            <w:tcW w:w="3506" w:type="dxa"/>
            <w:shd w:val="clear" w:color="auto" w:fill="auto"/>
          </w:tcPr>
          <w:p w14:paraId="36A948E3" w14:textId="77777777" w:rsidR="00E84308" w:rsidRPr="00C07D82" w:rsidRDefault="00E84308" w:rsidP="000A7186">
            <w:pPr>
              <w:spacing w:after="120"/>
              <w:rPr>
                <w:rFonts w:cs="Arial"/>
                <w:b/>
                <w:lang w:val="en-US"/>
              </w:rPr>
            </w:pPr>
            <w:r w:rsidRPr="00C07D82">
              <w:rPr>
                <w:rFonts w:cs="Arial"/>
                <w:b/>
                <w:lang w:val="en-US"/>
              </w:rPr>
              <w:t>Year/Funding</w:t>
            </w:r>
          </w:p>
        </w:tc>
        <w:tc>
          <w:tcPr>
            <w:tcW w:w="1134" w:type="dxa"/>
            <w:shd w:val="clear" w:color="auto" w:fill="auto"/>
          </w:tcPr>
          <w:p w14:paraId="36A948E5" w14:textId="77777777" w:rsidR="00E84308" w:rsidRPr="00C07D82" w:rsidRDefault="00E84308" w:rsidP="000A7186">
            <w:pPr>
              <w:spacing w:after="120"/>
              <w:rPr>
                <w:rFonts w:cs="Arial"/>
                <w:b/>
                <w:szCs w:val="22"/>
              </w:rPr>
            </w:pPr>
            <w:r w:rsidRPr="00C07D82">
              <w:rPr>
                <w:rFonts w:cs="Arial"/>
                <w:b/>
                <w:szCs w:val="22"/>
              </w:rPr>
              <w:t>2014-15</w:t>
            </w:r>
          </w:p>
        </w:tc>
        <w:tc>
          <w:tcPr>
            <w:tcW w:w="1134" w:type="dxa"/>
            <w:shd w:val="clear" w:color="auto" w:fill="auto"/>
          </w:tcPr>
          <w:p w14:paraId="36A948E6" w14:textId="77777777" w:rsidR="00E84308" w:rsidRPr="00C07D82" w:rsidRDefault="00E84308" w:rsidP="000A7186">
            <w:pPr>
              <w:spacing w:after="120"/>
              <w:rPr>
                <w:rFonts w:cs="Arial"/>
                <w:b/>
                <w:szCs w:val="22"/>
              </w:rPr>
            </w:pPr>
            <w:r w:rsidRPr="00C07D82">
              <w:rPr>
                <w:rFonts w:cs="Arial"/>
                <w:b/>
                <w:szCs w:val="22"/>
              </w:rPr>
              <w:t>2015-16</w:t>
            </w:r>
          </w:p>
        </w:tc>
        <w:tc>
          <w:tcPr>
            <w:tcW w:w="1134" w:type="dxa"/>
          </w:tcPr>
          <w:p w14:paraId="36A948E7" w14:textId="77777777" w:rsidR="00E84308" w:rsidRPr="00C07D82" w:rsidRDefault="00E84308" w:rsidP="00826F24">
            <w:pPr>
              <w:spacing w:after="120"/>
              <w:rPr>
                <w:rFonts w:cs="Arial"/>
                <w:b/>
                <w:szCs w:val="22"/>
              </w:rPr>
            </w:pPr>
            <w:r w:rsidRPr="00C07D82">
              <w:rPr>
                <w:rFonts w:cs="Arial"/>
                <w:b/>
                <w:szCs w:val="22"/>
              </w:rPr>
              <w:t>2016-17</w:t>
            </w:r>
          </w:p>
        </w:tc>
        <w:tc>
          <w:tcPr>
            <w:tcW w:w="986" w:type="dxa"/>
          </w:tcPr>
          <w:p w14:paraId="36A948E8" w14:textId="77777777" w:rsidR="00E84308" w:rsidRPr="00C07D82" w:rsidRDefault="00E84308" w:rsidP="000A7186">
            <w:pPr>
              <w:spacing w:after="120"/>
              <w:rPr>
                <w:rFonts w:cs="Arial"/>
                <w:b/>
                <w:szCs w:val="22"/>
              </w:rPr>
            </w:pPr>
            <w:r w:rsidRPr="00C07D82">
              <w:rPr>
                <w:rFonts w:cs="Arial"/>
                <w:b/>
                <w:szCs w:val="22"/>
              </w:rPr>
              <w:t>Total</w:t>
            </w:r>
          </w:p>
        </w:tc>
      </w:tr>
      <w:tr w:rsidR="00E84308" w:rsidRPr="00C07D82" w14:paraId="36A948F0" w14:textId="77777777" w:rsidTr="00E84308">
        <w:tc>
          <w:tcPr>
            <w:tcW w:w="3506" w:type="dxa"/>
            <w:shd w:val="clear" w:color="auto" w:fill="auto"/>
          </w:tcPr>
          <w:p w14:paraId="36A948EA" w14:textId="2962C9EC" w:rsidR="00E84308" w:rsidRPr="00C07D82" w:rsidRDefault="00E84308" w:rsidP="000A7186">
            <w:pPr>
              <w:spacing w:after="120"/>
              <w:rPr>
                <w:rFonts w:cs="Arial"/>
                <w:lang w:val="en-US"/>
              </w:rPr>
            </w:pPr>
            <w:r w:rsidRPr="00C07D82">
              <w:rPr>
                <w:rFonts w:cs="Arial"/>
                <w:lang w:val="en-US"/>
              </w:rPr>
              <w:t>GOA (Direct Funding)</w:t>
            </w:r>
          </w:p>
        </w:tc>
        <w:tc>
          <w:tcPr>
            <w:tcW w:w="1134" w:type="dxa"/>
            <w:shd w:val="clear" w:color="auto" w:fill="auto"/>
          </w:tcPr>
          <w:p w14:paraId="36A948EC" w14:textId="7583596C" w:rsidR="00E84308" w:rsidRPr="00C07D82" w:rsidRDefault="00E84308" w:rsidP="00091EAE">
            <w:pPr>
              <w:spacing w:after="120"/>
              <w:jc w:val="right"/>
              <w:rPr>
                <w:rFonts w:cs="Arial"/>
                <w:szCs w:val="22"/>
              </w:rPr>
            </w:pPr>
            <w:r w:rsidRPr="00C07D82">
              <w:rPr>
                <w:rFonts w:cs="Arial"/>
                <w:szCs w:val="22"/>
              </w:rPr>
              <w:t>1,300</w:t>
            </w:r>
          </w:p>
        </w:tc>
        <w:tc>
          <w:tcPr>
            <w:tcW w:w="1134" w:type="dxa"/>
            <w:shd w:val="clear" w:color="auto" w:fill="auto"/>
          </w:tcPr>
          <w:p w14:paraId="36A948ED" w14:textId="4B0A6F75" w:rsidR="00E84308" w:rsidRPr="00C07D82" w:rsidRDefault="00E84308" w:rsidP="00080D97">
            <w:pPr>
              <w:spacing w:after="120"/>
              <w:jc w:val="right"/>
              <w:rPr>
                <w:rFonts w:cs="Arial"/>
                <w:szCs w:val="22"/>
              </w:rPr>
            </w:pPr>
            <w:r w:rsidRPr="00C07D82">
              <w:rPr>
                <w:rFonts w:cs="Arial"/>
                <w:szCs w:val="22"/>
              </w:rPr>
              <w:t>1,200</w:t>
            </w:r>
          </w:p>
        </w:tc>
        <w:tc>
          <w:tcPr>
            <w:tcW w:w="1134" w:type="dxa"/>
          </w:tcPr>
          <w:p w14:paraId="36A948EE" w14:textId="77777777" w:rsidR="00E84308" w:rsidRPr="00C07D82" w:rsidRDefault="00E84308" w:rsidP="00080D97">
            <w:pPr>
              <w:spacing w:after="120"/>
              <w:jc w:val="right"/>
              <w:rPr>
                <w:rFonts w:cs="Arial"/>
                <w:b/>
                <w:szCs w:val="22"/>
              </w:rPr>
            </w:pPr>
          </w:p>
        </w:tc>
        <w:tc>
          <w:tcPr>
            <w:tcW w:w="986" w:type="dxa"/>
          </w:tcPr>
          <w:p w14:paraId="36A948EF" w14:textId="77777777" w:rsidR="00E84308" w:rsidRPr="00C07D82" w:rsidRDefault="00E84308" w:rsidP="00826F24">
            <w:pPr>
              <w:spacing w:after="120"/>
              <w:jc w:val="right"/>
              <w:rPr>
                <w:rFonts w:cs="Arial"/>
                <w:b/>
                <w:szCs w:val="22"/>
              </w:rPr>
            </w:pPr>
            <w:r w:rsidRPr="00C07D82">
              <w:rPr>
                <w:rFonts w:cs="Arial"/>
                <w:b/>
                <w:szCs w:val="22"/>
              </w:rPr>
              <w:t>2,500</w:t>
            </w:r>
          </w:p>
        </w:tc>
      </w:tr>
      <w:tr w:rsidR="00E84308" w:rsidRPr="00C07D82" w14:paraId="36A948F7" w14:textId="77777777" w:rsidTr="00E84308">
        <w:tc>
          <w:tcPr>
            <w:tcW w:w="3506" w:type="dxa"/>
            <w:shd w:val="clear" w:color="auto" w:fill="auto"/>
          </w:tcPr>
          <w:p w14:paraId="36A948F1" w14:textId="77777777" w:rsidR="00E84308" w:rsidRPr="00C07D82" w:rsidRDefault="00E84308" w:rsidP="000A7186">
            <w:pPr>
              <w:spacing w:after="120"/>
              <w:rPr>
                <w:rFonts w:cs="Arial"/>
                <w:lang w:val="en-US"/>
              </w:rPr>
            </w:pPr>
            <w:r w:rsidRPr="00C07D82">
              <w:rPr>
                <w:rFonts w:cs="Arial"/>
                <w:lang w:val="en-US"/>
              </w:rPr>
              <w:t>GOA technical support (Service Provider Contract)</w:t>
            </w:r>
          </w:p>
        </w:tc>
        <w:tc>
          <w:tcPr>
            <w:tcW w:w="1134" w:type="dxa"/>
            <w:shd w:val="clear" w:color="auto" w:fill="auto"/>
          </w:tcPr>
          <w:p w14:paraId="36A948F3" w14:textId="77777777" w:rsidR="00E84308" w:rsidRPr="00C07D82" w:rsidRDefault="00E84308" w:rsidP="00826F24">
            <w:pPr>
              <w:spacing w:after="120"/>
              <w:jc w:val="right"/>
              <w:rPr>
                <w:rFonts w:cs="Arial"/>
                <w:szCs w:val="22"/>
              </w:rPr>
            </w:pPr>
            <w:r w:rsidRPr="00C07D82">
              <w:rPr>
                <w:rFonts w:cs="Arial"/>
                <w:szCs w:val="22"/>
              </w:rPr>
              <w:t>200</w:t>
            </w:r>
          </w:p>
        </w:tc>
        <w:tc>
          <w:tcPr>
            <w:tcW w:w="1134" w:type="dxa"/>
            <w:shd w:val="clear" w:color="auto" w:fill="auto"/>
          </w:tcPr>
          <w:p w14:paraId="36A948F4" w14:textId="77777777" w:rsidR="00E84308" w:rsidRPr="00C07D82" w:rsidRDefault="00E84308" w:rsidP="00826F24">
            <w:pPr>
              <w:spacing w:after="120"/>
              <w:jc w:val="right"/>
              <w:rPr>
                <w:rFonts w:cs="Arial"/>
                <w:szCs w:val="22"/>
              </w:rPr>
            </w:pPr>
            <w:r w:rsidRPr="00C07D82">
              <w:rPr>
                <w:rFonts w:cs="Arial"/>
                <w:szCs w:val="22"/>
              </w:rPr>
              <w:t>200</w:t>
            </w:r>
          </w:p>
        </w:tc>
        <w:tc>
          <w:tcPr>
            <w:tcW w:w="1134" w:type="dxa"/>
          </w:tcPr>
          <w:p w14:paraId="36A948F5" w14:textId="77777777" w:rsidR="00E84308" w:rsidRPr="00C07D82" w:rsidRDefault="00E84308" w:rsidP="00826F24">
            <w:pPr>
              <w:spacing w:after="120"/>
              <w:jc w:val="right"/>
              <w:rPr>
                <w:rFonts w:cs="Arial"/>
                <w:szCs w:val="22"/>
              </w:rPr>
            </w:pPr>
            <w:r w:rsidRPr="00C07D82">
              <w:rPr>
                <w:rFonts w:cs="Arial"/>
                <w:szCs w:val="22"/>
              </w:rPr>
              <w:t>200</w:t>
            </w:r>
          </w:p>
        </w:tc>
        <w:tc>
          <w:tcPr>
            <w:tcW w:w="986" w:type="dxa"/>
          </w:tcPr>
          <w:p w14:paraId="36A948F6" w14:textId="77777777" w:rsidR="00E84308" w:rsidRPr="00C07D82" w:rsidRDefault="00E84308" w:rsidP="00080D97">
            <w:pPr>
              <w:spacing w:after="120"/>
              <w:jc w:val="right"/>
              <w:rPr>
                <w:rFonts w:cs="Arial"/>
                <w:b/>
                <w:szCs w:val="22"/>
              </w:rPr>
            </w:pPr>
            <w:r w:rsidRPr="00C07D82">
              <w:rPr>
                <w:rFonts w:cs="Arial"/>
                <w:b/>
                <w:szCs w:val="22"/>
              </w:rPr>
              <w:t>600</w:t>
            </w:r>
          </w:p>
        </w:tc>
      </w:tr>
      <w:tr w:rsidR="00E84308" w:rsidRPr="00C07D82" w14:paraId="36A948FE" w14:textId="77777777" w:rsidTr="00E84308">
        <w:tc>
          <w:tcPr>
            <w:tcW w:w="3506" w:type="dxa"/>
            <w:shd w:val="clear" w:color="auto" w:fill="auto"/>
          </w:tcPr>
          <w:p w14:paraId="36A948F8" w14:textId="77777777" w:rsidR="00E84308" w:rsidRPr="00C07D82" w:rsidRDefault="00E84308" w:rsidP="000A7186">
            <w:pPr>
              <w:spacing w:after="120"/>
              <w:rPr>
                <w:rFonts w:cs="Arial"/>
                <w:lang w:val="en-US"/>
              </w:rPr>
            </w:pPr>
            <w:r w:rsidRPr="00C07D82">
              <w:rPr>
                <w:rFonts w:cs="Arial"/>
                <w:lang w:val="en-US"/>
              </w:rPr>
              <w:t>Partner Government (Budget)</w:t>
            </w:r>
          </w:p>
        </w:tc>
        <w:tc>
          <w:tcPr>
            <w:tcW w:w="1134" w:type="dxa"/>
            <w:shd w:val="clear" w:color="auto" w:fill="auto"/>
          </w:tcPr>
          <w:p w14:paraId="36A948FA" w14:textId="00576380" w:rsidR="00E84308" w:rsidRPr="00E84308" w:rsidRDefault="00E84308" w:rsidP="00E84308">
            <w:pPr>
              <w:spacing w:after="120"/>
              <w:jc w:val="right"/>
              <w:rPr>
                <w:rFonts w:cs="Arial"/>
                <w:szCs w:val="22"/>
              </w:rPr>
            </w:pPr>
            <w:r w:rsidRPr="00E84308">
              <w:rPr>
                <w:rFonts w:cs="Arial"/>
                <w:szCs w:val="22"/>
              </w:rPr>
              <w:t>51</w:t>
            </w:r>
          </w:p>
        </w:tc>
        <w:tc>
          <w:tcPr>
            <w:tcW w:w="1134" w:type="dxa"/>
            <w:shd w:val="clear" w:color="auto" w:fill="auto"/>
          </w:tcPr>
          <w:p w14:paraId="36A948FB" w14:textId="3390C3B2" w:rsidR="00E84308" w:rsidRPr="00C07D82" w:rsidRDefault="00E84308" w:rsidP="00E84308">
            <w:pPr>
              <w:spacing w:after="120"/>
              <w:jc w:val="right"/>
              <w:rPr>
                <w:rFonts w:cs="Arial"/>
                <w:szCs w:val="22"/>
              </w:rPr>
            </w:pPr>
            <w:r w:rsidRPr="00E84308">
              <w:rPr>
                <w:rFonts w:cs="Arial"/>
                <w:szCs w:val="22"/>
              </w:rPr>
              <w:t>51</w:t>
            </w:r>
          </w:p>
        </w:tc>
        <w:tc>
          <w:tcPr>
            <w:tcW w:w="1134" w:type="dxa"/>
          </w:tcPr>
          <w:p w14:paraId="36A948FC" w14:textId="53B06539" w:rsidR="00E84308" w:rsidRPr="00E84308" w:rsidRDefault="00E84308" w:rsidP="00E84308">
            <w:pPr>
              <w:spacing w:after="120"/>
              <w:jc w:val="right"/>
              <w:rPr>
                <w:rFonts w:cs="Arial"/>
                <w:szCs w:val="22"/>
              </w:rPr>
            </w:pPr>
            <w:r w:rsidRPr="00E84308">
              <w:rPr>
                <w:rFonts w:cs="Arial"/>
                <w:szCs w:val="22"/>
              </w:rPr>
              <w:t>33</w:t>
            </w:r>
          </w:p>
        </w:tc>
        <w:tc>
          <w:tcPr>
            <w:tcW w:w="986" w:type="dxa"/>
          </w:tcPr>
          <w:p w14:paraId="36A948FD" w14:textId="6911B611" w:rsidR="00E84308" w:rsidRPr="00C07D82" w:rsidRDefault="00E84308" w:rsidP="00080D97">
            <w:pPr>
              <w:spacing w:after="120"/>
              <w:jc w:val="right"/>
              <w:rPr>
                <w:rFonts w:cs="Arial"/>
                <w:b/>
                <w:szCs w:val="22"/>
              </w:rPr>
            </w:pPr>
            <w:r w:rsidRPr="00C07D82">
              <w:rPr>
                <w:rFonts w:cs="Arial"/>
                <w:b/>
              </w:rPr>
              <w:t>1</w:t>
            </w:r>
            <w:r>
              <w:rPr>
                <w:rFonts w:cs="Arial"/>
                <w:b/>
              </w:rPr>
              <w:t>35</w:t>
            </w:r>
          </w:p>
        </w:tc>
      </w:tr>
      <w:tr w:rsidR="00E84308" w:rsidRPr="00C07D82" w14:paraId="36A94905" w14:textId="77777777" w:rsidTr="00E84308">
        <w:tc>
          <w:tcPr>
            <w:tcW w:w="3506" w:type="dxa"/>
            <w:shd w:val="clear" w:color="auto" w:fill="auto"/>
          </w:tcPr>
          <w:p w14:paraId="36A948FF" w14:textId="77777777" w:rsidR="00E84308" w:rsidRPr="00C07D82" w:rsidRDefault="00E84308" w:rsidP="000A7186">
            <w:pPr>
              <w:spacing w:after="120"/>
              <w:rPr>
                <w:rFonts w:cs="Arial"/>
                <w:b/>
                <w:szCs w:val="22"/>
              </w:rPr>
            </w:pPr>
            <w:r w:rsidRPr="00C07D82">
              <w:rPr>
                <w:rFonts w:cs="Arial"/>
                <w:b/>
                <w:szCs w:val="22"/>
              </w:rPr>
              <w:t>Total</w:t>
            </w:r>
          </w:p>
        </w:tc>
        <w:tc>
          <w:tcPr>
            <w:tcW w:w="1134" w:type="dxa"/>
            <w:shd w:val="clear" w:color="auto" w:fill="auto"/>
          </w:tcPr>
          <w:p w14:paraId="36A94901" w14:textId="12E40499" w:rsidR="00E84308" w:rsidRPr="00C07D82" w:rsidRDefault="00E84308" w:rsidP="00E84308">
            <w:pPr>
              <w:spacing w:after="120"/>
              <w:jc w:val="right"/>
              <w:rPr>
                <w:rFonts w:cs="Arial"/>
                <w:b/>
                <w:szCs w:val="22"/>
              </w:rPr>
            </w:pPr>
            <w:r w:rsidRPr="00C07D82">
              <w:rPr>
                <w:rFonts w:cs="Arial"/>
                <w:b/>
                <w:szCs w:val="22"/>
              </w:rPr>
              <w:t>1,5</w:t>
            </w:r>
            <w:r>
              <w:rPr>
                <w:rFonts w:cs="Arial"/>
                <w:b/>
                <w:szCs w:val="22"/>
              </w:rPr>
              <w:t>51</w:t>
            </w:r>
          </w:p>
        </w:tc>
        <w:tc>
          <w:tcPr>
            <w:tcW w:w="1134" w:type="dxa"/>
            <w:shd w:val="clear" w:color="auto" w:fill="auto"/>
          </w:tcPr>
          <w:p w14:paraId="36A94902" w14:textId="7723C175" w:rsidR="00E84308" w:rsidRPr="00C07D82" w:rsidRDefault="00E84308" w:rsidP="00E84308">
            <w:pPr>
              <w:spacing w:after="120"/>
              <w:jc w:val="right"/>
              <w:rPr>
                <w:rFonts w:cs="Arial"/>
                <w:b/>
                <w:szCs w:val="22"/>
              </w:rPr>
            </w:pPr>
            <w:r>
              <w:rPr>
                <w:rFonts w:cs="Arial"/>
                <w:b/>
                <w:szCs w:val="22"/>
              </w:rPr>
              <w:t>1,451</w:t>
            </w:r>
          </w:p>
        </w:tc>
        <w:tc>
          <w:tcPr>
            <w:tcW w:w="1134" w:type="dxa"/>
          </w:tcPr>
          <w:p w14:paraId="36A94903" w14:textId="69EE3145" w:rsidR="00E84308" w:rsidRPr="00C07D82" w:rsidRDefault="00E84308" w:rsidP="00E84308">
            <w:pPr>
              <w:spacing w:after="120"/>
              <w:jc w:val="right"/>
              <w:rPr>
                <w:rFonts w:cs="Arial"/>
                <w:b/>
                <w:szCs w:val="22"/>
              </w:rPr>
            </w:pPr>
            <w:r w:rsidRPr="00C07D82">
              <w:rPr>
                <w:rFonts w:cs="Arial"/>
                <w:b/>
                <w:szCs w:val="22"/>
              </w:rPr>
              <w:t>2</w:t>
            </w:r>
            <w:r>
              <w:rPr>
                <w:rFonts w:cs="Arial"/>
                <w:b/>
                <w:szCs w:val="22"/>
              </w:rPr>
              <w:t>33</w:t>
            </w:r>
          </w:p>
        </w:tc>
        <w:tc>
          <w:tcPr>
            <w:tcW w:w="986" w:type="dxa"/>
          </w:tcPr>
          <w:p w14:paraId="36A94904" w14:textId="7A940BF0" w:rsidR="00E84308" w:rsidRPr="00C07D82" w:rsidRDefault="00E84308" w:rsidP="00E84308">
            <w:pPr>
              <w:spacing w:after="120"/>
              <w:jc w:val="right"/>
              <w:rPr>
                <w:rFonts w:cs="Arial"/>
                <w:b/>
                <w:szCs w:val="22"/>
              </w:rPr>
            </w:pPr>
            <w:r w:rsidRPr="00C07D82">
              <w:rPr>
                <w:rFonts w:cs="Arial"/>
                <w:b/>
                <w:szCs w:val="22"/>
              </w:rPr>
              <w:t>3,2</w:t>
            </w:r>
            <w:r>
              <w:rPr>
                <w:rFonts w:cs="Arial"/>
                <w:b/>
                <w:szCs w:val="22"/>
              </w:rPr>
              <w:t>35</w:t>
            </w:r>
          </w:p>
        </w:tc>
      </w:tr>
    </w:tbl>
    <w:p w14:paraId="1050DFBD" w14:textId="77777777" w:rsidR="00697FA4" w:rsidRPr="00C07D82" w:rsidRDefault="00697FA4" w:rsidP="00697FA4">
      <w:pPr>
        <w:pStyle w:val="ListParagraph"/>
        <w:numPr>
          <w:ilvl w:val="0"/>
          <w:numId w:val="0"/>
        </w:numPr>
        <w:ind w:left="360"/>
        <w:rPr>
          <w:szCs w:val="22"/>
        </w:rPr>
      </w:pPr>
    </w:p>
    <w:p w14:paraId="36A94906" w14:textId="77777777" w:rsidR="00A778DE" w:rsidRPr="00C07D82" w:rsidRDefault="00A778DE" w:rsidP="00A778DE">
      <w:pPr>
        <w:pStyle w:val="ListParagraph"/>
        <w:rPr>
          <w:szCs w:val="22"/>
        </w:rPr>
      </w:pPr>
      <w:r w:rsidRPr="00C07D82">
        <w:rPr>
          <w:szCs w:val="22"/>
        </w:rPr>
        <w:t xml:space="preserve">In addition to its financial contribution, the Partner Government undertakes to provide such human resources, office accommodation and logistical support as is required to ensure the successful implementation of the </w:t>
      </w:r>
      <w:r w:rsidR="00B33CFA" w:rsidRPr="00C07D82">
        <w:rPr>
          <w:szCs w:val="22"/>
        </w:rPr>
        <w:t>Project</w:t>
      </w:r>
      <w:r w:rsidRPr="00C07D82">
        <w:rPr>
          <w:szCs w:val="22"/>
        </w:rPr>
        <w:t xml:space="preserve">. </w:t>
      </w:r>
    </w:p>
    <w:p w14:paraId="36A94907" w14:textId="77777777" w:rsidR="00A778DE" w:rsidRPr="00C07D82" w:rsidRDefault="00A778DE" w:rsidP="00A778DE">
      <w:pPr>
        <w:spacing w:after="120"/>
        <w:ind w:left="426"/>
        <w:rPr>
          <w:rFonts w:cs="Arial"/>
          <w:b/>
          <w:snapToGrid w:val="0"/>
          <w:szCs w:val="22"/>
        </w:rPr>
      </w:pPr>
      <w:r w:rsidRPr="00C07D82">
        <w:rPr>
          <w:rFonts w:cs="Arial"/>
          <w:b/>
          <w:snapToGrid w:val="0"/>
          <w:szCs w:val="22"/>
        </w:rPr>
        <w:t>Deposit and Disbursement of GOA funds</w:t>
      </w:r>
    </w:p>
    <w:p w14:paraId="36A94908" w14:textId="77777777" w:rsidR="004E77C8" w:rsidRPr="00C07D82" w:rsidRDefault="004E77C8" w:rsidP="004E77C8">
      <w:pPr>
        <w:pStyle w:val="ListParagraph"/>
        <w:rPr>
          <w:snapToGrid w:val="0"/>
        </w:rPr>
      </w:pPr>
      <w:r w:rsidRPr="00C07D82">
        <w:rPr>
          <w:snapToGrid w:val="0"/>
        </w:rPr>
        <w:t xml:space="preserve">The Schedule for payments by GOA to the Partner Government are detailed in </w:t>
      </w:r>
      <w:r w:rsidRPr="00C07D82">
        <w:rPr>
          <w:b/>
          <w:i/>
          <w:snapToGrid w:val="0"/>
          <w:u w:val="single"/>
        </w:rPr>
        <w:t xml:space="preserve">Annex 2 </w:t>
      </w:r>
      <w:r w:rsidR="00420006" w:rsidRPr="00C07D82">
        <w:rPr>
          <w:snapToGrid w:val="0"/>
        </w:rPr>
        <w:t>-</w:t>
      </w:r>
      <w:r w:rsidRPr="00C07D82">
        <w:rPr>
          <w:b/>
          <w:i/>
          <w:snapToGrid w:val="0"/>
          <w:u w:val="single"/>
        </w:rPr>
        <w:t>Payment of GOA funds</w:t>
      </w:r>
      <w:r w:rsidR="008D3D01" w:rsidRPr="00C07D82">
        <w:rPr>
          <w:snapToGrid w:val="0"/>
        </w:rPr>
        <w:t>.</w:t>
      </w:r>
    </w:p>
    <w:p w14:paraId="36A94909" w14:textId="77777777" w:rsidR="00A778DE" w:rsidRPr="00C07D82" w:rsidRDefault="00A778DE" w:rsidP="00A778DE">
      <w:pPr>
        <w:pStyle w:val="ListParagraph"/>
        <w:rPr>
          <w:snapToGrid w:val="0"/>
          <w:szCs w:val="22"/>
        </w:rPr>
      </w:pPr>
      <w:r w:rsidRPr="00C07D82">
        <w:rPr>
          <w:lang w:val="en-GB"/>
        </w:rPr>
        <w:t xml:space="preserve">GOA contributions will be deposited in a </w:t>
      </w:r>
      <w:r w:rsidR="004E77C8" w:rsidRPr="00C07D82">
        <w:rPr>
          <w:lang w:val="en-GB"/>
        </w:rPr>
        <w:t xml:space="preserve">single </w:t>
      </w:r>
      <w:r w:rsidRPr="00C07D82">
        <w:rPr>
          <w:lang w:val="en-GB"/>
        </w:rPr>
        <w:t xml:space="preserve">foreign exchange account nominated by the Partner Government </w:t>
      </w:r>
      <w:r w:rsidR="00166374" w:rsidRPr="00C07D82">
        <w:rPr>
          <w:lang w:val="en-GB"/>
        </w:rPr>
        <w:t xml:space="preserve">(MPI) </w:t>
      </w:r>
      <w:r w:rsidR="00A36555" w:rsidRPr="00C07D82">
        <w:rPr>
          <w:lang w:val="en-GB"/>
        </w:rPr>
        <w:t>at the</w:t>
      </w:r>
      <w:r w:rsidR="00166374" w:rsidRPr="00C07D82">
        <w:rPr>
          <w:lang w:val="en-GB"/>
        </w:rPr>
        <w:t xml:space="preserve"> Viet</w:t>
      </w:r>
      <w:r w:rsidR="00883D0F" w:rsidRPr="00C07D82">
        <w:rPr>
          <w:lang w:val="en-GB"/>
        </w:rPr>
        <w:t>c</w:t>
      </w:r>
      <w:r w:rsidR="00166374" w:rsidRPr="00C07D82">
        <w:rPr>
          <w:lang w:val="en-GB"/>
        </w:rPr>
        <w:t>ombank</w:t>
      </w:r>
      <w:r w:rsidR="00A36555" w:rsidRPr="00C07D82">
        <w:rPr>
          <w:color w:val="FF0000"/>
          <w:lang w:val="en-GB"/>
        </w:rPr>
        <w:t xml:space="preserve"> </w:t>
      </w:r>
      <w:r w:rsidRPr="00C07D82">
        <w:rPr>
          <w:lang w:val="en-GB"/>
        </w:rPr>
        <w:t xml:space="preserve">and held in the name of </w:t>
      </w:r>
      <w:r w:rsidR="004E77C8" w:rsidRPr="00C07D82">
        <w:rPr>
          <w:lang w:val="en-GB"/>
        </w:rPr>
        <w:t>the PCU under the CIEM-MPI</w:t>
      </w:r>
      <w:r w:rsidRPr="00C07D82">
        <w:rPr>
          <w:i/>
          <w:lang w:val="en-GB"/>
        </w:rPr>
        <w:t xml:space="preserve">. </w:t>
      </w:r>
    </w:p>
    <w:p w14:paraId="36A9490A" w14:textId="77777777" w:rsidR="00A778DE" w:rsidRPr="00C07D82" w:rsidRDefault="00A778DE" w:rsidP="00A778DE">
      <w:pPr>
        <w:pStyle w:val="ListParagraph"/>
        <w:rPr>
          <w:snapToGrid w:val="0"/>
          <w:szCs w:val="22"/>
        </w:rPr>
      </w:pPr>
      <w:r w:rsidRPr="00C07D82">
        <w:rPr>
          <w:lang w:val="en-GB"/>
        </w:rPr>
        <w:t>The local currency equivalent of the GOA contribution will be calculated on the basis of the exchange rate on the date of transfer of the funds by GOA.</w:t>
      </w:r>
    </w:p>
    <w:p w14:paraId="36A9490B" w14:textId="61798E7A" w:rsidR="00420006" w:rsidRPr="00C07D82" w:rsidRDefault="00A778DE" w:rsidP="00420006">
      <w:pPr>
        <w:pStyle w:val="ListParagraph"/>
        <w:rPr>
          <w:snapToGrid w:val="0"/>
        </w:rPr>
      </w:pPr>
      <w:r w:rsidRPr="00C07D82">
        <w:rPr>
          <w:lang w:val="en-GB"/>
        </w:rPr>
        <w:t xml:space="preserve">The </w:t>
      </w:r>
      <w:r w:rsidR="004E77C8" w:rsidRPr="00C07D82">
        <w:rPr>
          <w:lang w:val="en-GB"/>
        </w:rPr>
        <w:t xml:space="preserve">PCU </w:t>
      </w:r>
      <w:r w:rsidRPr="00C07D82">
        <w:rPr>
          <w:lang w:val="en-GB"/>
        </w:rPr>
        <w:t xml:space="preserve">will immediately acknowledge receipt of the funds, in writing, to GOA and the local currency equivalent. </w:t>
      </w:r>
      <w:r w:rsidR="004E77C8" w:rsidRPr="00C07D82">
        <w:rPr>
          <w:lang w:val="en-GB"/>
        </w:rPr>
        <w:t xml:space="preserve">The PCU will also immediately transfer to </w:t>
      </w:r>
      <w:r w:rsidR="00166374" w:rsidRPr="00C07D82">
        <w:rPr>
          <w:lang w:val="en-GB"/>
        </w:rPr>
        <w:t xml:space="preserve">local currency </w:t>
      </w:r>
      <w:r w:rsidR="004E77C8" w:rsidRPr="00C07D82">
        <w:rPr>
          <w:lang w:val="en-GB"/>
        </w:rPr>
        <w:t xml:space="preserve">bank accounts nominated by </w:t>
      </w:r>
      <w:r w:rsidR="00166374" w:rsidRPr="00C07D82">
        <w:rPr>
          <w:lang w:val="en-GB"/>
        </w:rPr>
        <w:t xml:space="preserve">and held </w:t>
      </w:r>
      <w:r w:rsidR="0065156E" w:rsidRPr="00C07D82">
        <w:rPr>
          <w:lang w:val="en-GB"/>
        </w:rPr>
        <w:t xml:space="preserve">at the Vietcombank </w:t>
      </w:r>
      <w:r w:rsidR="00166374" w:rsidRPr="00C07D82">
        <w:rPr>
          <w:lang w:val="en-GB"/>
        </w:rPr>
        <w:t xml:space="preserve">in the name of </w:t>
      </w:r>
      <w:r w:rsidR="004E77C8" w:rsidRPr="00C07D82">
        <w:rPr>
          <w:lang w:val="en-GB"/>
        </w:rPr>
        <w:t>the</w:t>
      </w:r>
      <w:r w:rsidR="00166374" w:rsidRPr="00C07D82">
        <w:rPr>
          <w:lang w:val="en-GB"/>
        </w:rPr>
        <w:t xml:space="preserve"> VCA-MOIT and IPSARD-MARD the amounts for respective Components </w:t>
      </w:r>
      <w:r w:rsidR="00E95EFD" w:rsidRPr="00C07D82">
        <w:rPr>
          <w:lang w:val="en-GB"/>
        </w:rPr>
        <w:t xml:space="preserve">as detailed in </w:t>
      </w:r>
      <w:r w:rsidR="00420006" w:rsidRPr="00C07D82">
        <w:rPr>
          <w:b/>
          <w:i/>
          <w:snapToGrid w:val="0"/>
          <w:u w:val="single"/>
        </w:rPr>
        <w:t xml:space="preserve">Annex 2 </w:t>
      </w:r>
      <w:r w:rsidR="00420006" w:rsidRPr="00C07D82">
        <w:rPr>
          <w:snapToGrid w:val="0"/>
          <w:u w:val="single"/>
        </w:rPr>
        <w:t>-</w:t>
      </w:r>
      <w:r w:rsidR="00420006" w:rsidRPr="00C07D82">
        <w:rPr>
          <w:b/>
          <w:i/>
          <w:snapToGrid w:val="0"/>
          <w:u w:val="single"/>
        </w:rPr>
        <w:t>Payment of GOA funds</w:t>
      </w:r>
      <w:r w:rsidR="004A3B15" w:rsidRPr="00C07D82">
        <w:rPr>
          <w:snapToGrid w:val="0"/>
        </w:rPr>
        <w:t>,</w:t>
      </w:r>
      <w:r w:rsidR="005478BA" w:rsidRPr="00C07D82">
        <w:rPr>
          <w:snapToGrid w:val="0"/>
        </w:rPr>
        <w:t xml:space="preserve"> </w:t>
      </w:r>
      <w:r w:rsidR="004A3B15" w:rsidRPr="00C07D82">
        <w:rPr>
          <w:snapToGrid w:val="0"/>
        </w:rPr>
        <w:t>and provide details of these transfers to the GOA</w:t>
      </w:r>
      <w:r w:rsidR="008D3D01" w:rsidRPr="00C07D82">
        <w:rPr>
          <w:snapToGrid w:val="0"/>
        </w:rPr>
        <w:t>.</w:t>
      </w:r>
      <w:r w:rsidR="009F48F6" w:rsidRPr="00C07D82">
        <w:rPr>
          <w:snapToGrid w:val="0"/>
        </w:rPr>
        <w:t xml:space="preserve"> </w:t>
      </w:r>
      <w:r w:rsidR="009F48F6" w:rsidRPr="00C07D82">
        <w:rPr>
          <w:lang w:val="en-GB"/>
        </w:rPr>
        <w:t>The VCA-MOIT and IPSARD-MARD will immediately acknowledge receipt of the funds, in writing, to GOA and the local currency equivalent.</w:t>
      </w:r>
    </w:p>
    <w:p w14:paraId="36A9490C" w14:textId="77777777" w:rsidR="00A778DE" w:rsidRPr="00C07D82" w:rsidRDefault="00A778DE" w:rsidP="00A778DE">
      <w:pPr>
        <w:pStyle w:val="ListParagraph"/>
        <w:rPr>
          <w:snapToGrid w:val="0"/>
          <w:szCs w:val="22"/>
        </w:rPr>
      </w:pPr>
      <w:r w:rsidRPr="00C07D82">
        <w:rPr>
          <w:lang w:val="en-GB"/>
        </w:rPr>
        <w:t xml:space="preserve">Any interest income attributable to the GOA contribution(s) may be utilised by the Partner Government solely for the implementation of the </w:t>
      </w:r>
      <w:r w:rsidR="00B33CFA" w:rsidRPr="00C07D82">
        <w:rPr>
          <w:lang w:val="en-GB"/>
        </w:rPr>
        <w:t>Project</w:t>
      </w:r>
      <w:r w:rsidRPr="00C07D82">
        <w:rPr>
          <w:lang w:val="en-GB"/>
        </w:rPr>
        <w:t>.</w:t>
      </w:r>
    </w:p>
    <w:p w14:paraId="36A9490D" w14:textId="77777777" w:rsidR="00A778DE" w:rsidRPr="00C07D82" w:rsidRDefault="00A778DE" w:rsidP="00A778DE">
      <w:pPr>
        <w:pStyle w:val="ListParagraph"/>
        <w:rPr>
          <w:snapToGrid w:val="0"/>
          <w:szCs w:val="22"/>
        </w:rPr>
      </w:pPr>
      <w:r w:rsidRPr="00C07D82">
        <w:rPr>
          <w:lang w:val="en-GB"/>
        </w:rPr>
        <w:t xml:space="preserve">Any interest income attributable to the GOA contribution will be reported to the </w:t>
      </w:r>
      <w:r w:rsidR="00A36555" w:rsidRPr="00C07D82">
        <w:rPr>
          <w:lang w:val="en-GB"/>
        </w:rPr>
        <w:t>Project Coordination Committee (PCC)</w:t>
      </w:r>
      <w:r w:rsidRPr="00C07D82">
        <w:rPr>
          <w:lang w:val="en-GB"/>
        </w:rPr>
        <w:t xml:space="preserve"> on an annual basis.</w:t>
      </w:r>
    </w:p>
    <w:p w14:paraId="36A9490E" w14:textId="77777777" w:rsidR="00A778DE" w:rsidRPr="00C07D82" w:rsidRDefault="00A778DE" w:rsidP="0065156E">
      <w:pPr>
        <w:spacing w:after="120"/>
        <w:ind w:firstLine="360"/>
        <w:rPr>
          <w:rFonts w:cs="Arial"/>
          <w:b/>
          <w:snapToGrid w:val="0"/>
          <w:szCs w:val="22"/>
        </w:rPr>
      </w:pPr>
      <w:r w:rsidRPr="00C07D82">
        <w:rPr>
          <w:rFonts w:cs="Arial"/>
          <w:b/>
          <w:snapToGrid w:val="0"/>
          <w:szCs w:val="22"/>
        </w:rPr>
        <w:t>Management Arrangements</w:t>
      </w:r>
    </w:p>
    <w:p w14:paraId="36A9490F" w14:textId="77777777" w:rsidR="00A36555" w:rsidRPr="00C07D82" w:rsidRDefault="00A36555" w:rsidP="00A36555">
      <w:pPr>
        <w:pStyle w:val="ListParagraph"/>
      </w:pPr>
      <w:r w:rsidRPr="00C07D82">
        <w:t xml:space="preserve">Decisions on </w:t>
      </w:r>
      <w:r w:rsidR="00E95EFD" w:rsidRPr="00C07D82">
        <w:t>Project strategy,</w:t>
      </w:r>
      <w:r w:rsidRPr="00C07D82">
        <w:t xml:space="preserve"> focus and activity approval</w:t>
      </w:r>
      <w:r w:rsidR="00E95EFD" w:rsidRPr="00C07D82">
        <w:t xml:space="preserve"> (for Flexible Fund)</w:t>
      </w:r>
      <w:r w:rsidRPr="00C07D82">
        <w:t xml:space="preserve"> will be made by the Project Director (PD)</w:t>
      </w:r>
      <w:r w:rsidR="008F111E" w:rsidRPr="00C07D82">
        <w:t>, who is the leader of CIEM</w:t>
      </w:r>
      <w:r w:rsidR="0020049B" w:rsidRPr="00C07D82">
        <w:t>,</w:t>
      </w:r>
      <w:r w:rsidR="008F111E" w:rsidRPr="00C07D82">
        <w:t xml:space="preserve"> </w:t>
      </w:r>
      <w:r w:rsidRPr="00C07D82">
        <w:t xml:space="preserve">with the concurrence of </w:t>
      </w:r>
      <w:r w:rsidR="008D3D01" w:rsidRPr="00C07D82">
        <w:t>GOA</w:t>
      </w:r>
      <w:r w:rsidRPr="00C07D82">
        <w:t>.</w:t>
      </w:r>
      <w:r w:rsidR="008F111E" w:rsidRPr="00C07D82">
        <w:t xml:space="preserve"> Component implementing agencies (MOIT-VCA and MARD-IPSARD</w:t>
      </w:r>
      <w:r w:rsidR="00292C1F" w:rsidRPr="00C07D82">
        <w:t>)</w:t>
      </w:r>
      <w:r w:rsidR="008F111E" w:rsidRPr="00C07D82">
        <w:t xml:space="preserve"> will appoint Component Directors (CD) to be responsible for </w:t>
      </w:r>
      <w:r w:rsidR="00166374" w:rsidRPr="00C07D82">
        <w:t xml:space="preserve">respective </w:t>
      </w:r>
      <w:r w:rsidR="008F111E" w:rsidRPr="00C07D82">
        <w:t xml:space="preserve">component. </w:t>
      </w:r>
    </w:p>
    <w:p w14:paraId="36A94910" w14:textId="3D4E7CA3" w:rsidR="0065156E" w:rsidRPr="00C07D82" w:rsidRDefault="00A36555" w:rsidP="00A36555">
      <w:pPr>
        <w:pStyle w:val="ListParagraph"/>
      </w:pPr>
      <w:r w:rsidRPr="00C07D82">
        <w:t xml:space="preserve">Once </w:t>
      </w:r>
      <w:r w:rsidR="00166374" w:rsidRPr="00C07D82">
        <w:t>AWP</w:t>
      </w:r>
      <w:r w:rsidRPr="00C07D82">
        <w:t xml:space="preserve"> have been approved (by the PD and </w:t>
      </w:r>
      <w:r w:rsidR="008D3D01" w:rsidRPr="00C07D82">
        <w:t>GOA</w:t>
      </w:r>
      <w:r w:rsidRPr="00C07D82">
        <w:t xml:space="preserve">), the CDs will make operational decisions on activity implementation </w:t>
      </w:r>
      <w:r w:rsidR="00E95EFD" w:rsidRPr="00C07D82">
        <w:t xml:space="preserve">and accountable for fund management </w:t>
      </w:r>
      <w:r w:rsidRPr="00C07D82">
        <w:t>in order to implement the agreed work-plans.</w:t>
      </w:r>
    </w:p>
    <w:p w14:paraId="07104426" w14:textId="77777777" w:rsidR="0065156E" w:rsidRPr="00C07D82" w:rsidRDefault="0065156E">
      <w:pPr>
        <w:spacing w:before="0" w:after="200" w:line="276" w:lineRule="auto"/>
        <w:rPr>
          <w:rFonts w:cs="Arial"/>
          <w:szCs w:val="20"/>
          <w:lang w:val="en-US" w:eastAsia="en-AU"/>
        </w:rPr>
      </w:pPr>
      <w:r w:rsidRPr="00C07D82">
        <w:br w:type="page"/>
      </w:r>
    </w:p>
    <w:p w14:paraId="36A94911" w14:textId="2D81BE8E" w:rsidR="004E5F02" w:rsidRPr="00C07D82" w:rsidRDefault="004E5F02" w:rsidP="00AE39C1">
      <w:pPr>
        <w:spacing w:after="120"/>
        <w:ind w:left="426"/>
        <w:rPr>
          <w:rFonts w:cs="Arial"/>
          <w:b/>
          <w:snapToGrid w:val="0"/>
          <w:szCs w:val="22"/>
        </w:rPr>
      </w:pPr>
      <w:r w:rsidRPr="00C07D82">
        <w:rPr>
          <w:rFonts w:cs="Arial"/>
          <w:b/>
          <w:snapToGrid w:val="0"/>
          <w:szCs w:val="22"/>
        </w:rPr>
        <w:t>Project Di</w:t>
      </w:r>
      <w:r w:rsidR="00AE39C1" w:rsidRPr="00C07D82">
        <w:rPr>
          <w:rFonts w:cs="Arial"/>
          <w:b/>
          <w:snapToGrid w:val="0"/>
          <w:szCs w:val="22"/>
        </w:rPr>
        <w:t>rector and Component Directors</w:t>
      </w:r>
    </w:p>
    <w:p w14:paraId="36A94913" w14:textId="77777777" w:rsidR="008F111E" w:rsidRPr="00C07D82" w:rsidRDefault="008F111E" w:rsidP="008F111E">
      <w:pPr>
        <w:pStyle w:val="ListParagraph"/>
      </w:pPr>
      <w:r w:rsidRPr="00C07D82">
        <w:t xml:space="preserve">The PD responsibilities include: </w:t>
      </w:r>
    </w:p>
    <w:p w14:paraId="36A94914" w14:textId="7D8BD561" w:rsidR="008F111E" w:rsidRPr="00C07D82" w:rsidRDefault="008F111E" w:rsidP="008F111E">
      <w:pPr>
        <w:pStyle w:val="ListParagraphindent"/>
      </w:pPr>
      <w:r w:rsidRPr="00C07D82">
        <w:t xml:space="preserve">Ensuring that </w:t>
      </w:r>
      <w:r w:rsidR="00B33CFA" w:rsidRPr="00C07D82">
        <w:t>Project</w:t>
      </w:r>
      <w:r w:rsidRPr="00C07D82">
        <w:t xml:space="preserve"> supported activities are consistent with </w:t>
      </w:r>
      <w:r w:rsidR="00E95EFD" w:rsidRPr="00C07D82">
        <w:t>annual MERP</w:t>
      </w:r>
      <w:r w:rsidRPr="00C07D82">
        <w:t xml:space="preserve"> and SEDP priorities</w:t>
      </w:r>
      <w:r w:rsidR="00B15E35" w:rsidRPr="00C07D82">
        <w:t>;</w:t>
      </w:r>
    </w:p>
    <w:p w14:paraId="36A94915" w14:textId="7885F00F" w:rsidR="008F111E" w:rsidRPr="00C07D82" w:rsidRDefault="008F111E" w:rsidP="008F111E">
      <w:pPr>
        <w:pStyle w:val="ListParagraphindent"/>
      </w:pPr>
      <w:r w:rsidRPr="00C07D82">
        <w:t>Taking the lead in organizing regular policy dialogue on priority cross-cutting economic restructuring and macroeconomic development issues</w:t>
      </w:r>
      <w:r w:rsidR="00B15E35" w:rsidRPr="00C07D82">
        <w:t>;</w:t>
      </w:r>
    </w:p>
    <w:p w14:paraId="36A94916" w14:textId="4557592C" w:rsidR="00E95EFD" w:rsidRPr="00C07D82" w:rsidRDefault="00E95EFD" w:rsidP="00E95EFD">
      <w:pPr>
        <w:pStyle w:val="ListParagraphindent"/>
      </w:pPr>
      <w:r w:rsidRPr="00C07D82">
        <w:t xml:space="preserve">Developing and approving (with </w:t>
      </w:r>
      <w:r w:rsidR="008D3D01" w:rsidRPr="00C07D82">
        <w:t>GOA</w:t>
      </w:r>
      <w:r w:rsidRPr="00C07D82">
        <w:t xml:space="preserve"> concurrence) the Project Operating Manual (OM)</w:t>
      </w:r>
      <w:r w:rsidR="00B15E35" w:rsidRPr="00C07D82">
        <w:t>;</w:t>
      </w:r>
    </w:p>
    <w:p w14:paraId="36A94917" w14:textId="4304D236" w:rsidR="00E95EFD" w:rsidRPr="00C07D82" w:rsidRDefault="008F111E" w:rsidP="00E95EFD">
      <w:pPr>
        <w:pStyle w:val="ListParagraphindent"/>
      </w:pPr>
      <w:r w:rsidRPr="00C07D82">
        <w:t>Developing</w:t>
      </w:r>
      <w:r w:rsidR="00E95EFD" w:rsidRPr="00C07D82">
        <w:t xml:space="preserve">, </w:t>
      </w:r>
      <w:r w:rsidRPr="00C07D82">
        <w:t xml:space="preserve">approving (in consultation with </w:t>
      </w:r>
      <w:r w:rsidR="008D3D01" w:rsidRPr="00C07D82">
        <w:t>GOA</w:t>
      </w:r>
      <w:r w:rsidRPr="00C07D82">
        <w:t xml:space="preserve"> and the CDs) of consolidated </w:t>
      </w:r>
      <w:r w:rsidR="00E95EFD" w:rsidRPr="00C07D82">
        <w:t xml:space="preserve">AWP and approving (with </w:t>
      </w:r>
      <w:r w:rsidR="008D3D01" w:rsidRPr="00C07D82">
        <w:t>GOA</w:t>
      </w:r>
      <w:r w:rsidR="00E95EFD" w:rsidRPr="00C07D82">
        <w:t xml:space="preserve"> concurrence) any CD requests for substantive revisions to AWP</w:t>
      </w:r>
      <w:r w:rsidR="00B15E35" w:rsidRPr="00C07D82">
        <w:t>;</w:t>
      </w:r>
    </w:p>
    <w:p w14:paraId="36A94918" w14:textId="2B014AAB" w:rsidR="008F111E" w:rsidRPr="00C07D82" w:rsidRDefault="008F111E" w:rsidP="008F111E">
      <w:pPr>
        <w:pStyle w:val="ListParagraphindent"/>
      </w:pPr>
      <w:r w:rsidRPr="00C07D82">
        <w:t xml:space="preserve">Consolidation and submission of consolidated quarterly progress reports in line with Partner Government and </w:t>
      </w:r>
      <w:r w:rsidR="00AE39C1" w:rsidRPr="00C07D82">
        <w:t>GO</w:t>
      </w:r>
      <w:r w:rsidRPr="00C07D82">
        <w:t>A requirements</w:t>
      </w:r>
      <w:r w:rsidR="00B15E35" w:rsidRPr="00C07D82">
        <w:t>;</w:t>
      </w:r>
    </w:p>
    <w:p w14:paraId="36A94919" w14:textId="6B9A4EEC" w:rsidR="008F111E" w:rsidRPr="00C07D82" w:rsidRDefault="008F111E" w:rsidP="008F111E">
      <w:pPr>
        <w:pStyle w:val="ListParagraphindent"/>
      </w:pPr>
      <w:r w:rsidRPr="00C07D82">
        <w:t xml:space="preserve">Monitoring and evaluating </w:t>
      </w:r>
      <w:r w:rsidR="00B33CFA" w:rsidRPr="00C07D82">
        <w:t>Project</w:t>
      </w:r>
      <w:r w:rsidRPr="00C07D82">
        <w:t xml:space="preserve"> implementation and results performance, including preparation and submission of an annual progress and results monitoring report</w:t>
      </w:r>
      <w:r w:rsidR="00B15E35" w:rsidRPr="00C07D82">
        <w:t>; and</w:t>
      </w:r>
    </w:p>
    <w:p w14:paraId="36A9491A" w14:textId="77777777" w:rsidR="008F111E" w:rsidRPr="00C07D82" w:rsidRDefault="00E95EFD" w:rsidP="008F111E">
      <w:pPr>
        <w:pStyle w:val="ListParagraphindent"/>
      </w:pPr>
      <w:r w:rsidRPr="00C07D82">
        <w:t xml:space="preserve">Management </w:t>
      </w:r>
      <w:r w:rsidR="008F111E" w:rsidRPr="00C07D82">
        <w:t xml:space="preserve">of </w:t>
      </w:r>
      <w:r w:rsidRPr="00C07D82">
        <w:t>the</w:t>
      </w:r>
      <w:r w:rsidR="008F111E" w:rsidRPr="00C07D82">
        <w:t xml:space="preserve"> Flexible Fund </w:t>
      </w:r>
      <w:r w:rsidRPr="00C07D82">
        <w:t>Component</w:t>
      </w:r>
      <w:r w:rsidR="008F111E" w:rsidRPr="00C07D82">
        <w:t xml:space="preserve">, including approval (in consultation with </w:t>
      </w:r>
      <w:r w:rsidR="008D3D01" w:rsidRPr="00C07D82">
        <w:t>GOA</w:t>
      </w:r>
      <w:r w:rsidR="008F111E" w:rsidRPr="00C07D82">
        <w:t xml:space="preserve">) of </w:t>
      </w:r>
      <w:r w:rsidRPr="00C07D82">
        <w:t>funded activities</w:t>
      </w:r>
      <w:r w:rsidR="008F111E" w:rsidRPr="00C07D82">
        <w:t>.</w:t>
      </w:r>
    </w:p>
    <w:p w14:paraId="36A9491B" w14:textId="77777777" w:rsidR="008F111E" w:rsidRPr="00C07D82" w:rsidRDefault="008F111E" w:rsidP="008F111E">
      <w:pPr>
        <w:pStyle w:val="ListParagraph"/>
      </w:pPr>
      <w:r w:rsidRPr="00C07D82">
        <w:t>The CDs responsibilities include:</w:t>
      </w:r>
    </w:p>
    <w:p w14:paraId="36A9491C" w14:textId="19D2948B" w:rsidR="008F111E" w:rsidRPr="00C07D82" w:rsidRDefault="008F111E" w:rsidP="008F111E">
      <w:pPr>
        <w:pStyle w:val="ListParagraphindent"/>
      </w:pPr>
      <w:r w:rsidRPr="00C07D82">
        <w:t>Developing draft annual component work plans and budgets (and proposed revisions to these plans if needed)</w:t>
      </w:r>
      <w:r w:rsidR="00B15E35" w:rsidRPr="00C07D82">
        <w:t>;</w:t>
      </w:r>
    </w:p>
    <w:p w14:paraId="36A9491D" w14:textId="3E99660C" w:rsidR="008F111E" w:rsidRPr="00C07D82" w:rsidRDefault="008F111E" w:rsidP="008F111E">
      <w:pPr>
        <w:pStyle w:val="ListParagraphindent"/>
      </w:pPr>
      <w:r w:rsidRPr="00C07D82">
        <w:t xml:space="preserve">Ensuring that </w:t>
      </w:r>
      <w:r w:rsidR="00B33CFA" w:rsidRPr="00C07D82">
        <w:t>Project</w:t>
      </w:r>
      <w:r w:rsidRPr="00C07D82">
        <w:t xml:space="preserve"> supported activities are consistent with established priorities</w:t>
      </w:r>
      <w:r w:rsidR="00B15E35" w:rsidRPr="00C07D82">
        <w:t>;</w:t>
      </w:r>
    </w:p>
    <w:p w14:paraId="36A9491E" w14:textId="1DECB420" w:rsidR="008F111E" w:rsidRPr="00C07D82" w:rsidRDefault="008F111E" w:rsidP="008F111E">
      <w:pPr>
        <w:pStyle w:val="ListParagraphindent"/>
      </w:pPr>
      <w:r w:rsidRPr="00C07D82">
        <w:t>Ensuring compliance with financial management, transparency and reporting requirements of the GOA and Partner Government</w:t>
      </w:r>
      <w:r w:rsidR="00B15E35" w:rsidRPr="00C07D82">
        <w:t>;</w:t>
      </w:r>
    </w:p>
    <w:p w14:paraId="36A9491F" w14:textId="1CC6FA55" w:rsidR="008F111E" w:rsidRPr="00C07D82" w:rsidRDefault="008F111E" w:rsidP="008F111E">
      <w:pPr>
        <w:pStyle w:val="ListParagraphindent"/>
      </w:pPr>
      <w:r w:rsidRPr="00C07D82">
        <w:t>Actively exploring opportunities to ensure project activities are inclusive, and are targeted towards inclusive outcomes</w:t>
      </w:r>
      <w:r w:rsidR="00B15E35" w:rsidRPr="00C07D82">
        <w:t>;</w:t>
      </w:r>
    </w:p>
    <w:p w14:paraId="36A94920" w14:textId="187E4607" w:rsidR="008F111E" w:rsidRPr="00C07D82" w:rsidRDefault="008F111E" w:rsidP="008F111E">
      <w:pPr>
        <w:pStyle w:val="ListParagraphindent"/>
      </w:pPr>
      <w:r w:rsidRPr="00C07D82">
        <w:t>Preparing and submitting consolidated quarterly progress reports</w:t>
      </w:r>
      <w:r w:rsidR="00B15E35" w:rsidRPr="00C07D82">
        <w:t>;</w:t>
      </w:r>
    </w:p>
    <w:p w14:paraId="36A94921" w14:textId="3F514865" w:rsidR="00E95EFD" w:rsidRPr="00C07D82" w:rsidRDefault="00E95EFD" w:rsidP="00E95EFD">
      <w:pPr>
        <w:pStyle w:val="ListParagraphindent"/>
      </w:pPr>
      <w:r w:rsidRPr="00C07D82">
        <w:t>Monitoring and evaluating component implementation and results performance, including preparation and submission of an annual component progress and results monitoring report</w:t>
      </w:r>
      <w:r w:rsidR="00B15E35" w:rsidRPr="00C07D82">
        <w:t>;</w:t>
      </w:r>
    </w:p>
    <w:p w14:paraId="36A94922" w14:textId="2C5319F8" w:rsidR="008F111E" w:rsidRPr="00C07D82" w:rsidRDefault="008F111E" w:rsidP="008F111E">
      <w:pPr>
        <w:pStyle w:val="ListParagraphindent"/>
      </w:pPr>
      <w:r w:rsidRPr="00C07D82">
        <w:t>Developing and implementing a communications, policy dialogue, and knowledge management strategy in cooperation with the PD</w:t>
      </w:r>
      <w:r w:rsidR="00B15E35" w:rsidRPr="00C07D82">
        <w:t>;</w:t>
      </w:r>
    </w:p>
    <w:p w14:paraId="36A94923" w14:textId="0B17F951" w:rsidR="008F111E" w:rsidRPr="00C07D82" w:rsidRDefault="008F111E" w:rsidP="008F111E">
      <w:pPr>
        <w:pStyle w:val="ListParagraphindent"/>
      </w:pPr>
      <w:r w:rsidRPr="00C07D82">
        <w:t xml:space="preserve">Participating in PCC meetings and other </w:t>
      </w:r>
      <w:r w:rsidR="00B33CFA" w:rsidRPr="00C07D82">
        <w:t>Project</w:t>
      </w:r>
      <w:r w:rsidRPr="00C07D82">
        <w:t xml:space="preserve"> related consultations</w:t>
      </w:r>
      <w:r w:rsidR="00B15E35" w:rsidRPr="00C07D82">
        <w:t>; and</w:t>
      </w:r>
    </w:p>
    <w:p w14:paraId="36A94924" w14:textId="77777777" w:rsidR="008F111E" w:rsidRPr="00C07D82" w:rsidRDefault="008F111E" w:rsidP="008F111E">
      <w:pPr>
        <w:pStyle w:val="ListParagraphindent"/>
      </w:pPr>
      <w:r w:rsidRPr="00C07D82">
        <w:t>Supporting the PD in organizing ad hoc policy dialogue on priority economic restructuring issues.</w:t>
      </w:r>
    </w:p>
    <w:p w14:paraId="36A94925" w14:textId="77777777" w:rsidR="00883D0F" w:rsidRPr="00C07D82" w:rsidRDefault="00883D0F" w:rsidP="00AE39C1">
      <w:pPr>
        <w:spacing w:after="120"/>
        <w:ind w:left="426"/>
        <w:rPr>
          <w:rFonts w:cs="Arial"/>
          <w:b/>
          <w:snapToGrid w:val="0"/>
          <w:szCs w:val="22"/>
        </w:rPr>
      </w:pPr>
      <w:r w:rsidRPr="00C07D82">
        <w:rPr>
          <w:b/>
          <w:snapToGrid w:val="0"/>
        </w:rPr>
        <w:t>Local Senior Advisory Group – International Senior Technical Adviser</w:t>
      </w:r>
    </w:p>
    <w:p w14:paraId="36A94927" w14:textId="77777777" w:rsidR="00883D0F" w:rsidRPr="00C07D82" w:rsidRDefault="00883D0F" w:rsidP="00883D0F">
      <w:pPr>
        <w:pStyle w:val="ListParagraph"/>
      </w:pPr>
      <w:r w:rsidRPr="00C07D82">
        <w:t>The PD will be provided with adviso</w:t>
      </w:r>
      <w:r w:rsidR="009F48F6" w:rsidRPr="00C07D82">
        <w:t>ry support by the local SAG and</w:t>
      </w:r>
      <w:r w:rsidRPr="00C07D82">
        <w:t xml:space="preserve"> an international STA. </w:t>
      </w:r>
    </w:p>
    <w:p w14:paraId="36A94928" w14:textId="77777777" w:rsidR="00883D0F" w:rsidRPr="00C07D82" w:rsidRDefault="00883D0F" w:rsidP="00420006">
      <w:pPr>
        <w:pStyle w:val="ListParagraph"/>
        <w:rPr>
          <w:lang w:val="en-AU"/>
        </w:rPr>
      </w:pPr>
      <w:r w:rsidRPr="00C07D82">
        <w:rPr>
          <w:lang w:val="en-AU"/>
        </w:rPr>
        <w:t xml:space="preserve">The SAG will comprise experienced, well connected local experts from a range of backgrounds. The SAG will be retained under periodic contracts with the PCU to provide the Project stakeholders with support and advice on: political economy and policy dialogue; sectoral policy issues and considerations; emerging priorities; and tactics for increasing the Project’s influence. </w:t>
      </w:r>
    </w:p>
    <w:p w14:paraId="36A94929" w14:textId="77777777" w:rsidR="00883D0F" w:rsidRPr="00C07D82" w:rsidRDefault="00883D0F" w:rsidP="00420006">
      <w:pPr>
        <w:pStyle w:val="ListParagraph"/>
        <w:rPr>
          <w:lang w:val="en-AU"/>
        </w:rPr>
      </w:pPr>
      <w:r w:rsidRPr="00C07D82">
        <w:rPr>
          <w:lang w:val="en-AU"/>
        </w:rPr>
        <w:t>While not necessarily independent of the GoV or the CPV, SAG members must be respected Vietnamese who have been engaged in economic reforms or as advocates of economic reforms, with a track record of providing frank and useful advice and/or stimulating debate in the public arena. The SAG will help build national (including GoV/ CPV</w:t>
      </w:r>
      <w:r w:rsidR="0020049B" w:rsidRPr="00C07D82">
        <w:rPr>
          <w:lang w:val="en-AU"/>
        </w:rPr>
        <w:t>)</w:t>
      </w:r>
      <w:r w:rsidRPr="00C07D82">
        <w:rPr>
          <w:lang w:val="en-AU"/>
        </w:rPr>
        <w:t xml:space="preserve"> ownership of the program, as well as building partnerships with key stakeholders to and the Australian Embassy to improve the quality of policy dialogue and engagement on economic issues between Australia and Vietnam.  </w:t>
      </w:r>
    </w:p>
    <w:p w14:paraId="36A9492A" w14:textId="77777777" w:rsidR="00883D0F" w:rsidRPr="00C07D82" w:rsidRDefault="00883D0F" w:rsidP="00420006">
      <w:pPr>
        <w:pStyle w:val="ListParagraph"/>
        <w:rPr>
          <w:i/>
          <w:lang w:val="en-AU"/>
        </w:rPr>
      </w:pPr>
      <w:r w:rsidRPr="00C07D82">
        <w:rPr>
          <w:lang w:val="en-AU"/>
        </w:rPr>
        <w:t xml:space="preserve">The STA will be recruited by </w:t>
      </w:r>
      <w:r w:rsidR="008D3D01" w:rsidRPr="00C07D82">
        <w:rPr>
          <w:lang w:val="en-AU"/>
        </w:rPr>
        <w:t>GOA</w:t>
      </w:r>
      <w:r w:rsidRPr="00C07D82">
        <w:rPr>
          <w:lang w:val="en-AU"/>
        </w:rPr>
        <w:t xml:space="preserve"> and will be accountable to both </w:t>
      </w:r>
      <w:r w:rsidR="008D3D01" w:rsidRPr="00C07D82">
        <w:rPr>
          <w:lang w:val="en-AU"/>
        </w:rPr>
        <w:t>GOA</w:t>
      </w:r>
      <w:r w:rsidRPr="00C07D82">
        <w:rPr>
          <w:lang w:val="en-AU"/>
        </w:rPr>
        <w:t xml:space="preserve"> and the PD. Work plans for the STA will be jointly developed and agreed between </w:t>
      </w:r>
      <w:r w:rsidR="008D3D01" w:rsidRPr="00C07D82">
        <w:rPr>
          <w:lang w:val="en-AU"/>
        </w:rPr>
        <w:t>GOA</w:t>
      </w:r>
      <w:r w:rsidRPr="00C07D82">
        <w:rPr>
          <w:lang w:val="en-AU"/>
        </w:rPr>
        <w:t xml:space="preserve"> and the PCU. The STA will be an experienced international expert with post-graduate qualifications in economics and extensive experience in providing support for economic policy and institutional change and development in Vietnam and the region. </w:t>
      </w:r>
    </w:p>
    <w:p w14:paraId="36A9492B" w14:textId="77777777" w:rsidR="00883D0F" w:rsidRPr="00C07D82" w:rsidRDefault="00883D0F" w:rsidP="00883D0F">
      <w:pPr>
        <w:spacing w:after="120"/>
        <w:rPr>
          <w:rFonts w:cs="Arial"/>
          <w:b/>
          <w:snapToGrid w:val="0"/>
          <w:szCs w:val="22"/>
        </w:rPr>
      </w:pPr>
      <w:r w:rsidRPr="00C07D82">
        <w:rPr>
          <w:rFonts w:cs="Arial"/>
          <w:b/>
          <w:snapToGrid w:val="0"/>
          <w:szCs w:val="22"/>
        </w:rPr>
        <w:t xml:space="preserve">Project </w:t>
      </w:r>
      <w:r w:rsidR="0020049B" w:rsidRPr="00C07D82">
        <w:rPr>
          <w:rFonts w:cs="Arial"/>
          <w:b/>
          <w:snapToGrid w:val="0"/>
          <w:szCs w:val="22"/>
        </w:rPr>
        <w:t>Coordination</w:t>
      </w:r>
      <w:r w:rsidRPr="00C07D82">
        <w:rPr>
          <w:rFonts w:cs="Arial"/>
          <w:b/>
          <w:snapToGrid w:val="0"/>
          <w:szCs w:val="22"/>
        </w:rPr>
        <w:t xml:space="preserve"> Unit </w:t>
      </w:r>
    </w:p>
    <w:p w14:paraId="36A9492C" w14:textId="77777777" w:rsidR="00883D0F" w:rsidRPr="00C07D82" w:rsidRDefault="00883D0F" w:rsidP="00883D0F">
      <w:pPr>
        <w:pStyle w:val="ListParagraph"/>
        <w:rPr>
          <w:snapToGrid w:val="0"/>
          <w:szCs w:val="22"/>
        </w:rPr>
      </w:pPr>
      <w:r w:rsidRPr="00C07D82">
        <w:rPr>
          <w:snapToGrid w:val="0"/>
          <w:szCs w:val="22"/>
        </w:rPr>
        <w:t xml:space="preserve">The Partner Government will establish a Project Coordination Unit (PCU) within CIEM, MPI. </w:t>
      </w:r>
    </w:p>
    <w:p w14:paraId="36A9492D" w14:textId="77777777" w:rsidR="00883D0F" w:rsidRPr="00C07D82" w:rsidRDefault="00883D0F" w:rsidP="00883D0F">
      <w:pPr>
        <w:pStyle w:val="ListParagraph"/>
        <w:rPr>
          <w:snapToGrid w:val="0"/>
          <w:szCs w:val="22"/>
        </w:rPr>
      </w:pPr>
      <w:r w:rsidRPr="00C07D82">
        <w:rPr>
          <w:snapToGrid w:val="0"/>
          <w:szCs w:val="22"/>
        </w:rPr>
        <w:t xml:space="preserve">The PCU will be headed by </w:t>
      </w:r>
      <w:r w:rsidRPr="00C07D82">
        <w:t>Senior Project Coordinator-Economist (SPC-E),</w:t>
      </w:r>
      <w:r w:rsidR="0020049B" w:rsidRPr="00C07D82">
        <w:t xml:space="preserve"> and</w:t>
      </w:r>
      <w:r w:rsidRPr="00C07D82">
        <w:t xml:space="preserve"> </w:t>
      </w:r>
      <w:r w:rsidRPr="00C07D82">
        <w:rPr>
          <w:snapToGrid w:val="0"/>
          <w:szCs w:val="22"/>
        </w:rPr>
        <w:t xml:space="preserve">staffed by Partner Government employees and contracted staff. </w:t>
      </w:r>
    </w:p>
    <w:p w14:paraId="36A9492E" w14:textId="77777777" w:rsidR="00883D0F" w:rsidRPr="00C07D82" w:rsidRDefault="00883D0F" w:rsidP="00883D0F">
      <w:pPr>
        <w:pStyle w:val="ListParagraph"/>
        <w:rPr>
          <w:snapToGrid w:val="0"/>
          <w:szCs w:val="22"/>
        </w:rPr>
      </w:pPr>
      <w:r w:rsidRPr="00C07D82">
        <w:rPr>
          <w:snapToGrid w:val="0"/>
          <w:szCs w:val="22"/>
        </w:rPr>
        <w:t>The PCU will be responsible for:</w:t>
      </w:r>
    </w:p>
    <w:p w14:paraId="36A9492F" w14:textId="77777777" w:rsidR="00883D0F" w:rsidRPr="00C07D82" w:rsidRDefault="00883D0F" w:rsidP="00883D0F">
      <w:pPr>
        <w:pStyle w:val="ListParagraphindent"/>
        <w:rPr>
          <w:snapToGrid w:val="0"/>
        </w:rPr>
      </w:pPr>
      <w:r w:rsidRPr="00C07D82">
        <w:rPr>
          <w:snapToGrid w:val="0"/>
        </w:rPr>
        <w:t>Providing the Secretariat for the PCC including;</w:t>
      </w:r>
    </w:p>
    <w:p w14:paraId="36A94930" w14:textId="31C45113" w:rsidR="00883D0F" w:rsidRPr="00C07D82" w:rsidRDefault="00883D0F" w:rsidP="00883D0F">
      <w:pPr>
        <w:pStyle w:val="ListParagraphindent2"/>
        <w:rPr>
          <w:snapToGrid w:val="0"/>
        </w:rPr>
      </w:pPr>
      <w:r w:rsidRPr="00C07D82">
        <w:rPr>
          <w:snapToGrid w:val="0"/>
        </w:rPr>
        <w:t>the drafting and distribution of the agenda and working papers and reports to PCC members</w:t>
      </w:r>
      <w:r w:rsidR="00EF31A0" w:rsidRPr="00C07D82">
        <w:rPr>
          <w:snapToGrid w:val="0"/>
        </w:rPr>
        <w:t>;</w:t>
      </w:r>
    </w:p>
    <w:p w14:paraId="36A94931" w14:textId="775E4AF5" w:rsidR="00883D0F" w:rsidRPr="00C07D82" w:rsidRDefault="00883D0F" w:rsidP="00883D0F">
      <w:pPr>
        <w:pStyle w:val="ListParagraphindent2"/>
        <w:rPr>
          <w:snapToGrid w:val="0"/>
        </w:rPr>
      </w:pPr>
      <w:r w:rsidRPr="00C07D82">
        <w:rPr>
          <w:snapToGrid w:val="0"/>
        </w:rPr>
        <w:t>the collation, analysis and reporting of Performance indicators data;</w:t>
      </w:r>
      <w:r w:rsidR="00EF31A0" w:rsidRPr="00C07D82">
        <w:rPr>
          <w:snapToGrid w:val="0"/>
        </w:rPr>
        <w:t xml:space="preserve"> and</w:t>
      </w:r>
    </w:p>
    <w:p w14:paraId="36A94932" w14:textId="536705AA" w:rsidR="00883D0F" w:rsidRPr="00C07D82" w:rsidRDefault="00883D0F" w:rsidP="00883D0F">
      <w:pPr>
        <w:pStyle w:val="ListParagraphindent2"/>
        <w:rPr>
          <w:snapToGrid w:val="0"/>
        </w:rPr>
      </w:pPr>
      <w:r w:rsidRPr="00C07D82">
        <w:rPr>
          <w:snapToGrid w:val="0"/>
        </w:rPr>
        <w:t>coordinating and distributing financial reports</w:t>
      </w:r>
      <w:r w:rsidR="00EF31A0" w:rsidRPr="00C07D82">
        <w:rPr>
          <w:snapToGrid w:val="0"/>
        </w:rPr>
        <w:t>.</w:t>
      </w:r>
    </w:p>
    <w:p w14:paraId="36A94933" w14:textId="77777777" w:rsidR="00883D0F" w:rsidRPr="00C07D82" w:rsidRDefault="00883D0F" w:rsidP="00883D0F">
      <w:pPr>
        <w:pStyle w:val="ListParagraphindent"/>
        <w:rPr>
          <w:snapToGrid w:val="0"/>
        </w:rPr>
      </w:pPr>
      <w:r w:rsidRPr="00C07D82">
        <w:rPr>
          <w:snapToGrid w:val="0"/>
        </w:rPr>
        <w:t>Development of the draft AWP and finalising the AWP following endorsement by the PCC;</w:t>
      </w:r>
    </w:p>
    <w:p w14:paraId="36A94934" w14:textId="77777777" w:rsidR="00883D0F" w:rsidRPr="00C07D82" w:rsidRDefault="00883D0F" w:rsidP="00883D0F">
      <w:pPr>
        <w:pStyle w:val="ListParagraphindent"/>
        <w:rPr>
          <w:snapToGrid w:val="0"/>
        </w:rPr>
      </w:pPr>
      <w:r w:rsidRPr="00C07D82">
        <w:rPr>
          <w:snapToGrid w:val="0"/>
        </w:rPr>
        <w:t>Preparation of papers and reports for the Annual Review meeting;</w:t>
      </w:r>
    </w:p>
    <w:p w14:paraId="36A94935" w14:textId="77777777" w:rsidR="00883D0F" w:rsidRPr="00C07D82" w:rsidRDefault="00883D0F" w:rsidP="00883D0F">
      <w:pPr>
        <w:pStyle w:val="ListParagraphindent"/>
        <w:rPr>
          <w:snapToGrid w:val="0"/>
        </w:rPr>
      </w:pPr>
      <w:r w:rsidRPr="00C07D82">
        <w:rPr>
          <w:snapToGrid w:val="0"/>
        </w:rPr>
        <w:t>Updating the Risk Management Plan as requested by the PCC;</w:t>
      </w:r>
    </w:p>
    <w:p w14:paraId="36A94936" w14:textId="77777777" w:rsidR="00883D0F" w:rsidRPr="00C07D82" w:rsidRDefault="00883D0F" w:rsidP="00883D0F">
      <w:pPr>
        <w:pStyle w:val="ListParagraphindent"/>
        <w:rPr>
          <w:snapToGrid w:val="0"/>
        </w:rPr>
      </w:pPr>
      <w:r w:rsidRPr="00C07D82">
        <w:rPr>
          <w:snapToGrid w:val="0"/>
        </w:rPr>
        <w:t>Preparation of requests for use of Flexible Fund for presentation to the PCC and manage</w:t>
      </w:r>
      <w:r w:rsidR="0020049B" w:rsidRPr="00C07D82">
        <w:rPr>
          <w:snapToGrid w:val="0"/>
        </w:rPr>
        <w:t>ment of</w:t>
      </w:r>
      <w:r w:rsidRPr="00C07D82">
        <w:rPr>
          <w:snapToGrid w:val="0"/>
        </w:rPr>
        <w:t xml:space="preserve"> relevant funded activities;</w:t>
      </w:r>
    </w:p>
    <w:p w14:paraId="36A94937" w14:textId="6793E809" w:rsidR="00280F7C" w:rsidRPr="00C07D82" w:rsidRDefault="00280F7C" w:rsidP="00280F7C">
      <w:pPr>
        <w:pStyle w:val="ListParagraphindent"/>
      </w:pPr>
      <w:r w:rsidRPr="00C07D82">
        <w:t xml:space="preserve">Monitoring project financial management and audit procedures in line with </w:t>
      </w:r>
      <w:r w:rsidR="008D3D01" w:rsidRPr="00C07D82">
        <w:t>GOA</w:t>
      </w:r>
      <w:r w:rsidRPr="00C07D82">
        <w:t xml:space="preserve"> and Vietnamese ODA guidelines;</w:t>
      </w:r>
      <w:r w:rsidR="00EF31A0" w:rsidRPr="00C07D82">
        <w:t xml:space="preserve"> and</w:t>
      </w:r>
    </w:p>
    <w:p w14:paraId="36A94938" w14:textId="30398DFE" w:rsidR="00883D0F" w:rsidRPr="00C07D82" w:rsidRDefault="00883D0F" w:rsidP="00883D0F">
      <w:pPr>
        <w:pStyle w:val="ListParagraphindent"/>
        <w:rPr>
          <w:snapToGrid w:val="0"/>
        </w:rPr>
      </w:pPr>
      <w:r w:rsidRPr="00C07D82">
        <w:rPr>
          <w:snapToGrid w:val="0"/>
        </w:rPr>
        <w:t>Other specific responsibilities/tasks as relevant/appropriate to the Project</w:t>
      </w:r>
      <w:r w:rsidR="00EF31A0" w:rsidRPr="00C07D82">
        <w:rPr>
          <w:snapToGrid w:val="0"/>
        </w:rPr>
        <w:t>.</w:t>
      </w:r>
    </w:p>
    <w:p w14:paraId="36A94939" w14:textId="77777777" w:rsidR="00883D0F" w:rsidRPr="00C07D82" w:rsidRDefault="00883D0F" w:rsidP="00883D0F">
      <w:pPr>
        <w:pStyle w:val="ListParagraph"/>
        <w:rPr>
          <w:snapToGrid w:val="0"/>
          <w:szCs w:val="22"/>
        </w:rPr>
      </w:pPr>
      <w:r w:rsidRPr="00C07D82">
        <w:rPr>
          <w:snapToGrid w:val="0"/>
          <w:szCs w:val="22"/>
        </w:rPr>
        <w:t>The P</w:t>
      </w:r>
      <w:r w:rsidR="0020049B" w:rsidRPr="00C07D82">
        <w:rPr>
          <w:snapToGrid w:val="0"/>
          <w:szCs w:val="22"/>
        </w:rPr>
        <w:t>C</w:t>
      </w:r>
      <w:r w:rsidRPr="00C07D82">
        <w:rPr>
          <w:snapToGrid w:val="0"/>
          <w:szCs w:val="22"/>
        </w:rPr>
        <w:t xml:space="preserve">U may also be supported by technical assistance provided by the </w:t>
      </w:r>
      <w:r w:rsidR="008D3D01" w:rsidRPr="00C07D82">
        <w:rPr>
          <w:snapToGrid w:val="0"/>
          <w:szCs w:val="22"/>
        </w:rPr>
        <w:t>GOA</w:t>
      </w:r>
      <w:r w:rsidRPr="00C07D82">
        <w:rPr>
          <w:snapToGrid w:val="0"/>
          <w:szCs w:val="22"/>
        </w:rPr>
        <w:t>.</w:t>
      </w:r>
    </w:p>
    <w:p w14:paraId="36A9493A" w14:textId="77777777" w:rsidR="00883D0F" w:rsidRPr="00C07D82" w:rsidRDefault="00883D0F" w:rsidP="00A11FAA">
      <w:pPr>
        <w:spacing w:after="120"/>
        <w:rPr>
          <w:rFonts w:cs="Arial"/>
          <w:b/>
          <w:snapToGrid w:val="0"/>
          <w:szCs w:val="22"/>
        </w:rPr>
      </w:pPr>
      <w:r w:rsidRPr="00C07D82">
        <w:rPr>
          <w:rFonts w:cs="Arial"/>
          <w:b/>
          <w:snapToGrid w:val="0"/>
          <w:szCs w:val="22"/>
        </w:rPr>
        <w:t xml:space="preserve">Project Coordination Committee </w:t>
      </w:r>
    </w:p>
    <w:p w14:paraId="36A9493C" w14:textId="77777777" w:rsidR="00883D0F" w:rsidRPr="00C07D82" w:rsidRDefault="00883D0F" w:rsidP="00883D0F">
      <w:pPr>
        <w:pStyle w:val="ListParagraph"/>
        <w:rPr>
          <w:snapToGrid w:val="0"/>
          <w:szCs w:val="22"/>
        </w:rPr>
      </w:pPr>
      <w:r w:rsidRPr="00C07D82">
        <w:rPr>
          <w:lang w:val="en-GB"/>
        </w:rPr>
        <w:t>The Parties acknowledge that regular consultation between the Parties is critical to the effective implementation of the Project.</w:t>
      </w:r>
    </w:p>
    <w:p w14:paraId="36A9493D" w14:textId="77777777" w:rsidR="00883D0F" w:rsidRPr="00C07D82" w:rsidRDefault="00883D0F" w:rsidP="00883D0F">
      <w:pPr>
        <w:pStyle w:val="ListParagraph"/>
        <w:rPr>
          <w:snapToGrid w:val="0"/>
          <w:szCs w:val="22"/>
        </w:rPr>
      </w:pPr>
      <w:r w:rsidRPr="00C07D82">
        <w:rPr>
          <w:lang w:val="en-GB"/>
        </w:rPr>
        <w:t xml:space="preserve">Coordination between the Parties will be achieved through the establishment of a Project Coordination Committee (PCC) to </w:t>
      </w:r>
      <w:r w:rsidR="00280F7C" w:rsidRPr="00C07D82">
        <w:t>ensure on-going consultation, planning, coordination and implementation of the Project.</w:t>
      </w:r>
      <w:r w:rsidRPr="00C07D82">
        <w:t xml:space="preserve"> The PCC will facilitate the use of “whole of government” approaches to supporting economic restructuring and development.</w:t>
      </w:r>
    </w:p>
    <w:p w14:paraId="36A9493E" w14:textId="77777777" w:rsidR="00883D0F" w:rsidRPr="00C07D82" w:rsidRDefault="00883D0F" w:rsidP="00883D0F">
      <w:pPr>
        <w:pStyle w:val="ListParagraph"/>
        <w:rPr>
          <w:snapToGrid w:val="0"/>
          <w:szCs w:val="22"/>
        </w:rPr>
      </w:pPr>
      <w:r w:rsidRPr="00C07D82">
        <w:rPr>
          <w:lang w:val="en-GB"/>
        </w:rPr>
        <w:t xml:space="preserve">The PCC will meet at least every </w:t>
      </w:r>
      <w:r w:rsidRPr="00C07D82">
        <w:rPr>
          <w:i/>
          <w:lang w:val="en-GB"/>
        </w:rPr>
        <w:t xml:space="preserve">6 </w:t>
      </w:r>
      <w:r w:rsidRPr="00C07D82">
        <w:rPr>
          <w:lang w:val="en-GB"/>
        </w:rPr>
        <w:t xml:space="preserve">months unless an alternative time interval between meetings is </w:t>
      </w:r>
      <w:r w:rsidR="00280F7C" w:rsidRPr="00C07D82">
        <w:t>subsequently agreed by the</w:t>
      </w:r>
      <w:r w:rsidRPr="00C07D82">
        <w:rPr>
          <w:lang w:val="en-GB"/>
        </w:rPr>
        <w:t xml:space="preserve"> PD</w:t>
      </w:r>
      <w:r w:rsidR="00280F7C" w:rsidRPr="00C07D82">
        <w:rPr>
          <w:lang w:val="en-GB"/>
        </w:rPr>
        <w:t xml:space="preserve"> and </w:t>
      </w:r>
      <w:r w:rsidR="008D3D01" w:rsidRPr="00C07D82">
        <w:rPr>
          <w:lang w:val="en-GB"/>
        </w:rPr>
        <w:t>GOA</w:t>
      </w:r>
      <w:r w:rsidRPr="00C07D82">
        <w:rPr>
          <w:lang w:val="en-GB"/>
        </w:rPr>
        <w:t xml:space="preserve">. </w:t>
      </w:r>
    </w:p>
    <w:p w14:paraId="36A9493F" w14:textId="77777777" w:rsidR="00280F7C" w:rsidRPr="00C07D82" w:rsidRDefault="00280F7C" w:rsidP="00280F7C">
      <w:pPr>
        <w:pStyle w:val="ListParagraph"/>
      </w:pPr>
      <w:r w:rsidRPr="00C07D82">
        <w:rPr>
          <w:snapToGrid w:val="0"/>
        </w:rPr>
        <w:t xml:space="preserve">The PCC will </w:t>
      </w:r>
      <w:r w:rsidRPr="00C07D82">
        <w:t xml:space="preserve">comprise the PD (as its Chair), CDs and </w:t>
      </w:r>
      <w:r w:rsidR="008D3D01" w:rsidRPr="00C07D82">
        <w:t>GOA</w:t>
      </w:r>
      <w:r w:rsidRPr="00C07D82">
        <w:t xml:space="preserve">. </w:t>
      </w:r>
      <w:r w:rsidRPr="00C07D82">
        <w:rPr>
          <w:snapToGrid w:val="0"/>
        </w:rPr>
        <w:t xml:space="preserve">In addition to the above representatives, representatives from relevant organisations or agencies, such as those from SAG, National Assembly Economic Committee, and CPV Economic Commission may be invited to attend PCC meetings with the agreement of both Parties </w:t>
      </w:r>
      <w:r w:rsidRPr="00C07D82">
        <w:t xml:space="preserve">in order to advance the reform agenda. </w:t>
      </w:r>
    </w:p>
    <w:p w14:paraId="36A94940" w14:textId="77777777" w:rsidR="00883D0F" w:rsidRPr="00C07D82" w:rsidRDefault="00883D0F" w:rsidP="00883D0F">
      <w:pPr>
        <w:pStyle w:val="ListParagraph"/>
        <w:rPr>
          <w:snapToGrid w:val="0"/>
          <w:szCs w:val="22"/>
        </w:rPr>
      </w:pPr>
      <w:r w:rsidRPr="00C07D82">
        <w:rPr>
          <w:lang w:val="en-GB"/>
        </w:rPr>
        <w:t>The P</w:t>
      </w:r>
      <w:r w:rsidR="00280F7C" w:rsidRPr="00C07D82">
        <w:rPr>
          <w:lang w:val="en-GB"/>
        </w:rPr>
        <w:t>C</w:t>
      </w:r>
      <w:r w:rsidRPr="00C07D82">
        <w:rPr>
          <w:lang w:val="en-GB"/>
        </w:rPr>
        <w:t>U is responsible for providing the agenda and papers including reports to all PCC representatives 5 working days in advance of a meeting.</w:t>
      </w:r>
    </w:p>
    <w:p w14:paraId="36A94941" w14:textId="77777777" w:rsidR="00883D0F" w:rsidRPr="00C07D82" w:rsidRDefault="00883D0F" w:rsidP="00883D0F">
      <w:pPr>
        <w:pStyle w:val="ListParagraph"/>
        <w:rPr>
          <w:snapToGrid w:val="0"/>
          <w:szCs w:val="22"/>
        </w:rPr>
      </w:pPr>
      <w:r w:rsidRPr="00C07D82">
        <w:rPr>
          <w:lang w:val="en-GB"/>
        </w:rPr>
        <w:t xml:space="preserve">Key subjects to be discussed by the PCC include: </w:t>
      </w:r>
    </w:p>
    <w:p w14:paraId="36A94942" w14:textId="77777777" w:rsidR="00883D0F" w:rsidRPr="00C07D82" w:rsidRDefault="00280F7C" w:rsidP="00883D0F">
      <w:pPr>
        <w:pStyle w:val="ListParagraphindent"/>
        <w:rPr>
          <w:lang w:val="en-GB"/>
        </w:rPr>
      </w:pPr>
      <w:r w:rsidRPr="00C07D82">
        <w:t xml:space="preserve">Assessment/review of performance/budget execution and expenditure priorities on the basis of the indicators described in the </w:t>
      </w:r>
      <w:r w:rsidRPr="00C07D82">
        <w:rPr>
          <w:b/>
          <w:i/>
          <w:u w:val="single"/>
        </w:rPr>
        <w:t>Performance Assessment Framework</w:t>
      </w:r>
      <w:r w:rsidR="00420006" w:rsidRPr="00C07D82">
        <w:rPr>
          <w:b/>
          <w:i/>
          <w:u w:val="single"/>
        </w:rPr>
        <w:t>- Annex 3</w:t>
      </w:r>
      <w:r w:rsidRPr="00C07D82">
        <w:t>;</w:t>
      </w:r>
    </w:p>
    <w:p w14:paraId="36A94943" w14:textId="77777777" w:rsidR="00280F7C" w:rsidRPr="00C07D82" w:rsidRDefault="00280F7C" w:rsidP="00280F7C">
      <w:pPr>
        <w:pStyle w:val="ListParagraphindent"/>
        <w:rPr>
          <w:lang w:val="en-GB"/>
        </w:rPr>
      </w:pPr>
      <w:r w:rsidRPr="00C07D82">
        <w:t xml:space="preserve">Annual review of </w:t>
      </w:r>
      <w:r w:rsidR="009F48F6" w:rsidRPr="00C07D82">
        <w:t>AWP</w:t>
      </w:r>
      <w:r w:rsidRPr="00C07D82">
        <w:t xml:space="preserve"> for the forthcoming calendar year/revenue and expenditure priorities; implementation of the Agreement;</w:t>
      </w:r>
    </w:p>
    <w:p w14:paraId="36A94944" w14:textId="50AA0EDC" w:rsidR="00110754" w:rsidRPr="00C07D82" w:rsidRDefault="00110754" w:rsidP="00110754">
      <w:pPr>
        <w:pStyle w:val="ListParagraphindent"/>
        <w:rPr>
          <w:lang w:val="en-GB"/>
        </w:rPr>
      </w:pPr>
      <w:r w:rsidRPr="00C07D82">
        <w:t xml:space="preserve">Review/update of </w:t>
      </w:r>
      <w:r w:rsidRPr="00C07D82">
        <w:rPr>
          <w:b/>
          <w:i/>
          <w:u w:val="single"/>
        </w:rPr>
        <w:t>Project risk management plan</w:t>
      </w:r>
      <w:r w:rsidR="00AB0979" w:rsidRPr="00C07D82">
        <w:rPr>
          <w:b/>
          <w:i/>
          <w:u w:val="single"/>
        </w:rPr>
        <w:t xml:space="preserve"> </w:t>
      </w:r>
      <w:r w:rsidR="00420006" w:rsidRPr="00C07D82">
        <w:rPr>
          <w:b/>
          <w:i/>
          <w:u w:val="single"/>
        </w:rPr>
        <w:t xml:space="preserve">- </w:t>
      </w:r>
      <w:r w:rsidRPr="00C07D82">
        <w:rPr>
          <w:b/>
          <w:i/>
          <w:u w:val="single"/>
        </w:rPr>
        <w:t>Annex 4</w:t>
      </w:r>
      <w:r w:rsidR="00A11FAA" w:rsidRPr="00C07D82">
        <w:t>;</w:t>
      </w:r>
    </w:p>
    <w:p w14:paraId="36A94945" w14:textId="77777777" w:rsidR="00280F7C" w:rsidRPr="00C07D82" w:rsidRDefault="00280F7C" w:rsidP="00280F7C">
      <w:pPr>
        <w:pStyle w:val="ListParagraphindent"/>
        <w:rPr>
          <w:lang w:val="en-GB"/>
        </w:rPr>
      </w:pPr>
      <w:r w:rsidRPr="00C07D82">
        <w:t>Consideration of audit report(s) and follow up required on audits;</w:t>
      </w:r>
    </w:p>
    <w:p w14:paraId="36A94946" w14:textId="77661DAF" w:rsidR="00883D0F" w:rsidRPr="00C07D82" w:rsidRDefault="00883D0F" w:rsidP="00883D0F">
      <w:pPr>
        <w:pStyle w:val="ListParagraphindent"/>
        <w:rPr>
          <w:lang w:val="en-GB"/>
        </w:rPr>
      </w:pPr>
      <w:r w:rsidRPr="00C07D82">
        <w:rPr>
          <w:lang w:val="en-GB"/>
        </w:rPr>
        <w:t>Share knowledge and experiences with Project implementation an</w:t>
      </w:r>
      <w:r w:rsidR="00A11FAA" w:rsidRPr="00C07D82">
        <w:rPr>
          <w:lang w:val="en-GB"/>
        </w:rPr>
        <w:t>d on implementation of the MPER;</w:t>
      </w:r>
    </w:p>
    <w:p w14:paraId="36A94947" w14:textId="115653F5" w:rsidR="00110754" w:rsidRPr="00C07D82" w:rsidRDefault="00883D0F" w:rsidP="00883D0F">
      <w:pPr>
        <w:pStyle w:val="ListParagraphindent"/>
        <w:rPr>
          <w:lang w:val="en-GB"/>
        </w:rPr>
      </w:pPr>
      <w:r w:rsidRPr="00C07D82">
        <w:rPr>
          <w:lang w:val="en-GB"/>
        </w:rPr>
        <w:t>Suggest priorities for policy dialogue</w:t>
      </w:r>
      <w:r w:rsidR="00110754" w:rsidRPr="00C07D82">
        <w:rPr>
          <w:lang w:val="en-GB"/>
        </w:rPr>
        <w:t>s and implementation of major policy dialogue events</w:t>
      </w:r>
      <w:r w:rsidR="00A11FAA" w:rsidRPr="00C07D82">
        <w:rPr>
          <w:lang w:val="en-GB"/>
        </w:rPr>
        <w:t>; and</w:t>
      </w:r>
    </w:p>
    <w:p w14:paraId="36A94948" w14:textId="77777777" w:rsidR="00280F7C" w:rsidRPr="00C07D82" w:rsidRDefault="00110754" w:rsidP="00280F7C">
      <w:pPr>
        <w:pStyle w:val="ListParagraphindent"/>
      </w:pPr>
      <w:r w:rsidRPr="00C07D82">
        <w:rPr>
          <w:lang w:val="en-GB"/>
        </w:rPr>
        <w:t xml:space="preserve">Suggest priorities for the use of Flexible Fund, and </w:t>
      </w:r>
      <w:r w:rsidRPr="00C07D82">
        <w:t>r</w:t>
      </w:r>
      <w:r w:rsidR="00280F7C" w:rsidRPr="00C07D82">
        <w:t>equirements for additional technical assistance for implementation</w:t>
      </w:r>
      <w:r w:rsidRPr="00C07D82">
        <w:t>.</w:t>
      </w:r>
    </w:p>
    <w:p w14:paraId="36A94949" w14:textId="77777777" w:rsidR="00883D0F" w:rsidRPr="00C07D82" w:rsidRDefault="00883D0F" w:rsidP="00883D0F">
      <w:pPr>
        <w:pStyle w:val="ListParagraph"/>
        <w:rPr>
          <w:snapToGrid w:val="0"/>
          <w:szCs w:val="22"/>
        </w:rPr>
      </w:pPr>
      <w:r w:rsidRPr="00C07D82">
        <w:rPr>
          <w:lang w:val="en-GB"/>
        </w:rPr>
        <w:t>The results of the meeting will be recorded in Agreed Minutes.</w:t>
      </w:r>
    </w:p>
    <w:p w14:paraId="36A9494A" w14:textId="77777777" w:rsidR="00883D0F" w:rsidRPr="00C07D82" w:rsidRDefault="00883D0F" w:rsidP="00883D0F">
      <w:pPr>
        <w:pStyle w:val="ListParagraph"/>
        <w:rPr>
          <w:snapToGrid w:val="0"/>
          <w:szCs w:val="22"/>
        </w:rPr>
      </w:pPr>
      <w:r w:rsidRPr="00C07D82">
        <w:rPr>
          <w:lang w:val="en-GB"/>
        </w:rPr>
        <w:t>The Agreed Minutes will be drafted by the P</w:t>
      </w:r>
      <w:r w:rsidR="00110754" w:rsidRPr="00C07D82">
        <w:rPr>
          <w:lang w:val="en-GB"/>
        </w:rPr>
        <w:t>C</w:t>
      </w:r>
      <w:r w:rsidRPr="00C07D82">
        <w:rPr>
          <w:lang w:val="en-GB"/>
        </w:rPr>
        <w:t xml:space="preserve">U and a draft sent to </w:t>
      </w:r>
      <w:r w:rsidR="00110754" w:rsidRPr="00C07D82">
        <w:rPr>
          <w:lang w:val="en-GB"/>
        </w:rPr>
        <w:t>GOA</w:t>
      </w:r>
      <w:r w:rsidRPr="00C07D82">
        <w:rPr>
          <w:lang w:val="en-GB"/>
        </w:rPr>
        <w:t xml:space="preserve"> and all other PCC representatives, for their comments/approvals, within 10 working days of the meeting being held. </w:t>
      </w:r>
    </w:p>
    <w:p w14:paraId="36A9494B" w14:textId="77777777" w:rsidR="00883D0F" w:rsidRPr="00C07D82" w:rsidRDefault="00883D0F" w:rsidP="00883D0F">
      <w:pPr>
        <w:pStyle w:val="ListParagraph"/>
        <w:rPr>
          <w:snapToGrid w:val="0"/>
          <w:szCs w:val="22"/>
        </w:rPr>
      </w:pPr>
      <w:r w:rsidRPr="00C07D82">
        <w:rPr>
          <w:lang w:val="en-GB"/>
        </w:rPr>
        <w:t xml:space="preserve">The </w:t>
      </w:r>
      <w:r w:rsidR="00110754" w:rsidRPr="00C07D82">
        <w:rPr>
          <w:lang w:val="en-GB"/>
        </w:rPr>
        <w:t>GOA</w:t>
      </w:r>
      <w:r w:rsidRPr="00C07D82">
        <w:rPr>
          <w:lang w:val="en-GB"/>
        </w:rPr>
        <w:t xml:space="preserve"> will inform the Partner Government of their approval/comments within ten working days of receipt of the draft Minutes. If no comments are received from </w:t>
      </w:r>
      <w:r w:rsidR="00110754" w:rsidRPr="00C07D82">
        <w:rPr>
          <w:lang w:val="en-GB"/>
        </w:rPr>
        <w:t>GOA</w:t>
      </w:r>
      <w:r w:rsidRPr="00C07D82">
        <w:rPr>
          <w:lang w:val="en-GB"/>
        </w:rPr>
        <w:t xml:space="preserve"> within 10 working days it will be assumed that </w:t>
      </w:r>
      <w:r w:rsidR="00110754" w:rsidRPr="00C07D82">
        <w:rPr>
          <w:lang w:val="en-GB"/>
        </w:rPr>
        <w:t>GOA</w:t>
      </w:r>
      <w:r w:rsidRPr="00C07D82">
        <w:rPr>
          <w:lang w:val="en-GB"/>
        </w:rPr>
        <w:t xml:space="preserve"> has endorsed the Minutes.</w:t>
      </w:r>
    </w:p>
    <w:p w14:paraId="36A9494C" w14:textId="77777777" w:rsidR="00883D0F" w:rsidRPr="00C07D82" w:rsidRDefault="00883D0F" w:rsidP="00883D0F">
      <w:pPr>
        <w:pStyle w:val="ListParagraph"/>
        <w:rPr>
          <w:snapToGrid w:val="0"/>
          <w:szCs w:val="22"/>
        </w:rPr>
      </w:pPr>
      <w:r w:rsidRPr="00C07D82">
        <w:rPr>
          <w:lang w:val="en-GB"/>
        </w:rPr>
        <w:t>Additional consultation meetings may be requested by the Partner Government or GOA on any subject relevant to the implementation of the Project.</w:t>
      </w:r>
    </w:p>
    <w:p w14:paraId="36A9494D" w14:textId="77777777" w:rsidR="00A778DE" w:rsidRPr="00C07D82" w:rsidRDefault="00A778DE" w:rsidP="00A778DE">
      <w:pPr>
        <w:spacing w:after="120"/>
        <w:ind w:left="426"/>
        <w:rPr>
          <w:rFonts w:cs="Arial"/>
          <w:b/>
          <w:snapToGrid w:val="0"/>
          <w:szCs w:val="22"/>
        </w:rPr>
      </w:pPr>
      <w:r w:rsidRPr="00C07D82">
        <w:rPr>
          <w:rFonts w:cs="Arial"/>
          <w:b/>
          <w:lang w:val="en-GB"/>
        </w:rPr>
        <w:t xml:space="preserve">Annual </w:t>
      </w:r>
      <w:r w:rsidR="00B33CFA" w:rsidRPr="00C07D82">
        <w:rPr>
          <w:rFonts w:cs="Arial"/>
          <w:b/>
          <w:lang w:val="en-GB"/>
        </w:rPr>
        <w:t>Project</w:t>
      </w:r>
      <w:r w:rsidRPr="00C07D82">
        <w:rPr>
          <w:rFonts w:cs="Arial"/>
          <w:b/>
          <w:lang w:val="en-GB"/>
        </w:rPr>
        <w:t xml:space="preserve"> Review and Planning Meeting(s) </w:t>
      </w:r>
    </w:p>
    <w:p w14:paraId="36A9494E" w14:textId="67C0906C" w:rsidR="00A778DE" w:rsidRPr="00C07D82" w:rsidRDefault="00A778DE" w:rsidP="00A778DE">
      <w:pPr>
        <w:pStyle w:val="ListParagraph"/>
        <w:rPr>
          <w:snapToGrid w:val="0"/>
          <w:szCs w:val="22"/>
        </w:rPr>
      </w:pPr>
      <w:r w:rsidRPr="00C07D82">
        <w:rPr>
          <w:snapToGrid w:val="0"/>
          <w:szCs w:val="22"/>
        </w:rPr>
        <w:t xml:space="preserve">In </w:t>
      </w:r>
      <w:r w:rsidR="00754BA8" w:rsidRPr="00C07D82">
        <w:rPr>
          <w:snapToGrid w:val="0"/>
          <w:szCs w:val="22"/>
        </w:rPr>
        <w:t xml:space="preserve">June </w:t>
      </w:r>
      <w:r w:rsidR="00292215" w:rsidRPr="00C07D82">
        <w:rPr>
          <w:snapToGrid w:val="0"/>
          <w:szCs w:val="22"/>
        </w:rPr>
        <w:t xml:space="preserve">2014 and 2015, </w:t>
      </w:r>
      <w:r w:rsidRPr="00C07D82">
        <w:rPr>
          <w:snapToGrid w:val="0"/>
          <w:szCs w:val="22"/>
        </w:rPr>
        <w:t xml:space="preserve">the PCC will convene an Annual </w:t>
      </w:r>
      <w:r w:rsidR="00B33CFA" w:rsidRPr="00C07D82">
        <w:rPr>
          <w:snapToGrid w:val="0"/>
          <w:szCs w:val="22"/>
        </w:rPr>
        <w:t>Project</w:t>
      </w:r>
      <w:r w:rsidRPr="00C07D82">
        <w:rPr>
          <w:snapToGrid w:val="0"/>
          <w:szCs w:val="22"/>
        </w:rPr>
        <w:t xml:space="preserve"> Review and Planning meeting.</w:t>
      </w:r>
    </w:p>
    <w:p w14:paraId="36A9494F" w14:textId="77777777" w:rsidR="00A778DE" w:rsidRPr="00C07D82" w:rsidRDefault="00A778DE" w:rsidP="00A778DE">
      <w:pPr>
        <w:pStyle w:val="ListParagraph"/>
        <w:rPr>
          <w:snapToGrid w:val="0"/>
          <w:szCs w:val="22"/>
        </w:rPr>
      </w:pPr>
      <w:r w:rsidRPr="00C07D82">
        <w:rPr>
          <w:snapToGrid w:val="0"/>
          <w:szCs w:val="22"/>
        </w:rPr>
        <w:t>Prior to the meeting the P</w:t>
      </w:r>
      <w:r w:rsidR="0020049B" w:rsidRPr="00C07D82">
        <w:rPr>
          <w:snapToGrid w:val="0"/>
          <w:szCs w:val="22"/>
        </w:rPr>
        <w:t>C</w:t>
      </w:r>
      <w:r w:rsidRPr="00C07D82">
        <w:rPr>
          <w:snapToGrid w:val="0"/>
          <w:szCs w:val="22"/>
        </w:rPr>
        <w:t>U will develop and circulate the following papers in advance of the meeting:</w:t>
      </w:r>
    </w:p>
    <w:p w14:paraId="36A94950" w14:textId="77777777" w:rsidR="00A778DE" w:rsidRPr="00C07D82" w:rsidRDefault="00A778DE" w:rsidP="00A778DE">
      <w:pPr>
        <w:pStyle w:val="ListParagraphindent"/>
        <w:rPr>
          <w:snapToGrid w:val="0"/>
        </w:rPr>
      </w:pPr>
      <w:r w:rsidRPr="00C07D82">
        <w:rPr>
          <w:snapToGrid w:val="0"/>
        </w:rPr>
        <w:t xml:space="preserve">An Annual </w:t>
      </w:r>
      <w:r w:rsidR="00B33CFA" w:rsidRPr="00C07D82">
        <w:rPr>
          <w:snapToGrid w:val="0"/>
        </w:rPr>
        <w:t>Project</w:t>
      </w:r>
      <w:r w:rsidRPr="00C07D82">
        <w:rPr>
          <w:snapToGrid w:val="0"/>
        </w:rPr>
        <w:t xml:space="preserve"> Management Report including:</w:t>
      </w:r>
    </w:p>
    <w:p w14:paraId="36A94951" w14:textId="32513AB4" w:rsidR="00A778DE" w:rsidRPr="00C07D82" w:rsidRDefault="00A778DE" w:rsidP="00A778DE">
      <w:pPr>
        <w:pStyle w:val="ListParagraphindent2"/>
        <w:rPr>
          <w:snapToGrid w:val="0"/>
        </w:rPr>
      </w:pPr>
      <w:r w:rsidRPr="00C07D82">
        <w:rPr>
          <w:snapToGrid w:val="0"/>
        </w:rPr>
        <w:t xml:space="preserve">Summarising overall progress and achievements over the previous 12 months compared against the </w:t>
      </w:r>
      <w:r w:rsidR="00110754" w:rsidRPr="00C07D82">
        <w:rPr>
          <w:snapToGrid w:val="0"/>
        </w:rPr>
        <w:t>AWP</w:t>
      </w:r>
      <w:r w:rsidRPr="00C07D82">
        <w:rPr>
          <w:snapToGrid w:val="0"/>
        </w:rPr>
        <w:t xml:space="preserve"> for the period</w:t>
      </w:r>
      <w:r w:rsidR="00EF31A0" w:rsidRPr="00C07D82">
        <w:rPr>
          <w:snapToGrid w:val="0"/>
        </w:rPr>
        <w:t>; and</w:t>
      </w:r>
    </w:p>
    <w:p w14:paraId="36A94952" w14:textId="77777777" w:rsidR="00A778DE" w:rsidRPr="00C07D82" w:rsidRDefault="00A778DE" w:rsidP="00A778DE">
      <w:pPr>
        <w:pStyle w:val="ListParagraphindent2"/>
        <w:rPr>
          <w:snapToGrid w:val="0"/>
        </w:rPr>
      </w:pPr>
      <w:r w:rsidRPr="00C07D82">
        <w:rPr>
          <w:snapToGrid w:val="0"/>
        </w:rPr>
        <w:t xml:space="preserve">a detailed </w:t>
      </w:r>
      <w:r w:rsidR="00B33CFA" w:rsidRPr="00C07D82">
        <w:rPr>
          <w:snapToGrid w:val="0"/>
        </w:rPr>
        <w:t>Project</w:t>
      </w:r>
      <w:r w:rsidRPr="00C07D82">
        <w:rPr>
          <w:snapToGrid w:val="0"/>
        </w:rPr>
        <w:t xml:space="preserve"> performance report assessing progress against the agreed Performance assessment framework</w:t>
      </w:r>
      <w:r w:rsidR="00292215" w:rsidRPr="00C07D82">
        <w:rPr>
          <w:snapToGrid w:val="0"/>
        </w:rPr>
        <w:t>.</w:t>
      </w:r>
    </w:p>
    <w:p w14:paraId="36A94953" w14:textId="77777777" w:rsidR="00A778DE" w:rsidRPr="00C07D82" w:rsidRDefault="00A778DE" w:rsidP="00A778DE">
      <w:pPr>
        <w:pStyle w:val="ListParagraphindent"/>
        <w:rPr>
          <w:snapToGrid w:val="0"/>
        </w:rPr>
      </w:pPr>
      <w:r w:rsidRPr="00C07D82">
        <w:rPr>
          <w:snapToGrid w:val="0"/>
        </w:rPr>
        <w:t>A costed draft A</w:t>
      </w:r>
      <w:r w:rsidR="00110754" w:rsidRPr="00C07D82">
        <w:rPr>
          <w:snapToGrid w:val="0"/>
        </w:rPr>
        <w:t>WP</w:t>
      </w:r>
      <w:r w:rsidRPr="00C07D82">
        <w:rPr>
          <w:snapToGrid w:val="0"/>
        </w:rPr>
        <w:t xml:space="preserve"> for the next 12 months which identifies priorities and provides detail of proposed fund</w:t>
      </w:r>
      <w:r w:rsidR="00110754" w:rsidRPr="00C07D82">
        <w:rPr>
          <w:snapToGrid w:val="0"/>
        </w:rPr>
        <w:t xml:space="preserve"> based on the agreed plan of activities approved at the PDD</w:t>
      </w:r>
      <w:r w:rsidRPr="00C07D82">
        <w:rPr>
          <w:snapToGrid w:val="0"/>
        </w:rPr>
        <w:t>.</w:t>
      </w:r>
    </w:p>
    <w:p w14:paraId="36A94954" w14:textId="77777777" w:rsidR="00A778DE" w:rsidRPr="00C07D82" w:rsidRDefault="00A778DE" w:rsidP="00A778DE">
      <w:pPr>
        <w:pStyle w:val="ListParagraph"/>
        <w:rPr>
          <w:snapToGrid w:val="0"/>
          <w:szCs w:val="22"/>
        </w:rPr>
      </w:pPr>
      <w:r w:rsidRPr="00C07D82">
        <w:rPr>
          <w:snapToGrid w:val="0"/>
          <w:szCs w:val="22"/>
        </w:rPr>
        <w:t>At this meeting the PCC will:</w:t>
      </w:r>
    </w:p>
    <w:p w14:paraId="36A94955" w14:textId="06B6CBF5" w:rsidR="00A778DE" w:rsidRPr="00C07D82" w:rsidRDefault="00A778DE" w:rsidP="00A778DE">
      <w:pPr>
        <w:pStyle w:val="ListParagraphindent"/>
        <w:rPr>
          <w:snapToGrid w:val="0"/>
        </w:rPr>
      </w:pPr>
      <w:r w:rsidRPr="00C07D82">
        <w:rPr>
          <w:snapToGrid w:val="0"/>
        </w:rPr>
        <w:t xml:space="preserve">Assess the performance of the </w:t>
      </w:r>
      <w:r w:rsidR="00B33CFA" w:rsidRPr="00C07D82">
        <w:rPr>
          <w:snapToGrid w:val="0"/>
        </w:rPr>
        <w:t>Project</w:t>
      </w:r>
      <w:r w:rsidRPr="00C07D82">
        <w:rPr>
          <w:snapToGrid w:val="0"/>
        </w:rPr>
        <w:t xml:space="preserve"> against the Performance Assessment Framework indicators based on the most recent available data and/or mo</w:t>
      </w:r>
      <w:r w:rsidR="00537755" w:rsidRPr="00C07D82">
        <w:rPr>
          <w:snapToGrid w:val="0"/>
        </w:rPr>
        <w:t>nitoring and evaluation reports;</w:t>
      </w:r>
    </w:p>
    <w:p w14:paraId="36A94956" w14:textId="4D44F221" w:rsidR="00A778DE" w:rsidRPr="00C07D82" w:rsidRDefault="00A778DE" w:rsidP="00A778DE">
      <w:pPr>
        <w:pStyle w:val="ListParagraphindent"/>
        <w:rPr>
          <w:snapToGrid w:val="0"/>
        </w:rPr>
      </w:pPr>
      <w:r w:rsidRPr="00C07D82">
        <w:rPr>
          <w:snapToGrid w:val="0"/>
        </w:rPr>
        <w:t xml:space="preserve">Identify issues and where possible causes of concern arising from the performance assessment and, where necessary, seek to identify measures to be implemented </w:t>
      </w:r>
      <w:r w:rsidR="00537755" w:rsidRPr="00C07D82">
        <w:rPr>
          <w:snapToGrid w:val="0"/>
        </w:rPr>
        <w:t>to address these;</w:t>
      </w:r>
    </w:p>
    <w:p w14:paraId="36A94957" w14:textId="32A1C89F" w:rsidR="00A778DE" w:rsidRPr="00C07D82" w:rsidRDefault="00A778DE" w:rsidP="00A778DE">
      <w:pPr>
        <w:pStyle w:val="ListParagraphindent"/>
        <w:rPr>
          <w:snapToGrid w:val="0"/>
        </w:rPr>
      </w:pPr>
      <w:r w:rsidRPr="00C07D82">
        <w:rPr>
          <w:snapToGrid w:val="0"/>
        </w:rPr>
        <w:t xml:space="preserve">Review the proposed Partner Government </w:t>
      </w:r>
      <w:r w:rsidR="00110754" w:rsidRPr="00C07D82">
        <w:rPr>
          <w:snapToGrid w:val="0"/>
        </w:rPr>
        <w:t>AWP</w:t>
      </w:r>
      <w:r w:rsidRPr="00C07D82">
        <w:rPr>
          <w:snapToGrid w:val="0"/>
        </w:rPr>
        <w:t xml:space="preserve"> for the following year in relation to </w:t>
      </w:r>
      <w:r w:rsidR="00B33CFA" w:rsidRPr="00C07D82">
        <w:rPr>
          <w:snapToGrid w:val="0"/>
        </w:rPr>
        <w:t>Project</w:t>
      </w:r>
      <w:r w:rsidRPr="00C07D82">
        <w:rPr>
          <w:snapToGrid w:val="0"/>
        </w:rPr>
        <w:t xml:space="preserve"> prio</w:t>
      </w:r>
      <w:r w:rsidR="00537755" w:rsidRPr="00C07D82">
        <w:rPr>
          <w:snapToGrid w:val="0"/>
        </w:rPr>
        <w:t>rities and funding availability; and</w:t>
      </w:r>
    </w:p>
    <w:p w14:paraId="36A94958" w14:textId="77777777" w:rsidR="00A778DE" w:rsidRPr="00C07D82" w:rsidRDefault="00A778DE" w:rsidP="00A778DE">
      <w:pPr>
        <w:pStyle w:val="ListParagraphindent"/>
        <w:rPr>
          <w:snapToGrid w:val="0"/>
        </w:rPr>
      </w:pPr>
      <w:r w:rsidRPr="00C07D82">
        <w:rPr>
          <w:snapToGrid w:val="0"/>
        </w:rPr>
        <w:t>Agree a final A</w:t>
      </w:r>
      <w:r w:rsidR="00110754" w:rsidRPr="00C07D82">
        <w:rPr>
          <w:snapToGrid w:val="0"/>
        </w:rPr>
        <w:t>WP</w:t>
      </w:r>
      <w:r w:rsidRPr="00C07D82">
        <w:rPr>
          <w:snapToGrid w:val="0"/>
        </w:rPr>
        <w:t xml:space="preserve"> for implementation.</w:t>
      </w:r>
    </w:p>
    <w:p w14:paraId="36A94959" w14:textId="77777777" w:rsidR="00A778DE" w:rsidRPr="00C07D82" w:rsidRDefault="00B33CFA" w:rsidP="00EF31A0">
      <w:pPr>
        <w:spacing w:before="480" w:after="120"/>
        <w:rPr>
          <w:rFonts w:cs="Arial"/>
          <w:b/>
          <w:snapToGrid w:val="0"/>
          <w:szCs w:val="22"/>
        </w:rPr>
      </w:pPr>
      <w:r w:rsidRPr="00C07D82">
        <w:rPr>
          <w:rFonts w:cs="Arial"/>
          <w:b/>
          <w:snapToGrid w:val="0"/>
          <w:szCs w:val="22"/>
        </w:rPr>
        <w:t>Project</w:t>
      </w:r>
      <w:r w:rsidR="00A778DE" w:rsidRPr="00C07D82">
        <w:rPr>
          <w:rFonts w:cs="Arial"/>
          <w:b/>
          <w:snapToGrid w:val="0"/>
          <w:szCs w:val="22"/>
        </w:rPr>
        <w:t xml:space="preserve"> Risk Management</w:t>
      </w:r>
    </w:p>
    <w:p w14:paraId="36A9495A" w14:textId="4A76D129" w:rsidR="00A778DE" w:rsidRPr="00C07D82" w:rsidRDefault="00A778DE" w:rsidP="00A778DE">
      <w:pPr>
        <w:pStyle w:val="ListParagraph"/>
        <w:rPr>
          <w:snapToGrid w:val="0"/>
          <w:szCs w:val="22"/>
        </w:rPr>
      </w:pPr>
      <w:r w:rsidRPr="00C07D82">
        <w:rPr>
          <w:snapToGrid w:val="0"/>
          <w:szCs w:val="22"/>
        </w:rPr>
        <w:t xml:space="preserve">Both Parties are jointly responsible for managing </w:t>
      </w:r>
      <w:r w:rsidR="00B33CFA" w:rsidRPr="00C07D82">
        <w:rPr>
          <w:snapToGrid w:val="0"/>
          <w:szCs w:val="22"/>
        </w:rPr>
        <w:t>Project</w:t>
      </w:r>
      <w:r w:rsidRPr="00C07D82">
        <w:rPr>
          <w:snapToGrid w:val="0"/>
          <w:szCs w:val="22"/>
        </w:rPr>
        <w:t xml:space="preserve"> risks in accordance with the </w:t>
      </w:r>
      <w:r w:rsidR="00B33CFA" w:rsidRPr="00C07D82">
        <w:rPr>
          <w:snapToGrid w:val="0"/>
          <w:szCs w:val="22"/>
        </w:rPr>
        <w:t>Project</w:t>
      </w:r>
      <w:r w:rsidRPr="00C07D82">
        <w:rPr>
          <w:snapToGrid w:val="0"/>
          <w:szCs w:val="22"/>
        </w:rPr>
        <w:t xml:space="preserve"> Risk Management Plan (RMP)</w:t>
      </w:r>
      <w:r w:rsidR="00110754" w:rsidRPr="00C07D82">
        <w:rPr>
          <w:snapToGrid w:val="0"/>
          <w:szCs w:val="22"/>
        </w:rPr>
        <w:t xml:space="preserve"> as detailed in </w:t>
      </w:r>
      <w:r w:rsidR="00AB0979" w:rsidRPr="00C07D82">
        <w:rPr>
          <w:b/>
          <w:i/>
          <w:u w:val="single"/>
        </w:rPr>
        <w:t>Annex 4- Project risk management plan</w:t>
      </w:r>
      <w:r w:rsidR="00697C7F" w:rsidRPr="00C07D82">
        <w:t>.</w:t>
      </w:r>
    </w:p>
    <w:p w14:paraId="36A9495B" w14:textId="77777777" w:rsidR="00A778DE" w:rsidRPr="00C07D82" w:rsidRDefault="00A778DE" w:rsidP="00A778DE">
      <w:pPr>
        <w:pStyle w:val="ListParagraph"/>
        <w:rPr>
          <w:snapToGrid w:val="0"/>
          <w:szCs w:val="22"/>
        </w:rPr>
      </w:pPr>
      <w:r w:rsidRPr="00C07D82">
        <w:rPr>
          <w:snapToGrid w:val="0"/>
          <w:szCs w:val="22"/>
        </w:rPr>
        <w:t xml:space="preserve">The RMP is to be reviewed </w:t>
      </w:r>
      <w:r w:rsidR="00467D7D" w:rsidRPr="00C07D82">
        <w:rPr>
          <w:snapToGrid w:val="0"/>
          <w:szCs w:val="22"/>
        </w:rPr>
        <w:t xml:space="preserve">quarterly and </w:t>
      </w:r>
      <w:r w:rsidRPr="00C07D82">
        <w:rPr>
          <w:snapToGrid w:val="0"/>
          <w:szCs w:val="22"/>
        </w:rPr>
        <w:t>annually by the P</w:t>
      </w:r>
      <w:r w:rsidR="00467D7D" w:rsidRPr="00C07D82">
        <w:rPr>
          <w:snapToGrid w:val="0"/>
          <w:szCs w:val="22"/>
        </w:rPr>
        <w:t>CC</w:t>
      </w:r>
      <w:r w:rsidRPr="00C07D82">
        <w:rPr>
          <w:snapToGrid w:val="0"/>
          <w:szCs w:val="22"/>
        </w:rPr>
        <w:t xml:space="preserve"> and updated as required. </w:t>
      </w:r>
    </w:p>
    <w:p w14:paraId="36A9495C" w14:textId="77777777" w:rsidR="00A778DE" w:rsidRPr="00C07D82" w:rsidRDefault="00A778DE" w:rsidP="00110754">
      <w:pPr>
        <w:spacing w:after="120"/>
        <w:rPr>
          <w:rFonts w:cs="Arial"/>
          <w:b/>
          <w:snapToGrid w:val="0"/>
          <w:szCs w:val="22"/>
        </w:rPr>
      </w:pPr>
      <w:r w:rsidRPr="00C07D82">
        <w:rPr>
          <w:rFonts w:cs="Arial"/>
          <w:b/>
          <w:snapToGrid w:val="0"/>
          <w:szCs w:val="22"/>
        </w:rPr>
        <w:t>Review and Evaluation</w:t>
      </w:r>
    </w:p>
    <w:p w14:paraId="36A9495D" w14:textId="54C0168A" w:rsidR="00A778DE" w:rsidRPr="00C07D82" w:rsidRDefault="00A778DE" w:rsidP="00A778DE">
      <w:pPr>
        <w:pStyle w:val="ListParagraph"/>
        <w:rPr>
          <w:snapToGrid w:val="0"/>
          <w:szCs w:val="22"/>
        </w:rPr>
      </w:pPr>
      <w:r w:rsidRPr="00C07D82">
        <w:rPr>
          <w:snapToGrid w:val="0"/>
          <w:szCs w:val="22"/>
        </w:rPr>
        <w:t xml:space="preserve">The </w:t>
      </w:r>
      <w:r w:rsidR="00B33CFA" w:rsidRPr="00C07D82">
        <w:rPr>
          <w:snapToGrid w:val="0"/>
          <w:szCs w:val="22"/>
        </w:rPr>
        <w:t>Project</w:t>
      </w:r>
      <w:r w:rsidRPr="00C07D82">
        <w:rPr>
          <w:snapToGrid w:val="0"/>
          <w:szCs w:val="22"/>
        </w:rPr>
        <w:t xml:space="preserve"> will be reviewed </w:t>
      </w:r>
      <w:r w:rsidR="00296EDA" w:rsidRPr="00C07D82">
        <w:rPr>
          <w:snapToGrid w:val="0"/>
          <w:szCs w:val="22"/>
        </w:rPr>
        <w:t xml:space="preserve">in the first half of 2016 </w:t>
      </w:r>
      <w:r w:rsidRPr="00C07D82">
        <w:rPr>
          <w:snapToGrid w:val="0"/>
          <w:szCs w:val="22"/>
        </w:rPr>
        <w:t xml:space="preserve">to assess its effectiveness and inform </w:t>
      </w:r>
      <w:r w:rsidR="00027808" w:rsidRPr="00C07D82">
        <w:rPr>
          <w:snapToGrid w:val="0"/>
          <w:szCs w:val="22"/>
        </w:rPr>
        <w:t>the design in</w:t>
      </w:r>
      <w:r w:rsidR="00296EDA" w:rsidRPr="00C07D82">
        <w:rPr>
          <w:snapToGrid w:val="0"/>
          <w:szCs w:val="22"/>
        </w:rPr>
        <w:t xml:space="preserve"> the second half of </w:t>
      </w:r>
      <w:r w:rsidR="00027808" w:rsidRPr="00C07D82">
        <w:rPr>
          <w:snapToGrid w:val="0"/>
          <w:szCs w:val="22"/>
        </w:rPr>
        <w:t xml:space="preserve">2016 of the next phase of the Project </w:t>
      </w:r>
      <w:r w:rsidRPr="00C07D82">
        <w:rPr>
          <w:snapToGrid w:val="0"/>
          <w:szCs w:val="22"/>
        </w:rPr>
        <w:t>to 2020.</w:t>
      </w:r>
      <w:r w:rsidR="00027808" w:rsidRPr="00C07D82">
        <w:rPr>
          <w:snapToGrid w:val="0"/>
          <w:szCs w:val="22"/>
        </w:rPr>
        <w:t xml:space="preserve"> These timelines will work well with GOA decision-making process and budget cycle.</w:t>
      </w:r>
      <w:r w:rsidRPr="00C07D82">
        <w:rPr>
          <w:snapToGrid w:val="0"/>
          <w:szCs w:val="22"/>
        </w:rPr>
        <w:t xml:space="preserve"> </w:t>
      </w:r>
    </w:p>
    <w:p w14:paraId="36A9495E" w14:textId="77777777" w:rsidR="00A778DE" w:rsidRPr="00C07D82" w:rsidRDefault="00A778DE" w:rsidP="00110754">
      <w:pPr>
        <w:spacing w:after="120"/>
        <w:rPr>
          <w:rFonts w:cs="Arial"/>
          <w:b/>
          <w:snapToGrid w:val="0"/>
          <w:szCs w:val="22"/>
        </w:rPr>
      </w:pPr>
      <w:r w:rsidRPr="00C07D82">
        <w:rPr>
          <w:rFonts w:cs="Arial"/>
          <w:b/>
          <w:snapToGrid w:val="0"/>
          <w:szCs w:val="22"/>
        </w:rPr>
        <w:t>Procurement</w:t>
      </w:r>
    </w:p>
    <w:p w14:paraId="36A9495F" w14:textId="77777777" w:rsidR="00A778DE" w:rsidRPr="00C07D82" w:rsidRDefault="00A778DE" w:rsidP="00A778DE">
      <w:pPr>
        <w:pStyle w:val="ListParagraph"/>
        <w:rPr>
          <w:snapToGrid w:val="0"/>
          <w:szCs w:val="22"/>
        </w:rPr>
      </w:pPr>
      <w:r w:rsidRPr="00C07D82">
        <w:rPr>
          <w:snapToGrid w:val="0"/>
          <w:szCs w:val="22"/>
        </w:rPr>
        <w:t>The Partner Government will be responsible for all procurement in accordance with its established rules, procedures and legislation as may be amended by the Partner Government from time to time.</w:t>
      </w:r>
    </w:p>
    <w:p w14:paraId="36A94960" w14:textId="77777777" w:rsidR="00A778DE" w:rsidRPr="00C07D82" w:rsidRDefault="00A778DE" w:rsidP="00A778DE">
      <w:pPr>
        <w:pStyle w:val="ListParagraph"/>
        <w:rPr>
          <w:snapToGrid w:val="0"/>
          <w:szCs w:val="22"/>
        </w:rPr>
      </w:pPr>
      <w:r w:rsidRPr="00C07D82">
        <w:rPr>
          <w:snapToGrid w:val="0"/>
          <w:szCs w:val="22"/>
        </w:rPr>
        <w:t>Both parties agree that a sample of major procurements may be audited periodically either independently or by the Partner Government State Audit.</w:t>
      </w:r>
    </w:p>
    <w:p w14:paraId="36A94961" w14:textId="77777777" w:rsidR="00110754" w:rsidRPr="00C07D82" w:rsidRDefault="00110754" w:rsidP="00110754">
      <w:pPr>
        <w:spacing w:after="120"/>
        <w:rPr>
          <w:rFonts w:cs="Arial"/>
          <w:b/>
          <w:snapToGrid w:val="0"/>
          <w:szCs w:val="22"/>
        </w:rPr>
      </w:pPr>
      <w:bookmarkStart w:id="2" w:name="OLE_LINK2"/>
      <w:bookmarkStart w:id="3" w:name="OLE_LINK3"/>
      <w:r w:rsidRPr="00C07D82">
        <w:rPr>
          <w:rFonts w:cs="Arial"/>
          <w:b/>
          <w:snapToGrid w:val="0"/>
          <w:szCs w:val="22"/>
        </w:rPr>
        <w:t>Environment Protection</w:t>
      </w:r>
    </w:p>
    <w:p w14:paraId="36A94962" w14:textId="77777777" w:rsidR="00110754" w:rsidRPr="00C07D82" w:rsidRDefault="00110754" w:rsidP="00247AF3">
      <w:pPr>
        <w:pStyle w:val="ListParagraph"/>
        <w:rPr>
          <w:snapToGrid w:val="0"/>
        </w:rPr>
      </w:pPr>
      <w:r w:rsidRPr="00C07D82">
        <w:rPr>
          <w:snapToGrid w:val="0"/>
        </w:rPr>
        <w:t xml:space="preserve">The Partner Government is responsible for ensuring the protection of the environment in accordance with their national/local laws, rules, regulations and standards and in accordance with their obligations at international law including under international Treaties signed or ratified by them relating to the environment. </w:t>
      </w:r>
    </w:p>
    <w:p w14:paraId="36A94963" w14:textId="77777777" w:rsidR="00A778DE" w:rsidRPr="00C07D82" w:rsidRDefault="00B33CFA" w:rsidP="00247AF3">
      <w:pPr>
        <w:spacing w:after="120"/>
        <w:rPr>
          <w:rFonts w:cs="Arial"/>
          <w:b/>
          <w:snapToGrid w:val="0"/>
          <w:szCs w:val="22"/>
          <w:lang w:eastAsia="en-AU"/>
        </w:rPr>
      </w:pPr>
      <w:r w:rsidRPr="00C07D82">
        <w:rPr>
          <w:rFonts w:cs="Arial"/>
          <w:b/>
          <w:szCs w:val="22"/>
          <w:lang w:eastAsia="en-AU"/>
        </w:rPr>
        <w:t>Project</w:t>
      </w:r>
      <w:r w:rsidR="00A778DE" w:rsidRPr="00C07D82">
        <w:rPr>
          <w:rFonts w:cs="Arial"/>
          <w:b/>
          <w:szCs w:val="22"/>
          <w:lang w:eastAsia="en-AU"/>
        </w:rPr>
        <w:t xml:space="preserve"> Accounts and Records</w:t>
      </w:r>
    </w:p>
    <w:p w14:paraId="36A94964" w14:textId="77777777" w:rsidR="00A778DE" w:rsidRPr="00C07D82" w:rsidRDefault="00A778DE" w:rsidP="00A778DE">
      <w:pPr>
        <w:pStyle w:val="ListParagraph"/>
        <w:rPr>
          <w:snapToGrid w:val="0"/>
          <w:szCs w:val="22"/>
        </w:rPr>
      </w:pPr>
      <w:r w:rsidRPr="00C07D82">
        <w:rPr>
          <w:szCs w:val="22"/>
        </w:rPr>
        <w:t>The Partner Government agrees that it</w:t>
      </w:r>
      <w:r w:rsidR="001E4BB9" w:rsidRPr="00C07D82">
        <w:rPr>
          <w:szCs w:val="22"/>
        </w:rPr>
        <w:t xml:space="preserve"> will</w:t>
      </w:r>
      <w:r w:rsidRPr="00C07D82">
        <w:rPr>
          <w:szCs w:val="22"/>
        </w:rPr>
        <w:t>:</w:t>
      </w:r>
    </w:p>
    <w:p w14:paraId="36A94965" w14:textId="77777777" w:rsidR="00A778DE" w:rsidRPr="00C07D82" w:rsidRDefault="001E4BB9" w:rsidP="00A778DE">
      <w:pPr>
        <w:pStyle w:val="ListParagraphindent"/>
      </w:pPr>
      <w:r w:rsidRPr="00C07D82">
        <w:t>M</w:t>
      </w:r>
      <w:r w:rsidR="00A778DE" w:rsidRPr="00C07D82">
        <w:t xml:space="preserve">aintain a sound administrative and financial system capable of verifying all Acquittal Statements; </w:t>
      </w:r>
    </w:p>
    <w:p w14:paraId="36A94966" w14:textId="77777777" w:rsidR="00A778DE" w:rsidRPr="00C07D82" w:rsidRDefault="00A778DE" w:rsidP="00A778DE">
      <w:pPr>
        <w:pStyle w:val="ListParagraphindent"/>
      </w:pPr>
      <w:r w:rsidRPr="00C07D82">
        <w:t xml:space="preserve">Keep proper and detailed accounts, records and assets registers along with adequate </w:t>
      </w:r>
      <w:r w:rsidR="00B33CFA" w:rsidRPr="00C07D82">
        <w:t>Project</w:t>
      </w:r>
      <w:r w:rsidRPr="00C07D82">
        <w:t xml:space="preserve"> management records providing clear audit trails in relation to expenditure under this Agreement;</w:t>
      </w:r>
    </w:p>
    <w:p w14:paraId="36A94967" w14:textId="77777777" w:rsidR="00A778DE" w:rsidRPr="00C07D82" w:rsidRDefault="00A778DE" w:rsidP="00A778DE">
      <w:pPr>
        <w:pStyle w:val="ListParagraphindent"/>
      </w:pPr>
      <w:r w:rsidRPr="00C07D82">
        <w:t xml:space="preserve">Afford adequate facilities for audit and inspection of the financial records referred to in this Agreement by </w:t>
      </w:r>
      <w:r w:rsidR="008D3D01" w:rsidRPr="00C07D82">
        <w:t>GOA</w:t>
      </w:r>
      <w:r w:rsidRPr="00C07D82">
        <w:t xml:space="preserve"> and its authorised representatives at all reasonable times and allow copies and extracts to be taken; and</w:t>
      </w:r>
    </w:p>
    <w:p w14:paraId="36A94968" w14:textId="77777777" w:rsidR="00A778DE" w:rsidRPr="00C07D82" w:rsidRDefault="00A778DE" w:rsidP="00A778DE">
      <w:pPr>
        <w:pStyle w:val="ListParagraphindent"/>
      </w:pPr>
      <w:r w:rsidRPr="00C07D82">
        <w:t>Ensure that its accounts and records are held for the term of this Agreement and for a period of three (3) years from the date of expiry or termination of this Agreement</w:t>
      </w:r>
      <w:bookmarkEnd w:id="2"/>
      <w:bookmarkEnd w:id="3"/>
      <w:r w:rsidRPr="00C07D82">
        <w:t>.</w:t>
      </w:r>
    </w:p>
    <w:p w14:paraId="36A94969" w14:textId="77777777" w:rsidR="00A778DE" w:rsidRPr="00C07D82" w:rsidRDefault="00A778DE" w:rsidP="00A778DE">
      <w:pPr>
        <w:spacing w:after="120"/>
        <w:rPr>
          <w:rFonts w:cs="Arial"/>
          <w:b/>
          <w:szCs w:val="22"/>
          <w:lang w:eastAsia="ja-JP"/>
        </w:rPr>
      </w:pPr>
      <w:r w:rsidRPr="00C07D82">
        <w:rPr>
          <w:rFonts w:cs="Arial"/>
          <w:b/>
          <w:szCs w:val="22"/>
          <w:lang w:eastAsia="ja-JP"/>
        </w:rPr>
        <w:t>Audit</w:t>
      </w:r>
    </w:p>
    <w:p w14:paraId="36A9496A" w14:textId="77777777" w:rsidR="00A778DE" w:rsidRPr="00C07D82" w:rsidRDefault="00A778DE" w:rsidP="00A778DE">
      <w:pPr>
        <w:pStyle w:val="ListParagraph"/>
        <w:rPr>
          <w:snapToGrid w:val="0"/>
          <w:szCs w:val="22"/>
        </w:rPr>
      </w:pPr>
      <w:r w:rsidRPr="00C07D82">
        <w:rPr>
          <w:snapToGrid w:val="0"/>
          <w:szCs w:val="22"/>
        </w:rPr>
        <w:t xml:space="preserve">The Partner Government is responsible for ensuring that the </w:t>
      </w:r>
      <w:r w:rsidR="00B33CFA" w:rsidRPr="00C07D82">
        <w:rPr>
          <w:snapToGrid w:val="0"/>
          <w:szCs w:val="22"/>
        </w:rPr>
        <w:t>Project</w:t>
      </w:r>
      <w:r w:rsidRPr="00C07D82">
        <w:rPr>
          <w:snapToGrid w:val="0"/>
          <w:szCs w:val="22"/>
        </w:rPr>
        <w:t xml:space="preserve"> and its associated funding are audited on an annual basis. </w:t>
      </w:r>
    </w:p>
    <w:p w14:paraId="36A9496B" w14:textId="77777777" w:rsidR="00A778DE" w:rsidRPr="00C07D82" w:rsidRDefault="00A778DE" w:rsidP="00A778DE">
      <w:pPr>
        <w:pStyle w:val="ListParagraph"/>
        <w:rPr>
          <w:snapToGrid w:val="0"/>
          <w:szCs w:val="22"/>
        </w:rPr>
      </w:pPr>
      <w:r w:rsidRPr="00C07D82">
        <w:rPr>
          <w:snapToGrid w:val="0"/>
          <w:szCs w:val="22"/>
        </w:rPr>
        <w:t>The annual audit wil</w:t>
      </w:r>
      <w:r w:rsidR="00467D7D" w:rsidRPr="00C07D82">
        <w:rPr>
          <w:snapToGrid w:val="0"/>
          <w:szCs w:val="22"/>
        </w:rPr>
        <w:t>l</w:t>
      </w:r>
      <w:r w:rsidRPr="00C07D82">
        <w:rPr>
          <w:snapToGrid w:val="0"/>
          <w:szCs w:val="22"/>
        </w:rPr>
        <w:t xml:space="preserve"> also examine (i) procurement decisions and /or related contracts; and/or (ii) compliance with partner government procedures and regulations where GOA funds are utilised by the Partner Government for the procurement of goods and/or services.</w:t>
      </w:r>
    </w:p>
    <w:p w14:paraId="36A9496C" w14:textId="77777777" w:rsidR="00A778DE" w:rsidRPr="00C07D82" w:rsidRDefault="00A778DE" w:rsidP="00A778DE">
      <w:pPr>
        <w:pStyle w:val="ListParagraph"/>
        <w:rPr>
          <w:snapToGrid w:val="0"/>
          <w:szCs w:val="22"/>
        </w:rPr>
      </w:pPr>
      <w:r w:rsidRPr="00C07D82">
        <w:rPr>
          <w:snapToGrid w:val="0"/>
          <w:szCs w:val="22"/>
        </w:rPr>
        <w:t xml:space="preserve">The Annual audit of the </w:t>
      </w:r>
      <w:r w:rsidR="00B33CFA" w:rsidRPr="00C07D82">
        <w:rPr>
          <w:snapToGrid w:val="0"/>
          <w:szCs w:val="22"/>
        </w:rPr>
        <w:t>Project</w:t>
      </w:r>
      <w:r w:rsidRPr="00C07D82">
        <w:rPr>
          <w:snapToGrid w:val="0"/>
          <w:szCs w:val="22"/>
        </w:rPr>
        <w:t xml:space="preserve"> will</w:t>
      </w:r>
      <w:r w:rsidR="00467D7D" w:rsidRPr="00C07D82">
        <w:rPr>
          <w:snapToGrid w:val="0"/>
          <w:szCs w:val="22"/>
        </w:rPr>
        <w:t xml:space="preserve"> be undertaken by independent auditors and</w:t>
      </w:r>
      <w:r w:rsidRPr="00C07D82">
        <w:rPr>
          <w:snapToGrid w:val="0"/>
          <w:szCs w:val="22"/>
        </w:rPr>
        <w:t>, wherever possible, the Partner Government’s State Audit</w:t>
      </w:r>
      <w:r w:rsidR="00467D7D" w:rsidRPr="00C07D82">
        <w:rPr>
          <w:snapToGrid w:val="0"/>
          <w:szCs w:val="22"/>
        </w:rPr>
        <w:t>.</w:t>
      </w:r>
    </w:p>
    <w:p w14:paraId="36A9496D" w14:textId="77777777" w:rsidR="00A778DE" w:rsidRPr="00C07D82" w:rsidRDefault="00A778DE" w:rsidP="00A778DE">
      <w:pPr>
        <w:pStyle w:val="ListParagraph"/>
        <w:rPr>
          <w:snapToGrid w:val="0"/>
          <w:szCs w:val="22"/>
        </w:rPr>
      </w:pPr>
      <w:r w:rsidRPr="00C07D82">
        <w:rPr>
          <w:snapToGrid w:val="0"/>
          <w:szCs w:val="22"/>
        </w:rPr>
        <w:t xml:space="preserve">The arrangements, including the terms of reference, selection method and costs, for the engagement of an independent auditor will be agreed by </w:t>
      </w:r>
      <w:r w:rsidR="00467D7D" w:rsidRPr="00C07D82">
        <w:rPr>
          <w:snapToGrid w:val="0"/>
          <w:szCs w:val="22"/>
        </w:rPr>
        <w:t xml:space="preserve">the </w:t>
      </w:r>
      <w:r w:rsidR="00247AF3" w:rsidRPr="00C07D82">
        <w:rPr>
          <w:snapToGrid w:val="0"/>
          <w:szCs w:val="22"/>
        </w:rPr>
        <w:t xml:space="preserve">PD and </w:t>
      </w:r>
      <w:r w:rsidR="008D3D01" w:rsidRPr="00C07D82">
        <w:rPr>
          <w:snapToGrid w:val="0"/>
          <w:szCs w:val="22"/>
        </w:rPr>
        <w:t>GOA</w:t>
      </w:r>
      <w:r w:rsidRPr="00C07D82">
        <w:rPr>
          <w:snapToGrid w:val="0"/>
          <w:szCs w:val="22"/>
        </w:rPr>
        <w:t>.</w:t>
      </w:r>
    </w:p>
    <w:p w14:paraId="36A9496E" w14:textId="77777777" w:rsidR="00A778DE" w:rsidRPr="00C07D82" w:rsidRDefault="00A778DE" w:rsidP="00A778DE">
      <w:pPr>
        <w:pStyle w:val="ListParagraph"/>
        <w:rPr>
          <w:snapToGrid w:val="0"/>
          <w:szCs w:val="22"/>
        </w:rPr>
      </w:pPr>
      <w:r w:rsidRPr="00C07D82">
        <w:rPr>
          <w:snapToGrid w:val="0"/>
          <w:szCs w:val="22"/>
        </w:rPr>
        <w:t xml:space="preserve">The annual audit report will include formal advice detailing any weaknesses in the </w:t>
      </w:r>
      <w:r w:rsidR="00B33CFA" w:rsidRPr="00C07D82">
        <w:rPr>
          <w:snapToGrid w:val="0"/>
          <w:szCs w:val="22"/>
        </w:rPr>
        <w:t>Project</w:t>
      </w:r>
      <w:r w:rsidRPr="00C07D82">
        <w:rPr>
          <w:snapToGrid w:val="0"/>
          <w:szCs w:val="22"/>
        </w:rPr>
        <w:t>’s internal controls and recommendations for strengthening identified weaknesses.</w:t>
      </w:r>
    </w:p>
    <w:p w14:paraId="36A9496F" w14:textId="77777777" w:rsidR="00A778DE" w:rsidRPr="00C07D82" w:rsidRDefault="00A778DE" w:rsidP="00A778DE">
      <w:pPr>
        <w:pStyle w:val="ListParagraph"/>
        <w:rPr>
          <w:snapToGrid w:val="0"/>
          <w:szCs w:val="22"/>
        </w:rPr>
      </w:pPr>
      <w:r w:rsidRPr="00C07D82">
        <w:rPr>
          <w:snapToGrid w:val="0"/>
          <w:szCs w:val="22"/>
        </w:rPr>
        <w:t xml:space="preserve">The annual audit report will be provided to all representatives of the </w:t>
      </w:r>
      <w:r w:rsidR="00467D7D" w:rsidRPr="00C07D82">
        <w:rPr>
          <w:snapToGrid w:val="0"/>
          <w:szCs w:val="22"/>
        </w:rPr>
        <w:t>PCC</w:t>
      </w:r>
      <w:r w:rsidRPr="00C07D82">
        <w:rPr>
          <w:snapToGrid w:val="0"/>
          <w:szCs w:val="22"/>
        </w:rPr>
        <w:t xml:space="preserve"> and be included as an agenda item for the </w:t>
      </w:r>
      <w:r w:rsidR="00467D7D" w:rsidRPr="00C07D82">
        <w:rPr>
          <w:snapToGrid w:val="0"/>
          <w:szCs w:val="22"/>
        </w:rPr>
        <w:t xml:space="preserve">PCC </w:t>
      </w:r>
      <w:r w:rsidRPr="00C07D82">
        <w:rPr>
          <w:snapToGrid w:val="0"/>
          <w:szCs w:val="22"/>
        </w:rPr>
        <w:t>meeting at the earliest opportunity.</w:t>
      </w:r>
    </w:p>
    <w:p w14:paraId="36A94970" w14:textId="77777777" w:rsidR="00A778DE" w:rsidRPr="00C07D82" w:rsidRDefault="00A778DE" w:rsidP="00A778DE">
      <w:pPr>
        <w:pStyle w:val="ListParagraph"/>
        <w:rPr>
          <w:snapToGrid w:val="0"/>
          <w:szCs w:val="22"/>
        </w:rPr>
      </w:pPr>
      <w:r w:rsidRPr="00C07D82">
        <w:rPr>
          <w:snapToGrid w:val="0"/>
          <w:szCs w:val="22"/>
        </w:rPr>
        <w:t xml:space="preserve">The Partner Government agrees that </w:t>
      </w:r>
      <w:r w:rsidR="008D3D01" w:rsidRPr="00C07D82">
        <w:rPr>
          <w:snapToGrid w:val="0"/>
          <w:szCs w:val="22"/>
        </w:rPr>
        <w:t>GOA</w:t>
      </w:r>
      <w:r w:rsidRPr="00C07D82">
        <w:rPr>
          <w:snapToGrid w:val="0"/>
          <w:szCs w:val="22"/>
        </w:rPr>
        <w:t xml:space="preserve"> may commission independent audits, including financial, compliance and/or performance audits, of the </w:t>
      </w:r>
      <w:r w:rsidR="00B33CFA" w:rsidRPr="00C07D82">
        <w:rPr>
          <w:snapToGrid w:val="0"/>
          <w:szCs w:val="22"/>
        </w:rPr>
        <w:t>Project</w:t>
      </w:r>
      <w:r w:rsidRPr="00C07D82">
        <w:rPr>
          <w:snapToGrid w:val="0"/>
          <w:szCs w:val="22"/>
        </w:rPr>
        <w:t xml:space="preserve"> and acknowledges that it will cooperate fully with any such audits.</w:t>
      </w:r>
    </w:p>
    <w:p w14:paraId="36A94971" w14:textId="77777777" w:rsidR="00A778DE" w:rsidRPr="00C07D82" w:rsidRDefault="008D3D01" w:rsidP="00A778DE">
      <w:pPr>
        <w:pStyle w:val="ListParagraph"/>
        <w:rPr>
          <w:snapToGrid w:val="0"/>
          <w:szCs w:val="22"/>
        </w:rPr>
      </w:pPr>
      <w:r w:rsidRPr="00C07D82">
        <w:rPr>
          <w:snapToGrid w:val="0"/>
          <w:szCs w:val="22"/>
        </w:rPr>
        <w:t>GOA</w:t>
      </w:r>
      <w:r w:rsidR="00A778DE" w:rsidRPr="00C07D82">
        <w:rPr>
          <w:snapToGrid w:val="0"/>
          <w:szCs w:val="22"/>
        </w:rPr>
        <w:t xml:space="preserve"> agrees to provide the Partner Government with copies of any independent audit reports.</w:t>
      </w:r>
    </w:p>
    <w:p w14:paraId="36A94972" w14:textId="77777777" w:rsidR="00A778DE" w:rsidRPr="00C07D82" w:rsidRDefault="00A778DE" w:rsidP="00247AF3">
      <w:pPr>
        <w:spacing w:after="120"/>
        <w:rPr>
          <w:rFonts w:cs="Arial"/>
          <w:b/>
          <w:szCs w:val="22"/>
          <w:lang w:eastAsia="ja-JP"/>
        </w:rPr>
      </w:pPr>
      <w:r w:rsidRPr="00C07D82">
        <w:rPr>
          <w:rFonts w:cs="Arial"/>
          <w:b/>
          <w:szCs w:val="22"/>
          <w:lang w:eastAsia="ja-JP"/>
        </w:rPr>
        <w:t>Fraud</w:t>
      </w:r>
    </w:p>
    <w:p w14:paraId="36A94973" w14:textId="77777777" w:rsidR="00A778DE" w:rsidRPr="00C07D82" w:rsidRDefault="00A778DE" w:rsidP="00A778DE">
      <w:pPr>
        <w:pStyle w:val="ListParagraph"/>
        <w:rPr>
          <w:snapToGrid w:val="0"/>
          <w:szCs w:val="22"/>
        </w:rPr>
      </w:pPr>
      <w:r w:rsidRPr="00C07D82">
        <w:rPr>
          <w:szCs w:val="22"/>
        </w:rPr>
        <w:t>Fraudulent activity’ or ‘fraud’ means: Dishonestly obtaining a</w:t>
      </w:r>
      <w:r w:rsidRPr="00C07D82">
        <w:rPr>
          <w:snapToGrid w:val="0"/>
          <w:szCs w:val="22"/>
        </w:rPr>
        <w:t xml:space="preserve"> </w:t>
      </w:r>
      <w:r w:rsidRPr="00C07D82">
        <w:rPr>
          <w:szCs w:val="22"/>
        </w:rPr>
        <w:t>benefit by deception or other means.</w:t>
      </w:r>
    </w:p>
    <w:p w14:paraId="36A94974" w14:textId="77777777" w:rsidR="00A778DE" w:rsidRPr="00C07D82" w:rsidRDefault="00A778DE" w:rsidP="00A778DE">
      <w:pPr>
        <w:pStyle w:val="ListParagraph"/>
        <w:rPr>
          <w:snapToGrid w:val="0"/>
          <w:szCs w:val="22"/>
        </w:rPr>
      </w:pPr>
      <w:r w:rsidRPr="00C07D82">
        <w:rPr>
          <w:szCs w:val="22"/>
        </w:rPr>
        <w:t>The Parties are committed to preventing and detecting fraud.</w:t>
      </w:r>
    </w:p>
    <w:p w14:paraId="36A94975" w14:textId="77777777" w:rsidR="00A778DE" w:rsidRPr="00C07D82" w:rsidRDefault="00A778DE" w:rsidP="00A778DE">
      <w:pPr>
        <w:pStyle w:val="ListParagraph"/>
        <w:rPr>
          <w:snapToGrid w:val="0"/>
          <w:szCs w:val="22"/>
        </w:rPr>
      </w:pPr>
      <w:r w:rsidRPr="00C07D82">
        <w:rPr>
          <w:snapToGrid w:val="0"/>
          <w:szCs w:val="22"/>
        </w:rPr>
        <w:t xml:space="preserve">The Partner Government </w:t>
      </w:r>
      <w:r w:rsidRPr="00C07D82">
        <w:t xml:space="preserve">is responsible for preventing and detecting fraud involving or relating to the </w:t>
      </w:r>
      <w:r w:rsidR="00B33CFA" w:rsidRPr="00C07D82">
        <w:t>Project</w:t>
      </w:r>
      <w:r w:rsidRPr="00C07D82">
        <w:t xml:space="preserve">. </w:t>
      </w:r>
    </w:p>
    <w:p w14:paraId="36A94976" w14:textId="77777777" w:rsidR="00A778DE" w:rsidRPr="00C07D82" w:rsidRDefault="00A778DE" w:rsidP="00A778DE">
      <w:pPr>
        <w:pStyle w:val="ListParagraph"/>
        <w:rPr>
          <w:snapToGrid w:val="0"/>
          <w:szCs w:val="22"/>
        </w:rPr>
      </w:pPr>
      <w:r w:rsidRPr="00C07D82">
        <w:rPr>
          <w:szCs w:val="22"/>
        </w:rPr>
        <w:t xml:space="preserve">The Partner Government must report in writing to </w:t>
      </w:r>
      <w:r w:rsidR="008D3D01" w:rsidRPr="00C07D82">
        <w:rPr>
          <w:szCs w:val="22"/>
        </w:rPr>
        <w:t>GOA</w:t>
      </w:r>
      <w:r w:rsidR="001E4BB9" w:rsidRPr="00C07D82">
        <w:rPr>
          <w:szCs w:val="22"/>
        </w:rPr>
        <w:t>, within five (5) Business Days,</w:t>
      </w:r>
      <w:r w:rsidRPr="00C07D82">
        <w:rPr>
          <w:szCs w:val="22"/>
        </w:rPr>
        <w:t xml:space="preserve"> any detected,</w:t>
      </w:r>
      <w:r w:rsidRPr="00C07D82">
        <w:rPr>
          <w:snapToGrid w:val="0"/>
          <w:szCs w:val="22"/>
        </w:rPr>
        <w:t xml:space="preserve"> </w:t>
      </w:r>
      <w:r w:rsidRPr="00C07D82">
        <w:rPr>
          <w:szCs w:val="22"/>
        </w:rPr>
        <w:t xml:space="preserve">suspected, or attempted fraudulent activity </w:t>
      </w:r>
      <w:r w:rsidRPr="00C07D82">
        <w:t xml:space="preserve">involving or relating to the </w:t>
      </w:r>
      <w:r w:rsidR="00B33CFA" w:rsidRPr="00C07D82">
        <w:t>Project</w:t>
      </w:r>
      <w:r w:rsidRPr="00C07D82">
        <w:rPr>
          <w:szCs w:val="22"/>
        </w:rPr>
        <w:t>.</w:t>
      </w:r>
    </w:p>
    <w:p w14:paraId="36A94977" w14:textId="77777777" w:rsidR="00A778DE" w:rsidRPr="00C07D82" w:rsidRDefault="00A778DE" w:rsidP="00A778DE">
      <w:pPr>
        <w:pStyle w:val="ListParagraph"/>
        <w:rPr>
          <w:snapToGrid w:val="0"/>
          <w:szCs w:val="22"/>
        </w:rPr>
      </w:pPr>
      <w:r w:rsidRPr="00C07D82">
        <w:rPr>
          <w:szCs w:val="22"/>
        </w:rPr>
        <w:t xml:space="preserve">The Partner Government is required to investigate any alleged fraud and must undertake an investigation in accordance with its own procedures and standards. </w:t>
      </w:r>
    </w:p>
    <w:p w14:paraId="36A94978" w14:textId="77777777" w:rsidR="00A778DE" w:rsidRPr="00C07D82" w:rsidRDefault="00A778DE" w:rsidP="00A778DE">
      <w:pPr>
        <w:pStyle w:val="ListParagraph"/>
        <w:rPr>
          <w:snapToGrid w:val="0"/>
          <w:szCs w:val="22"/>
        </w:rPr>
      </w:pPr>
      <w:r w:rsidRPr="00C07D82">
        <w:rPr>
          <w:szCs w:val="22"/>
        </w:rPr>
        <w:t xml:space="preserve">Following the conclusion of an investigation, where the investigation finds </w:t>
      </w:r>
      <w:r w:rsidR="001E4BB9" w:rsidRPr="00C07D82">
        <w:rPr>
          <w:szCs w:val="22"/>
        </w:rPr>
        <w:t xml:space="preserve">or </w:t>
      </w:r>
      <w:r w:rsidRPr="00C07D82">
        <w:rPr>
          <w:szCs w:val="22"/>
        </w:rPr>
        <w:t xml:space="preserve">identifies acts of a fraudulent nature Partner Government will: </w:t>
      </w:r>
    </w:p>
    <w:p w14:paraId="36A94979" w14:textId="77777777" w:rsidR="00A778DE" w:rsidRPr="00C07D82" w:rsidRDefault="00A778DE" w:rsidP="00A778DE">
      <w:pPr>
        <w:pStyle w:val="ListParagraphindent"/>
        <w:rPr>
          <w:snapToGrid w:val="0"/>
        </w:rPr>
      </w:pPr>
      <w:r w:rsidRPr="00C07D82">
        <w:rPr>
          <w:lang w:val="en-US"/>
        </w:rPr>
        <w:t>initiate recovery action in accordance with recovery procedures, including if appropriate civil</w:t>
      </w:r>
      <w:r w:rsidRPr="00C07D82">
        <w:rPr>
          <w:snapToGrid w:val="0"/>
        </w:rPr>
        <w:t xml:space="preserve"> </w:t>
      </w:r>
      <w:r w:rsidRPr="00C07D82">
        <w:rPr>
          <w:lang w:val="en-US"/>
        </w:rPr>
        <w:t>litigation, available in the Partner Country; and</w:t>
      </w:r>
    </w:p>
    <w:p w14:paraId="36A9497A" w14:textId="77777777" w:rsidR="00A778DE" w:rsidRPr="00C07D82" w:rsidRDefault="00A778DE" w:rsidP="00A778DE">
      <w:pPr>
        <w:pStyle w:val="ListParagraphindent"/>
        <w:rPr>
          <w:snapToGrid w:val="0"/>
        </w:rPr>
      </w:pPr>
      <w:r w:rsidRPr="00C07D82">
        <w:rPr>
          <w:lang w:val="en-US"/>
        </w:rPr>
        <w:t>referring the matter to the relevant Partner Country police or other authorities responsible for prosecution of fraudulent activity; or</w:t>
      </w:r>
    </w:p>
    <w:p w14:paraId="36A9497B" w14:textId="77777777" w:rsidR="00A778DE" w:rsidRPr="00C07D82" w:rsidRDefault="00A778DE" w:rsidP="00A778DE">
      <w:pPr>
        <w:pStyle w:val="ListParagraphindent"/>
        <w:rPr>
          <w:lang w:val="en-US"/>
        </w:rPr>
      </w:pPr>
      <w:r w:rsidRPr="00C07D82">
        <w:rPr>
          <w:lang w:val="en-US"/>
        </w:rPr>
        <w:t>where a Partner Government employee is involved in fraudulent activity, take the relevant disciplinary procedures in accordance with relevant Code of Conduct or similar Partner Government provisions where these exist.</w:t>
      </w:r>
    </w:p>
    <w:p w14:paraId="16130B7F" w14:textId="77777777" w:rsidR="0065156E" w:rsidRPr="00C07D82" w:rsidRDefault="0065156E" w:rsidP="00A778DE">
      <w:pPr>
        <w:spacing w:after="120"/>
        <w:rPr>
          <w:rFonts w:cs="Arial"/>
          <w:b/>
          <w:snapToGrid w:val="0"/>
          <w:szCs w:val="22"/>
        </w:rPr>
      </w:pPr>
    </w:p>
    <w:p w14:paraId="36A9497C" w14:textId="77777777" w:rsidR="00A778DE" w:rsidRPr="00C07D82" w:rsidRDefault="00A778DE" w:rsidP="00A778DE">
      <w:pPr>
        <w:spacing w:after="120"/>
        <w:rPr>
          <w:rFonts w:cs="Arial"/>
          <w:b/>
          <w:snapToGrid w:val="0"/>
          <w:szCs w:val="22"/>
        </w:rPr>
      </w:pPr>
      <w:r w:rsidRPr="00C07D82">
        <w:rPr>
          <w:rFonts w:cs="Arial"/>
          <w:b/>
          <w:snapToGrid w:val="0"/>
          <w:szCs w:val="22"/>
        </w:rPr>
        <w:t>Anti-Corruption</w:t>
      </w:r>
    </w:p>
    <w:p w14:paraId="36A9497D" w14:textId="77777777" w:rsidR="00A778DE" w:rsidRPr="00C07D82" w:rsidRDefault="00A778DE" w:rsidP="00A778DE">
      <w:pPr>
        <w:pStyle w:val="ListParagraph"/>
        <w:rPr>
          <w:b/>
          <w:snapToGrid w:val="0"/>
          <w:szCs w:val="22"/>
        </w:rPr>
      </w:pPr>
      <w:r w:rsidRPr="00C07D82">
        <w:rPr>
          <w:snapToGrid w:val="0"/>
          <w:szCs w:val="22"/>
        </w:rPr>
        <w:t>The Parties are committed to preventing and detecting corruption and bribery. Both Parties</w:t>
      </w:r>
      <w:r w:rsidRPr="00C07D82">
        <w:rPr>
          <w:b/>
          <w:snapToGrid w:val="0"/>
          <w:szCs w:val="22"/>
        </w:rPr>
        <w:t xml:space="preserve"> </w:t>
      </w:r>
      <w:r w:rsidRPr="00C07D82">
        <w:t xml:space="preserve">through their employees, agents or representatives will not make or cause to be made, nor will they receive or seek to receive, any offer, gift or payment, consideration or benefit of any kind, which would or could be construed as an illegal or corrupt practice, either directly or indirectly to any party, as an inducement or reward in relation to the execution of this Agreement or any arrangement or provision of funds in relation to the </w:t>
      </w:r>
      <w:r w:rsidR="00B33CFA" w:rsidRPr="00C07D82">
        <w:t>Project</w:t>
      </w:r>
      <w:r w:rsidRPr="00C07D82">
        <w:t xml:space="preserve">. The Parties will use their best </w:t>
      </w:r>
      <w:r w:rsidR="00091EAE" w:rsidRPr="00C07D82">
        <w:t>endeavors</w:t>
      </w:r>
      <w:r w:rsidRPr="00C07D82">
        <w:t xml:space="preserve"> to ensure that their respective employees, agents, representatives or other entities involved in the </w:t>
      </w:r>
      <w:r w:rsidR="00247AF3" w:rsidRPr="00C07D82">
        <w:t>Project</w:t>
      </w:r>
      <w:r w:rsidRPr="00C07D82">
        <w:t xml:space="preserve"> will also adhere to this provision.</w:t>
      </w:r>
    </w:p>
    <w:p w14:paraId="36A9497E" w14:textId="77777777" w:rsidR="00A778DE" w:rsidRPr="00C07D82" w:rsidRDefault="00A778DE" w:rsidP="00A778DE">
      <w:pPr>
        <w:pStyle w:val="ListParagraph"/>
        <w:rPr>
          <w:b/>
          <w:snapToGrid w:val="0"/>
          <w:szCs w:val="22"/>
        </w:rPr>
      </w:pPr>
      <w:r w:rsidRPr="00C07D82">
        <w:t>For the purposes of this paragraph (Anti-Corruption), the term “corrupt” includes (but is not limited to) any action or practice which would warrant disciplinary procedures being taken against an individual under applicable laws.</w:t>
      </w:r>
    </w:p>
    <w:p w14:paraId="36A9497F" w14:textId="77777777" w:rsidR="00A778DE" w:rsidRPr="00C07D82" w:rsidRDefault="00A778DE" w:rsidP="00A778DE">
      <w:pPr>
        <w:pStyle w:val="ListParagraph"/>
        <w:rPr>
          <w:b/>
          <w:snapToGrid w:val="0"/>
          <w:szCs w:val="22"/>
        </w:rPr>
      </w:pPr>
      <w:r w:rsidRPr="00C07D82">
        <w:t xml:space="preserve">In the event of alleged misuse of </w:t>
      </w:r>
      <w:r w:rsidR="00B33CFA" w:rsidRPr="00C07D82">
        <w:t>Project</w:t>
      </w:r>
      <w:r w:rsidRPr="00C07D82">
        <w:t xml:space="preserve"> funds involving fraudulent or corrupt behaviour as defined above, </w:t>
      </w:r>
      <w:r w:rsidR="008D3D01" w:rsidRPr="00C07D82">
        <w:t>GOA</w:t>
      </w:r>
      <w:r w:rsidRPr="00C07D82">
        <w:t xml:space="preserve"> may reduce or suspend its funding until such time as the matter is mutually resolved by the Parties.</w:t>
      </w:r>
    </w:p>
    <w:p w14:paraId="36A94980" w14:textId="77777777" w:rsidR="00A778DE" w:rsidRPr="00C07D82" w:rsidRDefault="00A778DE" w:rsidP="00247AF3">
      <w:pPr>
        <w:spacing w:after="120"/>
        <w:rPr>
          <w:rFonts w:cs="Arial"/>
          <w:b/>
          <w:snapToGrid w:val="0"/>
          <w:szCs w:val="22"/>
        </w:rPr>
      </w:pPr>
      <w:r w:rsidRPr="00C07D82">
        <w:rPr>
          <w:rFonts w:cs="Arial"/>
          <w:b/>
        </w:rPr>
        <w:t>Status of Agreement</w:t>
      </w:r>
    </w:p>
    <w:p w14:paraId="36A94981" w14:textId="77777777" w:rsidR="00A778DE" w:rsidRPr="00C07D82" w:rsidRDefault="00A778DE" w:rsidP="00A778DE">
      <w:pPr>
        <w:pStyle w:val="ListParagraph"/>
        <w:rPr>
          <w:b/>
          <w:snapToGrid w:val="0"/>
          <w:szCs w:val="22"/>
        </w:rPr>
      </w:pPr>
      <w:r w:rsidRPr="00C07D82">
        <w:rPr>
          <w:snapToGrid w:val="0"/>
          <w:szCs w:val="22"/>
        </w:rPr>
        <w:t>This Agreement serves only as a record of the Parties’ intentions and does not constitute or create (and is not intended to create) rights or obligations under domestic or international law and will not give rise to any legal process and will not be deemed to constitute or create any legally binding or enforceable rights or obligations (expressed or implied).</w:t>
      </w:r>
    </w:p>
    <w:p w14:paraId="36A94982" w14:textId="77777777" w:rsidR="00A778DE" w:rsidRPr="00C07D82" w:rsidRDefault="00A778DE" w:rsidP="00247AF3">
      <w:pPr>
        <w:spacing w:after="120"/>
        <w:rPr>
          <w:rFonts w:cs="Arial"/>
          <w:b/>
          <w:snapToGrid w:val="0"/>
          <w:szCs w:val="22"/>
        </w:rPr>
      </w:pPr>
      <w:r w:rsidRPr="00C07D82">
        <w:rPr>
          <w:rFonts w:cs="Arial"/>
          <w:b/>
          <w:snapToGrid w:val="0"/>
          <w:szCs w:val="22"/>
        </w:rPr>
        <w:t>Settlement of Disputes</w:t>
      </w:r>
    </w:p>
    <w:p w14:paraId="36A94983" w14:textId="77777777" w:rsidR="00A778DE" w:rsidRPr="00C07D82" w:rsidRDefault="00A778DE" w:rsidP="00A778DE">
      <w:pPr>
        <w:pStyle w:val="ListParagraph"/>
        <w:rPr>
          <w:b/>
          <w:snapToGrid w:val="0"/>
          <w:szCs w:val="22"/>
        </w:rPr>
      </w:pPr>
      <w:r w:rsidRPr="00C07D82">
        <w:rPr>
          <w:snapToGrid w:val="0"/>
          <w:szCs w:val="22"/>
        </w:rPr>
        <w:t>Any dispute, controversy, or claim, which arises out of the interpretation or application of this Agreement will not be subject to adjudication or arbitration, but will instead be dealt with through amicable consultations and negotiations as the only method of achieving the peaceful settlement of that dispute, controversy, or claim.</w:t>
      </w:r>
    </w:p>
    <w:p w14:paraId="36A94984" w14:textId="77777777" w:rsidR="00A778DE" w:rsidRPr="00C07D82" w:rsidRDefault="00A778DE" w:rsidP="00247AF3">
      <w:pPr>
        <w:spacing w:after="120"/>
        <w:rPr>
          <w:rFonts w:cs="Arial"/>
          <w:b/>
          <w:snapToGrid w:val="0"/>
          <w:szCs w:val="22"/>
        </w:rPr>
      </w:pPr>
      <w:r w:rsidRPr="00C07D82">
        <w:rPr>
          <w:rFonts w:cs="Arial"/>
          <w:b/>
          <w:snapToGrid w:val="0"/>
          <w:szCs w:val="22"/>
        </w:rPr>
        <w:t>Extraordinary Events</w:t>
      </w:r>
    </w:p>
    <w:p w14:paraId="36A94985" w14:textId="77777777" w:rsidR="00A778DE" w:rsidRPr="00C07D82" w:rsidRDefault="00A778DE" w:rsidP="00A778DE">
      <w:pPr>
        <w:pStyle w:val="ListParagraph"/>
        <w:rPr>
          <w:szCs w:val="22"/>
        </w:rPr>
      </w:pPr>
      <w:r w:rsidRPr="00C07D82">
        <w:rPr>
          <w:szCs w:val="22"/>
        </w:rPr>
        <w:t>Neither the Partner Government of the GOA will be responsible for any failure to perform or any delay in performing their obligations under this Agreement where the cause of such failure of delay is beyond that Party’s reasonable control (Force majeure). The Party claiming suspension of its obligations due to an extraordinary event will immediately notify the other Party in writing of its intent and the reason(s) for suspension.</w:t>
      </w:r>
    </w:p>
    <w:p w14:paraId="36A94986" w14:textId="77777777" w:rsidR="00A778DE" w:rsidRPr="00C07D82" w:rsidRDefault="00A778DE" w:rsidP="00247AF3">
      <w:pPr>
        <w:spacing w:after="120"/>
        <w:rPr>
          <w:rFonts w:cs="Arial"/>
          <w:b/>
          <w:snapToGrid w:val="0"/>
          <w:szCs w:val="22"/>
        </w:rPr>
      </w:pPr>
      <w:r w:rsidRPr="00C07D82">
        <w:rPr>
          <w:rFonts w:cs="Arial"/>
          <w:b/>
          <w:snapToGrid w:val="0"/>
          <w:szCs w:val="22"/>
        </w:rPr>
        <w:t>Indemnity and Insurance</w:t>
      </w:r>
    </w:p>
    <w:p w14:paraId="36A94987" w14:textId="77777777" w:rsidR="00A778DE" w:rsidRPr="00C07D82" w:rsidRDefault="00A778DE" w:rsidP="00A778DE">
      <w:pPr>
        <w:pStyle w:val="ListParagraph"/>
        <w:rPr>
          <w:szCs w:val="22"/>
        </w:rPr>
      </w:pPr>
      <w:r w:rsidRPr="00C07D82">
        <w:rPr>
          <w:szCs w:val="22"/>
        </w:rPr>
        <w:t xml:space="preserve">The Partner Government will indemnify </w:t>
      </w:r>
      <w:r w:rsidR="008D3D01" w:rsidRPr="00C07D82">
        <w:rPr>
          <w:szCs w:val="22"/>
        </w:rPr>
        <w:t>GOA</w:t>
      </w:r>
      <w:r w:rsidRPr="00C07D82">
        <w:rPr>
          <w:szCs w:val="22"/>
        </w:rPr>
        <w:t xml:space="preserve"> at all times against any actions, claims, liabilities, damages or expenses suffered or incurred by GOA as a result of, or arising from, the implementation of the </w:t>
      </w:r>
      <w:r w:rsidR="00B33CFA" w:rsidRPr="00C07D82">
        <w:rPr>
          <w:szCs w:val="22"/>
        </w:rPr>
        <w:t>Project</w:t>
      </w:r>
      <w:r w:rsidRPr="00C07D82">
        <w:rPr>
          <w:szCs w:val="22"/>
        </w:rPr>
        <w:t>.</w:t>
      </w:r>
    </w:p>
    <w:p w14:paraId="36A94988" w14:textId="77777777" w:rsidR="00A778DE" w:rsidRPr="00C07D82" w:rsidRDefault="00A778DE" w:rsidP="00A778DE">
      <w:pPr>
        <w:pStyle w:val="ListParagraph"/>
        <w:rPr>
          <w:szCs w:val="22"/>
        </w:rPr>
      </w:pPr>
      <w:r w:rsidRPr="00C07D82">
        <w:rPr>
          <w:szCs w:val="22"/>
        </w:rPr>
        <w:t xml:space="preserve">The Partner Government will be responsible for insurance cover against loss of life, personal accident and illness, loss, theft and damage to personal effects and </w:t>
      </w:r>
      <w:r w:rsidR="00B33CFA" w:rsidRPr="00C07D82">
        <w:rPr>
          <w:szCs w:val="22"/>
        </w:rPr>
        <w:t>Project</w:t>
      </w:r>
      <w:r w:rsidRPr="00C07D82">
        <w:rPr>
          <w:szCs w:val="22"/>
        </w:rPr>
        <w:t xml:space="preserve"> supplies and assets and all </w:t>
      </w:r>
      <w:r w:rsidR="00B33CFA" w:rsidRPr="00C07D82">
        <w:rPr>
          <w:szCs w:val="22"/>
        </w:rPr>
        <w:t>Project</w:t>
      </w:r>
      <w:r w:rsidRPr="00C07D82">
        <w:rPr>
          <w:szCs w:val="22"/>
        </w:rPr>
        <w:t xml:space="preserve"> activities and </w:t>
      </w:r>
      <w:r w:rsidR="00B33CFA" w:rsidRPr="00C07D82">
        <w:rPr>
          <w:szCs w:val="22"/>
        </w:rPr>
        <w:t>Project</w:t>
      </w:r>
      <w:r w:rsidRPr="00C07D82">
        <w:rPr>
          <w:szCs w:val="22"/>
        </w:rPr>
        <w:t xml:space="preserve"> personnel engaged directly by the Partner Government. The GOA will have no responsibility for any insurance cover for the Partner Government personnel, property, assets and supplies or actions.</w:t>
      </w:r>
    </w:p>
    <w:p w14:paraId="36A94989" w14:textId="77777777" w:rsidR="00A778DE" w:rsidRPr="00C07D82" w:rsidRDefault="00A778DE" w:rsidP="00247AF3">
      <w:pPr>
        <w:spacing w:after="120"/>
        <w:rPr>
          <w:rFonts w:cs="Arial"/>
          <w:b/>
          <w:szCs w:val="22"/>
        </w:rPr>
      </w:pPr>
      <w:r w:rsidRPr="00C07D82">
        <w:rPr>
          <w:rFonts w:cs="Arial"/>
          <w:b/>
          <w:szCs w:val="22"/>
        </w:rPr>
        <w:t>Use of Agreement Information</w:t>
      </w:r>
    </w:p>
    <w:p w14:paraId="36A9498A" w14:textId="77777777" w:rsidR="00A778DE" w:rsidRPr="00C07D82" w:rsidRDefault="00A778DE" w:rsidP="00A778DE">
      <w:pPr>
        <w:pStyle w:val="ListParagraph"/>
        <w:rPr>
          <w:szCs w:val="22"/>
        </w:rPr>
      </w:pPr>
      <w:r w:rsidRPr="00C07D82">
        <w:rPr>
          <w:szCs w:val="22"/>
        </w:rPr>
        <w:t>Both Parties will respect the confidentiality of information provided by the other as “Confidential” or “In-Confidence”. Neither Party will disclose such information to a third party without obtaining the written agreement of the other Party unless and except where the disclosure of such information is required by law or government convention.</w:t>
      </w:r>
    </w:p>
    <w:p w14:paraId="36A9498B" w14:textId="77777777" w:rsidR="00A778DE" w:rsidRPr="00C07D82" w:rsidRDefault="008D3D01" w:rsidP="00A778DE">
      <w:pPr>
        <w:pStyle w:val="ListParagraph"/>
        <w:rPr>
          <w:szCs w:val="22"/>
        </w:rPr>
      </w:pPr>
      <w:r w:rsidRPr="00C07D82">
        <w:t>GOA</w:t>
      </w:r>
      <w:r w:rsidR="00A778DE" w:rsidRPr="00C07D82">
        <w:t xml:space="preserve"> may disclose matters relating to the Agreement, including the Agreement to governmental departments and agencies, Ministers and Parliamentary Secretaries of the Commonwealth of Australia, and to the Parliament of the Commonwealth of Australia, including responding to requests for information from Parliamentary committees or inquiries. This clause will survive termination or expiration of the Agreement.</w:t>
      </w:r>
    </w:p>
    <w:p w14:paraId="36A9498C" w14:textId="77777777" w:rsidR="00A778DE" w:rsidRPr="00C07D82" w:rsidRDefault="00A778DE" w:rsidP="00A778DE">
      <w:pPr>
        <w:pStyle w:val="ListParagraph"/>
        <w:rPr>
          <w:szCs w:val="22"/>
        </w:rPr>
      </w:pPr>
      <w:r w:rsidRPr="00C07D82">
        <w:t>The Partner Government may disclose matters relating to the Agreement, including the Agreement to its governmental departments and agencies, Ministers and Parliamentary Secretaries, and to the Parliament, including responding to requests for information from Parliamentary committees or inquiries.</w:t>
      </w:r>
    </w:p>
    <w:p w14:paraId="36A9498D" w14:textId="77777777" w:rsidR="00A778DE" w:rsidRPr="00C07D82" w:rsidRDefault="00A778DE" w:rsidP="00247AF3">
      <w:pPr>
        <w:spacing w:after="120"/>
        <w:rPr>
          <w:rFonts w:cs="Arial"/>
          <w:snapToGrid w:val="0"/>
          <w:szCs w:val="22"/>
        </w:rPr>
      </w:pPr>
      <w:r w:rsidRPr="00C07D82">
        <w:rPr>
          <w:rFonts w:cs="Arial"/>
          <w:b/>
          <w:snapToGrid w:val="0"/>
          <w:szCs w:val="22"/>
        </w:rPr>
        <w:t xml:space="preserve">Amendment </w:t>
      </w:r>
    </w:p>
    <w:p w14:paraId="36A9498E" w14:textId="77777777" w:rsidR="00A778DE" w:rsidRPr="00C07D82" w:rsidRDefault="00A778DE" w:rsidP="00A778DE">
      <w:pPr>
        <w:pStyle w:val="ListParagraph"/>
        <w:rPr>
          <w:snapToGrid w:val="0"/>
          <w:szCs w:val="22"/>
        </w:rPr>
      </w:pPr>
      <w:r w:rsidRPr="00C07D82">
        <w:rPr>
          <w:snapToGrid w:val="0"/>
          <w:szCs w:val="22"/>
        </w:rPr>
        <w:t>All changes to this Agreement must be mutually agreed in writing by the Parties in the form of a formal amendment to the Agreement.</w:t>
      </w:r>
    </w:p>
    <w:p w14:paraId="36A9498F" w14:textId="77777777" w:rsidR="00A778DE" w:rsidRPr="00C07D82" w:rsidRDefault="00A778DE" w:rsidP="00A778DE">
      <w:pPr>
        <w:pStyle w:val="ListParagraph"/>
        <w:rPr>
          <w:snapToGrid w:val="0"/>
          <w:szCs w:val="22"/>
        </w:rPr>
      </w:pPr>
      <w:r w:rsidRPr="00C07D82">
        <w:rPr>
          <w:snapToGrid w:val="0"/>
          <w:szCs w:val="22"/>
        </w:rPr>
        <w:t>This Agreement may be amended at any time by an Exchange of Letters between the Parties.</w:t>
      </w:r>
    </w:p>
    <w:p w14:paraId="36A94991" w14:textId="2EA28969" w:rsidR="00A778DE" w:rsidRPr="00C07D82" w:rsidRDefault="00A778DE" w:rsidP="00697FA4">
      <w:pPr>
        <w:spacing w:before="0" w:after="200" w:line="276" w:lineRule="auto"/>
        <w:rPr>
          <w:rFonts w:cs="Arial"/>
          <w:b/>
          <w:snapToGrid w:val="0"/>
          <w:szCs w:val="22"/>
        </w:rPr>
      </w:pPr>
      <w:r w:rsidRPr="00C07D82">
        <w:rPr>
          <w:rFonts w:cs="Arial"/>
          <w:b/>
          <w:snapToGrid w:val="0"/>
          <w:szCs w:val="22"/>
        </w:rPr>
        <w:t>Termination</w:t>
      </w:r>
    </w:p>
    <w:p w14:paraId="36A94992" w14:textId="77777777" w:rsidR="00A778DE" w:rsidRPr="00C07D82" w:rsidRDefault="00A778DE" w:rsidP="00A778DE">
      <w:pPr>
        <w:pStyle w:val="ListParagraph"/>
        <w:rPr>
          <w:snapToGrid w:val="0"/>
          <w:szCs w:val="22"/>
        </w:rPr>
      </w:pPr>
      <w:r w:rsidRPr="00C07D82">
        <w:rPr>
          <w:szCs w:val="22"/>
          <w:lang w:eastAsia="ja-JP"/>
        </w:rPr>
        <w:t>Termination of this Agreement may be effected by one Party on giving 90 days written notice and reasons for the termination to the other Party.</w:t>
      </w:r>
    </w:p>
    <w:p w14:paraId="36A94993" w14:textId="77777777" w:rsidR="00A778DE" w:rsidRPr="00C07D82" w:rsidRDefault="00A778DE" w:rsidP="00A778DE">
      <w:pPr>
        <w:pStyle w:val="ListParagraph"/>
        <w:rPr>
          <w:snapToGrid w:val="0"/>
          <w:szCs w:val="22"/>
        </w:rPr>
      </w:pPr>
      <w:r w:rsidRPr="00C07D82">
        <w:rPr>
          <w:snapToGrid w:val="0"/>
          <w:szCs w:val="22"/>
        </w:rPr>
        <w:t xml:space="preserve">In the event of any termination the Partner Government will provide an independently audited financial statement of the </w:t>
      </w:r>
      <w:r w:rsidR="00B33CFA" w:rsidRPr="00C07D82">
        <w:rPr>
          <w:snapToGrid w:val="0"/>
          <w:szCs w:val="22"/>
        </w:rPr>
        <w:t>Project</w:t>
      </w:r>
      <w:r w:rsidRPr="00C07D82">
        <w:rPr>
          <w:snapToGrid w:val="0"/>
          <w:szCs w:val="22"/>
        </w:rPr>
        <w:t xml:space="preserve"> funding for the financial year during which termination occurred.</w:t>
      </w:r>
    </w:p>
    <w:p w14:paraId="36A94994" w14:textId="77777777" w:rsidR="00A778DE" w:rsidRPr="00C07D82" w:rsidRDefault="00A778DE" w:rsidP="00247AF3">
      <w:pPr>
        <w:spacing w:after="120"/>
        <w:rPr>
          <w:rFonts w:cs="Arial"/>
          <w:szCs w:val="22"/>
          <w:lang w:eastAsia="ja-JP"/>
        </w:rPr>
      </w:pPr>
      <w:r w:rsidRPr="00C07D82">
        <w:rPr>
          <w:rFonts w:cs="Arial"/>
          <w:b/>
          <w:snapToGrid w:val="0"/>
          <w:szCs w:val="22"/>
        </w:rPr>
        <w:t>Provisions to Prevent Financing of Terrorism</w:t>
      </w:r>
    </w:p>
    <w:p w14:paraId="36A94995" w14:textId="7145CD1A" w:rsidR="00A778DE" w:rsidRPr="00C07D82" w:rsidRDefault="00A778DE" w:rsidP="00A778DE">
      <w:pPr>
        <w:pStyle w:val="ListParagraph"/>
        <w:rPr>
          <w:szCs w:val="22"/>
        </w:rPr>
      </w:pPr>
      <w:r w:rsidRPr="00C07D82">
        <w:rPr>
          <w:szCs w:val="22"/>
        </w:rPr>
        <w:t>The Partner Government will use its best endeavors to ensure that funds provided by G</w:t>
      </w:r>
      <w:r w:rsidR="00EF31A0" w:rsidRPr="00C07D82">
        <w:rPr>
          <w:szCs w:val="22"/>
        </w:rPr>
        <w:t>O</w:t>
      </w:r>
      <w:r w:rsidRPr="00C07D82">
        <w:rPr>
          <w:szCs w:val="22"/>
        </w:rPr>
        <w:t>A under the Agreement, do not provide direct or indirect support or resources to organisations and individuals associated with terrorism or listed on a ‘Relevant List’</w:t>
      </w:r>
    </w:p>
    <w:p w14:paraId="36A94996" w14:textId="77777777" w:rsidR="00A778DE" w:rsidRPr="00C07D82" w:rsidRDefault="00A778DE" w:rsidP="00A778DE">
      <w:pPr>
        <w:pStyle w:val="ListParagraph"/>
        <w:rPr>
          <w:szCs w:val="22"/>
        </w:rPr>
      </w:pPr>
      <w:r w:rsidRPr="00C07D82">
        <w:rPr>
          <w:szCs w:val="22"/>
        </w:rPr>
        <w:t>If, during the course of this Agreement, the Partner Government discovers that an organisation or individual involved in the Agreement is listed on a ‘Relevant List’ or has any link whatsoever with any organisation or individual associated with terrorism it will inform GOA immediately.</w:t>
      </w:r>
    </w:p>
    <w:p w14:paraId="36A94997" w14:textId="77777777" w:rsidR="00A778DE" w:rsidRPr="00C07D82" w:rsidRDefault="00A778DE" w:rsidP="00A778DE">
      <w:pPr>
        <w:pStyle w:val="ListParagraph"/>
        <w:rPr>
          <w:szCs w:val="22"/>
        </w:rPr>
      </w:pPr>
      <w:r w:rsidRPr="00C07D82">
        <w:rPr>
          <w:szCs w:val="22"/>
        </w:rPr>
        <w:t>GOA may terminate this Agreement immediately by notice in writing to the Partner Government if the Partner Government breaches any of its obligations to prevent the financing of terrorism.</w:t>
      </w:r>
    </w:p>
    <w:p w14:paraId="36A94998" w14:textId="38370976" w:rsidR="00A778DE" w:rsidRPr="00C07D82" w:rsidRDefault="00426099" w:rsidP="00A778DE">
      <w:pPr>
        <w:pStyle w:val="ListParagraph"/>
        <w:rPr>
          <w:szCs w:val="22"/>
        </w:rPr>
      </w:pPr>
      <w:r w:rsidRPr="00C07D82">
        <w:rPr>
          <w:szCs w:val="22"/>
        </w:rPr>
        <w:t>Notwithstanding GO</w:t>
      </w:r>
      <w:r w:rsidR="00A778DE" w:rsidRPr="00C07D82">
        <w:rPr>
          <w:szCs w:val="22"/>
        </w:rPr>
        <w:t xml:space="preserve">A’s right to terminate this Agreement under </w:t>
      </w:r>
      <w:r w:rsidR="00A778DE" w:rsidRPr="00C07D82">
        <w:rPr>
          <w:b/>
          <w:szCs w:val="22"/>
        </w:rPr>
        <w:t>Clause 9</w:t>
      </w:r>
      <w:r w:rsidR="00247AF3" w:rsidRPr="00C07D82">
        <w:rPr>
          <w:b/>
          <w:szCs w:val="22"/>
        </w:rPr>
        <w:t>5</w:t>
      </w:r>
      <w:r w:rsidR="00A778DE" w:rsidRPr="00C07D82">
        <w:rPr>
          <w:szCs w:val="22"/>
        </w:rPr>
        <w:t xml:space="preserve"> in the event of a breach of this </w:t>
      </w:r>
      <w:r w:rsidR="00A778DE" w:rsidRPr="00C07D82">
        <w:rPr>
          <w:b/>
          <w:szCs w:val="22"/>
        </w:rPr>
        <w:t>clause</w:t>
      </w:r>
      <w:r w:rsidR="00A778DE" w:rsidRPr="00C07D82">
        <w:rPr>
          <w:szCs w:val="22"/>
        </w:rPr>
        <w:t>, the Partner Government</w:t>
      </w:r>
      <w:r w:rsidR="00A778DE" w:rsidRPr="00C07D82">
        <w:rPr>
          <w:i/>
          <w:szCs w:val="22"/>
        </w:rPr>
        <w:t xml:space="preserve"> </w:t>
      </w:r>
      <w:r w:rsidR="00A778DE" w:rsidRPr="00C07D82">
        <w:rPr>
          <w:szCs w:val="22"/>
        </w:rPr>
        <w:t>will use its best endeavours to recover an amount equivalent to the relevant funds which are found to have been paid to organisations and individuals associated with terrorism and refund that amount to GOA.</w:t>
      </w:r>
    </w:p>
    <w:p w14:paraId="36A94999" w14:textId="77777777" w:rsidR="00A778DE" w:rsidRPr="00C07D82" w:rsidRDefault="00A778DE" w:rsidP="00A778DE">
      <w:pPr>
        <w:pStyle w:val="ListParagraph"/>
      </w:pPr>
      <w:r w:rsidRPr="00C07D82">
        <w:t xml:space="preserve">'Relevant List' means the lists of terrorist organisations made under Division 102 of the </w:t>
      </w:r>
      <w:r w:rsidRPr="00C07D82">
        <w:rPr>
          <w:i/>
        </w:rPr>
        <w:t>Criminal Code Act 1995</w:t>
      </w:r>
      <w:r w:rsidRPr="00C07D82">
        <w:t xml:space="preserve"> (Cth) and the </w:t>
      </w:r>
      <w:r w:rsidRPr="00C07D82">
        <w:rPr>
          <w:i/>
        </w:rPr>
        <w:t>Charter of the UN Act 1945</w:t>
      </w:r>
      <w:r w:rsidRPr="00C07D82">
        <w:t xml:space="preserve"> (Cth) posted at: </w:t>
      </w:r>
      <w:hyperlink r:id="rId9" w:history="1">
        <w:r w:rsidR="001E4BB9" w:rsidRPr="00C07D82">
          <w:rPr>
            <w:rStyle w:val="Hyperlink"/>
            <w:sz w:val="18"/>
            <w:szCs w:val="18"/>
          </w:rPr>
          <w:t>http://www.nationalsecurity.gov.au/Listedterroristorganisations/Pages/default.aspx</w:t>
        </w:r>
      </w:hyperlink>
      <w:r w:rsidRPr="00C07D82">
        <w:rPr>
          <w:sz w:val="18"/>
          <w:szCs w:val="18"/>
        </w:rPr>
        <w:t xml:space="preserve"> and </w:t>
      </w:r>
      <w:r w:rsidR="00C24BFF" w:rsidRPr="00C07D82">
        <w:rPr>
          <w:rStyle w:val="Hyperlink"/>
          <w:sz w:val="18"/>
          <w:szCs w:val="18"/>
        </w:rPr>
        <w:t>http://www.dfat.gov.au/sanctions/</w:t>
      </w:r>
    </w:p>
    <w:p w14:paraId="36A9499A" w14:textId="77777777" w:rsidR="00A778DE" w:rsidRPr="00C07D82" w:rsidRDefault="00A778DE" w:rsidP="00247AF3">
      <w:pPr>
        <w:spacing w:after="120"/>
        <w:rPr>
          <w:rFonts w:cs="Arial"/>
          <w:b/>
          <w:szCs w:val="22"/>
          <w:lang w:eastAsia="ja-JP"/>
        </w:rPr>
      </w:pPr>
      <w:r w:rsidRPr="00C07D82">
        <w:rPr>
          <w:rFonts w:cs="Arial"/>
          <w:b/>
          <w:szCs w:val="22"/>
          <w:lang w:eastAsia="ja-JP"/>
        </w:rPr>
        <w:t>Exemption from Taxation</w:t>
      </w:r>
    </w:p>
    <w:p w14:paraId="36A9499B" w14:textId="77777777" w:rsidR="00A778DE" w:rsidRPr="00C07D82" w:rsidRDefault="00A778DE" w:rsidP="00A778DE">
      <w:pPr>
        <w:pStyle w:val="ListParagraph"/>
        <w:rPr>
          <w:snapToGrid w:val="0"/>
          <w:szCs w:val="22"/>
        </w:rPr>
      </w:pPr>
      <w:r w:rsidRPr="00C07D82">
        <w:rPr>
          <w:szCs w:val="22"/>
          <w:lang w:eastAsia="ja-JP"/>
        </w:rPr>
        <w:t xml:space="preserve">The Partner Government agrees that all the provisions of the MOU apply to this </w:t>
      </w:r>
      <w:r w:rsidR="00B33CFA" w:rsidRPr="00C07D82">
        <w:rPr>
          <w:szCs w:val="22"/>
          <w:lang w:eastAsia="ja-JP"/>
        </w:rPr>
        <w:t>Project</w:t>
      </w:r>
      <w:r w:rsidRPr="00C07D82">
        <w:rPr>
          <w:szCs w:val="22"/>
          <w:lang w:eastAsia="ja-JP"/>
        </w:rPr>
        <w:t xml:space="preserve"> including taxation exemptions.</w:t>
      </w:r>
    </w:p>
    <w:p w14:paraId="36A9499D" w14:textId="77777777" w:rsidR="00A778DE" w:rsidRPr="00C07D82" w:rsidRDefault="00A778DE" w:rsidP="00247AF3">
      <w:pPr>
        <w:spacing w:after="120"/>
        <w:rPr>
          <w:rFonts w:cs="Arial"/>
          <w:b/>
          <w:snapToGrid w:val="0"/>
          <w:szCs w:val="22"/>
        </w:rPr>
      </w:pPr>
      <w:r w:rsidRPr="00C07D82">
        <w:rPr>
          <w:rFonts w:cs="Arial"/>
          <w:b/>
          <w:szCs w:val="22"/>
          <w:lang w:eastAsia="ja-JP"/>
        </w:rPr>
        <w:t>Correspondence</w:t>
      </w:r>
    </w:p>
    <w:p w14:paraId="36A9499E" w14:textId="77228341" w:rsidR="00A778DE" w:rsidRPr="00C07D82" w:rsidRDefault="00426099" w:rsidP="00A778DE">
      <w:pPr>
        <w:pStyle w:val="ListParagraph"/>
        <w:rPr>
          <w:snapToGrid w:val="0"/>
          <w:szCs w:val="22"/>
        </w:rPr>
      </w:pPr>
      <w:r w:rsidRPr="00C07D82">
        <w:rPr>
          <w:snapToGrid w:val="0"/>
          <w:szCs w:val="22"/>
        </w:rPr>
        <w:t>All correspondence related</w:t>
      </w:r>
      <w:r w:rsidR="00A778DE" w:rsidRPr="00C07D82">
        <w:rPr>
          <w:snapToGrid w:val="0"/>
          <w:szCs w:val="22"/>
        </w:rPr>
        <w:t xml:space="preserve"> to the implementation of this Agreement  should be addressed to:</w:t>
      </w:r>
    </w:p>
    <w:p w14:paraId="73ACC89F" w14:textId="77777777" w:rsidR="0065156E" w:rsidRPr="00C07D82" w:rsidRDefault="0065156E" w:rsidP="00A778DE">
      <w:pPr>
        <w:spacing w:after="120"/>
        <w:ind w:left="360"/>
        <w:rPr>
          <w:rFonts w:cs="Arial"/>
          <w:snapToGrid w:val="0"/>
          <w:szCs w:val="22"/>
        </w:rPr>
      </w:pPr>
    </w:p>
    <w:p w14:paraId="36A9499F" w14:textId="6B8173DB" w:rsidR="00A778DE" w:rsidRPr="00C07D82" w:rsidRDefault="00A778DE" w:rsidP="00A778DE">
      <w:pPr>
        <w:spacing w:after="120"/>
        <w:ind w:left="360"/>
        <w:rPr>
          <w:rFonts w:cs="Arial"/>
          <w:snapToGrid w:val="0"/>
          <w:szCs w:val="22"/>
        </w:rPr>
      </w:pPr>
      <w:r w:rsidRPr="00C07D82">
        <w:rPr>
          <w:rFonts w:cs="Arial"/>
          <w:snapToGrid w:val="0"/>
          <w:szCs w:val="22"/>
        </w:rPr>
        <w:t>GOA:</w:t>
      </w:r>
      <w:r w:rsidRPr="00C07D82">
        <w:rPr>
          <w:rFonts w:cs="Arial"/>
          <w:snapToGrid w:val="0"/>
          <w:szCs w:val="22"/>
        </w:rPr>
        <w:tab/>
      </w:r>
      <w:r w:rsidRPr="00C07D82">
        <w:rPr>
          <w:rFonts w:cs="Arial"/>
          <w:snapToGrid w:val="0"/>
          <w:szCs w:val="22"/>
        </w:rPr>
        <w:tab/>
      </w:r>
      <w:r w:rsidRPr="00C07D82">
        <w:rPr>
          <w:rFonts w:cs="Arial"/>
          <w:snapToGrid w:val="0"/>
          <w:szCs w:val="22"/>
        </w:rPr>
        <w:tab/>
        <w:t>DFAT</w:t>
      </w:r>
      <w:r w:rsidR="00697FA4" w:rsidRPr="00C07D82">
        <w:rPr>
          <w:rFonts w:cs="Arial"/>
          <w:snapToGrid w:val="0"/>
          <w:szCs w:val="22"/>
        </w:rPr>
        <w:t xml:space="preserve"> </w:t>
      </w:r>
    </w:p>
    <w:p w14:paraId="36A949A0" w14:textId="77777777" w:rsidR="00A778DE" w:rsidRPr="00C07D82" w:rsidRDefault="00A778DE" w:rsidP="00A778DE">
      <w:pPr>
        <w:spacing w:after="120"/>
        <w:ind w:left="360"/>
        <w:rPr>
          <w:rFonts w:cs="Arial"/>
          <w:snapToGrid w:val="0"/>
          <w:szCs w:val="22"/>
        </w:rPr>
      </w:pPr>
      <w:r w:rsidRPr="00C07D82">
        <w:rPr>
          <w:rFonts w:cs="Arial"/>
          <w:snapToGrid w:val="0"/>
          <w:szCs w:val="22"/>
        </w:rPr>
        <w:tab/>
      </w:r>
      <w:r w:rsidRPr="00C07D82">
        <w:rPr>
          <w:rFonts w:cs="Arial"/>
          <w:snapToGrid w:val="0"/>
          <w:szCs w:val="22"/>
        </w:rPr>
        <w:tab/>
      </w:r>
      <w:r w:rsidRPr="00C07D82">
        <w:rPr>
          <w:rFonts w:cs="Arial"/>
          <w:snapToGrid w:val="0"/>
          <w:szCs w:val="22"/>
        </w:rPr>
        <w:tab/>
      </w:r>
      <w:r w:rsidRPr="00C07D82">
        <w:rPr>
          <w:rFonts w:cs="Arial"/>
          <w:snapToGrid w:val="0"/>
          <w:szCs w:val="22"/>
        </w:rPr>
        <w:tab/>
        <w:t>Australian Embassy, 8 Dao Tan st, Hanoi</w:t>
      </w:r>
    </w:p>
    <w:p w14:paraId="36A949A1" w14:textId="77777777" w:rsidR="00A778DE" w:rsidRPr="00C07D82" w:rsidRDefault="00A778DE" w:rsidP="00A778DE">
      <w:pPr>
        <w:spacing w:after="120"/>
        <w:ind w:left="360"/>
        <w:rPr>
          <w:rFonts w:cs="Arial"/>
          <w:snapToGrid w:val="0"/>
          <w:szCs w:val="22"/>
        </w:rPr>
      </w:pPr>
      <w:r w:rsidRPr="00C07D82">
        <w:rPr>
          <w:rFonts w:cs="Arial"/>
          <w:snapToGrid w:val="0"/>
          <w:szCs w:val="22"/>
        </w:rPr>
        <w:tab/>
      </w:r>
      <w:r w:rsidRPr="00C07D82">
        <w:rPr>
          <w:rFonts w:cs="Arial"/>
          <w:snapToGrid w:val="0"/>
          <w:szCs w:val="22"/>
        </w:rPr>
        <w:tab/>
      </w:r>
      <w:r w:rsidRPr="00C07D82">
        <w:rPr>
          <w:rFonts w:cs="Arial"/>
          <w:snapToGrid w:val="0"/>
          <w:szCs w:val="22"/>
        </w:rPr>
        <w:tab/>
      </w:r>
      <w:r w:rsidRPr="00C07D82">
        <w:rPr>
          <w:rFonts w:cs="Arial"/>
          <w:snapToGrid w:val="0"/>
          <w:szCs w:val="22"/>
        </w:rPr>
        <w:tab/>
        <w:t>84 4 3771076</w:t>
      </w:r>
    </w:p>
    <w:p w14:paraId="36A949A2" w14:textId="237B7718" w:rsidR="00A778DE" w:rsidRPr="00C07D82" w:rsidRDefault="00A778DE" w:rsidP="00A778DE">
      <w:pPr>
        <w:spacing w:after="120"/>
        <w:ind w:left="2880"/>
        <w:rPr>
          <w:rFonts w:cs="Arial"/>
          <w:snapToGrid w:val="0"/>
          <w:szCs w:val="22"/>
        </w:rPr>
      </w:pPr>
      <w:r w:rsidRPr="00C07D82">
        <w:rPr>
          <w:rFonts w:cs="Arial"/>
          <w:snapToGrid w:val="0"/>
          <w:szCs w:val="22"/>
        </w:rPr>
        <w:t>Attention</w:t>
      </w:r>
      <w:r w:rsidR="00426099" w:rsidRPr="00C07D82">
        <w:rPr>
          <w:rFonts w:cs="Arial"/>
          <w:snapToGrid w:val="0"/>
          <w:szCs w:val="22"/>
        </w:rPr>
        <w:t>:</w:t>
      </w:r>
      <w:r w:rsidRPr="00C07D82">
        <w:rPr>
          <w:rFonts w:cs="Arial"/>
          <w:snapToGrid w:val="0"/>
          <w:szCs w:val="22"/>
        </w:rPr>
        <w:t xml:space="preserve"> </w:t>
      </w:r>
      <w:r w:rsidR="00292C1F" w:rsidRPr="00C07D82">
        <w:rPr>
          <w:rFonts w:cs="Arial"/>
          <w:snapToGrid w:val="0"/>
          <w:szCs w:val="22"/>
        </w:rPr>
        <w:t xml:space="preserve">Ms </w:t>
      </w:r>
      <w:r w:rsidRPr="00C07D82">
        <w:rPr>
          <w:rFonts w:cs="Arial"/>
          <w:snapToGrid w:val="0"/>
          <w:szCs w:val="22"/>
        </w:rPr>
        <w:t xml:space="preserve">Nguyen Mai Chi, Senior </w:t>
      </w:r>
      <w:r w:rsidR="00B33CFA" w:rsidRPr="00C07D82">
        <w:rPr>
          <w:rFonts w:cs="Arial"/>
          <w:snapToGrid w:val="0"/>
          <w:szCs w:val="22"/>
        </w:rPr>
        <w:t>Project</w:t>
      </w:r>
      <w:r w:rsidRPr="00C07D82">
        <w:rPr>
          <w:rFonts w:cs="Arial"/>
          <w:snapToGrid w:val="0"/>
          <w:szCs w:val="22"/>
        </w:rPr>
        <w:t xml:space="preserve"> Manager</w:t>
      </w:r>
      <w:r w:rsidR="00027808" w:rsidRPr="00C07D82">
        <w:rPr>
          <w:rFonts w:cs="Arial"/>
          <w:snapToGrid w:val="0"/>
          <w:szCs w:val="22"/>
        </w:rPr>
        <w:t xml:space="preserve"> (Development Cooperation)</w:t>
      </w:r>
      <w:r w:rsidRPr="00C07D82">
        <w:rPr>
          <w:rFonts w:cs="Arial"/>
          <w:snapToGrid w:val="0"/>
          <w:szCs w:val="22"/>
        </w:rPr>
        <w:t>: R</w:t>
      </w:r>
      <w:r w:rsidR="003B5A55">
        <w:rPr>
          <w:rFonts w:cs="Arial"/>
          <w:snapToGrid w:val="0"/>
          <w:szCs w:val="22"/>
        </w:rPr>
        <w:t>CV</w:t>
      </w:r>
      <w:r w:rsidRPr="00C07D82">
        <w:rPr>
          <w:rFonts w:cs="Arial"/>
          <w:snapToGrid w:val="0"/>
          <w:szCs w:val="22"/>
        </w:rPr>
        <w:t xml:space="preserve"> </w:t>
      </w:r>
      <w:r w:rsidR="00247AF3" w:rsidRPr="00C07D82">
        <w:rPr>
          <w:rFonts w:cs="Arial"/>
          <w:snapToGrid w:val="0"/>
          <w:szCs w:val="22"/>
        </w:rPr>
        <w:t>Project</w:t>
      </w:r>
    </w:p>
    <w:p w14:paraId="36A949A3" w14:textId="1DDA43C0" w:rsidR="00247AF3" w:rsidRPr="00C07D82" w:rsidRDefault="00A778DE" w:rsidP="00A778DE">
      <w:pPr>
        <w:spacing w:after="120"/>
        <w:ind w:left="360"/>
        <w:rPr>
          <w:szCs w:val="22"/>
        </w:rPr>
      </w:pPr>
      <w:r w:rsidRPr="00C07D82">
        <w:rPr>
          <w:rFonts w:cs="Arial"/>
          <w:snapToGrid w:val="0"/>
          <w:szCs w:val="22"/>
        </w:rPr>
        <w:t>Partner Government</w:t>
      </w:r>
      <w:r w:rsidR="00426099" w:rsidRPr="00C07D82">
        <w:rPr>
          <w:rFonts w:cs="Arial"/>
          <w:snapToGrid w:val="0"/>
          <w:szCs w:val="22"/>
        </w:rPr>
        <w:t>:</w:t>
      </w:r>
      <w:r w:rsidRPr="00C07D82">
        <w:rPr>
          <w:rFonts w:cs="Arial"/>
          <w:snapToGrid w:val="0"/>
          <w:szCs w:val="22"/>
        </w:rPr>
        <w:tab/>
      </w:r>
      <w:r w:rsidR="00247AF3" w:rsidRPr="00C07D82">
        <w:rPr>
          <w:rFonts w:cs="Arial"/>
          <w:snapToGrid w:val="0"/>
          <w:szCs w:val="22"/>
        </w:rPr>
        <w:t>CIEM</w:t>
      </w:r>
    </w:p>
    <w:p w14:paraId="36A949A4" w14:textId="77777777" w:rsidR="00A778DE" w:rsidRPr="00C07D82" w:rsidRDefault="00A778DE" w:rsidP="00A778DE">
      <w:pPr>
        <w:spacing w:after="120"/>
        <w:ind w:left="360"/>
        <w:rPr>
          <w:rFonts w:cs="Arial"/>
          <w:snapToGrid w:val="0"/>
          <w:szCs w:val="22"/>
        </w:rPr>
      </w:pPr>
      <w:r w:rsidRPr="00C07D82">
        <w:rPr>
          <w:rFonts w:cs="Arial"/>
          <w:snapToGrid w:val="0"/>
          <w:szCs w:val="22"/>
        </w:rPr>
        <w:tab/>
      </w:r>
      <w:r w:rsidRPr="00C07D82">
        <w:rPr>
          <w:rFonts w:cs="Arial"/>
          <w:snapToGrid w:val="0"/>
          <w:szCs w:val="22"/>
        </w:rPr>
        <w:tab/>
      </w:r>
      <w:r w:rsidRPr="00C07D82">
        <w:rPr>
          <w:rFonts w:cs="Arial"/>
          <w:snapToGrid w:val="0"/>
          <w:szCs w:val="22"/>
        </w:rPr>
        <w:tab/>
      </w:r>
      <w:r w:rsidRPr="00C07D82">
        <w:rPr>
          <w:rFonts w:cs="Arial"/>
          <w:snapToGrid w:val="0"/>
          <w:szCs w:val="22"/>
        </w:rPr>
        <w:tab/>
      </w:r>
      <w:r w:rsidR="00247AF3" w:rsidRPr="00C07D82">
        <w:rPr>
          <w:rFonts w:cs="Arial"/>
          <w:snapToGrid w:val="0"/>
          <w:szCs w:val="22"/>
        </w:rPr>
        <w:t xml:space="preserve">68 Phan Dinh Phung st, Hanoi </w:t>
      </w:r>
    </w:p>
    <w:p w14:paraId="36A949A5" w14:textId="77777777" w:rsidR="00247AF3" w:rsidRPr="00C07D82" w:rsidRDefault="00A778DE" w:rsidP="00247AF3">
      <w:pPr>
        <w:spacing w:after="120"/>
        <w:ind w:left="360"/>
        <w:rPr>
          <w:rFonts w:cs="Arial"/>
          <w:snapToGrid w:val="0"/>
          <w:szCs w:val="22"/>
        </w:rPr>
      </w:pPr>
      <w:r w:rsidRPr="00C07D82">
        <w:rPr>
          <w:rFonts w:cs="Arial"/>
          <w:snapToGrid w:val="0"/>
          <w:color w:val="FF0000"/>
          <w:szCs w:val="22"/>
        </w:rPr>
        <w:tab/>
      </w:r>
      <w:r w:rsidRPr="00C07D82">
        <w:rPr>
          <w:rFonts w:cs="Arial"/>
          <w:snapToGrid w:val="0"/>
          <w:color w:val="FF0000"/>
          <w:szCs w:val="22"/>
        </w:rPr>
        <w:tab/>
      </w:r>
      <w:r w:rsidRPr="00C07D82">
        <w:rPr>
          <w:rFonts w:cs="Arial"/>
          <w:snapToGrid w:val="0"/>
          <w:color w:val="FF0000"/>
          <w:szCs w:val="22"/>
        </w:rPr>
        <w:tab/>
      </w:r>
      <w:r w:rsidRPr="00C07D82">
        <w:rPr>
          <w:rFonts w:cs="Arial"/>
          <w:snapToGrid w:val="0"/>
          <w:color w:val="FF0000"/>
          <w:szCs w:val="22"/>
        </w:rPr>
        <w:tab/>
      </w:r>
      <w:r w:rsidR="00247AF3" w:rsidRPr="00C07D82">
        <w:rPr>
          <w:rFonts w:cs="Arial"/>
          <w:snapToGrid w:val="0"/>
          <w:szCs w:val="22"/>
        </w:rPr>
        <w:t xml:space="preserve">84 4 </w:t>
      </w:r>
      <w:r w:rsidR="00292C1F" w:rsidRPr="00C07D82">
        <w:rPr>
          <w:rFonts w:eastAsia="MS PGothic"/>
          <w:lang w:val="en-US" w:eastAsia="ja-JP"/>
        </w:rPr>
        <w:t>3845 6795</w:t>
      </w:r>
    </w:p>
    <w:p w14:paraId="36A949A6" w14:textId="6A7CB202" w:rsidR="00247AF3" w:rsidRPr="00C07D82" w:rsidRDefault="00247AF3" w:rsidP="00247AF3">
      <w:pPr>
        <w:spacing w:after="120"/>
        <w:ind w:left="2880"/>
        <w:rPr>
          <w:rFonts w:cs="Arial"/>
          <w:snapToGrid w:val="0"/>
          <w:szCs w:val="22"/>
        </w:rPr>
      </w:pPr>
      <w:r w:rsidRPr="00C07D82">
        <w:rPr>
          <w:rFonts w:cs="Arial"/>
          <w:snapToGrid w:val="0"/>
          <w:szCs w:val="22"/>
        </w:rPr>
        <w:t>Attention</w:t>
      </w:r>
      <w:r w:rsidR="00426099" w:rsidRPr="00C07D82">
        <w:rPr>
          <w:rFonts w:cs="Arial"/>
          <w:snapToGrid w:val="0"/>
          <w:szCs w:val="22"/>
        </w:rPr>
        <w:t>:</w:t>
      </w:r>
      <w:r w:rsidRPr="00C07D82">
        <w:rPr>
          <w:rFonts w:cs="Arial"/>
          <w:snapToGrid w:val="0"/>
          <w:szCs w:val="22"/>
        </w:rPr>
        <w:t xml:space="preserve"> </w:t>
      </w:r>
      <w:r w:rsidR="00292C1F" w:rsidRPr="00C07D82">
        <w:rPr>
          <w:rFonts w:cs="Arial"/>
          <w:snapToGrid w:val="0"/>
          <w:szCs w:val="22"/>
        </w:rPr>
        <w:t xml:space="preserve">Mr </w:t>
      </w:r>
      <w:r w:rsidRPr="00C07D82">
        <w:rPr>
          <w:rFonts w:cs="Arial"/>
          <w:snapToGrid w:val="0"/>
          <w:szCs w:val="22"/>
        </w:rPr>
        <w:t xml:space="preserve">Nguyen Dinh Cung, </w:t>
      </w:r>
      <w:r w:rsidR="00027808" w:rsidRPr="00C07D82">
        <w:rPr>
          <w:rFonts w:cs="Arial"/>
          <w:snapToGrid w:val="0"/>
          <w:szCs w:val="22"/>
        </w:rPr>
        <w:t xml:space="preserve">President, </w:t>
      </w:r>
      <w:r w:rsidRPr="00C07D82">
        <w:rPr>
          <w:rFonts w:cs="Arial"/>
          <w:snapToGrid w:val="0"/>
          <w:szCs w:val="22"/>
        </w:rPr>
        <w:t xml:space="preserve">Project Director: </w:t>
      </w:r>
      <w:r w:rsidR="003B5A55" w:rsidRPr="00C07D82">
        <w:rPr>
          <w:rFonts w:cs="Arial"/>
          <w:snapToGrid w:val="0"/>
          <w:szCs w:val="22"/>
        </w:rPr>
        <w:t>R</w:t>
      </w:r>
      <w:r w:rsidR="003B5A55">
        <w:rPr>
          <w:rFonts w:cs="Arial"/>
          <w:snapToGrid w:val="0"/>
          <w:szCs w:val="22"/>
        </w:rPr>
        <w:t>CV</w:t>
      </w:r>
      <w:r w:rsidR="003B5A55" w:rsidRPr="00C07D82">
        <w:rPr>
          <w:rFonts w:cs="Arial"/>
          <w:snapToGrid w:val="0"/>
          <w:szCs w:val="22"/>
        </w:rPr>
        <w:t xml:space="preserve"> Project</w:t>
      </w:r>
    </w:p>
    <w:p w14:paraId="36A949A7" w14:textId="77777777" w:rsidR="00A778DE" w:rsidRPr="00C07D82" w:rsidRDefault="00A778DE" w:rsidP="00A778DE">
      <w:pPr>
        <w:spacing w:after="120"/>
        <w:ind w:left="360"/>
        <w:rPr>
          <w:rFonts w:cs="Arial"/>
          <w:snapToGrid w:val="0"/>
          <w:szCs w:val="22"/>
        </w:rPr>
      </w:pPr>
    </w:p>
    <w:p w14:paraId="36A949A8" w14:textId="77777777" w:rsidR="00A778DE" w:rsidRPr="00C07D82" w:rsidRDefault="00A778DE" w:rsidP="00A778DE">
      <w:pPr>
        <w:spacing w:after="120"/>
        <w:rPr>
          <w:rFonts w:cs="Arial"/>
          <w:snapToGrid w:val="0"/>
          <w:szCs w:val="22"/>
        </w:rPr>
      </w:pPr>
      <w:r w:rsidRPr="00C07D82">
        <w:rPr>
          <w:rFonts w:cs="Arial"/>
          <w:snapToGrid w:val="0"/>
          <w:szCs w:val="22"/>
        </w:rPr>
        <w:t>ANNEXURES to this Agreement form an integral part of it.</w:t>
      </w:r>
    </w:p>
    <w:p w14:paraId="36A949A9" w14:textId="77777777" w:rsidR="00A778DE" w:rsidRPr="00C07D82" w:rsidRDefault="00A778DE" w:rsidP="00A778DE">
      <w:pPr>
        <w:spacing w:after="120"/>
        <w:rPr>
          <w:rFonts w:cs="Arial"/>
          <w:snapToGrid w:val="0"/>
          <w:szCs w:val="22"/>
        </w:rPr>
      </w:pPr>
      <w:r w:rsidRPr="00C07D82">
        <w:rPr>
          <w:rFonts w:cs="Arial"/>
          <w:snapToGrid w:val="0"/>
          <w:szCs w:val="22"/>
        </w:rPr>
        <w:t>IN WITNESS THEREOF, the undersigned have signed this Agreement.</w:t>
      </w:r>
    </w:p>
    <w:p w14:paraId="36A949AA" w14:textId="665A4D15" w:rsidR="00A778DE" w:rsidRPr="00C07D82" w:rsidRDefault="003B5A55" w:rsidP="00A778DE">
      <w:pPr>
        <w:spacing w:after="480"/>
        <w:rPr>
          <w:rFonts w:cs="Arial"/>
          <w:snapToGrid w:val="0"/>
          <w:szCs w:val="22"/>
        </w:rPr>
      </w:pPr>
      <w:r w:rsidRPr="00C07D82">
        <w:rPr>
          <w:rFonts w:cs="Arial"/>
          <w:noProof/>
          <w:lang w:eastAsia="en-AU"/>
        </w:rPr>
        <mc:AlternateContent>
          <mc:Choice Requires="wps">
            <w:drawing>
              <wp:anchor distT="0" distB="0" distL="114300" distR="114300" simplePos="0" relativeHeight="251660288" behindDoc="0" locked="0" layoutInCell="1" allowOverlap="1" wp14:anchorId="36A94B5F" wp14:editId="491DF7F6">
                <wp:simplePos x="0" y="0"/>
                <wp:positionH relativeFrom="column">
                  <wp:posOffset>2769628</wp:posOffset>
                </wp:positionH>
                <wp:positionV relativeFrom="paragraph">
                  <wp:posOffset>423908</wp:posOffset>
                </wp:positionV>
                <wp:extent cx="3023870" cy="6236948"/>
                <wp:effectExtent l="0" t="0" r="508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62369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C19FC" w14:textId="77777777" w:rsidR="00E84308" w:rsidRPr="003B5A55" w:rsidRDefault="00E84308" w:rsidP="00164E14">
                            <w:pPr>
                              <w:jc w:val="center"/>
                              <w:rPr>
                                <w:rFonts w:cs="Arial"/>
                                <w:b/>
                                <w:snapToGrid w:val="0"/>
                              </w:rPr>
                            </w:pPr>
                            <w:r w:rsidRPr="003B5A55">
                              <w:rPr>
                                <w:rFonts w:cs="Arial"/>
                                <w:b/>
                                <w:snapToGrid w:val="0"/>
                              </w:rPr>
                              <w:t>FOR THE GOVERNMENT OF VIETNAM</w:t>
                            </w:r>
                          </w:p>
                          <w:p w14:paraId="1CFDC38C" w14:textId="77777777" w:rsidR="00E84308" w:rsidRPr="003B5A55" w:rsidRDefault="00E84308" w:rsidP="00164E14">
                            <w:pPr>
                              <w:jc w:val="center"/>
                              <w:rPr>
                                <w:rFonts w:cs="Arial"/>
                                <w:snapToGrid w:val="0"/>
                              </w:rPr>
                            </w:pPr>
                          </w:p>
                          <w:p w14:paraId="4E5DE5D5" w14:textId="77777777" w:rsidR="00E84308" w:rsidRPr="003B5A55" w:rsidRDefault="00E84308" w:rsidP="00164E14">
                            <w:pPr>
                              <w:jc w:val="center"/>
                              <w:rPr>
                                <w:rFonts w:cs="Arial"/>
                                <w:snapToGrid w:val="0"/>
                              </w:rPr>
                            </w:pPr>
                          </w:p>
                          <w:p w14:paraId="03470B6D" w14:textId="77777777" w:rsidR="00E84308" w:rsidRPr="003B5A55" w:rsidRDefault="00E84308" w:rsidP="00164E14">
                            <w:pPr>
                              <w:jc w:val="center"/>
                              <w:rPr>
                                <w:rFonts w:cs="Arial"/>
                                <w:snapToGrid w:val="0"/>
                              </w:rPr>
                            </w:pPr>
                          </w:p>
                          <w:p w14:paraId="547AD281" w14:textId="77777777" w:rsidR="00E84308" w:rsidRDefault="00E84308" w:rsidP="00164E14">
                            <w:pPr>
                              <w:jc w:val="center"/>
                              <w:rPr>
                                <w:rFonts w:cs="Arial"/>
                                <w:snapToGrid w:val="0"/>
                              </w:rPr>
                            </w:pPr>
                          </w:p>
                          <w:p w14:paraId="6DBD90B2" w14:textId="77777777" w:rsidR="00E84308" w:rsidRDefault="00E84308" w:rsidP="00164E14">
                            <w:pPr>
                              <w:jc w:val="center"/>
                              <w:rPr>
                                <w:rFonts w:cs="Arial"/>
                                <w:snapToGrid w:val="0"/>
                              </w:rPr>
                            </w:pPr>
                          </w:p>
                          <w:p w14:paraId="4E439405" w14:textId="77777777" w:rsidR="00E84308" w:rsidRPr="003B5A55" w:rsidRDefault="00E84308" w:rsidP="00164E14">
                            <w:pPr>
                              <w:jc w:val="center"/>
                              <w:rPr>
                                <w:rFonts w:cs="Arial"/>
                                <w:snapToGrid w:val="0"/>
                              </w:rPr>
                            </w:pPr>
                            <w:r w:rsidRPr="003B5A55">
                              <w:rPr>
                                <w:rFonts w:cs="Arial"/>
                                <w:snapToGrid w:val="0"/>
                              </w:rPr>
                              <w:t>……………………………..………………….</w:t>
                            </w:r>
                          </w:p>
                          <w:p w14:paraId="11926C92" w14:textId="77777777" w:rsidR="00E84308" w:rsidRPr="003B5A55" w:rsidRDefault="00E84308" w:rsidP="00164E14">
                            <w:pPr>
                              <w:jc w:val="center"/>
                              <w:rPr>
                                <w:rFonts w:cs="Arial"/>
                              </w:rPr>
                            </w:pPr>
                            <w:r w:rsidRPr="003B5A55">
                              <w:rPr>
                                <w:rFonts w:cs="Arial"/>
                              </w:rPr>
                              <w:t xml:space="preserve">Nguyen Dinh Cung, President </w:t>
                            </w:r>
                          </w:p>
                          <w:p w14:paraId="395BCDF8" w14:textId="77777777" w:rsidR="00E84308" w:rsidRPr="003B5A55" w:rsidRDefault="00E84308" w:rsidP="00164E14">
                            <w:pPr>
                              <w:jc w:val="center"/>
                              <w:rPr>
                                <w:rFonts w:cs="Arial"/>
                              </w:rPr>
                            </w:pPr>
                            <w:r w:rsidRPr="003B5A55">
                              <w:rPr>
                                <w:rFonts w:cs="Arial"/>
                              </w:rPr>
                              <w:t>The Central Institute for Economic Management</w:t>
                            </w:r>
                          </w:p>
                          <w:p w14:paraId="11F96E06" w14:textId="77777777" w:rsidR="00E84308" w:rsidRPr="003B5A55" w:rsidRDefault="00E84308" w:rsidP="00164E14">
                            <w:pPr>
                              <w:jc w:val="center"/>
                              <w:rPr>
                                <w:rFonts w:cs="Arial"/>
                              </w:rPr>
                            </w:pPr>
                            <w:r w:rsidRPr="003B5A55">
                              <w:rPr>
                                <w:rFonts w:cs="Arial"/>
                              </w:rPr>
                              <w:t xml:space="preserve">Ministry of Planning and Investment </w:t>
                            </w:r>
                          </w:p>
                          <w:p w14:paraId="28FEA83C" w14:textId="77777777" w:rsidR="00E84308" w:rsidRPr="003B5A55" w:rsidRDefault="00E84308" w:rsidP="00164E14">
                            <w:pPr>
                              <w:jc w:val="center"/>
                              <w:rPr>
                                <w:rFonts w:cs="Arial"/>
                              </w:rPr>
                            </w:pPr>
                            <w:r w:rsidRPr="003B5A55">
                              <w:rPr>
                                <w:rFonts w:cs="Arial"/>
                              </w:rPr>
                              <w:t>as Partner Government agency with primary responsibility for implementation</w:t>
                            </w:r>
                          </w:p>
                          <w:p w14:paraId="15881024" w14:textId="77777777" w:rsidR="00E84308" w:rsidRPr="003B5A55" w:rsidRDefault="00E84308" w:rsidP="00164E14">
                            <w:pPr>
                              <w:jc w:val="center"/>
                              <w:rPr>
                                <w:rFonts w:cs="Arial"/>
                              </w:rPr>
                            </w:pPr>
                          </w:p>
                          <w:p w14:paraId="1FDFF897" w14:textId="77777777" w:rsidR="00E84308" w:rsidRPr="003B5A55" w:rsidRDefault="00E84308" w:rsidP="00164E14">
                            <w:pPr>
                              <w:jc w:val="center"/>
                              <w:rPr>
                                <w:rFonts w:cs="Arial"/>
                                <w:snapToGrid w:val="0"/>
                              </w:rPr>
                            </w:pPr>
                          </w:p>
                          <w:p w14:paraId="6E508594" w14:textId="77777777" w:rsidR="00E84308" w:rsidRPr="003B5A55" w:rsidRDefault="00E84308" w:rsidP="00164E14">
                            <w:pPr>
                              <w:jc w:val="center"/>
                              <w:rPr>
                                <w:rFonts w:cs="Arial"/>
                                <w:snapToGrid w:val="0"/>
                              </w:rPr>
                            </w:pPr>
                          </w:p>
                          <w:p w14:paraId="1DBE62A0" w14:textId="77777777" w:rsidR="00E84308" w:rsidRDefault="00E84308" w:rsidP="00164E14">
                            <w:pPr>
                              <w:jc w:val="center"/>
                              <w:rPr>
                                <w:rFonts w:cs="Arial"/>
                                <w:snapToGrid w:val="0"/>
                              </w:rPr>
                            </w:pPr>
                          </w:p>
                          <w:p w14:paraId="36520BEB" w14:textId="77777777" w:rsidR="00E84308" w:rsidRPr="003B5A55" w:rsidRDefault="00E84308" w:rsidP="00164E14">
                            <w:pPr>
                              <w:jc w:val="center"/>
                              <w:rPr>
                                <w:rFonts w:cs="Arial"/>
                                <w:snapToGrid w:val="0"/>
                              </w:rPr>
                            </w:pPr>
                            <w:r w:rsidRPr="003B5A55">
                              <w:rPr>
                                <w:rFonts w:cs="Arial"/>
                                <w:snapToGrid w:val="0"/>
                              </w:rPr>
                              <w:t>………………………………………..………….</w:t>
                            </w:r>
                          </w:p>
                          <w:p w14:paraId="04A00C65" w14:textId="77777777" w:rsidR="00E84308" w:rsidRPr="003B5A55" w:rsidRDefault="00E84308" w:rsidP="00164E14">
                            <w:pPr>
                              <w:jc w:val="center"/>
                              <w:rPr>
                                <w:rFonts w:cs="Arial"/>
                              </w:rPr>
                            </w:pPr>
                            <w:r w:rsidRPr="003B5A55">
                              <w:rPr>
                                <w:rFonts w:cs="Arial"/>
                              </w:rPr>
                              <w:t>Bach Van Mung, Director General</w:t>
                            </w:r>
                          </w:p>
                          <w:p w14:paraId="51BC0CD9" w14:textId="0F850394" w:rsidR="00E84308" w:rsidRPr="003B5A55" w:rsidRDefault="00E84308" w:rsidP="00164E14">
                            <w:pPr>
                              <w:jc w:val="center"/>
                              <w:rPr>
                                <w:rFonts w:cs="Arial"/>
                              </w:rPr>
                            </w:pPr>
                            <w:r w:rsidRPr="003B5A55">
                              <w:rPr>
                                <w:rFonts w:cs="Arial"/>
                              </w:rPr>
                              <w:t>The Vietnam Competition Authority, Ministry of Industry and Trade</w:t>
                            </w:r>
                          </w:p>
                          <w:p w14:paraId="3645C251" w14:textId="77777777" w:rsidR="00E84308" w:rsidRPr="003B5A55" w:rsidRDefault="00E84308" w:rsidP="00164E14">
                            <w:pPr>
                              <w:jc w:val="center"/>
                              <w:rPr>
                                <w:rFonts w:cs="Arial"/>
                              </w:rPr>
                            </w:pPr>
                          </w:p>
                          <w:p w14:paraId="2D3C5CF7" w14:textId="77777777" w:rsidR="00E84308" w:rsidRPr="003B5A55" w:rsidRDefault="00E84308" w:rsidP="00164E14">
                            <w:pPr>
                              <w:jc w:val="center"/>
                              <w:rPr>
                                <w:rFonts w:cs="Arial"/>
                              </w:rPr>
                            </w:pPr>
                          </w:p>
                          <w:p w14:paraId="375D2B9F" w14:textId="77777777" w:rsidR="00E84308" w:rsidRPr="003B5A55" w:rsidRDefault="00E84308" w:rsidP="00164E14">
                            <w:pPr>
                              <w:jc w:val="center"/>
                              <w:rPr>
                                <w:rFonts w:cs="Arial"/>
                                <w:snapToGrid w:val="0"/>
                              </w:rPr>
                            </w:pPr>
                          </w:p>
                          <w:p w14:paraId="2BDA47D4" w14:textId="77777777" w:rsidR="00E84308" w:rsidRDefault="00E84308" w:rsidP="00164E14">
                            <w:pPr>
                              <w:jc w:val="center"/>
                              <w:rPr>
                                <w:rFonts w:cs="Arial"/>
                                <w:snapToGrid w:val="0"/>
                              </w:rPr>
                            </w:pPr>
                          </w:p>
                          <w:p w14:paraId="7FC74AC4" w14:textId="77777777" w:rsidR="00E84308" w:rsidRPr="003B5A55" w:rsidRDefault="00E84308" w:rsidP="00164E14">
                            <w:pPr>
                              <w:jc w:val="center"/>
                              <w:rPr>
                                <w:rFonts w:cs="Arial"/>
                                <w:snapToGrid w:val="0"/>
                              </w:rPr>
                            </w:pPr>
                            <w:r w:rsidRPr="003B5A55">
                              <w:rPr>
                                <w:rFonts w:cs="Arial"/>
                                <w:snapToGrid w:val="0"/>
                              </w:rPr>
                              <w:t>………………………………………..………….</w:t>
                            </w:r>
                          </w:p>
                          <w:p w14:paraId="1B8C35A5" w14:textId="77777777" w:rsidR="00E84308" w:rsidRPr="003B5A55" w:rsidRDefault="00E84308" w:rsidP="00164E14">
                            <w:pPr>
                              <w:jc w:val="center"/>
                              <w:rPr>
                                <w:rFonts w:cs="Arial"/>
                              </w:rPr>
                            </w:pPr>
                            <w:r w:rsidRPr="003B5A55">
                              <w:rPr>
                                <w:rFonts w:cs="Arial"/>
                              </w:rPr>
                              <w:t>Dang Kim Son, President</w:t>
                            </w:r>
                          </w:p>
                          <w:p w14:paraId="6CF2B8E8" w14:textId="77777777" w:rsidR="00E84308" w:rsidRPr="002B17E6" w:rsidRDefault="00E84308" w:rsidP="00164E14">
                            <w:pPr>
                              <w:jc w:val="center"/>
                              <w:rPr>
                                <w:rFonts w:ascii="Calibri" w:hAnsi="Calibri"/>
                              </w:rPr>
                            </w:pPr>
                            <w:r w:rsidRPr="003B5A55">
                              <w:rPr>
                                <w:rFonts w:cs="Arial"/>
                              </w:rPr>
                              <w:t>The Institute for Policy and Strategy of Agriculture and Rural Development, Ministry of Agriculture and Rural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8.1pt;margin-top:33.4pt;width:238.1pt;height:49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rdgwIAABE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" stroked="f">
                <v:textbox>
                  <w:txbxContent>
                    <w:p w14:paraId="7D7C19FC" w14:textId="77777777" w:rsidR="00E84308" w:rsidRPr="003B5A55" w:rsidRDefault="00E84308" w:rsidP="00164E14">
                      <w:pPr>
                        <w:jc w:val="center"/>
                        <w:rPr>
                          <w:rFonts w:cs="Arial"/>
                          <w:b/>
                          <w:snapToGrid w:val="0"/>
                        </w:rPr>
                      </w:pPr>
                      <w:r w:rsidRPr="003B5A55">
                        <w:rPr>
                          <w:rFonts w:cs="Arial"/>
                          <w:b/>
                          <w:snapToGrid w:val="0"/>
                        </w:rPr>
                        <w:t>FOR THE GOVERNMENT OF VIETNAM</w:t>
                      </w:r>
                    </w:p>
                    <w:p w14:paraId="1CFDC38C" w14:textId="77777777" w:rsidR="00E84308" w:rsidRPr="003B5A55" w:rsidRDefault="00E84308" w:rsidP="00164E14">
                      <w:pPr>
                        <w:jc w:val="center"/>
                        <w:rPr>
                          <w:rFonts w:cs="Arial"/>
                          <w:snapToGrid w:val="0"/>
                        </w:rPr>
                      </w:pPr>
                    </w:p>
                    <w:p w14:paraId="4E5DE5D5" w14:textId="77777777" w:rsidR="00E84308" w:rsidRPr="003B5A55" w:rsidRDefault="00E84308" w:rsidP="00164E14">
                      <w:pPr>
                        <w:jc w:val="center"/>
                        <w:rPr>
                          <w:rFonts w:cs="Arial"/>
                          <w:snapToGrid w:val="0"/>
                        </w:rPr>
                      </w:pPr>
                    </w:p>
                    <w:p w14:paraId="03470B6D" w14:textId="77777777" w:rsidR="00E84308" w:rsidRPr="003B5A55" w:rsidRDefault="00E84308" w:rsidP="00164E14">
                      <w:pPr>
                        <w:jc w:val="center"/>
                        <w:rPr>
                          <w:rFonts w:cs="Arial"/>
                          <w:snapToGrid w:val="0"/>
                        </w:rPr>
                      </w:pPr>
                    </w:p>
                    <w:p w14:paraId="547AD281" w14:textId="77777777" w:rsidR="00E84308" w:rsidRDefault="00E84308" w:rsidP="00164E14">
                      <w:pPr>
                        <w:jc w:val="center"/>
                        <w:rPr>
                          <w:rFonts w:cs="Arial"/>
                          <w:snapToGrid w:val="0"/>
                        </w:rPr>
                      </w:pPr>
                    </w:p>
                    <w:p w14:paraId="6DBD90B2" w14:textId="77777777" w:rsidR="00E84308" w:rsidRDefault="00E84308" w:rsidP="00164E14">
                      <w:pPr>
                        <w:jc w:val="center"/>
                        <w:rPr>
                          <w:rFonts w:cs="Arial"/>
                          <w:snapToGrid w:val="0"/>
                        </w:rPr>
                      </w:pPr>
                    </w:p>
                    <w:p w14:paraId="4E439405" w14:textId="77777777" w:rsidR="00E84308" w:rsidRPr="003B5A55" w:rsidRDefault="00E84308" w:rsidP="00164E14">
                      <w:pPr>
                        <w:jc w:val="center"/>
                        <w:rPr>
                          <w:rFonts w:cs="Arial"/>
                          <w:snapToGrid w:val="0"/>
                        </w:rPr>
                      </w:pPr>
                      <w:r w:rsidRPr="003B5A55">
                        <w:rPr>
                          <w:rFonts w:cs="Arial"/>
                          <w:snapToGrid w:val="0"/>
                        </w:rPr>
                        <w:t>……………………………..………………….</w:t>
                      </w:r>
                    </w:p>
                    <w:p w14:paraId="11926C92" w14:textId="77777777" w:rsidR="00E84308" w:rsidRPr="003B5A55" w:rsidRDefault="00E84308" w:rsidP="00164E14">
                      <w:pPr>
                        <w:jc w:val="center"/>
                        <w:rPr>
                          <w:rFonts w:cs="Arial"/>
                        </w:rPr>
                      </w:pPr>
                      <w:r w:rsidRPr="003B5A55">
                        <w:rPr>
                          <w:rFonts w:cs="Arial"/>
                        </w:rPr>
                        <w:t xml:space="preserve">Nguyen Dinh Cung, President </w:t>
                      </w:r>
                    </w:p>
                    <w:p w14:paraId="395BCDF8" w14:textId="77777777" w:rsidR="00E84308" w:rsidRPr="003B5A55" w:rsidRDefault="00E84308" w:rsidP="00164E14">
                      <w:pPr>
                        <w:jc w:val="center"/>
                        <w:rPr>
                          <w:rFonts w:cs="Arial"/>
                        </w:rPr>
                      </w:pPr>
                      <w:r w:rsidRPr="003B5A55">
                        <w:rPr>
                          <w:rFonts w:cs="Arial"/>
                        </w:rPr>
                        <w:t>The Central Institute for Economic Management</w:t>
                      </w:r>
                    </w:p>
                    <w:p w14:paraId="11F96E06" w14:textId="77777777" w:rsidR="00E84308" w:rsidRPr="003B5A55" w:rsidRDefault="00E84308" w:rsidP="00164E14">
                      <w:pPr>
                        <w:jc w:val="center"/>
                        <w:rPr>
                          <w:rFonts w:cs="Arial"/>
                        </w:rPr>
                      </w:pPr>
                      <w:r w:rsidRPr="003B5A55">
                        <w:rPr>
                          <w:rFonts w:cs="Arial"/>
                        </w:rPr>
                        <w:t xml:space="preserve">Ministry of Planning and Investment </w:t>
                      </w:r>
                    </w:p>
                    <w:p w14:paraId="28FEA83C" w14:textId="77777777" w:rsidR="00E84308" w:rsidRPr="003B5A55" w:rsidRDefault="00E84308" w:rsidP="00164E14">
                      <w:pPr>
                        <w:jc w:val="center"/>
                        <w:rPr>
                          <w:rFonts w:cs="Arial"/>
                        </w:rPr>
                      </w:pPr>
                      <w:r w:rsidRPr="003B5A55">
                        <w:rPr>
                          <w:rFonts w:cs="Arial"/>
                        </w:rPr>
                        <w:t>as Partner Government agency with primary responsibility for implementation</w:t>
                      </w:r>
                    </w:p>
                    <w:p w14:paraId="15881024" w14:textId="77777777" w:rsidR="00E84308" w:rsidRPr="003B5A55" w:rsidRDefault="00E84308" w:rsidP="00164E14">
                      <w:pPr>
                        <w:jc w:val="center"/>
                        <w:rPr>
                          <w:rFonts w:cs="Arial"/>
                        </w:rPr>
                      </w:pPr>
                    </w:p>
                    <w:p w14:paraId="1FDFF897" w14:textId="77777777" w:rsidR="00E84308" w:rsidRPr="003B5A55" w:rsidRDefault="00E84308" w:rsidP="00164E14">
                      <w:pPr>
                        <w:jc w:val="center"/>
                        <w:rPr>
                          <w:rFonts w:cs="Arial"/>
                          <w:snapToGrid w:val="0"/>
                        </w:rPr>
                      </w:pPr>
                    </w:p>
                    <w:p w14:paraId="6E508594" w14:textId="77777777" w:rsidR="00E84308" w:rsidRPr="003B5A55" w:rsidRDefault="00E84308" w:rsidP="00164E14">
                      <w:pPr>
                        <w:jc w:val="center"/>
                        <w:rPr>
                          <w:rFonts w:cs="Arial"/>
                          <w:snapToGrid w:val="0"/>
                        </w:rPr>
                      </w:pPr>
                    </w:p>
                    <w:p w14:paraId="1DBE62A0" w14:textId="77777777" w:rsidR="00E84308" w:rsidRDefault="00E84308" w:rsidP="00164E14">
                      <w:pPr>
                        <w:jc w:val="center"/>
                        <w:rPr>
                          <w:rFonts w:cs="Arial"/>
                          <w:snapToGrid w:val="0"/>
                        </w:rPr>
                      </w:pPr>
                    </w:p>
                    <w:p w14:paraId="36520BEB" w14:textId="77777777" w:rsidR="00E84308" w:rsidRPr="003B5A55" w:rsidRDefault="00E84308" w:rsidP="00164E14">
                      <w:pPr>
                        <w:jc w:val="center"/>
                        <w:rPr>
                          <w:rFonts w:cs="Arial"/>
                          <w:snapToGrid w:val="0"/>
                        </w:rPr>
                      </w:pPr>
                      <w:r w:rsidRPr="003B5A55">
                        <w:rPr>
                          <w:rFonts w:cs="Arial"/>
                          <w:snapToGrid w:val="0"/>
                        </w:rPr>
                        <w:t>………………………………………..………….</w:t>
                      </w:r>
                    </w:p>
                    <w:p w14:paraId="04A00C65" w14:textId="77777777" w:rsidR="00E84308" w:rsidRPr="003B5A55" w:rsidRDefault="00E84308" w:rsidP="00164E14">
                      <w:pPr>
                        <w:jc w:val="center"/>
                        <w:rPr>
                          <w:rFonts w:cs="Arial"/>
                        </w:rPr>
                      </w:pPr>
                      <w:r w:rsidRPr="003B5A55">
                        <w:rPr>
                          <w:rFonts w:cs="Arial"/>
                        </w:rPr>
                        <w:t>Bach Van Mung, Director General</w:t>
                      </w:r>
                    </w:p>
                    <w:p w14:paraId="51BC0CD9" w14:textId="0F850394" w:rsidR="00E84308" w:rsidRPr="003B5A55" w:rsidRDefault="00E84308" w:rsidP="00164E14">
                      <w:pPr>
                        <w:jc w:val="center"/>
                        <w:rPr>
                          <w:rFonts w:cs="Arial"/>
                        </w:rPr>
                      </w:pPr>
                      <w:r w:rsidRPr="003B5A55">
                        <w:rPr>
                          <w:rFonts w:cs="Arial"/>
                        </w:rPr>
                        <w:t>The Vietnam Competition Authority, Ministry of Industry and Trade</w:t>
                      </w:r>
                    </w:p>
                    <w:p w14:paraId="3645C251" w14:textId="77777777" w:rsidR="00E84308" w:rsidRPr="003B5A55" w:rsidRDefault="00E84308" w:rsidP="00164E14">
                      <w:pPr>
                        <w:jc w:val="center"/>
                        <w:rPr>
                          <w:rFonts w:cs="Arial"/>
                        </w:rPr>
                      </w:pPr>
                    </w:p>
                    <w:p w14:paraId="2D3C5CF7" w14:textId="77777777" w:rsidR="00E84308" w:rsidRPr="003B5A55" w:rsidRDefault="00E84308" w:rsidP="00164E14">
                      <w:pPr>
                        <w:jc w:val="center"/>
                        <w:rPr>
                          <w:rFonts w:cs="Arial"/>
                        </w:rPr>
                      </w:pPr>
                    </w:p>
                    <w:p w14:paraId="375D2B9F" w14:textId="77777777" w:rsidR="00E84308" w:rsidRPr="003B5A55" w:rsidRDefault="00E84308" w:rsidP="00164E14">
                      <w:pPr>
                        <w:jc w:val="center"/>
                        <w:rPr>
                          <w:rFonts w:cs="Arial"/>
                          <w:snapToGrid w:val="0"/>
                        </w:rPr>
                      </w:pPr>
                    </w:p>
                    <w:p w14:paraId="2BDA47D4" w14:textId="77777777" w:rsidR="00E84308" w:rsidRDefault="00E84308" w:rsidP="00164E14">
                      <w:pPr>
                        <w:jc w:val="center"/>
                        <w:rPr>
                          <w:rFonts w:cs="Arial"/>
                          <w:snapToGrid w:val="0"/>
                        </w:rPr>
                      </w:pPr>
                    </w:p>
                    <w:p w14:paraId="7FC74AC4" w14:textId="77777777" w:rsidR="00E84308" w:rsidRPr="003B5A55" w:rsidRDefault="00E84308" w:rsidP="00164E14">
                      <w:pPr>
                        <w:jc w:val="center"/>
                        <w:rPr>
                          <w:rFonts w:cs="Arial"/>
                          <w:snapToGrid w:val="0"/>
                        </w:rPr>
                      </w:pPr>
                      <w:r w:rsidRPr="003B5A55">
                        <w:rPr>
                          <w:rFonts w:cs="Arial"/>
                          <w:snapToGrid w:val="0"/>
                        </w:rPr>
                        <w:t>………………………………………..………….</w:t>
                      </w:r>
                    </w:p>
                    <w:p w14:paraId="1B8C35A5" w14:textId="77777777" w:rsidR="00E84308" w:rsidRPr="003B5A55" w:rsidRDefault="00E84308" w:rsidP="00164E14">
                      <w:pPr>
                        <w:jc w:val="center"/>
                        <w:rPr>
                          <w:rFonts w:cs="Arial"/>
                        </w:rPr>
                      </w:pPr>
                      <w:r w:rsidRPr="003B5A55">
                        <w:rPr>
                          <w:rFonts w:cs="Arial"/>
                        </w:rPr>
                        <w:t>Dang Kim Son, President</w:t>
                      </w:r>
                    </w:p>
                    <w:p w14:paraId="6CF2B8E8" w14:textId="77777777" w:rsidR="00E84308" w:rsidRPr="002B17E6" w:rsidRDefault="00E84308" w:rsidP="00164E14">
                      <w:pPr>
                        <w:jc w:val="center"/>
                        <w:rPr>
                          <w:rFonts w:ascii="Calibri" w:hAnsi="Calibri"/>
                        </w:rPr>
                      </w:pPr>
                      <w:r w:rsidRPr="003B5A55">
                        <w:rPr>
                          <w:rFonts w:cs="Arial"/>
                        </w:rPr>
                        <w:t>The Institute for Policy and Strategy of Agriculture and Rural Development, Ministry of Agriculture and Rural Development</w:t>
                      </w:r>
                    </w:p>
                  </w:txbxContent>
                </v:textbox>
              </v:shape>
            </w:pict>
          </mc:Fallback>
        </mc:AlternateContent>
      </w:r>
      <w:r w:rsidRPr="00C07D82">
        <w:rPr>
          <w:rFonts w:cs="Arial"/>
          <w:noProof/>
          <w:lang w:eastAsia="en-AU"/>
        </w:rPr>
        <mc:AlternateContent>
          <mc:Choice Requires="wps">
            <w:drawing>
              <wp:anchor distT="0" distB="0" distL="114300" distR="114300" simplePos="0" relativeHeight="251659264" behindDoc="0" locked="0" layoutInCell="1" allowOverlap="1" wp14:anchorId="36A94B61" wp14:editId="010184C8">
                <wp:simplePos x="0" y="0"/>
                <wp:positionH relativeFrom="column">
                  <wp:posOffset>0</wp:posOffset>
                </wp:positionH>
                <wp:positionV relativeFrom="paragraph">
                  <wp:posOffset>423545</wp:posOffset>
                </wp:positionV>
                <wp:extent cx="2590800" cy="2452370"/>
                <wp:effectExtent l="0" t="0" r="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52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94B7C" w14:textId="77777777" w:rsidR="00E84308" w:rsidRPr="003B5A55" w:rsidRDefault="00E84308" w:rsidP="00A778DE">
                            <w:pPr>
                              <w:jc w:val="center"/>
                              <w:rPr>
                                <w:rFonts w:cs="Arial"/>
                                <w:b/>
                                <w:snapToGrid w:val="0"/>
                              </w:rPr>
                            </w:pPr>
                            <w:r w:rsidRPr="003B5A55">
                              <w:rPr>
                                <w:rFonts w:cs="Arial"/>
                                <w:b/>
                                <w:snapToGrid w:val="0"/>
                              </w:rPr>
                              <w:t>FOR THE GOVERNMENT OF AUSTRALIA</w:t>
                            </w:r>
                          </w:p>
                          <w:p w14:paraId="36A94B7D" w14:textId="77777777" w:rsidR="00E84308" w:rsidRPr="003B5A55" w:rsidRDefault="00E84308" w:rsidP="00A778DE">
                            <w:pPr>
                              <w:rPr>
                                <w:rFonts w:cs="Arial"/>
                                <w:snapToGrid w:val="0"/>
                              </w:rPr>
                            </w:pPr>
                          </w:p>
                          <w:p w14:paraId="4D22F018" w14:textId="77777777" w:rsidR="00E84308" w:rsidRPr="003B5A55" w:rsidRDefault="00E84308" w:rsidP="00A778DE">
                            <w:pPr>
                              <w:jc w:val="center"/>
                              <w:rPr>
                                <w:rFonts w:cs="Arial"/>
                                <w:snapToGrid w:val="0"/>
                              </w:rPr>
                            </w:pPr>
                          </w:p>
                          <w:p w14:paraId="5061AE05" w14:textId="77777777" w:rsidR="00E84308" w:rsidRPr="003B5A55" w:rsidRDefault="00E84308" w:rsidP="00A778DE">
                            <w:pPr>
                              <w:jc w:val="center"/>
                              <w:rPr>
                                <w:rFonts w:cs="Arial"/>
                                <w:snapToGrid w:val="0"/>
                              </w:rPr>
                            </w:pPr>
                          </w:p>
                          <w:p w14:paraId="06EA8359" w14:textId="77777777" w:rsidR="00E84308" w:rsidRDefault="00E84308" w:rsidP="00A778DE">
                            <w:pPr>
                              <w:jc w:val="center"/>
                              <w:rPr>
                                <w:rFonts w:cs="Arial"/>
                                <w:snapToGrid w:val="0"/>
                              </w:rPr>
                            </w:pPr>
                          </w:p>
                          <w:p w14:paraId="36A94B7E" w14:textId="3AF5F984" w:rsidR="00E84308" w:rsidRPr="003B5A55" w:rsidRDefault="00E84308" w:rsidP="00A778DE">
                            <w:pPr>
                              <w:jc w:val="center"/>
                              <w:rPr>
                                <w:rFonts w:cs="Arial"/>
                                <w:snapToGrid w:val="0"/>
                              </w:rPr>
                            </w:pPr>
                            <w:r w:rsidRPr="003B5A55">
                              <w:rPr>
                                <w:rFonts w:cs="Arial"/>
                                <w:snapToGrid w:val="0"/>
                              </w:rPr>
                              <w:t>………………………….………………….</w:t>
                            </w:r>
                          </w:p>
                          <w:p w14:paraId="36A94B81" w14:textId="77777777" w:rsidR="00E84308" w:rsidRPr="003B5A55" w:rsidRDefault="00E84308" w:rsidP="00A778DE">
                            <w:pPr>
                              <w:jc w:val="center"/>
                              <w:rPr>
                                <w:rFonts w:cs="Arial"/>
                              </w:rPr>
                            </w:pPr>
                            <w:r w:rsidRPr="003B5A55">
                              <w:rPr>
                                <w:rFonts w:cs="Arial"/>
                              </w:rPr>
                              <w:t>Michael Wilson, Minister Counsellor, Development Cooperation, DFAT Hanoi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33.35pt;width:204pt;height:19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snhgIAABg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" stroked="f">
                <v:textbox>
                  <w:txbxContent>
                    <w:p w14:paraId="36A94B7C" w14:textId="77777777" w:rsidR="00E84308" w:rsidRPr="003B5A55" w:rsidRDefault="00E84308" w:rsidP="00A778DE">
                      <w:pPr>
                        <w:jc w:val="center"/>
                        <w:rPr>
                          <w:rFonts w:cs="Arial"/>
                          <w:b/>
                          <w:snapToGrid w:val="0"/>
                        </w:rPr>
                      </w:pPr>
                      <w:r w:rsidRPr="003B5A55">
                        <w:rPr>
                          <w:rFonts w:cs="Arial"/>
                          <w:b/>
                          <w:snapToGrid w:val="0"/>
                        </w:rPr>
                        <w:t>FOR THE GOVERNMENT OF AUSTRALIA</w:t>
                      </w:r>
                    </w:p>
                    <w:p w14:paraId="36A94B7D" w14:textId="77777777" w:rsidR="00E84308" w:rsidRPr="003B5A55" w:rsidRDefault="00E84308" w:rsidP="00A778DE">
                      <w:pPr>
                        <w:rPr>
                          <w:rFonts w:cs="Arial"/>
                          <w:snapToGrid w:val="0"/>
                        </w:rPr>
                      </w:pPr>
                    </w:p>
                    <w:p w14:paraId="4D22F018" w14:textId="77777777" w:rsidR="00E84308" w:rsidRPr="003B5A55" w:rsidRDefault="00E84308" w:rsidP="00A778DE">
                      <w:pPr>
                        <w:jc w:val="center"/>
                        <w:rPr>
                          <w:rFonts w:cs="Arial"/>
                          <w:snapToGrid w:val="0"/>
                        </w:rPr>
                      </w:pPr>
                    </w:p>
                    <w:p w14:paraId="5061AE05" w14:textId="77777777" w:rsidR="00E84308" w:rsidRPr="003B5A55" w:rsidRDefault="00E84308" w:rsidP="00A778DE">
                      <w:pPr>
                        <w:jc w:val="center"/>
                        <w:rPr>
                          <w:rFonts w:cs="Arial"/>
                          <w:snapToGrid w:val="0"/>
                        </w:rPr>
                      </w:pPr>
                    </w:p>
                    <w:p w14:paraId="06EA8359" w14:textId="77777777" w:rsidR="00E84308" w:rsidRDefault="00E84308" w:rsidP="00A778DE">
                      <w:pPr>
                        <w:jc w:val="center"/>
                        <w:rPr>
                          <w:rFonts w:cs="Arial"/>
                          <w:snapToGrid w:val="0"/>
                        </w:rPr>
                      </w:pPr>
                    </w:p>
                    <w:p w14:paraId="36A94B7E" w14:textId="3AF5F984" w:rsidR="00E84308" w:rsidRPr="003B5A55" w:rsidRDefault="00E84308" w:rsidP="00A778DE">
                      <w:pPr>
                        <w:jc w:val="center"/>
                        <w:rPr>
                          <w:rFonts w:cs="Arial"/>
                          <w:snapToGrid w:val="0"/>
                        </w:rPr>
                      </w:pPr>
                      <w:r w:rsidRPr="003B5A55">
                        <w:rPr>
                          <w:rFonts w:cs="Arial"/>
                          <w:snapToGrid w:val="0"/>
                        </w:rPr>
                        <w:t>………………………….………………….</w:t>
                      </w:r>
                    </w:p>
                    <w:p w14:paraId="36A94B81" w14:textId="77777777" w:rsidR="00E84308" w:rsidRPr="003B5A55" w:rsidRDefault="00E84308" w:rsidP="00A778DE">
                      <w:pPr>
                        <w:jc w:val="center"/>
                        <w:rPr>
                          <w:rFonts w:cs="Arial"/>
                        </w:rPr>
                      </w:pPr>
                      <w:r w:rsidRPr="003B5A55">
                        <w:rPr>
                          <w:rFonts w:cs="Arial"/>
                        </w:rPr>
                        <w:t>Michael Wilson, Minister Counsellor, Development Cooperation, DFAT Hanoi</w:t>
                      </w:r>
                    </w:p>
                  </w:txbxContent>
                </v:textbox>
              </v:shape>
            </w:pict>
          </mc:Fallback>
        </mc:AlternateContent>
      </w:r>
      <w:r w:rsidR="00A778DE" w:rsidRPr="00C07D82">
        <w:rPr>
          <w:rFonts w:cs="Arial"/>
          <w:snapToGrid w:val="0"/>
          <w:szCs w:val="22"/>
        </w:rPr>
        <w:t xml:space="preserve">Signed in </w:t>
      </w:r>
      <w:r w:rsidR="00482296" w:rsidRPr="00C07D82">
        <w:rPr>
          <w:rFonts w:cs="Arial"/>
          <w:snapToGrid w:val="0"/>
        </w:rPr>
        <w:t>q</w:t>
      </w:r>
      <w:r w:rsidR="00482296" w:rsidRPr="00C07D82">
        <w:rPr>
          <w:rFonts w:cs="Arial"/>
          <w:snapToGrid w:val="0"/>
          <w:szCs w:val="22"/>
        </w:rPr>
        <w:t>uadrupl</w:t>
      </w:r>
      <w:r w:rsidR="00482296" w:rsidRPr="00C07D82">
        <w:rPr>
          <w:rFonts w:cs="Arial"/>
          <w:snapToGrid w:val="0"/>
        </w:rPr>
        <w:t>icate</w:t>
      </w:r>
      <w:r w:rsidR="00482296" w:rsidRPr="00C07D82">
        <w:rPr>
          <w:rFonts w:cs="Arial"/>
          <w:snapToGrid w:val="0"/>
          <w:szCs w:val="22"/>
        </w:rPr>
        <w:t xml:space="preserve"> </w:t>
      </w:r>
      <w:r w:rsidR="00A778DE" w:rsidRPr="00C07D82">
        <w:rPr>
          <w:rFonts w:cs="Arial"/>
          <w:snapToGrid w:val="0"/>
          <w:szCs w:val="22"/>
        </w:rPr>
        <w:t xml:space="preserve">the </w:t>
      </w:r>
      <w:r>
        <w:rPr>
          <w:rFonts w:cs="Arial"/>
          <w:snapToGrid w:val="0"/>
          <w:szCs w:val="22"/>
        </w:rPr>
        <w:t>……</w:t>
      </w:r>
      <w:r w:rsidR="0065156E" w:rsidRPr="00C07D82">
        <w:rPr>
          <w:rFonts w:cs="Arial"/>
          <w:snapToGrid w:val="0"/>
          <w:szCs w:val="22"/>
          <w:vertAlign w:val="superscript"/>
        </w:rPr>
        <w:t xml:space="preserve">th </w:t>
      </w:r>
      <w:r w:rsidR="00A778DE" w:rsidRPr="00C07D82">
        <w:rPr>
          <w:rFonts w:cs="Arial"/>
          <w:snapToGrid w:val="0"/>
          <w:szCs w:val="22"/>
        </w:rPr>
        <w:t xml:space="preserve">day of </w:t>
      </w:r>
      <w:r w:rsidR="0065156E" w:rsidRPr="00C07D82">
        <w:rPr>
          <w:rFonts w:cs="Arial"/>
          <w:snapToGrid w:val="0"/>
          <w:szCs w:val="22"/>
        </w:rPr>
        <w:t>June</w:t>
      </w:r>
      <w:r w:rsidR="00426099" w:rsidRPr="00C07D82">
        <w:rPr>
          <w:rFonts w:cs="Arial"/>
          <w:snapToGrid w:val="0"/>
          <w:szCs w:val="22"/>
        </w:rPr>
        <w:t xml:space="preserve"> </w:t>
      </w:r>
      <w:r w:rsidR="00A778DE" w:rsidRPr="00C07D82">
        <w:rPr>
          <w:rFonts w:cs="Arial"/>
          <w:snapToGrid w:val="0"/>
          <w:szCs w:val="22"/>
        </w:rPr>
        <w:t xml:space="preserve">in the year of 2014 in </w:t>
      </w:r>
      <w:r w:rsidR="00506A3E" w:rsidRPr="00C07D82">
        <w:rPr>
          <w:rFonts w:cs="Arial"/>
          <w:snapToGrid w:val="0"/>
          <w:szCs w:val="22"/>
        </w:rPr>
        <w:t>four</w:t>
      </w:r>
      <w:r w:rsidR="00A778DE" w:rsidRPr="00C07D82">
        <w:rPr>
          <w:rFonts w:cs="Arial"/>
          <w:snapToGrid w:val="0"/>
          <w:szCs w:val="22"/>
        </w:rPr>
        <w:t xml:space="preserve"> (</w:t>
      </w:r>
      <w:r w:rsidR="00506A3E" w:rsidRPr="00C07D82">
        <w:rPr>
          <w:rFonts w:cs="Arial"/>
          <w:snapToGrid w:val="0"/>
          <w:szCs w:val="22"/>
        </w:rPr>
        <w:t>4</w:t>
      </w:r>
      <w:r w:rsidR="00A778DE" w:rsidRPr="00C07D82">
        <w:rPr>
          <w:rFonts w:cs="Arial"/>
          <w:snapToGrid w:val="0"/>
          <w:szCs w:val="22"/>
        </w:rPr>
        <w:t xml:space="preserve">) originals in the English </w:t>
      </w:r>
      <w:r w:rsidR="00697FA4" w:rsidRPr="00C07D82">
        <w:rPr>
          <w:rFonts w:cs="Arial"/>
          <w:snapToGrid w:val="0"/>
          <w:szCs w:val="22"/>
        </w:rPr>
        <w:t xml:space="preserve">and Vietnamese </w:t>
      </w:r>
      <w:r w:rsidR="00A778DE" w:rsidRPr="00C07D82">
        <w:rPr>
          <w:rFonts w:cs="Arial"/>
          <w:snapToGrid w:val="0"/>
          <w:szCs w:val="22"/>
        </w:rPr>
        <w:t>language</w:t>
      </w:r>
      <w:r w:rsidR="00697FA4" w:rsidRPr="00C07D82">
        <w:rPr>
          <w:rFonts w:cs="Arial"/>
          <w:snapToGrid w:val="0"/>
          <w:szCs w:val="22"/>
        </w:rPr>
        <w:t>s</w:t>
      </w:r>
      <w:r w:rsidR="00A778DE" w:rsidRPr="00C07D82">
        <w:rPr>
          <w:rFonts w:cs="Arial"/>
          <w:snapToGrid w:val="0"/>
          <w:szCs w:val="22"/>
        </w:rPr>
        <w:t>, both of the texts being equally authentic.</w:t>
      </w:r>
    </w:p>
    <w:p w14:paraId="36A949AB" w14:textId="31B2D0E1" w:rsidR="00A778DE" w:rsidRPr="00C07D82" w:rsidRDefault="00A778DE" w:rsidP="00A778DE">
      <w:pPr>
        <w:rPr>
          <w:rFonts w:cs="Arial"/>
          <w:snapToGrid w:val="0"/>
          <w:szCs w:val="22"/>
        </w:rPr>
      </w:pPr>
    </w:p>
    <w:p w14:paraId="36A949AC" w14:textId="77777777" w:rsidR="00A778DE" w:rsidRPr="00C07D82" w:rsidRDefault="00A778DE" w:rsidP="00A778DE">
      <w:pPr>
        <w:rPr>
          <w:rFonts w:cs="Arial"/>
          <w:szCs w:val="22"/>
        </w:rPr>
      </w:pPr>
    </w:p>
    <w:p w14:paraId="36A949AD" w14:textId="77777777" w:rsidR="000A7186" w:rsidRPr="00C07D82" w:rsidRDefault="000A7186"/>
    <w:p w14:paraId="36A949AE" w14:textId="77777777" w:rsidR="004E77C8" w:rsidRPr="00C07D82" w:rsidRDefault="004E77C8"/>
    <w:p w14:paraId="36A949AF" w14:textId="77777777" w:rsidR="004E77C8" w:rsidRPr="00C07D82" w:rsidRDefault="004E77C8"/>
    <w:p w14:paraId="36A949B0" w14:textId="77777777" w:rsidR="004E77C8" w:rsidRPr="00C07D82" w:rsidRDefault="004E77C8"/>
    <w:p w14:paraId="36A949B1" w14:textId="77777777" w:rsidR="004E77C8" w:rsidRPr="00C07D82" w:rsidRDefault="004E77C8"/>
    <w:p w14:paraId="36A949B2" w14:textId="77777777" w:rsidR="004E77C8" w:rsidRPr="00C07D82" w:rsidRDefault="004E77C8"/>
    <w:p w14:paraId="36A949B3" w14:textId="77777777" w:rsidR="004E77C8" w:rsidRPr="00C07D82" w:rsidRDefault="004E77C8"/>
    <w:p w14:paraId="36A949B4" w14:textId="77777777" w:rsidR="004E77C8" w:rsidRPr="00C07D82" w:rsidRDefault="004E77C8"/>
    <w:p w14:paraId="36A949B5" w14:textId="77777777" w:rsidR="004E77C8" w:rsidRPr="00C07D82" w:rsidRDefault="004E77C8"/>
    <w:p w14:paraId="36A949B6" w14:textId="77777777" w:rsidR="004E77C8" w:rsidRPr="00C07D82" w:rsidRDefault="004E77C8">
      <w:pPr>
        <w:spacing w:before="0" w:after="200" w:line="276" w:lineRule="auto"/>
      </w:pPr>
      <w:r w:rsidRPr="00C07D82">
        <w:br w:type="page"/>
      </w:r>
    </w:p>
    <w:p w14:paraId="36A949B7" w14:textId="77777777" w:rsidR="004E77C8" w:rsidRPr="00C07D82" w:rsidRDefault="004E77C8" w:rsidP="004E77C8">
      <w:pPr>
        <w:spacing w:after="120"/>
        <w:rPr>
          <w:rFonts w:asciiTheme="minorHAnsi" w:hAnsiTheme="minorHAnsi"/>
          <w:b/>
          <w:sz w:val="24"/>
        </w:rPr>
      </w:pPr>
      <w:r w:rsidRPr="00C07D82">
        <w:rPr>
          <w:rFonts w:asciiTheme="minorHAnsi" w:hAnsiTheme="minorHAnsi"/>
          <w:b/>
          <w:sz w:val="24"/>
          <w:u w:val="single"/>
        </w:rPr>
        <w:t>Annex 1</w:t>
      </w:r>
      <w:r w:rsidRPr="00C07D82">
        <w:rPr>
          <w:rFonts w:asciiTheme="minorHAnsi" w:hAnsiTheme="minorHAnsi"/>
          <w:b/>
          <w:sz w:val="24"/>
        </w:rPr>
        <w:t>: Summary outline of the Pro</w:t>
      </w:r>
      <w:r w:rsidR="00AB0979" w:rsidRPr="00C07D82">
        <w:rPr>
          <w:rFonts w:asciiTheme="minorHAnsi" w:hAnsiTheme="minorHAnsi"/>
          <w:b/>
          <w:sz w:val="24"/>
        </w:rPr>
        <w:t>ject</w:t>
      </w:r>
    </w:p>
    <w:p w14:paraId="36A949B9" w14:textId="77777777" w:rsidR="002A0C1D" w:rsidRPr="00C07D82" w:rsidRDefault="002A0C1D" w:rsidP="0065156E">
      <w:pPr>
        <w:pStyle w:val="Heading2"/>
        <w:spacing w:after="120"/>
        <w:rPr>
          <w:rFonts w:ascii="Arial" w:eastAsia="Times New Roman" w:hAnsi="Arial" w:cs="Arial"/>
          <w:bCs w:val="0"/>
          <w:color w:val="auto"/>
          <w:sz w:val="20"/>
          <w:szCs w:val="20"/>
          <w:lang w:eastAsia="en-AU"/>
        </w:rPr>
      </w:pPr>
      <w:bookmarkStart w:id="4" w:name="_Toc381803549"/>
      <w:r w:rsidRPr="00C07D82">
        <w:rPr>
          <w:rFonts w:ascii="Arial" w:eastAsia="Times New Roman" w:hAnsi="Arial" w:cs="Arial"/>
          <w:bCs w:val="0"/>
          <w:color w:val="auto"/>
          <w:sz w:val="20"/>
          <w:szCs w:val="20"/>
          <w:lang w:eastAsia="en-AU"/>
        </w:rPr>
        <w:t>Planned Development Outcomes</w:t>
      </w:r>
      <w:bookmarkEnd w:id="4"/>
    </w:p>
    <w:p w14:paraId="36A949BB" w14:textId="77777777" w:rsidR="002A0C1D" w:rsidRPr="00C07D82" w:rsidRDefault="002A0C1D" w:rsidP="002A0C1D">
      <w:pPr>
        <w:pStyle w:val="ListParagraph"/>
        <w:numPr>
          <w:ilvl w:val="0"/>
          <w:numId w:val="12"/>
        </w:numPr>
        <w:rPr>
          <w:lang w:val="en-AU"/>
        </w:rPr>
      </w:pPr>
      <w:r w:rsidRPr="00C07D82">
        <w:rPr>
          <w:lang w:val="en-AU"/>
        </w:rPr>
        <w:t xml:space="preserve">The Restructuring for a Competitive Vietnam (RCV) Project has been designed to support implementation of selected elements of the Government Master Plan on Economic Restructuring (MPER, 2013-2020). MPER goals supported by RCV are: </w:t>
      </w:r>
    </w:p>
    <w:p w14:paraId="36A949BC" w14:textId="3544EC76" w:rsidR="002A0C1D" w:rsidRPr="00C07D82" w:rsidRDefault="002A0C1D" w:rsidP="002A0C1D">
      <w:pPr>
        <w:pStyle w:val="ListParagraphindent"/>
      </w:pPr>
      <w:r w:rsidRPr="00C07D82">
        <w:t>Increased national economic competitiveness</w:t>
      </w:r>
      <w:r w:rsidR="00EF31A0" w:rsidRPr="00C07D82">
        <w:t>;</w:t>
      </w:r>
    </w:p>
    <w:p w14:paraId="36A949BD" w14:textId="30304C0D" w:rsidR="002A0C1D" w:rsidRPr="00C07D82" w:rsidRDefault="002A0C1D" w:rsidP="002A0C1D">
      <w:pPr>
        <w:pStyle w:val="ListParagraphindent"/>
      </w:pPr>
      <w:r w:rsidRPr="00C07D82">
        <w:t>Accelerated growth in labour productivity, employment and incomes</w:t>
      </w:r>
      <w:r w:rsidR="00EF31A0" w:rsidRPr="00C07D82">
        <w:t>; and</w:t>
      </w:r>
    </w:p>
    <w:p w14:paraId="36A949BE" w14:textId="77777777" w:rsidR="002A0C1D" w:rsidRPr="00C07D82" w:rsidRDefault="002A0C1D" w:rsidP="002A0C1D">
      <w:pPr>
        <w:pStyle w:val="ListParagraphindent"/>
      </w:pPr>
      <w:r w:rsidRPr="00C07D82">
        <w:t>Improved transparency in business regulation and reduce</w:t>
      </w:r>
      <w:r w:rsidR="00C24BFF" w:rsidRPr="00C07D82">
        <w:t>d</w:t>
      </w:r>
      <w:r w:rsidRPr="00C07D82">
        <w:t xml:space="preserve"> corruption.</w:t>
      </w:r>
    </w:p>
    <w:p w14:paraId="36A949BF" w14:textId="62AA8969" w:rsidR="002A0C1D" w:rsidRPr="00C07D82" w:rsidRDefault="002A0C1D" w:rsidP="002A0C1D">
      <w:pPr>
        <w:pStyle w:val="ListParagraph"/>
        <w:rPr>
          <w:lang w:val="en-AU"/>
        </w:rPr>
      </w:pPr>
      <w:r w:rsidRPr="00C07D82">
        <w:rPr>
          <w:lang w:val="en-AU"/>
        </w:rPr>
        <w:t xml:space="preserve">Key results expected from the program by </w:t>
      </w:r>
      <w:r w:rsidR="0038511E" w:rsidRPr="00C07D82">
        <w:rPr>
          <w:lang w:val="en-AU"/>
        </w:rPr>
        <w:t>December</w:t>
      </w:r>
      <w:r w:rsidRPr="00C07D82">
        <w:rPr>
          <w:lang w:val="en-AU"/>
        </w:rPr>
        <w:t xml:space="preserve"> 2016 are:</w:t>
      </w:r>
    </w:p>
    <w:p w14:paraId="36A949C0" w14:textId="47E258C0" w:rsidR="002A0C1D" w:rsidRPr="00C07D82" w:rsidRDefault="002A0C1D" w:rsidP="002A0C1D">
      <w:pPr>
        <w:pStyle w:val="ListParagraphindent"/>
      </w:pPr>
      <w:r w:rsidRPr="00C07D82">
        <w:t>Reductions in business compliance costs (following approval of revisions to the Enterprise and Investment Laws)</w:t>
      </w:r>
      <w:r w:rsidR="00EF31A0" w:rsidRPr="00C07D82">
        <w:t>;</w:t>
      </w:r>
    </w:p>
    <w:p w14:paraId="36A949C1" w14:textId="5173A945" w:rsidR="002A0C1D" w:rsidRPr="00C07D82" w:rsidRDefault="002A0C1D" w:rsidP="002A0C1D">
      <w:pPr>
        <w:pStyle w:val="ListParagraphindent"/>
      </w:pPr>
      <w:r w:rsidRPr="00C07D82">
        <w:t>Increase in the quantity and quality of the cases handled by the Vietnam Competition Agency</w:t>
      </w:r>
      <w:r w:rsidR="00EF31A0" w:rsidRPr="00C07D82">
        <w:t>;</w:t>
      </w:r>
    </w:p>
    <w:p w14:paraId="36A949C2" w14:textId="5D31AF01" w:rsidR="002A0C1D" w:rsidRPr="00C07D82" w:rsidRDefault="002A0C1D" w:rsidP="002A0C1D">
      <w:pPr>
        <w:pStyle w:val="ListParagraphindent"/>
      </w:pPr>
      <w:r w:rsidRPr="00C07D82">
        <w:t>Concrete actions taken by GoV to begin restructuring the rice value chain at national and central level</w:t>
      </w:r>
      <w:r w:rsidR="00EF31A0" w:rsidRPr="00C07D82">
        <w:t>; and</w:t>
      </w:r>
    </w:p>
    <w:p w14:paraId="36A949C3" w14:textId="77777777" w:rsidR="002A0C1D" w:rsidRPr="00C07D82" w:rsidRDefault="002A0C1D" w:rsidP="002A0C1D">
      <w:pPr>
        <w:pStyle w:val="ListParagraphindent"/>
      </w:pPr>
      <w:r w:rsidRPr="00C07D82">
        <w:t>Policy recommendation resulted in GoV, CPV’s strategic documents dealing with economic restructuring including restructuring of the rural economy.</w:t>
      </w:r>
    </w:p>
    <w:p w14:paraId="36A949C4" w14:textId="77777777" w:rsidR="002A0C1D" w:rsidRPr="00C07D82" w:rsidRDefault="002A0C1D" w:rsidP="002A0C1D">
      <w:pPr>
        <w:pStyle w:val="ListParagraph"/>
        <w:rPr>
          <w:lang w:val="en-AU"/>
        </w:rPr>
      </w:pPr>
      <w:r w:rsidRPr="00C07D82">
        <w:rPr>
          <w:lang w:val="en-AU"/>
        </w:rPr>
        <w:t xml:space="preserve">The program will help the GoV achieve these objectives via three targeted components and a flexible fund to respond to emerging priority issues linked to the economic restructuring program. The three components and planned outputs are: </w:t>
      </w:r>
    </w:p>
    <w:p w14:paraId="36A949C5" w14:textId="77777777" w:rsidR="002A0C1D" w:rsidRPr="00C07D82" w:rsidRDefault="002A0C1D" w:rsidP="002A0C1D">
      <w:pPr>
        <w:pStyle w:val="ListParagraphindent"/>
      </w:pPr>
      <w:r w:rsidRPr="00C07D82">
        <w:rPr>
          <w:u w:val="single"/>
        </w:rPr>
        <w:t>Enhanced business competitiveness and transparency</w:t>
      </w:r>
      <w:r w:rsidRPr="00C07D82">
        <w:t>. This Central Institute for Economic Management (CIEM)- Ministry of Planning and Investment (MPI) led component will result in:</w:t>
      </w:r>
    </w:p>
    <w:p w14:paraId="36A949C6" w14:textId="5613ABA1" w:rsidR="002A0C1D" w:rsidRPr="00C07D82" w:rsidRDefault="002A0C1D" w:rsidP="002A0C1D">
      <w:pPr>
        <w:pStyle w:val="ListParagraphindent2"/>
      </w:pPr>
      <w:r w:rsidRPr="00C07D82">
        <w:t>More business friendly Enterprise and Investment Law approved by National Assembly (in late 2014, with key implementing regulations approved by the GoV by 2015)</w:t>
      </w:r>
      <w:r w:rsidR="00EF31A0" w:rsidRPr="00C07D82">
        <w:t>;</w:t>
      </w:r>
    </w:p>
    <w:p w14:paraId="36A949C7" w14:textId="4BAC1967" w:rsidR="002A0C1D" w:rsidRPr="00C07D82" w:rsidRDefault="002A0C1D" w:rsidP="002A0C1D">
      <w:pPr>
        <w:pStyle w:val="ListParagraphindent2"/>
      </w:pPr>
      <w:r w:rsidRPr="00C07D82">
        <w:t>Diagnostic report on impediments to private sector development and to implementation of international economic commitments submitted to GoV (by end 2015)</w:t>
      </w:r>
      <w:r w:rsidR="00EF31A0" w:rsidRPr="00C07D82">
        <w:t>;</w:t>
      </w:r>
    </w:p>
    <w:p w14:paraId="36A949C8" w14:textId="24575D0F" w:rsidR="002A0C1D" w:rsidRPr="00C07D82" w:rsidRDefault="002A0C1D" w:rsidP="002A0C1D">
      <w:pPr>
        <w:pStyle w:val="ListParagraphindent2"/>
      </w:pPr>
      <w:r w:rsidRPr="00C07D82">
        <w:t>Quarterly and annual reports on progress and issues with MPER used by GoV to sustain pressures to implement the MPER, and to adapt MPER priority actions to meet changing circumstance</w:t>
      </w:r>
      <w:r w:rsidR="00EF31A0" w:rsidRPr="00C07D82">
        <w:t>; and</w:t>
      </w:r>
    </w:p>
    <w:p w14:paraId="36A949C9" w14:textId="77777777" w:rsidR="002A0C1D" w:rsidRPr="00C07D82" w:rsidRDefault="002A0C1D" w:rsidP="002A0C1D">
      <w:pPr>
        <w:pStyle w:val="ListParagraphindent2"/>
      </w:pPr>
      <w:r w:rsidRPr="00C07D82">
        <w:t xml:space="preserve">At least two </w:t>
      </w:r>
      <w:r w:rsidR="00C24BFF" w:rsidRPr="00C07D82">
        <w:t xml:space="preserve">high </w:t>
      </w:r>
      <w:r w:rsidRPr="00C07D82">
        <w:t>quality analytical reports on priority macro-economic and broader economic development issues submitted by the MPI to the national leadership and widely discussed in mass media (by 2016).</w:t>
      </w:r>
    </w:p>
    <w:p w14:paraId="36A949CA" w14:textId="77777777" w:rsidR="002A0C1D" w:rsidRPr="00C07D82" w:rsidRDefault="002A0C1D" w:rsidP="002A0C1D">
      <w:pPr>
        <w:pStyle w:val="ListParagraphindent"/>
      </w:pPr>
      <w:r w:rsidRPr="00C07D82">
        <w:rPr>
          <w:u w:val="single"/>
        </w:rPr>
        <w:t>Restructuring competition institutions in line with international commitments</w:t>
      </w:r>
      <w:r w:rsidRPr="00C07D82">
        <w:t>. The intended outputs of this Vietnam Competition Agency (VCA)- Ministry of Industry and Trade (MOIT) led component are:</w:t>
      </w:r>
    </w:p>
    <w:p w14:paraId="36A949CB" w14:textId="4699DDB8" w:rsidR="002A0C1D" w:rsidRPr="00C07D82" w:rsidRDefault="002A0C1D" w:rsidP="002A0C1D">
      <w:pPr>
        <w:pStyle w:val="ListParagraphindent2"/>
      </w:pPr>
      <w:r w:rsidRPr="00C07D82">
        <w:t>Enhanced evidence base, information and skill to enforce competition policy</w:t>
      </w:r>
      <w:r w:rsidR="00EF31A0" w:rsidRPr="00C07D82">
        <w:t>;</w:t>
      </w:r>
    </w:p>
    <w:p w14:paraId="36A949CC" w14:textId="17DBAA72" w:rsidR="002A0C1D" w:rsidRPr="00C07D82" w:rsidRDefault="002A0C1D" w:rsidP="002A0C1D">
      <w:pPr>
        <w:pStyle w:val="ListParagraphindent2"/>
      </w:pPr>
      <w:r w:rsidRPr="00C07D82">
        <w:t>Enhanced policies, systems and support to minimize the negative impact of anti-dumping actions and other trade remedies</w:t>
      </w:r>
      <w:r w:rsidR="00EF31A0" w:rsidRPr="00C07D82">
        <w:t>; and</w:t>
      </w:r>
    </w:p>
    <w:p w14:paraId="36A949CD" w14:textId="77777777" w:rsidR="002A0C1D" w:rsidRPr="00C07D82" w:rsidRDefault="002A0C1D" w:rsidP="002A0C1D">
      <w:pPr>
        <w:pStyle w:val="ListParagraphindent2"/>
      </w:pPr>
      <w:r w:rsidRPr="00C07D82">
        <w:t>Expanded early warning systems on potential trade defence cases.</w:t>
      </w:r>
    </w:p>
    <w:p w14:paraId="36A949CE" w14:textId="77777777" w:rsidR="002A0C1D" w:rsidRPr="00C07D82" w:rsidRDefault="002A0C1D" w:rsidP="002A0C1D">
      <w:pPr>
        <w:pStyle w:val="ListParagraphindent"/>
      </w:pPr>
      <w:r w:rsidRPr="00C07D82">
        <w:rPr>
          <w:u w:val="single"/>
        </w:rPr>
        <w:t>Restructuring the rural economy to increase value added</w:t>
      </w:r>
      <w:r w:rsidRPr="00C07D82">
        <w:t>. This Institute for Policy and Strategy of Agriculture and Rural Development (IPSARD)- Ministry of Agriculture and Rural Development (MARD) led component will result in the following outputs:</w:t>
      </w:r>
    </w:p>
    <w:p w14:paraId="36A949CF" w14:textId="61269FA5" w:rsidR="002A0C1D" w:rsidRPr="00C07D82" w:rsidRDefault="002A0C1D" w:rsidP="002A0C1D">
      <w:pPr>
        <w:pStyle w:val="ListParagraphindent2"/>
      </w:pPr>
      <w:r w:rsidRPr="00C07D82">
        <w:t>Analysis and reports contribute to improved institutional structure for rice value chain collaboration in Dong Thap supported by representatives of all stages of the rice value chain</w:t>
      </w:r>
      <w:r w:rsidR="00EF31A0" w:rsidRPr="00C07D82">
        <w:t>;</w:t>
      </w:r>
    </w:p>
    <w:p w14:paraId="36A949D0" w14:textId="21C75AAE" w:rsidR="002A0C1D" w:rsidRPr="00C07D82" w:rsidRDefault="002A0C1D" w:rsidP="002A0C1D">
      <w:pPr>
        <w:pStyle w:val="ListParagraphindent2"/>
      </w:pPr>
      <w:r w:rsidRPr="00C07D82">
        <w:t>Reports on modelling of impacts of rice value chain restructuring (including proposed reforms to paddy land reservation policies, and proposed reforms to increase competition in rice exports in line with international commitments) submitted to Minister, Ministry of Agriculture and Rural Development (MARD)</w:t>
      </w:r>
      <w:r w:rsidR="00EF31A0" w:rsidRPr="00C07D82">
        <w:t>; and</w:t>
      </w:r>
    </w:p>
    <w:p w14:paraId="36A949D1" w14:textId="77777777" w:rsidR="002A0C1D" w:rsidRPr="00C07D82" w:rsidRDefault="002A0C1D" w:rsidP="002A0C1D">
      <w:pPr>
        <w:pStyle w:val="ListParagraphindent2"/>
      </w:pPr>
      <w:r w:rsidRPr="00C07D82">
        <w:t xml:space="preserve">Policy dialogue on rice value chain restructuring issues reflected in media coverage and public awareness of issues and policy options. </w:t>
      </w:r>
    </w:p>
    <w:p w14:paraId="36A949D2" w14:textId="77777777" w:rsidR="002A0C1D" w:rsidRPr="00C07D82" w:rsidRDefault="002A0C1D" w:rsidP="004B75D0">
      <w:pPr>
        <w:pStyle w:val="Heading2"/>
        <w:spacing w:after="120"/>
        <w:rPr>
          <w:rFonts w:ascii="Arial" w:eastAsia="Times New Roman" w:hAnsi="Arial" w:cs="Arial"/>
          <w:bCs w:val="0"/>
          <w:color w:val="auto"/>
          <w:sz w:val="20"/>
          <w:szCs w:val="20"/>
          <w:lang w:eastAsia="en-AU"/>
        </w:rPr>
      </w:pPr>
      <w:bookmarkStart w:id="5" w:name="_Toc381803550"/>
      <w:r w:rsidRPr="00C07D82">
        <w:rPr>
          <w:rFonts w:ascii="Arial" w:eastAsia="Times New Roman" w:hAnsi="Arial" w:cs="Arial"/>
          <w:bCs w:val="0"/>
          <w:color w:val="auto"/>
          <w:sz w:val="20"/>
          <w:szCs w:val="20"/>
          <w:lang w:eastAsia="en-AU"/>
        </w:rPr>
        <w:t>Timeframe and Resource Commitments</w:t>
      </w:r>
      <w:bookmarkEnd w:id="5"/>
    </w:p>
    <w:p w14:paraId="36A949D4" w14:textId="420E92E9" w:rsidR="002A0C1D" w:rsidRPr="00C07D82" w:rsidRDefault="002A0C1D" w:rsidP="002A0C1D">
      <w:pPr>
        <w:pStyle w:val="ListParagraph"/>
        <w:rPr>
          <w:lang w:val="en-AU"/>
        </w:rPr>
      </w:pPr>
      <w:r w:rsidRPr="00C07D82">
        <w:rPr>
          <w:lang w:val="en-AU"/>
        </w:rPr>
        <w:t xml:space="preserve">The initial pilot program will be implemented during 2 years </w:t>
      </w:r>
      <w:r w:rsidR="00931032">
        <w:rPr>
          <w:lang w:val="en-AU"/>
        </w:rPr>
        <w:t>6</w:t>
      </w:r>
      <w:r w:rsidRPr="00C07D82">
        <w:rPr>
          <w:lang w:val="en-AU"/>
        </w:rPr>
        <w:t xml:space="preserve"> months from </w:t>
      </w:r>
      <w:r w:rsidR="00931032">
        <w:rPr>
          <w:lang w:val="en-AU"/>
        </w:rPr>
        <w:t>June</w:t>
      </w:r>
      <w:r w:rsidRPr="00C07D82">
        <w:rPr>
          <w:lang w:val="en-AU"/>
        </w:rPr>
        <w:t xml:space="preserve"> 2014 to </w:t>
      </w:r>
      <w:r w:rsidR="00027808" w:rsidRPr="00C07D82">
        <w:rPr>
          <w:lang w:val="en-AU"/>
        </w:rPr>
        <w:t xml:space="preserve">December </w:t>
      </w:r>
      <w:r w:rsidRPr="00C07D82">
        <w:rPr>
          <w:lang w:val="en-AU"/>
        </w:rPr>
        <w:t>2016 with the budget up to AUD</w:t>
      </w:r>
      <w:r w:rsidR="00027808" w:rsidRPr="00C07D82">
        <w:rPr>
          <w:lang w:val="en-AU"/>
        </w:rPr>
        <w:t>3</w:t>
      </w:r>
      <w:r w:rsidRPr="00C07D82">
        <w:rPr>
          <w:lang w:val="en-AU"/>
        </w:rPr>
        <w:t>,</w:t>
      </w:r>
      <w:r w:rsidR="00027808" w:rsidRPr="00C07D82">
        <w:rPr>
          <w:lang w:val="en-AU"/>
        </w:rPr>
        <w:t>1</w:t>
      </w:r>
      <w:r w:rsidRPr="00C07D82">
        <w:rPr>
          <w:lang w:val="en-AU"/>
        </w:rPr>
        <w:t>00,000. The Government of Australia will provide grant financing of AUD2,</w:t>
      </w:r>
      <w:r w:rsidR="00027808" w:rsidRPr="00C07D82">
        <w:rPr>
          <w:lang w:val="en-AU"/>
        </w:rPr>
        <w:t>5</w:t>
      </w:r>
      <w:r w:rsidRPr="00C07D82">
        <w:rPr>
          <w:lang w:val="en-AU"/>
        </w:rPr>
        <w:t>00,000, technical assistance</w:t>
      </w:r>
      <w:r w:rsidR="00027808" w:rsidRPr="00C07D82">
        <w:rPr>
          <w:lang w:val="en-AU"/>
        </w:rPr>
        <w:t xml:space="preserve"> including supervision/evaluation and design of the new phase</w:t>
      </w:r>
      <w:r w:rsidRPr="00C07D82">
        <w:rPr>
          <w:lang w:val="en-AU"/>
        </w:rPr>
        <w:t xml:space="preserve"> of AUD</w:t>
      </w:r>
      <w:r w:rsidR="00027808" w:rsidRPr="00C07D82">
        <w:rPr>
          <w:lang w:val="en-AU"/>
        </w:rPr>
        <w:t>6</w:t>
      </w:r>
      <w:r w:rsidRPr="00C07D82">
        <w:rPr>
          <w:lang w:val="en-AU"/>
        </w:rPr>
        <w:t>00,000. The G</w:t>
      </w:r>
      <w:r w:rsidR="00EF31A0" w:rsidRPr="00C07D82">
        <w:rPr>
          <w:lang w:val="en-AU"/>
        </w:rPr>
        <w:t>O</w:t>
      </w:r>
      <w:r w:rsidRPr="00C07D82">
        <w:rPr>
          <w:lang w:val="en-AU"/>
        </w:rPr>
        <w:t xml:space="preserve">V will provide, through the implementing agencies, </w:t>
      </w:r>
      <w:r w:rsidR="004431F0" w:rsidRPr="00C07D82">
        <w:rPr>
          <w:lang w:val="en-AU"/>
        </w:rPr>
        <w:t>the counter funding of</w:t>
      </w:r>
      <w:r w:rsidRPr="00C07D82">
        <w:rPr>
          <w:lang w:val="en-AU"/>
        </w:rPr>
        <w:t xml:space="preserve"> AUD1</w:t>
      </w:r>
      <w:r w:rsidR="004431F0" w:rsidRPr="00C07D82">
        <w:rPr>
          <w:lang w:val="en-AU"/>
        </w:rPr>
        <w:t>22</w:t>
      </w:r>
      <w:r w:rsidRPr="00C07D82">
        <w:rPr>
          <w:lang w:val="en-AU"/>
        </w:rPr>
        <w:t>,000. Considerable in-kind contributions (mostly in the form of people’s time) are expected from the private sector, media, business associations, research institutes, and the broader community.</w:t>
      </w:r>
    </w:p>
    <w:p w14:paraId="36A949D5" w14:textId="3DAB3F0A" w:rsidR="00313BB2" w:rsidRPr="00C07D82" w:rsidRDefault="00313BB2" w:rsidP="00313BB2">
      <w:pPr>
        <w:pStyle w:val="ListParagraph"/>
        <w:rPr>
          <w:lang w:val="en-AU"/>
        </w:rPr>
      </w:pPr>
      <w:r w:rsidRPr="00C07D82">
        <w:rPr>
          <w:lang w:val="en-AU"/>
        </w:rPr>
        <w:t xml:space="preserve">Component 4- the Flexible Fund is estimated of AUD600,000 in value out of the total program budget of AUD3,100,000. The PD is responsible for endorsing proposals for financing using of flexible fund. The PD will submit endorsed proposals for funding greater than AUD20,000 to </w:t>
      </w:r>
      <w:r w:rsidR="00F7155D" w:rsidRPr="00C07D82">
        <w:rPr>
          <w:lang w:val="en-AU"/>
        </w:rPr>
        <w:t>GOA</w:t>
      </w:r>
      <w:r w:rsidRPr="00C07D82">
        <w:rPr>
          <w:lang w:val="en-AU"/>
        </w:rPr>
        <w:t xml:space="preserve"> for no objection (i.e. final clearance to proceed with implementation). </w:t>
      </w:r>
      <w:r w:rsidR="00F7155D" w:rsidRPr="00C07D82">
        <w:rPr>
          <w:lang w:val="en-AU"/>
        </w:rPr>
        <w:t>GOA</w:t>
      </w:r>
      <w:r w:rsidRPr="00C07D82">
        <w:rPr>
          <w:lang w:val="en-AU"/>
        </w:rPr>
        <w:t>, the SAG, and/or the PCC members may suggest priority areas to the PD through the PCU. STA and relevant SAG members will appraise these proposals against a limited set of key selection criteria, including relevance to targeted criteria; design logic; expected impacts and beneficiaries; contributions to promoting inclusive/equitable outcomes; cost effectiveness (value for money) and risk. Clear criteria for section of activities from the Flex</w:t>
      </w:r>
      <w:r w:rsidR="00035FF3" w:rsidRPr="00C07D82">
        <w:rPr>
          <w:lang w:val="en-AU"/>
        </w:rPr>
        <w:t>i</w:t>
      </w:r>
      <w:r w:rsidRPr="00C07D82">
        <w:rPr>
          <w:lang w:val="en-AU"/>
        </w:rPr>
        <w:t xml:space="preserve">ble Fund, appraisal and approval process will be detailed in the Program Operational Manual. Possible activities are policy dialogues led by the Economic Commissions of the National Assembly or the Communist Party of Vietnam; </w:t>
      </w:r>
      <w:r w:rsidR="00035FF3" w:rsidRPr="00C07D82">
        <w:rPr>
          <w:lang w:val="en-AU"/>
        </w:rPr>
        <w:t>impact assessment activities and</w:t>
      </w:r>
      <w:r w:rsidRPr="00C07D82">
        <w:rPr>
          <w:lang w:val="en-AU"/>
        </w:rPr>
        <w:t xml:space="preserve"> practical pilot project at the local level on priorities emerging issues that are identified as the result of improved quality monitoring of the MEPR. </w:t>
      </w:r>
    </w:p>
    <w:p w14:paraId="36A949D6" w14:textId="18EF7D2D" w:rsidR="002A0C1D" w:rsidRPr="00C07D82" w:rsidRDefault="002A0C1D" w:rsidP="002A0C1D">
      <w:pPr>
        <w:pStyle w:val="ListParagraph"/>
        <w:rPr>
          <w:lang w:val="en-AU"/>
        </w:rPr>
      </w:pPr>
      <w:r w:rsidRPr="00C07D82">
        <w:rPr>
          <w:lang w:val="en-AU"/>
        </w:rPr>
        <w:t>A review of t</w:t>
      </w:r>
      <w:r w:rsidR="0080280F" w:rsidRPr="00C07D82">
        <w:rPr>
          <w:lang w:val="en-AU"/>
        </w:rPr>
        <w:t xml:space="preserve">he program will be conducted in the first half of </w:t>
      </w:r>
      <w:r w:rsidRPr="00C07D82">
        <w:rPr>
          <w:lang w:val="en-AU"/>
        </w:rPr>
        <w:t>201</w:t>
      </w:r>
      <w:r w:rsidR="00F01EA3">
        <w:rPr>
          <w:lang w:val="en-AU"/>
        </w:rPr>
        <w:t>6</w:t>
      </w:r>
      <w:r w:rsidRPr="00C07D82">
        <w:rPr>
          <w:lang w:val="en-AU"/>
        </w:rPr>
        <w:t xml:space="preserve"> </w:t>
      </w:r>
      <w:r w:rsidR="00027808" w:rsidRPr="00C07D82">
        <w:rPr>
          <w:lang w:val="en-AU"/>
        </w:rPr>
        <w:t xml:space="preserve">to assess the effectiveness of the program and design a new phase to 2020 </w:t>
      </w:r>
      <w:r w:rsidRPr="00C07D82">
        <w:rPr>
          <w:lang w:val="en-AU"/>
        </w:rPr>
        <w:t xml:space="preserve">to support </w:t>
      </w:r>
      <w:r w:rsidR="00027808" w:rsidRPr="00C07D82">
        <w:rPr>
          <w:lang w:val="en-AU"/>
        </w:rPr>
        <w:t xml:space="preserve">priorities of the </w:t>
      </w:r>
      <w:r w:rsidRPr="00C07D82">
        <w:rPr>
          <w:lang w:val="en-AU"/>
        </w:rPr>
        <w:t>new National Socio-economic Development Plan (SEDP 2016-2020).</w:t>
      </w:r>
    </w:p>
    <w:p w14:paraId="36A949D7" w14:textId="77777777" w:rsidR="002A0C1D" w:rsidRPr="00C07D82" w:rsidRDefault="002A0C1D" w:rsidP="0039732B">
      <w:pPr>
        <w:pStyle w:val="Heading2"/>
        <w:spacing w:after="120"/>
        <w:rPr>
          <w:rFonts w:ascii="Arial" w:eastAsia="Times New Roman" w:hAnsi="Arial" w:cs="Arial"/>
          <w:bCs w:val="0"/>
          <w:color w:val="auto"/>
          <w:sz w:val="20"/>
          <w:szCs w:val="20"/>
          <w:lang w:eastAsia="en-AU"/>
        </w:rPr>
      </w:pPr>
      <w:bookmarkStart w:id="6" w:name="_Toc381803551"/>
      <w:r w:rsidRPr="00C07D82">
        <w:rPr>
          <w:rFonts w:ascii="Arial" w:eastAsia="Times New Roman" w:hAnsi="Arial" w:cs="Arial"/>
          <w:bCs w:val="0"/>
          <w:color w:val="auto"/>
          <w:sz w:val="20"/>
          <w:szCs w:val="20"/>
          <w:lang w:eastAsia="en-AU"/>
        </w:rPr>
        <w:t>Delivery Approach and Key Partnerships</w:t>
      </w:r>
      <w:bookmarkEnd w:id="6"/>
    </w:p>
    <w:p w14:paraId="36A949D9" w14:textId="5463C752" w:rsidR="002A0C1D" w:rsidRPr="00C07D82" w:rsidRDefault="002A0C1D" w:rsidP="002A0C1D">
      <w:pPr>
        <w:pStyle w:val="ListParagraph"/>
        <w:rPr>
          <w:lang w:val="en-AU"/>
        </w:rPr>
      </w:pPr>
      <w:r w:rsidRPr="00C07D82">
        <w:rPr>
          <w:lang w:val="en-AU"/>
        </w:rPr>
        <w:t>CIEM will be the lead agency responsible for overall program delivery. M</w:t>
      </w:r>
      <w:r w:rsidR="00FA0D1D" w:rsidRPr="00C07D82">
        <w:rPr>
          <w:lang w:val="en-AU"/>
        </w:rPr>
        <w:t>PI</w:t>
      </w:r>
      <w:r w:rsidRPr="00C07D82">
        <w:rPr>
          <w:lang w:val="en-AU"/>
        </w:rPr>
        <w:t xml:space="preserve"> will appoint a Project Director (PD) to oversee the program. CIEM, VCA and IPSARD will be responsible and accountable for effective and efficient delivery of component outputs as discussed above. Component implementing agencies will appoint Component Directors (CDs). CIEM will be responsible for the overall program management and coordination, and for the implementation of the Flexible Fund to respond quickly to emerging policy issues. </w:t>
      </w:r>
    </w:p>
    <w:p w14:paraId="36A949DA" w14:textId="77777777" w:rsidR="002A0C1D" w:rsidRPr="00C07D82" w:rsidRDefault="002A0C1D" w:rsidP="002A0C1D">
      <w:pPr>
        <w:pStyle w:val="ListParagraph"/>
        <w:rPr>
          <w:lang w:val="en-AU"/>
        </w:rPr>
      </w:pPr>
      <w:r w:rsidRPr="00C07D82">
        <w:rPr>
          <w:lang w:val="en-AU"/>
        </w:rPr>
        <w:t xml:space="preserve">A Project Coordination Committee (PCC) will be established and meet at least every six months to review progress and implementation issues. PD, CDs and </w:t>
      </w:r>
      <w:r w:rsidR="008D3D01" w:rsidRPr="00C07D82">
        <w:rPr>
          <w:lang w:val="en-AU"/>
        </w:rPr>
        <w:t>GOA</w:t>
      </w:r>
      <w:r w:rsidRPr="00C07D82">
        <w:rPr>
          <w:lang w:val="en-AU"/>
        </w:rPr>
        <w:t xml:space="preserve"> will participate in the PCC. The PD and </w:t>
      </w:r>
      <w:r w:rsidR="008D3D01" w:rsidRPr="00C07D82">
        <w:rPr>
          <w:lang w:val="en-AU"/>
        </w:rPr>
        <w:t>GOA</w:t>
      </w:r>
      <w:r w:rsidRPr="00C07D82">
        <w:rPr>
          <w:lang w:val="en-AU"/>
        </w:rPr>
        <w:t xml:space="preserve"> may decide to invite other observers (such as representative of Senior Advisory Group (SAG), National Assembly (NA) or CPV) if that is seen as advancing the Project objectives.</w:t>
      </w:r>
    </w:p>
    <w:p w14:paraId="36A949DB" w14:textId="77777777" w:rsidR="002A0C1D" w:rsidRPr="00C07D82" w:rsidRDefault="008D3D01" w:rsidP="002A0C1D">
      <w:pPr>
        <w:pStyle w:val="ListParagraph"/>
        <w:rPr>
          <w:lang w:val="en-AU"/>
        </w:rPr>
      </w:pPr>
      <w:r w:rsidRPr="00C07D82">
        <w:rPr>
          <w:lang w:val="en-AU"/>
        </w:rPr>
        <w:t>GOA</w:t>
      </w:r>
      <w:r w:rsidR="002A0C1D" w:rsidRPr="00C07D82">
        <w:rPr>
          <w:lang w:val="en-AU"/>
        </w:rPr>
        <w:t xml:space="preserve"> will be involved in program planning and strategy decisions, including approval of the Operational Manual (OM), key program personnel in the Project Support Unit (PCU) (including the Senior Program Manager-Economist (SPME), the SAG, and decisions on the use of the Flexible Fund.</w:t>
      </w:r>
    </w:p>
    <w:p w14:paraId="36A949DC" w14:textId="77777777" w:rsidR="002A0C1D" w:rsidRPr="00C07D82" w:rsidRDefault="002A0C1D" w:rsidP="002A0C1D">
      <w:pPr>
        <w:pStyle w:val="ListParagraph"/>
        <w:rPr>
          <w:lang w:val="en-AU"/>
        </w:rPr>
      </w:pPr>
      <w:r w:rsidRPr="00C07D82">
        <w:rPr>
          <w:lang w:val="en-AU"/>
        </w:rPr>
        <w:t>The local SAG and the international Senior Technical Advisor (STA) will play an important role in planning, policy dialogue, communications and quality control over program activities.</w:t>
      </w:r>
    </w:p>
    <w:p w14:paraId="36A949DD" w14:textId="77777777" w:rsidR="002A0C1D" w:rsidRPr="00C07D82" w:rsidRDefault="002A0C1D">
      <w:pPr>
        <w:spacing w:before="0" w:after="200" w:line="276" w:lineRule="auto"/>
        <w:rPr>
          <w:rFonts w:asciiTheme="minorHAnsi" w:hAnsiTheme="minorHAnsi"/>
          <w:b/>
          <w:sz w:val="24"/>
        </w:rPr>
      </w:pPr>
      <w:r w:rsidRPr="00C07D82">
        <w:rPr>
          <w:rFonts w:asciiTheme="minorHAnsi" w:hAnsiTheme="minorHAnsi"/>
          <w:b/>
          <w:sz w:val="24"/>
        </w:rPr>
        <w:br w:type="page"/>
      </w:r>
    </w:p>
    <w:p w14:paraId="36A949DE" w14:textId="22E9EBC7" w:rsidR="004E77C8" w:rsidRPr="00C07D82" w:rsidRDefault="004E77C8" w:rsidP="004E77C8">
      <w:pPr>
        <w:spacing w:after="120"/>
        <w:rPr>
          <w:rFonts w:asciiTheme="minorHAnsi" w:hAnsiTheme="minorHAnsi"/>
          <w:b/>
          <w:sz w:val="24"/>
        </w:rPr>
      </w:pPr>
      <w:r w:rsidRPr="00C07D82">
        <w:rPr>
          <w:rFonts w:asciiTheme="minorHAnsi" w:hAnsiTheme="minorHAnsi"/>
          <w:b/>
          <w:sz w:val="24"/>
          <w:u w:val="single"/>
        </w:rPr>
        <w:t>Annex 2</w:t>
      </w:r>
      <w:r w:rsidR="00CE18FE" w:rsidRPr="00C07D82">
        <w:rPr>
          <w:rFonts w:asciiTheme="minorHAnsi" w:hAnsiTheme="minorHAnsi"/>
          <w:b/>
          <w:sz w:val="24"/>
        </w:rPr>
        <w:t>: Payment of GOA funds</w:t>
      </w:r>
    </w:p>
    <w:p w14:paraId="36A949E0" w14:textId="6D9E2D2F" w:rsidR="00035FF3" w:rsidRPr="00C07D82" w:rsidRDefault="00035FF3" w:rsidP="00202593">
      <w:pPr>
        <w:pStyle w:val="ListParagraph"/>
        <w:numPr>
          <w:ilvl w:val="0"/>
          <w:numId w:val="15"/>
        </w:numPr>
        <w:spacing w:after="120"/>
        <w:rPr>
          <w:rFonts w:asciiTheme="minorHAnsi" w:hAnsiTheme="minorHAnsi"/>
          <w:b/>
          <w:szCs w:val="22"/>
        </w:rPr>
      </w:pPr>
      <w:r w:rsidRPr="00C07D82">
        <w:t xml:space="preserve">GOA funds </w:t>
      </w:r>
      <w:r w:rsidR="00202593" w:rsidRPr="00C07D82">
        <w:t xml:space="preserve">under this </w:t>
      </w:r>
      <w:r w:rsidR="00EF31A0" w:rsidRPr="00C07D82">
        <w:t>grant</w:t>
      </w:r>
      <w:r w:rsidRPr="00C07D82">
        <w:t xml:space="preserve"> </w:t>
      </w:r>
      <w:r w:rsidR="00202593" w:rsidRPr="00C07D82">
        <w:rPr>
          <w:b/>
        </w:rPr>
        <w:t>AUD2,500,000</w:t>
      </w:r>
      <w:r w:rsidR="00202593" w:rsidRPr="00C07D82">
        <w:t xml:space="preserve"> </w:t>
      </w:r>
      <w:r w:rsidRPr="00C07D82">
        <w:t xml:space="preserve">for </w:t>
      </w:r>
      <w:r w:rsidR="00921ABA" w:rsidRPr="00C07D82">
        <w:t xml:space="preserve">a </w:t>
      </w:r>
      <w:r w:rsidRPr="00C07D82">
        <w:t>direct grant to Partner Government</w:t>
      </w:r>
      <w:r w:rsidR="00202593" w:rsidRPr="00C07D82">
        <w:t xml:space="preserve">. A further </w:t>
      </w:r>
      <w:r w:rsidRPr="00C07D82">
        <w:t>AUD600,000 for</w:t>
      </w:r>
      <w:r w:rsidRPr="00C07D82">
        <w:rPr>
          <w:szCs w:val="22"/>
        </w:rPr>
        <w:t xml:space="preserve"> technical assistance and related support for the implementation of the Project and design of the new phase </w:t>
      </w:r>
      <w:r w:rsidR="00202593" w:rsidRPr="00C07D82">
        <w:rPr>
          <w:szCs w:val="22"/>
        </w:rPr>
        <w:t xml:space="preserve">may be made available </w:t>
      </w:r>
      <w:r w:rsidRPr="00C07D82">
        <w:rPr>
          <w:szCs w:val="22"/>
        </w:rPr>
        <w:t>either through a separate Agreement with a contracted service provider and/o</w:t>
      </w:r>
      <w:r w:rsidR="00202593" w:rsidRPr="00C07D82">
        <w:rPr>
          <w:szCs w:val="22"/>
        </w:rPr>
        <w:t>r by direct contracting by GOA.</w:t>
      </w:r>
    </w:p>
    <w:p w14:paraId="36A949E1" w14:textId="21A6E43D" w:rsidR="00D53838" w:rsidRPr="00C07D82" w:rsidRDefault="00D53838" w:rsidP="00CE18FE">
      <w:pPr>
        <w:pStyle w:val="ListParagraph"/>
        <w:numPr>
          <w:ilvl w:val="0"/>
          <w:numId w:val="15"/>
        </w:numPr>
        <w:spacing w:after="60" w:line="240" w:lineRule="auto"/>
        <w:ind w:left="714" w:hanging="357"/>
        <w:rPr>
          <w:rFonts w:asciiTheme="minorHAnsi" w:hAnsiTheme="minorHAnsi"/>
          <w:b/>
          <w:szCs w:val="22"/>
        </w:rPr>
      </w:pPr>
      <w:r w:rsidRPr="00C07D82">
        <w:t xml:space="preserve">GOA will pay the Partner Government up to a maximum of </w:t>
      </w:r>
      <w:r w:rsidRPr="00C07D82">
        <w:rPr>
          <w:b/>
        </w:rPr>
        <w:t>AUD2,</w:t>
      </w:r>
      <w:r w:rsidR="00035FF3" w:rsidRPr="00C07D82">
        <w:rPr>
          <w:b/>
        </w:rPr>
        <w:t>5</w:t>
      </w:r>
      <w:r w:rsidRPr="00C07D82">
        <w:rPr>
          <w:b/>
        </w:rPr>
        <w:t>00,000</w:t>
      </w:r>
      <w:r w:rsidRPr="00C07D82">
        <w:t>, in tranches divided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90"/>
        <w:gridCol w:w="3218"/>
      </w:tblGrid>
      <w:tr w:rsidR="00D53838" w:rsidRPr="00C07D82" w14:paraId="36A949E5" w14:textId="77777777" w:rsidTr="00035FF3">
        <w:tc>
          <w:tcPr>
            <w:tcW w:w="1696" w:type="dxa"/>
          </w:tcPr>
          <w:p w14:paraId="36A949E2" w14:textId="77777777" w:rsidR="00D53838" w:rsidRPr="00C07D82" w:rsidRDefault="00D53838" w:rsidP="004E77C8">
            <w:pPr>
              <w:jc w:val="center"/>
              <w:rPr>
                <w:b/>
              </w:rPr>
            </w:pPr>
            <w:r w:rsidRPr="00C07D82">
              <w:rPr>
                <w:b/>
              </w:rPr>
              <w:t>Indicative Date</w:t>
            </w:r>
          </w:p>
        </w:tc>
        <w:tc>
          <w:tcPr>
            <w:tcW w:w="1890" w:type="dxa"/>
          </w:tcPr>
          <w:p w14:paraId="36A949E3" w14:textId="77777777" w:rsidR="00D53838" w:rsidRPr="00C07D82" w:rsidRDefault="00D53838" w:rsidP="004E77C8">
            <w:pPr>
              <w:jc w:val="center"/>
              <w:rPr>
                <w:b/>
              </w:rPr>
            </w:pPr>
            <w:r w:rsidRPr="00C07D82">
              <w:rPr>
                <w:b/>
              </w:rPr>
              <w:t>Tranche Number</w:t>
            </w:r>
          </w:p>
        </w:tc>
        <w:tc>
          <w:tcPr>
            <w:tcW w:w="3218" w:type="dxa"/>
          </w:tcPr>
          <w:p w14:paraId="36A949E4" w14:textId="77777777" w:rsidR="00D53838" w:rsidRPr="00C07D82" w:rsidRDefault="00D53838" w:rsidP="004E77C8">
            <w:pPr>
              <w:jc w:val="center"/>
              <w:rPr>
                <w:b/>
              </w:rPr>
            </w:pPr>
            <w:r w:rsidRPr="00C07D82">
              <w:rPr>
                <w:b/>
              </w:rPr>
              <w:t>Amount of Grant Funds</w:t>
            </w:r>
          </w:p>
        </w:tc>
      </w:tr>
      <w:tr w:rsidR="00D53838" w:rsidRPr="00C07D82" w14:paraId="36A949E9" w14:textId="77777777" w:rsidTr="00CE18FE">
        <w:trPr>
          <w:trHeight w:val="385"/>
        </w:trPr>
        <w:tc>
          <w:tcPr>
            <w:tcW w:w="1696" w:type="dxa"/>
          </w:tcPr>
          <w:p w14:paraId="36A949E6" w14:textId="196EB43F" w:rsidR="00D53838" w:rsidRPr="00C07D82" w:rsidRDefault="0080280F" w:rsidP="00697FA4">
            <w:pPr>
              <w:spacing w:before="60"/>
              <w:jc w:val="center"/>
            </w:pPr>
            <w:bookmarkStart w:id="7" w:name="OLE_LINK6"/>
            <w:r w:rsidRPr="00C07D82">
              <w:t>Ju</w:t>
            </w:r>
            <w:r w:rsidR="00697FA4" w:rsidRPr="00C07D82">
              <w:t>ly</w:t>
            </w:r>
            <w:r w:rsidR="00D53838" w:rsidRPr="00C07D82">
              <w:t xml:space="preserve"> 2014  </w:t>
            </w:r>
            <w:bookmarkEnd w:id="7"/>
          </w:p>
        </w:tc>
        <w:tc>
          <w:tcPr>
            <w:tcW w:w="1890" w:type="dxa"/>
          </w:tcPr>
          <w:p w14:paraId="36A949E7" w14:textId="77777777" w:rsidR="00D53838" w:rsidRPr="00C07D82" w:rsidRDefault="00D53838" w:rsidP="00CE18FE">
            <w:pPr>
              <w:spacing w:before="60"/>
              <w:jc w:val="center"/>
            </w:pPr>
            <w:r w:rsidRPr="00C07D82">
              <w:t>1</w:t>
            </w:r>
          </w:p>
        </w:tc>
        <w:tc>
          <w:tcPr>
            <w:tcW w:w="3218" w:type="dxa"/>
          </w:tcPr>
          <w:p w14:paraId="36A949E8" w14:textId="77777777" w:rsidR="00D53838" w:rsidRPr="00C07D82" w:rsidRDefault="00D53838" w:rsidP="00CE18FE">
            <w:pPr>
              <w:spacing w:before="60"/>
            </w:pPr>
            <w:r w:rsidRPr="00C07D82">
              <w:t>AUD 1,</w:t>
            </w:r>
            <w:r w:rsidR="00C67579" w:rsidRPr="00C07D82">
              <w:t>3</w:t>
            </w:r>
            <w:r w:rsidRPr="00C07D82">
              <w:t>00,000</w:t>
            </w:r>
          </w:p>
        </w:tc>
      </w:tr>
      <w:tr w:rsidR="00D53838" w:rsidRPr="00C07D82" w14:paraId="36A949ED" w14:textId="77777777" w:rsidTr="00CE18FE">
        <w:trPr>
          <w:trHeight w:val="379"/>
        </w:trPr>
        <w:tc>
          <w:tcPr>
            <w:tcW w:w="1696" w:type="dxa"/>
          </w:tcPr>
          <w:p w14:paraId="36A949EA" w14:textId="3E74B99B" w:rsidR="00D53838" w:rsidRPr="00C07D82" w:rsidRDefault="0080280F" w:rsidP="00697FA4">
            <w:pPr>
              <w:spacing w:before="60"/>
              <w:jc w:val="center"/>
            </w:pPr>
            <w:r w:rsidRPr="00C07D82">
              <w:t>Ju</w:t>
            </w:r>
            <w:r w:rsidR="00697FA4" w:rsidRPr="00C07D82">
              <w:t>ly</w:t>
            </w:r>
            <w:r w:rsidR="00D53838" w:rsidRPr="00C07D82">
              <w:t xml:space="preserve"> 2015 </w:t>
            </w:r>
          </w:p>
        </w:tc>
        <w:tc>
          <w:tcPr>
            <w:tcW w:w="1890" w:type="dxa"/>
          </w:tcPr>
          <w:p w14:paraId="36A949EB" w14:textId="77777777" w:rsidR="00D53838" w:rsidRPr="00C07D82" w:rsidRDefault="00D53838" w:rsidP="00CE18FE">
            <w:pPr>
              <w:spacing w:before="60"/>
              <w:jc w:val="center"/>
            </w:pPr>
            <w:r w:rsidRPr="00C07D82">
              <w:t>2</w:t>
            </w:r>
          </w:p>
        </w:tc>
        <w:tc>
          <w:tcPr>
            <w:tcW w:w="3218" w:type="dxa"/>
          </w:tcPr>
          <w:p w14:paraId="36A949EC" w14:textId="77777777" w:rsidR="00D53838" w:rsidRPr="00C07D82" w:rsidRDefault="001E4D68" w:rsidP="00CE18FE">
            <w:pPr>
              <w:spacing w:before="60"/>
            </w:pPr>
            <w:r w:rsidRPr="00C07D82">
              <w:t xml:space="preserve">Up to </w:t>
            </w:r>
            <w:r w:rsidR="00D53838" w:rsidRPr="00C07D82">
              <w:t>AUD 1,</w:t>
            </w:r>
            <w:r w:rsidR="00C67579" w:rsidRPr="00C07D82">
              <w:t>2</w:t>
            </w:r>
            <w:r w:rsidR="00D53838" w:rsidRPr="00C07D82">
              <w:t>00,000</w:t>
            </w:r>
          </w:p>
        </w:tc>
      </w:tr>
    </w:tbl>
    <w:p w14:paraId="36A949EF" w14:textId="77777777" w:rsidR="001E4D68" w:rsidRPr="00C07D82" w:rsidRDefault="00D53838" w:rsidP="00202593">
      <w:pPr>
        <w:pStyle w:val="ListParagraph"/>
        <w:numPr>
          <w:ilvl w:val="0"/>
          <w:numId w:val="15"/>
        </w:numPr>
        <w:spacing w:before="240" w:after="120"/>
        <w:ind w:left="714" w:hanging="357"/>
        <w:rPr>
          <w:rFonts w:asciiTheme="minorHAnsi" w:hAnsiTheme="minorHAnsi"/>
          <w:b/>
          <w:szCs w:val="22"/>
        </w:rPr>
      </w:pPr>
      <w:r w:rsidRPr="00C07D82">
        <w:t xml:space="preserve">GOA will pay </w:t>
      </w:r>
      <w:r w:rsidR="001E4D68" w:rsidRPr="00C07D82">
        <w:t>Tranche 1 within thirty (30) days of the date of this Agreement and subject to receipt of a valid invoice.</w:t>
      </w:r>
    </w:p>
    <w:p w14:paraId="36A949F0" w14:textId="77777777" w:rsidR="00D53838" w:rsidRPr="00C07D82" w:rsidRDefault="001E4D68" w:rsidP="001E4D68">
      <w:pPr>
        <w:pStyle w:val="ListParagraph"/>
        <w:numPr>
          <w:ilvl w:val="0"/>
          <w:numId w:val="15"/>
        </w:numPr>
        <w:spacing w:after="120"/>
        <w:rPr>
          <w:rFonts w:asciiTheme="minorHAnsi" w:hAnsiTheme="minorHAnsi"/>
          <w:b/>
          <w:szCs w:val="22"/>
        </w:rPr>
      </w:pPr>
      <w:bookmarkStart w:id="8" w:name="_Ref210796086"/>
      <w:r w:rsidRPr="00C07D82">
        <w:t xml:space="preserve">GOA </w:t>
      </w:r>
      <w:r w:rsidR="00D53838" w:rsidRPr="00C07D82">
        <w:t xml:space="preserve">will pay subsequent tranche at the date indicated above subject to the </w:t>
      </w:r>
      <w:r w:rsidRPr="00C07D82">
        <w:t>Partner Government</w:t>
      </w:r>
      <w:r w:rsidR="00D53838" w:rsidRPr="00C07D82">
        <w:t>:</w:t>
      </w:r>
    </w:p>
    <w:p w14:paraId="36A949F1" w14:textId="77777777" w:rsidR="00D53838" w:rsidRPr="00C07D82" w:rsidRDefault="00D53838" w:rsidP="002E07B9">
      <w:pPr>
        <w:pStyle w:val="CONLevela"/>
        <w:numPr>
          <w:ilvl w:val="2"/>
          <w:numId w:val="17"/>
        </w:numPr>
        <w:tabs>
          <w:tab w:val="clear" w:pos="1531"/>
          <w:tab w:val="num" w:pos="1134"/>
        </w:tabs>
        <w:ind w:left="1134" w:hanging="436"/>
        <w:rPr>
          <w:rFonts w:ascii="Arial" w:hAnsi="Arial" w:cs="Arial"/>
          <w:sz w:val="20"/>
          <w:szCs w:val="20"/>
          <w:lang w:val="en-US" w:eastAsia="en-AU"/>
        </w:rPr>
      </w:pPr>
      <w:r w:rsidRPr="00C07D82">
        <w:rPr>
          <w:rFonts w:ascii="Arial" w:hAnsi="Arial" w:cs="Arial"/>
          <w:sz w:val="20"/>
          <w:szCs w:val="20"/>
          <w:lang w:val="en-US" w:eastAsia="en-AU"/>
        </w:rPr>
        <w:t xml:space="preserve">submitting </w:t>
      </w:r>
      <w:r w:rsidR="001E4D68" w:rsidRPr="00C07D82">
        <w:rPr>
          <w:rFonts w:ascii="Arial" w:hAnsi="Arial" w:cs="Arial"/>
          <w:sz w:val="20"/>
          <w:szCs w:val="20"/>
          <w:lang w:val="en-US" w:eastAsia="en-AU"/>
        </w:rPr>
        <w:t>AWP</w:t>
      </w:r>
      <w:r w:rsidRPr="00C07D82">
        <w:rPr>
          <w:rFonts w:ascii="Arial" w:hAnsi="Arial" w:cs="Arial"/>
          <w:sz w:val="20"/>
          <w:szCs w:val="20"/>
          <w:lang w:val="en-US" w:eastAsia="en-AU"/>
        </w:rPr>
        <w:t xml:space="preserve"> </w:t>
      </w:r>
      <w:r w:rsidR="00E42099" w:rsidRPr="00C07D82">
        <w:rPr>
          <w:rFonts w:ascii="Arial" w:hAnsi="Arial" w:cs="Arial"/>
          <w:sz w:val="20"/>
          <w:szCs w:val="20"/>
          <w:lang w:val="en-US" w:eastAsia="en-AU"/>
        </w:rPr>
        <w:t xml:space="preserve">and an annual project management report </w:t>
      </w:r>
      <w:r w:rsidR="0059414F" w:rsidRPr="00C07D82">
        <w:rPr>
          <w:rFonts w:ascii="Arial" w:hAnsi="Arial" w:cs="Arial"/>
          <w:sz w:val="20"/>
          <w:szCs w:val="20"/>
          <w:lang w:val="en-US" w:eastAsia="en-AU"/>
        </w:rPr>
        <w:t>approved</w:t>
      </w:r>
      <w:r w:rsidRPr="00C07D82">
        <w:rPr>
          <w:rFonts w:ascii="Arial" w:hAnsi="Arial" w:cs="Arial"/>
          <w:sz w:val="20"/>
          <w:szCs w:val="20"/>
          <w:lang w:val="en-US" w:eastAsia="en-AU"/>
        </w:rPr>
        <w:t xml:space="preserve"> by </w:t>
      </w:r>
      <w:r w:rsidR="008D3D01" w:rsidRPr="00C07D82">
        <w:rPr>
          <w:rFonts w:ascii="Arial" w:hAnsi="Arial" w:cs="Arial"/>
          <w:sz w:val="20"/>
          <w:szCs w:val="20"/>
          <w:lang w:val="en-US" w:eastAsia="en-AU"/>
        </w:rPr>
        <w:t>GOA</w:t>
      </w:r>
      <w:r w:rsidRPr="00C07D82">
        <w:rPr>
          <w:rFonts w:ascii="Arial" w:hAnsi="Arial" w:cs="Arial"/>
          <w:sz w:val="20"/>
          <w:szCs w:val="20"/>
          <w:lang w:val="en-US" w:eastAsia="en-AU"/>
        </w:rPr>
        <w:t>;</w:t>
      </w:r>
      <w:r w:rsidR="0059414F" w:rsidRPr="00C07D82">
        <w:rPr>
          <w:rFonts w:ascii="Arial" w:hAnsi="Arial" w:cs="Arial"/>
          <w:sz w:val="20"/>
          <w:szCs w:val="20"/>
          <w:lang w:val="en-US" w:eastAsia="en-AU"/>
        </w:rPr>
        <w:t xml:space="preserve"> and</w:t>
      </w:r>
    </w:p>
    <w:p w14:paraId="36A949F2" w14:textId="77777777" w:rsidR="00D53838" w:rsidRPr="00C07D82" w:rsidRDefault="00D53838" w:rsidP="00921ABA">
      <w:pPr>
        <w:pStyle w:val="CONLevela"/>
        <w:numPr>
          <w:ilvl w:val="2"/>
          <w:numId w:val="17"/>
        </w:numPr>
        <w:tabs>
          <w:tab w:val="clear" w:pos="1531"/>
          <w:tab w:val="num" w:pos="1134"/>
        </w:tabs>
        <w:spacing w:after="240"/>
        <w:ind w:left="1134" w:hanging="437"/>
        <w:rPr>
          <w:rFonts w:ascii="Arial" w:hAnsi="Arial" w:cs="Arial"/>
          <w:sz w:val="20"/>
          <w:szCs w:val="20"/>
          <w:lang w:val="en-US" w:eastAsia="en-AU"/>
        </w:rPr>
      </w:pPr>
      <w:r w:rsidRPr="00C07D82">
        <w:rPr>
          <w:rFonts w:ascii="Arial" w:hAnsi="Arial" w:cs="Arial"/>
          <w:sz w:val="20"/>
          <w:szCs w:val="20"/>
          <w:lang w:val="en-US" w:eastAsia="en-AU"/>
        </w:rPr>
        <w:t>submitting a valid invoice</w:t>
      </w:r>
      <w:r w:rsidR="00E42099" w:rsidRPr="00C07D82">
        <w:rPr>
          <w:rFonts w:ascii="Arial" w:hAnsi="Arial" w:cs="Arial"/>
          <w:sz w:val="20"/>
          <w:szCs w:val="20"/>
          <w:lang w:val="en-US" w:eastAsia="en-AU"/>
        </w:rPr>
        <w:t>.</w:t>
      </w:r>
    </w:p>
    <w:bookmarkEnd w:id="8"/>
    <w:p w14:paraId="36A949F4" w14:textId="77777777" w:rsidR="00035FF3" w:rsidRPr="00C07D82" w:rsidRDefault="00035FF3" w:rsidP="00035FF3">
      <w:pPr>
        <w:pStyle w:val="ListParagraph"/>
        <w:numPr>
          <w:ilvl w:val="0"/>
          <w:numId w:val="15"/>
        </w:numPr>
      </w:pPr>
      <w:r w:rsidRPr="00C07D82">
        <w:rPr>
          <w:lang w:val="en-GB"/>
        </w:rPr>
        <w:t>GOA contributions will be deposited in a single foreign exchange account nominated by the Partner Government (MPI) at the</w:t>
      </w:r>
      <w:r w:rsidR="0010090F" w:rsidRPr="00C07D82">
        <w:rPr>
          <w:lang w:val="en-GB"/>
        </w:rPr>
        <w:t xml:space="preserve"> Vietcom</w:t>
      </w:r>
      <w:r w:rsidRPr="00C07D82">
        <w:rPr>
          <w:lang w:val="en-GB"/>
        </w:rPr>
        <w:t>bank</w:t>
      </w:r>
      <w:r w:rsidRPr="00C07D82">
        <w:rPr>
          <w:color w:val="FF0000"/>
          <w:lang w:val="en-GB"/>
        </w:rPr>
        <w:t xml:space="preserve"> </w:t>
      </w:r>
      <w:r w:rsidRPr="00C07D82">
        <w:rPr>
          <w:lang w:val="en-GB"/>
        </w:rPr>
        <w:t>and held in the name of the PCU under the CIEM-MPI</w:t>
      </w:r>
      <w:r w:rsidRPr="00C07D82">
        <w:rPr>
          <w:i/>
          <w:lang w:val="en-GB"/>
        </w:rPr>
        <w:t xml:space="preserve">. </w:t>
      </w:r>
    </w:p>
    <w:p w14:paraId="36A949F5" w14:textId="77777777" w:rsidR="00035FF3" w:rsidRPr="00C07D82" w:rsidRDefault="00035FF3" w:rsidP="00035FF3">
      <w:pPr>
        <w:pStyle w:val="ListParagraph"/>
        <w:numPr>
          <w:ilvl w:val="0"/>
          <w:numId w:val="15"/>
        </w:numPr>
      </w:pPr>
      <w:r w:rsidRPr="00C07D82">
        <w:rPr>
          <w:lang w:val="en-GB"/>
        </w:rPr>
        <w:t>The local currency equivalent of the GOA contribution will be calculated on the basis of the exchange rate on the date of transfer of the funds by GOA.</w:t>
      </w:r>
    </w:p>
    <w:p w14:paraId="36A949F6" w14:textId="045B5F1A" w:rsidR="00035FF3" w:rsidRPr="00C07D82" w:rsidRDefault="00035FF3" w:rsidP="00035FF3">
      <w:pPr>
        <w:pStyle w:val="ListParagraph"/>
        <w:numPr>
          <w:ilvl w:val="0"/>
          <w:numId w:val="15"/>
        </w:numPr>
      </w:pPr>
      <w:r w:rsidRPr="00C07D82">
        <w:rPr>
          <w:lang w:val="en-GB"/>
        </w:rPr>
        <w:t xml:space="preserve">The PCU will immediately acknowledge receipt of the funds, in writing, to GOA and the local currency equivalent. The PCU will also immediately transfer </w:t>
      </w:r>
      <w:r w:rsidR="0010090F" w:rsidRPr="00C07D82">
        <w:rPr>
          <w:lang w:val="en-GB"/>
        </w:rPr>
        <w:t xml:space="preserve">the amounts for respective Components </w:t>
      </w:r>
      <w:r w:rsidRPr="00C07D82">
        <w:rPr>
          <w:lang w:val="en-GB"/>
        </w:rPr>
        <w:t xml:space="preserve">to local currency bank accounts </w:t>
      </w:r>
      <w:r w:rsidR="00CB788F" w:rsidRPr="00C07D82">
        <w:rPr>
          <w:lang w:val="en-GB"/>
        </w:rPr>
        <w:t>at the Vietcombank</w:t>
      </w:r>
      <w:r w:rsidR="00CB788F" w:rsidRPr="00C07D82">
        <w:rPr>
          <w:color w:val="FF0000"/>
          <w:lang w:val="en-GB"/>
        </w:rPr>
        <w:t xml:space="preserve"> </w:t>
      </w:r>
      <w:r w:rsidRPr="00C07D82">
        <w:rPr>
          <w:lang w:val="en-GB"/>
        </w:rPr>
        <w:t xml:space="preserve">nominated by and held in the name of the </w:t>
      </w:r>
      <w:r w:rsidR="0010090F" w:rsidRPr="00C07D82">
        <w:rPr>
          <w:lang w:val="en-GB"/>
        </w:rPr>
        <w:t xml:space="preserve">IPSARD-MARD and the </w:t>
      </w:r>
      <w:r w:rsidRPr="00C07D82">
        <w:rPr>
          <w:lang w:val="en-GB"/>
        </w:rPr>
        <w:t>VCA-MOIT</w:t>
      </w:r>
      <w:r w:rsidR="00CE154C" w:rsidRPr="00C07D82">
        <w:rPr>
          <w:lang w:val="en-GB"/>
        </w:rPr>
        <w:t xml:space="preserve">. </w:t>
      </w:r>
      <w:r w:rsidRPr="00C07D82">
        <w:rPr>
          <w:lang w:val="en-GB"/>
        </w:rPr>
        <w:t xml:space="preserve">The </w:t>
      </w:r>
      <w:r w:rsidR="0010090F" w:rsidRPr="00C07D82">
        <w:rPr>
          <w:lang w:val="en-GB"/>
        </w:rPr>
        <w:t xml:space="preserve">IPSARD-MARD and the </w:t>
      </w:r>
      <w:r w:rsidRPr="00C07D82">
        <w:rPr>
          <w:lang w:val="en-GB"/>
        </w:rPr>
        <w:t>VCA-MOIT will immediately acknowledge receipt of the funds, in writing, to GOA and the local currency equivalent.</w:t>
      </w:r>
    </w:p>
    <w:p w14:paraId="36A949F7" w14:textId="77777777" w:rsidR="00C67579" w:rsidRPr="00C07D82" w:rsidRDefault="0010090F" w:rsidP="00DC5C8D">
      <w:pPr>
        <w:pStyle w:val="ListParagraph"/>
        <w:numPr>
          <w:ilvl w:val="0"/>
          <w:numId w:val="15"/>
        </w:numPr>
        <w:spacing w:after="120"/>
      </w:pPr>
      <w:r w:rsidRPr="00C07D82">
        <w:t xml:space="preserve">The allocation of grants to respective Components </w:t>
      </w:r>
      <w:r w:rsidR="00C67579" w:rsidRPr="00C07D82">
        <w:t>is</w:t>
      </w:r>
      <w:r w:rsidRPr="00C07D82">
        <w:t xml:space="preserve"> detailed below based on </w:t>
      </w:r>
      <w:r w:rsidR="00C67579" w:rsidRPr="00C07D82">
        <w:t xml:space="preserve">schedule of activity implementation of </w:t>
      </w:r>
      <w:r w:rsidRPr="00C07D82">
        <w:t>the Investment Design</w:t>
      </w:r>
      <w:r w:rsidR="00C67579" w:rsidRPr="00C07D82">
        <w:t>. H</w:t>
      </w:r>
      <w:r w:rsidRPr="00C07D82">
        <w:t xml:space="preserve">owever, these </w:t>
      </w:r>
      <w:r w:rsidRPr="00C07D82">
        <w:rPr>
          <w:snapToGrid w:val="0"/>
        </w:rPr>
        <w:t xml:space="preserve">amounts for Tranche Number 2 might be changed subject to the amount approved by </w:t>
      </w:r>
      <w:r w:rsidR="00DC5C8D" w:rsidRPr="00C07D82">
        <w:rPr>
          <w:snapToGrid w:val="0"/>
        </w:rPr>
        <w:t xml:space="preserve">GOA for </w:t>
      </w:r>
      <w:r w:rsidRPr="00C07D82">
        <w:rPr>
          <w:snapToGrid w:val="0"/>
        </w:rPr>
        <w:t>the AWP</w:t>
      </w:r>
      <w:r w:rsidR="00C67579" w:rsidRPr="00C07D82">
        <w:rPr>
          <w:snapToGrid w:val="0"/>
        </w:rPr>
        <w:t xml:space="preserve"> </w:t>
      </w:r>
      <w:r w:rsidR="00DC5C8D" w:rsidRPr="00C07D82">
        <w:rPr>
          <w:snapToGrid w:val="0"/>
        </w:rPr>
        <w:t>of</w:t>
      </w:r>
      <w:r w:rsidR="00C67579" w:rsidRPr="00C07D82">
        <w:rPr>
          <w:snapToGrid w:val="0"/>
        </w:rPr>
        <w:t xml:space="preserve"> Year 2 for each Component</w:t>
      </w:r>
      <w:r w:rsidR="00DC5C8D" w:rsidRPr="00C07D82">
        <w:rPr>
          <w:snapToGrid w:val="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90"/>
        <w:gridCol w:w="4636"/>
      </w:tblGrid>
      <w:tr w:rsidR="0010090F" w:rsidRPr="00C07D82" w14:paraId="36A949FD" w14:textId="77777777" w:rsidTr="0010090F">
        <w:tc>
          <w:tcPr>
            <w:tcW w:w="1696" w:type="dxa"/>
          </w:tcPr>
          <w:p w14:paraId="36A949FA" w14:textId="77777777" w:rsidR="0010090F" w:rsidRPr="00C07D82" w:rsidRDefault="0010090F" w:rsidP="0010090F">
            <w:pPr>
              <w:jc w:val="center"/>
              <w:rPr>
                <w:b/>
              </w:rPr>
            </w:pPr>
            <w:r w:rsidRPr="00C07D82">
              <w:rPr>
                <w:b/>
              </w:rPr>
              <w:t>Indicative Date</w:t>
            </w:r>
          </w:p>
        </w:tc>
        <w:tc>
          <w:tcPr>
            <w:tcW w:w="1890" w:type="dxa"/>
          </w:tcPr>
          <w:p w14:paraId="36A949FB" w14:textId="77777777" w:rsidR="0010090F" w:rsidRPr="00C07D82" w:rsidRDefault="0010090F" w:rsidP="0010090F">
            <w:pPr>
              <w:jc w:val="center"/>
              <w:rPr>
                <w:b/>
              </w:rPr>
            </w:pPr>
            <w:r w:rsidRPr="00C07D82">
              <w:rPr>
                <w:b/>
              </w:rPr>
              <w:t>Tranche Number</w:t>
            </w:r>
          </w:p>
        </w:tc>
        <w:tc>
          <w:tcPr>
            <w:tcW w:w="4636" w:type="dxa"/>
          </w:tcPr>
          <w:p w14:paraId="36A949FC" w14:textId="77777777" w:rsidR="0010090F" w:rsidRPr="00C07D82" w:rsidRDefault="0010090F" w:rsidP="0010090F">
            <w:pPr>
              <w:jc w:val="center"/>
              <w:rPr>
                <w:b/>
              </w:rPr>
            </w:pPr>
            <w:r w:rsidRPr="00C07D82">
              <w:rPr>
                <w:b/>
              </w:rPr>
              <w:t>Amount of Grant Funds</w:t>
            </w:r>
          </w:p>
        </w:tc>
      </w:tr>
      <w:tr w:rsidR="0010090F" w:rsidRPr="00C07D82" w14:paraId="36A94A05" w14:textId="77777777" w:rsidTr="0010090F">
        <w:trPr>
          <w:trHeight w:val="575"/>
        </w:trPr>
        <w:tc>
          <w:tcPr>
            <w:tcW w:w="1696" w:type="dxa"/>
          </w:tcPr>
          <w:p w14:paraId="36A949FE" w14:textId="12A134D6" w:rsidR="0010090F" w:rsidRPr="00C07D82" w:rsidRDefault="00FA0D1D" w:rsidP="0010090F">
            <w:pPr>
              <w:jc w:val="center"/>
            </w:pPr>
            <w:r w:rsidRPr="00C07D82">
              <w:t>July</w:t>
            </w:r>
            <w:r w:rsidR="0010090F" w:rsidRPr="00C07D82">
              <w:t xml:space="preserve"> 2014  </w:t>
            </w:r>
          </w:p>
        </w:tc>
        <w:tc>
          <w:tcPr>
            <w:tcW w:w="1890" w:type="dxa"/>
          </w:tcPr>
          <w:p w14:paraId="36A949FF" w14:textId="77777777" w:rsidR="0010090F" w:rsidRPr="00C07D82" w:rsidRDefault="0010090F" w:rsidP="0010090F">
            <w:pPr>
              <w:jc w:val="center"/>
            </w:pPr>
            <w:r w:rsidRPr="00C07D82">
              <w:t>1</w:t>
            </w:r>
          </w:p>
        </w:tc>
        <w:tc>
          <w:tcPr>
            <w:tcW w:w="4636" w:type="dxa"/>
          </w:tcPr>
          <w:p w14:paraId="36A94A00" w14:textId="7CA9AA02" w:rsidR="0010090F" w:rsidRPr="00C07D82" w:rsidRDefault="0010090F" w:rsidP="0010090F">
            <w:r w:rsidRPr="00C07D82">
              <w:t>AUD1,</w:t>
            </w:r>
            <w:r w:rsidR="00C67579" w:rsidRPr="00C07D82">
              <w:t>3</w:t>
            </w:r>
            <w:r w:rsidRPr="00C07D82">
              <w:t>00,000, in which:</w:t>
            </w:r>
          </w:p>
          <w:p w14:paraId="36A94A01" w14:textId="77777777" w:rsidR="0010090F" w:rsidRPr="00C07D82" w:rsidRDefault="0010090F" w:rsidP="00202593">
            <w:pPr>
              <w:spacing w:before="60"/>
            </w:pPr>
            <w:r w:rsidRPr="00C07D82">
              <w:t>- Component 1-CIEM:      400,000</w:t>
            </w:r>
          </w:p>
          <w:p w14:paraId="36A94A02" w14:textId="77777777" w:rsidR="00AE45E2" w:rsidRPr="00C07D82" w:rsidRDefault="0010090F" w:rsidP="00202593">
            <w:pPr>
              <w:spacing w:before="60"/>
            </w:pPr>
            <w:r w:rsidRPr="00C07D82">
              <w:t xml:space="preserve">- Component 2- </w:t>
            </w:r>
            <w:r w:rsidR="00AE45E2" w:rsidRPr="00C07D82">
              <w:t>VCA:       300,000</w:t>
            </w:r>
          </w:p>
          <w:p w14:paraId="36A94A03" w14:textId="77777777" w:rsidR="00AE45E2" w:rsidRPr="00C07D82" w:rsidRDefault="0010090F" w:rsidP="00202593">
            <w:pPr>
              <w:spacing w:before="60"/>
            </w:pPr>
            <w:r w:rsidRPr="00C07D82">
              <w:t xml:space="preserve">- Component 3- </w:t>
            </w:r>
            <w:r w:rsidR="00AE45E2" w:rsidRPr="00C07D82">
              <w:t>IPSARD: 200,000</w:t>
            </w:r>
          </w:p>
          <w:p w14:paraId="36A94A04" w14:textId="77777777" w:rsidR="0010090F" w:rsidRPr="00C07D82" w:rsidRDefault="0010090F" w:rsidP="00202593">
            <w:pPr>
              <w:spacing w:before="60"/>
            </w:pPr>
            <w:r w:rsidRPr="00C07D82">
              <w:t xml:space="preserve">- Component 4 - CIEM:    </w:t>
            </w:r>
            <w:r w:rsidR="00C67579" w:rsidRPr="00C07D82">
              <w:t>4</w:t>
            </w:r>
            <w:r w:rsidRPr="00C07D82">
              <w:t>00,000</w:t>
            </w:r>
          </w:p>
        </w:tc>
      </w:tr>
      <w:tr w:rsidR="0010090F" w:rsidRPr="00C07D82" w14:paraId="36A94A0D" w14:textId="77777777" w:rsidTr="00202593">
        <w:trPr>
          <w:trHeight w:val="274"/>
        </w:trPr>
        <w:tc>
          <w:tcPr>
            <w:tcW w:w="1696" w:type="dxa"/>
          </w:tcPr>
          <w:p w14:paraId="36A94A06" w14:textId="128378E0" w:rsidR="0010090F" w:rsidRPr="00C07D82" w:rsidRDefault="00FA0D1D" w:rsidP="0010090F">
            <w:pPr>
              <w:jc w:val="center"/>
            </w:pPr>
            <w:r w:rsidRPr="00C07D82">
              <w:t>July</w:t>
            </w:r>
            <w:r w:rsidR="0010090F" w:rsidRPr="00C07D82">
              <w:t xml:space="preserve"> 2015 </w:t>
            </w:r>
          </w:p>
        </w:tc>
        <w:tc>
          <w:tcPr>
            <w:tcW w:w="1890" w:type="dxa"/>
          </w:tcPr>
          <w:p w14:paraId="36A94A07" w14:textId="77777777" w:rsidR="0010090F" w:rsidRPr="00C07D82" w:rsidRDefault="0010090F" w:rsidP="0010090F">
            <w:pPr>
              <w:jc w:val="center"/>
            </w:pPr>
            <w:r w:rsidRPr="00C07D82">
              <w:t>2</w:t>
            </w:r>
          </w:p>
        </w:tc>
        <w:tc>
          <w:tcPr>
            <w:tcW w:w="4636" w:type="dxa"/>
          </w:tcPr>
          <w:p w14:paraId="36A94A08" w14:textId="13EBFA84" w:rsidR="00C67579" w:rsidRPr="00C07D82" w:rsidRDefault="0010090F" w:rsidP="00C67579">
            <w:r w:rsidRPr="00C07D82">
              <w:t>Up to AUD1,</w:t>
            </w:r>
            <w:r w:rsidR="00C67579" w:rsidRPr="00C07D82">
              <w:t>2</w:t>
            </w:r>
            <w:r w:rsidRPr="00C07D82">
              <w:t>00,000</w:t>
            </w:r>
            <w:r w:rsidR="00C67579" w:rsidRPr="00C07D82">
              <w:t>, in which:</w:t>
            </w:r>
          </w:p>
          <w:p w14:paraId="36A94A09" w14:textId="77777777" w:rsidR="00C67579" w:rsidRPr="00C07D82" w:rsidRDefault="00C67579" w:rsidP="00202593">
            <w:pPr>
              <w:spacing w:before="60"/>
            </w:pPr>
            <w:r w:rsidRPr="00C07D82">
              <w:t>- Component 1-CIEM:      300,000</w:t>
            </w:r>
          </w:p>
          <w:p w14:paraId="36A94A0A" w14:textId="77777777" w:rsidR="00C67579" w:rsidRPr="00C07D82" w:rsidRDefault="00C67579" w:rsidP="00202593">
            <w:pPr>
              <w:spacing w:before="60"/>
            </w:pPr>
            <w:r w:rsidRPr="00C07D82">
              <w:t xml:space="preserve">- Component 2- </w:t>
            </w:r>
            <w:r w:rsidR="00AE45E2" w:rsidRPr="00C07D82">
              <w:t xml:space="preserve">VCA:       200,000  </w:t>
            </w:r>
          </w:p>
          <w:p w14:paraId="36A94A0B" w14:textId="77777777" w:rsidR="00C67579" w:rsidRPr="00C07D82" w:rsidRDefault="00C67579" w:rsidP="00202593">
            <w:pPr>
              <w:spacing w:before="60"/>
            </w:pPr>
            <w:r w:rsidRPr="00C07D82">
              <w:t xml:space="preserve">- Component 3- </w:t>
            </w:r>
            <w:r w:rsidR="00AE45E2" w:rsidRPr="00C07D82">
              <w:t>IPSARD: 100,000</w:t>
            </w:r>
          </w:p>
          <w:p w14:paraId="36A94A0C" w14:textId="77777777" w:rsidR="0010090F" w:rsidRPr="00C07D82" w:rsidRDefault="00C67579" w:rsidP="00202593">
            <w:pPr>
              <w:spacing w:before="60"/>
            </w:pPr>
            <w:r w:rsidRPr="00C07D82">
              <w:t>- Component 4 - CIEM:    600,000</w:t>
            </w:r>
          </w:p>
        </w:tc>
      </w:tr>
    </w:tbl>
    <w:p w14:paraId="36A94A0E" w14:textId="77777777" w:rsidR="0010090F" w:rsidRPr="00C07D82" w:rsidRDefault="0010090F" w:rsidP="0010090F">
      <w:pPr>
        <w:pStyle w:val="ListParagraph"/>
        <w:numPr>
          <w:ilvl w:val="0"/>
          <w:numId w:val="0"/>
        </w:numPr>
        <w:ind w:left="720"/>
      </w:pPr>
    </w:p>
    <w:p w14:paraId="36A94A0F" w14:textId="77777777" w:rsidR="00035FF3" w:rsidRPr="00C07D82" w:rsidRDefault="00035FF3" w:rsidP="00035FF3">
      <w:pPr>
        <w:sectPr w:rsidR="00035FF3" w:rsidRPr="00C07D82" w:rsidSect="00035FF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709" w:left="1440" w:header="708" w:footer="708" w:gutter="0"/>
          <w:cols w:space="708"/>
          <w:docGrid w:linePitch="360"/>
        </w:sectPr>
      </w:pPr>
    </w:p>
    <w:p w14:paraId="36A94A10" w14:textId="77777777" w:rsidR="0097134D" w:rsidRPr="00C07D82" w:rsidRDefault="004E77C8" w:rsidP="004E77C8">
      <w:pPr>
        <w:spacing w:after="120"/>
        <w:rPr>
          <w:rFonts w:asciiTheme="minorHAnsi" w:hAnsiTheme="minorHAnsi"/>
          <w:b/>
          <w:sz w:val="24"/>
        </w:rPr>
      </w:pPr>
      <w:r w:rsidRPr="00C07D82">
        <w:rPr>
          <w:rFonts w:asciiTheme="minorHAnsi" w:hAnsiTheme="minorHAnsi"/>
          <w:b/>
          <w:sz w:val="24"/>
          <w:u w:val="single"/>
        </w:rPr>
        <w:t>Annex 3</w:t>
      </w:r>
      <w:r w:rsidRPr="00C07D82">
        <w:rPr>
          <w:rFonts w:asciiTheme="minorHAnsi" w:hAnsiTheme="minorHAnsi"/>
          <w:b/>
          <w:sz w:val="24"/>
        </w:rPr>
        <w:t>: Program Performance Assessment Framework</w:t>
      </w:r>
    </w:p>
    <w:tbl>
      <w:tblPr>
        <w:tblStyle w:val="TableGrid"/>
        <w:tblW w:w="15310" w:type="dxa"/>
        <w:tblInd w:w="-318" w:type="dxa"/>
        <w:tblLook w:val="04A0" w:firstRow="1" w:lastRow="0" w:firstColumn="1" w:lastColumn="0" w:noHBand="0" w:noVBand="1"/>
      </w:tblPr>
      <w:tblGrid>
        <w:gridCol w:w="3227"/>
        <w:gridCol w:w="4810"/>
        <w:gridCol w:w="3729"/>
        <w:gridCol w:w="3544"/>
      </w:tblGrid>
      <w:tr w:rsidR="0097134D" w:rsidRPr="00C07D82" w14:paraId="36A94A15" w14:textId="77777777" w:rsidTr="0097134D">
        <w:trPr>
          <w:tblHeader/>
        </w:trPr>
        <w:tc>
          <w:tcPr>
            <w:tcW w:w="3227" w:type="dxa"/>
            <w:shd w:val="clear" w:color="auto" w:fill="00FFFF"/>
          </w:tcPr>
          <w:p w14:paraId="36A94A11" w14:textId="77777777" w:rsidR="0097134D" w:rsidRPr="00C07D82" w:rsidRDefault="0097134D" w:rsidP="0097134D">
            <w:pPr>
              <w:rPr>
                <w:rFonts w:cs="Arial"/>
                <w:b/>
                <w:sz w:val="24"/>
              </w:rPr>
            </w:pPr>
            <w:r w:rsidRPr="00C07D82">
              <w:rPr>
                <w:rFonts w:cs="Arial"/>
                <w:b/>
                <w:bCs/>
                <w:color w:val="000000"/>
                <w:sz w:val="24"/>
              </w:rPr>
              <w:t>Hierarchy of Objectives</w:t>
            </w:r>
          </w:p>
        </w:tc>
        <w:tc>
          <w:tcPr>
            <w:tcW w:w="4810" w:type="dxa"/>
            <w:shd w:val="clear" w:color="auto" w:fill="00FFFF"/>
          </w:tcPr>
          <w:p w14:paraId="36A94A12" w14:textId="77777777" w:rsidR="0097134D" w:rsidRPr="00C07D82" w:rsidRDefault="0097134D" w:rsidP="0097134D">
            <w:pPr>
              <w:rPr>
                <w:rFonts w:cs="Arial"/>
                <w:b/>
                <w:sz w:val="24"/>
              </w:rPr>
            </w:pPr>
            <w:r w:rsidRPr="00C07D82">
              <w:rPr>
                <w:rFonts w:cs="Arial"/>
                <w:b/>
                <w:bCs/>
                <w:color w:val="000000"/>
                <w:sz w:val="24"/>
              </w:rPr>
              <w:t>Indicators</w:t>
            </w:r>
            <w:r w:rsidRPr="00C07D82">
              <w:rPr>
                <w:rFonts w:cs="Arial"/>
                <w:b/>
                <w:color w:val="000000"/>
                <w:sz w:val="24"/>
              </w:rPr>
              <w:t> </w:t>
            </w:r>
          </w:p>
        </w:tc>
        <w:tc>
          <w:tcPr>
            <w:tcW w:w="3729" w:type="dxa"/>
            <w:shd w:val="clear" w:color="auto" w:fill="00FFFF"/>
          </w:tcPr>
          <w:p w14:paraId="36A94A13" w14:textId="77777777" w:rsidR="0097134D" w:rsidRPr="00C07D82" w:rsidRDefault="0097134D" w:rsidP="0097134D">
            <w:pPr>
              <w:rPr>
                <w:rFonts w:cs="Arial"/>
                <w:b/>
                <w:sz w:val="24"/>
              </w:rPr>
            </w:pPr>
            <w:r w:rsidRPr="00C07D82">
              <w:rPr>
                <w:rFonts w:cs="Arial"/>
                <w:b/>
                <w:bCs/>
                <w:color w:val="000000"/>
                <w:sz w:val="24"/>
              </w:rPr>
              <w:t>Means of Verification</w:t>
            </w:r>
          </w:p>
        </w:tc>
        <w:tc>
          <w:tcPr>
            <w:tcW w:w="3544" w:type="dxa"/>
            <w:shd w:val="clear" w:color="auto" w:fill="00FFFF"/>
          </w:tcPr>
          <w:p w14:paraId="36A94A14" w14:textId="77777777" w:rsidR="0097134D" w:rsidRPr="00C07D82" w:rsidRDefault="0097134D" w:rsidP="0097134D">
            <w:pPr>
              <w:rPr>
                <w:rFonts w:cs="Arial"/>
                <w:b/>
                <w:sz w:val="24"/>
              </w:rPr>
            </w:pPr>
            <w:r w:rsidRPr="00C07D82">
              <w:rPr>
                <w:rFonts w:cs="Arial"/>
                <w:b/>
                <w:sz w:val="24"/>
              </w:rPr>
              <w:t>Assumptions</w:t>
            </w:r>
          </w:p>
        </w:tc>
      </w:tr>
      <w:tr w:rsidR="0097134D" w:rsidRPr="00C07D82" w14:paraId="36A94A1C" w14:textId="77777777" w:rsidTr="0097134D">
        <w:tc>
          <w:tcPr>
            <w:tcW w:w="3227" w:type="dxa"/>
            <w:vMerge w:val="restart"/>
          </w:tcPr>
          <w:p w14:paraId="36A94A16" w14:textId="77777777" w:rsidR="0097134D" w:rsidRPr="00C07D82" w:rsidRDefault="0097134D" w:rsidP="0097134D">
            <w:pPr>
              <w:spacing w:before="0"/>
              <w:rPr>
                <w:rFonts w:cs="Arial"/>
                <w:b/>
                <w:bCs/>
                <w:color w:val="000000"/>
                <w:sz w:val="22"/>
                <w:szCs w:val="22"/>
              </w:rPr>
            </w:pPr>
            <w:r w:rsidRPr="00C07D82">
              <w:rPr>
                <w:rFonts w:cs="Arial"/>
                <w:b/>
                <w:bCs/>
                <w:color w:val="000000"/>
                <w:sz w:val="22"/>
                <w:szCs w:val="22"/>
              </w:rPr>
              <w:t>Impact (by 2020)</w:t>
            </w:r>
          </w:p>
          <w:p w14:paraId="36A94A17" w14:textId="6D45A0F0" w:rsidR="0097134D" w:rsidRPr="00C07D82" w:rsidRDefault="0097134D" w:rsidP="0097134D">
            <w:pPr>
              <w:rPr>
                <w:rFonts w:cs="Arial"/>
                <w:szCs w:val="20"/>
              </w:rPr>
            </w:pPr>
            <w:r w:rsidRPr="00C07D82">
              <w:rPr>
                <w:rFonts w:cs="Arial"/>
                <w:color w:val="000000"/>
                <w:szCs w:val="20"/>
              </w:rPr>
              <w:t xml:space="preserve">More internationally competitive economy with increased </w:t>
            </w:r>
            <w:r w:rsidR="000D6FEA" w:rsidRPr="00C07D82">
              <w:rPr>
                <w:rFonts w:cs="Arial"/>
                <w:color w:val="000000"/>
                <w:szCs w:val="20"/>
              </w:rPr>
              <w:t>productivity</w:t>
            </w:r>
            <w:r w:rsidRPr="00C07D82">
              <w:rPr>
                <w:rFonts w:cs="Arial"/>
                <w:color w:val="000000"/>
                <w:szCs w:val="20"/>
              </w:rPr>
              <w:t xml:space="preserve"> reduced corruption and accelerated growth in employment and income.</w:t>
            </w:r>
          </w:p>
        </w:tc>
        <w:tc>
          <w:tcPr>
            <w:tcW w:w="4810" w:type="dxa"/>
            <w:vAlign w:val="center"/>
          </w:tcPr>
          <w:p w14:paraId="36A94A18" w14:textId="77777777" w:rsidR="0097134D" w:rsidRPr="00C07D82" w:rsidRDefault="0097134D" w:rsidP="0097134D">
            <w:pPr>
              <w:spacing w:before="0"/>
              <w:rPr>
                <w:rFonts w:cs="Arial"/>
                <w:szCs w:val="20"/>
              </w:rPr>
            </w:pPr>
            <w:r w:rsidRPr="00C07D82">
              <w:rPr>
                <w:rFonts w:cs="Arial"/>
                <w:color w:val="000000"/>
                <w:szCs w:val="20"/>
              </w:rPr>
              <w:t>Improvements in Viet Nam's Global Competitiveness Index score</w:t>
            </w:r>
            <w:r w:rsidRPr="00C07D82">
              <w:rPr>
                <w:rFonts w:cs="Arial"/>
                <w:szCs w:val="20"/>
              </w:rPr>
              <w:t xml:space="preserve"> (up from 4.18 in 2013-14)</w:t>
            </w:r>
          </w:p>
        </w:tc>
        <w:tc>
          <w:tcPr>
            <w:tcW w:w="3729" w:type="dxa"/>
            <w:vAlign w:val="center"/>
          </w:tcPr>
          <w:p w14:paraId="36A94A19" w14:textId="77777777" w:rsidR="0097134D" w:rsidRPr="00C07D82" w:rsidRDefault="0097134D" w:rsidP="0097134D">
            <w:pPr>
              <w:rPr>
                <w:rFonts w:cs="Arial"/>
                <w:szCs w:val="20"/>
              </w:rPr>
            </w:pPr>
            <w:r w:rsidRPr="00C07D82">
              <w:rPr>
                <w:rFonts w:cs="Arial"/>
                <w:color w:val="000000"/>
                <w:szCs w:val="20"/>
              </w:rPr>
              <w:t xml:space="preserve">Improvements in Viet Nam's Global Competitiveness Index score </w:t>
            </w:r>
          </w:p>
        </w:tc>
        <w:tc>
          <w:tcPr>
            <w:tcW w:w="3544" w:type="dxa"/>
            <w:vMerge w:val="restart"/>
          </w:tcPr>
          <w:p w14:paraId="36A94A1A" w14:textId="77777777" w:rsidR="0097134D" w:rsidRPr="00C07D82" w:rsidRDefault="0097134D" w:rsidP="0097134D">
            <w:pPr>
              <w:rPr>
                <w:rFonts w:cs="Arial"/>
                <w:szCs w:val="20"/>
              </w:rPr>
            </w:pPr>
            <w:r w:rsidRPr="00C07D82">
              <w:rPr>
                <w:rFonts w:cs="Arial"/>
                <w:szCs w:val="20"/>
              </w:rPr>
              <w:t>N.A</w:t>
            </w:r>
          </w:p>
          <w:p w14:paraId="36A94A1B" w14:textId="77777777" w:rsidR="0097134D" w:rsidRPr="00C07D82" w:rsidRDefault="0097134D" w:rsidP="0097134D">
            <w:pPr>
              <w:rPr>
                <w:rFonts w:cs="Arial"/>
                <w:szCs w:val="20"/>
              </w:rPr>
            </w:pPr>
          </w:p>
        </w:tc>
      </w:tr>
      <w:tr w:rsidR="0097134D" w:rsidRPr="00C07D82" w14:paraId="36A94A21" w14:textId="77777777" w:rsidTr="0097134D">
        <w:tc>
          <w:tcPr>
            <w:tcW w:w="3227" w:type="dxa"/>
            <w:vMerge/>
          </w:tcPr>
          <w:p w14:paraId="36A94A1D" w14:textId="77777777" w:rsidR="0097134D" w:rsidRPr="00C07D82" w:rsidRDefault="0097134D" w:rsidP="0097134D">
            <w:pPr>
              <w:rPr>
                <w:rFonts w:cs="Arial"/>
                <w:szCs w:val="20"/>
              </w:rPr>
            </w:pPr>
          </w:p>
        </w:tc>
        <w:tc>
          <w:tcPr>
            <w:tcW w:w="4810" w:type="dxa"/>
            <w:vAlign w:val="center"/>
          </w:tcPr>
          <w:p w14:paraId="36A94A1E" w14:textId="77777777" w:rsidR="0097134D" w:rsidRPr="00C07D82" w:rsidRDefault="0097134D" w:rsidP="0097134D">
            <w:pPr>
              <w:rPr>
                <w:rFonts w:cs="Arial"/>
                <w:szCs w:val="20"/>
              </w:rPr>
            </w:pPr>
            <w:r w:rsidRPr="00C07D82">
              <w:rPr>
                <w:rFonts w:cs="Arial"/>
                <w:szCs w:val="20"/>
              </w:rPr>
              <w:t>A recovery in the annual rate of growth in labour productivity, from 3.2% in 2005-11, to &gt; 4.8%.</w:t>
            </w:r>
          </w:p>
        </w:tc>
        <w:tc>
          <w:tcPr>
            <w:tcW w:w="3729" w:type="dxa"/>
            <w:vAlign w:val="center"/>
          </w:tcPr>
          <w:p w14:paraId="36A94A1F" w14:textId="77777777" w:rsidR="0097134D" w:rsidRPr="00C07D82" w:rsidRDefault="0097134D" w:rsidP="0097134D">
            <w:pPr>
              <w:rPr>
                <w:rFonts w:cs="Arial"/>
                <w:szCs w:val="20"/>
              </w:rPr>
            </w:pPr>
            <w:r w:rsidRPr="00C07D82">
              <w:rPr>
                <w:rFonts w:cs="Arial"/>
                <w:color w:val="000000"/>
                <w:szCs w:val="20"/>
              </w:rPr>
              <w:t>Accelerated growth in labour productivity (General Statistics Office Data)</w:t>
            </w:r>
          </w:p>
        </w:tc>
        <w:tc>
          <w:tcPr>
            <w:tcW w:w="3544" w:type="dxa"/>
            <w:vMerge/>
          </w:tcPr>
          <w:p w14:paraId="36A94A20" w14:textId="77777777" w:rsidR="0097134D" w:rsidRPr="00C07D82" w:rsidRDefault="0097134D" w:rsidP="0097134D">
            <w:pPr>
              <w:rPr>
                <w:rFonts w:cs="Arial"/>
                <w:szCs w:val="20"/>
              </w:rPr>
            </w:pPr>
          </w:p>
        </w:tc>
      </w:tr>
      <w:tr w:rsidR="0097134D" w:rsidRPr="00C07D82" w14:paraId="36A94A26" w14:textId="77777777" w:rsidTr="0097134D">
        <w:tc>
          <w:tcPr>
            <w:tcW w:w="3227" w:type="dxa"/>
            <w:vMerge/>
          </w:tcPr>
          <w:p w14:paraId="36A94A22" w14:textId="77777777" w:rsidR="0097134D" w:rsidRPr="00C07D82" w:rsidRDefault="0097134D" w:rsidP="0097134D">
            <w:pPr>
              <w:rPr>
                <w:rFonts w:cs="Arial"/>
                <w:szCs w:val="20"/>
              </w:rPr>
            </w:pPr>
          </w:p>
        </w:tc>
        <w:tc>
          <w:tcPr>
            <w:tcW w:w="4810" w:type="dxa"/>
            <w:vAlign w:val="center"/>
          </w:tcPr>
          <w:p w14:paraId="36A94A23" w14:textId="77777777" w:rsidR="0097134D" w:rsidRPr="00C07D82" w:rsidRDefault="0097134D" w:rsidP="0097134D">
            <w:pPr>
              <w:rPr>
                <w:rFonts w:cs="Arial"/>
                <w:szCs w:val="20"/>
              </w:rPr>
            </w:pPr>
            <w:r w:rsidRPr="00C07D82">
              <w:rPr>
                <w:rFonts w:cs="Arial"/>
                <w:color w:val="000000"/>
                <w:szCs w:val="20"/>
              </w:rPr>
              <w:t xml:space="preserve">Improvements in Vietnam's Corruption Perception Index score </w:t>
            </w:r>
            <w:r w:rsidRPr="00C07D82">
              <w:rPr>
                <w:rFonts w:cs="Arial"/>
                <w:szCs w:val="20"/>
              </w:rPr>
              <w:t xml:space="preserve">(up from a score of 31 in 2013) </w:t>
            </w:r>
          </w:p>
        </w:tc>
        <w:tc>
          <w:tcPr>
            <w:tcW w:w="3729" w:type="dxa"/>
            <w:vAlign w:val="center"/>
          </w:tcPr>
          <w:p w14:paraId="36A94A24" w14:textId="77777777" w:rsidR="0097134D" w:rsidRPr="00C07D82" w:rsidRDefault="0097134D" w:rsidP="0097134D">
            <w:pPr>
              <w:spacing w:before="0"/>
              <w:rPr>
                <w:rFonts w:cs="Arial"/>
                <w:color w:val="000000"/>
                <w:szCs w:val="20"/>
              </w:rPr>
            </w:pPr>
            <w:r w:rsidRPr="00C07D82">
              <w:rPr>
                <w:rFonts w:cs="Arial"/>
                <w:color w:val="000000"/>
                <w:szCs w:val="20"/>
              </w:rPr>
              <w:t>Improvements in Vietnam's Global Corruption Index score</w:t>
            </w:r>
          </w:p>
        </w:tc>
        <w:tc>
          <w:tcPr>
            <w:tcW w:w="3544" w:type="dxa"/>
            <w:vMerge/>
          </w:tcPr>
          <w:p w14:paraId="36A94A25" w14:textId="77777777" w:rsidR="0097134D" w:rsidRPr="00C07D82" w:rsidRDefault="0097134D" w:rsidP="0097134D">
            <w:pPr>
              <w:rPr>
                <w:rFonts w:cs="Arial"/>
                <w:szCs w:val="20"/>
              </w:rPr>
            </w:pPr>
          </w:p>
        </w:tc>
      </w:tr>
      <w:tr w:rsidR="0097134D" w:rsidRPr="00C07D82" w14:paraId="36A94A2D" w14:textId="77777777" w:rsidTr="0097134D">
        <w:tc>
          <w:tcPr>
            <w:tcW w:w="3227" w:type="dxa"/>
            <w:vMerge w:val="restart"/>
          </w:tcPr>
          <w:p w14:paraId="36A94A27" w14:textId="77777777" w:rsidR="0097134D" w:rsidRPr="00C07D82" w:rsidRDefault="0097134D" w:rsidP="0097134D">
            <w:pPr>
              <w:rPr>
                <w:rFonts w:cs="Arial"/>
                <w:b/>
                <w:color w:val="000000"/>
                <w:sz w:val="22"/>
                <w:szCs w:val="22"/>
              </w:rPr>
            </w:pPr>
            <w:r w:rsidRPr="00C07D82">
              <w:rPr>
                <w:rFonts w:cs="Arial"/>
                <w:b/>
                <w:color w:val="000000"/>
                <w:sz w:val="22"/>
                <w:szCs w:val="22"/>
              </w:rPr>
              <w:t>Outcome (by December 2016):</w:t>
            </w:r>
          </w:p>
          <w:p w14:paraId="36A94A28" w14:textId="77777777" w:rsidR="0097134D" w:rsidRPr="00C07D82" w:rsidRDefault="0097134D" w:rsidP="0097134D">
            <w:pPr>
              <w:rPr>
                <w:rFonts w:cs="Arial"/>
                <w:szCs w:val="20"/>
              </w:rPr>
            </w:pPr>
            <w:r w:rsidRPr="00C07D82">
              <w:rPr>
                <w:rFonts w:cs="Arial"/>
                <w:color w:val="000000"/>
                <w:szCs w:val="20"/>
              </w:rPr>
              <w:t>Improved implementation of selected elements of the Master Plan for Economic Restructuring in line with economic cooperation agreements</w:t>
            </w:r>
          </w:p>
        </w:tc>
        <w:tc>
          <w:tcPr>
            <w:tcW w:w="4810" w:type="dxa"/>
            <w:vAlign w:val="center"/>
          </w:tcPr>
          <w:p w14:paraId="36A94A29" w14:textId="54E1FB55" w:rsidR="0097134D" w:rsidRPr="00C07D82" w:rsidRDefault="0097134D" w:rsidP="0097134D">
            <w:pPr>
              <w:rPr>
                <w:rFonts w:cs="Arial"/>
                <w:color w:val="000000"/>
                <w:szCs w:val="20"/>
              </w:rPr>
            </w:pPr>
            <w:r w:rsidRPr="00C07D82">
              <w:rPr>
                <w:rFonts w:cs="Arial"/>
                <w:color w:val="000000"/>
                <w:szCs w:val="20"/>
              </w:rPr>
              <w:t>Policy recommendations resulted in G</w:t>
            </w:r>
            <w:r w:rsidR="00EF31A0" w:rsidRPr="00C07D82">
              <w:rPr>
                <w:rFonts w:cs="Arial"/>
                <w:color w:val="000000"/>
                <w:szCs w:val="20"/>
              </w:rPr>
              <w:t>O</w:t>
            </w:r>
            <w:r w:rsidRPr="00C07D82">
              <w:rPr>
                <w:rFonts w:cs="Arial"/>
                <w:color w:val="000000"/>
                <w:szCs w:val="20"/>
              </w:rPr>
              <w:t xml:space="preserve">V, CPV’s strategic documents dealing with economic restructuring including restructuring of the rural economy (e.g., CPV 30 years Doi Moi review, CPV Plenum doc, SEDP 2016-2020) </w:t>
            </w:r>
          </w:p>
        </w:tc>
        <w:tc>
          <w:tcPr>
            <w:tcW w:w="3729" w:type="dxa"/>
            <w:vAlign w:val="center"/>
          </w:tcPr>
          <w:p w14:paraId="36A94A2A" w14:textId="77777777" w:rsidR="0097134D" w:rsidRPr="00C07D82" w:rsidRDefault="0097134D" w:rsidP="0097134D">
            <w:pPr>
              <w:rPr>
                <w:rFonts w:cs="Arial"/>
                <w:color w:val="000000"/>
                <w:szCs w:val="20"/>
              </w:rPr>
            </w:pPr>
            <w:r w:rsidRPr="00C07D82">
              <w:rPr>
                <w:rFonts w:cs="Arial"/>
                <w:color w:val="000000"/>
                <w:szCs w:val="20"/>
              </w:rPr>
              <w:t xml:space="preserve">End of RCV Completion Report in December 2016; </w:t>
            </w:r>
          </w:p>
          <w:p w14:paraId="36A94A2B" w14:textId="77777777" w:rsidR="0097134D" w:rsidRPr="00C07D82" w:rsidRDefault="0097134D" w:rsidP="0097134D">
            <w:pPr>
              <w:rPr>
                <w:rFonts w:cs="Arial"/>
                <w:color w:val="000000"/>
                <w:szCs w:val="20"/>
              </w:rPr>
            </w:pPr>
            <w:r w:rsidRPr="00C07D82">
              <w:rPr>
                <w:rFonts w:cs="Arial"/>
                <w:color w:val="000000"/>
                <w:szCs w:val="20"/>
              </w:rPr>
              <w:t>Annual RCV reports</w:t>
            </w:r>
          </w:p>
        </w:tc>
        <w:tc>
          <w:tcPr>
            <w:tcW w:w="3544" w:type="dxa"/>
            <w:vAlign w:val="center"/>
          </w:tcPr>
          <w:p w14:paraId="36A94A2C" w14:textId="77777777" w:rsidR="0097134D" w:rsidRPr="00C07D82" w:rsidRDefault="0097134D" w:rsidP="0097134D">
            <w:pPr>
              <w:rPr>
                <w:rFonts w:cs="Arial"/>
                <w:szCs w:val="20"/>
              </w:rPr>
            </w:pPr>
          </w:p>
        </w:tc>
      </w:tr>
      <w:tr w:rsidR="0097134D" w:rsidRPr="00C07D82" w14:paraId="36A94A33" w14:textId="77777777" w:rsidTr="0097134D">
        <w:tc>
          <w:tcPr>
            <w:tcW w:w="3227" w:type="dxa"/>
            <w:vMerge/>
          </w:tcPr>
          <w:p w14:paraId="36A94A2E" w14:textId="77777777" w:rsidR="0097134D" w:rsidRPr="00C07D82" w:rsidRDefault="0097134D" w:rsidP="0097134D">
            <w:pPr>
              <w:rPr>
                <w:rFonts w:cs="Arial"/>
                <w:szCs w:val="20"/>
              </w:rPr>
            </w:pPr>
          </w:p>
        </w:tc>
        <w:tc>
          <w:tcPr>
            <w:tcW w:w="4810" w:type="dxa"/>
          </w:tcPr>
          <w:p w14:paraId="36A94A2F" w14:textId="77777777" w:rsidR="0097134D" w:rsidRPr="00C07D82" w:rsidRDefault="0097134D" w:rsidP="0097134D">
            <w:pPr>
              <w:rPr>
                <w:rFonts w:cs="Arial"/>
                <w:color w:val="000000"/>
                <w:szCs w:val="20"/>
              </w:rPr>
            </w:pPr>
            <w:r w:rsidRPr="00C07D82">
              <w:rPr>
                <w:rFonts w:cs="Arial"/>
                <w:color w:val="000000"/>
                <w:szCs w:val="20"/>
              </w:rPr>
              <w:t>Reduced business compliance costs and time</w:t>
            </w:r>
          </w:p>
        </w:tc>
        <w:tc>
          <w:tcPr>
            <w:tcW w:w="3729" w:type="dxa"/>
          </w:tcPr>
          <w:p w14:paraId="36A94A30" w14:textId="77777777" w:rsidR="0097134D" w:rsidRPr="00C07D82" w:rsidRDefault="0097134D" w:rsidP="0097134D">
            <w:pPr>
              <w:rPr>
                <w:rFonts w:cs="Arial"/>
                <w:color w:val="000000"/>
                <w:szCs w:val="20"/>
              </w:rPr>
            </w:pPr>
            <w:r w:rsidRPr="00C07D82">
              <w:rPr>
                <w:rFonts w:cs="Arial"/>
                <w:color w:val="000000"/>
                <w:szCs w:val="20"/>
              </w:rPr>
              <w:t xml:space="preserve">End of RCV Completion Report in December 2016; </w:t>
            </w:r>
          </w:p>
          <w:p w14:paraId="36A94A31" w14:textId="77777777" w:rsidR="0097134D" w:rsidRPr="00C07D82" w:rsidRDefault="0097134D" w:rsidP="0097134D">
            <w:pPr>
              <w:rPr>
                <w:rFonts w:cs="Arial"/>
                <w:color w:val="000000"/>
                <w:szCs w:val="20"/>
              </w:rPr>
            </w:pPr>
            <w:r w:rsidRPr="00C07D82">
              <w:rPr>
                <w:rFonts w:cs="Arial"/>
                <w:color w:val="000000"/>
                <w:szCs w:val="20"/>
              </w:rPr>
              <w:t>Annual RCV reports that include: WB Doing Business report, and CIEM analysis of change in compliance costs following revised laws</w:t>
            </w:r>
          </w:p>
        </w:tc>
        <w:tc>
          <w:tcPr>
            <w:tcW w:w="3544" w:type="dxa"/>
          </w:tcPr>
          <w:p w14:paraId="36A94A32" w14:textId="7C73C856" w:rsidR="0097134D" w:rsidRPr="00C07D82" w:rsidRDefault="0097134D" w:rsidP="0097134D">
            <w:pPr>
              <w:rPr>
                <w:rFonts w:cs="Arial"/>
                <w:color w:val="000000"/>
                <w:szCs w:val="20"/>
              </w:rPr>
            </w:pPr>
            <w:r w:rsidRPr="00C07D82">
              <w:rPr>
                <w:rFonts w:cs="Arial"/>
                <w:color w:val="000000"/>
                <w:szCs w:val="20"/>
              </w:rPr>
              <w:t>G</w:t>
            </w:r>
            <w:r w:rsidR="00EF31A0" w:rsidRPr="00C07D82">
              <w:rPr>
                <w:rFonts w:cs="Arial"/>
                <w:color w:val="000000"/>
                <w:szCs w:val="20"/>
              </w:rPr>
              <w:t>O</w:t>
            </w:r>
            <w:r w:rsidRPr="00C07D82">
              <w:rPr>
                <w:rFonts w:cs="Arial"/>
                <w:color w:val="000000"/>
                <w:szCs w:val="20"/>
              </w:rPr>
              <w:t>V and NA remains committed to taking action to facilitate private sector development.</w:t>
            </w:r>
          </w:p>
        </w:tc>
      </w:tr>
      <w:tr w:rsidR="00F01EA3" w:rsidRPr="00C07D82" w14:paraId="1B16F2E7" w14:textId="77777777" w:rsidTr="0097134D">
        <w:tc>
          <w:tcPr>
            <w:tcW w:w="3227" w:type="dxa"/>
            <w:vMerge/>
          </w:tcPr>
          <w:p w14:paraId="232D6BFB" w14:textId="77777777" w:rsidR="00F01EA3" w:rsidRPr="00C07D82" w:rsidRDefault="00F01EA3" w:rsidP="0097134D">
            <w:pPr>
              <w:rPr>
                <w:rFonts w:cs="Arial"/>
                <w:szCs w:val="20"/>
              </w:rPr>
            </w:pPr>
          </w:p>
        </w:tc>
        <w:tc>
          <w:tcPr>
            <w:tcW w:w="4810" w:type="dxa"/>
          </w:tcPr>
          <w:p w14:paraId="2094537A" w14:textId="751F62A5" w:rsidR="00F01EA3" w:rsidRPr="00C07D82" w:rsidRDefault="00F01EA3" w:rsidP="0097134D">
            <w:pPr>
              <w:rPr>
                <w:rFonts w:cs="Arial"/>
                <w:color w:val="000000"/>
                <w:szCs w:val="20"/>
              </w:rPr>
            </w:pPr>
            <w:r w:rsidRPr="00C07D82">
              <w:rPr>
                <w:rFonts w:cs="Arial"/>
                <w:color w:val="000000"/>
                <w:szCs w:val="20"/>
              </w:rPr>
              <w:t>No and quality of successful competition and trade remedy cases handled by VCA improves from those reported in 2013</w:t>
            </w:r>
          </w:p>
        </w:tc>
        <w:tc>
          <w:tcPr>
            <w:tcW w:w="3729" w:type="dxa"/>
          </w:tcPr>
          <w:p w14:paraId="5018441C" w14:textId="77777777" w:rsidR="00F01EA3" w:rsidRPr="00C07D82" w:rsidRDefault="00F01EA3" w:rsidP="00F01EA3">
            <w:pPr>
              <w:rPr>
                <w:rFonts w:cs="Arial"/>
                <w:color w:val="000000"/>
                <w:szCs w:val="20"/>
              </w:rPr>
            </w:pPr>
            <w:r w:rsidRPr="00C07D82">
              <w:rPr>
                <w:rFonts w:cs="Arial"/>
                <w:color w:val="000000"/>
                <w:szCs w:val="20"/>
              </w:rPr>
              <w:t xml:space="preserve">End of RCV Completion Report in December 2016; </w:t>
            </w:r>
          </w:p>
          <w:p w14:paraId="75533A3F" w14:textId="4DF9BCDD" w:rsidR="00F01EA3" w:rsidRPr="00C07D82" w:rsidRDefault="00F01EA3" w:rsidP="0097134D">
            <w:pPr>
              <w:rPr>
                <w:rFonts w:cs="Arial"/>
                <w:color w:val="000000"/>
                <w:szCs w:val="20"/>
              </w:rPr>
            </w:pPr>
            <w:r w:rsidRPr="00C07D82">
              <w:rPr>
                <w:rFonts w:cs="Arial"/>
                <w:color w:val="000000"/>
                <w:szCs w:val="20"/>
              </w:rPr>
              <w:t xml:space="preserve">Annual RCV reports that include: VCA annual reports; reference to VCA role in breaking up cartels in media </w:t>
            </w:r>
          </w:p>
        </w:tc>
        <w:tc>
          <w:tcPr>
            <w:tcW w:w="3544" w:type="dxa"/>
          </w:tcPr>
          <w:p w14:paraId="14EE754E" w14:textId="00CF4A33" w:rsidR="00F01EA3" w:rsidRPr="00C07D82" w:rsidRDefault="00F01EA3" w:rsidP="0097134D">
            <w:pPr>
              <w:rPr>
                <w:rFonts w:cs="Arial"/>
                <w:color w:val="000000"/>
                <w:szCs w:val="20"/>
              </w:rPr>
            </w:pPr>
            <w:r w:rsidRPr="00C07D82">
              <w:rPr>
                <w:rFonts w:cs="Arial"/>
                <w:color w:val="000000"/>
                <w:szCs w:val="20"/>
              </w:rPr>
              <w:t xml:space="preserve">VCA gets high-level support to handle competition issues in targeted sectors. </w:t>
            </w:r>
          </w:p>
        </w:tc>
      </w:tr>
      <w:tr w:rsidR="00F01EA3" w:rsidRPr="00C07D82" w14:paraId="36A94A39" w14:textId="77777777" w:rsidTr="0097134D">
        <w:tc>
          <w:tcPr>
            <w:tcW w:w="3227" w:type="dxa"/>
            <w:vMerge/>
          </w:tcPr>
          <w:p w14:paraId="36A94A34" w14:textId="77777777" w:rsidR="00F01EA3" w:rsidRPr="00C07D82" w:rsidRDefault="00F01EA3" w:rsidP="0097134D">
            <w:pPr>
              <w:rPr>
                <w:rFonts w:cs="Arial"/>
                <w:szCs w:val="20"/>
              </w:rPr>
            </w:pPr>
          </w:p>
        </w:tc>
        <w:tc>
          <w:tcPr>
            <w:tcW w:w="4810" w:type="dxa"/>
          </w:tcPr>
          <w:p w14:paraId="36A94A35" w14:textId="77777777" w:rsidR="00F01EA3" w:rsidRPr="00C07D82" w:rsidRDefault="00F01EA3" w:rsidP="0097134D">
            <w:pPr>
              <w:rPr>
                <w:rFonts w:cs="Arial"/>
                <w:szCs w:val="20"/>
              </w:rPr>
            </w:pPr>
            <w:r w:rsidRPr="00C07D82">
              <w:rPr>
                <w:rFonts w:cs="Arial"/>
                <w:color w:val="000000"/>
                <w:szCs w:val="20"/>
              </w:rPr>
              <w:t>Concrete actions taken by Dong Thap to restructure the institution for rice production and attract interest from local and central stakeholders</w:t>
            </w:r>
          </w:p>
        </w:tc>
        <w:tc>
          <w:tcPr>
            <w:tcW w:w="3729" w:type="dxa"/>
          </w:tcPr>
          <w:p w14:paraId="36A94A36" w14:textId="77777777" w:rsidR="00F01EA3" w:rsidRPr="00C07D82" w:rsidRDefault="00F01EA3" w:rsidP="0097134D">
            <w:pPr>
              <w:rPr>
                <w:rFonts w:cs="Arial"/>
                <w:color w:val="000000"/>
                <w:szCs w:val="20"/>
              </w:rPr>
            </w:pPr>
            <w:r w:rsidRPr="00C07D82">
              <w:rPr>
                <w:rFonts w:cs="Arial"/>
                <w:color w:val="000000"/>
                <w:szCs w:val="20"/>
              </w:rPr>
              <w:t xml:space="preserve">End of RCV Completion Report in December 2016; </w:t>
            </w:r>
          </w:p>
          <w:p w14:paraId="36A94A37" w14:textId="77777777" w:rsidR="00F01EA3" w:rsidRPr="00C07D82" w:rsidRDefault="00F01EA3" w:rsidP="0097134D">
            <w:pPr>
              <w:rPr>
                <w:rFonts w:cs="Arial"/>
                <w:color w:val="000000"/>
                <w:szCs w:val="20"/>
              </w:rPr>
            </w:pPr>
            <w:r w:rsidRPr="00C07D82">
              <w:rPr>
                <w:rFonts w:cs="Arial"/>
                <w:color w:val="000000"/>
                <w:szCs w:val="20"/>
              </w:rPr>
              <w:t xml:space="preserve">Annual RCV reports that include Dong Thap province decisions on institution for rice production that address identified impediments. </w:t>
            </w:r>
          </w:p>
        </w:tc>
        <w:tc>
          <w:tcPr>
            <w:tcW w:w="3544" w:type="dxa"/>
          </w:tcPr>
          <w:p w14:paraId="36A94A38" w14:textId="77777777" w:rsidR="00F01EA3" w:rsidRPr="00C07D82" w:rsidRDefault="00F01EA3" w:rsidP="0097134D">
            <w:pPr>
              <w:rPr>
                <w:rFonts w:cs="Arial"/>
                <w:szCs w:val="20"/>
              </w:rPr>
            </w:pPr>
            <w:r w:rsidRPr="00C07D82">
              <w:rPr>
                <w:rFonts w:cs="Arial"/>
                <w:color w:val="000000"/>
                <w:szCs w:val="20"/>
              </w:rPr>
              <w:t xml:space="preserve">Dong Thap province authorities remains committed to take action to restructure the institution for rice production </w:t>
            </w:r>
          </w:p>
        </w:tc>
      </w:tr>
    </w:tbl>
    <w:p w14:paraId="36A94A40" w14:textId="77777777" w:rsidR="0097134D" w:rsidRPr="00C07D82" w:rsidRDefault="0097134D" w:rsidP="0097134D"/>
    <w:tbl>
      <w:tblPr>
        <w:tblStyle w:val="TableGrid"/>
        <w:tblW w:w="14992" w:type="dxa"/>
        <w:tblInd w:w="-318" w:type="dxa"/>
        <w:tblLook w:val="04A0" w:firstRow="1" w:lastRow="0" w:firstColumn="1" w:lastColumn="0" w:noHBand="0" w:noVBand="1"/>
      </w:tblPr>
      <w:tblGrid>
        <w:gridCol w:w="3227"/>
        <w:gridCol w:w="4810"/>
        <w:gridCol w:w="3411"/>
        <w:gridCol w:w="3544"/>
      </w:tblGrid>
      <w:tr w:rsidR="0097134D" w:rsidRPr="00C07D82" w14:paraId="36A94A45" w14:textId="77777777" w:rsidTr="0097134D">
        <w:trPr>
          <w:tblHeader/>
        </w:trPr>
        <w:tc>
          <w:tcPr>
            <w:tcW w:w="3227" w:type="dxa"/>
            <w:shd w:val="clear" w:color="auto" w:fill="00FFFF"/>
          </w:tcPr>
          <w:p w14:paraId="36A94A41" w14:textId="77777777" w:rsidR="0097134D" w:rsidRPr="00C07D82" w:rsidRDefault="0097134D" w:rsidP="0097134D">
            <w:pPr>
              <w:rPr>
                <w:rFonts w:cs="Arial"/>
                <w:b/>
                <w:sz w:val="24"/>
              </w:rPr>
            </w:pPr>
            <w:r w:rsidRPr="00C07D82">
              <w:br w:type="page"/>
            </w:r>
            <w:r w:rsidRPr="00C07D82">
              <w:rPr>
                <w:rFonts w:cs="Arial"/>
                <w:b/>
                <w:bCs/>
                <w:color w:val="000000"/>
                <w:sz w:val="24"/>
              </w:rPr>
              <w:t>Hierarchy of Objectives</w:t>
            </w:r>
          </w:p>
        </w:tc>
        <w:tc>
          <w:tcPr>
            <w:tcW w:w="4810" w:type="dxa"/>
            <w:shd w:val="clear" w:color="auto" w:fill="00FFFF"/>
          </w:tcPr>
          <w:p w14:paraId="36A94A42" w14:textId="77777777" w:rsidR="0097134D" w:rsidRPr="00C07D82" w:rsidRDefault="0097134D" w:rsidP="0097134D">
            <w:pPr>
              <w:rPr>
                <w:rFonts w:cs="Arial"/>
                <w:b/>
                <w:sz w:val="24"/>
              </w:rPr>
            </w:pPr>
            <w:r w:rsidRPr="00C07D82">
              <w:rPr>
                <w:rFonts w:cs="Arial"/>
                <w:b/>
                <w:bCs/>
                <w:color w:val="000000"/>
                <w:sz w:val="24"/>
              </w:rPr>
              <w:t>Indicators</w:t>
            </w:r>
            <w:r w:rsidRPr="00C07D82">
              <w:rPr>
                <w:rFonts w:cs="Arial"/>
                <w:b/>
                <w:color w:val="000000"/>
                <w:sz w:val="24"/>
              </w:rPr>
              <w:t> </w:t>
            </w:r>
          </w:p>
        </w:tc>
        <w:tc>
          <w:tcPr>
            <w:tcW w:w="3411" w:type="dxa"/>
            <w:shd w:val="clear" w:color="auto" w:fill="00FFFF"/>
          </w:tcPr>
          <w:p w14:paraId="36A94A43" w14:textId="77777777" w:rsidR="0097134D" w:rsidRPr="00C07D82" w:rsidRDefault="0097134D" w:rsidP="0097134D">
            <w:pPr>
              <w:rPr>
                <w:rFonts w:cs="Arial"/>
                <w:b/>
                <w:sz w:val="24"/>
              </w:rPr>
            </w:pPr>
            <w:r w:rsidRPr="00C07D82">
              <w:rPr>
                <w:rFonts w:cs="Arial"/>
                <w:b/>
                <w:bCs/>
                <w:color w:val="000000"/>
                <w:sz w:val="24"/>
              </w:rPr>
              <w:t>Means of Verification</w:t>
            </w:r>
          </w:p>
        </w:tc>
        <w:tc>
          <w:tcPr>
            <w:tcW w:w="3544" w:type="dxa"/>
            <w:shd w:val="clear" w:color="auto" w:fill="00FFFF"/>
          </w:tcPr>
          <w:p w14:paraId="36A94A44" w14:textId="77777777" w:rsidR="0097134D" w:rsidRPr="00C07D82" w:rsidRDefault="0097134D" w:rsidP="0097134D">
            <w:pPr>
              <w:rPr>
                <w:rFonts w:cs="Arial"/>
                <w:b/>
                <w:sz w:val="24"/>
              </w:rPr>
            </w:pPr>
            <w:r w:rsidRPr="00C07D82">
              <w:rPr>
                <w:rFonts w:cs="Arial"/>
                <w:b/>
                <w:sz w:val="24"/>
              </w:rPr>
              <w:t>Assumptions</w:t>
            </w:r>
          </w:p>
        </w:tc>
      </w:tr>
      <w:tr w:rsidR="0097134D" w:rsidRPr="00C07D82" w14:paraId="36A94A47" w14:textId="77777777" w:rsidTr="0097134D">
        <w:tc>
          <w:tcPr>
            <w:tcW w:w="14992" w:type="dxa"/>
            <w:gridSpan w:val="4"/>
            <w:shd w:val="clear" w:color="auto" w:fill="00CCFF"/>
          </w:tcPr>
          <w:p w14:paraId="36A94A46" w14:textId="77777777" w:rsidR="0097134D" w:rsidRPr="00C07D82" w:rsidRDefault="0097134D" w:rsidP="0097134D">
            <w:pPr>
              <w:rPr>
                <w:rFonts w:cs="Arial"/>
                <w:b/>
                <w:color w:val="000000"/>
                <w:szCs w:val="20"/>
              </w:rPr>
            </w:pPr>
            <w:r w:rsidRPr="00C07D82">
              <w:rPr>
                <w:rFonts w:cs="Arial"/>
                <w:b/>
                <w:color w:val="000000"/>
                <w:szCs w:val="20"/>
              </w:rPr>
              <w:t>Component 1: Enhanced Business Competitiveness and Transparency</w:t>
            </w:r>
          </w:p>
        </w:tc>
      </w:tr>
      <w:tr w:rsidR="0097134D" w:rsidRPr="00C07D82" w14:paraId="36A94A4C" w14:textId="77777777" w:rsidTr="0097134D">
        <w:tc>
          <w:tcPr>
            <w:tcW w:w="3227" w:type="dxa"/>
            <w:vMerge w:val="restart"/>
          </w:tcPr>
          <w:p w14:paraId="36A94A48" w14:textId="77777777" w:rsidR="0097134D" w:rsidRPr="00C07D82" w:rsidRDefault="0097134D" w:rsidP="0097134D">
            <w:pPr>
              <w:rPr>
                <w:rFonts w:cs="Arial"/>
                <w:color w:val="000000"/>
                <w:szCs w:val="20"/>
              </w:rPr>
            </w:pPr>
            <w:r w:rsidRPr="00C07D82">
              <w:rPr>
                <w:rFonts w:cs="Arial"/>
                <w:b/>
                <w:color w:val="000000"/>
                <w:szCs w:val="20"/>
              </w:rPr>
              <w:t>Output 1.1:</w:t>
            </w:r>
            <w:r w:rsidRPr="00C07D82">
              <w:rPr>
                <w:rFonts w:cs="Arial"/>
                <w:color w:val="000000"/>
                <w:szCs w:val="20"/>
              </w:rPr>
              <w:t xml:space="preserve"> Improved Enterprise and Investment Legislation</w:t>
            </w:r>
          </w:p>
        </w:tc>
        <w:tc>
          <w:tcPr>
            <w:tcW w:w="4810" w:type="dxa"/>
          </w:tcPr>
          <w:p w14:paraId="36A94A49" w14:textId="77777777" w:rsidR="0097134D" w:rsidRPr="00C07D82" w:rsidRDefault="0097134D" w:rsidP="0097134D">
            <w:pPr>
              <w:rPr>
                <w:rFonts w:cs="Arial"/>
                <w:szCs w:val="20"/>
              </w:rPr>
            </w:pPr>
            <w:r w:rsidRPr="00C07D82">
              <w:rPr>
                <w:rFonts w:cs="Arial"/>
                <w:color w:val="000000"/>
                <w:szCs w:val="20"/>
              </w:rPr>
              <w:t>Enterprise and Investment Laws approved by NA by 2014-15, and in effect by 2015-16.</w:t>
            </w:r>
          </w:p>
        </w:tc>
        <w:tc>
          <w:tcPr>
            <w:tcW w:w="3411" w:type="dxa"/>
          </w:tcPr>
          <w:p w14:paraId="36A94A4A" w14:textId="77777777" w:rsidR="0097134D" w:rsidRPr="00C07D82" w:rsidRDefault="0097134D" w:rsidP="0097134D">
            <w:pPr>
              <w:rPr>
                <w:rFonts w:cs="Arial"/>
                <w:szCs w:val="20"/>
              </w:rPr>
            </w:pPr>
            <w:r w:rsidRPr="00C07D82">
              <w:rPr>
                <w:rFonts w:cs="Arial"/>
                <w:color w:val="000000"/>
                <w:szCs w:val="20"/>
              </w:rPr>
              <w:t>Law approved by NA and issued by appropriate authority</w:t>
            </w:r>
          </w:p>
        </w:tc>
        <w:tc>
          <w:tcPr>
            <w:tcW w:w="3544" w:type="dxa"/>
          </w:tcPr>
          <w:p w14:paraId="36A94A4B" w14:textId="77777777" w:rsidR="0097134D" w:rsidRPr="00C07D82" w:rsidRDefault="0097134D" w:rsidP="0097134D">
            <w:pPr>
              <w:rPr>
                <w:rFonts w:cs="Arial"/>
                <w:szCs w:val="20"/>
              </w:rPr>
            </w:pPr>
            <w:r w:rsidRPr="00C07D82">
              <w:rPr>
                <w:rFonts w:cs="Arial"/>
                <w:color w:val="000000"/>
                <w:szCs w:val="20"/>
              </w:rPr>
              <w:t>PM endorses recommendations on alleviating constraints to Private Sector Development</w:t>
            </w:r>
          </w:p>
        </w:tc>
      </w:tr>
      <w:tr w:rsidR="0097134D" w:rsidRPr="00C07D82" w14:paraId="36A94A51" w14:textId="77777777" w:rsidTr="0097134D">
        <w:tc>
          <w:tcPr>
            <w:tcW w:w="3227" w:type="dxa"/>
            <w:vMerge/>
          </w:tcPr>
          <w:p w14:paraId="36A94A4D" w14:textId="77777777" w:rsidR="0097134D" w:rsidRPr="00C07D82" w:rsidRDefault="0097134D" w:rsidP="0097134D">
            <w:pPr>
              <w:rPr>
                <w:rFonts w:cs="Arial"/>
                <w:szCs w:val="20"/>
              </w:rPr>
            </w:pPr>
          </w:p>
        </w:tc>
        <w:tc>
          <w:tcPr>
            <w:tcW w:w="4810" w:type="dxa"/>
          </w:tcPr>
          <w:p w14:paraId="36A94A4E" w14:textId="77777777" w:rsidR="0097134D" w:rsidRPr="00C07D82" w:rsidRDefault="0097134D" w:rsidP="0097134D">
            <w:pPr>
              <w:rPr>
                <w:rFonts w:cs="Arial"/>
                <w:color w:val="000000"/>
                <w:szCs w:val="20"/>
              </w:rPr>
            </w:pPr>
            <w:r w:rsidRPr="00C07D82">
              <w:rPr>
                <w:rFonts w:cs="Arial"/>
                <w:color w:val="000000"/>
                <w:szCs w:val="20"/>
              </w:rPr>
              <w:t>Key implementing regulations that help reduce business compliance costs; and improve compliance of SOEs on corporate governance that are in line with OECD principles issued by 2015-16</w:t>
            </w:r>
          </w:p>
        </w:tc>
        <w:tc>
          <w:tcPr>
            <w:tcW w:w="3411" w:type="dxa"/>
          </w:tcPr>
          <w:p w14:paraId="36A94A4F" w14:textId="77777777" w:rsidR="0097134D" w:rsidRPr="00C07D82" w:rsidRDefault="0097134D" w:rsidP="0097134D">
            <w:pPr>
              <w:rPr>
                <w:rFonts w:cs="Arial"/>
                <w:szCs w:val="20"/>
              </w:rPr>
            </w:pPr>
            <w:r w:rsidRPr="00C07D82">
              <w:rPr>
                <w:rFonts w:cs="Arial"/>
                <w:color w:val="000000"/>
                <w:szCs w:val="20"/>
              </w:rPr>
              <w:t>Decree issued by Prime Minister</w:t>
            </w:r>
          </w:p>
        </w:tc>
        <w:tc>
          <w:tcPr>
            <w:tcW w:w="3544" w:type="dxa"/>
          </w:tcPr>
          <w:p w14:paraId="36A94A50" w14:textId="77777777" w:rsidR="0097134D" w:rsidRPr="00C07D82" w:rsidRDefault="0097134D" w:rsidP="0097134D">
            <w:pPr>
              <w:rPr>
                <w:rFonts w:cs="Arial"/>
                <w:szCs w:val="20"/>
              </w:rPr>
            </w:pPr>
            <w:r w:rsidRPr="00C07D82">
              <w:rPr>
                <w:rFonts w:cs="Arial"/>
                <w:color w:val="000000"/>
                <w:szCs w:val="20"/>
              </w:rPr>
              <w:t>The NA endorses revisions to the Enterprise and Investment Laws</w:t>
            </w:r>
          </w:p>
        </w:tc>
      </w:tr>
      <w:tr w:rsidR="0097134D" w:rsidRPr="00C07D82" w14:paraId="36A94A56" w14:textId="77777777" w:rsidTr="0097134D">
        <w:trPr>
          <w:trHeight w:val="1385"/>
        </w:trPr>
        <w:tc>
          <w:tcPr>
            <w:tcW w:w="3227" w:type="dxa"/>
          </w:tcPr>
          <w:p w14:paraId="36A94A52" w14:textId="77777777" w:rsidR="0097134D" w:rsidRPr="00C07D82" w:rsidRDefault="0097134D" w:rsidP="0097134D">
            <w:pPr>
              <w:rPr>
                <w:rFonts w:cs="Arial"/>
                <w:szCs w:val="20"/>
              </w:rPr>
            </w:pPr>
            <w:r w:rsidRPr="00C07D82">
              <w:rPr>
                <w:rFonts w:cs="Arial"/>
                <w:b/>
                <w:color w:val="000000"/>
                <w:szCs w:val="20"/>
              </w:rPr>
              <w:t>Output 1.2:</w:t>
            </w:r>
            <w:r w:rsidRPr="00C07D82">
              <w:rPr>
                <w:rFonts w:cs="Arial"/>
                <w:color w:val="000000"/>
                <w:szCs w:val="20"/>
              </w:rPr>
              <w:t xml:space="preserve"> Removed impediments to competitive business environment</w:t>
            </w:r>
          </w:p>
        </w:tc>
        <w:tc>
          <w:tcPr>
            <w:tcW w:w="4810" w:type="dxa"/>
          </w:tcPr>
          <w:p w14:paraId="36A94A53" w14:textId="77777777" w:rsidR="0097134D" w:rsidRPr="00C07D82" w:rsidRDefault="0097134D" w:rsidP="0097134D">
            <w:pPr>
              <w:rPr>
                <w:rFonts w:cs="Arial"/>
                <w:szCs w:val="20"/>
              </w:rPr>
            </w:pPr>
            <w:r w:rsidRPr="00C07D82">
              <w:rPr>
                <w:rFonts w:cs="Arial"/>
                <w:szCs w:val="20"/>
              </w:rPr>
              <w:t>Diagnostic reports on: impediments to business (e.g. border trade procedures, market entry conditions, market distortion caused by SOEs); and additional reforms needed to comply with international economic cooperation agreements, submitted to PM by 2015-16</w:t>
            </w:r>
          </w:p>
        </w:tc>
        <w:tc>
          <w:tcPr>
            <w:tcW w:w="3411" w:type="dxa"/>
          </w:tcPr>
          <w:p w14:paraId="36A94A54" w14:textId="77777777" w:rsidR="0097134D" w:rsidRPr="00C07D82" w:rsidRDefault="0097134D" w:rsidP="0097134D">
            <w:pPr>
              <w:rPr>
                <w:rFonts w:cs="Arial"/>
                <w:szCs w:val="20"/>
              </w:rPr>
            </w:pPr>
            <w:r w:rsidRPr="00C07D82">
              <w:rPr>
                <w:rFonts w:cs="Arial"/>
                <w:color w:val="000000"/>
                <w:szCs w:val="20"/>
              </w:rPr>
              <w:t>Letter submitting report to the Prime Minister</w:t>
            </w:r>
          </w:p>
        </w:tc>
        <w:tc>
          <w:tcPr>
            <w:tcW w:w="3544" w:type="dxa"/>
          </w:tcPr>
          <w:p w14:paraId="36A94A55" w14:textId="00D990FE" w:rsidR="0097134D" w:rsidRPr="00C07D82" w:rsidRDefault="0097134D" w:rsidP="0097134D">
            <w:pPr>
              <w:rPr>
                <w:rFonts w:cs="Arial"/>
                <w:szCs w:val="20"/>
              </w:rPr>
            </w:pPr>
            <w:r w:rsidRPr="00C07D82">
              <w:rPr>
                <w:rFonts w:cs="Arial"/>
                <w:color w:val="000000"/>
                <w:szCs w:val="20"/>
              </w:rPr>
              <w:t>MPI and G</w:t>
            </w:r>
            <w:r w:rsidR="00EF31A0" w:rsidRPr="00C07D82">
              <w:rPr>
                <w:rFonts w:cs="Arial"/>
                <w:color w:val="000000"/>
                <w:szCs w:val="20"/>
              </w:rPr>
              <w:t>O</w:t>
            </w:r>
            <w:r w:rsidRPr="00C07D82">
              <w:rPr>
                <w:rFonts w:cs="Arial"/>
                <w:color w:val="000000"/>
                <w:szCs w:val="20"/>
              </w:rPr>
              <w:t>V as relevant endorse proposed changes</w:t>
            </w:r>
          </w:p>
        </w:tc>
      </w:tr>
      <w:tr w:rsidR="0097134D" w:rsidRPr="00C07D82" w14:paraId="36A94A5C" w14:textId="77777777" w:rsidTr="0097134D">
        <w:tc>
          <w:tcPr>
            <w:tcW w:w="3227" w:type="dxa"/>
            <w:vMerge w:val="restart"/>
          </w:tcPr>
          <w:p w14:paraId="36A94A57" w14:textId="77777777" w:rsidR="0097134D" w:rsidRPr="00C07D82" w:rsidRDefault="0097134D" w:rsidP="0097134D">
            <w:pPr>
              <w:rPr>
                <w:rFonts w:cs="Arial"/>
                <w:szCs w:val="20"/>
              </w:rPr>
            </w:pPr>
            <w:r w:rsidRPr="00C07D82">
              <w:rPr>
                <w:rFonts w:cs="Arial"/>
                <w:b/>
                <w:color w:val="000000"/>
                <w:szCs w:val="20"/>
              </w:rPr>
              <w:t>Output 1.3:</w:t>
            </w:r>
            <w:r w:rsidRPr="00C07D82">
              <w:rPr>
                <w:rFonts w:cs="Arial"/>
                <w:color w:val="000000"/>
                <w:szCs w:val="20"/>
              </w:rPr>
              <w:t xml:space="preserve"> Improved evidence based analysis and dialogue on MPER implementation performance and emerging issues</w:t>
            </w:r>
          </w:p>
        </w:tc>
        <w:tc>
          <w:tcPr>
            <w:tcW w:w="4810" w:type="dxa"/>
          </w:tcPr>
          <w:p w14:paraId="36A94A58" w14:textId="77777777" w:rsidR="0097134D" w:rsidRPr="00C07D82" w:rsidRDefault="0097134D" w:rsidP="0097134D">
            <w:pPr>
              <w:rPr>
                <w:rFonts w:cs="Arial"/>
                <w:szCs w:val="20"/>
              </w:rPr>
            </w:pPr>
            <w:r w:rsidRPr="00C07D82">
              <w:rPr>
                <w:rFonts w:cs="Arial"/>
                <w:szCs w:val="20"/>
              </w:rPr>
              <w:t>Improved feedback on MPER dialogue and MPER progress reports</w:t>
            </w:r>
          </w:p>
        </w:tc>
        <w:tc>
          <w:tcPr>
            <w:tcW w:w="3411" w:type="dxa"/>
            <w:vMerge w:val="restart"/>
          </w:tcPr>
          <w:p w14:paraId="36A94A59" w14:textId="77777777" w:rsidR="0097134D" w:rsidRPr="00C07D82" w:rsidRDefault="0097134D" w:rsidP="0097134D">
            <w:pPr>
              <w:rPr>
                <w:rFonts w:cs="Arial"/>
                <w:color w:val="000000"/>
                <w:szCs w:val="20"/>
              </w:rPr>
            </w:pPr>
            <w:r w:rsidRPr="00C07D82">
              <w:rPr>
                <w:rFonts w:cs="Arial"/>
                <w:color w:val="000000"/>
                <w:szCs w:val="20"/>
              </w:rPr>
              <w:t>CIEM Quarterly and Annual RCV reports;</w:t>
            </w:r>
          </w:p>
          <w:p w14:paraId="36A94A5A" w14:textId="77777777" w:rsidR="0097134D" w:rsidRPr="00C07D82" w:rsidRDefault="0097134D" w:rsidP="0097134D">
            <w:pPr>
              <w:rPr>
                <w:rFonts w:cs="Arial"/>
                <w:szCs w:val="20"/>
              </w:rPr>
            </w:pPr>
            <w:r w:rsidRPr="00C07D82">
              <w:rPr>
                <w:rFonts w:cs="Arial"/>
                <w:color w:val="000000"/>
                <w:szCs w:val="20"/>
              </w:rPr>
              <w:t>Media tracking</w:t>
            </w:r>
          </w:p>
        </w:tc>
        <w:tc>
          <w:tcPr>
            <w:tcW w:w="3544" w:type="dxa"/>
            <w:vMerge w:val="restart"/>
          </w:tcPr>
          <w:p w14:paraId="36A94A5B" w14:textId="77777777" w:rsidR="0097134D" w:rsidRPr="00C07D82" w:rsidRDefault="0097134D" w:rsidP="0097134D">
            <w:pPr>
              <w:rPr>
                <w:rFonts w:cs="Arial"/>
                <w:szCs w:val="20"/>
              </w:rPr>
            </w:pPr>
            <w:r w:rsidRPr="00C07D82">
              <w:rPr>
                <w:rFonts w:cs="Arial"/>
                <w:szCs w:val="20"/>
              </w:rPr>
              <w:t>National leaders continue to prioritise implementation of MPER and retain confidence in CIEM reporting on implementation.</w:t>
            </w:r>
          </w:p>
        </w:tc>
      </w:tr>
      <w:tr w:rsidR="0097134D" w:rsidRPr="00C07D82" w14:paraId="36A94A61" w14:textId="77777777" w:rsidTr="0097134D">
        <w:tc>
          <w:tcPr>
            <w:tcW w:w="3227" w:type="dxa"/>
            <w:vMerge/>
          </w:tcPr>
          <w:p w14:paraId="36A94A5D" w14:textId="77777777" w:rsidR="0097134D" w:rsidRPr="00C07D82" w:rsidRDefault="0097134D" w:rsidP="0097134D">
            <w:pPr>
              <w:rPr>
                <w:rFonts w:cs="Arial"/>
                <w:szCs w:val="20"/>
              </w:rPr>
            </w:pPr>
          </w:p>
        </w:tc>
        <w:tc>
          <w:tcPr>
            <w:tcW w:w="4810" w:type="dxa"/>
          </w:tcPr>
          <w:p w14:paraId="36A94A5E" w14:textId="359C1C97" w:rsidR="0097134D" w:rsidRPr="00C07D82" w:rsidRDefault="0097134D" w:rsidP="0097134D">
            <w:pPr>
              <w:rPr>
                <w:rFonts w:cs="Arial"/>
                <w:szCs w:val="20"/>
              </w:rPr>
            </w:pPr>
            <w:r w:rsidRPr="00C07D82">
              <w:rPr>
                <w:rFonts w:cs="Arial"/>
                <w:szCs w:val="20"/>
              </w:rPr>
              <w:t>Evidence that MPER reports were discussed in national and sub-national level G</w:t>
            </w:r>
            <w:r w:rsidR="00EF31A0" w:rsidRPr="00C07D82">
              <w:rPr>
                <w:rFonts w:cs="Arial"/>
                <w:szCs w:val="20"/>
              </w:rPr>
              <w:t>O</w:t>
            </w:r>
            <w:r w:rsidRPr="00C07D82">
              <w:rPr>
                <w:rFonts w:cs="Arial"/>
                <w:szCs w:val="20"/>
              </w:rPr>
              <w:t>V meetings and the media.</w:t>
            </w:r>
          </w:p>
        </w:tc>
        <w:tc>
          <w:tcPr>
            <w:tcW w:w="3411" w:type="dxa"/>
            <w:vMerge/>
            <w:vAlign w:val="center"/>
          </w:tcPr>
          <w:p w14:paraId="36A94A5F" w14:textId="77777777" w:rsidR="0097134D" w:rsidRPr="00C07D82" w:rsidRDefault="0097134D" w:rsidP="0097134D">
            <w:pPr>
              <w:rPr>
                <w:rFonts w:cs="Arial"/>
                <w:szCs w:val="20"/>
              </w:rPr>
            </w:pPr>
          </w:p>
        </w:tc>
        <w:tc>
          <w:tcPr>
            <w:tcW w:w="3544" w:type="dxa"/>
            <w:vMerge/>
          </w:tcPr>
          <w:p w14:paraId="36A94A60" w14:textId="77777777" w:rsidR="0097134D" w:rsidRPr="00C07D82" w:rsidRDefault="0097134D" w:rsidP="0097134D">
            <w:pPr>
              <w:rPr>
                <w:rFonts w:cs="Arial"/>
                <w:szCs w:val="20"/>
              </w:rPr>
            </w:pPr>
          </w:p>
        </w:tc>
      </w:tr>
      <w:tr w:rsidR="0097134D" w:rsidRPr="00C07D82" w14:paraId="36A94A68" w14:textId="77777777" w:rsidTr="0097134D">
        <w:tc>
          <w:tcPr>
            <w:tcW w:w="3227" w:type="dxa"/>
            <w:tcBorders>
              <w:bottom w:val="single" w:sz="4" w:space="0" w:color="auto"/>
            </w:tcBorders>
          </w:tcPr>
          <w:p w14:paraId="36A94A62" w14:textId="77777777" w:rsidR="0097134D" w:rsidRPr="00C07D82" w:rsidRDefault="0097134D" w:rsidP="0097134D">
            <w:pPr>
              <w:rPr>
                <w:rFonts w:cs="Arial"/>
                <w:szCs w:val="20"/>
              </w:rPr>
            </w:pPr>
            <w:r w:rsidRPr="00C07D82">
              <w:rPr>
                <w:rFonts w:cs="Arial"/>
                <w:b/>
                <w:color w:val="000000"/>
                <w:szCs w:val="20"/>
              </w:rPr>
              <w:t>Output 1.4:</w:t>
            </w:r>
            <w:r w:rsidRPr="00C07D82">
              <w:rPr>
                <w:rFonts w:cs="Arial"/>
                <w:color w:val="000000"/>
                <w:szCs w:val="20"/>
              </w:rPr>
              <w:t xml:space="preserve"> Enhanced policy dialogue (taking account of international experience) on macro-economic and economic development issues.</w:t>
            </w:r>
          </w:p>
        </w:tc>
        <w:tc>
          <w:tcPr>
            <w:tcW w:w="4810" w:type="dxa"/>
            <w:tcBorders>
              <w:bottom w:val="single" w:sz="4" w:space="0" w:color="auto"/>
            </w:tcBorders>
          </w:tcPr>
          <w:p w14:paraId="36A94A63" w14:textId="4101AF2A" w:rsidR="0097134D" w:rsidRPr="00C07D82" w:rsidRDefault="0097134D" w:rsidP="0097134D">
            <w:pPr>
              <w:rPr>
                <w:rFonts w:cs="Arial"/>
                <w:szCs w:val="20"/>
              </w:rPr>
            </w:pPr>
            <w:r w:rsidRPr="00C07D82">
              <w:rPr>
                <w:rFonts w:cs="Arial"/>
                <w:szCs w:val="20"/>
              </w:rPr>
              <w:t>At least 2 quality analytical reports submitted by CIEM to national leadership and widely discussed in G</w:t>
            </w:r>
            <w:r w:rsidR="00EF31A0" w:rsidRPr="00C07D82">
              <w:rPr>
                <w:rFonts w:cs="Arial"/>
                <w:szCs w:val="20"/>
              </w:rPr>
              <w:t>O</w:t>
            </w:r>
            <w:r w:rsidRPr="00C07D82">
              <w:rPr>
                <w:rFonts w:cs="Arial"/>
                <w:szCs w:val="20"/>
              </w:rPr>
              <w:t xml:space="preserve">V meetings and mass media by December 2016 </w:t>
            </w:r>
          </w:p>
        </w:tc>
        <w:tc>
          <w:tcPr>
            <w:tcW w:w="3411" w:type="dxa"/>
            <w:tcBorders>
              <w:bottom w:val="single" w:sz="4" w:space="0" w:color="auto"/>
            </w:tcBorders>
          </w:tcPr>
          <w:p w14:paraId="36A94A64" w14:textId="77777777" w:rsidR="0097134D" w:rsidRPr="00C07D82" w:rsidRDefault="0097134D" w:rsidP="0097134D">
            <w:pPr>
              <w:rPr>
                <w:rFonts w:cs="Arial"/>
                <w:color w:val="000000"/>
                <w:szCs w:val="20"/>
              </w:rPr>
            </w:pPr>
            <w:r w:rsidRPr="00C07D82">
              <w:rPr>
                <w:rFonts w:cs="Arial"/>
                <w:color w:val="000000"/>
                <w:szCs w:val="20"/>
              </w:rPr>
              <w:t>CIEM Quarterly and Annual RCV reports;</w:t>
            </w:r>
          </w:p>
          <w:p w14:paraId="36A94A65" w14:textId="77777777" w:rsidR="0097134D" w:rsidRPr="00C07D82" w:rsidRDefault="0097134D" w:rsidP="0097134D">
            <w:pPr>
              <w:rPr>
                <w:rFonts w:cs="Arial"/>
                <w:szCs w:val="20"/>
              </w:rPr>
            </w:pPr>
            <w:r w:rsidRPr="00C07D82">
              <w:rPr>
                <w:rFonts w:cs="Arial"/>
                <w:color w:val="000000"/>
                <w:szCs w:val="20"/>
              </w:rPr>
              <w:t>Media tracking</w:t>
            </w:r>
          </w:p>
        </w:tc>
        <w:tc>
          <w:tcPr>
            <w:tcW w:w="3544" w:type="dxa"/>
            <w:tcBorders>
              <w:bottom w:val="single" w:sz="4" w:space="0" w:color="auto"/>
            </w:tcBorders>
          </w:tcPr>
          <w:p w14:paraId="36A94A66" w14:textId="77777777" w:rsidR="0097134D" w:rsidRPr="00C07D82" w:rsidRDefault="0097134D" w:rsidP="0097134D">
            <w:pPr>
              <w:rPr>
                <w:rFonts w:cs="Arial"/>
                <w:color w:val="000000"/>
                <w:szCs w:val="20"/>
              </w:rPr>
            </w:pPr>
            <w:r w:rsidRPr="00C07D82">
              <w:rPr>
                <w:rFonts w:cs="Arial"/>
                <w:color w:val="000000"/>
                <w:szCs w:val="20"/>
              </w:rPr>
              <w:t>A strong consensus on policy actions to address macro-economic issues is built among policy makers.</w:t>
            </w:r>
          </w:p>
          <w:p w14:paraId="36A94A67" w14:textId="77777777" w:rsidR="0097134D" w:rsidRPr="00C07D82" w:rsidRDefault="0097134D" w:rsidP="0097134D">
            <w:pPr>
              <w:rPr>
                <w:rFonts w:cs="Arial"/>
                <w:szCs w:val="20"/>
              </w:rPr>
            </w:pPr>
          </w:p>
        </w:tc>
      </w:tr>
    </w:tbl>
    <w:p w14:paraId="36A94A69" w14:textId="77777777" w:rsidR="0097134D" w:rsidRPr="00C07D82" w:rsidRDefault="0097134D" w:rsidP="0097134D"/>
    <w:p w14:paraId="36A94A6A" w14:textId="77777777" w:rsidR="00091EAE" w:rsidRPr="00C07D82" w:rsidRDefault="00091EAE">
      <w:pPr>
        <w:spacing w:before="0" w:after="200" w:line="276" w:lineRule="auto"/>
      </w:pPr>
      <w:r w:rsidRPr="00C07D82">
        <w:br w:type="page"/>
      </w:r>
    </w:p>
    <w:p w14:paraId="36A94A6B" w14:textId="77777777" w:rsidR="00091EAE" w:rsidRPr="00C07D82" w:rsidRDefault="00091EAE" w:rsidP="00091EAE"/>
    <w:tbl>
      <w:tblPr>
        <w:tblStyle w:val="TableGrid"/>
        <w:tblW w:w="14992" w:type="dxa"/>
        <w:tblInd w:w="-318" w:type="dxa"/>
        <w:tblLook w:val="04A0" w:firstRow="1" w:lastRow="0" w:firstColumn="1" w:lastColumn="0" w:noHBand="0" w:noVBand="1"/>
      </w:tblPr>
      <w:tblGrid>
        <w:gridCol w:w="3227"/>
        <w:gridCol w:w="4810"/>
        <w:gridCol w:w="3411"/>
        <w:gridCol w:w="3544"/>
      </w:tblGrid>
      <w:tr w:rsidR="00091EAE" w:rsidRPr="00C07D82" w14:paraId="36A94A70" w14:textId="77777777" w:rsidTr="0062529A">
        <w:trPr>
          <w:tblHeader/>
        </w:trPr>
        <w:tc>
          <w:tcPr>
            <w:tcW w:w="3227" w:type="dxa"/>
            <w:shd w:val="clear" w:color="auto" w:fill="00FFFF"/>
          </w:tcPr>
          <w:p w14:paraId="36A94A6C" w14:textId="77777777" w:rsidR="00091EAE" w:rsidRPr="00C07D82" w:rsidRDefault="00091EAE" w:rsidP="0062529A">
            <w:pPr>
              <w:rPr>
                <w:rFonts w:cs="Arial"/>
                <w:b/>
                <w:sz w:val="24"/>
              </w:rPr>
            </w:pPr>
            <w:r w:rsidRPr="00C07D82">
              <w:rPr>
                <w:rFonts w:cs="Arial"/>
                <w:b/>
                <w:bCs/>
                <w:color w:val="000000"/>
                <w:sz w:val="24"/>
              </w:rPr>
              <w:t>Hierarchy of Objectives</w:t>
            </w:r>
          </w:p>
        </w:tc>
        <w:tc>
          <w:tcPr>
            <w:tcW w:w="4810" w:type="dxa"/>
            <w:shd w:val="clear" w:color="auto" w:fill="00FFFF"/>
          </w:tcPr>
          <w:p w14:paraId="36A94A6D" w14:textId="77777777" w:rsidR="00091EAE" w:rsidRPr="00C07D82" w:rsidRDefault="00091EAE" w:rsidP="0062529A">
            <w:pPr>
              <w:rPr>
                <w:rFonts w:cs="Arial"/>
                <w:b/>
                <w:sz w:val="24"/>
              </w:rPr>
            </w:pPr>
            <w:r w:rsidRPr="00C07D82">
              <w:rPr>
                <w:rFonts w:cs="Arial"/>
                <w:b/>
                <w:bCs/>
                <w:color w:val="000000"/>
                <w:sz w:val="24"/>
              </w:rPr>
              <w:t>Indicators</w:t>
            </w:r>
            <w:r w:rsidRPr="00C07D82">
              <w:rPr>
                <w:rFonts w:cs="Arial"/>
                <w:b/>
                <w:color w:val="000000"/>
                <w:sz w:val="24"/>
              </w:rPr>
              <w:t> </w:t>
            </w:r>
          </w:p>
        </w:tc>
        <w:tc>
          <w:tcPr>
            <w:tcW w:w="3411" w:type="dxa"/>
            <w:shd w:val="clear" w:color="auto" w:fill="00FFFF"/>
          </w:tcPr>
          <w:p w14:paraId="36A94A6E" w14:textId="77777777" w:rsidR="00091EAE" w:rsidRPr="00C07D82" w:rsidRDefault="00091EAE" w:rsidP="0062529A">
            <w:pPr>
              <w:rPr>
                <w:rFonts w:cs="Arial"/>
                <w:b/>
                <w:sz w:val="24"/>
              </w:rPr>
            </w:pPr>
            <w:r w:rsidRPr="00C07D82">
              <w:rPr>
                <w:rFonts w:cs="Arial"/>
                <w:b/>
                <w:bCs/>
                <w:color w:val="000000"/>
                <w:sz w:val="24"/>
              </w:rPr>
              <w:t>Means of Verification</w:t>
            </w:r>
          </w:p>
        </w:tc>
        <w:tc>
          <w:tcPr>
            <w:tcW w:w="3544" w:type="dxa"/>
            <w:shd w:val="clear" w:color="auto" w:fill="00FFFF"/>
          </w:tcPr>
          <w:p w14:paraId="36A94A6F" w14:textId="77777777" w:rsidR="00091EAE" w:rsidRPr="00C07D82" w:rsidRDefault="00091EAE" w:rsidP="0062529A">
            <w:pPr>
              <w:rPr>
                <w:rFonts w:cs="Arial"/>
                <w:b/>
                <w:sz w:val="24"/>
              </w:rPr>
            </w:pPr>
            <w:r w:rsidRPr="00C07D82">
              <w:rPr>
                <w:rFonts w:cs="Arial"/>
                <w:b/>
                <w:sz w:val="24"/>
              </w:rPr>
              <w:t>Assumptions</w:t>
            </w:r>
          </w:p>
        </w:tc>
      </w:tr>
      <w:tr w:rsidR="00091EAE" w:rsidRPr="00C07D82" w14:paraId="36A94A72" w14:textId="77777777" w:rsidTr="0062529A">
        <w:tc>
          <w:tcPr>
            <w:tcW w:w="14992" w:type="dxa"/>
            <w:gridSpan w:val="4"/>
            <w:shd w:val="clear" w:color="auto" w:fill="00CCFF"/>
          </w:tcPr>
          <w:p w14:paraId="36A94A71" w14:textId="77777777" w:rsidR="00091EAE" w:rsidRPr="00C07D82" w:rsidRDefault="00091EAE" w:rsidP="00091EAE">
            <w:pPr>
              <w:rPr>
                <w:rFonts w:cs="Arial"/>
                <w:b/>
                <w:szCs w:val="20"/>
              </w:rPr>
            </w:pPr>
            <w:r w:rsidRPr="00C07D82">
              <w:rPr>
                <w:rFonts w:cs="Arial"/>
                <w:b/>
                <w:color w:val="000000"/>
                <w:szCs w:val="20"/>
              </w:rPr>
              <w:t>Component 2: Restructuring competition institutions</w:t>
            </w:r>
          </w:p>
        </w:tc>
      </w:tr>
      <w:tr w:rsidR="00091EAE" w:rsidRPr="00C07D82" w14:paraId="36A94A78" w14:textId="77777777" w:rsidTr="0062529A">
        <w:tc>
          <w:tcPr>
            <w:tcW w:w="3227" w:type="dxa"/>
            <w:vMerge w:val="restart"/>
          </w:tcPr>
          <w:p w14:paraId="36A94A73" w14:textId="77777777" w:rsidR="00091EAE" w:rsidRPr="00C07D82" w:rsidRDefault="00091EAE" w:rsidP="00091EAE">
            <w:pPr>
              <w:rPr>
                <w:rFonts w:cs="Arial"/>
                <w:szCs w:val="20"/>
              </w:rPr>
            </w:pPr>
            <w:r w:rsidRPr="00C07D82">
              <w:rPr>
                <w:rFonts w:cs="Arial"/>
                <w:b/>
                <w:color w:val="000000"/>
                <w:szCs w:val="20"/>
              </w:rPr>
              <w:t>Output 2.1</w:t>
            </w:r>
            <w:r w:rsidRPr="00C07D82">
              <w:rPr>
                <w:rFonts w:cs="Arial"/>
                <w:color w:val="000000"/>
                <w:szCs w:val="20"/>
              </w:rPr>
              <w:t>:Enhanced evidence base, information systems and skills to enforce competition policy</w:t>
            </w:r>
          </w:p>
        </w:tc>
        <w:tc>
          <w:tcPr>
            <w:tcW w:w="4810" w:type="dxa"/>
          </w:tcPr>
          <w:p w14:paraId="36A94A74" w14:textId="77777777" w:rsidR="00091EAE" w:rsidRPr="00C07D82" w:rsidRDefault="00091EAE" w:rsidP="0062529A">
            <w:pPr>
              <w:rPr>
                <w:rFonts w:cs="Arial"/>
                <w:szCs w:val="20"/>
              </w:rPr>
            </w:pPr>
            <w:r w:rsidRPr="00C07D82">
              <w:rPr>
                <w:rFonts w:cs="Arial"/>
                <w:color w:val="000000"/>
                <w:szCs w:val="20"/>
              </w:rPr>
              <w:t>Sector analysis completed, information accessible from VCA information systems, and actively disseminated.</w:t>
            </w:r>
          </w:p>
        </w:tc>
        <w:tc>
          <w:tcPr>
            <w:tcW w:w="3411" w:type="dxa"/>
            <w:vMerge w:val="restart"/>
          </w:tcPr>
          <w:p w14:paraId="36A94A75" w14:textId="77777777" w:rsidR="00091EAE" w:rsidRPr="00C07D82" w:rsidRDefault="00091EAE" w:rsidP="0062529A">
            <w:pPr>
              <w:rPr>
                <w:rFonts w:cs="Arial"/>
                <w:szCs w:val="20"/>
              </w:rPr>
            </w:pPr>
            <w:r w:rsidRPr="00C07D82">
              <w:rPr>
                <w:rFonts w:cs="Arial"/>
                <w:color w:val="000000"/>
                <w:szCs w:val="20"/>
              </w:rPr>
              <w:t>VCA Quarterly and Annual RCV reports</w:t>
            </w:r>
          </w:p>
          <w:p w14:paraId="36A94A76" w14:textId="77777777" w:rsidR="00091EAE" w:rsidRPr="00C07D82" w:rsidRDefault="00091EAE" w:rsidP="0062529A">
            <w:pPr>
              <w:rPr>
                <w:rFonts w:cs="Arial"/>
                <w:szCs w:val="20"/>
              </w:rPr>
            </w:pPr>
            <w:r w:rsidRPr="00C07D82">
              <w:rPr>
                <w:rFonts w:cs="Arial"/>
                <w:color w:val="000000"/>
                <w:szCs w:val="20"/>
              </w:rPr>
              <w:t> </w:t>
            </w:r>
          </w:p>
        </w:tc>
        <w:tc>
          <w:tcPr>
            <w:tcW w:w="3544" w:type="dxa"/>
            <w:vMerge w:val="restart"/>
          </w:tcPr>
          <w:p w14:paraId="36A94A77" w14:textId="78A9A92F" w:rsidR="00091EAE" w:rsidRPr="00C07D82" w:rsidRDefault="00091EAE" w:rsidP="0062529A">
            <w:pPr>
              <w:rPr>
                <w:rFonts w:cs="Arial"/>
                <w:szCs w:val="20"/>
              </w:rPr>
            </w:pPr>
            <w:r w:rsidRPr="00C07D82">
              <w:rPr>
                <w:rFonts w:cs="Arial"/>
                <w:color w:val="000000"/>
                <w:szCs w:val="20"/>
              </w:rPr>
              <w:t> The G</w:t>
            </w:r>
            <w:r w:rsidR="00EF31A0" w:rsidRPr="00C07D82">
              <w:rPr>
                <w:rFonts w:cs="Arial"/>
                <w:color w:val="000000"/>
                <w:szCs w:val="20"/>
              </w:rPr>
              <w:t>O</w:t>
            </w:r>
            <w:r w:rsidRPr="00C07D82">
              <w:rPr>
                <w:rFonts w:cs="Arial"/>
                <w:color w:val="000000"/>
                <w:szCs w:val="20"/>
              </w:rPr>
              <w:t>V remains committed to revising the Competition Law, and the NA includes revisions to the Competition Law on the drafting agenda of the NA.</w:t>
            </w:r>
          </w:p>
        </w:tc>
      </w:tr>
      <w:tr w:rsidR="00091EAE" w:rsidRPr="00C07D82" w14:paraId="36A94A7D" w14:textId="77777777" w:rsidTr="0062529A">
        <w:tc>
          <w:tcPr>
            <w:tcW w:w="3227" w:type="dxa"/>
            <w:vMerge/>
          </w:tcPr>
          <w:p w14:paraId="36A94A79" w14:textId="77777777" w:rsidR="00091EAE" w:rsidRPr="00C07D82" w:rsidRDefault="00091EAE" w:rsidP="0062529A">
            <w:pPr>
              <w:rPr>
                <w:rFonts w:cs="Arial"/>
                <w:szCs w:val="20"/>
              </w:rPr>
            </w:pPr>
          </w:p>
        </w:tc>
        <w:tc>
          <w:tcPr>
            <w:tcW w:w="4810" w:type="dxa"/>
          </w:tcPr>
          <w:p w14:paraId="36A94A7A" w14:textId="77777777" w:rsidR="00091EAE" w:rsidRPr="00C07D82" w:rsidRDefault="00091EAE" w:rsidP="0062529A">
            <w:pPr>
              <w:rPr>
                <w:rFonts w:cs="Arial"/>
                <w:szCs w:val="20"/>
              </w:rPr>
            </w:pPr>
            <w:r w:rsidRPr="00C07D82">
              <w:rPr>
                <w:rFonts w:cs="Arial"/>
                <w:color w:val="000000"/>
                <w:szCs w:val="20"/>
              </w:rPr>
              <w:t>Number of staff trained in skills needed to effectively investigate and enforce competition policy</w:t>
            </w:r>
          </w:p>
        </w:tc>
        <w:tc>
          <w:tcPr>
            <w:tcW w:w="3411" w:type="dxa"/>
            <w:vMerge/>
          </w:tcPr>
          <w:p w14:paraId="36A94A7B" w14:textId="77777777" w:rsidR="00091EAE" w:rsidRPr="00C07D82" w:rsidRDefault="00091EAE" w:rsidP="0062529A">
            <w:pPr>
              <w:rPr>
                <w:rFonts w:cs="Arial"/>
                <w:szCs w:val="20"/>
              </w:rPr>
            </w:pPr>
          </w:p>
        </w:tc>
        <w:tc>
          <w:tcPr>
            <w:tcW w:w="3544" w:type="dxa"/>
            <w:vMerge/>
          </w:tcPr>
          <w:p w14:paraId="36A94A7C" w14:textId="77777777" w:rsidR="00091EAE" w:rsidRPr="00C07D82" w:rsidRDefault="00091EAE" w:rsidP="0062529A">
            <w:pPr>
              <w:rPr>
                <w:rFonts w:cs="Arial"/>
                <w:szCs w:val="20"/>
              </w:rPr>
            </w:pPr>
          </w:p>
        </w:tc>
      </w:tr>
      <w:tr w:rsidR="00091EAE" w:rsidRPr="00C07D82" w14:paraId="36A94A82" w14:textId="77777777" w:rsidTr="0062529A">
        <w:tc>
          <w:tcPr>
            <w:tcW w:w="3227" w:type="dxa"/>
            <w:vMerge/>
          </w:tcPr>
          <w:p w14:paraId="36A94A7E" w14:textId="77777777" w:rsidR="00091EAE" w:rsidRPr="00C07D82" w:rsidRDefault="00091EAE" w:rsidP="0062529A">
            <w:pPr>
              <w:rPr>
                <w:rFonts w:cs="Arial"/>
                <w:szCs w:val="20"/>
              </w:rPr>
            </w:pPr>
          </w:p>
        </w:tc>
        <w:tc>
          <w:tcPr>
            <w:tcW w:w="4810" w:type="dxa"/>
          </w:tcPr>
          <w:p w14:paraId="36A94A7F" w14:textId="2977D6C3" w:rsidR="00091EAE" w:rsidRPr="00C07D82" w:rsidRDefault="00091EAE" w:rsidP="001A31A2">
            <w:pPr>
              <w:rPr>
                <w:rFonts w:cs="Arial"/>
                <w:szCs w:val="20"/>
              </w:rPr>
            </w:pPr>
            <w:r w:rsidRPr="00C07D82">
              <w:rPr>
                <w:rFonts w:cs="Arial"/>
                <w:color w:val="000000"/>
                <w:szCs w:val="20"/>
              </w:rPr>
              <w:t xml:space="preserve">Proposed revision to strengthen </w:t>
            </w:r>
            <w:r w:rsidR="001A31A2" w:rsidRPr="00C07D82">
              <w:rPr>
                <w:rFonts w:cs="Arial"/>
                <w:color w:val="000000"/>
                <w:szCs w:val="20"/>
              </w:rPr>
              <w:t xml:space="preserve">enforcement of </w:t>
            </w:r>
            <w:r w:rsidRPr="00C07D82">
              <w:rPr>
                <w:rFonts w:cs="Arial"/>
                <w:color w:val="000000"/>
                <w:szCs w:val="20"/>
              </w:rPr>
              <w:t>the Competition Law (e.g. to provide immunity for “whistle-blowers”) submitted to the G</w:t>
            </w:r>
            <w:r w:rsidR="00EF31A0" w:rsidRPr="00C07D82">
              <w:rPr>
                <w:rFonts w:cs="Arial"/>
                <w:color w:val="000000"/>
                <w:szCs w:val="20"/>
              </w:rPr>
              <w:t>O</w:t>
            </w:r>
            <w:r w:rsidRPr="00C07D82">
              <w:rPr>
                <w:rFonts w:cs="Arial"/>
                <w:color w:val="000000"/>
                <w:szCs w:val="20"/>
              </w:rPr>
              <w:t xml:space="preserve">V </w:t>
            </w:r>
          </w:p>
        </w:tc>
        <w:tc>
          <w:tcPr>
            <w:tcW w:w="3411" w:type="dxa"/>
            <w:vMerge/>
          </w:tcPr>
          <w:p w14:paraId="36A94A80" w14:textId="77777777" w:rsidR="00091EAE" w:rsidRPr="00C07D82" w:rsidRDefault="00091EAE" w:rsidP="0062529A">
            <w:pPr>
              <w:rPr>
                <w:rFonts w:cs="Arial"/>
                <w:szCs w:val="20"/>
              </w:rPr>
            </w:pPr>
          </w:p>
        </w:tc>
        <w:tc>
          <w:tcPr>
            <w:tcW w:w="3544" w:type="dxa"/>
            <w:vMerge/>
          </w:tcPr>
          <w:p w14:paraId="36A94A81" w14:textId="77777777" w:rsidR="00091EAE" w:rsidRPr="00C07D82" w:rsidRDefault="00091EAE" w:rsidP="0062529A">
            <w:pPr>
              <w:rPr>
                <w:rFonts w:cs="Arial"/>
                <w:szCs w:val="20"/>
              </w:rPr>
            </w:pPr>
          </w:p>
        </w:tc>
      </w:tr>
      <w:tr w:rsidR="00091EAE" w:rsidRPr="00C07D82" w14:paraId="36A94A88" w14:textId="77777777" w:rsidTr="0062529A">
        <w:tc>
          <w:tcPr>
            <w:tcW w:w="3227" w:type="dxa"/>
            <w:vMerge w:val="restart"/>
          </w:tcPr>
          <w:p w14:paraId="36A94A83" w14:textId="77777777" w:rsidR="00091EAE" w:rsidRPr="00C07D82" w:rsidRDefault="00091EAE" w:rsidP="00091EAE">
            <w:pPr>
              <w:rPr>
                <w:rFonts w:cs="Arial"/>
                <w:szCs w:val="20"/>
              </w:rPr>
            </w:pPr>
            <w:r w:rsidRPr="00C07D82">
              <w:rPr>
                <w:rFonts w:cs="Arial"/>
                <w:b/>
                <w:color w:val="000000"/>
                <w:szCs w:val="20"/>
              </w:rPr>
              <w:t xml:space="preserve">Output 2.2: </w:t>
            </w:r>
            <w:r w:rsidRPr="00C07D82">
              <w:rPr>
                <w:rFonts w:cs="Arial"/>
                <w:color w:val="000000"/>
                <w:szCs w:val="20"/>
              </w:rPr>
              <w:t>Strengthened institutions needed for effective application of trade remedies</w:t>
            </w:r>
          </w:p>
        </w:tc>
        <w:tc>
          <w:tcPr>
            <w:tcW w:w="4810" w:type="dxa"/>
          </w:tcPr>
          <w:p w14:paraId="36A94A84" w14:textId="7576B1A8" w:rsidR="00091EAE" w:rsidRPr="00C07D82" w:rsidRDefault="00091EAE" w:rsidP="001A31A2">
            <w:pPr>
              <w:rPr>
                <w:rFonts w:cs="Arial"/>
                <w:szCs w:val="20"/>
              </w:rPr>
            </w:pPr>
            <w:r w:rsidRPr="00C07D82">
              <w:rPr>
                <w:rFonts w:cs="Arial"/>
                <w:color w:val="000000"/>
                <w:szCs w:val="20"/>
              </w:rPr>
              <w:t>A report analysing the Ordinances on Anti-Dumping, Anti-subsidy and Safeguards, with recommended changes is presented to state agencies, and businesses by 2016</w:t>
            </w:r>
          </w:p>
        </w:tc>
        <w:tc>
          <w:tcPr>
            <w:tcW w:w="3411" w:type="dxa"/>
            <w:vMerge w:val="restart"/>
          </w:tcPr>
          <w:p w14:paraId="36A94A85" w14:textId="77777777" w:rsidR="00091EAE" w:rsidRPr="00C07D82" w:rsidRDefault="00091EAE" w:rsidP="0062529A">
            <w:pPr>
              <w:rPr>
                <w:rFonts w:cs="Arial"/>
                <w:szCs w:val="20"/>
              </w:rPr>
            </w:pPr>
            <w:r w:rsidRPr="00C07D82">
              <w:rPr>
                <w:rFonts w:cs="Arial"/>
                <w:color w:val="000000"/>
                <w:szCs w:val="20"/>
              </w:rPr>
              <w:t>VCA Quarterly and Annual RCV reports</w:t>
            </w:r>
          </w:p>
          <w:p w14:paraId="36A94A86" w14:textId="77777777" w:rsidR="00091EAE" w:rsidRPr="00C07D82" w:rsidRDefault="00091EAE" w:rsidP="0062529A">
            <w:pPr>
              <w:rPr>
                <w:rFonts w:cs="Arial"/>
                <w:szCs w:val="20"/>
              </w:rPr>
            </w:pPr>
          </w:p>
        </w:tc>
        <w:tc>
          <w:tcPr>
            <w:tcW w:w="3544" w:type="dxa"/>
          </w:tcPr>
          <w:p w14:paraId="36A94A87" w14:textId="7EEB3D55" w:rsidR="00091EAE" w:rsidRPr="00C07D82" w:rsidRDefault="00091EAE" w:rsidP="0062529A">
            <w:pPr>
              <w:rPr>
                <w:rFonts w:cs="Arial"/>
                <w:szCs w:val="20"/>
              </w:rPr>
            </w:pPr>
            <w:r w:rsidRPr="00C07D82">
              <w:rPr>
                <w:rFonts w:cs="Arial"/>
                <w:color w:val="000000"/>
                <w:szCs w:val="20"/>
              </w:rPr>
              <w:t>G</w:t>
            </w:r>
            <w:r w:rsidR="00EF31A0" w:rsidRPr="00C07D82">
              <w:rPr>
                <w:rFonts w:cs="Arial"/>
                <w:color w:val="000000"/>
                <w:szCs w:val="20"/>
              </w:rPr>
              <w:t>O</w:t>
            </w:r>
            <w:r w:rsidRPr="00C07D82">
              <w:rPr>
                <w:rFonts w:cs="Arial"/>
                <w:color w:val="000000"/>
                <w:szCs w:val="20"/>
              </w:rPr>
              <w:t>V continues to support reforms to trade policy and institutions in line with international commitments</w:t>
            </w:r>
          </w:p>
        </w:tc>
      </w:tr>
      <w:tr w:rsidR="00091EAE" w:rsidRPr="00C07D82" w14:paraId="36A94A8D" w14:textId="77777777" w:rsidTr="0062529A">
        <w:tc>
          <w:tcPr>
            <w:tcW w:w="3227" w:type="dxa"/>
            <w:vMerge/>
          </w:tcPr>
          <w:p w14:paraId="36A94A89" w14:textId="77777777" w:rsidR="00091EAE" w:rsidRPr="00C07D82" w:rsidRDefault="00091EAE" w:rsidP="0062529A">
            <w:pPr>
              <w:rPr>
                <w:rFonts w:cs="Arial"/>
                <w:szCs w:val="20"/>
              </w:rPr>
            </w:pPr>
          </w:p>
        </w:tc>
        <w:tc>
          <w:tcPr>
            <w:tcW w:w="4810" w:type="dxa"/>
          </w:tcPr>
          <w:p w14:paraId="36A94A8A" w14:textId="658A6A6C" w:rsidR="00091EAE" w:rsidRPr="00C07D82" w:rsidRDefault="00091EAE" w:rsidP="001A31A2">
            <w:pPr>
              <w:rPr>
                <w:rFonts w:cs="Arial"/>
                <w:szCs w:val="20"/>
              </w:rPr>
            </w:pPr>
            <w:r w:rsidRPr="00C07D82">
              <w:rPr>
                <w:rFonts w:cs="Arial"/>
                <w:color w:val="000000"/>
                <w:szCs w:val="20"/>
              </w:rPr>
              <w:t xml:space="preserve">A Handbook with guidelines on dealing with trade remedies, and software to calculate dumping margins in accordance with WTO rules are available by 2015-16 </w:t>
            </w:r>
          </w:p>
        </w:tc>
        <w:tc>
          <w:tcPr>
            <w:tcW w:w="3411" w:type="dxa"/>
            <w:vMerge/>
          </w:tcPr>
          <w:p w14:paraId="36A94A8B" w14:textId="77777777" w:rsidR="00091EAE" w:rsidRPr="00C07D82" w:rsidRDefault="00091EAE" w:rsidP="0062529A">
            <w:pPr>
              <w:rPr>
                <w:rFonts w:cs="Arial"/>
                <w:szCs w:val="20"/>
              </w:rPr>
            </w:pPr>
          </w:p>
        </w:tc>
        <w:tc>
          <w:tcPr>
            <w:tcW w:w="3544" w:type="dxa"/>
            <w:vMerge w:val="restart"/>
          </w:tcPr>
          <w:p w14:paraId="36A94A8C" w14:textId="77777777" w:rsidR="00091EAE" w:rsidRPr="00C07D82" w:rsidRDefault="00091EAE" w:rsidP="0062529A">
            <w:pPr>
              <w:rPr>
                <w:rFonts w:cs="Arial"/>
                <w:szCs w:val="20"/>
              </w:rPr>
            </w:pPr>
            <w:r w:rsidRPr="00C07D82">
              <w:rPr>
                <w:rFonts w:cs="Arial"/>
                <w:color w:val="000000"/>
                <w:szCs w:val="20"/>
              </w:rPr>
              <w:t>VCA staff have adequate resources to support remedy trade cases</w:t>
            </w:r>
          </w:p>
        </w:tc>
      </w:tr>
      <w:tr w:rsidR="00091EAE" w:rsidRPr="00C07D82" w14:paraId="36A94A92" w14:textId="77777777" w:rsidTr="0062529A">
        <w:tc>
          <w:tcPr>
            <w:tcW w:w="3227" w:type="dxa"/>
            <w:vMerge/>
          </w:tcPr>
          <w:p w14:paraId="36A94A8E" w14:textId="77777777" w:rsidR="00091EAE" w:rsidRPr="00C07D82" w:rsidRDefault="00091EAE" w:rsidP="0062529A">
            <w:pPr>
              <w:rPr>
                <w:rFonts w:cs="Arial"/>
                <w:szCs w:val="20"/>
              </w:rPr>
            </w:pPr>
          </w:p>
        </w:tc>
        <w:tc>
          <w:tcPr>
            <w:tcW w:w="4810" w:type="dxa"/>
          </w:tcPr>
          <w:p w14:paraId="36A94A8F" w14:textId="219CE39C" w:rsidR="00091EAE" w:rsidRPr="00C07D82" w:rsidRDefault="00091EAE" w:rsidP="0062529A">
            <w:pPr>
              <w:rPr>
                <w:rFonts w:cs="Arial"/>
                <w:color w:val="000000"/>
                <w:szCs w:val="20"/>
              </w:rPr>
            </w:pPr>
            <w:r w:rsidRPr="00C07D82">
              <w:rPr>
                <w:rFonts w:cs="Arial"/>
                <w:color w:val="000000"/>
                <w:szCs w:val="20"/>
              </w:rPr>
              <w:t>Recommendations to G</w:t>
            </w:r>
            <w:r w:rsidR="00EF31A0" w:rsidRPr="00C07D82">
              <w:rPr>
                <w:rFonts w:cs="Arial"/>
                <w:color w:val="000000"/>
                <w:szCs w:val="20"/>
              </w:rPr>
              <w:t>O</w:t>
            </w:r>
            <w:r w:rsidRPr="00C07D82">
              <w:rPr>
                <w:rFonts w:cs="Arial"/>
                <w:color w:val="000000"/>
                <w:szCs w:val="20"/>
              </w:rPr>
              <w:t>V on reforms to subsidy policies that do not comply with international commitments.</w:t>
            </w:r>
          </w:p>
        </w:tc>
        <w:tc>
          <w:tcPr>
            <w:tcW w:w="3411" w:type="dxa"/>
            <w:vMerge/>
          </w:tcPr>
          <w:p w14:paraId="36A94A90" w14:textId="77777777" w:rsidR="00091EAE" w:rsidRPr="00C07D82" w:rsidRDefault="00091EAE" w:rsidP="0062529A">
            <w:pPr>
              <w:rPr>
                <w:rFonts w:cs="Arial"/>
                <w:szCs w:val="20"/>
              </w:rPr>
            </w:pPr>
          </w:p>
        </w:tc>
        <w:tc>
          <w:tcPr>
            <w:tcW w:w="3544" w:type="dxa"/>
            <w:vMerge/>
          </w:tcPr>
          <w:p w14:paraId="36A94A91" w14:textId="77777777" w:rsidR="00091EAE" w:rsidRPr="00C07D82" w:rsidRDefault="00091EAE" w:rsidP="0062529A">
            <w:pPr>
              <w:rPr>
                <w:rFonts w:cs="Arial"/>
                <w:szCs w:val="20"/>
              </w:rPr>
            </w:pPr>
          </w:p>
        </w:tc>
      </w:tr>
      <w:tr w:rsidR="00091EAE" w:rsidRPr="00C07D82" w14:paraId="36A94A98" w14:textId="77777777" w:rsidTr="0062529A">
        <w:tc>
          <w:tcPr>
            <w:tcW w:w="3227" w:type="dxa"/>
            <w:vMerge w:val="restart"/>
          </w:tcPr>
          <w:p w14:paraId="36A94A93" w14:textId="4619318E" w:rsidR="00091EAE" w:rsidRPr="00C07D82" w:rsidRDefault="00091EAE" w:rsidP="001A31A2">
            <w:pPr>
              <w:rPr>
                <w:rFonts w:cs="Arial"/>
                <w:szCs w:val="20"/>
              </w:rPr>
            </w:pPr>
            <w:r w:rsidRPr="00C07D82">
              <w:rPr>
                <w:rFonts w:cs="Arial"/>
                <w:b/>
                <w:color w:val="000000"/>
                <w:szCs w:val="20"/>
              </w:rPr>
              <w:t>Output 2.3:</w:t>
            </w:r>
            <w:r w:rsidRPr="00C07D82">
              <w:rPr>
                <w:rFonts w:cs="Arial"/>
                <w:color w:val="000000"/>
                <w:szCs w:val="20"/>
              </w:rPr>
              <w:t xml:space="preserve"> Enhanced </w:t>
            </w:r>
            <w:r w:rsidR="001A31A2" w:rsidRPr="00C07D82">
              <w:rPr>
                <w:rFonts w:cs="Arial"/>
                <w:color w:val="000000"/>
                <w:szCs w:val="20"/>
              </w:rPr>
              <w:t xml:space="preserve">the </w:t>
            </w:r>
            <w:r w:rsidRPr="00C07D82">
              <w:rPr>
                <w:rFonts w:cs="Arial"/>
                <w:color w:val="000000"/>
                <w:szCs w:val="20"/>
              </w:rPr>
              <w:t xml:space="preserve">early warning system for </w:t>
            </w:r>
            <w:r w:rsidR="001A31A2" w:rsidRPr="00C07D82">
              <w:rPr>
                <w:rFonts w:cs="Arial"/>
                <w:color w:val="000000"/>
                <w:szCs w:val="20"/>
              </w:rPr>
              <w:t xml:space="preserve">anti-dumping </w:t>
            </w:r>
            <w:r w:rsidRPr="00C07D82">
              <w:rPr>
                <w:rFonts w:cs="Arial"/>
                <w:color w:val="000000"/>
                <w:szCs w:val="20"/>
              </w:rPr>
              <w:t>cases</w:t>
            </w:r>
          </w:p>
        </w:tc>
        <w:tc>
          <w:tcPr>
            <w:tcW w:w="4810" w:type="dxa"/>
          </w:tcPr>
          <w:p w14:paraId="36A94A94" w14:textId="096393D0" w:rsidR="00091EAE" w:rsidRPr="00C07D82" w:rsidRDefault="00091EAE" w:rsidP="001A31A2">
            <w:pPr>
              <w:rPr>
                <w:rFonts w:cs="Arial"/>
                <w:szCs w:val="20"/>
              </w:rPr>
            </w:pPr>
            <w:r w:rsidRPr="00C07D82">
              <w:rPr>
                <w:rFonts w:cs="Arial"/>
                <w:color w:val="000000"/>
                <w:szCs w:val="20"/>
              </w:rPr>
              <w:t xml:space="preserve">Additional </w:t>
            </w:r>
            <w:r w:rsidR="001A31A2" w:rsidRPr="00C07D82">
              <w:rPr>
                <w:rFonts w:cs="Arial"/>
                <w:color w:val="000000"/>
                <w:szCs w:val="20"/>
              </w:rPr>
              <w:t xml:space="preserve">targeted </w:t>
            </w:r>
            <w:r w:rsidRPr="00C07D82">
              <w:rPr>
                <w:rFonts w:cs="Arial"/>
                <w:color w:val="000000"/>
                <w:szCs w:val="20"/>
              </w:rPr>
              <w:t xml:space="preserve">markets and products added to </w:t>
            </w:r>
            <w:r w:rsidR="001A31A2" w:rsidRPr="00C07D82">
              <w:rPr>
                <w:rFonts w:cs="Arial"/>
                <w:color w:val="000000"/>
                <w:szCs w:val="20"/>
              </w:rPr>
              <w:t xml:space="preserve">scope of the </w:t>
            </w:r>
            <w:r w:rsidRPr="00C07D82">
              <w:rPr>
                <w:rFonts w:cs="Arial"/>
                <w:color w:val="000000"/>
                <w:szCs w:val="20"/>
              </w:rPr>
              <w:t xml:space="preserve">early warning system. </w:t>
            </w:r>
          </w:p>
        </w:tc>
        <w:tc>
          <w:tcPr>
            <w:tcW w:w="3411" w:type="dxa"/>
            <w:vMerge w:val="restart"/>
          </w:tcPr>
          <w:p w14:paraId="36A94A95" w14:textId="77777777" w:rsidR="00091EAE" w:rsidRPr="00C07D82" w:rsidRDefault="00091EAE" w:rsidP="0062529A">
            <w:pPr>
              <w:rPr>
                <w:rFonts w:cs="Arial"/>
                <w:szCs w:val="20"/>
              </w:rPr>
            </w:pPr>
            <w:r w:rsidRPr="00C07D82">
              <w:rPr>
                <w:rFonts w:cs="Arial"/>
                <w:color w:val="000000"/>
                <w:szCs w:val="20"/>
              </w:rPr>
              <w:t>VCA Quarterly and Annual RCV reports</w:t>
            </w:r>
          </w:p>
          <w:p w14:paraId="36A94A96" w14:textId="77777777" w:rsidR="00091EAE" w:rsidRPr="00C07D82" w:rsidRDefault="00091EAE" w:rsidP="0062529A">
            <w:pPr>
              <w:rPr>
                <w:rFonts w:cs="Arial"/>
                <w:szCs w:val="20"/>
              </w:rPr>
            </w:pPr>
          </w:p>
        </w:tc>
        <w:tc>
          <w:tcPr>
            <w:tcW w:w="3544" w:type="dxa"/>
            <w:vMerge w:val="restart"/>
          </w:tcPr>
          <w:p w14:paraId="36A94A97" w14:textId="77777777" w:rsidR="00091EAE" w:rsidRPr="00C07D82" w:rsidRDefault="00091EAE" w:rsidP="0062529A">
            <w:pPr>
              <w:rPr>
                <w:rFonts w:cs="Arial"/>
                <w:szCs w:val="20"/>
              </w:rPr>
            </w:pPr>
            <w:r w:rsidRPr="00C07D82">
              <w:rPr>
                <w:rFonts w:cs="Arial"/>
                <w:color w:val="000000"/>
                <w:szCs w:val="20"/>
              </w:rPr>
              <w:t>Economic integration environment provides incentives for businesses to use early warning system</w:t>
            </w:r>
          </w:p>
        </w:tc>
      </w:tr>
      <w:tr w:rsidR="00091EAE" w:rsidRPr="00C07D82" w14:paraId="36A94A9D" w14:textId="77777777" w:rsidTr="0062529A">
        <w:tc>
          <w:tcPr>
            <w:tcW w:w="3227" w:type="dxa"/>
            <w:vMerge/>
            <w:tcBorders>
              <w:bottom w:val="single" w:sz="4" w:space="0" w:color="auto"/>
            </w:tcBorders>
          </w:tcPr>
          <w:p w14:paraId="36A94A99" w14:textId="77777777" w:rsidR="00091EAE" w:rsidRPr="00C07D82" w:rsidRDefault="00091EAE" w:rsidP="0062529A">
            <w:pPr>
              <w:rPr>
                <w:rFonts w:cs="Arial"/>
                <w:szCs w:val="20"/>
              </w:rPr>
            </w:pPr>
          </w:p>
        </w:tc>
        <w:tc>
          <w:tcPr>
            <w:tcW w:w="4810" w:type="dxa"/>
            <w:tcBorders>
              <w:bottom w:val="single" w:sz="4" w:space="0" w:color="auto"/>
            </w:tcBorders>
            <w:vAlign w:val="center"/>
          </w:tcPr>
          <w:p w14:paraId="36A94A9A" w14:textId="5C8CF4A8" w:rsidR="00091EAE" w:rsidRPr="00C07D82" w:rsidRDefault="00091EAE" w:rsidP="0062529A">
            <w:pPr>
              <w:rPr>
                <w:rFonts w:cs="Arial"/>
                <w:color w:val="000000"/>
                <w:szCs w:val="20"/>
              </w:rPr>
            </w:pPr>
            <w:r w:rsidRPr="00C07D82">
              <w:rPr>
                <w:rFonts w:cs="Arial"/>
                <w:color w:val="000000"/>
                <w:szCs w:val="20"/>
              </w:rPr>
              <w:t xml:space="preserve">Number of external users of </w:t>
            </w:r>
            <w:r w:rsidR="00164E14" w:rsidRPr="00C07D82">
              <w:rPr>
                <w:rFonts w:cs="Arial"/>
                <w:color w:val="000000"/>
                <w:szCs w:val="20"/>
              </w:rPr>
              <w:t xml:space="preserve">the </w:t>
            </w:r>
            <w:r w:rsidRPr="00C07D82">
              <w:rPr>
                <w:rFonts w:cs="Arial"/>
                <w:color w:val="000000"/>
                <w:szCs w:val="20"/>
              </w:rPr>
              <w:t>early warning system</w:t>
            </w:r>
          </w:p>
        </w:tc>
        <w:tc>
          <w:tcPr>
            <w:tcW w:w="3411" w:type="dxa"/>
            <w:vMerge/>
            <w:tcBorders>
              <w:bottom w:val="single" w:sz="4" w:space="0" w:color="auto"/>
            </w:tcBorders>
          </w:tcPr>
          <w:p w14:paraId="36A94A9B" w14:textId="77777777" w:rsidR="00091EAE" w:rsidRPr="00C07D82" w:rsidRDefault="00091EAE" w:rsidP="0062529A">
            <w:pPr>
              <w:rPr>
                <w:rFonts w:cs="Arial"/>
                <w:szCs w:val="20"/>
              </w:rPr>
            </w:pPr>
          </w:p>
        </w:tc>
        <w:tc>
          <w:tcPr>
            <w:tcW w:w="3544" w:type="dxa"/>
            <w:vMerge/>
            <w:tcBorders>
              <w:bottom w:val="single" w:sz="4" w:space="0" w:color="auto"/>
            </w:tcBorders>
          </w:tcPr>
          <w:p w14:paraId="36A94A9C" w14:textId="77777777" w:rsidR="00091EAE" w:rsidRPr="00C07D82" w:rsidRDefault="00091EAE" w:rsidP="0062529A">
            <w:pPr>
              <w:rPr>
                <w:rFonts w:cs="Arial"/>
                <w:szCs w:val="20"/>
              </w:rPr>
            </w:pPr>
          </w:p>
        </w:tc>
      </w:tr>
    </w:tbl>
    <w:p w14:paraId="36A94A9E" w14:textId="77777777" w:rsidR="00091EAE" w:rsidRPr="00C07D82" w:rsidRDefault="00091EAE" w:rsidP="00091EAE"/>
    <w:p w14:paraId="36A94A9F" w14:textId="77777777" w:rsidR="0097134D" w:rsidRPr="00C07D82" w:rsidRDefault="0097134D" w:rsidP="0097134D">
      <w:pPr>
        <w:spacing w:before="0" w:after="200" w:line="276" w:lineRule="auto"/>
      </w:pPr>
      <w:r w:rsidRPr="00C07D82">
        <w:br w:type="page"/>
      </w:r>
    </w:p>
    <w:tbl>
      <w:tblPr>
        <w:tblStyle w:val="TableGrid"/>
        <w:tblW w:w="14992" w:type="dxa"/>
        <w:tblInd w:w="-318" w:type="dxa"/>
        <w:tblLook w:val="04A0" w:firstRow="1" w:lastRow="0" w:firstColumn="1" w:lastColumn="0" w:noHBand="0" w:noVBand="1"/>
      </w:tblPr>
      <w:tblGrid>
        <w:gridCol w:w="3227"/>
        <w:gridCol w:w="4810"/>
        <w:gridCol w:w="3411"/>
        <w:gridCol w:w="3544"/>
      </w:tblGrid>
      <w:tr w:rsidR="0097134D" w:rsidRPr="00C07D82" w14:paraId="36A94AA4" w14:textId="77777777" w:rsidTr="0097134D">
        <w:trPr>
          <w:tblHeader/>
        </w:trPr>
        <w:tc>
          <w:tcPr>
            <w:tcW w:w="3227" w:type="dxa"/>
            <w:shd w:val="clear" w:color="auto" w:fill="00FFFF"/>
          </w:tcPr>
          <w:p w14:paraId="36A94AA0" w14:textId="77777777" w:rsidR="0097134D" w:rsidRPr="00C07D82" w:rsidRDefault="0097134D" w:rsidP="0097134D">
            <w:pPr>
              <w:rPr>
                <w:rFonts w:cs="Arial"/>
                <w:b/>
                <w:sz w:val="24"/>
              </w:rPr>
            </w:pPr>
            <w:r w:rsidRPr="00C07D82">
              <w:rPr>
                <w:rFonts w:cs="Arial"/>
                <w:b/>
                <w:bCs/>
                <w:color w:val="000000"/>
                <w:sz w:val="24"/>
              </w:rPr>
              <w:t>Hierarchy of Objectives</w:t>
            </w:r>
          </w:p>
        </w:tc>
        <w:tc>
          <w:tcPr>
            <w:tcW w:w="4810" w:type="dxa"/>
            <w:shd w:val="clear" w:color="auto" w:fill="00FFFF"/>
          </w:tcPr>
          <w:p w14:paraId="36A94AA1" w14:textId="77777777" w:rsidR="0097134D" w:rsidRPr="00C07D82" w:rsidRDefault="0097134D" w:rsidP="0097134D">
            <w:pPr>
              <w:rPr>
                <w:rFonts w:cs="Arial"/>
                <w:b/>
                <w:sz w:val="24"/>
              </w:rPr>
            </w:pPr>
            <w:r w:rsidRPr="00C07D82">
              <w:rPr>
                <w:rFonts w:cs="Arial"/>
                <w:b/>
                <w:bCs/>
                <w:color w:val="000000"/>
                <w:sz w:val="24"/>
              </w:rPr>
              <w:t>Indicators</w:t>
            </w:r>
            <w:r w:rsidRPr="00C07D82">
              <w:rPr>
                <w:rFonts w:cs="Arial"/>
                <w:b/>
                <w:color w:val="000000"/>
                <w:sz w:val="24"/>
              </w:rPr>
              <w:t> </w:t>
            </w:r>
          </w:p>
        </w:tc>
        <w:tc>
          <w:tcPr>
            <w:tcW w:w="3411" w:type="dxa"/>
            <w:shd w:val="clear" w:color="auto" w:fill="00FFFF"/>
          </w:tcPr>
          <w:p w14:paraId="36A94AA2" w14:textId="77777777" w:rsidR="0097134D" w:rsidRPr="00C07D82" w:rsidRDefault="0097134D" w:rsidP="0097134D">
            <w:pPr>
              <w:rPr>
                <w:rFonts w:cs="Arial"/>
                <w:b/>
                <w:sz w:val="24"/>
              </w:rPr>
            </w:pPr>
            <w:r w:rsidRPr="00C07D82">
              <w:rPr>
                <w:rFonts w:cs="Arial"/>
                <w:b/>
                <w:bCs/>
                <w:color w:val="000000"/>
                <w:sz w:val="24"/>
              </w:rPr>
              <w:t>Means of Verification</w:t>
            </w:r>
          </w:p>
        </w:tc>
        <w:tc>
          <w:tcPr>
            <w:tcW w:w="3544" w:type="dxa"/>
            <w:shd w:val="clear" w:color="auto" w:fill="00FFFF"/>
          </w:tcPr>
          <w:p w14:paraId="36A94AA3" w14:textId="77777777" w:rsidR="0097134D" w:rsidRPr="00C07D82" w:rsidRDefault="0097134D" w:rsidP="0097134D">
            <w:pPr>
              <w:rPr>
                <w:rFonts w:cs="Arial"/>
                <w:b/>
                <w:sz w:val="24"/>
              </w:rPr>
            </w:pPr>
            <w:r w:rsidRPr="00C07D82">
              <w:rPr>
                <w:rFonts w:cs="Arial"/>
                <w:b/>
                <w:sz w:val="24"/>
              </w:rPr>
              <w:t>Assumptions</w:t>
            </w:r>
          </w:p>
        </w:tc>
      </w:tr>
      <w:tr w:rsidR="0097134D" w:rsidRPr="00C07D82" w14:paraId="36A94AA6" w14:textId="77777777" w:rsidTr="0097134D">
        <w:tc>
          <w:tcPr>
            <w:tcW w:w="14992" w:type="dxa"/>
            <w:gridSpan w:val="4"/>
            <w:shd w:val="clear" w:color="auto" w:fill="00CCFF"/>
          </w:tcPr>
          <w:p w14:paraId="36A94AA5" w14:textId="77777777" w:rsidR="0097134D" w:rsidRPr="00C07D82" w:rsidRDefault="0097134D" w:rsidP="00091EAE">
            <w:pPr>
              <w:rPr>
                <w:rFonts w:cs="Arial"/>
                <w:b/>
                <w:szCs w:val="20"/>
              </w:rPr>
            </w:pPr>
            <w:r w:rsidRPr="00C07D82">
              <w:rPr>
                <w:rFonts w:cs="Arial"/>
                <w:b/>
                <w:color w:val="000000"/>
                <w:szCs w:val="20"/>
              </w:rPr>
              <w:t xml:space="preserve">Component </w:t>
            </w:r>
            <w:r w:rsidR="00091EAE" w:rsidRPr="00C07D82">
              <w:rPr>
                <w:rFonts w:cs="Arial"/>
                <w:b/>
                <w:color w:val="000000"/>
                <w:szCs w:val="20"/>
              </w:rPr>
              <w:t>3</w:t>
            </w:r>
            <w:r w:rsidRPr="00C07D82">
              <w:rPr>
                <w:rFonts w:cs="Arial"/>
                <w:b/>
                <w:color w:val="000000"/>
                <w:szCs w:val="20"/>
              </w:rPr>
              <w:t>: Restructuring of Rural Economy Focusing on Rice Value Chains</w:t>
            </w:r>
          </w:p>
        </w:tc>
      </w:tr>
      <w:tr w:rsidR="0097134D" w:rsidRPr="00C07D82" w14:paraId="36A94AAE" w14:textId="77777777" w:rsidTr="0097134D">
        <w:tc>
          <w:tcPr>
            <w:tcW w:w="3227" w:type="dxa"/>
          </w:tcPr>
          <w:p w14:paraId="36A94AA7" w14:textId="77777777" w:rsidR="0097134D" w:rsidRPr="00C07D82" w:rsidRDefault="0097134D" w:rsidP="00091EAE">
            <w:pPr>
              <w:keepNext/>
              <w:keepLines/>
              <w:outlineLvl w:val="5"/>
              <w:rPr>
                <w:rFonts w:cs="Arial"/>
                <w:color w:val="000000"/>
                <w:szCs w:val="20"/>
              </w:rPr>
            </w:pPr>
            <w:r w:rsidRPr="00C07D82">
              <w:rPr>
                <w:rFonts w:cs="Arial"/>
                <w:b/>
                <w:color w:val="000000"/>
                <w:szCs w:val="20"/>
              </w:rPr>
              <w:t xml:space="preserve">Output </w:t>
            </w:r>
            <w:r w:rsidR="00091EAE" w:rsidRPr="00C07D82">
              <w:rPr>
                <w:rFonts w:cs="Arial"/>
                <w:b/>
                <w:color w:val="000000"/>
                <w:szCs w:val="20"/>
              </w:rPr>
              <w:t>3</w:t>
            </w:r>
            <w:r w:rsidRPr="00C07D82">
              <w:rPr>
                <w:rFonts w:cs="Arial"/>
                <w:b/>
                <w:color w:val="000000"/>
                <w:szCs w:val="20"/>
              </w:rPr>
              <w:t>.1:</w:t>
            </w:r>
            <w:r w:rsidRPr="00C07D82">
              <w:rPr>
                <w:rFonts w:cs="Arial"/>
                <w:color w:val="000000"/>
                <w:szCs w:val="20"/>
              </w:rPr>
              <w:t xml:space="preserve"> Proposed changes to institutional structure for rice production value chain in Dong Thap province</w:t>
            </w:r>
          </w:p>
        </w:tc>
        <w:tc>
          <w:tcPr>
            <w:tcW w:w="4810" w:type="dxa"/>
          </w:tcPr>
          <w:p w14:paraId="36A94AA8" w14:textId="77777777" w:rsidR="0097134D" w:rsidRPr="00C07D82" w:rsidRDefault="0097134D" w:rsidP="0097134D">
            <w:pPr>
              <w:keepNext/>
              <w:keepLines/>
              <w:outlineLvl w:val="5"/>
              <w:rPr>
                <w:rFonts w:cs="Arial"/>
                <w:color w:val="000000"/>
                <w:szCs w:val="20"/>
              </w:rPr>
            </w:pPr>
            <w:r w:rsidRPr="00C07D82">
              <w:rPr>
                <w:rFonts w:cs="Arial"/>
                <w:color w:val="000000"/>
                <w:szCs w:val="20"/>
              </w:rPr>
              <w:t>Report submitted to Dong Thap authorities by 2015-16.</w:t>
            </w:r>
          </w:p>
          <w:p w14:paraId="36A94AA9" w14:textId="77777777" w:rsidR="0097134D" w:rsidRPr="00C07D82" w:rsidRDefault="0097134D" w:rsidP="0097134D">
            <w:pPr>
              <w:keepNext/>
              <w:keepLines/>
              <w:outlineLvl w:val="5"/>
              <w:rPr>
                <w:rFonts w:cs="Arial"/>
                <w:color w:val="000000"/>
                <w:szCs w:val="20"/>
              </w:rPr>
            </w:pPr>
            <w:r w:rsidRPr="00C07D82">
              <w:rPr>
                <w:rFonts w:cs="Arial"/>
                <w:color w:val="000000"/>
                <w:szCs w:val="20"/>
              </w:rPr>
              <w:t xml:space="preserve">Stakeholder commitment to recommendations.            </w:t>
            </w:r>
          </w:p>
          <w:p w14:paraId="36A94AAA" w14:textId="77777777" w:rsidR="0097134D" w:rsidRPr="00C07D82" w:rsidRDefault="0097134D" w:rsidP="0097134D">
            <w:pPr>
              <w:keepNext/>
              <w:keepLines/>
              <w:outlineLvl w:val="5"/>
              <w:rPr>
                <w:rFonts w:cs="Arial"/>
                <w:color w:val="000000"/>
                <w:szCs w:val="20"/>
              </w:rPr>
            </w:pPr>
            <w:r w:rsidRPr="00C07D82">
              <w:rPr>
                <w:rFonts w:cs="Arial"/>
                <w:color w:val="000000"/>
                <w:szCs w:val="20"/>
              </w:rPr>
              <w:t>Action to implement recommendations, by December 2016, including institutional reform</w:t>
            </w:r>
          </w:p>
        </w:tc>
        <w:tc>
          <w:tcPr>
            <w:tcW w:w="3411" w:type="dxa"/>
          </w:tcPr>
          <w:p w14:paraId="36A94AAB" w14:textId="77777777" w:rsidR="0097134D" w:rsidRPr="00C07D82" w:rsidRDefault="0097134D" w:rsidP="0097134D">
            <w:pPr>
              <w:keepNext/>
              <w:keepLines/>
              <w:outlineLvl w:val="5"/>
              <w:rPr>
                <w:rFonts w:cs="Arial"/>
                <w:color w:val="000000"/>
                <w:szCs w:val="20"/>
              </w:rPr>
            </w:pPr>
            <w:r w:rsidRPr="00C07D82">
              <w:rPr>
                <w:rFonts w:cs="Arial"/>
                <w:color w:val="000000"/>
                <w:szCs w:val="20"/>
              </w:rPr>
              <w:t xml:space="preserve">Feedback from stakeholders in the value chain on recommendations; </w:t>
            </w:r>
          </w:p>
          <w:p w14:paraId="36A94AAC" w14:textId="77777777" w:rsidR="0097134D" w:rsidRPr="00C07D82" w:rsidRDefault="0097134D" w:rsidP="0097134D">
            <w:pPr>
              <w:keepNext/>
              <w:keepLines/>
              <w:outlineLvl w:val="5"/>
              <w:rPr>
                <w:rFonts w:cs="Arial"/>
                <w:color w:val="000000"/>
                <w:szCs w:val="20"/>
              </w:rPr>
            </w:pPr>
            <w:r w:rsidRPr="00C07D82">
              <w:rPr>
                <w:rFonts w:cs="Arial"/>
                <w:color w:val="000000"/>
                <w:szCs w:val="20"/>
              </w:rPr>
              <w:t>IPSARD Quarterly and Annual RCV Reports</w:t>
            </w:r>
          </w:p>
        </w:tc>
        <w:tc>
          <w:tcPr>
            <w:tcW w:w="3544" w:type="dxa"/>
          </w:tcPr>
          <w:p w14:paraId="36A94AAD" w14:textId="77777777" w:rsidR="0097134D" w:rsidRPr="00C07D82" w:rsidRDefault="0097134D" w:rsidP="0097134D">
            <w:pPr>
              <w:keepNext/>
              <w:keepLines/>
              <w:outlineLvl w:val="5"/>
              <w:rPr>
                <w:rFonts w:cs="Arial"/>
                <w:color w:val="000000"/>
                <w:szCs w:val="20"/>
              </w:rPr>
            </w:pPr>
            <w:r w:rsidRPr="00C07D82">
              <w:rPr>
                <w:rFonts w:cs="Arial"/>
                <w:color w:val="000000"/>
                <w:szCs w:val="20"/>
              </w:rPr>
              <w:t>Dong Thap PPC and private stakeholders support rice value chain restructuring scheme; Market opportunities provide incentives for different stakeholders of the value chain to collaborate with each other.</w:t>
            </w:r>
          </w:p>
        </w:tc>
      </w:tr>
      <w:tr w:rsidR="0097134D" w:rsidRPr="00C07D82" w14:paraId="36A94AB4" w14:textId="77777777" w:rsidTr="0097134D">
        <w:tc>
          <w:tcPr>
            <w:tcW w:w="3227" w:type="dxa"/>
          </w:tcPr>
          <w:p w14:paraId="36A94AAF" w14:textId="054B32EB" w:rsidR="001A31A2" w:rsidRPr="00C07D82" w:rsidRDefault="0097134D" w:rsidP="00094175">
            <w:pPr>
              <w:keepNext/>
              <w:keepLines/>
              <w:outlineLvl w:val="5"/>
              <w:rPr>
                <w:rFonts w:cs="Arial"/>
                <w:color w:val="000000"/>
                <w:szCs w:val="20"/>
              </w:rPr>
            </w:pPr>
            <w:r w:rsidRPr="00C07D82">
              <w:rPr>
                <w:rFonts w:cs="Arial"/>
                <w:b/>
                <w:color w:val="000000"/>
                <w:szCs w:val="20"/>
              </w:rPr>
              <w:t xml:space="preserve">Output </w:t>
            </w:r>
            <w:r w:rsidR="00091EAE" w:rsidRPr="00C07D82">
              <w:rPr>
                <w:rFonts w:cs="Arial"/>
                <w:b/>
                <w:color w:val="000000"/>
                <w:szCs w:val="20"/>
              </w:rPr>
              <w:t>3</w:t>
            </w:r>
            <w:r w:rsidRPr="00C07D82">
              <w:rPr>
                <w:rFonts w:cs="Arial"/>
                <w:b/>
                <w:color w:val="000000"/>
                <w:szCs w:val="20"/>
              </w:rPr>
              <w:t>.2:</w:t>
            </w:r>
            <w:r w:rsidRPr="00C07D82">
              <w:rPr>
                <w:rFonts w:cs="Arial"/>
                <w:color w:val="000000"/>
                <w:szCs w:val="20"/>
              </w:rPr>
              <w:t xml:space="preserve"> Improved </w:t>
            </w:r>
            <w:r w:rsidR="009E51BC" w:rsidRPr="00C07D82">
              <w:rPr>
                <w:rFonts w:cs="Arial"/>
                <w:color w:val="000000"/>
                <w:szCs w:val="20"/>
              </w:rPr>
              <w:t xml:space="preserve">economic </w:t>
            </w:r>
            <w:r w:rsidRPr="00C07D82">
              <w:rPr>
                <w:rFonts w:cs="Arial"/>
                <w:color w:val="000000"/>
                <w:szCs w:val="20"/>
              </w:rPr>
              <w:t xml:space="preserve">modeling &amp; analysis of impacts of </w:t>
            </w:r>
            <w:r w:rsidR="009E51BC" w:rsidRPr="00C07D82">
              <w:rPr>
                <w:rFonts w:cs="Arial"/>
                <w:color w:val="000000"/>
                <w:szCs w:val="20"/>
              </w:rPr>
              <w:t xml:space="preserve">international </w:t>
            </w:r>
            <w:r w:rsidR="00094175" w:rsidRPr="00C07D82">
              <w:rPr>
                <w:rFonts w:cs="Arial"/>
                <w:color w:val="000000"/>
                <w:szCs w:val="20"/>
              </w:rPr>
              <w:t xml:space="preserve">trade/economic cooperation </w:t>
            </w:r>
            <w:r w:rsidR="009E51BC" w:rsidRPr="00C07D82">
              <w:rPr>
                <w:rFonts w:cs="Arial"/>
                <w:color w:val="000000"/>
                <w:szCs w:val="20"/>
              </w:rPr>
              <w:t xml:space="preserve">agreement commitments </w:t>
            </w:r>
            <w:r w:rsidR="00094175" w:rsidRPr="00C07D82">
              <w:rPr>
                <w:rFonts w:cs="Arial"/>
                <w:color w:val="000000"/>
                <w:szCs w:val="20"/>
              </w:rPr>
              <w:t xml:space="preserve">and </w:t>
            </w:r>
            <w:r w:rsidRPr="00C07D82">
              <w:rPr>
                <w:rFonts w:cs="Arial"/>
                <w:color w:val="000000"/>
                <w:szCs w:val="20"/>
              </w:rPr>
              <w:t xml:space="preserve">paddy land </w:t>
            </w:r>
            <w:r w:rsidR="00094175" w:rsidRPr="00C07D82">
              <w:rPr>
                <w:rFonts w:cs="Arial"/>
                <w:color w:val="000000"/>
                <w:szCs w:val="20"/>
              </w:rPr>
              <w:t>convers</w:t>
            </w:r>
            <w:r w:rsidRPr="00C07D82">
              <w:rPr>
                <w:rFonts w:cs="Arial"/>
                <w:color w:val="000000"/>
                <w:szCs w:val="20"/>
              </w:rPr>
              <w:t>ion</w:t>
            </w:r>
          </w:p>
        </w:tc>
        <w:tc>
          <w:tcPr>
            <w:tcW w:w="4810" w:type="dxa"/>
          </w:tcPr>
          <w:p w14:paraId="76CC6CE6" w14:textId="77777777" w:rsidR="0097134D" w:rsidRDefault="0097134D" w:rsidP="00094175">
            <w:pPr>
              <w:keepNext/>
              <w:keepLines/>
              <w:outlineLvl w:val="5"/>
              <w:rPr>
                <w:rFonts w:cs="Arial"/>
                <w:color w:val="000000"/>
                <w:szCs w:val="20"/>
              </w:rPr>
            </w:pPr>
            <w:r w:rsidRPr="00C07D82">
              <w:rPr>
                <w:rFonts w:cs="Arial"/>
                <w:color w:val="000000"/>
                <w:szCs w:val="20"/>
              </w:rPr>
              <w:t xml:space="preserve">Reports submitted to Minister of MARD on key policy issues with recommended actions to address bottlenecks to increase value-added </w:t>
            </w:r>
            <w:r w:rsidR="00094175" w:rsidRPr="00C07D82">
              <w:rPr>
                <w:rFonts w:cs="Arial"/>
                <w:color w:val="000000"/>
                <w:szCs w:val="20"/>
              </w:rPr>
              <w:t xml:space="preserve">of the rural sector, including that </w:t>
            </w:r>
            <w:r w:rsidRPr="00C07D82">
              <w:rPr>
                <w:rFonts w:cs="Arial"/>
                <w:color w:val="000000"/>
                <w:szCs w:val="20"/>
              </w:rPr>
              <w:t>in the rice value chain.</w:t>
            </w:r>
          </w:p>
          <w:p w14:paraId="36A94AB0" w14:textId="1C69F99A" w:rsidR="001E1274" w:rsidRPr="00C07D82" w:rsidRDefault="001E1274" w:rsidP="00094175">
            <w:pPr>
              <w:keepNext/>
              <w:keepLines/>
              <w:outlineLvl w:val="5"/>
              <w:rPr>
                <w:rFonts w:cs="Arial"/>
                <w:color w:val="000000"/>
                <w:szCs w:val="20"/>
              </w:rPr>
            </w:pPr>
          </w:p>
        </w:tc>
        <w:tc>
          <w:tcPr>
            <w:tcW w:w="3411" w:type="dxa"/>
          </w:tcPr>
          <w:p w14:paraId="36A94AB1" w14:textId="77777777" w:rsidR="0097134D" w:rsidRPr="00C07D82" w:rsidRDefault="0097134D" w:rsidP="0097134D">
            <w:pPr>
              <w:keepNext/>
              <w:keepLines/>
              <w:outlineLvl w:val="5"/>
              <w:rPr>
                <w:rFonts w:cs="Arial"/>
                <w:color w:val="000000"/>
                <w:szCs w:val="20"/>
              </w:rPr>
            </w:pPr>
            <w:r w:rsidRPr="00C07D82">
              <w:rPr>
                <w:rFonts w:cs="Arial"/>
                <w:color w:val="000000"/>
                <w:szCs w:val="20"/>
              </w:rPr>
              <w:t>International peer reviews of methodology and analysis;</w:t>
            </w:r>
          </w:p>
          <w:p w14:paraId="4979BB4F" w14:textId="77777777" w:rsidR="0097134D" w:rsidRDefault="0097134D" w:rsidP="0097134D">
            <w:pPr>
              <w:keepNext/>
              <w:keepLines/>
              <w:outlineLvl w:val="5"/>
              <w:rPr>
                <w:rFonts w:cs="Arial"/>
                <w:color w:val="000000"/>
                <w:szCs w:val="20"/>
              </w:rPr>
            </w:pPr>
            <w:r w:rsidRPr="00C07D82">
              <w:rPr>
                <w:rFonts w:cs="Arial"/>
                <w:color w:val="000000"/>
                <w:szCs w:val="20"/>
              </w:rPr>
              <w:t>Feedback from rice value chain stakeholders on draft report.</w:t>
            </w:r>
          </w:p>
          <w:p w14:paraId="36A94AB2" w14:textId="5E13A947" w:rsidR="001E1274" w:rsidRPr="00C07D82" w:rsidRDefault="001E1274" w:rsidP="0097134D">
            <w:pPr>
              <w:keepNext/>
              <w:keepLines/>
              <w:outlineLvl w:val="5"/>
              <w:rPr>
                <w:rFonts w:cs="Arial"/>
                <w:color w:val="000000"/>
                <w:szCs w:val="20"/>
              </w:rPr>
            </w:pPr>
            <w:r w:rsidRPr="00C07D82">
              <w:rPr>
                <w:rFonts w:cs="Arial"/>
                <w:color w:val="000000"/>
                <w:szCs w:val="20"/>
              </w:rPr>
              <w:t>IPSARD Quarterly and Annual RCV Reports</w:t>
            </w:r>
          </w:p>
        </w:tc>
        <w:tc>
          <w:tcPr>
            <w:tcW w:w="3544" w:type="dxa"/>
          </w:tcPr>
          <w:p w14:paraId="36A94AB3" w14:textId="77777777" w:rsidR="0097134D" w:rsidRPr="00C07D82" w:rsidRDefault="0097134D" w:rsidP="0097134D">
            <w:pPr>
              <w:keepNext/>
              <w:keepLines/>
              <w:outlineLvl w:val="5"/>
              <w:rPr>
                <w:rFonts w:cs="Arial"/>
                <w:color w:val="000000"/>
                <w:szCs w:val="20"/>
              </w:rPr>
            </w:pPr>
            <w:r w:rsidRPr="00C07D82">
              <w:rPr>
                <w:rFonts w:cs="Arial"/>
                <w:color w:val="000000"/>
                <w:szCs w:val="20"/>
              </w:rPr>
              <w:t>There is support from different stakeholders in communicating the  report's recommendations</w:t>
            </w:r>
          </w:p>
        </w:tc>
      </w:tr>
      <w:tr w:rsidR="0097134D" w:rsidRPr="00C07D82" w14:paraId="36A94ABB" w14:textId="77777777" w:rsidTr="0097134D">
        <w:trPr>
          <w:trHeight w:val="1620"/>
        </w:trPr>
        <w:tc>
          <w:tcPr>
            <w:tcW w:w="3227" w:type="dxa"/>
          </w:tcPr>
          <w:p w14:paraId="36A94AB5" w14:textId="77777777" w:rsidR="0097134D" w:rsidRPr="00C07D82" w:rsidRDefault="0097134D" w:rsidP="00091EAE">
            <w:pPr>
              <w:rPr>
                <w:rFonts w:cs="Arial"/>
                <w:color w:val="000000"/>
                <w:szCs w:val="20"/>
              </w:rPr>
            </w:pPr>
            <w:r w:rsidRPr="00C07D82">
              <w:rPr>
                <w:rFonts w:cs="Arial"/>
                <w:b/>
                <w:color w:val="000000"/>
                <w:szCs w:val="20"/>
              </w:rPr>
              <w:t xml:space="preserve">Output </w:t>
            </w:r>
            <w:r w:rsidR="00091EAE" w:rsidRPr="00C07D82">
              <w:rPr>
                <w:rFonts w:cs="Arial"/>
                <w:b/>
                <w:color w:val="000000"/>
                <w:szCs w:val="20"/>
              </w:rPr>
              <w:t>3</w:t>
            </w:r>
            <w:r w:rsidRPr="00C07D82">
              <w:rPr>
                <w:rFonts w:cs="Arial"/>
                <w:b/>
                <w:color w:val="000000"/>
                <w:szCs w:val="20"/>
              </w:rPr>
              <w:t>.3:</w:t>
            </w:r>
            <w:r w:rsidRPr="00C07D82">
              <w:rPr>
                <w:rFonts w:cs="Arial"/>
                <w:color w:val="000000"/>
                <w:szCs w:val="20"/>
              </w:rPr>
              <w:t xml:space="preserve">  Improved awareness of opportunities for increasing competitiveness through re-structuring of rice value chains</w:t>
            </w:r>
          </w:p>
        </w:tc>
        <w:tc>
          <w:tcPr>
            <w:tcW w:w="4810" w:type="dxa"/>
          </w:tcPr>
          <w:p w14:paraId="39A50D5B" w14:textId="202DED18" w:rsidR="001E1274" w:rsidRDefault="001E1274" w:rsidP="001E1274">
            <w:pPr>
              <w:keepNext/>
              <w:keepLines/>
              <w:outlineLvl w:val="5"/>
              <w:rPr>
                <w:rFonts w:cs="Arial"/>
                <w:color w:val="000000"/>
                <w:szCs w:val="20"/>
              </w:rPr>
            </w:pPr>
            <w:r>
              <w:rPr>
                <w:rFonts w:cs="Arial"/>
                <w:color w:val="000000"/>
                <w:szCs w:val="20"/>
              </w:rPr>
              <w:t>P</w:t>
            </w:r>
            <w:r w:rsidRPr="00C07D82">
              <w:rPr>
                <w:rFonts w:cs="Arial"/>
                <w:color w:val="000000"/>
                <w:szCs w:val="20"/>
              </w:rPr>
              <w:t>olicy brief</w:t>
            </w:r>
            <w:r>
              <w:rPr>
                <w:rFonts w:cs="Arial"/>
                <w:color w:val="000000"/>
                <w:szCs w:val="20"/>
              </w:rPr>
              <w:t xml:space="preserve">s on priotised issues </w:t>
            </w:r>
          </w:p>
          <w:p w14:paraId="2522E53B" w14:textId="77777777" w:rsidR="001E1274" w:rsidRDefault="001E1274" w:rsidP="001E1274">
            <w:pPr>
              <w:keepNext/>
              <w:keepLines/>
              <w:outlineLvl w:val="5"/>
              <w:rPr>
                <w:rFonts w:cs="Arial"/>
                <w:color w:val="000000"/>
                <w:szCs w:val="20"/>
              </w:rPr>
            </w:pPr>
            <w:r w:rsidRPr="00C07D82">
              <w:rPr>
                <w:rFonts w:cs="Arial"/>
                <w:color w:val="000000"/>
                <w:szCs w:val="20"/>
              </w:rPr>
              <w:t xml:space="preserve">Study reports are communicated through provincial and national </w:t>
            </w:r>
            <w:r>
              <w:rPr>
                <w:rFonts w:cs="Arial"/>
                <w:color w:val="000000"/>
                <w:szCs w:val="20"/>
              </w:rPr>
              <w:t xml:space="preserve">workshops with positive feedbacks from participants </w:t>
            </w:r>
          </w:p>
          <w:p w14:paraId="36A94AB6" w14:textId="06628B5D" w:rsidR="0097134D" w:rsidRPr="00C07D82" w:rsidRDefault="001E1274" w:rsidP="001E1274">
            <w:pPr>
              <w:keepNext/>
              <w:keepLines/>
              <w:outlineLvl w:val="5"/>
              <w:rPr>
                <w:rFonts w:cs="Arial"/>
                <w:color w:val="000000"/>
                <w:szCs w:val="20"/>
              </w:rPr>
            </w:pPr>
            <w:r>
              <w:rPr>
                <w:rFonts w:cs="Arial"/>
                <w:color w:val="000000"/>
                <w:szCs w:val="20"/>
              </w:rPr>
              <w:t>M</w:t>
            </w:r>
            <w:r w:rsidRPr="00C07D82">
              <w:rPr>
                <w:rFonts w:cs="Arial"/>
                <w:color w:val="000000"/>
                <w:szCs w:val="20"/>
              </w:rPr>
              <w:t xml:space="preserve">edia </w:t>
            </w:r>
            <w:r>
              <w:rPr>
                <w:rFonts w:cs="Arial"/>
                <w:color w:val="000000"/>
                <w:szCs w:val="20"/>
              </w:rPr>
              <w:t xml:space="preserve">coverage </w:t>
            </w:r>
          </w:p>
        </w:tc>
        <w:tc>
          <w:tcPr>
            <w:tcW w:w="3411" w:type="dxa"/>
          </w:tcPr>
          <w:p w14:paraId="36A94AB7" w14:textId="77777777" w:rsidR="0097134D" w:rsidRPr="00C07D82" w:rsidRDefault="0097134D" w:rsidP="0097134D">
            <w:pPr>
              <w:keepNext/>
              <w:keepLines/>
              <w:outlineLvl w:val="5"/>
              <w:rPr>
                <w:rFonts w:cs="Arial"/>
                <w:color w:val="000000"/>
                <w:szCs w:val="20"/>
              </w:rPr>
            </w:pPr>
            <w:r w:rsidRPr="00C07D82">
              <w:rPr>
                <w:rFonts w:cs="Arial"/>
                <w:color w:val="000000"/>
                <w:szCs w:val="20"/>
              </w:rPr>
              <w:t>International peer reviews of methodology and analysis;</w:t>
            </w:r>
          </w:p>
          <w:p w14:paraId="3351F1FE" w14:textId="77777777" w:rsidR="0097134D" w:rsidRDefault="0097134D" w:rsidP="0097134D">
            <w:pPr>
              <w:keepNext/>
              <w:keepLines/>
              <w:outlineLvl w:val="5"/>
              <w:rPr>
                <w:rFonts w:cs="Arial"/>
                <w:color w:val="000000"/>
                <w:szCs w:val="20"/>
              </w:rPr>
            </w:pPr>
            <w:r w:rsidRPr="00C07D82">
              <w:rPr>
                <w:rFonts w:cs="Arial"/>
                <w:color w:val="000000"/>
                <w:szCs w:val="20"/>
              </w:rPr>
              <w:t>Feedback from rice value chain stakeholders on draft report.</w:t>
            </w:r>
          </w:p>
          <w:p w14:paraId="36A94AB8" w14:textId="69BD7802" w:rsidR="001E1274" w:rsidRPr="00C07D82" w:rsidRDefault="001E1274" w:rsidP="0097134D">
            <w:pPr>
              <w:keepNext/>
              <w:keepLines/>
              <w:outlineLvl w:val="5"/>
              <w:rPr>
                <w:rFonts w:cs="Arial"/>
                <w:color w:val="000000"/>
                <w:szCs w:val="20"/>
              </w:rPr>
            </w:pPr>
            <w:r w:rsidRPr="00C07D82">
              <w:rPr>
                <w:rFonts w:cs="Arial"/>
                <w:color w:val="000000"/>
                <w:szCs w:val="20"/>
              </w:rPr>
              <w:t>IPSARD Quarterly and Annual RCV Reports</w:t>
            </w:r>
          </w:p>
        </w:tc>
        <w:tc>
          <w:tcPr>
            <w:tcW w:w="3544" w:type="dxa"/>
          </w:tcPr>
          <w:p w14:paraId="36A94AB9" w14:textId="77777777" w:rsidR="0097134D" w:rsidRPr="00C07D82" w:rsidRDefault="0097134D" w:rsidP="0097134D">
            <w:pPr>
              <w:rPr>
                <w:rFonts w:cs="Arial"/>
                <w:color w:val="000000"/>
                <w:szCs w:val="20"/>
              </w:rPr>
            </w:pPr>
            <w:r w:rsidRPr="00C07D82">
              <w:rPr>
                <w:rFonts w:cs="Arial"/>
                <w:color w:val="000000"/>
                <w:szCs w:val="20"/>
              </w:rPr>
              <w:t>IPSARD has a voice in formulating the SEDP 2016-20 and prioritizing rice sector restructuring using RCV supported analysis.</w:t>
            </w:r>
          </w:p>
          <w:p w14:paraId="36A94ABA" w14:textId="77777777" w:rsidR="0097134D" w:rsidRPr="00C07D82" w:rsidRDefault="0097134D" w:rsidP="0097134D">
            <w:pPr>
              <w:keepNext/>
              <w:keepLines/>
              <w:outlineLvl w:val="5"/>
              <w:rPr>
                <w:rFonts w:cs="Arial"/>
                <w:color w:val="000000"/>
                <w:szCs w:val="20"/>
              </w:rPr>
            </w:pPr>
            <w:r w:rsidRPr="00C07D82">
              <w:rPr>
                <w:rFonts w:cs="Arial"/>
                <w:color w:val="000000"/>
                <w:szCs w:val="20"/>
              </w:rPr>
              <w:t xml:space="preserve">Consensus reached on policy actions to address priority issues </w:t>
            </w:r>
          </w:p>
        </w:tc>
      </w:tr>
    </w:tbl>
    <w:p w14:paraId="36A94ABC" w14:textId="46C0BE3B" w:rsidR="00D6456E" w:rsidRPr="00C07D82" w:rsidRDefault="00D6456E" w:rsidP="00D6456E">
      <w:r w:rsidRPr="00C07D82">
        <w:br w:type="page"/>
      </w:r>
    </w:p>
    <w:p w14:paraId="36A94ABD" w14:textId="77777777" w:rsidR="00A447B1" w:rsidRPr="00C07D82" w:rsidRDefault="004E77C8" w:rsidP="004E77C8">
      <w:pPr>
        <w:spacing w:after="120"/>
        <w:rPr>
          <w:rFonts w:asciiTheme="minorHAnsi" w:hAnsiTheme="minorHAnsi"/>
          <w:b/>
          <w:sz w:val="24"/>
        </w:rPr>
      </w:pPr>
      <w:r w:rsidRPr="00C07D82">
        <w:rPr>
          <w:rFonts w:asciiTheme="minorHAnsi" w:hAnsiTheme="minorHAnsi"/>
          <w:b/>
          <w:sz w:val="24"/>
          <w:u w:val="single"/>
        </w:rPr>
        <w:t>Annex 4</w:t>
      </w:r>
      <w:r w:rsidRPr="00C07D82">
        <w:rPr>
          <w:rFonts w:asciiTheme="minorHAnsi" w:hAnsiTheme="minorHAnsi"/>
          <w:b/>
          <w:sz w:val="24"/>
        </w:rPr>
        <w:t>: Program Risk Management Plan</w:t>
      </w:r>
    </w:p>
    <w:tbl>
      <w:tblPr>
        <w:tblW w:w="15533" w:type="dxa"/>
        <w:tblInd w:w="-601" w:type="dxa"/>
        <w:tblLayout w:type="fixed"/>
        <w:tblLook w:val="04A0" w:firstRow="1" w:lastRow="0" w:firstColumn="1" w:lastColumn="0" w:noHBand="0" w:noVBand="1"/>
      </w:tblPr>
      <w:tblGrid>
        <w:gridCol w:w="567"/>
        <w:gridCol w:w="2127"/>
        <w:gridCol w:w="1984"/>
        <w:gridCol w:w="1291"/>
        <w:gridCol w:w="1080"/>
        <w:gridCol w:w="1036"/>
        <w:gridCol w:w="4683"/>
        <w:gridCol w:w="1418"/>
        <w:gridCol w:w="1347"/>
      </w:tblGrid>
      <w:tr w:rsidR="00A447B1" w:rsidRPr="00C07D82" w14:paraId="36A94AC5" w14:textId="77777777" w:rsidTr="0062529A">
        <w:trPr>
          <w:trHeight w:val="28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36A94ABE" w14:textId="77777777" w:rsidR="00A447B1" w:rsidRPr="00C07D82" w:rsidRDefault="00A447B1" w:rsidP="0062529A">
            <w:pPr>
              <w:spacing w:before="0"/>
              <w:jc w:val="center"/>
              <w:rPr>
                <w:rFonts w:cs="Arial"/>
                <w:b/>
                <w:bCs/>
                <w:color w:val="000000"/>
                <w:szCs w:val="20"/>
              </w:rPr>
            </w:pPr>
            <w:r w:rsidRPr="00C07D82">
              <w:rPr>
                <w:rFonts w:cs="Arial"/>
                <w:b/>
                <w:bCs/>
                <w:color w:val="000000"/>
                <w:szCs w:val="20"/>
              </w:rPr>
              <w:t>No</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36A94ABF" w14:textId="77777777" w:rsidR="00A447B1" w:rsidRPr="00C07D82" w:rsidRDefault="00A447B1" w:rsidP="0062529A">
            <w:pPr>
              <w:spacing w:before="0"/>
              <w:rPr>
                <w:rFonts w:cs="Arial"/>
                <w:b/>
                <w:bCs/>
                <w:color w:val="000000"/>
                <w:szCs w:val="20"/>
              </w:rPr>
            </w:pPr>
            <w:r w:rsidRPr="00C07D82">
              <w:rPr>
                <w:rFonts w:cs="Arial"/>
                <w:b/>
                <w:bCs/>
                <w:color w:val="000000"/>
                <w:szCs w:val="20"/>
              </w:rPr>
              <w:t>Description of Risks</w:t>
            </w:r>
            <w:r w:rsidRPr="00C07D82">
              <w:rPr>
                <w:rFonts w:cs="Arial"/>
                <w:b/>
                <w:bCs/>
                <w:color w:val="000000"/>
                <w:szCs w:val="20"/>
              </w:rPr>
              <w:br/>
              <w:t xml:space="preserve">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14:paraId="36A94AC0" w14:textId="77777777" w:rsidR="00A447B1" w:rsidRPr="00C07D82" w:rsidRDefault="00A447B1" w:rsidP="0062529A">
            <w:pPr>
              <w:spacing w:before="0"/>
              <w:rPr>
                <w:rFonts w:cs="Arial"/>
                <w:b/>
                <w:bCs/>
                <w:color w:val="000000"/>
                <w:szCs w:val="20"/>
              </w:rPr>
            </w:pPr>
            <w:r w:rsidRPr="00C07D82">
              <w:rPr>
                <w:rFonts w:cs="Arial"/>
                <w:b/>
                <w:bCs/>
                <w:color w:val="000000"/>
                <w:szCs w:val="20"/>
              </w:rPr>
              <w:t>Impacts</w:t>
            </w:r>
          </w:p>
        </w:tc>
        <w:tc>
          <w:tcPr>
            <w:tcW w:w="3407" w:type="dxa"/>
            <w:gridSpan w:val="3"/>
            <w:tcBorders>
              <w:top w:val="single" w:sz="4" w:space="0" w:color="auto"/>
              <w:left w:val="nil"/>
              <w:bottom w:val="single" w:sz="4" w:space="0" w:color="auto"/>
              <w:right w:val="single" w:sz="4" w:space="0" w:color="auto"/>
            </w:tcBorders>
            <w:shd w:val="clear" w:color="000000" w:fill="BFBFBF"/>
            <w:hideMark/>
          </w:tcPr>
          <w:p w14:paraId="36A94AC1" w14:textId="77777777" w:rsidR="00A447B1" w:rsidRPr="00C07D82" w:rsidRDefault="00A447B1" w:rsidP="0062529A">
            <w:pPr>
              <w:spacing w:before="0"/>
              <w:rPr>
                <w:rFonts w:cs="Arial"/>
                <w:b/>
                <w:bCs/>
                <w:color w:val="000000"/>
                <w:szCs w:val="20"/>
              </w:rPr>
            </w:pPr>
            <w:r w:rsidRPr="00C07D82">
              <w:rPr>
                <w:rFonts w:cs="Arial"/>
                <w:b/>
                <w:bCs/>
                <w:color w:val="000000"/>
                <w:szCs w:val="20"/>
              </w:rPr>
              <w:t>Risk rating</w:t>
            </w:r>
          </w:p>
        </w:tc>
        <w:tc>
          <w:tcPr>
            <w:tcW w:w="4683"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36A94AC2" w14:textId="77777777" w:rsidR="00A447B1" w:rsidRPr="00C07D82" w:rsidRDefault="00A447B1" w:rsidP="0062529A">
            <w:pPr>
              <w:spacing w:before="0"/>
              <w:rPr>
                <w:rFonts w:cs="Arial"/>
                <w:b/>
                <w:bCs/>
                <w:color w:val="000000"/>
                <w:szCs w:val="20"/>
              </w:rPr>
            </w:pPr>
            <w:r w:rsidRPr="00C07D82">
              <w:rPr>
                <w:rFonts w:cs="Arial"/>
                <w:b/>
                <w:bCs/>
                <w:color w:val="000000"/>
                <w:szCs w:val="20"/>
              </w:rPr>
              <w:t>Management response</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36A94AC3" w14:textId="77777777" w:rsidR="00A447B1" w:rsidRPr="00C07D82" w:rsidRDefault="00A447B1" w:rsidP="0062529A">
            <w:pPr>
              <w:spacing w:before="0"/>
              <w:rPr>
                <w:rFonts w:cs="Arial"/>
                <w:b/>
                <w:bCs/>
                <w:color w:val="000000"/>
                <w:szCs w:val="20"/>
              </w:rPr>
            </w:pPr>
            <w:r w:rsidRPr="00C07D82">
              <w:rPr>
                <w:rFonts w:cs="Arial"/>
                <w:b/>
                <w:bCs/>
                <w:color w:val="000000"/>
                <w:szCs w:val="20"/>
              </w:rPr>
              <w:t>Residual risk rating</w:t>
            </w:r>
          </w:p>
        </w:tc>
        <w:tc>
          <w:tcPr>
            <w:tcW w:w="1347"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36A94AC4" w14:textId="77777777" w:rsidR="00A447B1" w:rsidRPr="00C07D82" w:rsidRDefault="00A447B1" w:rsidP="0062529A">
            <w:pPr>
              <w:spacing w:before="0"/>
              <w:rPr>
                <w:rFonts w:cs="Arial"/>
                <w:b/>
                <w:bCs/>
                <w:color w:val="000000"/>
                <w:szCs w:val="20"/>
              </w:rPr>
            </w:pPr>
            <w:r w:rsidRPr="00C07D82">
              <w:rPr>
                <w:rFonts w:cs="Arial"/>
                <w:b/>
                <w:bCs/>
                <w:color w:val="000000"/>
                <w:szCs w:val="20"/>
              </w:rPr>
              <w:t>Owner</w:t>
            </w:r>
          </w:p>
        </w:tc>
      </w:tr>
      <w:tr w:rsidR="00A447B1" w:rsidRPr="00C07D82" w14:paraId="36A94ACF" w14:textId="77777777" w:rsidTr="0062529A">
        <w:trPr>
          <w:trHeight w:val="48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A94AC6" w14:textId="77777777" w:rsidR="00A447B1" w:rsidRPr="00C07D82" w:rsidRDefault="00A447B1" w:rsidP="0062529A">
            <w:pPr>
              <w:spacing w:before="0"/>
              <w:rPr>
                <w:rFonts w:cs="Arial"/>
                <w:b/>
                <w:bCs/>
                <w:color w:val="00000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6A94AC7" w14:textId="77777777" w:rsidR="00A447B1" w:rsidRPr="00C07D82" w:rsidRDefault="00A447B1" w:rsidP="0062529A">
            <w:pPr>
              <w:spacing w:before="0"/>
              <w:rPr>
                <w:rFonts w:cs="Arial"/>
                <w:b/>
                <w:bCs/>
                <w:color w:val="00000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6A94AC8" w14:textId="77777777" w:rsidR="00A447B1" w:rsidRPr="00C07D82" w:rsidRDefault="00A447B1" w:rsidP="0062529A">
            <w:pPr>
              <w:spacing w:before="0"/>
              <w:rPr>
                <w:rFonts w:cs="Arial"/>
                <w:b/>
                <w:bCs/>
                <w:color w:val="000000"/>
                <w:szCs w:val="20"/>
              </w:rPr>
            </w:pPr>
          </w:p>
        </w:tc>
        <w:tc>
          <w:tcPr>
            <w:tcW w:w="1291" w:type="dxa"/>
            <w:tcBorders>
              <w:top w:val="nil"/>
              <w:left w:val="nil"/>
              <w:bottom w:val="single" w:sz="4" w:space="0" w:color="auto"/>
              <w:right w:val="single" w:sz="4" w:space="0" w:color="auto"/>
            </w:tcBorders>
            <w:shd w:val="clear" w:color="000000" w:fill="BFBFBF"/>
            <w:hideMark/>
          </w:tcPr>
          <w:p w14:paraId="36A94AC9" w14:textId="77777777" w:rsidR="00A447B1" w:rsidRPr="00C07D82" w:rsidRDefault="00A447B1" w:rsidP="0062529A">
            <w:pPr>
              <w:spacing w:before="0"/>
              <w:rPr>
                <w:rFonts w:cs="Arial"/>
                <w:b/>
                <w:bCs/>
                <w:color w:val="000000"/>
                <w:sz w:val="16"/>
                <w:szCs w:val="16"/>
              </w:rPr>
            </w:pPr>
            <w:r w:rsidRPr="00C07D82">
              <w:rPr>
                <w:rFonts w:cs="Arial"/>
                <w:b/>
                <w:bCs/>
                <w:color w:val="000000"/>
                <w:sz w:val="16"/>
                <w:szCs w:val="16"/>
              </w:rPr>
              <w:t>Consequence</w:t>
            </w:r>
            <w:r w:rsidRPr="00C07D82">
              <w:rPr>
                <w:rFonts w:cs="Arial"/>
                <w:b/>
                <w:bCs/>
                <w:color w:val="000000"/>
                <w:sz w:val="16"/>
                <w:szCs w:val="16"/>
              </w:rPr>
              <w:br/>
            </w:r>
          </w:p>
        </w:tc>
        <w:tc>
          <w:tcPr>
            <w:tcW w:w="1080" w:type="dxa"/>
            <w:tcBorders>
              <w:top w:val="nil"/>
              <w:left w:val="nil"/>
              <w:bottom w:val="single" w:sz="4" w:space="0" w:color="auto"/>
              <w:right w:val="single" w:sz="4" w:space="0" w:color="auto"/>
            </w:tcBorders>
            <w:shd w:val="clear" w:color="000000" w:fill="BFBFBF"/>
            <w:hideMark/>
          </w:tcPr>
          <w:p w14:paraId="36A94ACA" w14:textId="77777777" w:rsidR="00A447B1" w:rsidRPr="00C07D82" w:rsidRDefault="00A447B1" w:rsidP="0062529A">
            <w:pPr>
              <w:spacing w:before="0"/>
              <w:rPr>
                <w:rFonts w:cs="Arial"/>
                <w:b/>
                <w:bCs/>
                <w:color w:val="000000"/>
                <w:sz w:val="16"/>
                <w:szCs w:val="16"/>
              </w:rPr>
            </w:pPr>
            <w:r w:rsidRPr="00C07D82">
              <w:rPr>
                <w:rFonts w:cs="Arial"/>
                <w:b/>
                <w:bCs/>
                <w:color w:val="000000"/>
                <w:sz w:val="16"/>
                <w:szCs w:val="16"/>
              </w:rPr>
              <w:t>Likelihood</w:t>
            </w:r>
            <w:r w:rsidRPr="00C07D82">
              <w:rPr>
                <w:rFonts w:cs="Arial"/>
                <w:b/>
                <w:bCs/>
                <w:color w:val="000000"/>
                <w:sz w:val="16"/>
                <w:szCs w:val="16"/>
              </w:rPr>
              <w:br/>
            </w:r>
          </w:p>
        </w:tc>
        <w:tc>
          <w:tcPr>
            <w:tcW w:w="1036" w:type="dxa"/>
            <w:tcBorders>
              <w:top w:val="nil"/>
              <w:left w:val="nil"/>
              <w:bottom w:val="single" w:sz="4" w:space="0" w:color="auto"/>
              <w:right w:val="single" w:sz="4" w:space="0" w:color="auto"/>
            </w:tcBorders>
            <w:shd w:val="clear" w:color="000000" w:fill="BFBFBF"/>
            <w:hideMark/>
          </w:tcPr>
          <w:p w14:paraId="36A94ACB" w14:textId="77777777" w:rsidR="00A447B1" w:rsidRPr="00C07D82" w:rsidRDefault="00A447B1" w:rsidP="0062529A">
            <w:pPr>
              <w:spacing w:before="0"/>
              <w:rPr>
                <w:rFonts w:cs="Arial"/>
                <w:b/>
                <w:bCs/>
                <w:color w:val="000000"/>
                <w:sz w:val="16"/>
                <w:szCs w:val="16"/>
              </w:rPr>
            </w:pPr>
            <w:r w:rsidRPr="00C07D82">
              <w:rPr>
                <w:rFonts w:cs="Arial"/>
                <w:b/>
                <w:bCs/>
                <w:color w:val="000000"/>
                <w:sz w:val="16"/>
                <w:szCs w:val="16"/>
              </w:rPr>
              <w:t>Risk Rating</w:t>
            </w:r>
          </w:p>
        </w:tc>
        <w:tc>
          <w:tcPr>
            <w:tcW w:w="4683" w:type="dxa"/>
            <w:vMerge/>
            <w:tcBorders>
              <w:top w:val="single" w:sz="4" w:space="0" w:color="auto"/>
              <w:left w:val="single" w:sz="4" w:space="0" w:color="auto"/>
              <w:bottom w:val="single" w:sz="4" w:space="0" w:color="auto"/>
              <w:right w:val="single" w:sz="4" w:space="0" w:color="auto"/>
            </w:tcBorders>
            <w:vAlign w:val="center"/>
            <w:hideMark/>
          </w:tcPr>
          <w:p w14:paraId="36A94ACC" w14:textId="77777777" w:rsidR="00A447B1" w:rsidRPr="00C07D82" w:rsidRDefault="00A447B1" w:rsidP="0062529A">
            <w:pPr>
              <w:spacing w:before="0"/>
              <w:rPr>
                <w:rFonts w:cs="Arial"/>
                <w:b/>
                <w:bCs/>
                <w:color w:val="00000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A94ACD" w14:textId="77777777" w:rsidR="00A447B1" w:rsidRPr="00C07D82" w:rsidRDefault="00A447B1" w:rsidP="0062529A">
            <w:pPr>
              <w:spacing w:before="0"/>
              <w:rPr>
                <w:rFonts w:cs="Arial"/>
                <w:b/>
                <w:bCs/>
                <w:color w:val="000000"/>
                <w:szCs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6A94ACE" w14:textId="77777777" w:rsidR="00A447B1" w:rsidRPr="00C07D82" w:rsidRDefault="00A447B1" w:rsidP="0062529A">
            <w:pPr>
              <w:spacing w:before="0"/>
              <w:rPr>
                <w:rFonts w:cs="Arial"/>
                <w:b/>
                <w:bCs/>
                <w:color w:val="000000"/>
                <w:szCs w:val="20"/>
              </w:rPr>
            </w:pPr>
          </w:p>
        </w:tc>
      </w:tr>
      <w:tr w:rsidR="00A447B1" w:rsidRPr="00C07D82" w14:paraId="36A94AD2" w14:textId="77777777" w:rsidTr="0062529A">
        <w:trPr>
          <w:trHeight w:val="280"/>
        </w:trPr>
        <w:tc>
          <w:tcPr>
            <w:tcW w:w="567" w:type="dxa"/>
            <w:tcBorders>
              <w:top w:val="nil"/>
              <w:left w:val="single" w:sz="4" w:space="0" w:color="auto"/>
              <w:bottom w:val="single" w:sz="4" w:space="0" w:color="auto"/>
              <w:right w:val="single" w:sz="4" w:space="0" w:color="auto"/>
            </w:tcBorders>
            <w:shd w:val="clear" w:color="000000" w:fill="D8E4BC"/>
            <w:hideMark/>
          </w:tcPr>
          <w:p w14:paraId="36A94AD0" w14:textId="77777777" w:rsidR="00A447B1" w:rsidRPr="00C07D82" w:rsidRDefault="00A447B1" w:rsidP="0062529A">
            <w:pPr>
              <w:spacing w:before="0"/>
              <w:jc w:val="both"/>
              <w:rPr>
                <w:rFonts w:cs="Arial"/>
                <w:b/>
                <w:bCs/>
                <w:color w:val="000000"/>
                <w:szCs w:val="20"/>
              </w:rPr>
            </w:pPr>
            <w:r w:rsidRPr="00C07D82">
              <w:rPr>
                <w:rFonts w:cs="Arial"/>
                <w:b/>
                <w:bCs/>
                <w:color w:val="000000"/>
                <w:szCs w:val="20"/>
              </w:rPr>
              <w:t>I</w:t>
            </w:r>
          </w:p>
        </w:tc>
        <w:tc>
          <w:tcPr>
            <w:tcW w:w="14966" w:type="dxa"/>
            <w:gridSpan w:val="8"/>
            <w:tcBorders>
              <w:top w:val="single" w:sz="4" w:space="0" w:color="auto"/>
              <w:left w:val="nil"/>
              <w:bottom w:val="single" w:sz="4" w:space="0" w:color="auto"/>
              <w:right w:val="single" w:sz="4" w:space="0" w:color="auto"/>
            </w:tcBorders>
            <w:shd w:val="clear" w:color="000000" w:fill="D8E4BC"/>
            <w:hideMark/>
          </w:tcPr>
          <w:p w14:paraId="36A94AD1" w14:textId="77777777" w:rsidR="00A447B1" w:rsidRPr="00C07D82" w:rsidRDefault="00A447B1" w:rsidP="0062529A">
            <w:pPr>
              <w:spacing w:before="0"/>
              <w:rPr>
                <w:rFonts w:cs="Arial"/>
                <w:b/>
                <w:bCs/>
                <w:color w:val="000000"/>
                <w:szCs w:val="20"/>
              </w:rPr>
            </w:pPr>
            <w:r w:rsidRPr="00C07D82">
              <w:rPr>
                <w:rFonts w:cs="Arial"/>
                <w:b/>
                <w:bCs/>
                <w:color w:val="000000"/>
                <w:szCs w:val="20"/>
              </w:rPr>
              <w:t>Overarching risks applying across the program</w:t>
            </w:r>
          </w:p>
        </w:tc>
      </w:tr>
      <w:tr w:rsidR="00A447B1" w:rsidRPr="00C07D82" w14:paraId="36A94ADC" w14:textId="77777777" w:rsidTr="0062529A">
        <w:trPr>
          <w:trHeight w:val="2006"/>
        </w:trPr>
        <w:tc>
          <w:tcPr>
            <w:tcW w:w="567" w:type="dxa"/>
            <w:tcBorders>
              <w:top w:val="nil"/>
              <w:left w:val="single" w:sz="4" w:space="0" w:color="auto"/>
              <w:bottom w:val="single" w:sz="4" w:space="0" w:color="auto"/>
              <w:right w:val="single" w:sz="4" w:space="0" w:color="auto"/>
            </w:tcBorders>
            <w:shd w:val="clear" w:color="auto" w:fill="auto"/>
            <w:hideMark/>
          </w:tcPr>
          <w:p w14:paraId="36A94AD3" w14:textId="77777777" w:rsidR="00A447B1" w:rsidRPr="00C07D82" w:rsidRDefault="00A447B1" w:rsidP="0062529A">
            <w:pPr>
              <w:spacing w:before="0"/>
              <w:jc w:val="both"/>
              <w:rPr>
                <w:rFonts w:cs="Arial"/>
                <w:color w:val="000000"/>
                <w:szCs w:val="20"/>
              </w:rPr>
            </w:pPr>
            <w:r w:rsidRPr="00C07D82">
              <w:rPr>
                <w:rFonts w:cs="Arial"/>
                <w:color w:val="000000"/>
                <w:szCs w:val="20"/>
              </w:rPr>
              <w:t>1</w:t>
            </w:r>
          </w:p>
        </w:tc>
        <w:tc>
          <w:tcPr>
            <w:tcW w:w="2127" w:type="dxa"/>
            <w:tcBorders>
              <w:top w:val="nil"/>
              <w:left w:val="nil"/>
              <w:bottom w:val="single" w:sz="4" w:space="0" w:color="auto"/>
              <w:right w:val="single" w:sz="4" w:space="0" w:color="auto"/>
            </w:tcBorders>
            <w:shd w:val="clear" w:color="auto" w:fill="auto"/>
            <w:hideMark/>
          </w:tcPr>
          <w:p w14:paraId="36A94AD4" w14:textId="77777777" w:rsidR="00A447B1" w:rsidRPr="00C07D82" w:rsidRDefault="00A447B1" w:rsidP="0062529A">
            <w:pPr>
              <w:spacing w:before="0"/>
              <w:rPr>
                <w:rFonts w:cs="Arial"/>
                <w:color w:val="000000"/>
                <w:szCs w:val="20"/>
              </w:rPr>
            </w:pPr>
            <w:r w:rsidRPr="00C07D82">
              <w:rPr>
                <w:rFonts w:cs="Arial"/>
                <w:color w:val="000000"/>
                <w:szCs w:val="20"/>
              </w:rPr>
              <w:t>Changes in domestic policy agenda will influence the level of commitments to restructuring in program-targeted areas. Changes may stifle restructuring and/or create new opportunities for restructuring</w:t>
            </w:r>
          </w:p>
        </w:tc>
        <w:tc>
          <w:tcPr>
            <w:tcW w:w="1984" w:type="dxa"/>
            <w:tcBorders>
              <w:top w:val="nil"/>
              <w:left w:val="nil"/>
              <w:bottom w:val="single" w:sz="4" w:space="0" w:color="auto"/>
              <w:right w:val="single" w:sz="4" w:space="0" w:color="auto"/>
            </w:tcBorders>
            <w:shd w:val="clear" w:color="auto" w:fill="auto"/>
            <w:hideMark/>
          </w:tcPr>
          <w:p w14:paraId="36A94AD5" w14:textId="77777777" w:rsidR="00A447B1" w:rsidRPr="00C07D82" w:rsidRDefault="00A447B1" w:rsidP="0062529A">
            <w:pPr>
              <w:spacing w:before="0"/>
              <w:rPr>
                <w:rFonts w:cs="Arial"/>
                <w:color w:val="000000"/>
                <w:szCs w:val="20"/>
              </w:rPr>
            </w:pPr>
            <w:r w:rsidRPr="00C07D82">
              <w:rPr>
                <w:rFonts w:cs="Arial"/>
                <w:color w:val="000000"/>
                <w:szCs w:val="20"/>
              </w:rPr>
              <w:t xml:space="preserve">Strategic policy recommendations in targeted areas of the program are not reflected into strategic documents dealing with economic restructuring. </w:t>
            </w:r>
          </w:p>
        </w:tc>
        <w:tc>
          <w:tcPr>
            <w:tcW w:w="1291" w:type="dxa"/>
            <w:tcBorders>
              <w:top w:val="nil"/>
              <w:left w:val="nil"/>
              <w:bottom w:val="single" w:sz="4" w:space="0" w:color="auto"/>
              <w:right w:val="single" w:sz="4" w:space="0" w:color="auto"/>
            </w:tcBorders>
            <w:shd w:val="clear" w:color="auto" w:fill="auto"/>
            <w:hideMark/>
          </w:tcPr>
          <w:p w14:paraId="36A94AD6"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36A94AD7" w14:textId="77777777" w:rsidR="00A447B1" w:rsidRPr="00C07D82" w:rsidRDefault="00A447B1" w:rsidP="0062529A">
            <w:pPr>
              <w:spacing w:before="0"/>
              <w:rPr>
                <w:rFonts w:cs="Arial"/>
                <w:color w:val="000000"/>
                <w:szCs w:val="20"/>
              </w:rPr>
            </w:pPr>
            <w:r w:rsidRPr="00C07D82">
              <w:rPr>
                <w:rFonts w:cs="Arial"/>
                <w:color w:val="000000"/>
                <w:szCs w:val="20"/>
              </w:rPr>
              <w:t>Possible</w:t>
            </w:r>
          </w:p>
        </w:tc>
        <w:tc>
          <w:tcPr>
            <w:tcW w:w="1036" w:type="dxa"/>
            <w:tcBorders>
              <w:top w:val="nil"/>
              <w:left w:val="nil"/>
              <w:bottom w:val="single" w:sz="4" w:space="0" w:color="auto"/>
              <w:right w:val="single" w:sz="4" w:space="0" w:color="auto"/>
            </w:tcBorders>
            <w:shd w:val="clear" w:color="auto" w:fill="auto"/>
            <w:hideMark/>
          </w:tcPr>
          <w:p w14:paraId="36A94AD8"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36A94AD9" w14:textId="1AD4A9B9" w:rsidR="00A447B1" w:rsidRPr="00C07D82" w:rsidRDefault="00A447B1" w:rsidP="000D6FEA">
            <w:pPr>
              <w:spacing w:before="0"/>
              <w:rPr>
                <w:rFonts w:cs="Arial"/>
                <w:szCs w:val="20"/>
              </w:rPr>
            </w:pPr>
            <w:r w:rsidRPr="00C07D82">
              <w:rPr>
                <w:rFonts w:cs="Arial"/>
                <w:szCs w:val="20"/>
              </w:rPr>
              <w:t>-The PD (also President of CIEM and economic advisor to the PM) is in a good position to convey strategic policy advice to national leaders.</w:t>
            </w:r>
            <w:r w:rsidRPr="00C07D82">
              <w:rPr>
                <w:rFonts w:cs="Arial"/>
                <w:szCs w:val="20"/>
              </w:rPr>
              <w:br/>
              <w:t xml:space="preserve">-Inclusion of the well- connected PD and SAG in the program design, combined with commitment of </w:t>
            </w:r>
            <w:r w:rsidR="000D6FEA" w:rsidRPr="00C07D82">
              <w:rPr>
                <w:rFonts w:cs="Arial"/>
                <w:szCs w:val="20"/>
              </w:rPr>
              <w:t xml:space="preserve">GOA </w:t>
            </w:r>
            <w:r w:rsidRPr="00C07D82">
              <w:rPr>
                <w:rFonts w:cs="Arial"/>
                <w:szCs w:val="20"/>
              </w:rPr>
              <w:t>experts in Hanoi will mitigate this uncertainty.</w:t>
            </w:r>
            <w:r w:rsidRPr="00C07D82">
              <w:rPr>
                <w:rFonts w:cs="Arial"/>
                <w:szCs w:val="20"/>
              </w:rPr>
              <w:br/>
              <w:t>-The SAG will provide program's managers with up-to-date understanding of changing circumstances that might impact on program performance</w:t>
            </w:r>
            <w:r w:rsidRPr="00C07D82">
              <w:rPr>
                <w:rFonts w:cs="Arial"/>
                <w:szCs w:val="20"/>
              </w:rPr>
              <w:br/>
              <w:t>-The program is structured to allow flexibility to respond quickly to changing circumstances.</w:t>
            </w:r>
          </w:p>
        </w:tc>
        <w:tc>
          <w:tcPr>
            <w:tcW w:w="1418" w:type="dxa"/>
            <w:tcBorders>
              <w:top w:val="nil"/>
              <w:left w:val="nil"/>
              <w:bottom w:val="single" w:sz="4" w:space="0" w:color="auto"/>
              <w:right w:val="single" w:sz="4" w:space="0" w:color="auto"/>
            </w:tcBorders>
            <w:shd w:val="clear" w:color="auto" w:fill="auto"/>
            <w:hideMark/>
          </w:tcPr>
          <w:p w14:paraId="36A94ADA" w14:textId="77777777" w:rsidR="00A447B1" w:rsidRPr="00C07D82" w:rsidRDefault="00A447B1" w:rsidP="0062529A">
            <w:pPr>
              <w:spacing w:before="0"/>
              <w:rPr>
                <w:rFonts w:cs="Arial"/>
                <w:szCs w:val="20"/>
              </w:rPr>
            </w:pPr>
            <w:r w:rsidRPr="00C07D82">
              <w:rPr>
                <w:rFonts w:cs="Arial"/>
                <w:szCs w:val="20"/>
              </w:rPr>
              <w:t>Moderate</w:t>
            </w:r>
          </w:p>
        </w:tc>
        <w:tc>
          <w:tcPr>
            <w:tcW w:w="1347" w:type="dxa"/>
            <w:tcBorders>
              <w:top w:val="nil"/>
              <w:left w:val="nil"/>
              <w:bottom w:val="single" w:sz="4" w:space="0" w:color="auto"/>
              <w:right w:val="single" w:sz="4" w:space="0" w:color="auto"/>
            </w:tcBorders>
            <w:shd w:val="clear" w:color="auto" w:fill="auto"/>
            <w:hideMark/>
          </w:tcPr>
          <w:p w14:paraId="36A94ADB" w14:textId="6B7FCDB6" w:rsidR="00A447B1" w:rsidRPr="00C07D82" w:rsidRDefault="00A447B1" w:rsidP="000D6FEA">
            <w:pPr>
              <w:spacing w:before="0"/>
              <w:rPr>
                <w:rFonts w:cs="Arial"/>
                <w:szCs w:val="20"/>
              </w:rPr>
            </w:pPr>
            <w:r w:rsidRPr="00C07D82">
              <w:rPr>
                <w:rFonts w:cs="Arial"/>
                <w:color w:val="000000"/>
                <w:szCs w:val="20"/>
              </w:rPr>
              <w:t xml:space="preserve">PCU, Program Director, </w:t>
            </w:r>
            <w:r w:rsidR="000D6FEA" w:rsidRPr="00C07D82">
              <w:rPr>
                <w:rFonts w:cs="Arial"/>
                <w:color w:val="000000"/>
                <w:szCs w:val="20"/>
              </w:rPr>
              <w:t xml:space="preserve">GOA's </w:t>
            </w:r>
            <w:r w:rsidRPr="00C07D82">
              <w:rPr>
                <w:rFonts w:cs="Arial"/>
                <w:szCs w:val="20"/>
              </w:rPr>
              <w:t>First Secretary and SPM</w:t>
            </w:r>
          </w:p>
        </w:tc>
      </w:tr>
      <w:tr w:rsidR="00A447B1" w:rsidRPr="00C07D82" w14:paraId="36A94AE6" w14:textId="77777777" w:rsidTr="0062529A">
        <w:trPr>
          <w:trHeight w:val="1304"/>
        </w:trPr>
        <w:tc>
          <w:tcPr>
            <w:tcW w:w="567" w:type="dxa"/>
            <w:tcBorders>
              <w:top w:val="nil"/>
              <w:left w:val="single" w:sz="4" w:space="0" w:color="auto"/>
              <w:bottom w:val="single" w:sz="4" w:space="0" w:color="auto"/>
              <w:right w:val="single" w:sz="4" w:space="0" w:color="auto"/>
            </w:tcBorders>
            <w:shd w:val="clear" w:color="auto" w:fill="auto"/>
          </w:tcPr>
          <w:p w14:paraId="36A94ADD" w14:textId="77777777" w:rsidR="00A447B1" w:rsidRPr="00C07D82" w:rsidRDefault="00A447B1" w:rsidP="0062529A">
            <w:pPr>
              <w:spacing w:before="0"/>
              <w:jc w:val="both"/>
              <w:rPr>
                <w:rFonts w:cs="Arial"/>
                <w:color w:val="000000"/>
                <w:szCs w:val="20"/>
              </w:rPr>
            </w:pPr>
            <w:r w:rsidRPr="00C07D82">
              <w:rPr>
                <w:rFonts w:cs="Arial"/>
                <w:color w:val="000000"/>
                <w:szCs w:val="20"/>
              </w:rPr>
              <w:t>2</w:t>
            </w:r>
          </w:p>
        </w:tc>
        <w:tc>
          <w:tcPr>
            <w:tcW w:w="2127" w:type="dxa"/>
            <w:tcBorders>
              <w:top w:val="nil"/>
              <w:left w:val="nil"/>
              <w:bottom w:val="single" w:sz="4" w:space="0" w:color="auto"/>
              <w:right w:val="single" w:sz="4" w:space="0" w:color="auto"/>
            </w:tcBorders>
            <w:shd w:val="clear" w:color="auto" w:fill="auto"/>
          </w:tcPr>
          <w:p w14:paraId="36A94ADE" w14:textId="77777777" w:rsidR="00A447B1" w:rsidRPr="00C07D82" w:rsidRDefault="00A447B1" w:rsidP="0062529A">
            <w:pPr>
              <w:spacing w:before="0"/>
              <w:rPr>
                <w:rFonts w:cs="Arial"/>
                <w:szCs w:val="20"/>
              </w:rPr>
            </w:pPr>
            <w:r w:rsidRPr="00C07D82">
              <w:rPr>
                <w:rFonts w:cs="Arial"/>
                <w:szCs w:val="20"/>
              </w:rPr>
              <w:t>Delays in implementation could substantially reduce opportunities for study recommendations to influence strategic policy decisions</w:t>
            </w:r>
          </w:p>
        </w:tc>
        <w:tc>
          <w:tcPr>
            <w:tcW w:w="1984" w:type="dxa"/>
            <w:tcBorders>
              <w:top w:val="nil"/>
              <w:left w:val="nil"/>
              <w:bottom w:val="single" w:sz="4" w:space="0" w:color="auto"/>
              <w:right w:val="single" w:sz="4" w:space="0" w:color="auto"/>
            </w:tcBorders>
            <w:shd w:val="clear" w:color="auto" w:fill="auto"/>
          </w:tcPr>
          <w:p w14:paraId="36A94ADF" w14:textId="77777777" w:rsidR="00A447B1" w:rsidRPr="00C07D82" w:rsidRDefault="00A447B1" w:rsidP="0062529A">
            <w:pPr>
              <w:spacing w:before="0"/>
              <w:rPr>
                <w:rFonts w:cs="Arial"/>
                <w:szCs w:val="20"/>
              </w:rPr>
            </w:pPr>
            <w:r w:rsidRPr="00C07D82">
              <w:rPr>
                <w:rFonts w:cs="Arial"/>
                <w:szCs w:val="20"/>
              </w:rPr>
              <w:t>Impacts and returns on investment lower than expected. Loss of credibility</w:t>
            </w:r>
          </w:p>
        </w:tc>
        <w:tc>
          <w:tcPr>
            <w:tcW w:w="1291" w:type="dxa"/>
            <w:tcBorders>
              <w:top w:val="nil"/>
              <w:left w:val="nil"/>
              <w:bottom w:val="single" w:sz="4" w:space="0" w:color="auto"/>
              <w:right w:val="single" w:sz="4" w:space="0" w:color="auto"/>
            </w:tcBorders>
            <w:shd w:val="clear" w:color="auto" w:fill="auto"/>
          </w:tcPr>
          <w:p w14:paraId="36A94AE0" w14:textId="77777777" w:rsidR="00A447B1" w:rsidRPr="00C07D82" w:rsidRDefault="00A447B1" w:rsidP="0062529A">
            <w:pPr>
              <w:spacing w:before="0"/>
              <w:rPr>
                <w:rFonts w:cs="Arial"/>
                <w:szCs w:val="20"/>
              </w:rPr>
            </w:pPr>
            <w:r w:rsidRPr="00C07D82">
              <w:rPr>
                <w:rFonts w:cs="Arial"/>
                <w:szCs w:val="20"/>
              </w:rPr>
              <w:t>Moderate</w:t>
            </w:r>
          </w:p>
        </w:tc>
        <w:tc>
          <w:tcPr>
            <w:tcW w:w="1080" w:type="dxa"/>
            <w:tcBorders>
              <w:top w:val="nil"/>
              <w:left w:val="nil"/>
              <w:bottom w:val="single" w:sz="4" w:space="0" w:color="auto"/>
              <w:right w:val="single" w:sz="4" w:space="0" w:color="auto"/>
            </w:tcBorders>
            <w:shd w:val="clear" w:color="auto" w:fill="auto"/>
          </w:tcPr>
          <w:p w14:paraId="36A94AE1" w14:textId="77777777" w:rsidR="00A447B1" w:rsidRPr="00C07D82" w:rsidRDefault="00A447B1" w:rsidP="0062529A">
            <w:pPr>
              <w:spacing w:before="0"/>
              <w:rPr>
                <w:rFonts w:cs="Arial"/>
                <w:szCs w:val="20"/>
              </w:rPr>
            </w:pPr>
            <w:r w:rsidRPr="00C07D82">
              <w:rPr>
                <w:rFonts w:cs="Arial"/>
                <w:szCs w:val="20"/>
              </w:rPr>
              <w:t>Unlikely</w:t>
            </w:r>
          </w:p>
        </w:tc>
        <w:tc>
          <w:tcPr>
            <w:tcW w:w="1036" w:type="dxa"/>
            <w:tcBorders>
              <w:top w:val="nil"/>
              <w:left w:val="nil"/>
              <w:bottom w:val="single" w:sz="4" w:space="0" w:color="auto"/>
              <w:right w:val="single" w:sz="4" w:space="0" w:color="auto"/>
            </w:tcBorders>
            <w:shd w:val="clear" w:color="auto" w:fill="auto"/>
          </w:tcPr>
          <w:p w14:paraId="36A94AE2" w14:textId="77777777" w:rsidR="00A447B1" w:rsidRPr="00C07D82" w:rsidRDefault="00A447B1" w:rsidP="0062529A">
            <w:pPr>
              <w:spacing w:before="0"/>
              <w:rPr>
                <w:rFonts w:cs="Arial"/>
                <w:szCs w:val="20"/>
              </w:rPr>
            </w:pPr>
            <w:r w:rsidRPr="00C07D82">
              <w:rPr>
                <w:rFonts w:cs="Arial"/>
                <w:szCs w:val="20"/>
              </w:rPr>
              <w:t>Moderate</w:t>
            </w:r>
          </w:p>
        </w:tc>
        <w:tc>
          <w:tcPr>
            <w:tcW w:w="4683" w:type="dxa"/>
            <w:tcBorders>
              <w:top w:val="nil"/>
              <w:left w:val="nil"/>
              <w:bottom w:val="single" w:sz="4" w:space="0" w:color="auto"/>
              <w:right w:val="single" w:sz="4" w:space="0" w:color="auto"/>
            </w:tcBorders>
            <w:shd w:val="clear" w:color="auto" w:fill="auto"/>
          </w:tcPr>
          <w:p w14:paraId="36A94AE3" w14:textId="77777777" w:rsidR="00A447B1" w:rsidRPr="00C07D82" w:rsidRDefault="00A447B1" w:rsidP="0062529A">
            <w:pPr>
              <w:spacing w:before="0"/>
              <w:rPr>
                <w:rFonts w:cs="Arial"/>
                <w:szCs w:val="20"/>
              </w:rPr>
            </w:pPr>
            <w:r w:rsidRPr="00C07D82">
              <w:rPr>
                <w:rFonts w:cs="Arial"/>
                <w:szCs w:val="20"/>
              </w:rPr>
              <w:t>While some delays are possible, relationships developed during BWTO, intensive counterpart involvement in program design, and the involvement of the SAG (many who were also involved with BWTO) means that is unlikely that any delays would substantially reduce opportunities for recommendations to influence policy making.</w:t>
            </w:r>
          </w:p>
        </w:tc>
        <w:tc>
          <w:tcPr>
            <w:tcW w:w="1418" w:type="dxa"/>
            <w:tcBorders>
              <w:top w:val="nil"/>
              <w:left w:val="nil"/>
              <w:bottom w:val="single" w:sz="4" w:space="0" w:color="auto"/>
              <w:right w:val="single" w:sz="4" w:space="0" w:color="auto"/>
            </w:tcBorders>
            <w:shd w:val="clear" w:color="auto" w:fill="auto"/>
          </w:tcPr>
          <w:p w14:paraId="36A94AE4" w14:textId="77777777" w:rsidR="00A447B1" w:rsidRPr="00C07D82" w:rsidRDefault="00A447B1" w:rsidP="0062529A">
            <w:pPr>
              <w:spacing w:before="0"/>
              <w:rPr>
                <w:rFonts w:cs="Arial"/>
                <w:szCs w:val="20"/>
              </w:rPr>
            </w:pPr>
            <w:r w:rsidRPr="00C07D82">
              <w:rPr>
                <w:rFonts w:cs="Arial"/>
                <w:szCs w:val="20"/>
              </w:rPr>
              <w:t>Low</w:t>
            </w:r>
          </w:p>
        </w:tc>
        <w:tc>
          <w:tcPr>
            <w:tcW w:w="1347" w:type="dxa"/>
            <w:tcBorders>
              <w:top w:val="nil"/>
              <w:left w:val="nil"/>
              <w:bottom w:val="single" w:sz="4" w:space="0" w:color="auto"/>
              <w:right w:val="single" w:sz="4" w:space="0" w:color="auto"/>
            </w:tcBorders>
            <w:shd w:val="clear" w:color="auto" w:fill="auto"/>
          </w:tcPr>
          <w:p w14:paraId="36A94AE5" w14:textId="21039F1A" w:rsidR="00A447B1" w:rsidRPr="00C07D82" w:rsidRDefault="00A447B1" w:rsidP="000D6FEA">
            <w:pPr>
              <w:spacing w:before="0"/>
              <w:rPr>
                <w:rFonts w:cs="Arial"/>
                <w:szCs w:val="20"/>
              </w:rPr>
            </w:pPr>
            <w:r w:rsidRPr="00C07D82">
              <w:rPr>
                <w:rFonts w:cs="Arial"/>
                <w:color w:val="000000"/>
                <w:szCs w:val="20"/>
              </w:rPr>
              <w:t>Program Director</w:t>
            </w:r>
            <w:r w:rsidRPr="00C07D82">
              <w:rPr>
                <w:rFonts w:cs="Arial"/>
                <w:color w:val="000000"/>
                <w:szCs w:val="20"/>
              </w:rPr>
              <w:br/>
            </w:r>
            <w:r w:rsidR="000D6FEA" w:rsidRPr="00C07D82">
              <w:rPr>
                <w:rFonts w:cs="Arial"/>
                <w:color w:val="000000"/>
                <w:szCs w:val="20"/>
              </w:rPr>
              <w:t xml:space="preserve">GOA's </w:t>
            </w:r>
            <w:r w:rsidRPr="00C07D82">
              <w:rPr>
                <w:rFonts w:cs="Arial"/>
                <w:color w:val="000000"/>
                <w:szCs w:val="20"/>
              </w:rPr>
              <w:t>SPM</w:t>
            </w:r>
          </w:p>
        </w:tc>
      </w:tr>
      <w:tr w:rsidR="00A447B1" w:rsidRPr="00C07D82" w14:paraId="36A94AF1" w14:textId="77777777" w:rsidTr="0062529A">
        <w:trPr>
          <w:trHeight w:val="1727"/>
        </w:trPr>
        <w:tc>
          <w:tcPr>
            <w:tcW w:w="567" w:type="dxa"/>
            <w:tcBorders>
              <w:top w:val="nil"/>
              <w:left w:val="single" w:sz="4" w:space="0" w:color="auto"/>
              <w:bottom w:val="single" w:sz="4" w:space="0" w:color="auto"/>
              <w:right w:val="single" w:sz="4" w:space="0" w:color="auto"/>
            </w:tcBorders>
            <w:shd w:val="clear" w:color="auto" w:fill="auto"/>
            <w:hideMark/>
          </w:tcPr>
          <w:p w14:paraId="36A94AE7" w14:textId="77777777" w:rsidR="00A447B1" w:rsidRPr="00C07D82" w:rsidRDefault="00A447B1" w:rsidP="0062529A">
            <w:pPr>
              <w:spacing w:before="0"/>
              <w:jc w:val="both"/>
              <w:rPr>
                <w:rFonts w:cs="Arial"/>
                <w:color w:val="000000"/>
                <w:szCs w:val="20"/>
              </w:rPr>
            </w:pPr>
            <w:r w:rsidRPr="00C07D82">
              <w:rPr>
                <w:rFonts w:cs="Arial"/>
                <w:color w:val="000000"/>
                <w:szCs w:val="20"/>
              </w:rPr>
              <w:t>3</w:t>
            </w:r>
          </w:p>
        </w:tc>
        <w:tc>
          <w:tcPr>
            <w:tcW w:w="2127" w:type="dxa"/>
            <w:tcBorders>
              <w:top w:val="nil"/>
              <w:left w:val="nil"/>
              <w:bottom w:val="single" w:sz="4" w:space="0" w:color="auto"/>
              <w:right w:val="single" w:sz="4" w:space="0" w:color="auto"/>
            </w:tcBorders>
            <w:shd w:val="clear" w:color="auto" w:fill="auto"/>
            <w:hideMark/>
          </w:tcPr>
          <w:p w14:paraId="36A94AE8" w14:textId="77777777" w:rsidR="00A447B1" w:rsidRPr="00C07D82" w:rsidRDefault="00A447B1" w:rsidP="0062529A">
            <w:pPr>
              <w:spacing w:before="0"/>
              <w:rPr>
                <w:rFonts w:cs="Arial"/>
                <w:szCs w:val="20"/>
              </w:rPr>
            </w:pPr>
            <w:r w:rsidRPr="00C07D82">
              <w:rPr>
                <w:rFonts w:cs="Arial"/>
                <w:szCs w:val="20"/>
              </w:rPr>
              <w:t>Australia is associated with an unpopular restructuring program.</w:t>
            </w:r>
          </w:p>
        </w:tc>
        <w:tc>
          <w:tcPr>
            <w:tcW w:w="1984" w:type="dxa"/>
            <w:tcBorders>
              <w:top w:val="nil"/>
              <w:left w:val="nil"/>
              <w:bottom w:val="single" w:sz="4" w:space="0" w:color="auto"/>
              <w:right w:val="single" w:sz="4" w:space="0" w:color="auto"/>
            </w:tcBorders>
            <w:shd w:val="clear" w:color="auto" w:fill="auto"/>
            <w:hideMark/>
          </w:tcPr>
          <w:p w14:paraId="36A94AE9" w14:textId="22FB7626" w:rsidR="00A447B1" w:rsidRPr="00C07D82" w:rsidRDefault="00A447B1" w:rsidP="0062529A">
            <w:pPr>
              <w:spacing w:before="0"/>
              <w:rPr>
                <w:rFonts w:cs="Arial"/>
                <w:szCs w:val="20"/>
              </w:rPr>
            </w:pPr>
            <w:r w:rsidRPr="00C07D82">
              <w:rPr>
                <w:rFonts w:cs="Arial"/>
                <w:szCs w:val="20"/>
              </w:rPr>
              <w:t>Undermining of Australia’s reputation with the G</w:t>
            </w:r>
            <w:r w:rsidR="00F7155D" w:rsidRPr="00C07D82">
              <w:rPr>
                <w:rFonts w:cs="Arial"/>
                <w:szCs w:val="20"/>
              </w:rPr>
              <w:t>O</w:t>
            </w:r>
            <w:r w:rsidRPr="00C07D82">
              <w:rPr>
                <w:rFonts w:cs="Arial"/>
                <w:szCs w:val="20"/>
              </w:rPr>
              <w:t xml:space="preserve">V and people of Vietnam could have adverse political and economic costs. </w:t>
            </w:r>
          </w:p>
        </w:tc>
        <w:tc>
          <w:tcPr>
            <w:tcW w:w="1291" w:type="dxa"/>
            <w:tcBorders>
              <w:top w:val="nil"/>
              <w:left w:val="nil"/>
              <w:bottom w:val="single" w:sz="4" w:space="0" w:color="auto"/>
              <w:right w:val="single" w:sz="4" w:space="0" w:color="auto"/>
            </w:tcBorders>
            <w:shd w:val="clear" w:color="auto" w:fill="auto"/>
            <w:hideMark/>
          </w:tcPr>
          <w:p w14:paraId="36A94AEA" w14:textId="77777777" w:rsidR="00A447B1" w:rsidRPr="00C07D82" w:rsidRDefault="00A447B1" w:rsidP="0062529A">
            <w:pPr>
              <w:spacing w:before="0"/>
              <w:rPr>
                <w:rFonts w:cs="Arial"/>
                <w:szCs w:val="20"/>
              </w:rPr>
            </w:pPr>
            <w:r w:rsidRPr="00C07D82">
              <w:rPr>
                <w:rFonts w:cs="Arial"/>
                <w:szCs w:val="20"/>
              </w:rPr>
              <w:t>Moderate</w:t>
            </w:r>
          </w:p>
        </w:tc>
        <w:tc>
          <w:tcPr>
            <w:tcW w:w="1080" w:type="dxa"/>
            <w:tcBorders>
              <w:top w:val="nil"/>
              <w:left w:val="nil"/>
              <w:bottom w:val="single" w:sz="4" w:space="0" w:color="auto"/>
              <w:right w:val="single" w:sz="4" w:space="0" w:color="auto"/>
            </w:tcBorders>
            <w:shd w:val="clear" w:color="auto" w:fill="auto"/>
            <w:hideMark/>
          </w:tcPr>
          <w:p w14:paraId="36A94AEB" w14:textId="77777777" w:rsidR="00A447B1" w:rsidRPr="00C07D82" w:rsidRDefault="00A447B1" w:rsidP="0062529A">
            <w:pPr>
              <w:spacing w:before="0"/>
              <w:rPr>
                <w:rFonts w:cs="Arial"/>
                <w:szCs w:val="20"/>
              </w:rPr>
            </w:pPr>
            <w:r w:rsidRPr="00C07D82">
              <w:rPr>
                <w:rFonts w:cs="Arial"/>
                <w:szCs w:val="20"/>
              </w:rPr>
              <w:t>Unlikely</w:t>
            </w:r>
          </w:p>
        </w:tc>
        <w:tc>
          <w:tcPr>
            <w:tcW w:w="1036" w:type="dxa"/>
            <w:tcBorders>
              <w:top w:val="nil"/>
              <w:left w:val="nil"/>
              <w:bottom w:val="single" w:sz="4" w:space="0" w:color="auto"/>
              <w:right w:val="single" w:sz="4" w:space="0" w:color="auto"/>
            </w:tcBorders>
            <w:shd w:val="clear" w:color="auto" w:fill="auto"/>
            <w:hideMark/>
          </w:tcPr>
          <w:p w14:paraId="36A94AEC" w14:textId="77777777" w:rsidR="00A447B1" w:rsidRPr="00C07D82" w:rsidRDefault="00A447B1" w:rsidP="0062529A">
            <w:pPr>
              <w:spacing w:before="0"/>
              <w:rPr>
                <w:rFonts w:cs="Arial"/>
                <w:szCs w:val="20"/>
              </w:rPr>
            </w:pPr>
            <w:r w:rsidRPr="00C07D82">
              <w:rPr>
                <w:rFonts w:cs="Arial"/>
                <w:szCs w:val="20"/>
              </w:rPr>
              <w:t>Moderate</w:t>
            </w:r>
          </w:p>
        </w:tc>
        <w:tc>
          <w:tcPr>
            <w:tcW w:w="4683" w:type="dxa"/>
            <w:tcBorders>
              <w:top w:val="nil"/>
              <w:left w:val="nil"/>
              <w:bottom w:val="single" w:sz="4" w:space="0" w:color="auto"/>
              <w:right w:val="single" w:sz="4" w:space="0" w:color="auto"/>
            </w:tcBorders>
            <w:shd w:val="clear" w:color="auto" w:fill="auto"/>
            <w:hideMark/>
          </w:tcPr>
          <w:p w14:paraId="36A94AED" w14:textId="23F05125" w:rsidR="00A447B1" w:rsidRPr="00C07D82" w:rsidRDefault="00A447B1" w:rsidP="0062529A">
            <w:pPr>
              <w:spacing w:before="0"/>
              <w:rPr>
                <w:rFonts w:cs="Arial"/>
                <w:szCs w:val="20"/>
              </w:rPr>
            </w:pPr>
            <w:r w:rsidRPr="00C07D82">
              <w:rPr>
                <w:rFonts w:cs="Arial"/>
                <w:szCs w:val="20"/>
              </w:rPr>
              <w:t>-</w:t>
            </w:r>
            <w:r w:rsidR="000D6FEA" w:rsidRPr="00C07D82">
              <w:rPr>
                <w:rFonts w:cs="Arial"/>
                <w:szCs w:val="20"/>
              </w:rPr>
              <w:t xml:space="preserve">GOA's </w:t>
            </w:r>
            <w:r w:rsidRPr="00C07D82">
              <w:rPr>
                <w:rFonts w:cs="Arial"/>
                <w:szCs w:val="20"/>
              </w:rPr>
              <w:t>SPM will draw on the expertise and understanding of the PD, SAG, PCU and STA to implement a communications strategy to support program objectives and raise Australia’s profile as Vietnam partner in economic restructuring.</w:t>
            </w:r>
          </w:p>
          <w:p w14:paraId="36A94AEE" w14:textId="5565BAE7" w:rsidR="00A447B1" w:rsidRPr="00C07D82" w:rsidRDefault="00A447B1" w:rsidP="000D6FEA">
            <w:pPr>
              <w:spacing w:before="0"/>
              <w:rPr>
                <w:rFonts w:cs="Arial"/>
                <w:szCs w:val="20"/>
              </w:rPr>
            </w:pPr>
            <w:r w:rsidRPr="00C07D82">
              <w:rPr>
                <w:rFonts w:cs="Arial"/>
                <w:szCs w:val="20"/>
              </w:rPr>
              <w:t>-Policy dialogue and knowledge dissemination will help build consensus on program supported restructuring.</w:t>
            </w:r>
            <w:r w:rsidRPr="00C07D82">
              <w:rPr>
                <w:rFonts w:cs="Arial"/>
                <w:szCs w:val="20"/>
              </w:rPr>
              <w:br/>
              <w:t>-</w:t>
            </w:r>
            <w:r w:rsidR="000D6FEA" w:rsidRPr="00C07D82">
              <w:rPr>
                <w:rFonts w:cs="Arial"/>
                <w:szCs w:val="20"/>
              </w:rPr>
              <w:t xml:space="preserve">GOA </w:t>
            </w:r>
            <w:r w:rsidRPr="00C07D82">
              <w:rPr>
                <w:rFonts w:cs="Arial"/>
                <w:szCs w:val="20"/>
              </w:rPr>
              <w:t>will work with development partners to coordinate efforts and raise the program's profile.</w:t>
            </w:r>
          </w:p>
        </w:tc>
        <w:tc>
          <w:tcPr>
            <w:tcW w:w="1418" w:type="dxa"/>
            <w:tcBorders>
              <w:top w:val="nil"/>
              <w:left w:val="nil"/>
              <w:bottom w:val="single" w:sz="4" w:space="0" w:color="auto"/>
              <w:right w:val="single" w:sz="4" w:space="0" w:color="auto"/>
            </w:tcBorders>
            <w:shd w:val="clear" w:color="auto" w:fill="auto"/>
            <w:hideMark/>
          </w:tcPr>
          <w:p w14:paraId="36A94AEF" w14:textId="77777777" w:rsidR="00A447B1" w:rsidRPr="00C07D82" w:rsidRDefault="00A447B1" w:rsidP="0062529A">
            <w:pPr>
              <w:spacing w:before="0"/>
              <w:rPr>
                <w:rFonts w:cs="Arial"/>
                <w:szCs w:val="20"/>
              </w:rPr>
            </w:pPr>
            <w:r w:rsidRPr="00C07D82">
              <w:rPr>
                <w:rFonts w:cs="Arial"/>
                <w:szCs w:val="20"/>
              </w:rPr>
              <w:t>Low</w:t>
            </w:r>
          </w:p>
        </w:tc>
        <w:tc>
          <w:tcPr>
            <w:tcW w:w="1347" w:type="dxa"/>
            <w:tcBorders>
              <w:top w:val="nil"/>
              <w:left w:val="nil"/>
              <w:bottom w:val="single" w:sz="4" w:space="0" w:color="auto"/>
              <w:right w:val="single" w:sz="4" w:space="0" w:color="auto"/>
            </w:tcBorders>
            <w:shd w:val="clear" w:color="auto" w:fill="auto"/>
            <w:hideMark/>
          </w:tcPr>
          <w:p w14:paraId="36A94AF0" w14:textId="3AC00E2E" w:rsidR="00A447B1" w:rsidRPr="00C07D82" w:rsidRDefault="000D6FEA" w:rsidP="0062529A">
            <w:pPr>
              <w:spacing w:before="0"/>
              <w:rPr>
                <w:rFonts w:cs="Arial"/>
                <w:szCs w:val="20"/>
              </w:rPr>
            </w:pPr>
            <w:r w:rsidRPr="00C07D82">
              <w:rPr>
                <w:rFonts w:cs="Arial"/>
                <w:szCs w:val="20"/>
              </w:rPr>
              <w:t xml:space="preserve">GOA's </w:t>
            </w:r>
            <w:r w:rsidR="00A447B1" w:rsidRPr="00C07D82">
              <w:rPr>
                <w:rFonts w:cs="Arial"/>
                <w:szCs w:val="20"/>
              </w:rPr>
              <w:t>First Secretary and SPM</w:t>
            </w:r>
          </w:p>
        </w:tc>
      </w:tr>
      <w:tr w:rsidR="00A447B1" w:rsidRPr="00C07D82" w14:paraId="36A94AFB" w14:textId="77777777" w:rsidTr="0062529A">
        <w:trPr>
          <w:trHeight w:val="1007"/>
        </w:trPr>
        <w:tc>
          <w:tcPr>
            <w:tcW w:w="567" w:type="dxa"/>
            <w:tcBorders>
              <w:top w:val="nil"/>
              <w:left w:val="single" w:sz="4" w:space="0" w:color="auto"/>
              <w:bottom w:val="single" w:sz="4" w:space="0" w:color="auto"/>
              <w:right w:val="single" w:sz="4" w:space="0" w:color="auto"/>
            </w:tcBorders>
            <w:shd w:val="clear" w:color="auto" w:fill="auto"/>
            <w:hideMark/>
          </w:tcPr>
          <w:p w14:paraId="36A94AF2" w14:textId="77777777" w:rsidR="00A447B1" w:rsidRPr="00C07D82" w:rsidRDefault="00A447B1" w:rsidP="0062529A">
            <w:pPr>
              <w:spacing w:before="0"/>
              <w:jc w:val="both"/>
              <w:rPr>
                <w:rFonts w:cs="Arial"/>
                <w:color w:val="000000"/>
                <w:szCs w:val="20"/>
              </w:rPr>
            </w:pPr>
            <w:r w:rsidRPr="00C07D82">
              <w:rPr>
                <w:rFonts w:cs="Arial"/>
                <w:color w:val="000000"/>
                <w:szCs w:val="20"/>
              </w:rPr>
              <w:t>4</w:t>
            </w:r>
          </w:p>
        </w:tc>
        <w:tc>
          <w:tcPr>
            <w:tcW w:w="2127" w:type="dxa"/>
            <w:tcBorders>
              <w:top w:val="nil"/>
              <w:left w:val="nil"/>
              <w:bottom w:val="single" w:sz="4" w:space="0" w:color="auto"/>
              <w:right w:val="single" w:sz="4" w:space="0" w:color="auto"/>
            </w:tcBorders>
            <w:shd w:val="clear" w:color="auto" w:fill="auto"/>
          </w:tcPr>
          <w:p w14:paraId="36A94AF3" w14:textId="77777777" w:rsidR="00A447B1" w:rsidRPr="00C07D82" w:rsidRDefault="00A447B1" w:rsidP="0062529A">
            <w:pPr>
              <w:spacing w:before="0"/>
              <w:rPr>
                <w:rFonts w:cs="Arial"/>
                <w:szCs w:val="20"/>
              </w:rPr>
            </w:pPr>
            <w:r w:rsidRPr="00C07D82">
              <w:rPr>
                <w:rFonts w:cs="Arial"/>
                <w:color w:val="000000"/>
                <w:szCs w:val="20"/>
              </w:rPr>
              <w:t>Flexible funds are fragmented and less strategic focused</w:t>
            </w:r>
          </w:p>
        </w:tc>
        <w:tc>
          <w:tcPr>
            <w:tcW w:w="1984" w:type="dxa"/>
            <w:tcBorders>
              <w:top w:val="nil"/>
              <w:left w:val="nil"/>
              <w:bottom w:val="single" w:sz="4" w:space="0" w:color="auto"/>
              <w:right w:val="single" w:sz="4" w:space="0" w:color="auto"/>
            </w:tcBorders>
            <w:shd w:val="clear" w:color="auto" w:fill="auto"/>
          </w:tcPr>
          <w:p w14:paraId="36A94AF4" w14:textId="77777777" w:rsidR="00A447B1" w:rsidRPr="00C07D82" w:rsidRDefault="00A447B1" w:rsidP="0062529A">
            <w:pPr>
              <w:spacing w:before="0"/>
              <w:rPr>
                <w:rFonts w:cs="Arial"/>
                <w:szCs w:val="20"/>
              </w:rPr>
            </w:pPr>
            <w:r w:rsidRPr="00C07D82">
              <w:rPr>
                <w:rFonts w:cs="Arial"/>
                <w:color w:val="000000"/>
                <w:szCs w:val="20"/>
              </w:rPr>
              <w:t>Activities funded by flexible funds do not fully contribute to the program's expected outcomes</w:t>
            </w:r>
          </w:p>
        </w:tc>
        <w:tc>
          <w:tcPr>
            <w:tcW w:w="1291" w:type="dxa"/>
            <w:tcBorders>
              <w:top w:val="nil"/>
              <w:left w:val="nil"/>
              <w:bottom w:val="single" w:sz="4" w:space="0" w:color="auto"/>
              <w:right w:val="single" w:sz="4" w:space="0" w:color="auto"/>
            </w:tcBorders>
            <w:shd w:val="clear" w:color="auto" w:fill="auto"/>
          </w:tcPr>
          <w:p w14:paraId="36A94AF5" w14:textId="77777777" w:rsidR="00A447B1" w:rsidRPr="00C07D82" w:rsidRDefault="00A447B1" w:rsidP="0062529A">
            <w:pPr>
              <w:spacing w:before="0"/>
              <w:rPr>
                <w:rFonts w:cs="Arial"/>
                <w:szCs w:val="20"/>
              </w:rPr>
            </w:pPr>
            <w:r w:rsidRPr="00C07D82">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tcPr>
          <w:p w14:paraId="36A94AF6" w14:textId="77777777" w:rsidR="00A447B1" w:rsidRPr="00C07D82" w:rsidRDefault="00A447B1" w:rsidP="0062529A">
            <w:pPr>
              <w:spacing w:before="0"/>
              <w:rPr>
                <w:rFonts w:cs="Arial"/>
                <w:szCs w:val="20"/>
              </w:rPr>
            </w:pPr>
            <w:r w:rsidRPr="00C07D82">
              <w:rPr>
                <w:rFonts w:cs="Arial"/>
                <w:color w:val="000000"/>
                <w:szCs w:val="20"/>
              </w:rPr>
              <w:t xml:space="preserve">Likely </w:t>
            </w:r>
          </w:p>
        </w:tc>
        <w:tc>
          <w:tcPr>
            <w:tcW w:w="1036" w:type="dxa"/>
            <w:tcBorders>
              <w:top w:val="nil"/>
              <w:left w:val="nil"/>
              <w:bottom w:val="single" w:sz="4" w:space="0" w:color="auto"/>
              <w:right w:val="single" w:sz="4" w:space="0" w:color="auto"/>
            </w:tcBorders>
            <w:shd w:val="clear" w:color="auto" w:fill="auto"/>
          </w:tcPr>
          <w:p w14:paraId="36A94AF7" w14:textId="77777777" w:rsidR="00A447B1" w:rsidRPr="00C07D82" w:rsidRDefault="00A447B1" w:rsidP="0062529A">
            <w:pPr>
              <w:spacing w:before="0"/>
              <w:rPr>
                <w:rFonts w:cs="Arial"/>
                <w:szCs w:val="20"/>
              </w:rPr>
            </w:pPr>
            <w:r w:rsidRPr="00C07D82">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tcPr>
          <w:p w14:paraId="36A94AF8" w14:textId="74ECC184" w:rsidR="00A447B1" w:rsidRPr="00C07D82" w:rsidRDefault="00A447B1" w:rsidP="000D6FEA">
            <w:pPr>
              <w:spacing w:before="0"/>
              <w:rPr>
                <w:rFonts w:cs="Arial"/>
                <w:szCs w:val="20"/>
              </w:rPr>
            </w:pPr>
            <w:r w:rsidRPr="00C07D82">
              <w:rPr>
                <w:rFonts w:cs="Arial"/>
                <w:color w:val="000000"/>
                <w:szCs w:val="20"/>
              </w:rPr>
              <w:t>- Set of criteria to select partners, activities will be developed taking into account how funded activities or partners will contribute to the program overall outcomes</w:t>
            </w:r>
            <w:r w:rsidRPr="00C07D82">
              <w:rPr>
                <w:rFonts w:cs="Arial"/>
                <w:color w:val="000000"/>
                <w:szCs w:val="20"/>
              </w:rPr>
              <w:br/>
              <w:t xml:space="preserve">- No objection from </w:t>
            </w:r>
            <w:r w:rsidR="000D6FEA" w:rsidRPr="00C07D82">
              <w:rPr>
                <w:rFonts w:cs="Arial"/>
                <w:color w:val="000000"/>
                <w:szCs w:val="20"/>
              </w:rPr>
              <w:t xml:space="preserve">GOA </w:t>
            </w:r>
            <w:r w:rsidRPr="00C07D82">
              <w:rPr>
                <w:rFonts w:cs="Arial"/>
                <w:color w:val="000000"/>
                <w:szCs w:val="20"/>
              </w:rPr>
              <w:t>as donor will be needed before allocating flexible funds</w:t>
            </w:r>
          </w:p>
        </w:tc>
        <w:tc>
          <w:tcPr>
            <w:tcW w:w="1418" w:type="dxa"/>
            <w:tcBorders>
              <w:top w:val="nil"/>
              <w:left w:val="nil"/>
              <w:bottom w:val="single" w:sz="4" w:space="0" w:color="auto"/>
              <w:right w:val="single" w:sz="4" w:space="0" w:color="auto"/>
            </w:tcBorders>
            <w:shd w:val="clear" w:color="auto" w:fill="auto"/>
          </w:tcPr>
          <w:p w14:paraId="36A94AF9" w14:textId="77777777" w:rsidR="00A447B1" w:rsidRPr="00C07D82" w:rsidRDefault="00A447B1" w:rsidP="0062529A">
            <w:pPr>
              <w:spacing w:before="0"/>
              <w:rPr>
                <w:rFonts w:cs="Arial"/>
                <w:szCs w:val="20"/>
              </w:rPr>
            </w:pPr>
            <w:r w:rsidRPr="00C07D82">
              <w:rPr>
                <w:rFonts w:cs="Arial"/>
                <w:color w:val="000000"/>
                <w:szCs w:val="20"/>
              </w:rPr>
              <w:t>Moderate</w:t>
            </w:r>
          </w:p>
        </w:tc>
        <w:tc>
          <w:tcPr>
            <w:tcW w:w="1347" w:type="dxa"/>
            <w:tcBorders>
              <w:top w:val="nil"/>
              <w:left w:val="nil"/>
              <w:bottom w:val="single" w:sz="4" w:space="0" w:color="auto"/>
              <w:right w:val="single" w:sz="4" w:space="0" w:color="auto"/>
            </w:tcBorders>
            <w:shd w:val="clear" w:color="auto" w:fill="auto"/>
          </w:tcPr>
          <w:p w14:paraId="36A94AFA" w14:textId="39C8D7BE" w:rsidR="00A447B1" w:rsidRPr="00C07D82" w:rsidRDefault="00A447B1" w:rsidP="000D6FEA">
            <w:pPr>
              <w:spacing w:before="0"/>
              <w:rPr>
                <w:rFonts w:cs="Arial"/>
                <w:szCs w:val="20"/>
              </w:rPr>
            </w:pPr>
            <w:r w:rsidRPr="00C07D82">
              <w:rPr>
                <w:rFonts w:cs="Arial"/>
                <w:color w:val="000000"/>
                <w:szCs w:val="20"/>
              </w:rPr>
              <w:t xml:space="preserve">PCU, Program Director, </w:t>
            </w:r>
            <w:r w:rsidR="000D6FEA" w:rsidRPr="00C07D82">
              <w:rPr>
                <w:rFonts w:cs="Arial"/>
                <w:color w:val="000000"/>
                <w:szCs w:val="20"/>
              </w:rPr>
              <w:t xml:space="preserve">GOA's </w:t>
            </w:r>
            <w:r w:rsidRPr="00C07D82">
              <w:rPr>
                <w:rFonts w:cs="Arial"/>
                <w:szCs w:val="20"/>
              </w:rPr>
              <w:t>First Secretary and SPM</w:t>
            </w:r>
          </w:p>
        </w:tc>
      </w:tr>
      <w:tr w:rsidR="00A447B1" w:rsidRPr="00C07D82" w14:paraId="36A94B05" w14:textId="77777777" w:rsidTr="0062529A">
        <w:trPr>
          <w:trHeight w:val="2042"/>
        </w:trPr>
        <w:tc>
          <w:tcPr>
            <w:tcW w:w="567" w:type="dxa"/>
            <w:tcBorders>
              <w:top w:val="nil"/>
              <w:left w:val="single" w:sz="4" w:space="0" w:color="auto"/>
              <w:bottom w:val="single" w:sz="4" w:space="0" w:color="auto"/>
              <w:right w:val="single" w:sz="4" w:space="0" w:color="auto"/>
            </w:tcBorders>
            <w:shd w:val="clear" w:color="auto" w:fill="auto"/>
            <w:hideMark/>
          </w:tcPr>
          <w:p w14:paraId="36A94AFC" w14:textId="77777777" w:rsidR="00A447B1" w:rsidRPr="00C07D82" w:rsidRDefault="00A447B1" w:rsidP="0062529A">
            <w:pPr>
              <w:spacing w:before="0"/>
              <w:jc w:val="both"/>
              <w:rPr>
                <w:rFonts w:cs="Arial"/>
                <w:color w:val="000000"/>
                <w:szCs w:val="20"/>
              </w:rPr>
            </w:pPr>
            <w:r w:rsidRPr="00C07D82">
              <w:rPr>
                <w:rFonts w:cs="Arial"/>
                <w:color w:val="000000"/>
                <w:szCs w:val="20"/>
              </w:rPr>
              <w:t>5</w:t>
            </w:r>
          </w:p>
        </w:tc>
        <w:tc>
          <w:tcPr>
            <w:tcW w:w="2127" w:type="dxa"/>
            <w:tcBorders>
              <w:top w:val="nil"/>
              <w:left w:val="nil"/>
              <w:bottom w:val="single" w:sz="4" w:space="0" w:color="auto"/>
              <w:right w:val="single" w:sz="4" w:space="0" w:color="auto"/>
            </w:tcBorders>
            <w:shd w:val="clear" w:color="auto" w:fill="auto"/>
            <w:hideMark/>
          </w:tcPr>
          <w:p w14:paraId="36A94AFD" w14:textId="6909785A" w:rsidR="00A447B1" w:rsidRPr="00C07D82" w:rsidRDefault="00A447B1" w:rsidP="0062529A">
            <w:pPr>
              <w:spacing w:before="0"/>
              <w:rPr>
                <w:rFonts w:cs="Arial"/>
                <w:szCs w:val="20"/>
              </w:rPr>
            </w:pPr>
            <w:r w:rsidRPr="00C07D82">
              <w:rPr>
                <w:rFonts w:cs="Arial"/>
                <w:szCs w:val="20"/>
              </w:rPr>
              <w:t xml:space="preserve">Fraud, misuse of funding, overlap of funding and resources between </w:t>
            </w:r>
            <w:r w:rsidR="00F7155D" w:rsidRPr="00C07D82">
              <w:rPr>
                <w:rFonts w:cs="Arial"/>
                <w:szCs w:val="20"/>
              </w:rPr>
              <w:t>GOA</w:t>
            </w:r>
            <w:r w:rsidRPr="00C07D82">
              <w:rPr>
                <w:rFonts w:cs="Arial"/>
                <w:szCs w:val="20"/>
              </w:rPr>
              <w:t>, counterpart funding and other donors' funding</w:t>
            </w:r>
          </w:p>
        </w:tc>
        <w:tc>
          <w:tcPr>
            <w:tcW w:w="1984" w:type="dxa"/>
            <w:tcBorders>
              <w:top w:val="nil"/>
              <w:left w:val="nil"/>
              <w:bottom w:val="single" w:sz="4" w:space="0" w:color="auto"/>
              <w:right w:val="single" w:sz="4" w:space="0" w:color="auto"/>
            </w:tcBorders>
            <w:shd w:val="clear" w:color="auto" w:fill="auto"/>
            <w:hideMark/>
          </w:tcPr>
          <w:p w14:paraId="36A94AFE" w14:textId="77777777" w:rsidR="00A447B1" w:rsidRPr="00C07D82" w:rsidRDefault="00A447B1" w:rsidP="0062529A">
            <w:pPr>
              <w:spacing w:before="0"/>
              <w:rPr>
                <w:rFonts w:cs="Arial"/>
                <w:szCs w:val="20"/>
              </w:rPr>
            </w:pPr>
            <w:r w:rsidRPr="00C07D82">
              <w:rPr>
                <w:rFonts w:cs="Arial"/>
                <w:szCs w:val="20"/>
              </w:rPr>
              <w:t>Poor program's value for money and corruption</w:t>
            </w:r>
          </w:p>
        </w:tc>
        <w:tc>
          <w:tcPr>
            <w:tcW w:w="1291" w:type="dxa"/>
            <w:tcBorders>
              <w:top w:val="nil"/>
              <w:left w:val="nil"/>
              <w:bottom w:val="single" w:sz="4" w:space="0" w:color="auto"/>
              <w:right w:val="single" w:sz="4" w:space="0" w:color="auto"/>
            </w:tcBorders>
            <w:shd w:val="clear" w:color="auto" w:fill="auto"/>
            <w:hideMark/>
          </w:tcPr>
          <w:p w14:paraId="36A94AFF" w14:textId="77777777" w:rsidR="00A447B1" w:rsidRPr="00C07D82" w:rsidRDefault="00A447B1" w:rsidP="0062529A">
            <w:pPr>
              <w:spacing w:before="0"/>
              <w:rPr>
                <w:rFonts w:cs="Arial"/>
                <w:szCs w:val="20"/>
              </w:rPr>
            </w:pPr>
            <w:r w:rsidRPr="00C07D82">
              <w:rPr>
                <w:rFonts w:cs="Arial"/>
                <w:szCs w:val="20"/>
              </w:rPr>
              <w:t>Moderate</w:t>
            </w:r>
          </w:p>
        </w:tc>
        <w:tc>
          <w:tcPr>
            <w:tcW w:w="1080" w:type="dxa"/>
            <w:tcBorders>
              <w:top w:val="nil"/>
              <w:left w:val="nil"/>
              <w:bottom w:val="single" w:sz="4" w:space="0" w:color="auto"/>
              <w:right w:val="single" w:sz="4" w:space="0" w:color="auto"/>
            </w:tcBorders>
            <w:shd w:val="clear" w:color="auto" w:fill="auto"/>
            <w:hideMark/>
          </w:tcPr>
          <w:p w14:paraId="36A94B00" w14:textId="77777777" w:rsidR="00A447B1" w:rsidRPr="00C07D82" w:rsidRDefault="00A447B1" w:rsidP="0062529A">
            <w:pPr>
              <w:spacing w:before="0"/>
              <w:rPr>
                <w:rFonts w:cs="Arial"/>
                <w:szCs w:val="20"/>
              </w:rPr>
            </w:pPr>
            <w:r w:rsidRPr="00C07D82">
              <w:rPr>
                <w:rFonts w:cs="Arial"/>
                <w:szCs w:val="20"/>
              </w:rPr>
              <w:t>Unlikely</w:t>
            </w:r>
          </w:p>
        </w:tc>
        <w:tc>
          <w:tcPr>
            <w:tcW w:w="1036" w:type="dxa"/>
            <w:tcBorders>
              <w:top w:val="nil"/>
              <w:left w:val="nil"/>
              <w:bottom w:val="single" w:sz="4" w:space="0" w:color="auto"/>
              <w:right w:val="single" w:sz="4" w:space="0" w:color="auto"/>
            </w:tcBorders>
            <w:shd w:val="clear" w:color="auto" w:fill="auto"/>
            <w:hideMark/>
          </w:tcPr>
          <w:p w14:paraId="36A94B01" w14:textId="77777777" w:rsidR="00A447B1" w:rsidRPr="00C07D82" w:rsidRDefault="00A447B1" w:rsidP="0062529A">
            <w:pPr>
              <w:spacing w:before="0"/>
              <w:rPr>
                <w:rFonts w:cs="Arial"/>
                <w:szCs w:val="20"/>
              </w:rPr>
            </w:pPr>
            <w:r w:rsidRPr="00C07D82">
              <w:rPr>
                <w:rFonts w:cs="Arial"/>
                <w:szCs w:val="20"/>
              </w:rPr>
              <w:t>Low</w:t>
            </w:r>
          </w:p>
        </w:tc>
        <w:tc>
          <w:tcPr>
            <w:tcW w:w="4683" w:type="dxa"/>
            <w:tcBorders>
              <w:top w:val="nil"/>
              <w:left w:val="nil"/>
              <w:bottom w:val="single" w:sz="4" w:space="0" w:color="auto"/>
              <w:right w:val="single" w:sz="4" w:space="0" w:color="auto"/>
            </w:tcBorders>
            <w:shd w:val="clear" w:color="auto" w:fill="auto"/>
            <w:hideMark/>
          </w:tcPr>
          <w:p w14:paraId="36A94B02" w14:textId="7813E54D" w:rsidR="00A447B1" w:rsidRPr="00C07D82" w:rsidRDefault="00A447B1" w:rsidP="000D6FEA">
            <w:pPr>
              <w:spacing w:before="0"/>
              <w:rPr>
                <w:rFonts w:cs="Arial"/>
                <w:szCs w:val="20"/>
              </w:rPr>
            </w:pPr>
            <w:r w:rsidRPr="00C07D82">
              <w:rPr>
                <w:rFonts w:cs="Arial"/>
                <w:szCs w:val="20"/>
              </w:rPr>
              <w:t xml:space="preserve">- Different funding agreement signed between </w:t>
            </w:r>
            <w:r w:rsidR="000D6FEA" w:rsidRPr="00C07D82">
              <w:rPr>
                <w:rFonts w:cs="Arial"/>
                <w:szCs w:val="20"/>
              </w:rPr>
              <w:t xml:space="preserve">GOA </w:t>
            </w:r>
            <w:r w:rsidRPr="00C07D82">
              <w:rPr>
                <w:rFonts w:cs="Arial"/>
                <w:szCs w:val="20"/>
              </w:rPr>
              <w:t>and implementing partners will define clearly funding contribution from different stakeholders to the program</w:t>
            </w:r>
            <w:r w:rsidRPr="00C07D82">
              <w:rPr>
                <w:rFonts w:cs="Arial"/>
                <w:szCs w:val="20"/>
              </w:rPr>
              <w:br/>
              <w:t xml:space="preserve">- </w:t>
            </w:r>
            <w:r w:rsidR="000D6FEA" w:rsidRPr="00C07D82">
              <w:rPr>
                <w:rFonts w:cs="Arial"/>
                <w:szCs w:val="20"/>
              </w:rPr>
              <w:t xml:space="preserve">GOA's </w:t>
            </w:r>
            <w:r w:rsidRPr="00C07D82">
              <w:rPr>
                <w:rFonts w:cs="Arial"/>
                <w:szCs w:val="20"/>
              </w:rPr>
              <w:t>Senior Program Manager, PCU's manager will have regular information exchange with other donors to avoid overlap of funding but also to explore potential areas for joined funding</w:t>
            </w:r>
            <w:r w:rsidRPr="00C07D82">
              <w:rPr>
                <w:rFonts w:cs="Arial"/>
                <w:szCs w:val="20"/>
              </w:rPr>
              <w:br/>
              <w:t>- Audit reports for funding (both GOA and G</w:t>
            </w:r>
            <w:r w:rsidR="00F7155D" w:rsidRPr="00C07D82">
              <w:rPr>
                <w:rFonts w:cs="Arial"/>
                <w:szCs w:val="20"/>
              </w:rPr>
              <w:t>O</w:t>
            </w:r>
            <w:r w:rsidRPr="00C07D82">
              <w:rPr>
                <w:rFonts w:cs="Arial"/>
                <w:szCs w:val="20"/>
              </w:rPr>
              <w:t>V contributions) will be disclosed to relevant stakeholders</w:t>
            </w:r>
          </w:p>
        </w:tc>
        <w:tc>
          <w:tcPr>
            <w:tcW w:w="1418" w:type="dxa"/>
            <w:tcBorders>
              <w:top w:val="nil"/>
              <w:left w:val="nil"/>
              <w:bottom w:val="single" w:sz="4" w:space="0" w:color="auto"/>
              <w:right w:val="single" w:sz="4" w:space="0" w:color="auto"/>
            </w:tcBorders>
            <w:shd w:val="clear" w:color="auto" w:fill="auto"/>
            <w:hideMark/>
          </w:tcPr>
          <w:p w14:paraId="36A94B03" w14:textId="77777777" w:rsidR="00A447B1" w:rsidRPr="00C07D82" w:rsidRDefault="00A447B1" w:rsidP="0062529A">
            <w:pPr>
              <w:spacing w:before="0"/>
              <w:rPr>
                <w:rFonts w:cs="Arial"/>
                <w:szCs w:val="20"/>
              </w:rPr>
            </w:pPr>
            <w:r w:rsidRPr="00C07D82">
              <w:rPr>
                <w:rFonts w:cs="Arial"/>
                <w:szCs w:val="20"/>
              </w:rPr>
              <w:t>Moderate</w:t>
            </w:r>
          </w:p>
        </w:tc>
        <w:tc>
          <w:tcPr>
            <w:tcW w:w="1347" w:type="dxa"/>
            <w:tcBorders>
              <w:top w:val="nil"/>
              <w:left w:val="nil"/>
              <w:bottom w:val="single" w:sz="4" w:space="0" w:color="auto"/>
              <w:right w:val="single" w:sz="4" w:space="0" w:color="auto"/>
            </w:tcBorders>
            <w:shd w:val="clear" w:color="auto" w:fill="auto"/>
            <w:hideMark/>
          </w:tcPr>
          <w:p w14:paraId="36A94B04" w14:textId="2E50B2C9" w:rsidR="00A447B1" w:rsidRPr="00C07D82" w:rsidRDefault="00A447B1" w:rsidP="00F7155D">
            <w:pPr>
              <w:spacing w:before="0"/>
              <w:rPr>
                <w:rFonts w:cs="Arial"/>
                <w:szCs w:val="20"/>
              </w:rPr>
            </w:pPr>
            <w:r w:rsidRPr="00C07D82">
              <w:rPr>
                <w:rFonts w:cs="Arial"/>
                <w:color w:val="000000"/>
                <w:szCs w:val="20"/>
              </w:rPr>
              <w:t xml:space="preserve">PCU, Program Director, </w:t>
            </w:r>
            <w:r w:rsidR="00F7155D" w:rsidRPr="00C07D82">
              <w:rPr>
                <w:rFonts w:cs="Arial"/>
                <w:color w:val="000000"/>
                <w:szCs w:val="20"/>
              </w:rPr>
              <w:t xml:space="preserve">GOA's </w:t>
            </w:r>
            <w:r w:rsidRPr="00C07D82">
              <w:rPr>
                <w:rFonts w:cs="Arial"/>
                <w:szCs w:val="20"/>
              </w:rPr>
              <w:t>First Secretary and SPM</w:t>
            </w:r>
          </w:p>
        </w:tc>
      </w:tr>
      <w:tr w:rsidR="00A447B1" w:rsidRPr="00C07D82" w14:paraId="36A94B08" w14:textId="77777777" w:rsidTr="0062529A">
        <w:trPr>
          <w:trHeight w:val="423"/>
        </w:trPr>
        <w:tc>
          <w:tcPr>
            <w:tcW w:w="567" w:type="dxa"/>
            <w:tcBorders>
              <w:top w:val="nil"/>
              <w:left w:val="single" w:sz="4" w:space="0" w:color="auto"/>
              <w:bottom w:val="single" w:sz="4" w:space="0" w:color="auto"/>
              <w:right w:val="single" w:sz="4" w:space="0" w:color="auto"/>
            </w:tcBorders>
            <w:shd w:val="clear" w:color="000000" w:fill="D8E4BC"/>
            <w:hideMark/>
          </w:tcPr>
          <w:p w14:paraId="36A94B06" w14:textId="77777777" w:rsidR="00A447B1" w:rsidRPr="00C07D82" w:rsidRDefault="00A447B1" w:rsidP="0062529A">
            <w:pPr>
              <w:spacing w:before="0"/>
              <w:jc w:val="both"/>
              <w:rPr>
                <w:rFonts w:cs="Arial"/>
                <w:b/>
                <w:bCs/>
                <w:color w:val="000000"/>
                <w:szCs w:val="20"/>
              </w:rPr>
            </w:pPr>
            <w:r w:rsidRPr="00C07D82">
              <w:rPr>
                <w:rFonts w:cs="Arial"/>
                <w:b/>
                <w:bCs/>
                <w:color w:val="000000"/>
                <w:szCs w:val="20"/>
              </w:rPr>
              <w:t>II</w:t>
            </w:r>
          </w:p>
        </w:tc>
        <w:tc>
          <w:tcPr>
            <w:tcW w:w="14966" w:type="dxa"/>
            <w:gridSpan w:val="8"/>
            <w:tcBorders>
              <w:top w:val="single" w:sz="4" w:space="0" w:color="auto"/>
              <w:left w:val="nil"/>
              <w:bottom w:val="single" w:sz="4" w:space="0" w:color="auto"/>
              <w:right w:val="single" w:sz="4" w:space="0" w:color="auto"/>
            </w:tcBorders>
            <w:shd w:val="clear" w:color="000000" w:fill="D8E4BC"/>
            <w:hideMark/>
          </w:tcPr>
          <w:p w14:paraId="36A94B07" w14:textId="77777777" w:rsidR="00A447B1" w:rsidRPr="00C07D82" w:rsidRDefault="00A447B1" w:rsidP="0062529A">
            <w:pPr>
              <w:spacing w:before="0"/>
              <w:rPr>
                <w:rFonts w:cs="Arial"/>
                <w:b/>
                <w:bCs/>
                <w:color w:val="000000"/>
                <w:szCs w:val="20"/>
              </w:rPr>
            </w:pPr>
            <w:r w:rsidRPr="00C07D82">
              <w:rPr>
                <w:rFonts w:cs="Arial"/>
                <w:b/>
                <w:bCs/>
                <w:color w:val="000000"/>
                <w:szCs w:val="20"/>
              </w:rPr>
              <w:t>Specific risks</w:t>
            </w:r>
          </w:p>
        </w:tc>
      </w:tr>
      <w:tr w:rsidR="00A447B1" w:rsidRPr="00C07D82" w14:paraId="36A94B0A" w14:textId="77777777" w:rsidTr="0062529A">
        <w:trPr>
          <w:trHeight w:val="401"/>
        </w:trPr>
        <w:tc>
          <w:tcPr>
            <w:tcW w:w="1553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6A94B09" w14:textId="77777777" w:rsidR="00A447B1" w:rsidRPr="00C07D82" w:rsidRDefault="00A447B1" w:rsidP="0062529A">
            <w:pPr>
              <w:spacing w:before="0"/>
              <w:rPr>
                <w:rFonts w:cs="Arial"/>
                <w:b/>
                <w:color w:val="000000"/>
                <w:szCs w:val="20"/>
              </w:rPr>
            </w:pPr>
            <w:r w:rsidRPr="00C07D82">
              <w:rPr>
                <w:rFonts w:cs="Arial"/>
                <w:b/>
                <w:color w:val="000000"/>
                <w:szCs w:val="20"/>
              </w:rPr>
              <w:t>Component 1: Enhanced Business Competitiveness  and Transparency</w:t>
            </w:r>
          </w:p>
        </w:tc>
      </w:tr>
      <w:tr w:rsidR="00A447B1" w:rsidRPr="00C07D82" w14:paraId="36A94B14" w14:textId="77777777" w:rsidTr="0062529A">
        <w:trPr>
          <w:trHeight w:val="2562"/>
        </w:trPr>
        <w:tc>
          <w:tcPr>
            <w:tcW w:w="567" w:type="dxa"/>
            <w:tcBorders>
              <w:top w:val="nil"/>
              <w:left w:val="single" w:sz="4" w:space="0" w:color="auto"/>
              <w:bottom w:val="single" w:sz="4" w:space="0" w:color="auto"/>
              <w:right w:val="single" w:sz="4" w:space="0" w:color="auto"/>
            </w:tcBorders>
            <w:shd w:val="clear" w:color="auto" w:fill="auto"/>
            <w:hideMark/>
          </w:tcPr>
          <w:p w14:paraId="36A94B0B" w14:textId="77777777" w:rsidR="00A447B1" w:rsidRPr="00C07D82" w:rsidRDefault="00A447B1" w:rsidP="0062529A">
            <w:pPr>
              <w:spacing w:before="0"/>
              <w:rPr>
                <w:rFonts w:cs="Arial"/>
                <w:color w:val="000000"/>
                <w:szCs w:val="20"/>
              </w:rPr>
            </w:pPr>
            <w:r w:rsidRPr="00C07D82">
              <w:rPr>
                <w:rFonts w:cs="Arial"/>
                <w:color w:val="000000"/>
                <w:szCs w:val="20"/>
              </w:rPr>
              <w:t>1</w:t>
            </w:r>
          </w:p>
        </w:tc>
        <w:tc>
          <w:tcPr>
            <w:tcW w:w="2127" w:type="dxa"/>
            <w:tcBorders>
              <w:top w:val="nil"/>
              <w:left w:val="nil"/>
              <w:bottom w:val="single" w:sz="4" w:space="0" w:color="auto"/>
              <w:right w:val="single" w:sz="4" w:space="0" w:color="auto"/>
            </w:tcBorders>
            <w:shd w:val="clear" w:color="auto" w:fill="auto"/>
            <w:hideMark/>
          </w:tcPr>
          <w:p w14:paraId="36A94B0C" w14:textId="68E78D94" w:rsidR="00A447B1" w:rsidRPr="00C07D82" w:rsidRDefault="00A447B1" w:rsidP="0062529A">
            <w:pPr>
              <w:spacing w:before="0"/>
              <w:rPr>
                <w:rFonts w:cs="Arial"/>
                <w:color w:val="000000"/>
                <w:szCs w:val="20"/>
              </w:rPr>
            </w:pPr>
            <w:r w:rsidRPr="00C07D82">
              <w:rPr>
                <w:rFonts w:cs="Arial"/>
                <w:color w:val="000000"/>
                <w:szCs w:val="20"/>
              </w:rPr>
              <w:t>Party and G</w:t>
            </w:r>
            <w:r w:rsidR="00F7155D" w:rsidRPr="00C07D82">
              <w:rPr>
                <w:rFonts w:cs="Arial"/>
                <w:color w:val="000000"/>
                <w:szCs w:val="20"/>
              </w:rPr>
              <w:t>O</w:t>
            </w:r>
            <w:r w:rsidRPr="00C07D82">
              <w:rPr>
                <w:rFonts w:cs="Arial"/>
                <w:color w:val="000000"/>
                <w:szCs w:val="20"/>
              </w:rPr>
              <w:t>V leaders don't act on recommendations to alleviate constraints to private sector development, and improving the enforcement of corporate governance of State Enterprises</w:t>
            </w:r>
          </w:p>
        </w:tc>
        <w:tc>
          <w:tcPr>
            <w:tcW w:w="1984" w:type="dxa"/>
            <w:tcBorders>
              <w:top w:val="nil"/>
              <w:left w:val="nil"/>
              <w:bottom w:val="single" w:sz="4" w:space="0" w:color="auto"/>
              <w:right w:val="single" w:sz="4" w:space="0" w:color="auto"/>
            </w:tcBorders>
            <w:shd w:val="clear" w:color="auto" w:fill="auto"/>
            <w:hideMark/>
          </w:tcPr>
          <w:p w14:paraId="36A94B0D" w14:textId="77777777" w:rsidR="00A447B1" w:rsidRPr="00C07D82" w:rsidRDefault="00A447B1" w:rsidP="0062529A">
            <w:pPr>
              <w:spacing w:before="0"/>
              <w:rPr>
                <w:rFonts w:cs="Arial"/>
                <w:color w:val="000000"/>
                <w:szCs w:val="20"/>
              </w:rPr>
            </w:pPr>
            <w:r w:rsidRPr="00C07D82">
              <w:rPr>
                <w:rFonts w:cs="Arial"/>
                <w:color w:val="000000"/>
                <w:szCs w:val="20"/>
              </w:rPr>
              <w:t xml:space="preserve">National Assembly does not approve revised Enterprise and Investment Legislations or the revisions to the legislation fails to address the most important constraints to private sector development </w:t>
            </w:r>
          </w:p>
        </w:tc>
        <w:tc>
          <w:tcPr>
            <w:tcW w:w="1291" w:type="dxa"/>
            <w:tcBorders>
              <w:top w:val="nil"/>
              <w:left w:val="nil"/>
              <w:bottom w:val="single" w:sz="4" w:space="0" w:color="auto"/>
              <w:right w:val="single" w:sz="4" w:space="0" w:color="auto"/>
            </w:tcBorders>
            <w:shd w:val="clear" w:color="auto" w:fill="auto"/>
            <w:hideMark/>
          </w:tcPr>
          <w:p w14:paraId="36A94B0E" w14:textId="77777777" w:rsidR="00A447B1" w:rsidRPr="00C07D82" w:rsidRDefault="00A447B1" w:rsidP="0062529A">
            <w:pPr>
              <w:spacing w:before="0"/>
              <w:rPr>
                <w:rFonts w:cs="Arial"/>
                <w:color w:val="000000"/>
                <w:szCs w:val="20"/>
              </w:rPr>
            </w:pPr>
            <w:r w:rsidRPr="00C07D82">
              <w:rPr>
                <w:rFonts w:cs="Arial"/>
                <w:color w:val="000000"/>
                <w:szCs w:val="20"/>
              </w:rPr>
              <w:t>Major</w:t>
            </w:r>
          </w:p>
        </w:tc>
        <w:tc>
          <w:tcPr>
            <w:tcW w:w="1080" w:type="dxa"/>
            <w:tcBorders>
              <w:top w:val="nil"/>
              <w:left w:val="nil"/>
              <w:bottom w:val="single" w:sz="4" w:space="0" w:color="auto"/>
              <w:right w:val="single" w:sz="4" w:space="0" w:color="auto"/>
            </w:tcBorders>
            <w:shd w:val="clear" w:color="auto" w:fill="auto"/>
            <w:hideMark/>
          </w:tcPr>
          <w:p w14:paraId="36A94B0F" w14:textId="77777777" w:rsidR="00A447B1" w:rsidRPr="00C07D82" w:rsidRDefault="00A447B1" w:rsidP="0062529A">
            <w:pPr>
              <w:spacing w:before="0"/>
              <w:rPr>
                <w:rFonts w:cs="Arial"/>
                <w:color w:val="000000"/>
                <w:szCs w:val="20"/>
              </w:rPr>
            </w:pPr>
            <w:r w:rsidRPr="00C07D82">
              <w:rPr>
                <w:rFonts w:cs="Arial"/>
                <w:color w:val="000000"/>
                <w:szCs w:val="20"/>
              </w:rPr>
              <w:t>Unlikely</w:t>
            </w:r>
          </w:p>
        </w:tc>
        <w:tc>
          <w:tcPr>
            <w:tcW w:w="1036" w:type="dxa"/>
            <w:tcBorders>
              <w:top w:val="nil"/>
              <w:left w:val="nil"/>
              <w:bottom w:val="single" w:sz="4" w:space="0" w:color="auto"/>
              <w:right w:val="single" w:sz="4" w:space="0" w:color="auto"/>
            </w:tcBorders>
            <w:shd w:val="clear" w:color="auto" w:fill="auto"/>
            <w:hideMark/>
          </w:tcPr>
          <w:p w14:paraId="36A94B10" w14:textId="77777777" w:rsidR="00A447B1" w:rsidRPr="00C07D82" w:rsidRDefault="00A447B1" w:rsidP="0059414F">
            <w:pPr>
              <w:spacing w:before="0"/>
              <w:ind w:right="-103"/>
              <w:rPr>
                <w:rFonts w:cs="Arial"/>
                <w:color w:val="000000"/>
                <w:szCs w:val="20"/>
              </w:rPr>
            </w:pPr>
            <w:r w:rsidRPr="00C07D82">
              <w:rPr>
                <w:rFonts w:cs="Arial"/>
                <w:color w:val="000000"/>
                <w:szCs w:val="20"/>
              </w:rPr>
              <w:t>Moderate</w:t>
            </w:r>
          </w:p>
        </w:tc>
        <w:tc>
          <w:tcPr>
            <w:tcW w:w="4683" w:type="dxa"/>
            <w:tcBorders>
              <w:top w:val="nil"/>
              <w:left w:val="nil"/>
              <w:bottom w:val="single" w:sz="4" w:space="0" w:color="auto"/>
              <w:right w:val="single" w:sz="4" w:space="0" w:color="auto"/>
            </w:tcBorders>
            <w:shd w:val="clear" w:color="auto" w:fill="auto"/>
            <w:hideMark/>
          </w:tcPr>
          <w:p w14:paraId="36A94B11" w14:textId="162F4853" w:rsidR="00A447B1" w:rsidRPr="00C07D82" w:rsidRDefault="00A447B1" w:rsidP="0062529A">
            <w:pPr>
              <w:spacing w:before="0"/>
              <w:rPr>
                <w:rFonts w:cs="Arial"/>
                <w:color w:val="000000"/>
                <w:szCs w:val="20"/>
              </w:rPr>
            </w:pPr>
            <w:r w:rsidRPr="00C07D82">
              <w:rPr>
                <w:rFonts w:cs="Arial"/>
                <w:color w:val="000000"/>
                <w:szCs w:val="20"/>
              </w:rPr>
              <w:t>-Concrete policy recommendations on alleviating constraints to private sector development will be conveyed by PD to Party and G</w:t>
            </w:r>
            <w:r w:rsidR="00F7155D" w:rsidRPr="00C07D82">
              <w:rPr>
                <w:rFonts w:cs="Arial"/>
                <w:color w:val="000000"/>
                <w:szCs w:val="20"/>
              </w:rPr>
              <w:t>O</w:t>
            </w:r>
            <w:r w:rsidRPr="00C07D82">
              <w:rPr>
                <w:rFonts w:cs="Arial"/>
                <w:color w:val="000000"/>
                <w:szCs w:val="20"/>
              </w:rPr>
              <w:t>V high-level leadership in all relevant forums.</w:t>
            </w:r>
            <w:r w:rsidRPr="00C07D82">
              <w:rPr>
                <w:rFonts w:cs="Arial"/>
                <w:color w:val="000000"/>
                <w:szCs w:val="20"/>
              </w:rPr>
              <w:br/>
              <w:t>-Program communication strategy will be developed and implemented to convey the program's policy recommendations in a timely manner.</w:t>
            </w:r>
            <w:r w:rsidRPr="00C07D82">
              <w:rPr>
                <w:rFonts w:cs="Arial"/>
                <w:color w:val="000000"/>
                <w:szCs w:val="20"/>
              </w:rPr>
              <w:br/>
              <w:t>-The program is designed so that researchers will work with the private sector, mass media, development partners, SAG, think tanks and researchers for harmonised and collective policy recommendations on private sector development</w:t>
            </w:r>
          </w:p>
        </w:tc>
        <w:tc>
          <w:tcPr>
            <w:tcW w:w="1418" w:type="dxa"/>
            <w:tcBorders>
              <w:top w:val="nil"/>
              <w:left w:val="nil"/>
              <w:bottom w:val="single" w:sz="4" w:space="0" w:color="auto"/>
              <w:right w:val="single" w:sz="4" w:space="0" w:color="auto"/>
            </w:tcBorders>
            <w:shd w:val="clear" w:color="auto" w:fill="auto"/>
            <w:hideMark/>
          </w:tcPr>
          <w:p w14:paraId="36A94B12"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347" w:type="dxa"/>
            <w:tcBorders>
              <w:top w:val="nil"/>
              <w:left w:val="nil"/>
              <w:bottom w:val="single" w:sz="4" w:space="0" w:color="auto"/>
              <w:right w:val="single" w:sz="4" w:space="0" w:color="auto"/>
            </w:tcBorders>
            <w:shd w:val="clear" w:color="auto" w:fill="auto"/>
            <w:hideMark/>
          </w:tcPr>
          <w:p w14:paraId="39559F6B" w14:textId="77777777" w:rsidR="00F01EA3" w:rsidRPr="00C07D82" w:rsidRDefault="00F01EA3" w:rsidP="00F01EA3">
            <w:pPr>
              <w:spacing w:before="0"/>
              <w:rPr>
                <w:rFonts w:cs="Arial"/>
                <w:color w:val="000000"/>
                <w:szCs w:val="20"/>
              </w:rPr>
            </w:pPr>
            <w:r>
              <w:rPr>
                <w:rFonts w:cs="Arial"/>
                <w:color w:val="000000"/>
                <w:szCs w:val="20"/>
              </w:rPr>
              <w:t xml:space="preserve">CIEM </w:t>
            </w:r>
            <w:r w:rsidRPr="00C07D82">
              <w:rPr>
                <w:rFonts w:cs="Arial"/>
                <w:color w:val="000000"/>
                <w:szCs w:val="20"/>
              </w:rPr>
              <w:t>Component Director,</w:t>
            </w:r>
          </w:p>
          <w:p w14:paraId="36A94B13" w14:textId="24D1906F" w:rsidR="00A447B1" w:rsidRPr="00C07D82" w:rsidRDefault="00F01EA3" w:rsidP="00F01EA3">
            <w:pPr>
              <w:spacing w:before="0"/>
              <w:rPr>
                <w:rFonts w:cs="Arial"/>
                <w:color w:val="000000"/>
                <w:szCs w:val="20"/>
              </w:rPr>
            </w:pPr>
            <w:r w:rsidRPr="00C07D82">
              <w:rPr>
                <w:rFonts w:cs="Arial"/>
                <w:color w:val="000000"/>
                <w:szCs w:val="20"/>
              </w:rPr>
              <w:t>Program Director</w:t>
            </w:r>
          </w:p>
        </w:tc>
      </w:tr>
      <w:tr w:rsidR="00A447B1" w:rsidRPr="00C07D82" w14:paraId="36A94B1F" w14:textId="77777777" w:rsidTr="0062529A">
        <w:trPr>
          <w:trHeight w:val="3097"/>
        </w:trPr>
        <w:tc>
          <w:tcPr>
            <w:tcW w:w="567" w:type="dxa"/>
            <w:tcBorders>
              <w:top w:val="nil"/>
              <w:left w:val="single" w:sz="4" w:space="0" w:color="auto"/>
              <w:bottom w:val="single" w:sz="4" w:space="0" w:color="auto"/>
              <w:right w:val="single" w:sz="4" w:space="0" w:color="auto"/>
            </w:tcBorders>
            <w:shd w:val="clear" w:color="auto" w:fill="auto"/>
            <w:hideMark/>
          </w:tcPr>
          <w:p w14:paraId="36A94B15" w14:textId="77777777" w:rsidR="00A447B1" w:rsidRPr="00C07D82" w:rsidRDefault="00A447B1" w:rsidP="0062529A">
            <w:pPr>
              <w:spacing w:before="0"/>
              <w:rPr>
                <w:rFonts w:cs="Arial"/>
                <w:color w:val="000000"/>
                <w:szCs w:val="20"/>
              </w:rPr>
            </w:pPr>
            <w:r w:rsidRPr="00C07D82">
              <w:rPr>
                <w:rFonts w:cs="Arial"/>
                <w:color w:val="000000"/>
                <w:szCs w:val="20"/>
              </w:rPr>
              <w:t>2</w:t>
            </w:r>
          </w:p>
        </w:tc>
        <w:tc>
          <w:tcPr>
            <w:tcW w:w="2127" w:type="dxa"/>
            <w:tcBorders>
              <w:top w:val="nil"/>
              <w:left w:val="nil"/>
              <w:bottom w:val="single" w:sz="4" w:space="0" w:color="auto"/>
              <w:right w:val="single" w:sz="4" w:space="0" w:color="auto"/>
            </w:tcBorders>
            <w:shd w:val="clear" w:color="auto" w:fill="auto"/>
            <w:hideMark/>
          </w:tcPr>
          <w:p w14:paraId="36A94B16" w14:textId="77777777" w:rsidR="00A447B1" w:rsidRPr="00C07D82" w:rsidRDefault="00A447B1" w:rsidP="0062529A">
            <w:pPr>
              <w:spacing w:before="0"/>
              <w:rPr>
                <w:rFonts w:cs="Arial"/>
                <w:color w:val="000000"/>
                <w:szCs w:val="20"/>
              </w:rPr>
            </w:pPr>
            <w:r w:rsidRPr="00C07D82">
              <w:rPr>
                <w:rFonts w:cs="Arial"/>
                <w:color w:val="000000"/>
                <w:szCs w:val="20"/>
              </w:rPr>
              <w:t>Implementation of the MPER is a long time exercise (from 2013-2020), covering a broad range of economic issues that need coordinated action, while program's resources are limited with a short timeline</w:t>
            </w:r>
          </w:p>
        </w:tc>
        <w:tc>
          <w:tcPr>
            <w:tcW w:w="1984" w:type="dxa"/>
            <w:tcBorders>
              <w:top w:val="nil"/>
              <w:left w:val="nil"/>
              <w:bottom w:val="single" w:sz="4" w:space="0" w:color="auto"/>
              <w:right w:val="single" w:sz="4" w:space="0" w:color="auto"/>
            </w:tcBorders>
            <w:shd w:val="clear" w:color="auto" w:fill="auto"/>
            <w:hideMark/>
          </w:tcPr>
          <w:p w14:paraId="36A94B17" w14:textId="77777777" w:rsidR="00A447B1" w:rsidRPr="00C07D82" w:rsidRDefault="00A447B1" w:rsidP="0062529A">
            <w:pPr>
              <w:spacing w:before="0"/>
              <w:rPr>
                <w:rFonts w:cs="Arial"/>
                <w:color w:val="000000"/>
                <w:szCs w:val="20"/>
              </w:rPr>
            </w:pPr>
            <w:r w:rsidRPr="00C07D82">
              <w:rPr>
                <w:rFonts w:cs="Arial"/>
                <w:color w:val="000000"/>
                <w:szCs w:val="20"/>
              </w:rPr>
              <w:t xml:space="preserve">The program can only support limited elements of the MPER with limited impacts in terms of analytical inputs to implementation of MPER and to MPER performance monitoring and reporting. </w:t>
            </w:r>
          </w:p>
        </w:tc>
        <w:tc>
          <w:tcPr>
            <w:tcW w:w="1291" w:type="dxa"/>
            <w:tcBorders>
              <w:top w:val="nil"/>
              <w:left w:val="nil"/>
              <w:bottom w:val="single" w:sz="4" w:space="0" w:color="auto"/>
              <w:right w:val="single" w:sz="4" w:space="0" w:color="auto"/>
            </w:tcBorders>
            <w:shd w:val="clear" w:color="auto" w:fill="auto"/>
            <w:hideMark/>
          </w:tcPr>
          <w:p w14:paraId="36A94B18"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36A94B19" w14:textId="77777777" w:rsidR="00A447B1" w:rsidRPr="00C07D82" w:rsidRDefault="00A447B1" w:rsidP="0062529A">
            <w:pPr>
              <w:spacing w:before="0"/>
              <w:rPr>
                <w:rFonts w:cs="Arial"/>
                <w:color w:val="000000"/>
                <w:szCs w:val="20"/>
              </w:rPr>
            </w:pPr>
            <w:r w:rsidRPr="00C07D82">
              <w:rPr>
                <w:rFonts w:cs="Arial"/>
                <w:color w:val="000000"/>
                <w:szCs w:val="20"/>
              </w:rPr>
              <w:t>Likely</w:t>
            </w:r>
          </w:p>
        </w:tc>
        <w:tc>
          <w:tcPr>
            <w:tcW w:w="1036" w:type="dxa"/>
            <w:tcBorders>
              <w:top w:val="nil"/>
              <w:left w:val="nil"/>
              <w:bottom w:val="single" w:sz="4" w:space="0" w:color="auto"/>
              <w:right w:val="single" w:sz="4" w:space="0" w:color="auto"/>
            </w:tcBorders>
            <w:shd w:val="clear" w:color="auto" w:fill="auto"/>
            <w:hideMark/>
          </w:tcPr>
          <w:p w14:paraId="36A94B1A"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36A94B1B" w14:textId="77777777" w:rsidR="00A447B1" w:rsidRPr="00C07D82" w:rsidRDefault="00A447B1" w:rsidP="0062529A">
            <w:pPr>
              <w:spacing w:before="0"/>
              <w:rPr>
                <w:rFonts w:cs="Arial"/>
                <w:color w:val="000000"/>
                <w:szCs w:val="20"/>
              </w:rPr>
            </w:pPr>
            <w:r w:rsidRPr="00C07D82">
              <w:rPr>
                <w:rFonts w:cs="Arial"/>
                <w:color w:val="000000"/>
                <w:szCs w:val="20"/>
              </w:rPr>
              <w:t>- Program will target selective areas in the MPER, burning macroeconomic issues that are relevant to the program's intervention areas for evidence-based analysis and reporting.</w:t>
            </w:r>
          </w:p>
          <w:p w14:paraId="36A94B1C" w14:textId="3C9A5050" w:rsidR="00A447B1" w:rsidRPr="00C07D82" w:rsidRDefault="00A447B1" w:rsidP="0062529A">
            <w:pPr>
              <w:spacing w:before="0"/>
              <w:rPr>
                <w:rFonts w:cs="Arial"/>
                <w:color w:val="000000"/>
                <w:szCs w:val="20"/>
              </w:rPr>
            </w:pPr>
            <w:r w:rsidRPr="00C07D82">
              <w:rPr>
                <w:rFonts w:cs="Arial"/>
                <w:color w:val="000000"/>
                <w:szCs w:val="20"/>
              </w:rPr>
              <w:t>-The Program design recognizes that with limited resources, time and capacity Program activities need to be tightly focussed on priority activities that have already been included on the action agenda of the G</w:t>
            </w:r>
            <w:r w:rsidR="00F7155D" w:rsidRPr="00C07D82">
              <w:rPr>
                <w:rFonts w:cs="Arial"/>
                <w:color w:val="000000"/>
                <w:szCs w:val="20"/>
              </w:rPr>
              <w:t>O</w:t>
            </w:r>
            <w:r w:rsidRPr="00C07D82">
              <w:rPr>
                <w:rFonts w:cs="Arial"/>
                <w:color w:val="000000"/>
                <w:szCs w:val="20"/>
              </w:rPr>
              <w:t xml:space="preserve">V and/or NA. </w:t>
            </w:r>
          </w:p>
        </w:tc>
        <w:tc>
          <w:tcPr>
            <w:tcW w:w="1418" w:type="dxa"/>
            <w:tcBorders>
              <w:top w:val="nil"/>
              <w:left w:val="nil"/>
              <w:bottom w:val="single" w:sz="4" w:space="0" w:color="auto"/>
              <w:right w:val="single" w:sz="4" w:space="0" w:color="auto"/>
            </w:tcBorders>
            <w:shd w:val="clear" w:color="auto" w:fill="auto"/>
            <w:hideMark/>
          </w:tcPr>
          <w:p w14:paraId="36A94B1D"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347" w:type="dxa"/>
            <w:tcBorders>
              <w:top w:val="nil"/>
              <w:left w:val="nil"/>
              <w:bottom w:val="single" w:sz="4" w:space="0" w:color="auto"/>
              <w:right w:val="single" w:sz="4" w:space="0" w:color="auto"/>
            </w:tcBorders>
            <w:shd w:val="clear" w:color="auto" w:fill="auto"/>
            <w:hideMark/>
          </w:tcPr>
          <w:p w14:paraId="25CDFA27" w14:textId="69968E46" w:rsidR="00F01EA3" w:rsidRPr="00C07D82" w:rsidRDefault="00F01EA3" w:rsidP="00F01EA3">
            <w:pPr>
              <w:spacing w:before="0"/>
              <w:rPr>
                <w:rFonts w:cs="Arial"/>
                <w:color w:val="000000"/>
                <w:szCs w:val="20"/>
              </w:rPr>
            </w:pPr>
            <w:r>
              <w:rPr>
                <w:rFonts w:cs="Arial"/>
                <w:color w:val="000000"/>
                <w:szCs w:val="20"/>
              </w:rPr>
              <w:t xml:space="preserve">CIEM </w:t>
            </w:r>
            <w:r w:rsidRPr="00C07D82">
              <w:rPr>
                <w:rFonts w:cs="Arial"/>
                <w:color w:val="000000"/>
                <w:szCs w:val="20"/>
              </w:rPr>
              <w:t>Component Director,</w:t>
            </w:r>
          </w:p>
          <w:p w14:paraId="36A94B1E" w14:textId="6A026A14" w:rsidR="00A447B1" w:rsidRPr="00C07D82" w:rsidRDefault="00F01EA3" w:rsidP="00F01EA3">
            <w:pPr>
              <w:rPr>
                <w:rFonts w:cs="Arial"/>
                <w:color w:val="000000"/>
                <w:szCs w:val="20"/>
              </w:rPr>
            </w:pPr>
            <w:r w:rsidRPr="00C07D82">
              <w:rPr>
                <w:rFonts w:cs="Arial"/>
                <w:color w:val="000000"/>
                <w:szCs w:val="20"/>
              </w:rPr>
              <w:t>Program Director</w:t>
            </w:r>
          </w:p>
        </w:tc>
      </w:tr>
      <w:tr w:rsidR="00A447B1" w:rsidRPr="00C07D82" w14:paraId="36A94B21" w14:textId="77777777" w:rsidTr="0062529A">
        <w:trPr>
          <w:trHeight w:val="280"/>
        </w:trPr>
        <w:tc>
          <w:tcPr>
            <w:tcW w:w="1553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6A94B20" w14:textId="77777777" w:rsidR="00A447B1" w:rsidRPr="00C07D82" w:rsidRDefault="00A447B1" w:rsidP="0062529A">
            <w:pPr>
              <w:spacing w:before="0"/>
              <w:rPr>
                <w:rFonts w:cs="Arial"/>
                <w:b/>
                <w:color w:val="000000"/>
                <w:szCs w:val="20"/>
              </w:rPr>
            </w:pPr>
            <w:r w:rsidRPr="00C07D82">
              <w:rPr>
                <w:rFonts w:cs="Arial"/>
                <w:b/>
                <w:color w:val="000000"/>
                <w:szCs w:val="20"/>
              </w:rPr>
              <w:t xml:space="preserve">Component 2: Restructuring competition institutions </w:t>
            </w:r>
          </w:p>
        </w:tc>
      </w:tr>
      <w:tr w:rsidR="00A447B1" w:rsidRPr="00C07D82" w14:paraId="36A94B2E" w14:textId="77777777" w:rsidTr="0062529A">
        <w:trPr>
          <w:trHeight w:val="3797"/>
        </w:trPr>
        <w:tc>
          <w:tcPr>
            <w:tcW w:w="567" w:type="dxa"/>
            <w:tcBorders>
              <w:top w:val="nil"/>
              <w:left w:val="single" w:sz="4" w:space="0" w:color="auto"/>
              <w:bottom w:val="single" w:sz="4" w:space="0" w:color="auto"/>
              <w:right w:val="single" w:sz="4" w:space="0" w:color="auto"/>
            </w:tcBorders>
            <w:shd w:val="clear" w:color="auto" w:fill="auto"/>
            <w:hideMark/>
          </w:tcPr>
          <w:p w14:paraId="36A94B22" w14:textId="77777777" w:rsidR="00A447B1" w:rsidRPr="00C07D82" w:rsidRDefault="00A447B1" w:rsidP="0062529A">
            <w:pPr>
              <w:spacing w:before="0"/>
              <w:jc w:val="both"/>
              <w:rPr>
                <w:rFonts w:cs="Arial"/>
                <w:color w:val="000000"/>
                <w:szCs w:val="20"/>
              </w:rPr>
            </w:pPr>
            <w:r w:rsidRPr="00C07D82">
              <w:rPr>
                <w:rFonts w:cs="Arial"/>
                <w:color w:val="000000"/>
                <w:szCs w:val="20"/>
              </w:rPr>
              <w:t>3</w:t>
            </w:r>
          </w:p>
        </w:tc>
        <w:tc>
          <w:tcPr>
            <w:tcW w:w="2127" w:type="dxa"/>
            <w:tcBorders>
              <w:top w:val="nil"/>
              <w:left w:val="nil"/>
              <w:bottom w:val="single" w:sz="4" w:space="0" w:color="auto"/>
              <w:right w:val="single" w:sz="4" w:space="0" w:color="auto"/>
            </w:tcBorders>
            <w:shd w:val="clear" w:color="auto" w:fill="auto"/>
            <w:hideMark/>
          </w:tcPr>
          <w:p w14:paraId="36A94B23" w14:textId="537D113F" w:rsidR="00A447B1" w:rsidRPr="00C07D82" w:rsidRDefault="00A447B1" w:rsidP="0062529A">
            <w:pPr>
              <w:spacing w:before="0"/>
              <w:rPr>
                <w:rFonts w:cs="Arial"/>
                <w:color w:val="000000"/>
                <w:szCs w:val="20"/>
              </w:rPr>
            </w:pPr>
            <w:r w:rsidRPr="00C07D82">
              <w:rPr>
                <w:rFonts w:cs="Arial"/>
                <w:color w:val="000000"/>
                <w:szCs w:val="20"/>
              </w:rPr>
              <w:t>-Politically connected interest groups that currently benefit from monopoly powers or from G</w:t>
            </w:r>
            <w:r w:rsidR="00F7155D" w:rsidRPr="00C07D82">
              <w:rPr>
                <w:rFonts w:cs="Arial"/>
                <w:color w:val="000000"/>
                <w:szCs w:val="20"/>
              </w:rPr>
              <w:t>O</w:t>
            </w:r>
            <w:r w:rsidRPr="00C07D82">
              <w:rPr>
                <w:rFonts w:cs="Arial"/>
                <w:color w:val="000000"/>
                <w:szCs w:val="20"/>
              </w:rPr>
              <w:t xml:space="preserve">V subsidies can be expected to </w:t>
            </w:r>
            <w:r w:rsidRPr="00C07D82">
              <w:rPr>
                <w:rFonts w:cs="Arial"/>
                <w:color w:val="000000"/>
                <w:szCs w:val="20"/>
              </w:rPr>
              <w:br w:type="page"/>
              <w:t>resist reforms</w:t>
            </w:r>
          </w:p>
        </w:tc>
        <w:tc>
          <w:tcPr>
            <w:tcW w:w="1984" w:type="dxa"/>
            <w:tcBorders>
              <w:top w:val="nil"/>
              <w:left w:val="nil"/>
              <w:bottom w:val="single" w:sz="4" w:space="0" w:color="auto"/>
              <w:right w:val="single" w:sz="4" w:space="0" w:color="auto"/>
            </w:tcBorders>
            <w:shd w:val="clear" w:color="auto" w:fill="auto"/>
            <w:hideMark/>
          </w:tcPr>
          <w:p w14:paraId="36A94B24" w14:textId="77777777" w:rsidR="00A447B1" w:rsidRPr="00C07D82" w:rsidRDefault="00A447B1" w:rsidP="0062529A">
            <w:pPr>
              <w:spacing w:before="0"/>
              <w:rPr>
                <w:rFonts w:cs="Arial"/>
                <w:color w:val="000000"/>
                <w:szCs w:val="20"/>
              </w:rPr>
            </w:pPr>
            <w:r w:rsidRPr="00C07D82">
              <w:rPr>
                <w:rFonts w:cs="Arial"/>
                <w:color w:val="000000"/>
                <w:szCs w:val="20"/>
              </w:rPr>
              <w:t>Progress with reforms will be slower than planned, with negative implication for national competitiveness and potential negative implications in terms of complying with international agreements. This could negatively affect growth in trade and investment, and will slow innovation and growth in productivity and incomes.</w:t>
            </w:r>
          </w:p>
        </w:tc>
        <w:tc>
          <w:tcPr>
            <w:tcW w:w="1291" w:type="dxa"/>
            <w:tcBorders>
              <w:top w:val="nil"/>
              <w:left w:val="nil"/>
              <w:bottom w:val="single" w:sz="4" w:space="0" w:color="auto"/>
              <w:right w:val="single" w:sz="4" w:space="0" w:color="auto"/>
            </w:tcBorders>
            <w:shd w:val="clear" w:color="auto" w:fill="auto"/>
            <w:hideMark/>
          </w:tcPr>
          <w:p w14:paraId="36A94B25"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36A94B26" w14:textId="77777777" w:rsidR="00A447B1" w:rsidRPr="00C07D82" w:rsidRDefault="00A447B1" w:rsidP="0062529A">
            <w:pPr>
              <w:spacing w:before="0"/>
              <w:rPr>
                <w:rFonts w:cs="Arial"/>
                <w:color w:val="000000"/>
                <w:szCs w:val="20"/>
              </w:rPr>
            </w:pPr>
            <w:r w:rsidRPr="00C07D82">
              <w:rPr>
                <w:rFonts w:cs="Arial"/>
                <w:color w:val="000000"/>
                <w:szCs w:val="20"/>
              </w:rPr>
              <w:t xml:space="preserve">Likely </w:t>
            </w:r>
          </w:p>
        </w:tc>
        <w:tc>
          <w:tcPr>
            <w:tcW w:w="1036" w:type="dxa"/>
            <w:tcBorders>
              <w:top w:val="nil"/>
              <w:left w:val="nil"/>
              <w:bottom w:val="single" w:sz="4" w:space="0" w:color="auto"/>
              <w:right w:val="single" w:sz="4" w:space="0" w:color="auto"/>
            </w:tcBorders>
            <w:shd w:val="clear" w:color="auto" w:fill="auto"/>
            <w:hideMark/>
          </w:tcPr>
          <w:p w14:paraId="36A94B27"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36A94B28" w14:textId="77777777" w:rsidR="00A447B1" w:rsidRPr="00C07D82" w:rsidRDefault="00A447B1" w:rsidP="0062529A">
            <w:pPr>
              <w:spacing w:before="0"/>
              <w:rPr>
                <w:rFonts w:cs="Arial"/>
                <w:color w:val="000000"/>
                <w:szCs w:val="20"/>
              </w:rPr>
            </w:pPr>
            <w:r w:rsidRPr="00C07D82">
              <w:rPr>
                <w:rFonts w:cs="Arial"/>
                <w:color w:val="000000"/>
                <w:szCs w:val="20"/>
              </w:rPr>
              <w:t>- VCA, based on sectors analysis' outputs will select typical case for evidence- based analysis for concrete policy recommendations</w:t>
            </w:r>
            <w:r w:rsidRPr="00C07D82">
              <w:rPr>
                <w:rFonts w:cs="Arial"/>
                <w:color w:val="000000"/>
                <w:szCs w:val="20"/>
              </w:rPr>
              <w:br w:type="page"/>
              <w:t>.</w:t>
            </w:r>
          </w:p>
          <w:p w14:paraId="36A94B29" w14:textId="77777777" w:rsidR="00A447B1" w:rsidRPr="00C07D82" w:rsidRDefault="00A447B1" w:rsidP="0062529A">
            <w:pPr>
              <w:spacing w:before="0"/>
              <w:rPr>
                <w:rFonts w:cs="Arial"/>
                <w:color w:val="000000"/>
                <w:szCs w:val="20"/>
              </w:rPr>
            </w:pPr>
            <w:r w:rsidRPr="00C07D82">
              <w:rPr>
                <w:rFonts w:cs="Arial"/>
                <w:color w:val="000000"/>
                <w:szCs w:val="20"/>
              </w:rPr>
              <w:t>- VCA will pursue various policy advocacy tactics including working with mass media, private sector, law firm, policy-making agencies to convey key policy messages.</w:t>
            </w:r>
          </w:p>
          <w:p w14:paraId="36A94B2A" w14:textId="77777777" w:rsidR="00A447B1" w:rsidRPr="00C07D82" w:rsidRDefault="00A447B1" w:rsidP="0062529A">
            <w:pPr>
              <w:spacing w:before="0"/>
              <w:rPr>
                <w:rFonts w:cs="Arial"/>
                <w:color w:val="000000"/>
                <w:szCs w:val="20"/>
              </w:rPr>
            </w:pPr>
            <w:r w:rsidRPr="00C07D82">
              <w:rPr>
                <w:rFonts w:cs="Arial"/>
                <w:color w:val="000000"/>
                <w:szCs w:val="20"/>
              </w:rPr>
              <w:t xml:space="preserve">-the PD will support advocacy initiatives as appropriate. </w:t>
            </w:r>
          </w:p>
        </w:tc>
        <w:tc>
          <w:tcPr>
            <w:tcW w:w="1418" w:type="dxa"/>
            <w:tcBorders>
              <w:top w:val="nil"/>
              <w:left w:val="nil"/>
              <w:bottom w:val="single" w:sz="4" w:space="0" w:color="auto"/>
              <w:right w:val="single" w:sz="4" w:space="0" w:color="auto"/>
            </w:tcBorders>
            <w:shd w:val="clear" w:color="auto" w:fill="auto"/>
            <w:hideMark/>
          </w:tcPr>
          <w:p w14:paraId="36A94B2B"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1347" w:type="dxa"/>
            <w:tcBorders>
              <w:top w:val="nil"/>
              <w:left w:val="nil"/>
              <w:bottom w:val="single" w:sz="4" w:space="0" w:color="auto"/>
              <w:right w:val="single" w:sz="4" w:space="0" w:color="auto"/>
            </w:tcBorders>
            <w:shd w:val="clear" w:color="auto" w:fill="auto"/>
            <w:hideMark/>
          </w:tcPr>
          <w:p w14:paraId="36A94B2C" w14:textId="77777777" w:rsidR="00A447B1" w:rsidRPr="00C07D82" w:rsidRDefault="00A447B1" w:rsidP="0062529A">
            <w:pPr>
              <w:spacing w:before="0"/>
              <w:rPr>
                <w:rFonts w:cs="Arial"/>
                <w:color w:val="000000"/>
                <w:szCs w:val="20"/>
              </w:rPr>
            </w:pPr>
            <w:r w:rsidRPr="00C07D82">
              <w:rPr>
                <w:rFonts w:cs="Arial"/>
                <w:color w:val="000000"/>
                <w:szCs w:val="20"/>
              </w:rPr>
              <w:t>VCA Component Director,</w:t>
            </w:r>
          </w:p>
          <w:p w14:paraId="36A94B2D" w14:textId="77777777" w:rsidR="00A447B1" w:rsidRPr="00C07D82" w:rsidRDefault="00A447B1" w:rsidP="0062529A">
            <w:pPr>
              <w:spacing w:before="0"/>
              <w:rPr>
                <w:rFonts w:cs="Arial"/>
                <w:color w:val="000000"/>
                <w:szCs w:val="20"/>
              </w:rPr>
            </w:pPr>
            <w:r w:rsidRPr="00C07D82">
              <w:rPr>
                <w:rFonts w:cs="Arial"/>
                <w:color w:val="000000"/>
                <w:szCs w:val="20"/>
              </w:rPr>
              <w:t>Program Director</w:t>
            </w:r>
          </w:p>
        </w:tc>
      </w:tr>
      <w:tr w:rsidR="00A447B1" w:rsidRPr="00C07D82" w14:paraId="36A94B3A" w14:textId="77777777" w:rsidTr="0062529A">
        <w:trPr>
          <w:trHeight w:val="1760"/>
        </w:trPr>
        <w:tc>
          <w:tcPr>
            <w:tcW w:w="567" w:type="dxa"/>
            <w:tcBorders>
              <w:top w:val="nil"/>
              <w:left w:val="single" w:sz="4" w:space="0" w:color="auto"/>
              <w:bottom w:val="single" w:sz="4" w:space="0" w:color="auto"/>
              <w:right w:val="single" w:sz="4" w:space="0" w:color="auto"/>
            </w:tcBorders>
            <w:shd w:val="clear" w:color="auto" w:fill="auto"/>
            <w:hideMark/>
          </w:tcPr>
          <w:p w14:paraId="36A94B2F" w14:textId="77777777" w:rsidR="00A447B1" w:rsidRPr="00C07D82" w:rsidRDefault="00A447B1" w:rsidP="0062529A">
            <w:pPr>
              <w:spacing w:before="0"/>
              <w:jc w:val="both"/>
              <w:rPr>
                <w:rFonts w:cs="Arial"/>
                <w:color w:val="000000"/>
                <w:szCs w:val="20"/>
              </w:rPr>
            </w:pPr>
            <w:r w:rsidRPr="00C07D82">
              <w:rPr>
                <w:rFonts w:cs="Arial"/>
                <w:color w:val="000000"/>
                <w:szCs w:val="20"/>
              </w:rPr>
              <w:t>4</w:t>
            </w:r>
          </w:p>
        </w:tc>
        <w:tc>
          <w:tcPr>
            <w:tcW w:w="2127" w:type="dxa"/>
            <w:tcBorders>
              <w:top w:val="nil"/>
              <w:left w:val="nil"/>
              <w:bottom w:val="single" w:sz="4" w:space="0" w:color="auto"/>
              <w:right w:val="single" w:sz="4" w:space="0" w:color="auto"/>
            </w:tcBorders>
            <w:shd w:val="clear" w:color="auto" w:fill="auto"/>
            <w:hideMark/>
          </w:tcPr>
          <w:p w14:paraId="36A94B30" w14:textId="77777777" w:rsidR="00A447B1" w:rsidRPr="00C07D82" w:rsidRDefault="00A447B1" w:rsidP="0062529A">
            <w:pPr>
              <w:spacing w:before="0"/>
              <w:rPr>
                <w:rFonts w:cs="Arial"/>
                <w:color w:val="000000"/>
                <w:szCs w:val="20"/>
              </w:rPr>
            </w:pPr>
            <w:r w:rsidRPr="00C07D82">
              <w:rPr>
                <w:rFonts w:cs="Arial"/>
                <w:color w:val="000000"/>
                <w:szCs w:val="20"/>
              </w:rPr>
              <w:t>-Capacity building targets only individuals</w:t>
            </w:r>
          </w:p>
        </w:tc>
        <w:tc>
          <w:tcPr>
            <w:tcW w:w="1984" w:type="dxa"/>
            <w:tcBorders>
              <w:top w:val="nil"/>
              <w:left w:val="nil"/>
              <w:bottom w:val="single" w:sz="4" w:space="0" w:color="auto"/>
              <w:right w:val="single" w:sz="4" w:space="0" w:color="auto"/>
            </w:tcBorders>
            <w:shd w:val="clear" w:color="auto" w:fill="auto"/>
            <w:hideMark/>
          </w:tcPr>
          <w:p w14:paraId="36A94B31" w14:textId="77777777" w:rsidR="00A447B1" w:rsidRPr="00C07D82" w:rsidRDefault="00A447B1" w:rsidP="0062529A">
            <w:pPr>
              <w:spacing w:before="0"/>
              <w:rPr>
                <w:rFonts w:cs="Arial"/>
                <w:color w:val="000000"/>
                <w:szCs w:val="20"/>
              </w:rPr>
            </w:pPr>
            <w:r w:rsidRPr="00C07D82">
              <w:rPr>
                <w:rFonts w:cs="Arial"/>
                <w:color w:val="000000"/>
                <w:szCs w:val="20"/>
              </w:rPr>
              <w:t>VCA's institutional capacity is not improved as expected</w:t>
            </w:r>
          </w:p>
        </w:tc>
        <w:tc>
          <w:tcPr>
            <w:tcW w:w="1291" w:type="dxa"/>
            <w:tcBorders>
              <w:top w:val="nil"/>
              <w:left w:val="nil"/>
              <w:bottom w:val="single" w:sz="4" w:space="0" w:color="auto"/>
              <w:right w:val="single" w:sz="4" w:space="0" w:color="auto"/>
            </w:tcBorders>
            <w:shd w:val="clear" w:color="auto" w:fill="auto"/>
            <w:hideMark/>
          </w:tcPr>
          <w:p w14:paraId="36A94B32"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36A94B33" w14:textId="77777777" w:rsidR="00A447B1" w:rsidRPr="00C07D82" w:rsidRDefault="00A447B1" w:rsidP="0062529A">
            <w:pPr>
              <w:spacing w:before="0"/>
              <w:rPr>
                <w:rFonts w:cs="Arial"/>
                <w:color w:val="000000"/>
                <w:szCs w:val="20"/>
              </w:rPr>
            </w:pPr>
            <w:r w:rsidRPr="00C07D82">
              <w:rPr>
                <w:rFonts w:cs="Arial"/>
                <w:color w:val="000000"/>
                <w:szCs w:val="20"/>
              </w:rPr>
              <w:t xml:space="preserve">Likely </w:t>
            </w:r>
          </w:p>
        </w:tc>
        <w:tc>
          <w:tcPr>
            <w:tcW w:w="1036" w:type="dxa"/>
            <w:tcBorders>
              <w:top w:val="nil"/>
              <w:left w:val="nil"/>
              <w:bottom w:val="single" w:sz="4" w:space="0" w:color="auto"/>
              <w:right w:val="single" w:sz="4" w:space="0" w:color="auto"/>
            </w:tcBorders>
            <w:shd w:val="clear" w:color="auto" w:fill="auto"/>
            <w:hideMark/>
          </w:tcPr>
          <w:p w14:paraId="36A94B34"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36A94B35" w14:textId="77777777" w:rsidR="00A447B1" w:rsidRPr="00C07D82" w:rsidRDefault="00A447B1" w:rsidP="0062529A">
            <w:pPr>
              <w:spacing w:before="0"/>
              <w:rPr>
                <w:rFonts w:cs="Arial"/>
                <w:color w:val="000000"/>
                <w:szCs w:val="20"/>
              </w:rPr>
            </w:pPr>
            <w:r w:rsidRPr="00C07D82">
              <w:rPr>
                <w:rFonts w:cs="Arial"/>
                <w:color w:val="000000"/>
                <w:szCs w:val="20"/>
              </w:rPr>
              <w:t>-Training needs assessment (including assessment of gaps in institutional capacity) will be carried out before capacity building design</w:t>
            </w:r>
            <w:r w:rsidRPr="00C07D82">
              <w:rPr>
                <w:rFonts w:cs="Arial"/>
                <w:color w:val="000000"/>
                <w:szCs w:val="20"/>
              </w:rPr>
              <w:br/>
              <w:t>- Detailed knowledge transfer/ sharing to wider beneficiaries in the agency will be part of follow up action plan of capacity building's beneficiaries</w:t>
            </w:r>
            <w:r w:rsidRPr="00C07D82">
              <w:rPr>
                <w:rFonts w:cs="Arial"/>
                <w:color w:val="000000"/>
                <w:szCs w:val="20"/>
              </w:rPr>
              <w:br/>
              <w:t>- Criteria to select trainees will take into account trainees' potential to make institutional reforms</w:t>
            </w:r>
          </w:p>
          <w:p w14:paraId="36A94B36" w14:textId="77777777" w:rsidR="00A447B1" w:rsidRPr="00C07D82" w:rsidRDefault="00A447B1" w:rsidP="0062529A">
            <w:pPr>
              <w:spacing w:before="0"/>
              <w:rPr>
                <w:rFonts w:cs="Arial"/>
                <w:color w:val="000000"/>
                <w:szCs w:val="20"/>
              </w:rPr>
            </w:pPr>
          </w:p>
        </w:tc>
        <w:tc>
          <w:tcPr>
            <w:tcW w:w="1418" w:type="dxa"/>
            <w:tcBorders>
              <w:top w:val="nil"/>
              <w:left w:val="nil"/>
              <w:bottom w:val="single" w:sz="4" w:space="0" w:color="auto"/>
              <w:right w:val="single" w:sz="4" w:space="0" w:color="auto"/>
            </w:tcBorders>
            <w:shd w:val="clear" w:color="auto" w:fill="auto"/>
            <w:hideMark/>
          </w:tcPr>
          <w:p w14:paraId="36A94B37" w14:textId="77777777" w:rsidR="00A447B1" w:rsidRPr="00C07D82" w:rsidRDefault="00A447B1" w:rsidP="0062529A">
            <w:pPr>
              <w:spacing w:before="0"/>
              <w:rPr>
                <w:rFonts w:cs="Arial"/>
                <w:color w:val="000000"/>
                <w:szCs w:val="20"/>
              </w:rPr>
            </w:pPr>
            <w:r w:rsidRPr="00C07D82">
              <w:rPr>
                <w:rFonts w:cs="Arial"/>
                <w:color w:val="000000"/>
                <w:szCs w:val="20"/>
              </w:rPr>
              <w:t> </w:t>
            </w:r>
          </w:p>
        </w:tc>
        <w:tc>
          <w:tcPr>
            <w:tcW w:w="1347" w:type="dxa"/>
            <w:tcBorders>
              <w:top w:val="nil"/>
              <w:left w:val="nil"/>
              <w:bottom w:val="single" w:sz="4" w:space="0" w:color="auto"/>
              <w:right w:val="single" w:sz="4" w:space="0" w:color="auto"/>
            </w:tcBorders>
            <w:shd w:val="clear" w:color="auto" w:fill="auto"/>
            <w:hideMark/>
          </w:tcPr>
          <w:p w14:paraId="36A94B38" w14:textId="77777777" w:rsidR="00A447B1" w:rsidRPr="00C07D82" w:rsidRDefault="00A447B1" w:rsidP="0062529A">
            <w:pPr>
              <w:spacing w:before="0"/>
              <w:rPr>
                <w:rFonts w:cs="Arial"/>
                <w:color w:val="000000"/>
                <w:szCs w:val="20"/>
              </w:rPr>
            </w:pPr>
            <w:r w:rsidRPr="00C07D82">
              <w:rPr>
                <w:rFonts w:cs="Arial"/>
                <w:color w:val="000000"/>
                <w:szCs w:val="20"/>
              </w:rPr>
              <w:t> VCA Component Director</w:t>
            </w:r>
          </w:p>
          <w:p w14:paraId="36A94B39" w14:textId="77777777" w:rsidR="00A447B1" w:rsidRPr="00C07D82" w:rsidRDefault="00A447B1" w:rsidP="0062529A">
            <w:pPr>
              <w:spacing w:before="0"/>
              <w:rPr>
                <w:rFonts w:cs="Arial"/>
                <w:color w:val="000000"/>
                <w:szCs w:val="20"/>
              </w:rPr>
            </w:pPr>
          </w:p>
        </w:tc>
      </w:tr>
      <w:tr w:rsidR="00A447B1" w:rsidRPr="00C07D82" w14:paraId="36A94B3C" w14:textId="77777777" w:rsidTr="0062529A">
        <w:trPr>
          <w:trHeight w:val="280"/>
        </w:trPr>
        <w:tc>
          <w:tcPr>
            <w:tcW w:w="1553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6A94B3B" w14:textId="77777777" w:rsidR="00A447B1" w:rsidRPr="00C07D82" w:rsidRDefault="00A447B1" w:rsidP="0062529A">
            <w:pPr>
              <w:spacing w:before="0"/>
              <w:rPr>
                <w:rFonts w:cs="Arial"/>
                <w:b/>
                <w:color w:val="000000"/>
                <w:szCs w:val="20"/>
              </w:rPr>
            </w:pPr>
            <w:r w:rsidRPr="00C07D82">
              <w:rPr>
                <w:rFonts w:cs="Arial"/>
                <w:b/>
                <w:color w:val="000000"/>
                <w:szCs w:val="20"/>
              </w:rPr>
              <w:t>Component 3: Component 3: Restructuring of Rural Economy Focussing on Rice Value Chains</w:t>
            </w:r>
          </w:p>
        </w:tc>
      </w:tr>
      <w:tr w:rsidR="00A447B1" w:rsidRPr="00C07D82" w14:paraId="36A94B47" w14:textId="77777777" w:rsidTr="0062529A">
        <w:trPr>
          <w:trHeight w:val="2640"/>
        </w:trPr>
        <w:tc>
          <w:tcPr>
            <w:tcW w:w="567" w:type="dxa"/>
            <w:tcBorders>
              <w:top w:val="nil"/>
              <w:left w:val="single" w:sz="4" w:space="0" w:color="auto"/>
              <w:bottom w:val="single" w:sz="4" w:space="0" w:color="auto"/>
              <w:right w:val="single" w:sz="4" w:space="0" w:color="auto"/>
            </w:tcBorders>
            <w:shd w:val="clear" w:color="auto" w:fill="auto"/>
            <w:hideMark/>
          </w:tcPr>
          <w:p w14:paraId="36A94B3D" w14:textId="77777777" w:rsidR="00A447B1" w:rsidRPr="00C07D82" w:rsidRDefault="00A447B1" w:rsidP="0062529A">
            <w:pPr>
              <w:spacing w:before="0"/>
              <w:jc w:val="both"/>
              <w:rPr>
                <w:rFonts w:cs="Arial"/>
                <w:color w:val="000000"/>
                <w:szCs w:val="20"/>
              </w:rPr>
            </w:pPr>
            <w:r w:rsidRPr="00C07D82">
              <w:rPr>
                <w:rFonts w:cs="Arial"/>
                <w:color w:val="000000"/>
                <w:szCs w:val="20"/>
              </w:rPr>
              <w:t>5</w:t>
            </w:r>
          </w:p>
        </w:tc>
        <w:tc>
          <w:tcPr>
            <w:tcW w:w="2127" w:type="dxa"/>
            <w:tcBorders>
              <w:top w:val="nil"/>
              <w:left w:val="nil"/>
              <w:bottom w:val="single" w:sz="4" w:space="0" w:color="auto"/>
              <w:right w:val="single" w:sz="4" w:space="0" w:color="auto"/>
            </w:tcBorders>
            <w:shd w:val="clear" w:color="auto" w:fill="auto"/>
            <w:hideMark/>
          </w:tcPr>
          <w:p w14:paraId="36A94B3E" w14:textId="77777777" w:rsidR="00A447B1" w:rsidRPr="00C07D82" w:rsidRDefault="00A447B1" w:rsidP="0062529A">
            <w:pPr>
              <w:spacing w:before="0"/>
              <w:rPr>
                <w:rFonts w:cs="Arial"/>
                <w:color w:val="000000"/>
                <w:szCs w:val="20"/>
              </w:rPr>
            </w:pPr>
            <w:r w:rsidRPr="00C07D82">
              <w:rPr>
                <w:rFonts w:cs="Arial"/>
                <w:color w:val="000000"/>
                <w:szCs w:val="20"/>
              </w:rPr>
              <w:t>Interest of rice value chain's stakeholders are different</w:t>
            </w:r>
          </w:p>
        </w:tc>
        <w:tc>
          <w:tcPr>
            <w:tcW w:w="1984" w:type="dxa"/>
            <w:tcBorders>
              <w:top w:val="nil"/>
              <w:left w:val="nil"/>
              <w:bottom w:val="single" w:sz="4" w:space="0" w:color="auto"/>
              <w:right w:val="single" w:sz="4" w:space="0" w:color="auto"/>
            </w:tcBorders>
            <w:shd w:val="clear" w:color="auto" w:fill="auto"/>
            <w:hideMark/>
          </w:tcPr>
          <w:p w14:paraId="36A94B3F" w14:textId="77777777" w:rsidR="00A447B1" w:rsidRPr="00C07D82" w:rsidRDefault="00A447B1" w:rsidP="0062529A">
            <w:pPr>
              <w:spacing w:before="0"/>
              <w:rPr>
                <w:rFonts w:cs="Arial"/>
                <w:color w:val="000000"/>
                <w:szCs w:val="20"/>
              </w:rPr>
            </w:pPr>
            <w:r w:rsidRPr="00C07D82">
              <w:rPr>
                <w:rFonts w:cs="Arial"/>
                <w:color w:val="000000"/>
                <w:szCs w:val="20"/>
              </w:rPr>
              <w:t>Institutional structure for rice production value chain in Dong Thap is not changed. (e.g., the establishment of appropriate rice value chain institutional arrangements in Dong Thap is delayed or ineffective)</w:t>
            </w:r>
          </w:p>
        </w:tc>
        <w:tc>
          <w:tcPr>
            <w:tcW w:w="1291" w:type="dxa"/>
            <w:tcBorders>
              <w:top w:val="nil"/>
              <w:left w:val="nil"/>
              <w:bottom w:val="single" w:sz="4" w:space="0" w:color="auto"/>
              <w:right w:val="single" w:sz="4" w:space="0" w:color="auto"/>
            </w:tcBorders>
            <w:shd w:val="clear" w:color="auto" w:fill="auto"/>
            <w:hideMark/>
          </w:tcPr>
          <w:p w14:paraId="36A94B40" w14:textId="77777777" w:rsidR="00A447B1" w:rsidRPr="00C07D82" w:rsidRDefault="00A447B1" w:rsidP="0062529A">
            <w:pPr>
              <w:spacing w:before="0"/>
              <w:rPr>
                <w:rFonts w:cs="Arial"/>
                <w:color w:val="000000"/>
                <w:szCs w:val="20"/>
              </w:rPr>
            </w:pPr>
            <w:r w:rsidRPr="00C07D82">
              <w:rPr>
                <w:rFonts w:cs="Arial"/>
                <w:color w:val="000000"/>
                <w:szCs w:val="20"/>
              </w:rPr>
              <w:t>Major</w:t>
            </w:r>
          </w:p>
        </w:tc>
        <w:tc>
          <w:tcPr>
            <w:tcW w:w="1080" w:type="dxa"/>
            <w:tcBorders>
              <w:top w:val="nil"/>
              <w:left w:val="nil"/>
              <w:bottom w:val="single" w:sz="4" w:space="0" w:color="auto"/>
              <w:right w:val="single" w:sz="4" w:space="0" w:color="auto"/>
            </w:tcBorders>
            <w:shd w:val="clear" w:color="auto" w:fill="auto"/>
            <w:hideMark/>
          </w:tcPr>
          <w:p w14:paraId="36A94B41" w14:textId="77777777" w:rsidR="00A447B1" w:rsidRPr="00C07D82" w:rsidRDefault="00A447B1" w:rsidP="0062529A">
            <w:pPr>
              <w:spacing w:before="0"/>
              <w:rPr>
                <w:rFonts w:cs="Arial"/>
                <w:color w:val="000000"/>
                <w:szCs w:val="20"/>
              </w:rPr>
            </w:pPr>
            <w:r w:rsidRPr="00C07D82">
              <w:rPr>
                <w:rFonts w:cs="Arial"/>
                <w:color w:val="000000"/>
                <w:szCs w:val="20"/>
              </w:rPr>
              <w:t>Likely</w:t>
            </w:r>
          </w:p>
        </w:tc>
        <w:tc>
          <w:tcPr>
            <w:tcW w:w="1036" w:type="dxa"/>
            <w:tcBorders>
              <w:top w:val="nil"/>
              <w:left w:val="nil"/>
              <w:bottom w:val="single" w:sz="4" w:space="0" w:color="auto"/>
              <w:right w:val="single" w:sz="4" w:space="0" w:color="auto"/>
            </w:tcBorders>
            <w:shd w:val="clear" w:color="auto" w:fill="auto"/>
            <w:hideMark/>
          </w:tcPr>
          <w:p w14:paraId="36A94B42"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36A94B43" w14:textId="77777777" w:rsidR="00A447B1" w:rsidRPr="00C07D82" w:rsidRDefault="00A447B1" w:rsidP="0062529A">
            <w:pPr>
              <w:spacing w:before="0"/>
              <w:rPr>
                <w:rFonts w:cs="Arial"/>
                <w:color w:val="000000"/>
                <w:szCs w:val="20"/>
              </w:rPr>
            </w:pPr>
            <w:r w:rsidRPr="00C07D82">
              <w:rPr>
                <w:rFonts w:cs="Arial"/>
                <w:color w:val="000000"/>
                <w:szCs w:val="20"/>
              </w:rPr>
              <w:t>- IPSARD will pursue bottom up approach in working with local level's stakeholders in the value chain in Dong Thap to build pressure for changes in institutional structure</w:t>
            </w:r>
            <w:r w:rsidRPr="00C07D82">
              <w:rPr>
                <w:rFonts w:cs="Arial"/>
                <w:color w:val="000000"/>
                <w:szCs w:val="20"/>
              </w:rPr>
              <w:br/>
              <w:t>-Open policy debate will be conducted with all stakeholders of the rice value chain including farmers, researcher, SOE, private sector....) to present evidence based analysis and get their consensus on the most appropriate institutional structure to increase rice value added in Dong Thap</w:t>
            </w:r>
          </w:p>
        </w:tc>
        <w:tc>
          <w:tcPr>
            <w:tcW w:w="1418" w:type="dxa"/>
            <w:tcBorders>
              <w:top w:val="nil"/>
              <w:left w:val="nil"/>
              <w:bottom w:val="single" w:sz="4" w:space="0" w:color="auto"/>
              <w:right w:val="single" w:sz="4" w:space="0" w:color="auto"/>
            </w:tcBorders>
            <w:shd w:val="clear" w:color="auto" w:fill="auto"/>
            <w:hideMark/>
          </w:tcPr>
          <w:p w14:paraId="36A94B44"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1347" w:type="dxa"/>
            <w:tcBorders>
              <w:top w:val="nil"/>
              <w:left w:val="nil"/>
              <w:bottom w:val="single" w:sz="4" w:space="0" w:color="auto"/>
              <w:right w:val="single" w:sz="4" w:space="0" w:color="auto"/>
            </w:tcBorders>
            <w:shd w:val="clear" w:color="auto" w:fill="auto"/>
            <w:hideMark/>
          </w:tcPr>
          <w:p w14:paraId="36A94B45" w14:textId="77777777" w:rsidR="00A447B1" w:rsidRPr="00C07D82" w:rsidRDefault="00A447B1" w:rsidP="0062529A">
            <w:pPr>
              <w:spacing w:before="0"/>
              <w:rPr>
                <w:rFonts w:cs="Arial"/>
                <w:color w:val="000000"/>
                <w:szCs w:val="20"/>
              </w:rPr>
            </w:pPr>
            <w:r w:rsidRPr="00C07D82">
              <w:rPr>
                <w:rFonts w:cs="Arial"/>
                <w:color w:val="000000"/>
                <w:szCs w:val="20"/>
              </w:rPr>
              <w:t>IPSARD Component Director</w:t>
            </w:r>
          </w:p>
          <w:p w14:paraId="36A94B46" w14:textId="77777777" w:rsidR="00A447B1" w:rsidRPr="00C07D82" w:rsidRDefault="00A447B1" w:rsidP="0062529A">
            <w:pPr>
              <w:spacing w:before="0"/>
              <w:rPr>
                <w:rFonts w:cs="Arial"/>
                <w:color w:val="000000"/>
                <w:szCs w:val="20"/>
              </w:rPr>
            </w:pPr>
          </w:p>
        </w:tc>
      </w:tr>
      <w:tr w:rsidR="00A447B1" w:rsidRPr="00C07D82" w14:paraId="36A94B52" w14:textId="77777777" w:rsidTr="0062529A">
        <w:trPr>
          <w:trHeight w:val="1760"/>
        </w:trPr>
        <w:tc>
          <w:tcPr>
            <w:tcW w:w="567" w:type="dxa"/>
            <w:tcBorders>
              <w:top w:val="nil"/>
              <w:left w:val="single" w:sz="4" w:space="0" w:color="auto"/>
              <w:bottom w:val="single" w:sz="4" w:space="0" w:color="auto"/>
              <w:right w:val="single" w:sz="4" w:space="0" w:color="auto"/>
            </w:tcBorders>
            <w:shd w:val="clear" w:color="auto" w:fill="auto"/>
            <w:hideMark/>
          </w:tcPr>
          <w:p w14:paraId="36A94B48" w14:textId="77777777" w:rsidR="00A447B1" w:rsidRPr="00C07D82" w:rsidRDefault="00A447B1" w:rsidP="0062529A">
            <w:pPr>
              <w:spacing w:before="0"/>
              <w:jc w:val="both"/>
              <w:rPr>
                <w:rFonts w:cs="Arial"/>
                <w:color w:val="000000"/>
                <w:szCs w:val="20"/>
              </w:rPr>
            </w:pPr>
            <w:r w:rsidRPr="00C07D82">
              <w:rPr>
                <w:rFonts w:cs="Arial"/>
                <w:color w:val="000000"/>
                <w:szCs w:val="20"/>
              </w:rPr>
              <w:t>6</w:t>
            </w:r>
          </w:p>
        </w:tc>
        <w:tc>
          <w:tcPr>
            <w:tcW w:w="2127" w:type="dxa"/>
            <w:tcBorders>
              <w:top w:val="nil"/>
              <w:left w:val="nil"/>
              <w:bottom w:val="single" w:sz="4" w:space="0" w:color="auto"/>
              <w:right w:val="single" w:sz="4" w:space="0" w:color="auto"/>
            </w:tcBorders>
            <w:shd w:val="clear" w:color="auto" w:fill="auto"/>
            <w:hideMark/>
          </w:tcPr>
          <w:p w14:paraId="36A94B49" w14:textId="77777777" w:rsidR="00A447B1" w:rsidRPr="00C07D82" w:rsidRDefault="00A447B1" w:rsidP="0062529A">
            <w:pPr>
              <w:spacing w:before="0"/>
              <w:rPr>
                <w:rFonts w:cs="Arial"/>
                <w:color w:val="000000"/>
                <w:szCs w:val="20"/>
              </w:rPr>
            </w:pPr>
            <w:r w:rsidRPr="00C07D82">
              <w:rPr>
                <w:rFonts w:cs="Arial"/>
                <w:color w:val="000000"/>
                <w:szCs w:val="20"/>
              </w:rPr>
              <w:t>The activities proposed by IPSARD are still vague.</w:t>
            </w:r>
          </w:p>
        </w:tc>
        <w:tc>
          <w:tcPr>
            <w:tcW w:w="1984" w:type="dxa"/>
            <w:tcBorders>
              <w:top w:val="nil"/>
              <w:left w:val="nil"/>
              <w:bottom w:val="single" w:sz="4" w:space="0" w:color="auto"/>
              <w:right w:val="single" w:sz="4" w:space="0" w:color="auto"/>
            </w:tcBorders>
            <w:shd w:val="clear" w:color="auto" w:fill="auto"/>
            <w:hideMark/>
          </w:tcPr>
          <w:p w14:paraId="36A94B4A" w14:textId="77777777" w:rsidR="00A447B1" w:rsidRPr="00C07D82" w:rsidRDefault="00A447B1" w:rsidP="0062529A">
            <w:pPr>
              <w:spacing w:before="0"/>
              <w:rPr>
                <w:rFonts w:cs="Arial"/>
                <w:color w:val="000000"/>
                <w:szCs w:val="20"/>
              </w:rPr>
            </w:pPr>
            <w:r w:rsidRPr="00C07D82">
              <w:rPr>
                <w:rFonts w:cs="Arial"/>
                <w:color w:val="000000"/>
                <w:szCs w:val="20"/>
              </w:rPr>
              <w:t>Program support may not generate the tangible contributions to practical restructuring initiatives expected under this program</w:t>
            </w:r>
          </w:p>
        </w:tc>
        <w:tc>
          <w:tcPr>
            <w:tcW w:w="1291" w:type="dxa"/>
            <w:tcBorders>
              <w:top w:val="nil"/>
              <w:left w:val="nil"/>
              <w:bottom w:val="single" w:sz="4" w:space="0" w:color="auto"/>
              <w:right w:val="single" w:sz="4" w:space="0" w:color="auto"/>
            </w:tcBorders>
            <w:shd w:val="clear" w:color="auto" w:fill="auto"/>
            <w:hideMark/>
          </w:tcPr>
          <w:p w14:paraId="36A94B4B"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36A94B4C" w14:textId="77777777" w:rsidR="00A447B1" w:rsidRPr="00C07D82" w:rsidRDefault="00A447B1" w:rsidP="0062529A">
            <w:pPr>
              <w:spacing w:before="0"/>
              <w:rPr>
                <w:rFonts w:cs="Arial"/>
                <w:color w:val="000000"/>
                <w:szCs w:val="20"/>
              </w:rPr>
            </w:pPr>
            <w:r w:rsidRPr="00C07D82">
              <w:rPr>
                <w:rFonts w:cs="Arial"/>
                <w:color w:val="000000"/>
                <w:szCs w:val="20"/>
              </w:rPr>
              <w:t>Likely</w:t>
            </w:r>
          </w:p>
        </w:tc>
        <w:tc>
          <w:tcPr>
            <w:tcW w:w="1036" w:type="dxa"/>
            <w:tcBorders>
              <w:top w:val="nil"/>
              <w:left w:val="nil"/>
              <w:bottom w:val="single" w:sz="4" w:space="0" w:color="auto"/>
              <w:right w:val="single" w:sz="4" w:space="0" w:color="auto"/>
            </w:tcBorders>
            <w:shd w:val="clear" w:color="auto" w:fill="auto"/>
            <w:hideMark/>
          </w:tcPr>
          <w:p w14:paraId="36A94B4D"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36A94B4E" w14:textId="77777777" w:rsidR="00A447B1" w:rsidRPr="00C07D82" w:rsidRDefault="00A447B1" w:rsidP="0062529A">
            <w:pPr>
              <w:spacing w:before="0"/>
              <w:rPr>
                <w:rFonts w:cs="Arial"/>
                <w:color w:val="000000"/>
                <w:szCs w:val="20"/>
              </w:rPr>
            </w:pPr>
            <w:r w:rsidRPr="00C07D82">
              <w:rPr>
                <w:rFonts w:cs="Arial"/>
                <w:color w:val="000000"/>
                <w:szCs w:val="20"/>
              </w:rPr>
              <w:t xml:space="preserve">-The program will closely monitor the planning and implementation of IPSARD's activities. Two years planning will be carried out but with an initial focus on specific and feasible outputs for the first year of program budgeting and resources allocation. </w:t>
            </w:r>
            <w:r w:rsidRPr="00C07D82">
              <w:rPr>
                <w:rFonts w:cs="Arial"/>
                <w:color w:val="000000"/>
                <w:szCs w:val="20"/>
              </w:rPr>
              <w:br/>
              <w:t>- Annual review and planning mechanism will allow the adjustment of the intervention areas as needed.</w:t>
            </w:r>
          </w:p>
        </w:tc>
        <w:tc>
          <w:tcPr>
            <w:tcW w:w="1418" w:type="dxa"/>
            <w:tcBorders>
              <w:top w:val="nil"/>
              <w:left w:val="nil"/>
              <w:bottom w:val="single" w:sz="4" w:space="0" w:color="auto"/>
              <w:right w:val="single" w:sz="4" w:space="0" w:color="auto"/>
            </w:tcBorders>
            <w:shd w:val="clear" w:color="auto" w:fill="auto"/>
            <w:hideMark/>
          </w:tcPr>
          <w:p w14:paraId="36A94B4F"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1347" w:type="dxa"/>
            <w:tcBorders>
              <w:top w:val="nil"/>
              <w:left w:val="nil"/>
              <w:bottom w:val="single" w:sz="4" w:space="0" w:color="auto"/>
              <w:right w:val="single" w:sz="4" w:space="0" w:color="auto"/>
            </w:tcBorders>
            <w:shd w:val="clear" w:color="auto" w:fill="auto"/>
            <w:hideMark/>
          </w:tcPr>
          <w:p w14:paraId="36A94B50" w14:textId="000B83DE" w:rsidR="00A447B1" w:rsidRPr="00C07D82" w:rsidRDefault="00A447B1" w:rsidP="0062529A">
            <w:pPr>
              <w:spacing w:before="0"/>
              <w:rPr>
                <w:rFonts w:cs="Arial"/>
                <w:color w:val="000000"/>
                <w:szCs w:val="20"/>
              </w:rPr>
            </w:pPr>
            <w:r w:rsidRPr="00C07D82">
              <w:rPr>
                <w:rFonts w:cs="Arial"/>
                <w:color w:val="000000"/>
                <w:szCs w:val="20"/>
              </w:rPr>
              <w:t xml:space="preserve">PCU, Program Director, </w:t>
            </w:r>
            <w:r w:rsidR="00F7155D" w:rsidRPr="00C07D82">
              <w:rPr>
                <w:rFonts w:cs="Arial"/>
                <w:color w:val="000000"/>
                <w:szCs w:val="20"/>
              </w:rPr>
              <w:t>GOA</w:t>
            </w:r>
            <w:r w:rsidRPr="00C07D82">
              <w:rPr>
                <w:rFonts w:cs="Arial"/>
                <w:color w:val="000000"/>
                <w:szCs w:val="20"/>
              </w:rPr>
              <w:t xml:space="preserve"> </w:t>
            </w:r>
            <w:r w:rsidRPr="00C07D82">
              <w:rPr>
                <w:rFonts w:cs="Arial"/>
                <w:szCs w:val="20"/>
              </w:rPr>
              <w:t>SPM</w:t>
            </w:r>
            <w:r w:rsidRPr="00C07D82">
              <w:rPr>
                <w:rFonts w:cs="Arial"/>
                <w:color w:val="000000"/>
                <w:szCs w:val="20"/>
              </w:rPr>
              <w:t>, IPSARD Component Director</w:t>
            </w:r>
          </w:p>
          <w:p w14:paraId="36A94B51" w14:textId="77777777" w:rsidR="00A447B1" w:rsidRPr="00C07D82" w:rsidRDefault="00A447B1" w:rsidP="0062529A">
            <w:pPr>
              <w:spacing w:before="0"/>
              <w:rPr>
                <w:rFonts w:cs="Arial"/>
                <w:color w:val="000000"/>
                <w:szCs w:val="20"/>
              </w:rPr>
            </w:pPr>
          </w:p>
        </w:tc>
      </w:tr>
      <w:tr w:rsidR="00A447B1" w:rsidRPr="000A5EC5" w14:paraId="36A94B5C" w14:textId="77777777" w:rsidTr="0062529A">
        <w:trPr>
          <w:trHeight w:val="2200"/>
        </w:trPr>
        <w:tc>
          <w:tcPr>
            <w:tcW w:w="567" w:type="dxa"/>
            <w:tcBorders>
              <w:top w:val="nil"/>
              <w:left w:val="single" w:sz="4" w:space="0" w:color="auto"/>
              <w:bottom w:val="single" w:sz="4" w:space="0" w:color="auto"/>
              <w:right w:val="single" w:sz="4" w:space="0" w:color="auto"/>
            </w:tcBorders>
            <w:shd w:val="clear" w:color="auto" w:fill="auto"/>
            <w:hideMark/>
          </w:tcPr>
          <w:p w14:paraId="36A94B53" w14:textId="77777777" w:rsidR="00A447B1" w:rsidRPr="00C07D82" w:rsidRDefault="00A447B1" w:rsidP="0062529A">
            <w:pPr>
              <w:spacing w:before="0"/>
              <w:jc w:val="both"/>
              <w:rPr>
                <w:rFonts w:cs="Arial"/>
                <w:color w:val="000000"/>
                <w:szCs w:val="20"/>
              </w:rPr>
            </w:pPr>
            <w:r w:rsidRPr="00C07D82">
              <w:rPr>
                <w:rFonts w:cs="Arial"/>
                <w:color w:val="000000"/>
                <w:szCs w:val="20"/>
              </w:rPr>
              <w:t>7</w:t>
            </w:r>
          </w:p>
        </w:tc>
        <w:tc>
          <w:tcPr>
            <w:tcW w:w="2127" w:type="dxa"/>
            <w:tcBorders>
              <w:top w:val="nil"/>
              <w:left w:val="nil"/>
              <w:bottom w:val="single" w:sz="4" w:space="0" w:color="auto"/>
              <w:right w:val="single" w:sz="4" w:space="0" w:color="auto"/>
            </w:tcBorders>
            <w:shd w:val="clear" w:color="auto" w:fill="auto"/>
            <w:hideMark/>
          </w:tcPr>
          <w:p w14:paraId="36A94B54" w14:textId="77777777" w:rsidR="00A447B1" w:rsidRPr="00C07D82" w:rsidRDefault="00A447B1" w:rsidP="0062529A">
            <w:pPr>
              <w:spacing w:before="0"/>
              <w:rPr>
                <w:rFonts w:cs="Arial"/>
                <w:color w:val="000000"/>
                <w:szCs w:val="20"/>
              </w:rPr>
            </w:pPr>
            <w:r w:rsidRPr="00C07D82">
              <w:rPr>
                <w:rFonts w:cs="Arial"/>
                <w:color w:val="000000"/>
                <w:szCs w:val="20"/>
              </w:rPr>
              <w:t>Change of IPSARD's leader.</w:t>
            </w:r>
          </w:p>
        </w:tc>
        <w:tc>
          <w:tcPr>
            <w:tcW w:w="1984" w:type="dxa"/>
            <w:tcBorders>
              <w:top w:val="nil"/>
              <w:left w:val="nil"/>
              <w:bottom w:val="single" w:sz="4" w:space="0" w:color="auto"/>
              <w:right w:val="single" w:sz="4" w:space="0" w:color="auto"/>
            </w:tcBorders>
            <w:shd w:val="clear" w:color="auto" w:fill="auto"/>
            <w:hideMark/>
          </w:tcPr>
          <w:p w14:paraId="36A94B55" w14:textId="77777777" w:rsidR="00A447B1" w:rsidRPr="00C07D82" w:rsidRDefault="00A447B1" w:rsidP="0062529A">
            <w:pPr>
              <w:spacing w:before="0"/>
              <w:rPr>
                <w:rFonts w:cs="Arial"/>
                <w:color w:val="000000"/>
                <w:szCs w:val="20"/>
              </w:rPr>
            </w:pPr>
            <w:r w:rsidRPr="00C07D82">
              <w:rPr>
                <w:rFonts w:cs="Arial"/>
                <w:color w:val="000000"/>
                <w:szCs w:val="20"/>
              </w:rPr>
              <w:t xml:space="preserve">Reduced opportunity for IPSARD to be involved in strategic rural reform planning &amp; policy development. This may result in sub-optimal program impacts in terms of influencing the rural restructuring agenda </w:t>
            </w:r>
          </w:p>
        </w:tc>
        <w:tc>
          <w:tcPr>
            <w:tcW w:w="1291" w:type="dxa"/>
            <w:tcBorders>
              <w:top w:val="nil"/>
              <w:left w:val="nil"/>
              <w:bottom w:val="single" w:sz="4" w:space="0" w:color="auto"/>
              <w:right w:val="single" w:sz="4" w:space="0" w:color="auto"/>
            </w:tcBorders>
            <w:shd w:val="clear" w:color="auto" w:fill="auto"/>
            <w:hideMark/>
          </w:tcPr>
          <w:p w14:paraId="36A94B56"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36A94B57" w14:textId="77777777" w:rsidR="00A447B1" w:rsidRPr="00C07D82" w:rsidRDefault="00A447B1" w:rsidP="0062529A">
            <w:pPr>
              <w:spacing w:before="0"/>
              <w:rPr>
                <w:rFonts w:cs="Arial"/>
                <w:color w:val="000000"/>
                <w:szCs w:val="20"/>
              </w:rPr>
            </w:pPr>
            <w:r w:rsidRPr="00C07D82">
              <w:rPr>
                <w:rFonts w:cs="Arial"/>
                <w:color w:val="000000"/>
                <w:szCs w:val="20"/>
              </w:rPr>
              <w:t>almost certain</w:t>
            </w:r>
          </w:p>
        </w:tc>
        <w:tc>
          <w:tcPr>
            <w:tcW w:w="1036" w:type="dxa"/>
            <w:tcBorders>
              <w:top w:val="nil"/>
              <w:left w:val="nil"/>
              <w:bottom w:val="single" w:sz="4" w:space="0" w:color="auto"/>
              <w:right w:val="single" w:sz="4" w:space="0" w:color="auto"/>
            </w:tcBorders>
            <w:shd w:val="clear" w:color="auto" w:fill="auto"/>
            <w:hideMark/>
          </w:tcPr>
          <w:p w14:paraId="36A94B58" w14:textId="77777777" w:rsidR="00A447B1" w:rsidRPr="00C07D82" w:rsidRDefault="00A447B1" w:rsidP="0062529A">
            <w:pPr>
              <w:spacing w:before="0"/>
              <w:rPr>
                <w:rFonts w:cs="Arial"/>
                <w:color w:val="000000"/>
                <w:szCs w:val="20"/>
              </w:rPr>
            </w:pPr>
            <w:r w:rsidRPr="00C07D82">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36A94B59" w14:textId="77777777" w:rsidR="00A447B1" w:rsidRPr="00C07D82" w:rsidRDefault="00A447B1" w:rsidP="0062529A">
            <w:pPr>
              <w:spacing w:before="0"/>
              <w:rPr>
                <w:rFonts w:cs="Arial"/>
                <w:color w:val="000000"/>
                <w:szCs w:val="20"/>
              </w:rPr>
            </w:pPr>
            <w:r w:rsidRPr="00C07D82">
              <w:rPr>
                <w:rFonts w:cs="Arial"/>
                <w:color w:val="000000"/>
                <w:szCs w:val="20"/>
              </w:rPr>
              <w:t>-The program will explore the opportunity to invite IPSARD's leader who will retire to be member of SAG</w:t>
            </w:r>
          </w:p>
        </w:tc>
        <w:tc>
          <w:tcPr>
            <w:tcW w:w="1418" w:type="dxa"/>
            <w:tcBorders>
              <w:top w:val="nil"/>
              <w:left w:val="nil"/>
              <w:bottom w:val="single" w:sz="4" w:space="0" w:color="auto"/>
              <w:right w:val="single" w:sz="4" w:space="0" w:color="auto"/>
            </w:tcBorders>
            <w:shd w:val="clear" w:color="auto" w:fill="auto"/>
            <w:hideMark/>
          </w:tcPr>
          <w:p w14:paraId="36A94B5A" w14:textId="77777777" w:rsidR="00A447B1" w:rsidRPr="00C07D82" w:rsidRDefault="00A447B1" w:rsidP="0062529A">
            <w:pPr>
              <w:spacing w:before="0"/>
              <w:rPr>
                <w:rFonts w:cs="Arial"/>
                <w:color w:val="000000"/>
                <w:szCs w:val="20"/>
              </w:rPr>
            </w:pPr>
            <w:r w:rsidRPr="00C07D82">
              <w:rPr>
                <w:rFonts w:cs="Arial"/>
                <w:color w:val="000000"/>
                <w:szCs w:val="20"/>
              </w:rPr>
              <w:t>Moderate</w:t>
            </w:r>
          </w:p>
        </w:tc>
        <w:tc>
          <w:tcPr>
            <w:tcW w:w="1347" w:type="dxa"/>
            <w:tcBorders>
              <w:top w:val="nil"/>
              <w:left w:val="nil"/>
              <w:bottom w:val="single" w:sz="4" w:space="0" w:color="auto"/>
              <w:right w:val="single" w:sz="4" w:space="0" w:color="auto"/>
            </w:tcBorders>
            <w:shd w:val="clear" w:color="auto" w:fill="auto"/>
            <w:hideMark/>
          </w:tcPr>
          <w:p w14:paraId="36A94B5B" w14:textId="54CE974A" w:rsidR="00A447B1" w:rsidRPr="000A5EC5" w:rsidRDefault="00F7155D" w:rsidP="00DF2786">
            <w:pPr>
              <w:rPr>
                <w:rFonts w:cs="Arial"/>
                <w:color w:val="000000"/>
                <w:szCs w:val="20"/>
              </w:rPr>
            </w:pPr>
            <w:r w:rsidRPr="00C07D82">
              <w:rPr>
                <w:rFonts w:cs="Arial"/>
                <w:color w:val="000000"/>
                <w:szCs w:val="20"/>
              </w:rPr>
              <w:t>GOA</w:t>
            </w:r>
            <w:r w:rsidR="00A447B1" w:rsidRPr="00C07D82">
              <w:rPr>
                <w:rFonts w:cs="Arial"/>
                <w:color w:val="000000"/>
                <w:szCs w:val="20"/>
              </w:rPr>
              <w:t>'s SPM, Project Director, PCU</w:t>
            </w:r>
          </w:p>
        </w:tc>
      </w:tr>
    </w:tbl>
    <w:p w14:paraId="36A94B5D" w14:textId="77777777" w:rsidR="00A447B1" w:rsidRPr="005247E1" w:rsidRDefault="00A447B1" w:rsidP="00A447B1">
      <w:pPr>
        <w:rPr>
          <w:szCs w:val="20"/>
        </w:rPr>
      </w:pPr>
    </w:p>
    <w:p w14:paraId="36A94B5E" w14:textId="77777777" w:rsidR="004E77C8" w:rsidRPr="005247E1" w:rsidRDefault="004E77C8">
      <w:pPr>
        <w:rPr>
          <w:szCs w:val="20"/>
        </w:rPr>
      </w:pPr>
    </w:p>
    <w:sectPr w:rsidR="004E77C8" w:rsidRPr="005247E1" w:rsidSect="002E07B9">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04077" w14:textId="77777777" w:rsidR="00E84308" w:rsidRDefault="00E84308" w:rsidP="008F111E">
      <w:pPr>
        <w:spacing w:before="0"/>
      </w:pPr>
      <w:r>
        <w:separator/>
      </w:r>
    </w:p>
  </w:endnote>
  <w:endnote w:type="continuationSeparator" w:id="0">
    <w:p w14:paraId="63FFE213" w14:textId="77777777" w:rsidR="00E84308" w:rsidRDefault="00E84308" w:rsidP="008F11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11E1A" w14:textId="77777777" w:rsidR="000220DC" w:rsidRDefault="00022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565029"/>
      <w:docPartObj>
        <w:docPartGallery w:val="Page Numbers (Bottom of Page)"/>
        <w:docPartUnique/>
      </w:docPartObj>
    </w:sdtPr>
    <w:sdtEndPr>
      <w:rPr>
        <w:noProof/>
      </w:rPr>
    </w:sdtEndPr>
    <w:sdtContent>
      <w:p w14:paraId="36A94B69" w14:textId="77777777" w:rsidR="00E84308" w:rsidRDefault="00E84308">
        <w:pPr>
          <w:pStyle w:val="Footer"/>
          <w:jc w:val="right"/>
        </w:pPr>
        <w:r>
          <w:fldChar w:fldCharType="begin"/>
        </w:r>
        <w:r>
          <w:instrText xml:space="preserve"> PAGE   \* MERGEFORMAT </w:instrText>
        </w:r>
        <w:r>
          <w:fldChar w:fldCharType="separate"/>
        </w:r>
        <w:r w:rsidR="000220DC">
          <w:rPr>
            <w:noProof/>
          </w:rPr>
          <w:t>1</w:t>
        </w:r>
        <w:r>
          <w:rPr>
            <w:noProof/>
          </w:rPr>
          <w:fldChar w:fldCharType="end"/>
        </w:r>
      </w:p>
    </w:sdtContent>
  </w:sdt>
  <w:p w14:paraId="36A94B6A" w14:textId="77777777" w:rsidR="00E84308" w:rsidRDefault="00E843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04D70" w14:textId="77777777" w:rsidR="000220DC" w:rsidRDefault="00022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F3A2" w14:textId="77777777" w:rsidR="00E84308" w:rsidRDefault="00E84308" w:rsidP="008F111E">
      <w:pPr>
        <w:spacing w:before="0"/>
      </w:pPr>
      <w:r>
        <w:separator/>
      </w:r>
    </w:p>
  </w:footnote>
  <w:footnote w:type="continuationSeparator" w:id="0">
    <w:p w14:paraId="4B795229" w14:textId="77777777" w:rsidR="00E84308" w:rsidRDefault="00E84308" w:rsidP="008F111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AC21A" w14:textId="77777777" w:rsidR="000220DC" w:rsidRDefault="00022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4B67" w14:textId="3A8F0676" w:rsidR="00E84308" w:rsidRPr="00467820" w:rsidRDefault="00E84308" w:rsidP="00467820">
    <w:pPr>
      <w:pStyle w:val="Header"/>
      <w:jc w:val="right"/>
      <w:rPr>
        <w:b/>
        <w:i/>
        <w:szCs w:val="20"/>
      </w:rPr>
    </w:pPr>
    <w:r w:rsidRPr="00467820">
      <w:rPr>
        <w:b/>
        <w:i/>
        <w:szCs w:val="20"/>
      </w:rPr>
      <w:t>DFAT Agreement No</w:t>
    </w:r>
    <w:r>
      <w:rPr>
        <w:b/>
        <w:i/>
        <w:szCs w:val="20"/>
      </w:rPr>
      <w:t xml:space="preserve"> 70306</w:t>
    </w:r>
  </w:p>
  <w:p w14:paraId="36A94B68" w14:textId="77777777" w:rsidR="00E84308" w:rsidRDefault="00E84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8295D" w14:textId="77777777" w:rsidR="000220DC" w:rsidRDefault="00022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3A97"/>
    <w:multiLevelType w:val="hybridMultilevel"/>
    <w:tmpl w:val="024C6D44"/>
    <w:lvl w:ilvl="0" w:tplc="3304A63C">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D47554">
      <w:start w:val="1"/>
      <w:numFmt w:val="lowerLetter"/>
      <w:lvlText w:val="%2."/>
      <w:lvlJc w:val="left"/>
      <w:pPr>
        <w:ind w:left="87" w:hanging="360"/>
      </w:pPr>
    </w:lvl>
    <w:lvl w:ilvl="2" w:tplc="07F6D992">
      <w:start w:val="1"/>
      <w:numFmt w:val="lowerRoman"/>
      <w:lvlText w:val="(%3)"/>
      <w:lvlJc w:val="left"/>
      <w:pPr>
        <w:ind w:left="987" w:hanging="360"/>
      </w:pPr>
      <w:rPr>
        <w:rFonts w:hint="default"/>
      </w:rPr>
    </w:lvl>
    <w:lvl w:ilvl="3" w:tplc="47586656">
      <w:start w:val="1"/>
      <w:numFmt w:val="lowerRoman"/>
      <w:lvlText w:val="%4."/>
      <w:lvlJc w:val="left"/>
      <w:pPr>
        <w:ind w:left="1527" w:hanging="360"/>
      </w:pPr>
      <w:rPr>
        <w:rFonts w:hint="default"/>
        <w:i w:val="0"/>
      </w:rPr>
    </w:lvl>
    <w:lvl w:ilvl="4" w:tplc="9A647F5E">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
    <w:nsid w:val="1ACA6682"/>
    <w:multiLevelType w:val="hybridMultilevel"/>
    <w:tmpl w:val="6A524190"/>
    <w:lvl w:ilvl="0" w:tplc="9CD4E666">
      <w:start w:val="1"/>
      <w:numFmt w:val="bullet"/>
      <w:pStyle w:val="bullet"/>
      <w:lvlText w:val=""/>
      <w:lvlJc w:val="left"/>
      <w:pPr>
        <w:ind w:left="720" w:hanging="360"/>
      </w:pPr>
      <w:rPr>
        <w:rFonts w:ascii="Symbol" w:hAnsi="Symbol" w:hint="default"/>
      </w:rPr>
    </w:lvl>
    <w:lvl w:ilvl="1" w:tplc="9C167FE0">
      <w:start w:val="1"/>
      <w:numFmt w:val="bullet"/>
      <w:pStyle w:val="bullet1"/>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A7021"/>
    <w:multiLevelType w:val="hybridMultilevel"/>
    <w:tmpl w:val="A57E70B4"/>
    <w:lvl w:ilvl="0" w:tplc="2B1092EA">
      <w:numFmt w:val="decimal"/>
      <w:pStyle w:val="Heading1"/>
      <w:lvlText w:val="%1."/>
      <w:lvlJc w:val="left"/>
      <w:pPr>
        <w:ind w:left="720" w:hanging="360"/>
      </w:pPr>
      <w:rPr>
        <w:rFonts w:hint="default"/>
      </w:rPr>
    </w:lvl>
    <w:lvl w:ilvl="1" w:tplc="2C4A8E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A156F"/>
    <w:multiLevelType w:val="hybridMultilevel"/>
    <w:tmpl w:val="EAE61202"/>
    <w:lvl w:ilvl="0" w:tplc="FFFFFFFF">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293A630A"/>
    <w:multiLevelType w:val="hybridMultilevel"/>
    <w:tmpl w:val="283005F6"/>
    <w:lvl w:ilvl="0" w:tplc="07F6D992">
      <w:start w:val="1"/>
      <w:numFmt w:val="lowerRoman"/>
      <w:lvlText w:val="(%1)"/>
      <w:lvlJc w:val="left"/>
      <w:pPr>
        <w:tabs>
          <w:tab w:val="num" w:pos="1080"/>
        </w:tabs>
        <w:ind w:left="1080" w:hanging="720"/>
      </w:pPr>
      <w:rPr>
        <w:rFonts w:hint="default"/>
      </w:rPr>
    </w:lvl>
    <w:lvl w:ilvl="1" w:tplc="0026FBBC">
      <w:start w:val="1"/>
      <w:numFmt w:val="lowerLetter"/>
      <w:lvlText w:val="(%2)"/>
      <w:lvlJc w:val="left"/>
      <w:pPr>
        <w:tabs>
          <w:tab w:val="num" w:pos="1800"/>
        </w:tabs>
        <w:ind w:left="1800" w:hanging="72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6650D"/>
    <w:multiLevelType w:val="hybridMultilevel"/>
    <w:tmpl w:val="D56044F0"/>
    <w:lvl w:ilvl="0" w:tplc="04090001">
      <w:start w:val="1"/>
      <w:numFmt w:val="bullet"/>
      <w:lvlText w:val=""/>
      <w:lvlJc w:val="left"/>
      <w:pPr>
        <w:tabs>
          <w:tab w:val="num" w:pos="720"/>
        </w:tabs>
        <w:ind w:left="720" w:hanging="360"/>
      </w:pPr>
      <w:rPr>
        <w:rFonts w:ascii="Symbol" w:hAnsi="Symbol" w:hint="default"/>
      </w:rPr>
    </w:lvl>
    <w:lvl w:ilvl="1" w:tplc="003C7FF8">
      <w:start w:val="2"/>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C2B71"/>
    <w:multiLevelType w:val="hybridMultilevel"/>
    <w:tmpl w:val="E02A2B70"/>
    <w:lvl w:ilvl="0" w:tplc="82E64AF4">
      <w:start w:val="1"/>
      <w:numFmt w:val="decimal"/>
      <w:lvlText w:val="%1."/>
      <w:lvlJc w:val="left"/>
      <w:pPr>
        <w:ind w:left="720" w:hanging="360"/>
      </w:pPr>
      <w:rPr>
        <w:rFonts w:ascii="Arial" w:hAnsi="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8A2F5D"/>
    <w:multiLevelType w:val="hybridMultilevel"/>
    <w:tmpl w:val="9B3A7418"/>
    <w:lvl w:ilvl="0" w:tplc="3304A63C">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D47554">
      <w:start w:val="1"/>
      <w:numFmt w:val="lowerLetter"/>
      <w:lvlText w:val="%2."/>
      <w:lvlJc w:val="left"/>
      <w:pPr>
        <w:ind w:left="87" w:hanging="360"/>
      </w:pPr>
    </w:lvl>
    <w:lvl w:ilvl="2" w:tplc="04090017">
      <w:start w:val="1"/>
      <w:numFmt w:val="lowerLetter"/>
      <w:lvlText w:val="%3)"/>
      <w:lvlJc w:val="left"/>
      <w:pPr>
        <w:ind w:left="987" w:hanging="360"/>
      </w:pPr>
      <w:rPr>
        <w:rFonts w:hint="default"/>
      </w:rPr>
    </w:lvl>
    <w:lvl w:ilvl="3" w:tplc="47586656">
      <w:start w:val="1"/>
      <w:numFmt w:val="lowerRoman"/>
      <w:lvlText w:val="%4."/>
      <w:lvlJc w:val="left"/>
      <w:pPr>
        <w:ind w:left="1527" w:hanging="360"/>
      </w:pPr>
      <w:rPr>
        <w:rFonts w:hint="default"/>
        <w:i w:val="0"/>
      </w:rPr>
    </w:lvl>
    <w:lvl w:ilvl="4" w:tplc="9A647F5E">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8">
    <w:nsid w:val="3A673AA9"/>
    <w:multiLevelType w:val="multilevel"/>
    <w:tmpl w:val="BABC5B36"/>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Text w:val="%3)"/>
      <w:lvlJc w:val="left"/>
      <w:pPr>
        <w:tabs>
          <w:tab w:val="num" w:pos="1531"/>
        </w:tabs>
        <w:ind w:left="1440" w:hanging="720"/>
      </w:pPr>
      <w:rPr>
        <w:rFonts w:hint="default"/>
        <w:b w:val="0"/>
        <w:i w:val="0"/>
        <w:sz w:val="20"/>
        <w:szCs w:val="20"/>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47B954B7"/>
    <w:multiLevelType w:val="multilevel"/>
    <w:tmpl w:val="D758DDF2"/>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Restart w:val="0"/>
      <w:lvlText w:val="(%3)"/>
      <w:lvlJc w:val="left"/>
      <w:pPr>
        <w:tabs>
          <w:tab w:val="num" w:pos="1531"/>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57495AEA"/>
    <w:multiLevelType w:val="multilevel"/>
    <w:tmpl w:val="D758DDF2"/>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Restart w:val="0"/>
      <w:lvlText w:val="(%3)"/>
      <w:lvlJc w:val="left"/>
      <w:pPr>
        <w:tabs>
          <w:tab w:val="num" w:pos="1531"/>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77E84E9B"/>
    <w:multiLevelType w:val="hybridMultilevel"/>
    <w:tmpl w:val="09B6CC9A"/>
    <w:lvl w:ilvl="0" w:tplc="3304A63C">
      <w:start w:val="1"/>
      <w:numFmt w:val="decimal"/>
      <w:pStyle w:val="ListParagraph"/>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D47554">
      <w:start w:val="1"/>
      <w:numFmt w:val="lowerLetter"/>
      <w:lvlText w:val="%2."/>
      <w:lvlJc w:val="left"/>
      <w:pPr>
        <w:ind w:left="87" w:hanging="360"/>
      </w:pPr>
    </w:lvl>
    <w:lvl w:ilvl="2" w:tplc="0F0A5426">
      <w:start w:val="1"/>
      <w:numFmt w:val="lowerLetter"/>
      <w:pStyle w:val="ListParagraphindent"/>
      <w:lvlText w:val="%3)"/>
      <w:lvlJc w:val="left"/>
      <w:pPr>
        <w:ind w:left="987" w:hanging="360"/>
      </w:pPr>
    </w:lvl>
    <w:lvl w:ilvl="3" w:tplc="47586656">
      <w:start w:val="1"/>
      <w:numFmt w:val="lowerRoman"/>
      <w:pStyle w:val="ListParagraphindent2"/>
      <w:lvlText w:val="%4."/>
      <w:lvlJc w:val="left"/>
      <w:pPr>
        <w:ind w:left="1527" w:hanging="360"/>
      </w:pPr>
      <w:rPr>
        <w:rFonts w:hint="default"/>
        <w:i w:val="0"/>
      </w:rPr>
    </w:lvl>
    <w:lvl w:ilvl="4" w:tplc="9A647F5E">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2">
    <w:nsid w:val="7A8174F1"/>
    <w:multiLevelType w:val="hybridMultilevel"/>
    <w:tmpl w:val="E02A2B70"/>
    <w:lvl w:ilvl="0" w:tplc="82E64AF4">
      <w:start w:val="1"/>
      <w:numFmt w:val="decimal"/>
      <w:lvlText w:val="%1."/>
      <w:lvlJc w:val="left"/>
      <w:pPr>
        <w:ind w:left="720" w:hanging="360"/>
      </w:pPr>
      <w:rPr>
        <w:rFonts w:ascii="Arial" w:hAnsi="Arial"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B182796"/>
    <w:multiLevelType w:val="multilevel"/>
    <w:tmpl w:val="F8AEDF72"/>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
  </w:num>
  <w:num w:numId="3">
    <w:abstractNumId w:val="11"/>
    <w:lvlOverride w:ilvl="0">
      <w:startOverride w:val="1"/>
    </w:lvlOverride>
  </w:num>
  <w:num w:numId="4">
    <w:abstractNumId w:val="1"/>
  </w:num>
  <w:num w:numId="5">
    <w:abstractNumId w:val="13"/>
  </w:num>
  <w:num w:numId="6">
    <w:abstractNumId w:val="10"/>
  </w:num>
  <w:num w:numId="7">
    <w:abstractNumId w:val="0"/>
  </w:num>
  <w:num w:numId="8">
    <w:abstractNumId w:val="3"/>
  </w:num>
  <w:num w:numId="9">
    <w:abstractNumId w:val="4"/>
  </w:num>
  <w:num w:numId="10">
    <w:abstractNumId w:val="5"/>
  </w:num>
  <w:num w:numId="11">
    <w:abstractNumId w:val="11"/>
    <w:lvlOverride w:ilvl="0">
      <w:startOverride w:val="1"/>
    </w:lvlOverride>
  </w:num>
  <w:num w:numId="12">
    <w:abstractNumId w:val="11"/>
    <w:lvlOverride w:ilvl="0">
      <w:startOverride w:val="1"/>
    </w:lvlOverride>
  </w:num>
  <w:num w:numId="13">
    <w:abstractNumId w:val="7"/>
  </w:num>
  <w:num w:numId="14">
    <w:abstractNumId w:val="9"/>
  </w:num>
  <w:num w:numId="15">
    <w:abstractNumId w:val="12"/>
  </w:num>
  <w:num w:numId="16">
    <w:abstractNumId w:val="6"/>
  </w:num>
  <w:num w:numId="17">
    <w:abstractNumId w:val="8"/>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DE"/>
    <w:rsid w:val="000220DC"/>
    <w:rsid w:val="00027808"/>
    <w:rsid w:val="00035FF3"/>
    <w:rsid w:val="0006141F"/>
    <w:rsid w:val="00070324"/>
    <w:rsid w:val="0007035A"/>
    <w:rsid w:val="00077695"/>
    <w:rsid w:val="00080D97"/>
    <w:rsid w:val="000833D7"/>
    <w:rsid w:val="00091EAE"/>
    <w:rsid w:val="00094175"/>
    <w:rsid w:val="000A5BD5"/>
    <w:rsid w:val="000A7186"/>
    <w:rsid w:val="000D6FEA"/>
    <w:rsid w:val="0010090F"/>
    <w:rsid w:val="00110754"/>
    <w:rsid w:val="001478CB"/>
    <w:rsid w:val="00164E14"/>
    <w:rsid w:val="00166374"/>
    <w:rsid w:val="00191C3D"/>
    <w:rsid w:val="001A31A2"/>
    <w:rsid w:val="001E1274"/>
    <w:rsid w:val="001E4BB9"/>
    <w:rsid w:val="001E4D68"/>
    <w:rsid w:val="001F5AF9"/>
    <w:rsid w:val="0020049B"/>
    <w:rsid w:val="00202593"/>
    <w:rsid w:val="00247AF3"/>
    <w:rsid w:val="002535B3"/>
    <w:rsid w:val="00280F7C"/>
    <w:rsid w:val="0028610A"/>
    <w:rsid w:val="00292215"/>
    <w:rsid w:val="00292C1F"/>
    <w:rsid w:val="00296EDA"/>
    <w:rsid w:val="002A0C1D"/>
    <w:rsid w:val="002B44A9"/>
    <w:rsid w:val="002C0297"/>
    <w:rsid w:val="002C2263"/>
    <w:rsid w:val="002E07B9"/>
    <w:rsid w:val="002E579D"/>
    <w:rsid w:val="00313BB2"/>
    <w:rsid w:val="0035577A"/>
    <w:rsid w:val="00384D92"/>
    <w:rsid w:val="0038511E"/>
    <w:rsid w:val="0039732B"/>
    <w:rsid w:val="003B5A55"/>
    <w:rsid w:val="0040512F"/>
    <w:rsid w:val="00420006"/>
    <w:rsid w:val="00420D01"/>
    <w:rsid w:val="00426099"/>
    <w:rsid w:val="004431F0"/>
    <w:rsid w:val="0046479F"/>
    <w:rsid w:val="00467820"/>
    <w:rsid w:val="00467D7D"/>
    <w:rsid w:val="004743A5"/>
    <w:rsid w:val="00482296"/>
    <w:rsid w:val="004A3B15"/>
    <w:rsid w:val="004B75D0"/>
    <w:rsid w:val="004E5F02"/>
    <w:rsid w:val="004E77C8"/>
    <w:rsid w:val="00506A3E"/>
    <w:rsid w:val="005247E1"/>
    <w:rsid w:val="00537755"/>
    <w:rsid w:val="005478BA"/>
    <w:rsid w:val="0059414F"/>
    <w:rsid w:val="00597F3F"/>
    <w:rsid w:val="005A4ACB"/>
    <w:rsid w:val="005E4E5D"/>
    <w:rsid w:val="0061625B"/>
    <w:rsid w:val="00621D47"/>
    <w:rsid w:val="0062529A"/>
    <w:rsid w:val="0065156E"/>
    <w:rsid w:val="00654F47"/>
    <w:rsid w:val="00697C7F"/>
    <w:rsid w:val="00697FA4"/>
    <w:rsid w:val="006B4755"/>
    <w:rsid w:val="006D03A3"/>
    <w:rsid w:val="006F4D52"/>
    <w:rsid w:val="00743A5C"/>
    <w:rsid w:val="00754BA8"/>
    <w:rsid w:val="00761DA5"/>
    <w:rsid w:val="00792E06"/>
    <w:rsid w:val="007939AA"/>
    <w:rsid w:val="00794171"/>
    <w:rsid w:val="007B3FA2"/>
    <w:rsid w:val="0080280F"/>
    <w:rsid w:val="00826F24"/>
    <w:rsid w:val="00846CDF"/>
    <w:rsid w:val="008547DC"/>
    <w:rsid w:val="00883D0F"/>
    <w:rsid w:val="008B3A98"/>
    <w:rsid w:val="008D3D01"/>
    <w:rsid w:val="008F111E"/>
    <w:rsid w:val="009110F2"/>
    <w:rsid w:val="009159D1"/>
    <w:rsid w:val="00921ABA"/>
    <w:rsid w:val="00924515"/>
    <w:rsid w:val="00931032"/>
    <w:rsid w:val="00935245"/>
    <w:rsid w:val="009543B5"/>
    <w:rsid w:val="0097134D"/>
    <w:rsid w:val="009753C7"/>
    <w:rsid w:val="009E51BC"/>
    <w:rsid w:val="009F48F6"/>
    <w:rsid w:val="00A11FAA"/>
    <w:rsid w:val="00A35D28"/>
    <w:rsid w:val="00A36555"/>
    <w:rsid w:val="00A447B1"/>
    <w:rsid w:val="00A778DE"/>
    <w:rsid w:val="00AA7A8C"/>
    <w:rsid w:val="00AB0979"/>
    <w:rsid w:val="00AB5FAB"/>
    <w:rsid w:val="00AE39C1"/>
    <w:rsid w:val="00AE45E2"/>
    <w:rsid w:val="00AE4DF2"/>
    <w:rsid w:val="00B15E35"/>
    <w:rsid w:val="00B33CFA"/>
    <w:rsid w:val="00B45227"/>
    <w:rsid w:val="00BB78AF"/>
    <w:rsid w:val="00C07D82"/>
    <w:rsid w:val="00C24BFF"/>
    <w:rsid w:val="00C6312A"/>
    <w:rsid w:val="00C67579"/>
    <w:rsid w:val="00C801E0"/>
    <w:rsid w:val="00C94BFA"/>
    <w:rsid w:val="00CB788F"/>
    <w:rsid w:val="00CD6400"/>
    <w:rsid w:val="00CE154C"/>
    <w:rsid w:val="00CE18FE"/>
    <w:rsid w:val="00CF47DD"/>
    <w:rsid w:val="00CF7683"/>
    <w:rsid w:val="00D11A04"/>
    <w:rsid w:val="00D22E53"/>
    <w:rsid w:val="00D53838"/>
    <w:rsid w:val="00D6456E"/>
    <w:rsid w:val="00D95D3D"/>
    <w:rsid w:val="00DC5C8D"/>
    <w:rsid w:val="00DD4802"/>
    <w:rsid w:val="00DF2786"/>
    <w:rsid w:val="00E1399C"/>
    <w:rsid w:val="00E42099"/>
    <w:rsid w:val="00E42101"/>
    <w:rsid w:val="00E66762"/>
    <w:rsid w:val="00E84308"/>
    <w:rsid w:val="00E915D0"/>
    <w:rsid w:val="00E95EFD"/>
    <w:rsid w:val="00EA122A"/>
    <w:rsid w:val="00EC66DF"/>
    <w:rsid w:val="00EC76CE"/>
    <w:rsid w:val="00EF31A0"/>
    <w:rsid w:val="00EF738A"/>
    <w:rsid w:val="00F01EA3"/>
    <w:rsid w:val="00F04B17"/>
    <w:rsid w:val="00F7155D"/>
    <w:rsid w:val="00FA0D1D"/>
    <w:rsid w:val="00FB2244"/>
    <w:rsid w:val="00FB3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9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DE"/>
    <w:pPr>
      <w:spacing w:before="120"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A778DE"/>
    <w:pPr>
      <w:keepNext/>
      <w:numPr>
        <w:numId w:val="2"/>
      </w:numPr>
      <w:spacing w:before="240" w:after="6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A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11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3D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8DE"/>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A778DE"/>
    <w:pPr>
      <w:numPr>
        <w:numId w:val="1"/>
      </w:numPr>
      <w:spacing w:before="0" w:after="200" w:line="276" w:lineRule="auto"/>
    </w:pPr>
    <w:rPr>
      <w:rFonts w:cs="Arial"/>
      <w:szCs w:val="20"/>
      <w:lang w:val="en-US" w:eastAsia="en-AU"/>
    </w:rPr>
  </w:style>
  <w:style w:type="character" w:styleId="Hyperlink">
    <w:name w:val="Hyperlink"/>
    <w:rsid w:val="00A778DE"/>
    <w:rPr>
      <w:rFonts w:ascii="Arial" w:hAnsi="Arial"/>
      <w:color w:val="0000FF"/>
      <w:u w:val="single"/>
    </w:rPr>
  </w:style>
  <w:style w:type="paragraph" w:customStyle="1" w:styleId="ListParagraphindent">
    <w:name w:val="List Paragraph indent"/>
    <w:basedOn w:val="ListParagraph"/>
    <w:rsid w:val="00A778DE"/>
    <w:pPr>
      <w:numPr>
        <w:ilvl w:val="2"/>
      </w:numPr>
    </w:pPr>
    <w:rPr>
      <w:lang w:val="en-AU"/>
    </w:rPr>
  </w:style>
  <w:style w:type="paragraph" w:customStyle="1" w:styleId="ListParagraphindent2">
    <w:name w:val="List Paragraph indent 2"/>
    <w:basedOn w:val="ListParagraphindent"/>
    <w:rsid w:val="00A778DE"/>
    <w:pPr>
      <w:numPr>
        <w:ilvl w:val="3"/>
      </w:numPr>
    </w:pPr>
  </w:style>
  <w:style w:type="paragraph" w:styleId="FootnoteText">
    <w:name w:val="footnote text"/>
    <w:basedOn w:val="Normal"/>
    <w:link w:val="FootnoteTextChar"/>
    <w:rsid w:val="00A36555"/>
    <w:pPr>
      <w:ind w:left="142" w:hanging="142"/>
    </w:pPr>
    <w:rPr>
      <w:bCs/>
      <w:sz w:val="16"/>
      <w:szCs w:val="16"/>
      <w:lang w:val="en-US"/>
    </w:rPr>
  </w:style>
  <w:style w:type="character" w:customStyle="1" w:styleId="FootnoteTextChar">
    <w:name w:val="Footnote Text Char"/>
    <w:basedOn w:val="DefaultParagraphFont"/>
    <w:link w:val="FootnoteText"/>
    <w:rsid w:val="00A36555"/>
    <w:rPr>
      <w:rFonts w:ascii="Arial" w:eastAsia="Times New Roman" w:hAnsi="Arial" w:cs="Times New Roman"/>
      <w:bCs/>
      <w:sz w:val="16"/>
      <w:szCs w:val="16"/>
      <w:lang w:val="en-US"/>
    </w:rPr>
  </w:style>
  <w:style w:type="paragraph" w:customStyle="1" w:styleId="bullet">
    <w:name w:val="bullet"/>
    <w:basedOn w:val="BodyText"/>
    <w:rsid w:val="00A36555"/>
    <w:pPr>
      <w:numPr>
        <w:numId w:val="4"/>
      </w:numPr>
      <w:spacing w:line="280" w:lineRule="atLeast"/>
      <w:ind w:left="709" w:hanging="283"/>
    </w:pPr>
    <w:rPr>
      <w:rFonts w:cs="Arial"/>
      <w:szCs w:val="20"/>
      <w:lang w:eastAsia="en-AU" w:bidi="en-US"/>
    </w:rPr>
  </w:style>
  <w:style w:type="paragraph" w:customStyle="1" w:styleId="bullet1">
    <w:name w:val="bullet1"/>
    <w:basedOn w:val="bullet"/>
    <w:rsid w:val="00A36555"/>
    <w:pPr>
      <w:numPr>
        <w:ilvl w:val="1"/>
      </w:numPr>
      <w:ind w:left="993" w:hanging="284"/>
    </w:pPr>
  </w:style>
  <w:style w:type="paragraph" w:styleId="BodyText">
    <w:name w:val="Body Text"/>
    <w:basedOn w:val="Normal"/>
    <w:link w:val="BodyTextChar"/>
    <w:uiPriority w:val="99"/>
    <w:semiHidden/>
    <w:unhideWhenUsed/>
    <w:rsid w:val="00A36555"/>
    <w:pPr>
      <w:spacing w:after="120"/>
    </w:pPr>
  </w:style>
  <w:style w:type="character" w:customStyle="1" w:styleId="BodyTextChar">
    <w:name w:val="Body Text Char"/>
    <w:basedOn w:val="DefaultParagraphFont"/>
    <w:link w:val="BodyText"/>
    <w:uiPriority w:val="99"/>
    <w:semiHidden/>
    <w:rsid w:val="00A36555"/>
    <w:rPr>
      <w:rFonts w:ascii="Arial" w:eastAsia="Times New Roman" w:hAnsi="Arial" w:cs="Times New Roman"/>
      <w:sz w:val="20"/>
      <w:szCs w:val="24"/>
    </w:rPr>
  </w:style>
  <w:style w:type="character" w:customStyle="1" w:styleId="Heading3Char">
    <w:name w:val="Heading 3 Char"/>
    <w:basedOn w:val="DefaultParagraphFont"/>
    <w:link w:val="Heading3"/>
    <w:uiPriority w:val="9"/>
    <w:semiHidden/>
    <w:rsid w:val="008F111E"/>
    <w:rPr>
      <w:rFonts w:asciiTheme="majorHAnsi" w:eastAsiaTheme="majorEastAsia" w:hAnsiTheme="majorHAnsi" w:cstheme="majorBidi"/>
      <w:b/>
      <w:bCs/>
      <w:color w:val="4F81BD" w:themeColor="accent1"/>
      <w:sz w:val="20"/>
      <w:szCs w:val="24"/>
    </w:rPr>
  </w:style>
  <w:style w:type="character" w:styleId="FootnoteReference">
    <w:name w:val="footnote reference"/>
    <w:basedOn w:val="DefaultParagraphFont"/>
    <w:rsid w:val="008F111E"/>
    <w:rPr>
      <w:vertAlign w:val="superscript"/>
    </w:rPr>
  </w:style>
  <w:style w:type="paragraph" w:customStyle="1" w:styleId="CONLevela">
    <w:name w:val=".CON  Level  (a)"/>
    <w:basedOn w:val="Normal"/>
    <w:next w:val="Normal"/>
    <w:rsid w:val="001F5AF9"/>
    <w:pPr>
      <w:numPr>
        <w:ilvl w:val="2"/>
        <w:numId w:val="5"/>
      </w:numPr>
      <w:spacing w:before="240"/>
      <w:outlineLvl w:val="3"/>
    </w:pPr>
    <w:rPr>
      <w:rFonts w:ascii="Times New Roman" w:hAnsi="Times New Roman"/>
      <w:sz w:val="24"/>
      <w:szCs w:val="22"/>
    </w:rPr>
  </w:style>
  <w:style w:type="paragraph" w:customStyle="1" w:styleId="CONLeveli">
    <w:name w:val=".CON  Level  (i)"/>
    <w:basedOn w:val="Normal"/>
    <w:next w:val="Normal"/>
    <w:rsid w:val="001F5AF9"/>
    <w:pPr>
      <w:numPr>
        <w:ilvl w:val="3"/>
        <w:numId w:val="5"/>
      </w:numPr>
      <w:spacing w:before="240"/>
      <w:outlineLvl w:val="4"/>
    </w:pPr>
    <w:rPr>
      <w:rFonts w:ascii="Times New Roman" w:hAnsi="Times New Roman"/>
      <w:sz w:val="24"/>
      <w:szCs w:val="22"/>
    </w:rPr>
  </w:style>
  <w:style w:type="paragraph" w:customStyle="1" w:styleId="CONLevel11">
    <w:name w:val=".CON  Level   1.1"/>
    <w:basedOn w:val="Normal"/>
    <w:next w:val="Normal"/>
    <w:link w:val="CONLevel11Char"/>
    <w:rsid w:val="001F5AF9"/>
    <w:pPr>
      <w:numPr>
        <w:ilvl w:val="1"/>
        <w:numId w:val="5"/>
      </w:numPr>
      <w:spacing w:before="240"/>
      <w:outlineLvl w:val="2"/>
    </w:pPr>
    <w:rPr>
      <w:rFonts w:ascii="Times New Roman" w:hAnsi="Times New Roman"/>
      <w:sz w:val="24"/>
      <w:szCs w:val="22"/>
    </w:rPr>
  </w:style>
  <w:style w:type="paragraph" w:customStyle="1" w:styleId="CONLevelA0">
    <w:name w:val=".CON  Level (A)"/>
    <w:basedOn w:val="Normal"/>
    <w:next w:val="Normal"/>
    <w:rsid w:val="001F5AF9"/>
    <w:pPr>
      <w:numPr>
        <w:ilvl w:val="4"/>
        <w:numId w:val="5"/>
      </w:numPr>
      <w:spacing w:before="240"/>
      <w:outlineLvl w:val="5"/>
    </w:pPr>
    <w:rPr>
      <w:rFonts w:ascii="Times New Roman" w:hAnsi="Times New Roman"/>
      <w:sz w:val="24"/>
      <w:szCs w:val="22"/>
    </w:rPr>
  </w:style>
  <w:style w:type="paragraph" w:customStyle="1" w:styleId="CONLevelI0">
    <w:name w:val=".CON  Level (I)"/>
    <w:basedOn w:val="Normal"/>
    <w:next w:val="Normal"/>
    <w:rsid w:val="001F5AF9"/>
    <w:pPr>
      <w:numPr>
        <w:ilvl w:val="5"/>
        <w:numId w:val="5"/>
      </w:numPr>
      <w:spacing w:before="240"/>
      <w:outlineLvl w:val="6"/>
    </w:pPr>
    <w:rPr>
      <w:rFonts w:ascii="Times New Roman" w:hAnsi="Times New Roman"/>
      <w:sz w:val="24"/>
      <w:szCs w:val="22"/>
    </w:rPr>
  </w:style>
  <w:style w:type="paragraph" w:customStyle="1" w:styleId="CONLevel1">
    <w:name w:val=".CON  Level   1."/>
    <w:basedOn w:val="Normal"/>
    <w:next w:val="Normal"/>
    <w:rsid w:val="001F5AF9"/>
    <w:pPr>
      <w:keepNext/>
      <w:numPr>
        <w:numId w:val="5"/>
      </w:numPr>
      <w:spacing w:before="240"/>
      <w:outlineLvl w:val="1"/>
    </w:pPr>
    <w:rPr>
      <w:rFonts w:ascii="Times New Roman" w:hAnsi="Times New Roman"/>
      <w:b/>
      <w:sz w:val="24"/>
      <w:szCs w:val="22"/>
    </w:rPr>
  </w:style>
  <w:style w:type="character" w:customStyle="1" w:styleId="CONLevel11Char">
    <w:name w:val=".CON  Level   1.1 Char"/>
    <w:link w:val="CONLevel11"/>
    <w:rsid w:val="001F5AF9"/>
    <w:rPr>
      <w:rFonts w:ascii="Times New Roman" w:eastAsia="Times New Roman" w:hAnsi="Times New Roman" w:cs="Times New Roman"/>
      <w:sz w:val="24"/>
    </w:rPr>
  </w:style>
  <w:style w:type="paragraph" w:styleId="Header">
    <w:name w:val="header"/>
    <w:basedOn w:val="Normal"/>
    <w:link w:val="HeaderChar"/>
    <w:uiPriority w:val="99"/>
    <w:unhideWhenUsed/>
    <w:rsid w:val="0035577A"/>
    <w:pPr>
      <w:tabs>
        <w:tab w:val="center" w:pos="4513"/>
        <w:tab w:val="right" w:pos="9026"/>
      </w:tabs>
      <w:spacing w:before="0"/>
    </w:pPr>
  </w:style>
  <w:style w:type="character" w:customStyle="1" w:styleId="HeaderChar">
    <w:name w:val="Header Char"/>
    <w:basedOn w:val="DefaultParagraphFont"/>
    <w:link w:val="Header"/>
    <w:uiPriority w:val="99"/>
    <w:rsid w:val="0035577A"/>
    <w:rPr>
      <w:rFonts w:ascii="Arial" w:eastAsia="Times New Roman" w:hAnsi="Arial" w:cs="Times New Roman"/>
      <w:sz w:val="20"/>
      <w:szCs w:val="24"/>
    </w:rPr>
  </w:style>
  <w:style w:type="paragraph" w:styleId="Footer">
    <w:name w:val="footer"/>
    <w:basedOn w:val="Normal"/>
    <w:link w:val="FooterChar"/>
    <w:uiPriority w:val="99"/>
    <w:unhideWhenUsed/>
    <w:rsid w:val="0035577A"/>
    <w:pPr>
      <w:tabs>
        <w:tab w:val="center" w:pos="4513"/>
        <w:tab w:val="right" w:pos="9026"/>
      </w:tabs>
      <w:spacing w:before="0"/>
    </w:pPr>
  </w:style>
  <w:style w:type="character" w:customStyle="1" w:styleId="FooterChar">
    <w:name w:val="Footer Char"/>
    <w:basedOn w:val="DefaultParagraphFont"/>
    <w:link w:val="Footer"/>
    <w:uiPriority w:val="99"/>
    <w:rsid w:val="0035577A"/>
    <w:rPr>
      <w:rFonts w:ascii="Arial" w:eastAsia="Times New Roman" w:hAnsi="Arial" w:cs="Times New Roman"/>
      <w:sz w:val="20"/>
      <w:szCs w:val="24"/>
    </w:rPr>
  </w:style>
  <w:style w:type="paragraph" w:customStyle="1" w:styleId="Table-normal-text">
    <w:name w:val="Table-normal-text"/>
    <w:basedOn w:val="Normal"/>
    <w:rsid w:val="00C6312A"/>
    <w:pPr>
      <w:spacing w:before="60"/>
    </w:pPr>
  </w:style>
  <w:style w:type="table" w:styleId="TableGrid">
    <w:name w:val="Table Grid"/>
    <w:basedOn w:val="TableNormal"/>
    <w:uiPriority w:val="59"/>
    <w:rsid w:val="00C6312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83D0F"/>
    <w:rPr>
      <w:rFonts w:asciiTheme="majorHAnsi" w:eastAsiaTheme="majorEastAsia" w:hAnsiTheme="majorHAnsi" w:cstheme="majorBidi"/>
      <w:b/>
      <w:bCs/>
      <w:i/>
      <w:iCs/>
      <w:color w:val="4F81BD" w:themeColor="accent1"/>
      <w:sz w:val="20"/>
      <w:szCs w:val="24"/>
    </w:rPr>
  </w:style>
  <w:style w:type="character" w:customStyle="1" w:styleId="Heading2Char">
    <w:name w:val="Heading 2 Char"/>
    <w:basedOn w:val="DefaultParagraphFont"/>
    <w:link w:val="Heading2"/>
    <w:uiPriority w:val="9"/>
    <w:semiHidden/>
    <w:rsid w:val="002A0C1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6782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82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512F"/>
    <w:rPr>
      <w:sz w:val="16"/>
      <w:szCs w:val="16"/>
    </w:rPr>
  </w:style>
  <w:style w:type="paragraph" w:styleId="CommentText">
    <w:name w:val="annotation text"/>
    <w:basedOn w:val="Normal"/>
    <w:link w:val="CommentTextChar"/>
    <w:uiPriority w:val="99"/>
    <w:semiHidden/>
    <w:unhideWhenUsed/>
    <w:rsid w:val="0040512F"/>
    <w:rPr>
      <w:szCs w:val="20"/>
    </w:rPr>
  </w:style>
  <w:style w:type="character" w:customStyle="1" w:styleId="CommentTextChar">
    <w:name w:val="Comment Text Char"/>
    <w:basedOn w:val="DefaultParagraphFont"/>
    <w:link w:val="CommentText"/>
    <w:uiPriority w:val="99"/>
    <w:semiHidden/>
    <w:rsid w:val="004051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0512F"/>
    <w:rPr>
      <w:b/>
      <w:bCs/>
    </w:rPr>
  </w:style>
  <w:style w:type="character" w:customStyle="1" w:styleId="CommentSubjectChar">
    <w:name w:val="Comment Subject Char"/>
    <w:basedOn w:val="CommentTextChar"/>
    <w:link w:val="CommentSubject"/>
    <w:uiPriority w:val="99"/>
    <w:semiHidden/>
    <w:rsid w:val="0040512F"/>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DE"/>
    <w:pPr>
      <w:spacing w:before="120"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A778DE"/>
    <w:pPr>
      <w:keepNext/>
      <w:numPr>
        <w:numId w:val="2"/>
      </w:numPr>
      <w:spacing w:before="240" w:after="6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A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11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3D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8DE"/>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A778DE"/>
    <w:pPr>
      <w:numPr>
        <w:numId w:val="1"/>
      </w:numPr>
      <w:spacing w:before="0" w:after="200" w:line="276" w:lineRule="auto"/>
    </w:pPr>
    <w:rPr>
      <w:rFonts w:cs="Arial"/>
      <w:szCs w:val="20"/>
      <w:lang w:val="en-US" w:eastAsia="en-AU"/>
    </w:rPr>
  </w:style>
  <w:style w:type="character" w:styleId="Hyperlink">
    <w:name w:val="Hyperlink"/>
    <w:rsid w:val="00A778DE"/>
    <w:rPr>
      <w:rFonts w:ascii="Arial" w:hAnsi="Arial"/>
      <w:color w:val="0000FF"/>
      <w:u w:val="single"/>
    </w:rPr>
  </w:style>
  <w:style w:type="paragraph" w:customStyle="1" w:styleId="ListParagraphindent">
    <w:name w:val="List Paragraph indent"/>
    <w:basedOn w:val="ListParagraph"/>
    <w:rsid w:val="00A778DE"/>
    <w:pPr>
      <w:numPr>
        <w:ilvl w:val="2"/>
      </w:numPr>
    </w:pPr>
    <w:rPr>
      <w:lang w:val="en-AU"/>
    </w:rPr>
  </w:style>
  <w:style w:type="paragraph" w:customStyle="1" w:styleId="ListParagraphindent2">
    <w:name w:val="List Paragraph indent 2"/>
    <w:basedOn w:val="ListParagraphindent"/>
    <w:rsid w:val="00A778DE"/>
    <w:pPr>
      <w:numPr>
        <w:ilvl w:val="3"/>
      </w:numPr>
    </w:pPr>
  </w:style>
  <w:style w:type="paragraph" w:styleId="FootnoteText">
    <w:name w:val="footnote text"/>
    <w:basedOn w:val="Normal"/>
    <w:link w:val="FootnoteTextChar"/>
    <w:rsid w:val="00A36555"/>
    <w:pPr>
      <w:ind w:left="142" w:hanging="142"/>
    </w:pPr>
    <w:rPr>
      <w:bCs/>
      <w:sz w:val="16"/>
      <w:szCs w:val="16"/>
      <w:lang w:val="en-US"/>
    </w:rPr>
  </w:style>
  <w:style w:type="character" w:customStyle="1" w:styleId="FootnoteTextChar">
    <w:name w:val="Footnote Text Char"/>
    <w:basedOn w:val="DefaultParagraphFont"/>
    <w:link w:val="FootnoteText"/>
    <w:rsid w:val="00A36555"/>
    <w:rPr>
      <w:rFonts w:ascii="Arial" w:eastAsia="Times New Roman" w:hAnsi="Arial" w:cs="Times New Roman"/>
      <w:bCs/>
      <w:sz w:val="16"/>
      <w:szCs w:val="16"/>
      <w:lang w:val="en-US"/>
    </w:rPr>
  </w:style>
  <w:style w:type="paragraph" w:customStyle="1" w:styleId="bullet">
    <w:name w:val="bullet"/>
    <w:basedOn w:val="BodyText"/>
    <w:rsid w:val="00A36555"/>
    <w:pPr>
      <w:numPr>
        <w:numId w:val="4"/>
      </w:numPr>
      <w:spacing w:line="280" w:lineRule="atLeast"/>
      <w:ind w:left="709" w:hanging="283"/>
    </w:pPr>
    <w:rPr>
      <w:rFonts w:cs="Arial"/>
      <w:szCs w:val="20"/>
      <w:lang w:eastAsia="en-AU" w:bidi="en-US"/>
    </w:rPr>
  </w:style>
  <w:style w:type="paragraph" w:customStyle="1" w:styleId="bullet1">
    <w:name w:val="bullet1"/>
    <w:basedOn w:val="bullet"/>
    <w:rsid w:val="00A36555"/>
    <w:pPr>
      <w:numPr>
        <w:ilvl w:val="1"/>
      </w:numPr>
      <w:ind w:left="993" w:hanging="284"/>
    </w:pPr>
  </w:style>
  <w:style w:type="paragraph" w:styleId="BodyText">
    <w:name w:val="Body Text"/>
    <w:basedOn w:val="Normal"/>
    <w:link w:val="BodyTextChar"/>
    <w:uiPriority w:val="99"/>
    <w:semiHidden/>
    <w:unhideWhenUsed/>
    <w:rsid w:val="00A36555"/>
    <w:pPr>
      <w:spacing w:after="120"/>
    </w:pPr>
  </w:style>
  <w:style w:type="character" w:customStyle="1" w:styleId="BodyTextChar">
    <w:name w:val="Body Text Char"/>
    <w:basedOn w:val="DefaultParagraphFont"/>
    <w:link w:val="BodyText"/>
    <w:uiPriority w:val="99"/>
    <w:semiHidden/>
    <w:rsid w:val="00A36555"/>
    <w:rPr>
      <w:rFonts w:ascii="Arial" w:eastAsia="Times New Roman" w:hAnsi="Arial" w:cs="Times New Roman"/>
      <w:sz w:val="20"/>
      <w:szCs w:val="24"/>
    </w:rPr>
  </w:style>
  <w:style w:type="character" w:customStyle="1" w:styleId="Heading3Char">
    <w:name w:val="Heading 3 Char"/>
    <w:basedOn w:val="DefaultParagraphFont"/>
    <w:link w:val="Heading3"/>
    <w:uiPriority w:val="9"/>
    <w:semiHidden/>
    <w:rsid w:val="008F111E"/>
    <w:rPr>
      <w:rFonts w:asciiTheme="majorHAnsi" w:eastAsiaTheme="majorEastAsia" w:hAnsiTheme="majorHAnsi" w:cstheme="majorBidi"/>
      <w:b/>
      <w:bCs/>
      <w:color w:val="4F81BD" w:themeColor="accent1"/>
      <w:sz w:val="20"/>
      <w:szCs w:val="24"/>
    </w:rPr>
  </w:style>
  <w:style w:type="character" w:styleId="FootnoteReference">
    <w:name w:val="footnote reference"/>
    <w:basedOn w:val="DefaultParagraphFont"/>
    <w:rsid w:val="008F111E"/>
    <w:rPr>
      <w:vertAlign w:val="superscript"/>
    </w:rPr>
  </w:style>
  <w:style w:type="paragraph" w:customStyle="1" w:styleId="CONLevela">
    <w:name w:val=".CON  Level  (a)"/>
    <w:basedOn w:val="Normal"/>
    <w:next w:val="Normal"/>
    <w:rsid w:val="001F5AF9"/>
    <w:pPr>
      <w:numPr>
        <w:ilvl w:val="2"/>
        <w:numId w:val="5"/>
      </w:numPr>
      <w:spacing w:before="240"/>
      <w:outlineLvl w:val="3"/>
    </w:pPr>
    <w:rPr>
      <w:rFonts w:ascii="Times New Roman" w:hAnsi="Times New Roman"/>
      <w:sz w:val="24"/>
      <w:szCs w:val="22"/>
    </w:rPr>
  </w:style>
  <w:style w:type="paragraph" w:customStyle="1" w:styleId="CONLeveli">
    <w:name w:val=".CON  Level  (i)"/>
    <w:basedOn w:val="Normal"/>
    <w:next w:val="Normal"/>
    <w:rsid w:val="001F5AF9"/>
    <w:pPr>
      <w:numPr>
        <w:ilvl w:val="3"/>
        <w:numId w:val="5"/>
      </w:numPr>
      <w:spacing w:before="240"/>
      <w:outlineLvl w:val="4"/>
    </w:pPr>
    <w:rPr>
      <w:rFonts w:ascii="Times New Roman" w:hAnsi="Times New Roman"/>
      <w:sz w:val="24"/>
      <w:szCs w:val="22"/>
    </w:rPr>
  </w:style>
  <w:style w:type="paragraph" w:customStyle="1" w:styleId="CONLevel11">
    <w:name w:val=".CON  Level   1.1"/>
    <w:basedOn w:val="Normal"/>
    <w:next w:val="Normal"/>
    <w:link w:val="CONLevel11Char"/>
    <w:rsid w:val="001F5AF9"/>
    <w:pPr>
      <w:numPr>
        <w:ilvl w:val="1"/>
        <w:numId w:val="5"/>
      </w:numPr>
      <w:spacing w:before="240"/>
      <w:outlineLvl w:val="2"/>
    </w:pPr>
    <w:rPr>
      <w:rFonts w:ascii="Times New Roman" w:hAnsi="Times New Roman"/>
      <w:sz w:val="24"/>
      <w:szCs w:val="22"/>
    </w:rPr>
  </w:style>
  <w:style w:type="paragraph" w:customStyle="1" w:styleId="CONLevelA0">
    <w:name w:val=".CON  Level (A)"/>
    <w:basedOn w:val="Normal"/>
    <w:next w:val="Normal"/>
    <w:rsid w:val="001F5AF9"/>
    <w:pPr>
      <w:numPr>
        <w:ilvl w:val="4"/>
        <w:numId w:val="5"/>
      </w:numPr>
      <w:spacing w:before="240"/>
      <w:outlineLvl w:val="5"/>
    </w:pPr>
    <w:rPr>
      <w:rFonts w:ascii="Times New Roman" w:hAnsi="Times New Roman"/>
      <w:sz w:val="24"/>
      <w:szCs w:val="22"/>
    </w:rPr>
  </w:style>
  <w:style w:type="paragraph" w:customStyle="1" w:styleId="CONLevelI0">
    <w:name w:val=".CON  Level (I)"/>
    <w:basedOn w:val="Normal"/>
    <w:next w:val="Normal"/>
    <w:rsid w:val="001F5AF9"/>
    <w:pPr>
      <w:numPr>
        <w:ilvl w:val="5"/>
        <w:numId w:val="5"/>
      </w:numPr>
      <w:spacing w:before="240"/>
      <w:outlineLvl w:val="6"/>
    </w:pPr>
    <w:rPr>
      <w:rFonts w:ascii="Times New Roman" w:hAnsi="Times New Roman"/>
      <w:sz w:val="24"/>
      <w:szCs w:val="22"/>
    </w:rPr>
  </w:style>
  <w:style w:type="paragraph" w:customStyle="1" w:styleId="CONLevel1">
    <w:name w:val=".CON  Level   1."/>
    <w:basedOn w:val="Normal"/>
    <w:next w:val="Normal"/>
    <w:rsid w:val="001F5AF9"/>
    <w:pPr>
      <w:keepNext/>
      <w:numPr>
        <w:numId w:val="5"/>
      </w:numPr>
      <w:spacing w:before="240"/>
      <w:outlineLvl w:val="1"/>
    </w:pPr>
    <w:rPr>
      <w:rFonts w:ascii="Times New Roman" w:hAnsi="Times New Roman"/>
      <w:b/>
      <w:sz w:val="24"/>
      <w:szCs w:val="22"/>
    </w:rPr>
  </w:style>
  <w:style w:type="character" w:customStyle="1" w:styleId="CONLevel11Char">
    <w:name w:val=".CON  Level   1.1 Char"/>
    <w:link w:val="CONLevel11"/>
    <w:rsid w:val="001F5AF9"/>
    <w:rPr>
      <w:rFonts w:ascii="Times New Roman" w:eastAsia="Times New Roman" w:hAnsi="Times New Roman" w:cs="Times New Roman"/>
      <w:sz w:val="24"/>
    </w:rPr>
  </w:style>
  <w:style w:type="paragraph" w:styleId="Header">
    <w:name w:val="header"/>
    <w:basedOn w:val="Normal"/>
    <w:link w:val="HeaderChar"/>
    <w:uiPriority w:val="99"/>
    <w:unhideWhenUsed/>
    <w:rsid w:val="0035577A"/>
    <w:pPr>
      <w:tabs>
        <w:tab w:val="center" w:pos="4513"/>
        <w:tab w:val="right" w:pos="9026"/>
      </w:tabs>
      <w:spacing w:before="0"/>
    </w:pPr>
  </w:style>
  <w:style w:type="character" w:customStyle="1" w:styleId="HeaderChar">
    <w:name w:val="Header Char"/>
    <w:basedOn w:val="DefaultParagraphFont"/>
    <w:link w:val="Header"/>
    <w:uiPriority w:val="99"/>
    <w:rsid w:val="0035577A"/>
    <w:rPr>
      <w:rFonts w:ascii="Arial" w:eastAsia="Times New Roman" w:hAnsi="Arial" w:cs="Times New Roman"/>
      <w:sz w:val="20"/>
      <w:szCs w:val="24"/>
    </w:rPr>
  </w:style>
  <w:style w:type="paragraph" w:styleId="Footer">
    <w:name w:val="footer"/>
    <w:basedOn w:val="Normal"/>
    <w:link w:val="FooterChar"/>
    <w:uiPriority w:val="99"/>
    <w:unhideWhenUsed/>
    <w:rsid w:val="0035577A"/>
    <w:pPr>
      <w:tabs>
        <w:tab w:val="center" w:pos="4513"/>
        <w:tab w:val="right" w:pos="9026"/>
      </w:tabs>
      <w:spacing w:before="0"/>
    </w:pPr>
  </w:style>
  <w:style w:type="character" w:customStyle="1" w:styleId="FooterChar">
    <w:name w:val="Footer Char"/>
    <w:basedOn w:val="DefaultParagraphFont"/>
    <w:link w:val="Footer"/>
    <w:uiPriority w:val="99"/>
    <w:rsid w:val="0035577A"/>
    <w:rPr>
      <w:rFonts w:ascii="Arial" w:eastAsia="Times New Roman" w:hAnsi="Arial" w:cs="Times New Roman"/>
      <w:sz w:val="20"/>
      <w:szCs w:val="24"/>
    </w:rPr>
  </w:style>
  <w:style w:type="paragraph" w:customStyle="1" w:styleId="Table-normal-text">
    <w:name w:val="Table-normal-text"/>
    <w:basedOn w:val="Normal"/>
    <w:rsid w:val="00C6312A"/>
    <w:pPr>
      <w:spacing w:before="60"/>
    </w:pPr>
  </w:style>
  <w:style w:type="table" w:styleId="TableGrid">
    <w:name w:val="Table Grid"/>
    <w:basedOn w:val="TableNormal"/>
    <w:uiPriority w:val="59"/>
    <w:rsid w:val="00C6312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83D0F"/>
    <w:rPr>
      <w:rFonts w:asciiTheme="majorHAnsi" w:eastAsiaTheme="majorEastAsia" w:hAnsiTheme="majorHAnsi" w:cstheme="majorBidi"/>
      <w:b/>
      <w:bCs/>
      <w:i/>
      <w:iCs/>
      <w:color w:val="4F81BD" w:themeColor="accent1"/>
      <w:sz w:val="20"/>
      <w:szCs w:val="24"/>
    </w:rPr>
  </w:style>
  <w:style w:type="character" w:customStyle="1" w:styleId="Heading2Char">
    <w:name w:val="Heading 2 Char"/>
    <w:basedOn w:val="DefaultParagraphFont"/>
    <w:link w:val="Heading2"/>
    <w:uiPriority w:val="9"/>
    <w:semiHidden/>
    <w:rsid w:val="002A0C1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6782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82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512F"/>
    <w:rPr>
      <w:sz w:val="16"/>
      <w:szCs w:val="16"/>
    </w:rPr>
  </w:style>
  <w:style w:type="paragraph" w:styleId="CommentText">
    <w:name w:val="annotation text"/>
    <w:basedOn w:val="Normal"/>
    <w:link w:val="CommentTextChar"/>
    <w:uiPriority w:val="99"/>
    <w:semiHidden/>
    <w:unhideWhenUsed/>
    <w:rsid w:val="0040512F"/>
    <w:rPr>
      <w:szCs w:val="20"/>
    </w:rPr>
  </w:style>
  <w:style w:type="character" w:customStyle="1" w:styleId="CommentTextChar">
    <w:name w:val="Comment Text Char"/>
    <w:basedOn w:val="DefaultParagraphFont"/>
    <w:link w:val="CommentText"/>
    <w:uiPriority w:val="99"/>
    <w:semiHidden/>
    <w:rsid w:val="004051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0512F"/>
    <w:rPr>
      <w:b/>
      <w:bCs/>
    </w:rPr>
  </w:style>
  <w:style w:type="character" w:customStyle="1" w:styleId="CommentSubjectChar">
    <w:name w:val="Comment Subject Char"/>
    <w:basedOn w:val="CommentTextChar"/>
    <w:link w:val="CommentSubject"/>
    <w:uiPriority w:val="99"/>
    <w:semiHidden/>
    <w:rsid w:val="0040512F"/>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nationalsecurity.gov.au/Listedterroristorganisations/Pages/default.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37625C-A33B-403D-9D1B-BB5615947F3E}"/>
</file>

<file path=customXml/itemProps2.xml><?xml version="1.0" encoding="utf-8"?>
<ds:datastoreItem xmlns:ds="http://schemas.openxmlformats.org/officeDocument/2006/customXml" ds:itemID="{C81DEFB0-77E2-47EA-9D21-BF0EE885FD11}"/>
</file>

<file path=customXml/itemProps3.xml><?xml version="1.0" encoding="utf-8"?>
<ds:datastoreItem xmlns:ds="http://schemas.openxmlformats.org/officeDocument/2006/customXml" ds:itemID="{CC65064A-20A3-4DFD-B7B9-0F46EFE8BBA5}"/>
</file>

<file path=customXml/itemProps4.xml><?xml version="1.0" encoding="utf-8"?>
<ds:datastoreItem xmlns:ds="http://schemas.openxmlformats.org/officeDocument/2006/customXml" ds:itemID="{A90C79B0-A3E9-4E6F-9A20-E81E4D113ACA}"/>
</file>

<file path=docProps/app.xml><?xml version="1.0" encoding="utf-8"?>
<Properties xmlns="http://schemas.openxmlformats.org/officeDocument/2006/extended-properties" xmlns:vt="http://schemas.openxmlformats.org/officeDocument/2006/docPropsVTypes">
  <Template>E48C1B52.dotm</Template>
  <TotalTime>0</TotalTime>
  <Pages>26</Pages>
  <Words>9146</Words>
  <Characters>49482</Characters>
  <Application>Microsoft Office Word</Application>
  <DocSecurity>0</DocSecurity>
  <Lines>1268</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2015-11-04T02:39:00Z</dcterms:created>
  <dcterms:modified xsi:type="dcterms:W3CDTF">2015-11-04T02:39:00Z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985300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