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FC0A3" w14:textId="37A100C1" w:rsidR="004E058F" w:rsidRDefault="006545B6" w:rsidP="003A5358">
      <w:pPr>
        <w:pStyle w:val="Title"/>
      </w:pPr>
      <w:r>
        <w:t>Digital trade strategy</w:t>
      </w:r>
    </w:p>
    <w:p w14:paraId="40AFC0A4" w14:textId="10D0A1AA" w:rsidR="00745DF5" w:rsidRDefault="00BA4B6D" w:rsidP="003A5358">
      <w:pPr>
        <w:pStyle w:val="Subtitle"/>
        <w:sectPr w:rsidR="00745DF5" w:rsidSect="00526F20">
          <w:headerReference w:type="default" r:id="rId11"/>
          <w:headerReference w:type="first" r:id="rId12"/>
          <w:type w:val="continuous"/>
          <w:pgSz w:w="11906" w:h="16838" w:code="9"/>
          <w:pgMar w:top="2703" w:right="1134" w:bottom="993" w:left="1134" w:header="1843" w:footer="567" w:gutter="0"/>
          <w:pgNumType w:fmt="upperLetter"/>
          <w:cols w:space="708"/>
          <w:vAlign w:val="bottom"/>
          <w:titlePg/>
          <w:docGrid w:linePitch="360"/>
        </w:sectPr>
      </w:pPr>
      <w:r>
        <w:fldChar w:fldCharType="begin"/>
      </w:r>
      <w:r>
        <w:instrText xml:space="preserve"> DATE  \@ "MMMM yyyy"  \* MERGEFORMAT </w:instrText>
      </w:r>
      <w:r>
        <w:fldChar w:fldCharType="separate"/>
      </w:r>
      <w:r w:rsidR="009833EE">
        <w:rPr>
          <w:noProof/>
        </w:rPr>
        <w:t>April 2022</w:t>
      </w:r>
      <w:r>
        <w:fldChar w:fldCharType="end"/>
      </w:r>
      <w:r w:rsidR="00501EA3">
        <w:t xml:space="preserve"> </w:t>
      </w:r>
    </w:p>
    <w:p w14:paraId="40AFC0A9" w14:textId="42F71581" w:rsidR="00A24100" w:rsidRDefault="006545B6" w:rsidP="001B1386">
      <w:pPr>
        <w:pStyle w:val="Heading1smallspaceafter"/>
        <w:spacing w:before="0" w:after="240"/>
        <w:contextualSpacing w:val="0"/>
      </w:pPr>
      <w:bookmarkStart w:id="0" w:name="_Toc92134440"/>
      <w:r>
        <w:lastRenderedPageBreak/>
        <w:t>executive summary</w:t>
      </w:r>
      <w:bookmarkEnd w:id="0"/>
      <w:r>
        <w:t xml:space="preserve"> </w:t>
      </w:r>
    </w:p>
    <w:p w14:paraId="7F8CF4C1" w14:textId="77777777" w:rsidR="00446487" w:rsidRDefault="00446487" w:rsidP="00446487">
      <w:pPr>
        <w:pStyle w:val="Heading4"/>
      </w:pPr>
      <w:r>
        <w:t xml:space="preserve">Objectives </w:t>
      </w:r>
    </w:p>
    <w:p w14:paraId="5D968274" w14:textId="7881A1E7" w:rsidR="00446487" w:rsidRDefault="00446487" w:rsidP="00446487">
      <w:pPr>
        <w:pStyle w:val="BodyText"/>
      </w:pPr>
      <w:r>
        <w:t xml:space="preserve">Keeping the global economy open and businesses trading is crucial for </w:t>
      </w:r>
      <w:r w:rsidR="00437219">
        <w:t xml:space="preserve">the </w:t>
      </w:r>
      <w:r>
        <w:t>economic recovery and ongoing prosperity</w:t>
      </w:r>
      <w:r w:rsidR="00437219">
        <w:t xml:space="preserve"> of Australia – and our region</w:t>
      </w:r>
      <w:r>
        <w:t xml:space="preserve">. Digital trade and </w:t>
      </w:r>
      <w:r w:rsidR="00F56E6F">
        <w:t xml:space="preserve">the </w:t>
      </w:r>
      <w:r>
        <w:t xml:space="preserve">technologies </w:t>
      </w:r>
      <w:r w:rsidR="00F56E6F">
        <w:t xml:space="preserve">that underpin it </w:t>
      </w:r>
      <w:r>
        <w:t xml:space="preserve">are fundamental to </w:t>
      </w:r>
      <w:r w:rsidR="001B1386">
        <w:t xml:space="preserve">our economic </w:t>
      </w:r>
      <w:r w:rsidR="009B2EA6">
        <w:t xml:space="preserve">growth </w:t>
      </w:r>
      <w:r>
        <w:t>and realis</w:t>
      </w:r>
      <w:r w:rsidR="009B2EA6">
        <w:t>ing</w:t>
      </w:r>
      <w:r>
        <w:t xml:space="preserve"> </w:t>
      </w:r>
      <w:r w:rsidR="00437219">
        <w:t xml:space="preserve">the Government’s </w:t>
      </w:r>
      <w:r>
        <w:t xml:space="preserve">vision to be a </w:t>
      </w:r>
      <w:r w:rsidR="0070638F">
        <w:t xml:space="preserve">top 10 </w:t>
      </w:r>
      <w:r>
        <w:t xml:space="preserve">digital economy and society by 2030. In line with this, Australia seeks to shape an international environment that enables digital trade and reinforces the rules-based trading system. Essential to this are digital trade rules. </w:t>
      </w:r>
    </w:p>
    <w:p w14:paraId="72177D2C" w14:textId="640DF421" w:rsidR="00446487" w:rsidRDefault="00446487" w:rsidP="00446487">
      <w:pPr>
        <w:pStyle w:val="BodyText"/>
      </w:pPr>
      <w:r>
        <w:t xml:space="preserve">The Digital Trade Strategy provides a framework for Australia to maximise economic growth by shaping an enabling environment for digital trade. It guides Australia’s practical action as a leader in digital trade, </w:t>
      </w:r>
      <w:r w:rsidR="005C35E7">
        <w:t xml:space="preserve">informing our </w:t>
      </w:r>
      <w:r>
        <w:t xml:space="preserve">work to develop digital trade rules to deliver commercial benefits and push back against digital protectionism. </w:t>
      </w:r>
    </w:p>
    <w:p w14:paraId="0A29E372" w14:textId="77777777" w:rsidR="00446487" w:rsidRDefault="00446487" w:rsidP="00446487">
      <w:pPr>
        <w:pStyle w:val="Heading4"/>
      </w:pPr>
      <w:r>
        <w:t xml:space="preserve">Digital trade </w:t>
      </w:r>
    </w:p>
    <w:p w14:paraId="0407339B" w14:textId="6EF31BA0" w:rsidR="00446487" w:rsidRDefault="00446487" w:rsidP="00446487">
      <w:pPr>
        <w:pStyle w:val="BodyText"/>
      </w:pPr>
      <w:bookmarkStart w:id="1" w:name="_Hlk86936039"/>
      <w:r>
        <w:t xml:space="preserve">The pandemic has underscored the importance of digital trade and technologies in supporting and enhancing business operations across every sector. </w:t>
      </w:r>
      <w:bookmarkEnd w:id="1"/>
      <w:r>
        <w:t>However, the benefits of digital trade cannot be realised or shared where there are behind</w:t>
      </w:r>
      <w:r w:rsidR="00A32D10">
        <w:t>-</w:t>
      </w:r>
      <w:r>
        <w:t>the</w:t>
      </w:r>
      <w:r w:rsidR="00A32D10">
        <w:t>-</w:t>
      </w:r>
      <w:r>
        <w:t xml:space="preserve">border barriers to online participation, or unjustified barriers preventing consumers and businesses from engaging in digital trade. </w:t>
      </w:r>
    </w:p>
    <w:p w14:paraId="235374B6" w14:textId="370E441A" w:rsidR="00446487" w:rsidRDefault="00446487" w:rsidP="00446487">
      <w:pPr>
        <w:pStyle w:val="BodyText"/>
      </w:pPr>
      <w:r>
        <w:t xml:space="preserve">Digital trade rules can significantly lower barriers to trade, improve trade efficiencies and facilitate access to markets, creating new trade possibilities. Australia </w:t>
      </w:r>
      <w:r w:rsidR="004B13E9">
        <w:t>plays</w:t>
      </w:r>
      <w:r>
        <w:t xml:space="preserve"> a leadership role on digital trade rule</w:t>
      </w:r>
      <w:r w:rsidR="004B13E9">
        <w:t>-making</w:t>
      </w:r>
      <w:r>
        <w:t xml:space="preserve">, advocating for liberalisation and facilitation of digital trade through participation in multilateral forums like the </w:t>
      </w:r>
      <w:r w:rsidR="005A35E2">
        <w:t>World Trade Organisation (</w:t>
      </w:r>
      <w:r>
        <w:t>WTO</w:t>
      </w:r>
      <w:r w:rsidR="005A35E2">
        <w:t>)</w:t>
      </w:r>
      <w:r>
        <w:t xml:space="preserve">, </w:t>
      </w:r>
      <w:r w:rsidR="006147D9">
        <w:t>U</w:t>
      </w:r>
      <w:r w:rsidR="005A35E2">
        <w:t xml:space="preserve">nited </w:t>
      </w:r>
      <w:r w:rsidR="006147D9">
        <w:t>N</w:t>
      </w:r>
      <w:r w:rsidR="005A35E2">
        <w:t>ations (UN)</w:t>
      </w:r>
      <w:r w:rsidR="006147D9">
        <w:t xml:space="preserve">, </w:t>
      </w:r>
      <w:r>
        <w:t>O</w:t>
      </w:r>
      <w:r w:rsidR="00D5607A">
        <w:t xml:space="preserve">rganisation for </w:t>
      </w:r>
      <w:r>
        <w:t>E</w:t>
      </w:r>
      <w:r w:rsidR="00D5607A">
        <w:t xml:space="preserve">conomic </w:t>
      </w:r>
      <w:r>
        <w:t>C</w:t>
      </w:r>
      <w:r w:rsidR="00D5607A">
        <w:t xml:space="preserve">ooperation and </w:t>
      </w:r>
      <w:r>
        <w:t>D</w:t>
      </w:r>
      <w:r w:rsidR="00D5607A">
        <w:t>evelopment (OECD)</w:t>
      </w:r>
      <w:r>
        <w:t xml:space="preserve">, </w:t>
      </w:r>
      <w:r w:rsidR="00D5607A">
        <w:t>Asia-Pacific Economic Cooperation (A</w:t>
      </w:r>
      <w:r>
        <w:t>PEC</w:t>
      </w:r>
      <w:r w:rsidR="00D5607A">
        <w:t>)</w:t>
      </w:r>
      <w:r>
        <w:t xml:space="preserve"> and G20, </w:t>
      </w:r>
      <w:r w:rsidR="001F0F53">
        <w:t xml:space="preserve">standard-setting bodies such as the </w:t>
      </w:r>
      <w:r w:rsidR="002E696B">
        <w:t>Intern</w:t>
      </w:r>
      <w:r w:rsidR="004056BD">
        <w:t>a</w:t>
      </w:r>
      <w:r w:rsidR="002E696B">
        <w:t>tional Organization</w:t>
      </w:r>
      <w:r w:rsidR="00D47D6D">
        <w:t xml:space="preserve"> for Standardization</w:t>
      </w:r>
      <w:r w:rsidR="001F0F53">
        <w:t xml:space="preserve">, </w:t>
      </w:r>
      <w:r>
        <w:t>as well as pursuing ambitious F</w:t>
      </w:r>
      <w:r w:rsidR="00AB1D78">
        <w:t>ree Trade Agreement (F</w:t>
      </w:r>
      <w:r>
        <w:t>TA</w:t>
      </w:r>
      <w:r w:rsidR="00AB1D78">
        <w:t>)</w:t>
      </w:r>
      <w:r>
        <w:t xml:space="preserve"> outcomes on digital trade. </w:t>
      </w:r>
    </w:p>
    <w:p w14:paraId="53B134D2" w14:textId="66B441C2" w:rsidR="00446487" w:rsidRDefault="00446487" w:rsidP="00446487">
      <w:pPr>
        <w:pStyle w:val="BodyText"/>
      </w:pPr>
      <w:r>
        <w:t xml:space="preserve">Australia’s digital trade commitments focus on trade facilitation, trust, </w:t>
      </w:r>
      <w:r w:rsidR="001773F9">
        <w:t>location of computing facilities</w:t>
      </w:r>
      <w:r w:rsidR="008F420B">
        <w:t>,</w:t>
      </w:r>
      <w:r>
        <w:t xml:space="preserve"> cross-border flows of data</w:t>
      </w:r>
      <w:r w:rsidR="008F420B">
        <w:t xml:space="preserve"> and cooperation</w:t>
      </w:r>
      <w:r>
        <w:t xml:space="preserve">. Australia advocates for rules that also ensure legitimate public policy objectives are met, such as in the areas of privacy, consumer </w:t>
      </w:r>
      <w:r w:rsidR="006530F9">
        <w:t xml:space="preserve">and data </w:t>
      </w:r>
      <w:r>
        <w:t xml:space="preserve">protection. </w:t>
      </w:r>
    </w:p>
    <w:p w14:paraId="504439CD" w14:textId="77777777" w:rsidR="00446487" w:rsidRDefault="00446487" w:rsidP="00446487">
      <w:pPr>
        <w:pStyle w:val="Heading4"/>
      </w:pPr>
      <w:r>
        <w:t>Action</w:t>
      </w:r>
    </w:p>
    <w:p w14:paraId="646A3B52" w14:textId="77777777" w:rsidR="00446487" w:rsidRDefault="00446487" w:rsidP="00446487">
      <w:pPr>
        <w:pStyle w:val="BodyText"/>
      </w:pPr>
      <w:r>
        <w:t xml:space="preserve">In delivering a modern and digital economy to drive Australia’s future prosperity, Australia will maximise economic growth by shaping an enabling environment for digital trade. To do this, Australia will </w:t>
      </w:r>
      <w:r w:rsidRPr="00F56E6F">
        <w:t>pursue global digital trade rules that reduce barriers to digital trade and support the growth of an open and</w:t>
      </w:r>
      <w:r w:rsidRPr="00ED6115">
        <w:rPr>
          <w:color w:val="auto"/>
        </w:rPr>
        <w:t xml:space="preserve"> </w:t>
      </w:r>
      <w:r>
        <w:t xml:space="preserve">competitive economic environment, including through:  </w:t>
      </w:r>
    </w:p>
    <w:p w14:paraId="532ECF20" w14:textId="77777777" w:rsidR="00910075" w:rsidRPr="00910075" w:rsidRDefault="00910075" w:rsidP="00910075">
      <w:pPr>
        <w:pStyle w:val="Bullet1"/>
      </w:pPr>
      <w:r w:rsidRPr="00910075">
        <w:t xml:space="preserve">Advocating </w:t>
      </w:r>
      <w:bookmarkStart w:id="2" w:name="_Hlk90377568"/>
      <w:r w:rsidRPr="00910075">
        <w:t>for digital trade liberalisation, standards and regulatory cooperation with international partners and through participation in international fora</w:t>
      </w:r>
      <w:bookmarkEnd w:id="2"/>
      <w:r w:rsidRPr="00910075">
        <w:t xml:space="preserve">. </w:t>
      </w:r>
    </w:p>
    <w:p w14:paraId="7C9A6C2D" w14:textId="1A26C829" w:rsidR="00446487" w:rsidRDefault="00446487" w:rsidP="00446487">
      <w:pPr>
        <w:pStyle w:val="Bullet1"/>
      </w:pPr>
      <w:r>
        <w:t xml:space="preserve">Negotiating </w:t>
      </w:r>
      <w:r w:rsidR="00E300C5">
        <w:t xml:space="preserve">liberalising and trade-facilitative </w:t>
      </w:r>
      <w:r>
        <w:t>digital trade rules and commitments in bilateral</w:t>
      </w:r>
      <w:r w:rsidR="004A7D12">
        <w:t>, multilateral</w:t>
      </w:r>
      <w:r>
        <w:t xml:space="preserve"> and plurilateral agreements</w:t>
      </w:r>
      <w:r w:rsidR="00540705">
        <w:t>.</w:t>
      </w:r>
    </w:p>
    <w:p w14:paraId="4B34FFB8" w14:textId="79050C1A" w:rsidR="00446487" w:rsidRDefault="00446487" w:rsidP="00446487">
      <w:pPr>
        <w:pStyle w:val="Bullet1"/>
      </w:pPr>
      <w:r>
        <w:t>Supporting the implementation of digital trade rules</w:t>
      </w:r>
      <w:r w:rsidR="00BD145B">
        <w:t xml:space="preserve"> internationally</w:t>
      </w:r>
      <w:r>
        <w:t xml:space="preserve">, including through </w:t>
      </w:r>
      <w:r w:rsidR="00AB58BC">
        <w:t xml:space="preserve">development assistance and </w:t>
      </w:r>
      <w:r>
        <w:t>capacity building projects and through promotion of Australian business overseas.</w:t>
      </w:r>
    </w:p>
    <w:p w14:paraId="4B431BF8" w14:textId="77777777" w:rsidR="00446487" w:rsidRDefault="00446487" w:rsidP="00446487">
      <w:pPr>
        <w:pStyle w:val="Heading4"/>
      </w:pPr>
      <w:r>
        <w:t>Guiding principles</w:t>
      </w:r>
    </w:p>
    <w:p w14:paraId="40AFC0B9" w14:textId="036041AA" w:rsidR="00AB388E" w:rsidRDefault="00446487" w:rsidP="00446487">
      <w:pPr>
        <w:pStyle w:val="BodyText"/>
        <w:sectPr w:rsidR="00AB388E" w:rsidSect="00AB1D78">
          <w:headerReference w:type="default" r:id="rId13"/>
          <w:footerReference w:type="default" r:id="rId14"/>
          <w:headerReference w:type="first" r:id="rId15"/>
          <w:footerReference w:type="first" r:id="rId16"/>
          <w:pgSz w:w="11906" w:h="16838" w:code="9"/>
          <w:pgMar w:top="1276" w:right="1134" w:bottom="1701" w:left="1134" w:header="567" w:footer="567" w:gutter="0"/>
          <w:pgNumType w:fmt="lowerRoman" w:start="1"/>
          <w:cols w:space="708"/>
          <w:docGrid w:linePitch="360"/>
        </w:sectPr>
      </w:pPr>
      <w:r>
        <w:t>This strategy is guided by the International Cyber and Critical Technology Engagement Strategy</w:t>
      </w:r>
      <w:r w:rsidR="00614258">
        <w:rPr>
          <w:rStyle w:val="FootnoteReference"/>
        </w:rPr>
        <w:footnoteReference w:id="1"/>
      </w:r>
      <w:r>
        <w:t xml:space="preserve"> and supports Australia’s Digital Economy Strategy.</w:t>
      </w:r>
    </w:p>
    <w:p w14:paraId="40AFC0BA" w14:textId="77777777" w:rsidR="004D0AEE" w:rsidRDefault="004D0AEE" w:rsidP="003A5358">
      <w:pPr>
        <w:pStyle w:val="TOCHeading"/>
      </w:pPr>
      <w:r>
        <w:lastRenderedPageBreak/>
        <w:t>Contents</w:t>
      </w:r>
    </w:p>
    <w:p w14:paraId="4BD6A7B1" w14:textId="77FB1C0C" w:rsidR="00226090" w:rsidRDefault="000B3155">
      <w:pPr>
        <w:pStyle w:val="TOC1"/>
        <w:rPr>
          <w:rFonts w:eastAsiaTheme="minorEastAsia"/>
          <w:b w:val="0"/>
          <w:caps w:val="0"/>
          <w:noProof/>
          <w:color w:val="auto"/>
          <w:sz w:val="22"/>
          <w:lang w:val="en-AU" w:eastAsia="en-AU"/>
        </w:rPr>
      </w:pPr>
      <w:r w:rsidRPr="005B583F">
        <w:fldChar w:fldCharType="begin"/>
      </w:r>
      <w:r w:rsidRPr="005B583F">
        <w:instrText xml:space="preserve"> TOC \o "2-2" \h \z \t "Heading 1,1,Heading 1 Numbered,1,Heading 1 small space after,1,Heading 1 Numbered small space after,1" </w:instrText>
      </w:r>
      <w:r w:rsidRPr="005B583F">
        <w:fldChar w:fldCharType="separate"/>
      </w:r>
      <w:hyperlink w:anchor="_Toc92134440" w:history="1">
        <w:r w:rsidR="00226090" w:rsidRPr="00AA430F">
          <w:rPr>
            <w:rStyle w:val="Hyperlink"/>
            <w:noProof/>
          </w:rPr>
          <w:t>executive summary</w:t>
        </w:r>
        <w:r w:rsidR="00226090">
          <w:rPr>
            <w:noProof/>
            <w:webHidden/>
          </w:rPr>
          <w:tab/>
        </w:r>
        <w:r w:rsidR="00226090">
          <w:rPr>
            <w:noProof/>
            <w:webHidden/>
          </w:rPr>
          <w:fldChar w:fldCharType="begin"/>
        </w:r>
        <w:r w:rsidR="00226090">
          <w:rPr>
            <w:noProof/>
            <w:webHidden/>
          </w:rPr>
          <w:instrText xml:space="preserve"> PAGEREF _Toc92134440 \h </w:instrText>
        </w:r>
        <w:r w:rsidR="00226090">
          <w:rPr>
            <w:noProof/>
            <w:webHidden/>
          </w:rPr>
        </w:r>
        <w:r w:rsidR="00226090">
          <w:rPr>
            <w:noProof/>
            <w:webHidden/>
          </w:rPr>
          <w:fldChar w:fldCharType="separate"/>
        </w:r>
        <w:r w:rsidR="00E54686">
          <w:rPr>
            <w:noProof/>
            <w:webHidden/>
          </w:rPr>
          <w:t>i</w:t>
        </w:r>
        <w:r w:rsidR="00226090">
          <w:rPr>
            <w:noProof/>
            <w:webHidden/>
          </w:rPr>
          <w:fldChar w:fldCharType="end"/>
        </w:r>
      </w:hyperlink>
    </w:p>
    <w:p w14:paraId="04EC1542" w14:textId="1B7A76B0" w:rsidR="00226090" w:rsidRDefault="00AF4A67">
      <w:pPr>
        <w:pStyle w:val="TOC1"/>
        <w:rPr>
          <w:rFonts w:eastAsiaTheme="minorEastAsia"/>
          <w:b w:val="0"/>
          <w:caps w:val="0"/>
          <w:noProof/>
          <w:color w:val="auto"/>
          <w:sz w:val="22"/>
          <w:lang w:val="en-AU" w:eastAsia="en-AU"/>
        </w:rPr>
      </w:pPr>
      <w:hyperlink w:anchor="_Toc92134441" w:history="1">
        <w:r w:rsidR="00226090" w:rsidRPr="00AA430F">
          <w:rPr>
            <w:rStyle w:val="Hyperlink"/>
            <w:noProof/>
          </w:rPr>
          <w:t>Objectives</w:t>
        </w:r>
        <w:r w:rsidR="00226090">
          <w:rPr>
            <w:noProof/>
            <w:webHidden/>
          </w:rPr>
          <w:tab/>
        </w:r>
        <w:r w:rsidR="00226090">
          <w:rPr>
            <w:noProof/>
            <w:webHidden/>
          </w:rPr>
          <w:fldChar w:fldCharType="begin"/>
        </w:r>
        <w:r w:rsidR="00226090">
          <w:rPr>
            <w:noProof/>
            <w:webHidden/>
          </w:rPr>
          <w:instrText xml:space="preserve"> PAGEREF _Toc92134441 \h </w:instrText>
        </w:r>
        <w:r w:rsidR="00226090">
          <w:rPr>
            <w:noProof/>
            <w:webHidden/>
          </w:rPr>
        </w:r>
        <w:r w:rsidR="00226090">
          <w:rPr>
            <w:noProof/>
            <w:webHidden/>
          </w:rPr>
          <w:fldChar w:fldCharType="separate"/>
        </w:r>
        <w:r w:rsidR="00E54686">
          <w:rPr>
            <w:noProof/>
            <w:webHidden/>
          </w:rPr>
          <w:t>2</w:t>
        </w:r>
        <w:r w:rsidR="00226090">
          <w:rPr>
            <w:noProof/>
            <w:webHidden/>
          </w:rPr>
          <w:fldChar w:fldCharType="end"/>
        </w:r>
      </w:hyperlink>
    </w:p>
    <w:p w14:paraId="6FF8444A" w14:textId="4E509F8E" w:rsidR="00226090" w:rsidRDefault="00AF4A67">
      <w:pPr>
        <w:pStyle w:val="TOC2"/>
        <w:rPr>
          <w:rFonts w:eastAsiaTheme="minorEastAsia"/>
          <w:noProof/>
          <w:color w:val="auto"/>
          <w:lang w:val="en-AU" w:eastAsia="en-AU"/>
        </w:rPr>
      </w:pPr>
      <w:hyperlink w:anchor="_Toc92134442" w:history="1">
        <w:r w:rsidR="00226090" w:rsidRPr="00AA430F">
          <w:rPr>
            <w:rStyle w:val="Hyperlink"/>
            <w:noProof/>
          </w:rPr>
          <w:t>Vision</w:t>
        </w:r>
        <w:r w:rsidR="00226090">
          <w:rPr>
            <w:noProof/>
            <w:webHidden/>
          </w:rPr>
          <w:tab/>
        </w:r>
        <w:r w:rsidR="00226090">
          <w:rPr>
            <w:noProof/>
            <w:webHidden/>
          </w:rPr>
          <w:fldChar w:fldCharType="begin"/>
        </w:r>
        <w:r w:rsidR="00226090">
          <w:rPr>
            <w:noProof/>
            <w:webHidden/>
          </w:rPr>
          <w:instrText xml:space="preserve"> PAGEREF _Toc92134442 \h </w:instrText>
        </w:r>
        <w:r w:rsidR="00226090">
          <w:rPr>
            <w:noProof/>
            <w:webHidden/>
          </w:rPr>
        </w:r>
        <w:r w:rsidR="00226090">
          <w:rPr>
            <w:noProof/>
            <w:webHidden/>
          </w:rPr>
          <w:fldChar w:fldCharType="separate"/>
        </w:r>
        <w:r w:rsidR="00E54686">
          <w:rPr>
            <w:noProof/>
            <w:webHidden/>
          </w:rPr>
          <w:t>2</w:t>
        </w:r>
        <w:r w:rsidR="00226090">
          <w:rPr>
            <w:noProof/>
            <w:webHidden/>
          </w:rPr>
          <w:fldChar w:fldCharType="end"/>
        </w:r>
      </w:hyperlink>
    </w:p>
    <w:p w14:paraId="2260B762" w14:textId="2B6F3764" w:rsidR="00226090" w:rsidRDefault="00AF4A67">
      <w:pPr>
        <w:pStyle w:val="TOC2"/>
        <w:rPr>
          <w:rFonts w:eastAsiaTheme="minorEastAsia"/>
          <w:noProof/>
          <w:color w:val="auto"/>
          <w:lang w:val="en-AU" w:eastAsia="en-AU"/>
        </w:rPr>
      </w:pPr>
      <w:hyperlink w:anchor="_Toc92134443" w:history="1">
        <w:r w:rsidR="00226090" w:rsidRPr="00AA430F">
          <w:rPr>
            <w:rStyle w:val="Hyperlink"/>
            <w:noProof/>
          </w:rPr>
          <w:t>Digital trade defined</w:t>
        </w:r>
        <w:r w:rsidR="00226090">
          <w:rPr>
            <w:noProof/>
            <w:webHidden/>
          </w:rPr>
          <w:tab/>
        </w:r>
        <w:r w:rsidR="00226090">
          <w:rPr>
            <w:noProof/>
            <w:webHidden/>
          </w:rPr>
          <w:fldChar w:fldCharType="begin"/>
        </w:r>
        <w:r w:rsidR="00226090">
          <w:rPr>
            <w:noProof/>
            <w:webHidden/>
          </w:rPr>
          <w:instrText xml:space="preserve"> PAGEREF _Toc92134443 \h </w:instrText>
        </w:r>
        <w:r w:rsidR="00226090">
          <w:rPr>
            <w:noProof/>
            <w:webHidden/>
          </w:rPr>
        </w:r>
        <w:r w:rsidR="00226090">
          <w:rPr>
            <w:noProof/>
            <w:webHidden/>
          </w:rPr>
          <w:fldChar w:fldCharType="separate"/>
        </w:r>
        <w:r w:rsidR="00E54686">
          <w:rPr>
            <w:noProof/>
            <w:webHidden/>
          </w:rPr>
          <w:t>3</w:t>
        </w:r>
        <w:r w:rsidR="00226090">
          <w:rPr>
            <w:noProof/>
            <w:webHidden/>
          </w:rPr>
          <w:fldChar w:fldCharType="end"/>
        </w:r>
      </w:hyperlink>
    </w:p>
    <w:p w14:paraId="72D675E6" w14:textId="53883FD0" w:rsidR="00226090" w:rsidRDefault="00AF4A67" w:rsidP="0016605C">
      <w:pPr>
        <w:pStyle w:val="TOC2"/>
        <w:rPr>
          <w:rFonts w:eastAsiaTheme="minorEastAsia"/>
          <w:noProof/>
          <w:color w:val="auto"/>
          <w:lang w:val="en-AU" w:eastAsia="en-AU"/>
        </w:rPr>
      </w:pPr>
      <w:hyperlink w:anchor="_Toc92134444" w:history="1">
        <w:r w:rsidR="00226090" w:rsidRPr="00AA430F">
          <w:rPr>
            <w:rStyle w:val="Hyperlink"/>
            <w:noProof/>
          </w:rPr>
          <w:t>Benefits</w:t>
        </w:r>
        <w:r w:rsidR="00226090">
          <w:rPr>
            <w:noProof/>
            <w:webHidden/>
          </w:rPr>
          <w:tab/>
        </w:r>
        <w:r w:rsidR="00226090">
          <w:rPr>
            <w:noProof/>
            <w:webHidden/>
          </w:rPr>
          <w:fldChar w:fldCharType="begin"/>
        </w:r>
        <w:r w:rsidR="00226090">
          <w:rPr>
            <w:noProof/>
            <w:webHidden/>
          </w:rPr>
          <w:instrText xml:space="preserve"> PAGEREF _Toc92134444 \h </w:instrText>
        </w:r>
        <w:r w:rsidR="00226090">
          <w:rPr>
            <w:noProof/>
            <w:webHidden/>
          </w:rPr>
        </w:r>
        <w:r w:rsidR="00226090">
          <w:rPr>
            <w:noProof/>
            <w:webHidden/>
          </w:rPr>
          <w:fldChar w:fldCharType="separate"/>
        </w:r>
        <w:r w:rsidR="00E54686">
          <w:rPr>
            <w:noProof/>
            <w:webHidden/>
          </w:rPr>
          <w:t>4</w:t>
        </w:r>
        <w:r w:rsidR="00226090">
          <w:rPr>
            <w:noProof/>
            <w:webHidden/>
          </w:rPr>
          <w:fldChar w:fldCharType="end"/>
        </w:r>
      </w:hyperlink>
    </w:p>
    <w:p w14:paraId="2875FDDB" w14:textId="2FA2511C" w:rsidR="00226090" w:rsidRDefault="00AF4A67">
      <w:pPr>
        <w:pStyle w:val="TOC2"/>
        <w:rPr>
          <w:rFonts w:eastAsiaTheme="minorEastAsia"/>
          <w:noProof/>
          <w:color w:val="auto"/>
          <w:lang w:val="en-AU" w:eastAsia="en-AU"/>
        </w:rPr>
      </w:pPr>
      <w:hyperlink w:anchor="_Toc92134446" w:history="1">
        <w:r w:rsidR="00226090" w:rsidRPr="00AA430F">
          <w:rPr>
            <w:rStyle w:val="Hyperlink"/>
            <w:noProof/>
          </w:rPr>
          <w:t>Barriers</w:t>
        </w:r>
        <w:r w:rsidR="00226090">
          <w:rPr>
            <w:noProof/>
            <w:webHidden/>
          </w:rPr>
          <w:tab/>
        </w:r>
        <w:r w:rsidR="00226090">
          <w:rPr>
            <w:noProof/>
            <w:webHidden/>
          </w:rPr>
          <w:fldChar w:fldCharType="begin"/>
        </w:r>
        <w:r w:rsidR="00226090">
          <w:rPr>
            <w:noProof/>
            <w:webHidden/>
          </w:rPr>
          <w:instrText xml:space="preserve"> PAGEREF _Toc92134446 \h </w:instrText>
        </w:r>
        <w:r w:rsidR="00226090">
          <w:rPr>
            <w:noProof/>
            <w:webHidden/>
          </w:rPr>
        </w:r>
        <w:r w:rsidR="00226090">
          <w:rPr>
            <w:noProof/>
            <w:webHidden/>
          </w:rPr>
          <w:fldChar w:fldCharType="separate"/>
        </w:r>
        <w:r w:rsidR="00E54686">
          <w:rPr>
            <w:noProof/>
            <w:webHidden/>
          </w:rPr>
          <w:t>6</w:t>
        </w:r>
        <w:r w:rsidR="00226090">
          <w:rPr>
            <w:noProof/>
            <w:webHidden/>
          </w:rPr>
          <w:fldChar w:fldCharType="end"/>
        </w:r>
      </w:hyperlink>
    </w:p>
    <w:p w14:paraId="5198736E" w14:textId="213FD10B" w:rsidR="00226090" w:rsidRDefault="00AF4A67">
      <w:pPr>
        <w:pStyle w:val="TOC1"/>
        <w:rPr>
          <w:rFonts w:eastAsiaTheme="minorEastAsia"/>
          <w:b w:val="0"/>
          <w:caps w:val="0"/>
          <w:noProof/>
          <w:color w:val="auto"/>
          <w:sz w:val="22"/>
          <w:lang w:val="en-AU" w:eastAsia="en-AU"/>
        </w:rPr>
      </w:pPr>
      <w:hyperlink w:anchor="_Toc92134447" w:history="1">
        <w:r w:rsidR="00226090" w:rsidRPr="00AA430F">
          <w:rPr>
            <w:rStyle w:val="Hyperlink"/>
            <w:noProof/>
          </w:rPr>
          <w:t>Shaping an enabling environment Through digital trade rules</w:t>
        </w:r>
        <w:r w:rsidR="00226090">
          <w:rPr>
            <w:noProof/>
            <w:webHidden/>
          </w:rPr>
          <w:tab/>
        </w:r>
        <w:r w:rsidR="00226090">
          <w:rPr>
            <w:noProof/>
            <w:webHidden/>
          </w:rPr>
          <w:fldChar w:fldCharType="begin"/>
        </w:r>
        <w:r w:rsidR="00226090">
          <w:rPr>
            <w:noProof/>
            <w:webHidden/>
          </w:rPr>
          <w:instrText xml:space="preserve"> PAGEREF _Toc92134447 \h </w:instrText>
        </w:r>
        <w:r w:rsidR="00226090">
          <w:rPr>
            <w:noProof/>
            <w:webHidden/>
          </w:rPr>
        </w:r>
        <w:r w:rsidR="00226090">
          <w:rPr>
            <w:noProof/>
            <w:webHidden/>
          </w:rPr>
          <w:fldChar w:fldCharType="separate"/>
        </w:r>
        <w:r w:rsidR="00E54686">
          <w:rPr>
            <w:noProof/>
            <w:webHidden/>
          </w:rPr>
          <w:t>7</w:t>
        </w:r>
        <w:r w:rsidR="00226090">
          <w:rPr>
            <w:noProof/>
            <w:webHidden/>
          </w:rPr>
          <w:fldChar w:fldCharType="end"/>
        </w:r>
      </w:hyperlink>
    </w:p>
    <w:p w14:paraId="609117A1" w14:textId="39D097AA" w:rsidR="00226090" w:rsidRDefault="00AF4A67">
      <w:pPr>
        <w:pStyle w:val="TOC2"/>
        <w:rPr>
          <w:rFonts w:eastAsiaTheme="minorEastAsia"/>
          <w:noProof/>
          <w:color w:val="auto"/>
          <w:lang w:val="en-AU" w:eastAsia="en-AU"/>
        </w:rPr>
      </w:pPr>
      <w:hyperlink w:anchor="_Toc92134448" w:history="1">
        <w:r w:rsidR="00226090" w:rsidRPr="00AA430F">
          <w:rPr>
            <w:rStyle w:val="Hyperlink"/>
            <w:noProof/>
          </w:rPr>
          <w:t>Table 1: Digital trade rules explained</w:t>
        </w:r>
        <w:r w:rsidR="00226090">
          <w:rPr>
            <w:noProof/>
            <w:webHidden/>
          </w:rPr>
          <w:tab/>
        </w:r>
        <w:r w:rsidR="00226090">
          <w:rPr>
            <w:noProof/>
            <w:webHidden/>
          </w:rPr>
          <w:fldChar w:fldCharType="begin"/>
        </w:r>
        <w:r w:rsidR="00226090">
          <w:rPr>
            <w:noProof/>
            <w:webHidden/>
          </w:rPr>
          <w:instrText xml:space="preserve"> PAGEREF _Toc92134448 \h </w:instrText>
        </w:r>
        <w:r w:rsidR="00226090">
          <w:rPr>
            <w:noProof/>
            <w:webHidden/>
          </w:rPr>
        </w:r>
        <w:r w:rsidR="00226090">
          <w:rPr>
            <w:noProof/>
            <w:webHidden/>
          </w:rPr>
          <w:fldChar w:fldCharType="separate"/>
        </w:r>
        <w:r w:rsidR="00E54686">
          <w:rPr>
            <w:noProof/>
            <w:webHidden/>
          </w:rPr>
          <w:t>9</w:t>
        </w:r>
        <w:r w:rsidR="00226090">
          <w:rPr>
            <w:noProof/>
            <w:webHidden/>
          </w:rPr>
          <w:fldChar w:fldCharType="end"/>
        </w:r>
      </w:hyperlink>
    </w:p>
    <w:p w14:paraId="39445F12" w14:textId="32FBA3E1" w:rsidR="00226090" w:rsidRDefault="00AF4A67">
      <w:pPr>
        <w:pStyle w:val="TOC1"/>
        <w:rPr>
          <w:rFonts w:eastAsiaTheme="minorEastAsia"/>
          <w:b w:val="0"/>
          <w:caps w:val="0"/>
          <w:noProof/>
          <w:color w:val="auto"/>
          <w:sz w:val="22"/>
          <w:lang w:val="en-AU" w:eastAsia="en-AU"/>
        </w:rPr>
      </w:pPr>
      <w:hyperlink w:anchor="_Toc92134449" w:history="1">
        <w:r w:rsidR="00226090" w:rsidRPr="00AA430F">
          <w:rPr>
            <w:rStyle w:val="Hyperlink"/>
            <w:noProof/>
          </w:rPr>
          <w:t>Australia’s action</w:t>
        </w:r>
        <w:r w:rsidR="00226090">
          <w:rPr>
            <w:noProof/>
            <w:webHidden/>
          </w:rPr>
          <w:tab/>
        </w:r>
        <w:r w:rsidR="00226090">
          <w:rPr>
            <w:noProof/>
            <w:webHidden/>
          </w:rPr>
          <w:fldChar w:fldCharType="begin"/>
        </w:r>
        <w:r w:rsidR="00226090">
          <w:rPr>
            <w:noProof/>
            <w:webHidden/>
          </w:rPr>
          <w:instrText xml:space="preserve"> PAGEREF _Toc92134449 \h </w:instrText>
        </w:r>
        <w:r w:rsidR="00226090">
          <w:rPr>
            <w:noProof/>
            <w:webHidden/>
          </w:rPr>
        </w:r>
        <w:r w:rsidR="00226090">
          <w:rPr>
            <w:noProof/>
            <w:webHidden/>
          </w:rPr>
          <w:fldChar w:fldCharType="separate"/>
        </w:r>
        <w:r w:rsidR="00E54686">
          <w:rPr>
            <w:noProof/>
            <w:webHidden/>
          </w:rPr>
          <w:t>11</w:t>
        </w:r>
        <w:r w:rsidR="00226090">
          <w:rPr>
            <w:noProof/>
            <w:webHidden/>
          </w:rPr>
          <w:fldChar w:fldCharType="end"/>
        </w:r>
      </w:hyperlink>
    </w:p>
    <w:p w14:paraId="0CE8559E" w14:textId="4D86C994" w:rsidR="00226090" w:rsidRDefault="00AF4A67">
      <w:pPr>
        <w:pStyle w:val="TOC2"/>
        <w:rPr>
          <w:rFonts w:eastAsiaTheme="minorEastAsia"/>
          <w:noProof/>
          <w:color w:val="auto"/>
          <w:lang w:val="en-AU" w:eastAsia="en-AU"/>
        </w:rPr>
      </w:pPr>
      <w:hyperlink w:anchor="_Toc92134451" w:history="1">
        <w:r w:rsidR="00226090" w:rsidRPr="00AA430F">
          <w:rPr>
            <w:rStyle w:val="Hyperlink"/>
            <w:noProof/>
          </w:rPr>
          <w:t>Advocate</w:t>
        </w:r>
        <w:r w:rsidR="00226090">
          <w:rPr>
            <w:noProof/>
            <w:webHidden/>
          </w:rPr>
          <w:tab/>
        </w:r>
        <w:r w:rsidR="00226090">
          <w:rPr>
            <w:noProof/>
            <w:webHidden/>
          </w:rPr>
          <w:fldChar w:fldCharType="begin"/>
        </w:r>
        <w:r w:rsidR="00226090">
          <w:rPr>
            <w:noProof/>
            <w:webHidden/>
          </w:rPr>
          <w:instrText xml:space="preserve"> PAGEREF _Toc92134451 \h </w:instrText>
        </w:r>
        <w:r w:rsidR="00226090">
          <w:rPr>
            <w:noProof/>
            <w:webHidden/>
          </w:rPr>
        </w:r>
        <w:r w:rsidR="00226090">
          <w:rPr>
            <w:noProof/>
            <w:webHidden/>
          </w:rPr>
          <w:fldChar w:fldCharType="separate"/>
        </w:r>
        <w:r w:rsidR="00E54686">
          <w:rPr>
            <w:noProof/>
            <w:webHidden/>
          </w:rPr>
          <w:t>12</w:t>
        </w:r>
        <w:r w:rsidR="00226090">
          <w:rPr>
            <w:noProof/>
            <w:webHidden/>
          </w:rPr>
          <w:fldChar w:fldCharType="end"/>
        </w:r>
      </w:hyperlink>
    </w:p>
    <w:p w14:paraId="4829409A" w14:textId="0425D0B5" w:rsidR="00226090" w:rsidRDefault="00AF4A67">
      <w:pPr>
        <w:pStyle w:val="TOC2"/>
        <w:rPr>
          <w:rFonts w:eastAsiaTheme="minorEastAsia"/>
          <w:noProof/>
          <w:color w:val="auto"/>
          <w:lang w:val="en-AU" w:eastAsia="en-AU"/>
        </w:rPr>
      </w:pPr>
      <w:hyperlink w:anchor="_Toc92134452" w:history="1">
        <w:r w:rsidR="00226090" w:rsidRPr="00AA430F">
          <w:rPr>
            <w:rStyle w:val="Hyperlink"/>
            <w:noProof/>
          </w:rPr>
          <w:t>Negotiate</w:t>
        </w:r>
        <w:r w:rsidR="00226090">
          <w:rPr>
            <w:noProof/>
            <w:webHidden/>
          </w:rPr>
          <w:tab/>
        </w:r>
        <w:r w:rsidR="00226090">
          <w:rPr>
            <w:noProof/>
            <w:webHidden/>
          </w:rPr>
          <w:fldChar w:fldCharType="begin"/>
        </w:r>
        <w:r w:rsidR="00226090">
          <w:rPr>
            <w:noProof/>
            <w:webHidden/>
          </w:rPr>
          <w:instrText xml:space="preserve"> PAGEREF _Toc92134452 \h </w:instrText>
        </w:r>
        <w:r w:rsidR="00226090">
          <w:rPr>
            <w:noProof/>
            <w:webHidden/>
          </w:rPr>
        </w:r>
        <w:r w:rsidR="00226090">
          <w:rPr>
            <w:noProof/>
            <w:webHidden/>
          </w:rPr>
          <w:fldChar w:fldCharType="separate"/>
        </w:r>
        <w:r w:rsidR="00E54686">
          <w:rPr>
            <w:noProof/>
            <w:webHidden/>
          </w:rPr>
          <w:t>15</w:t>
        </w:r>
        <w:r w:rsidR="00226090">
          <w:rPr>
            <w:noProof/>
            <w:webHidden/>
          </w:rPr>
          <w:fldChar w:fldCharType="end"/>
        </w:r>
      </w:hyperlink>
    </w:p>
    <w:p w14:paraId="71A0223E" w14:textId="3C1FF720" w:rsidR="00226090" w:rsidRDefault="00AF4A67">
      <w:pPr>
        <w:pStyle w:val="TOC2"/>
        <w:rPr>
          <w:rFonts w:eastAsiaTheme="minorEastAsia"/>
          <w:noProof/>
          <w:color w:val="auto"/>
          <w:lang w:val="en-AU" w:eastAsia="en-AU"/>
        </w:rPr>
      </w:pPr>
      <w:hyperlink w:anchor="_Toc92134453" w:history="1">
        <w:r w:rsidR="00226090" w:rsidRPr="00AA430F">
          <w:rPr>
            <w:rStyle w:val="Hyperlink"/>
            <w:noProof/>
          </w:rPr>
          <w:t>Support</w:t>
        </w:r>
        <w:r w:rsidR="00226090">
          <w:rPr>
            <w:noProof/>
            <w:webHidden/>
          </w:rPr>
          <w:tab/>
        </w:r>
        <w:r w:rsidR="00226090">
          <w:rPr>
            <w:noProof/>
            <w:webHidden/>
          </w:rPr>
          <w:fldChar w:fldCharType="begin"/>
        </w:r>
        <w:r w:rsidR="00226090">
          <w:rPr>
            <w:noProof/>
            <w:webHidden/>
          </w:rPr>
          <w:instrText xml:space="preserve"> PAGEREF _Toc92134453 \h </w:instrText>
        </w:r>
        <w:r w:rsidR="00226090">
          <w:rPr>
            <w:noProof/>
            <w:webHidden/>
          </w:rPr>
        </w:r>
        <w:r w:rsidR="00226090">
          <w:rPr>
            <w:noProof/>
            <w:webHidden/>
          </w:rPr>
          <w:fldChar w:fldCharType="separate"/>
        </w:r>
        <w:r w:rsidR="00E54686">
          <w:rPr>
            <w:noProof/>
            <w:webHidden/>
          </w:rPr>
          <w:t>16</w:t>
        </w:r>
        <w:r w:rsidR="00226090">
          <w:rPr>
            <w:noProof/>
            <w:webHidden/>
          </w:rPr>
          <w:fldChar w:fldCharType="end"/>
        </w:r>
      </w:hyperlink>
    </w:p>
    <w:p w14:paraId="40AFC0C2" w14:textId="274E9D9C" w:rsidR="004D0AEE" w:rsidRDefault="000B3155" w:rsidP="00BF3A17">
      <w:pPr>
        <w:pStyle w:val="BodyText"/>
      </w:pPr>
      <w:r w:rsidRPr="005B583F">
        <w:fldChar w:fldCharType="end"/>
      </w:r>
    </w:p>
    <w:p w14:paraId="40AFC0C3" w14:textId="77777777" w:rsidR="00A24100" w:rsidRDefault="00A24100" w:rsidP="00BF3A17">
      <w:pPr>
        <w:pStyle w:val="BodyText"/>
      </w:pPr>
    </w:p>
    <w:p w14:paraId="40AFC0CC" w14:textId="77777777" w:rsidR="00892441" w:rsidRDefault="00892441" w:rsidP="00BF3A17">
      <w:pPr>
        <w:pStyle w:val="BodyText"/>
      </w:pPr>
    </w:p>
    <w:p w14:paraId="40AFC0CD" w14:textId="77777777" w:rsidR="00EF23EA" w:rsidRDefault="00EF23EA" w:rsidP="00BF3A17"/>
    <w:p w14:paraId="40AFC0CE" w14:textId="77777777" w:rsidR="0022186C" w:rsidRDefault="0022186C" w:rsidP="0022186C">
      <w:pPr>
        <w:sectPr w:rsidR="0022186C" w:rsidSect="00481CA0">
          <w:headerReference w:type="default" r:id="rId17"/>
          <w:footerReference w:type="default" r:id="rId18"/>
          <w:headerReference w:type="first" r:id="rId19"/>
          <w:footerReference w:type="first" r:id="rId20"/>
          <w:pgSz w:w="11906" w:h="16838" w:code="9"/>
          <w:pgMar w:top="1985" w:right="1134" w:bottom="1701" w:left="1134" w:header="567" w:footer="567" w:gutter="0"/>
          <w:pgNumType w:start="1"/>
          <w:cols w:space="708"/>
          <w:titlePg/>
          <w:docGrid w:linePitch="360"/>
        </w:sectPr>
      </w:pPr>
    </w:p>
    <w:p w14:paraId="1C7CCD82" w14:textId="011227A7" w:rsidR="006545B6" w:rsidRDefault="006545B6" w:rsidP="00AB1D78">
      <w:pPr>
        <w:pStyle w:val="Heading1"/>
        <w:spacing w:after="2000"/>
      </w:pPr>
      <w:bookmarkStart w:id="3" w:name="_Toc92134441"/>
      <w:r w:rsidRPr="000377B1">
        <w:lastRenderedPageBreak/>
        <w:t>O</w:t>
      </w:r>
      <w:r w:rsidR="00C91053">
        <w:t>bje</w:t>
      </w:r>
      <w:r w:rsidRPr="000377B1">
        <w:t>ctives</w:t>
      </w:r>
      <w:bookmarkEnd w:id="3"/>
    </w:p>
    <w:p w14:paraId="0D036830" w14:textId="7D3F5023" w:rsidR="00756CBB" w:rsidRDefault="00756CBB" w:rsidP="00756CBB">
      <w:pPr>
        <w:pStyle w:val="Heading2"/>
      </w:pPr>
      <w:bookmarkStart w:id="4" w:name="_Toc92134442"/>
      <w:r>
        <w:t>Vision</w:t>
      </w:r>
      <w:bookmarkEnd w:id="4"/>
    </w:p>
    <w:p w14:paraId="6E250BB0" w14:textId="77777777" w:rsidR="00756CBB" w:rsidRDefault="00756CBB" w:rsidP="006545B6">
      <w:pPr>
        <w:pStyle w:val="BodyText"/>
      </w:pPr>
    </w:p>
    <w:p w14:paraId="0BD14208" w14:textId="77777777" w:rsidR="00446487" w:rsidRDefault="00446487" w:rsidP="00446487">
      <w:pPr>
        <w:pStyle w:val="BodyText"/>
        <w:sectPr w:rsidR="00446487" w:rsidSect="00D4318C">
          <w:headerReference w:type="default" r:id="rId21"/>
          <w:pgSz w:w="11906" w:h="16838" w:code="9"/>
          <w:pgMar w:top="1985" w:right="1134" w:bottom="1701" w:left="1134" w:header="567" w:footer="567" w:gutter="0"/>
          <w:cols w:space="708"/>
          <w:titlePg/>
          <w:docGrid w:linePitch="360"/>
        </w:sectPr>
      </w:pPr>
    </w:p>
    <w:p w14:paraId="333212F8" w14:textId="030FC310" w:rsidR="006C21D9" w:rsidRDefault="00446487" w:rsidP="00446487">
      <w:pPr>
        <w:pStyle w:val="BodyText"/>
      </w:pPr>
      <w:r w:rsidRPr="006545B6">
        <w:t xml:space="preserve">Keeping the global economy open and businesses trading </w:t>
      </w:r>
      <w:r w:rsidR="002834DE">
        <w:t>are</w:t>
      </w:r>
      <w:r w:rsidRPr="006545B6">
        <w:t xml:space="preserve"> crucial for Australia’s economic recovery and ongoing prosperity</w:t>
      </w:r>
      <w:r w:rsidR="009B2EA6">
        <w:t>.</w:t>
      </w:r>
      <w:r>
        <w:rPr>
          <w:rStyle w:val="FootnoteReference"/>
          <w:rFonts w:ascii="Calibri" w:hAnsi="Calibri"/>
        </w:rPr>
        <w:footnoteReference w:id="2"/>
      </w:r>
      <w:r w:rsidRPr="00354AA6">
        <w:rPr>
          <w:rFonts w:ascii="Calibri" w:hAnsi="Calibri"/>
        </w:rPr>
        <w:t xml:space="preserve"> </w:t>
      </w:r>
      <w:r w:rsidRPr="006545B6">
        <w:t xml:space="preserve">Digital trade and </w:t>
      </w:r>
      <w:r w:rsidR="009B2EA6">
        <w:t>related</w:t>
      </w:r>
      <w:r w:rsidRPr="006545B6">
        <w:t xml:space="preserve"> technologies are fundamental to grow</w:t>
      </w:r>
      <w:r w:rsidR="009B2EA6">
        <w:t>ing</w:t>
      </w:r>
      <w:r w:rsidRPr="006545B6">
        <w:t xml:space="preserve"> Australia’s digital economy and realis</w:t>
      </w:r>
      <w:r w:rsidR="009B2EA6">
        <w:t>ing</w:t>
      </w:r>
      <w:r w:rsidRPr="006545B6">
        <w:t xml:space="preserve"> Australia’s vision to be a </w:t>
      </w:r>
      <w:r w:rsidR="003F00B8">
        <w:t>top 10</w:t>
      </w:r>
      <w:r w:rsidRPr="006545B6">
        <w:t xml:space="preserve"> digital economy and society by 2030</w:t>
      </w:r>
      <w:r w:rsidR="00F40221">
        <w:t>.</w:t>
      </w:r>
      <w:r w:rsidRPr="008C0460">
        <w:rPr>
          <w:vertAlign w:val="superscript"/>
        </w:rPr>
        <w:footnoteReference w:id="3"/>
      </w:r>
      <w:r w:rsidRPr="006545B6">
        <w:t xml:space="preserve"> </w:t>
      </w:r>
    </w:p>
    <w:p w14:paraId="6F910181" w14:textId="1E5B64AD" w:rsidR="00446487" w:rsidRDefault="006C21D9" w:rsidP="00446487">
      <w:pPr>
        <w:pStyle w:val="BodyText"/>
      </w:pPr>
      <w:r>
        <w:t>In 2018, the Export Council of Australia estimated that digital trade accounted for up to $43 billion of economic value and predicted this to grow to $192 billion by 2030.</w:t>
      </w:r>
      <w:r>
        <w:rPr>
          <w:rStyle w:val="FootnoteReference"/>
        </w:rPr>
        <w:footnoteReference w:id="4"/>
      </w:r>
    </w:p>
    <w:p w14:paraId="28F3A6E7" w14:textId="73BAF805" w:rsidR="00446487" w:rsidRDefault="00446487" w:rsidP="00446487">
      <w:pPr>
        <w:pStyle w:val="BodyText"/>
      </w:pPr>
      <w:r>
        <w:t>A strong and dynamic digital economy requires whole-of-economy settings that provide the basis for investment in digital tools and processes, including trade and international engagement.</w:t>
      </w:r>
      <w:r w:rsidR="006C21D9">
        <w:t xml:space="preserve"> </w:t>
      </w:r>
    </w:p>
    <w:p w14:paraId="2656BB45" w14:textId="52A3C941" w:rsidR="00446487" w:rsidRDefault="00446487" w:rsidP="00446487">
      <w:pPr>
        <w:pStyle w:val="BodyText"/>
      </w:pPr>
      <w:r>
        <w:t xml:space="preserve">In an increasingly global world, engaging internationally to influence the development of international rules and standards for digital trade </w:t>
      </w:r>
      <w:r>
        <w:t xml:space="preserve">and technologies will ensure Australian businesses, workers and consumers </w:t>
      </w:r>
      <w:r w:rsidR="000F10D9">
        <w:t xml:space="preserve">are able to benefit from an open, </w:t>
      </w:r>
      <w:r w:rsidR="009415EF">
        <w:t>reliable</w:t>
      </w:r>
      <w:r w:rsidR="000F10D9">
        <w:t xml:space="preserve"> and interoperable environment for digital trade which reflects our values</w:t>
      </w:r>
      <w:r>
        <w:t>. Promoting Australia as a safe</w:t>
      </w:r>
      <w:r w:rsidR="003B6987">
        <w:t>, trusted</w:t>
      </w:r>
      <w:r>
        <w:t xml:space="preserve"> and stable place to do business will encourage investment and digital trade agreements will </w:t>
      </w:r>
      <w:r w:rsidR="000F10D9">
        <w:t xml:space="preserve">create </w:t>
      </w:r>
      <w:r>
        <w:t xml:space="preserve">opportunities for Australian </w:t>
      </w:r>
      <w:r w:rsidR="000F10D9">
        <w:t>exporters.</w:t>
      </w:r>
    </w:p>
    <w:p w14:paraId="685B0740" w14:textId="241DF45B" w:rsidR="00446487" w:rsidRDefault="00446487" w:rsidP="00446487">
      <w:pPr>
        <w:pStyle w:val="BodyText"/>
      </w:pPr>
      <w:r w:rsidRPr="006545B6">
        <w:t xml:space="preserve">The Digital Trade Strategy provides a framework for Australia to maximise economic growth by shaping an </w:t>
      </w:r>
      <w:r w:rsidR="000F10D9">
        <w:t>international</w:t>
      </w:r>
      <w:r w:rsidR="000F10D9" w:rsidRPr="006545B6">
        <w:t xml:space="preserve"> </w:t>
      </w:r>
      <w:r w:rsidRPr="006545B6">
        <w:t>environment that enables digital trade and reinforces the international rules-based trading system.</w:t>
      </w:r>
      <w:r>
        <w:t xml:space="preserve"> Digital trade rules are essential to this.</w:t>
      </w:r>
      <w:r w:rsidRPr="006545B6">
        <w:t xml:space="preserve"> </w:t>
      </w:r>
      <w:r>
        <w:t xml:space="preserve">The </w:t>
      </w:r>
      <w:r w:rsidR="000F10D9">
        <w:t>S</w:t>
      </w:r>
      <w:r>
        <w:t xml:space="preserve">trategy </w:t>
      </w:r>
      <w:r w:rsidRPr="006545B6">
        <w:t xml:space="preserve">guides Australia’s practical action as a leader in digital trade, working to develop digital trade rules to deliver commercial benefits and push back against digital protectionism. </w:t>
      </w:r>
    </w:p>
    <w:p w14:paraId="005EB7C8" w14:textId="77777777" w:rsidR="00446487" w:rsidRDefault="00446487" w:rsidP="006545B6">
      <w:pPr>
        <w:pStyle w:val="BodyText"/>
        <w:sectPr w:rsidR="00446487" w:rsidSect="00446487">
          <w:type w:val="continuous"/>
          <w:pgSz w:w="11906" w:h="16838" w:code="9"/>
          <w:pgMar w:top="1985" w:right="1134" w:bottom="1701" w:left="1134" w:header="567" w:footer="567" w:gutter="0"/>
          <w:cols w:num="2" w:space="708"/>
          <w:titlePg/>
          <w:docGrid w:linePitch="360"/>
        </w:sectPr>
      </w:pPr>
    </w:p>
    <w:p w14:paraId="0A469F5D" w14:textId="79E4539A" w:rsidR="00FC2682" w:rsidRDefault="00440A7D" w:rsidP="006545B6">
      <w:pPr>
        <w:pStyle w:val="BodyText"/>
      </w:pPr>
      <w:r>
        <w:rPr>
          <w:noProof/>
        </w:rPr>
        <w:drawing>
          <wp:anchor distT="0" distB="0" distL="114300" distR="114300" simplePos="0" relativeHeight="251648000" behindDoc="0" locked="0" layoutInCell="1" allowOverlap="1" wp14:anchorId="5B403FF7" wp14:editId="727E5DAC">
            <wp:simplePos x="0" y="0"/>
            <wp:positionH relativeFrom="margin">
              <wp:posOffset>0</wp:posOffset>
            </wp:positionH>
            <wp:positionV relativeFrom="paragraph">
              <wp:posOffset>156845</wp:posOffset>
            </wp:positionV>
            <wp:extent cx="6120130" cy="1887855"/>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rotWithShape="1">
                    <a:blip r:embed="rId22">
                      <a:extLst>
                        <a:ext uri="{28A0092B-C50C-407E-A947-70E740481C1C}">
                          <a14:useLocalDpi xmlns:a14="http://schemas.microsoft.com/office/drawing/2010/main" val="0"/>
                        </a:ext>
                      </a:extLst>
                    </a:blip>
                    <a:srcRect t="27722" b="15172"/>
                    <a:stretch/>
                  </pic:blipFill>
                  <pic:spPr bwMode="auto">
                    <a:xfrm>
                      <a:off x="0" y="0"/>
                      <a:ext cx="6120130" cy="1887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AE50AC" w14:textId="3A982586" w:rsidR="0065226B" w:rsidRDefault="0065226B" w:rsidP="006545B6">
      <w:pPr>
        <w:pStyle w:val="BodyText"/>
      </w:pPr>
    </w:p>
    <w:p w14:paraId="639C79EB" w14:textId="211DD33D" w:rsidR="004E083A" w:rsidRDefault="004E083A" w:rsidP="0065226B">
      <w:pPr>
        <w:pStyle w:val="Heading2"/>
      </w:pPr>
      <w:r>
        <w:br w:type="page"/>
      </w:r>
    </w:p>
    <w:p w14:paraId="026E5D65" w14:textId="6AFAB698" w:rsidR="00756CBB" w:rsidRDefault="00756CBB" w:rsidP="00756CBB">
      <w:pPr>
        <w:pStyle w:val="Heading2"/>
      </w:pPr>
      <w:bookmarkStart w:id="5" w:name="_Toc92134443"/>
      <w:r>
        <w:lastRenderedPageBreak/>
        <w:t>Digital trade</w:t>
      </w:r>
      <w:r w:rsidR="00506D43">
        <w:t xml:space="preserve"> defined</w:t>
      </w:r>
      <w:bookmarkEnd w:id="5"/>
    </w:p>
    <w:p w14:paraId="7386B349" w14:textId="77777777" w:rsidR="00446487" w:rsidRDefault="00446487" w:rsidP="00446487">
      <w:pPr>
        <w:rPr>
          <w:lang w:val="en-AU"/>
        </w:rPr>
        <w:sectPr w:rsidR="00446487" w:rsidSect="00446487">
          <w:type w:val="continuous"/>
          <w:pgSz w:w="11906" w:h="16838" w:code="9"/>
          <w:pgMar w:top="1985" w:right="1134" w:bottom="1701" w:left="1134" w:header="567" w:footer="567" w:gutter="0"/>
          <w:cols w:space="708"/>
          <w:titlePg/>
          <w:docGrid w:linePitch="360"/>
        </w:sectPr>
      </w:pPr>
    </w:p>
    <w:p w14:paraId="7909B948" w14:textId="712EE5A6" w:rsidR="001D4E4B" w:rsidRPr="00E54686" w:rsidRDefault="001D4E4B" w:rsidP="001D4E4B">
      <w:pPr>
        <w:pStyle w:val="BodyText"/>
      </w:pPr>
      <w:r w:rsidRPr="00E54686">
        <w:t>Digital trade relies on the use of digital technologies to facilitate trade and improve productivity. And while flows of information and data may not always be for profit, they are essential enablers of trade.</w:t>
      </w:r>
    </w:p>
    <w:p w14:paraId="0515F001" w14:textId="035481B1" w:rsidR="001D4E4B" w:rsidRPr="00E54686" w:rsidRDefault="001D4E4B" w:rsidP="001D4E4B">
      <w:pPr>
        <w:rPr>
          <w:lang w:val="en-AU"/>
        </w:rPr>
      </w:pPr>
      <w:r w:rsidRPr="00E54686">
        <w:rPr>
          <w:lang w:val="en-AU"/>
        </w:rPr>
        <w:t xml:space="preserve">For the purposes of this </w:t>
      </w:r>
      <w:r w:rsidR="009415EF" w:rsidRPr="00E54686">
        <w:rPr>
          <w:lang w:val="en-AU"/>
        </w:rPr>
        <w:t>S</w:t>
      </w:r>
      <w:r w:rsidRPr="00E54686">
        <w:rPr>
          <w:lang w:val="en-AU"/>
        </w:rPr>
        <w:t xml:space="preserve">trategy, digital trade includes:  </w:t>
      </w:r>
    </w:p>
    <w:p w14:paraId="128DBA7D" w14:textId="77777777" w:rsidR="004056BD" w:rsidRPr="00E54686" w:rsidRDefault="004056BD" w:rsidP="004056BD">
      <w:pPr>
        <w:pStyle w:val="Bullet1"/>
        <w:numPr>
          <w:ilvl w:val="0"/>
          <w:numId w:val="1"/>
        </w:numPr>
        <w:rPr>
          <w:lang w:val="en-AU"/>
        </w:rPr>
      </w:pPr>
      <w:r w:rsidRPr="00E54686">
        <w:t>Imports</w:t>
      </w:r>
      <w:r w:rsidRPr="00E54686">
        <w:rPr>
          <w:lang w:val="en-AU"/>
        </w:rPr>
        <w:t xml:space="preserve"> and exports</w:t>
      </w:r>
    </w:p>
    <w:p w14:paraId="62381231" w14:textId="77777777" w:rsidR="004056BD" w:rsidRPr="00E54686" w:rsidRDefault="004056BD" w:rsidP="004056BD">
      <w:pPr>
        <w:pStyle w:val="Bullet2"/>
      </w:pPr>
      <w:r w:rsidRPr="00E54686">
        <w:t>Goods sold over the Internet and e-commerce platforms</w:t>
      </w:r>
    </w:p>
    <w:p w14:paraId="1C1ED844" w14:textId="77777777" w:rsidR="004056BD" w:rsidRPr="00E54686" w:rsidRDefault="004056BD" w:rsidP="004056BD">
      <w:pPr>
        <w:pStyle w:val="Bullet2"/>
      </w:pPr>
      <w:r w:rsidRPr="00E54686">
        <w:t>Digital content, including software, books, music, films and apps</w:t>
      </w:r>
    </w:p>
    <w:p w14:paraId="3526DD50" w14:textId="612A0B16" w:rsidR="006B7662" w:rsidRDefault="004056BD" w:rsidP="0027037F">
      <w:pPr>
        <w:pStyle w:val="Bullet2"/>
      </w:pPr>
      <w:r w:rsidRPr="00E54686">
        <w:t>Digitally-enabled services including legal, financial, education and consultancy</w:t>
      </w:r>
      <w:r w:rsidR="00E54686">
        <w:t>.</w:t>
      </w:r>
    </w:p>
    <w:p w14:paraId="24F8226F" w14:textId="77777777" w:rsidR="0027037F" w:rsidRPr="00E54686" w:rsidRDefault="0027037F" w:rsidP="0027037F">
      <w:pPr>
        <w:pStyle w:val="Bullet2"/>
        <w:numPr>
          <w:ilvl w:val="0"/>
          <w:numId w:val="0"/>
        </w:numPr>
        <w:ind w:left="851"/>
      </w:pPr>
    </w:p>
    <w:p w14:paraId="296AB343" w14:textId="2FB8CE52" w:rsidR="004056BD" w:rsidRPr="00E54686" w:rsidRDefault="004056BD" w:rsidP="00D132AE">
      <w:pPr>
        <w:pStyle w:val="Bullet1"/>
        <w:ind w:left="568" w:hanging="284"/>
        <w:rPr>
          <w:lang w:val="en-AU"/>
        </w:rPr>
      </w:pPr>
      <w:r w:rsidRPr="00E54686">
        <w:t>Electronic facilitation of trade</w:t>
      </w:r>
      <w:r w:rsidR="00D132AE" w:rsidRPr="00E54686">
        <w:t xml:space="preserve">, </w:t>
      </w:r>
      <w:r w:rsidR="009833EE">
        <w:t>such</w:t>
      </w:r>
      <w:r w:rsidRPr="00E54686">
        <w:rPr>
          <w:lang w:val="en-AU"/>
        </w:rPr>
        <w:t xml:space="preserve"> as the acceptance of electronic trade documents</w:t>
      </w:r>
      <w:r w:rsidR="008A5A35" w:rsidRPr="00E54686">
        <w:rPr>
          <w:lang w:val="en-AU"/>
        </w:rPr>
        <w:t xml:space="preserve"> and, possibly, the adoption of ‘regtech’ solutions as technology evolves.</w:t>
      </w:r>
    </w:p>
    <w:p w14:paraId="7D6BDA8B" w14:textId="77777777" w:rsidR="004056BD" w:rsidRPr="00E54686" w:rsidRDefault="004056BD" w:rsidP="004056BD">
      <w:pPr>
        <w:pStyle w:val="Bullet1"/>
        <w:rPr>
          <w:lang w:val="en-AU"/>
        </w:rPr>
      </w:pPr>
      <w:r w:rsidRPr="00E54686">
        <w:rPr>
          <w:lang w:val="en-AU"/>
        </w:rPr>
        <w:t>The transmission of data across borders</w:t>
      </w:r>
    </w:p>
    <w:p w14:paraId="2DABF218" w14:textId="77777777" w:rsidR="004056BD" w:rsidRPr="00E54686" w:rsidRDefault="004056BD" w:rsidP="004056BD">
      <w:pPr>
        <w:pStyle w:val="Bullet2"/>
      </w:pPr>
      <w:r w:rsidRPr="00E54686">
        <w:t>As a business activity in its own right</w:t>
      </w:r>
    </w:p>
    <w:p w14:paraId="5C00126E" w14:textId="3B8A21DA" w:rsidR="004056BD" w:rsidRPr="00E54686" w:rsidRDefault="004056BD" w:rsidP="00E54686">
      <w:pPr>
        <w:pStyle w:val="Bullet2"/>
        <w:rPr>
          <w:lang w:val="en-AU"/>
        </w:rPr>
      </w:pPr>
      <w:r w:rsidRPr="00E54686">
        <w:t>To support other business activities</w:t>
      </w:r>
      <w:r w:rsidR="00E54686" w:rsidRPr="00E54686">
        <w:rPr>
          <w:lang w:val="en-AU"/>
        </w:rPr>
        <w:t>.</w:t>
      </w:r>
    </w:p>
    <w:p w14:paraId="30735FC8" w14:textId="51D70613" w:rsidR="00446487" w:rsidRPr="004056BD" w:rsidRDefault="00446487" w:rsidP="004056BD">
      <w:pPr>
        <w:pStyle w:val="BodyText"/>
        <w:rPr>
          <w:lang w:val="en-AU"/>
        </w:rPr>
      </w:pPr>
      <w:r>
        <w:rPr>
          <w:lang w:val="en-AU"/>
        </w:rPr>
        <w:t>Digital</w:t>
      </w:r>
      <w:r w:rsidRPr="004056BD">
        <w:rPr>
          <w:lang w:val="en-AU"/>
        </w:rPr>
        <w:t xml:space="preserve"> trade issues develop </w:t>
      </w:r>
      <w:r w:rsidR="003B6987" w:rsidRPr="004056BD">
        <w:rPr>
          <w:lang w:val="en-AU"/>
        </w:rPr>
        <w:t xml:space="preserve">and evolve </w:t>
      </w:r>
      <w:r w:rsidRPr="004056BD">
        <w:rPr>
          <w:lang w:val="en-AU"/>
        </w:rPr>
        <w:t xml:space="preserve">quickly, </w:t>
      </w:r>
      <w:r w:rsidR="001D4E4B" w:rsidRPr="004056BD">
        <w:rPr>
          <w:lang w:val="en-AU"/>
        </w:rPr>
        <w:t>which means that standards and rules</w:t>
      </w:r>
      <w:r w:rsidRPr="004056BD">
        <w:rPr>
          <w:lang w:val="en-AU"/>
        </w:rPr>
        <w:t xml:space="preserve">, particularly where </w:t>
      </w:r>
      <w:r w:rsidR="001D4E4B" w:rsidRPr="004056BD">
        <w:rPr>
          <w:lang w:val="en-AU"/>
        </w:rPr>
        <w:t xml:space="preserve">tied too closely to </w:t>
      </w:r>
      <w:r w:rsidRPr="004056BD">
        <w:rPr>
          <w:lang w:val="en-AU"/>
        </w:rPr>
        <w:t>specific technologies, can quickly become outdated</w:t>
      </w:r>
      <w:r>
        <w:rPr>
          <w:lang w:val="en-AU"/>
        </w:rPr>
        <w:t xml:space="preserve">. </w:t>
      </w:r>
    </w:p>
    <w:p w14:paraId="59909F6C" w14:textId="37BD0AFF" w:rsidR="00446487" w:rsidRDefault="001D4E4B" w:rsidP="00446487">
      <w:pPr>
        <w:pStyle w:val="BodyText"/>
      </w:pPr>
      <w:r>
        <w:rPr>
          <w:lang w:val="en-AU"/>
        </w:rPr>
        <w:t>To mitigate this risk</w:t>
      </w:r>
      <w:r w:rsidR="000F10D9">
        <w:rPr>
          <w:lang w:val="en-AU"/>
        </w:rPr>
        <w:t xml:space="preserve">, </w:t>
      </w:r>
      <w:r w:rsidR="00446487">
        <w:rPr>
          <w:lang w:val="en-AU"/>
        </w:rPr>
        <w:t xml:space="preserve">Australia takes a </w:t>
      </w:r>
      <w:r w:rsidR="000F10D9">
        <w:rPr>
          <w:lang w:val="en-AU"/>
        </w:rPr>
        <w:t xml:space="preserve">principles-based </w:t>
      </w:r>
      <w:r w:rsidR="00446487">
        <w:rPr>
          <w:lang w:val="en-AU"/>
        </w:rPr>
        <w:t xml:space="preserve">approach to </w:t>
      </w:r>
      <w:r w:rsidR="000F10D9">
        <w:t>our</w:t>
      </w:r>
      <w:r w:rsidR="00446487" w:rsidRPr="00756CBB">
        <w:t xml:space="preserve"> digital trade</w:t>
      </w:r>
      <w:r w:rsidR="000F10D9">
        <w:t xml:space="preserve"> agenda</w:t>
      </w:r>
      <w:r>
        <w:t xml:space="preserve">, </w:t>
      </w:r>
      <w:r w:rsidR="009415EF">
        <w:t>seeking to ensure that</w:t>
      </w:r>
      <w:r>
        <w:t xml:space="preserve"> </w:t>
      </w:r>
      <w:r w:rsidR="009415EF">
        <w:t>outcomes</w:t>
      </w:r>
      <w:r>
        <w:t xml:space="preserve"> </w:t>
      </w:r>
      <w:r w:rsidR="009415EF">
        <w:t>reflect the</w:t>
      </w:r>
      <w:r>
        <w:t xml:space="preserve"> key elements of non-discrimination, technological neutrality and economy-wide application</w:t>
      </w:r>
      <w:r w:rsidR="00440A7D">
        <w:t>.</w:t>
      </w:r>
    </w:p>
    <w:p w14:paraId="3527BD29" w14:textId="77777777" w:rsidR="00446487" w:rsidRDefault="00446487" w:rsidP="0065226B">
      <w:pPr>
        <w:pStyle w:val="Bullet1"/>
        <w:numPr>
          <w:ilvl w:val="0"/>
          <w:numId w:val="0"/>
        </w:numPr>
        <w:sectPr w:rsidR="00446487" w:rsidSect="00446487">
          <w:type w:val="continuous"/>
          <w:pgSz w:w="11906" w:h="16838" w:code="9"/>
          <w:pgMar w:top="1985" w:right="1134" w:bottom="1701" w:left="1134" w:header="567" w:footer="567" w:gutter="0"/>
          <w:cols w:num="2" w:space="708"/>
          <w:titlePg/>
          <w:docGrid w:linePitch="360"/>
        </w:sectPr>
      </w:pPr>
    </w:p>
    <w:p w14:paraId="2181812A" w14:textId="1227F587" w:rsidR="0065226B" w:rsidRDefault="0065226B" w:rsidP="004056BD">
      <w:pPr>
        <w:pStyle w:val="Bullet1"/>
        <w:numPr>
          <w:ilvl w:val="0"/>
          <w:numId w:val="0"/>
        </w:numPr>
      </w:pPr>
      <w:r>
        <w:rPr>
          <w:noProof/>
        </w:rPr>
        <w:drawing>
          <wp:anchor distT="0" distB="0" distL="114300" distR="114300" simplePos="0" relativeHeight="251641856" behindDoc="0" locked="0" layoutInCell="1" allowOverlap="1" wp14:anchorId="32FA30F4" wp14:editId="29EDC5F7">
            <wp:simplePos x="0" y="0"/>
            <wp:positionH relativeFrom="margin">
              <wp:align>right</wp:align>
            </wp:positionH>
            <wp:positionV relativeFrom="paragraph">
              <wp:posOffset>450850</wp:posOffset>
            </wp:positionV>
            <wp:extent cx="6096000" cy="4400550"/>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23" cstate="print">
                      <a:extLst>
                        <a:ext uri="{28A0092B-C50C-407E-A947-70E740481C1C}">
                          <a14:useLocalDpi xmlns:a14="http://schemas.microsoft.com/office/drawing/2010/main" val="0"/>
                        </a:ext>
                      </a:extLst>
                    </a:blip>
                    <a:srcRect l="12096"/>
                    <a:stretch/>
                  </pic:blipFill>
                  <pic:spPr bwMode="auto">
                    <a:xfrm>
                      <a:off x="0" y="0"/>
                      <a:ext cx="6096000" cy="440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33C012AD" w14:textId="499C7C56" w:rsidR="00756CBB" w:rsidRDefault="000377B1" w:rsidP="00362F5A">
      <w:pPr>
        <w:pStyle w:val="Heading2"/>
      </w:pPr>
      <w:bookmarkStart w:id="6" w:name="_Toc92134444"/>
      <w:r>
        <w:lastRenderedPageBreak/>
        <w:t>Benefits</w:t>
      </w:r>
      <w:bookmarkEnd w:id="6"/>
    </w:p>
    <w:p w14:paraId="22B4825E" w14:textId="77777777" w:rsidR="00446487" w:rsidRDefault="00446487" w:rsidP="00446487">
      <w:pPr>
        <w:pStyle w:val="BodyText"/>
        <w:sectPr w:rsidR="00446487" w:rsidSect="00446487">
          <w:type w:val="continuous"/>
          <w:pgSz w:w="11906" w:h="16838" w:code="9"/>
          <w:pgMar w:top="1985" w:right="1134" w:bottom="1701" w:left="1134" w:header="567" w:footer="567" w:gutter="0"/>
          <w:cols w:space="708"/>
          <w:titlePg/>
          <w:docGrid w:linePitch="360"/>
        </w:sectPr>
      </w:pPr>
    </w:p>
    <w:p w14:paraId="6CD2634C" w14:textId="5E140BCC" w:rsidR="00446487" w:rsidRDefault="00446487" w:rsidP="00446487">
      <w:pPr>
        <w:pStyle w:val="BodyText"/>
      </w:pPr>
      <w:r>
        <w:t>M</w:t>
      </w:r>
      <w:r w:rsidRPr="00B124F8">
        <w:t xml:space="preserve">odern trade is increasingly </w:t>
      </w:r>
      <w:r w:rsidR="00C40AD0">
        <w:t xml:space="preserve">taking place online, supported by the </w:t>
      </w:r>
      <w:r w:rsidRPr="00B124F8">
        <w:t>digital technologies</w:t>
      </w:r>
      <w:r>
        <w:t xml:space="preserve"> </w:t>
      </w:r>
      <w:r w:rsidRPr="00B124F8">
        <w:t>which are becoming the basic tools of business and are only going to become more important</w:t>
      </w:r>
      <w:r>
        <w:t>.</w:t>
      </w:r>
      <w:r w:rsidRPr="00B124F8">
        <w:t xml:space="preserve"> </w:t>
      </w:r>
    </w:p>
    <w:p w14:paraId="5E3859D6" w14:textId="4B45BFF3" w:rsidR="00446487" w:rsidRDefault="00446487" w:rsidP="00446487">
      <w:pPr>
        <w:pStyle w:val="BodyText"/>
      </w:pPr>
      <w:r w:rsidRPr="00B124F8">
        <w:t xml:space="preserve">The </w:t>
      </w:r>
      <w:r w:rsidR="004056BD">
        <w:t xml:space="preserve">digital </w:t>
      </w:r>
      <w:r w:rsidRPr="00B124F8">
        <w:t xml:space="preserve">flow of data and information </w:t>
      </w:r>
      <w:r>
        <w:t xml:space="preserve">underpins global trade. It is </w:t>
      </w:r>
      <w:r w:rsidRPr="00B124F8">
        <w:t>of central importance to business</w:t>
      </w:r>
      <w:r w:rsidR="00C566F1">
        <w:t>es in all sectors</w:t>
      </w:r>
      <w:r>
        <w:t xml:space="preserve">, </w:t>
      </w:r>
      <w:r w:rsidRPr="00B124F8">
        <w:t>from farming through to global finance.</w:t>
      </w:r>
    </w:p>
    <w:p w14:paraId="32DB5111" w14:textId="0775CE6E" w:rsidR="00446487" w:rsidRPr="00B124F8" w:rsidRDefault="00446487" w:rsidP="00446487">
      <w:pPr>
        <w:pStyle w:val="BodyText"/>
      </w:pPr>
      <w:r w:rsidRPr="00B124F8">
        <w:t>Digital trade provides the opportunity for businesses to reach new consumers and markets</w:t>
      </w:r>
      <w:r>
        <w:t xml:space="preserve">, </w:t>
      </w:r>
      <w:r w:rsidRPr="00B124F8">
        <w:t xml:space="preserve">it </w:t>
      </w:r>
      <w:r w:rsidR="00F71E5E">
        <w:t xml:space="preserve">can </w:t>
      </w:r>
      <w:r w:rsidRPr="00B124F8">
        <w:t>lower market entry costs and improve productivity</w:t>
      </w:r>
      <w:r>
        <w:t xml:space="preserve">. It </w:t>
      </w:r>
      <w:r w:rsidRPr="00B124F8">
        <w:t>increase</w:t>
      </w:r>
      <w:r>
        <w:t>s</w:t>
      </w:r>
      <w:r w:rsidRPr="00B124F8">
        <w:t xml:space="preserve"> choice </w:t>
      </w:r>
      <w:r>
        <w:t xml:space="preserve">for the consumer </w:t>
      </w:r>
      <w:r w:rsidRPr="00B124F8">
        <w:t>and access to new products and services</w:t>
      </w:r>
      <w:r>
        <w:t xml:space="preserve">. It creates opportunities for micro, small and medium enterprises (MSMEs) and encourages innovation in their products and services, access to market intelligence, talent, financing and increasing competitiveness in local and global markets. </w:t>
      </w:r>
    </w:p>
    <w:p w14:paraId="7A4F5820" w14:textId="25355359" w:rsidR="00446487" w:rsidRDefault="00446487" w:rsidP="00446487">
      <w:pPr>
        <w:pStyle w:val="BodyText"/>
      </w:pPr>
      <w:r>
        <w:t xml:space="preserve">The COVID-19 pandemic has underscored the importance of </w:t>
      </w:r>
      <w:r w:rsidRPr="001445B1">
        <w:t>digital trade and technologies in supporting and enhancing business operations across every sector of the economy</w:t>
      </w:r>
      <w:r>
        <w:t>.</w:t>
      </w:r>
      <w:r w:rsidRPr="002B234D">
        <w:t xml:space="preserve"> </w:t>
      </w:r>
    </w:p>
    <w:p w14:paraId="22C1C95A" w14:textId="2DC605D4" w:rsidR="00446487" w:rsidRDefault="00446487" w:rsidP="00446487">
      <w:pPr>
        <w:pStyle w:val="BodyText"/>
      </w:pPr>
      <w:r>
        <w:t xml:space="preserve">The pandemic has demonstrated that digital trade and digital technologies:  </w:t>
      </w:r>
    </w:p>
    <w:p w14:paraId="7F5642CE" w14:textId="1B2BD733" w:rsidR="00446487" w:rsidRDefault="00446487" w:rsidP="00446487">
      <w:pPr>
        <w:pStyle w:val="Bullet1"/>
      </w:pPr>
      <w:r>
        <w:t xml:space="preserve">offer immense opportunities for economies and societies and will continue to transform the way businesses operate and interact with global customers </w:t>
      </w:r>
    </w:p>
    <w:p w14:paraId="2B4DD31F" w14:textId="37C3F5C7" w:rsidR="00446487" w:rsidRDefault="00446487" w:rsidP="00446487">
      <w:pPr>
        <w:pStyle w:val="Bullet1"/>
      </w:pPr>
      <w:r>
        <w:t>have the potential to level the playing field and promote inclusive growth by unlocking opportunities, new technologies and markets to MSMEs, women-run businesses and others who may not otherwise have had access to global value chains in the past</w:t>
      </w:r>
    </w:p>
    <w:p w14:paraId="63A91085" w14:textId="7EA1B150" w:rsidR="00446487" w:rsidRDefault="00446487" w:rsidP="00446487">
      <w:pPr>
        <w:pStyle w:val="Bullet1"/>
      </w:pPr>
      <w:r>
        <w:t xml:space="preserve">have the scope to enable countries with different levels of digital development to leapfrog and accelerate overall trade through harnessing national digitalisation efforts. </w:t>
      </w:r>
    </w:p>
    <w:p w14:paraId="67EBAA5C" w14:textId="7DB6AD38" w:rsidR="00446487" w:rsidRDefault="00446487" w:rsidP="00446487">
      <w:r>
        <w:t>H</w:t>
      </w:r>
      <w:r w:rsidRPr="00833C7D">
        <w:t xml:space="preserve">arnessing technological change, adapting to its disruption, and leveraging its opportunities will be vital to economic recovery from COVID-19. </w:t>
      </w:r>
    </w:p>
    <w:p w14:paraId="4770B3F7" w14:textId="0B1859B1" w:rsidR="009B42FC" w:rsidRPr="009B42FC" w:rsidRDefault="009B42FC" w:rsidP="009B42FC">
      <w:pPr>
        <w:pBdr>
          <w:top w:val="single" w:sz="4" w:space="1" w:color="auto"/>
          <w:left w:val="single" w:sz="4" w:space="4" w:color="auto"/>
          <w:bottom w:val="single" w:sz="4" w:space="1" w:color="auto"/>
          <w:right w:val="single" w:sz="4" w:space="4" w:color="auto"/>
        </w:pBdr>
        <w:shd w:val="clear" w:color="auto" w:fill="595959" w:themeFill="text1" w:themeFillTint="A6"/>
        <w:jc w:val="center"/>
        <w:rPr>
          <w:b/>
          <w:bCs/>
          <w:color w:val="FFFFFF" w:themeColor="background1"/>
        </w:rPr>
      </w:pPr>
      <w:r w:rsidRPr="009B42FC">
        <w:rPr>
          <w:b/>
          <w:bCs/>
          <w:color w:val="FFFFFF" w:themeColor="background1"/>
        </w:rPr>
        <w:t>Data is the lifeblood of the digital economy</w:t>
      </w:r>
    </w:p>
    <w:p w14:paraId="40D1DDF0" w14:textId="77777777" w:rsidR="009B42FC" w:rsidRPr="009B42FC" w:rsidRDefault="009B42FC" w:rsidP="009B42FC">
      <w:pPr>
        <w:pBdr>
          <w:top w:val="single" w:sz="4" w:space="1" w:color="auto"/>
          <w:left w:val="single" w:sz="4" w:space="4" w:color="auto"/>
          <w:bottom w:val="single" w:sz="4" w:space="1" w:color="auto"/>
          <w:right w:val="single" w:sz="4" w:space="4" w:color="auto"/>
        </w:pBdr>
        <w:shd w:val="clear" w:color="auto" w:fill="595959" w:themeFill="text1" w:themeFillTint="A6"/>
        <w:rPr>
          <w:color w:val="FFFFFF" w:themeColor="background1"/>
        </w:rPr>
      </w:pPr>
      <w:r w:rsidRPr="009B42FC">
        <w:rPr>
          <w:color w:val="FFFFFF" w:themeColor="background1"/>
        </w:rPr>
        <w:t xml:space="preserve">Cross-border data flows are intrinsic to trade in virtual goods and services, and increasingly enable all goods and services exports, as well as the movement of finance, people and ideas. Today, every digital interaction involves the creation and transfer of data. </w:t>
      </w:r>
    </w:p>
    <w:p w14:paraId="233A1B21" w14:textId="2A169EAB" w:rsidR="00446487" w:rsidRPr="009B42FC" w:rsidRDefault="009B42FC" w:rsidP="009B42FC">
      <w:pPr>
        <w:pBdr>
          <w:top w:val="single" w:sz="4" w:space="1" w:color="auto"/>
          <w:left w:val="single" w:sz="4" w:space="4" w:color="auto"/>
          <w:bottom w:val="single" w:sz="4" w:space="1" w:color="auto"/>
          <w:right w:val="single" w:sz="4" w:space="4" w:color="auto"/>
        </w:pBdr>
        <w:shd w:val="clear" w:color="auto" w:fill="595959" w:themeFill="text1" w:themeFillTint="A6"/>
        <w:rPr>
          <w:color w:val="FFFFFF" w:themeColor="background1"/>
        </w:rPr>
      </w:pPr>
      <w:r w:rsidRPr="009B42FC">
        <w:rPr>
          <w:color w:val="FFFFFF" w:themeColor="background1"/>
        </w:rPr>
        <w:t>Cross-border data flows are particularly important for MSMEs (which face significant hurdles in overcoming regulatory barriers and participating in global supply chains) and consumers. However, there needs to be an appropriate balance between the free flow of data and the protection of essential policy objectives, such as security, consumer protection, data privacy and the sovereign right to regulate in the public interest.</w:t>
      </w:r>
    </w:p>
    <w:p w14:paraId="4EF95B8F" w14:textId="77777777" w:rsidR="009B42FC" w:rsidRDefault="009B42FC" w:rsidP="0065226B"/>
    <w:p w14:paraId="7102106E" w14:textId="23162299" w:rsidR="009B42FC" w:rsidRDefault="009B42FC" w:rsidP="0065226B">
      <w:pPr>
        <w:sectPr w:rsidR="009B42FC" w:rsidSect="00446487">
          <w:type w:val="continuous"/>
          <w:pgSz w:w="11906" w:h="16838" w:code="9"/>
          <w:pgMar w:top="1985" w:right="1134" w:bottom="1701" w:left="1134" w:header="567" w:footer="567" w:gutter="0"/>
          <w:cols w:num="2" w:space="708"/>
          <w:titlePg/>
          <w:docGrid w:linePitch="360"/>
        </w:sectPr>
      </w:pPr>
    </w:p>
    <w:p w14:paraId="3C81135D" w14:textId="4D7CF76D" w:rsidR="0065226B" w:rsidRDefault="009B42FC" w:rsidP="0065226B">
      <w:r w:rsidRPr="0065226B">
        <w:rPr>
          <w:noProof/>
        </w:rPr>
        <w:drawing>
          <wp:anchor distT="0" distB="0" distL="114300" distR="114300" simplePos="0" relativeHeight="251644928" behindDoc="0" locked="0" layoutInCell="1" allowOverlap="1" wp14:anchorId="70827DD6" wp14:editId="1D6BDEFA">
            <wp:simplePos x="0" y="0"/>
            <wp:positionH relativeFrom="margin">
              <wp:align>left</wp:align>
            </wp:positionH>
            <wp:positionV relativeFrom="paragraph">
              <wp:posOffset>134620</wp:posOffset>
            </wp:positionV>
            <wp:extent cx="6115050" cy="2114550"/>
            <wp:effectExtent l="0" t="0" r="0" b="0"/>
            <wp:wrapNone/>
            <wp:docPr id="15" name="Picture 14">
              <a:extLst xmlns:a="http://schemas.openxmlformats.org/drawingml/2006/main">
                <a:ext uri="{FF2B5EF4-FFF2-40B4-BE49-F238E27FC236}">
                  <a16:creationId xmlns:a16="http://schemas.microsoft.com/office/drawing/2014/main" id="{19FC91AB-778B-824B-A0EC-4E98E070CBA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19FC91AB-778B-824B-A0EC-4E98E070CBAA}"/>
                        </a:ext>
                        <a:ext uri="{C183D7F6-B498-43B3-948B-1728B52AA6E4}">
                          <adec:decorative xmlns:adec="http://schemas.microsoft.com/office/drawing/2017/decorative" val="1"/>
                        </a:ext>
                      </a:extLst>
                    </pic:cNvPr>
                    <pic:cNvPicPr>
                      <a:picLocks noChangeAspect="1"/>
                    </pic:cNvPicPr>
                  </pic:nvPicPr>
                  <pic:blipFill rotWithShape="1">
                    <a:blip r:embed="rId24">
                      <a:duotone>
                        <a:prstClr val="black"/>
                        <a:schemeClr val="accent6">
                          <a:tint val="45000"/>
                          <a:satMod val="400000"/>
                        </a:schemeClr>
                      </a:duotone>
                      <a:extLst>
                        <a:ext uri="{28A0092B-C50C-407E-A947-70E740481C1C}">
                          <a14:useLocalDpi xmlns:a14="http://schemas.microsoft.com/office/drawing/2010/main" val="0"/>
                        </a:ext>
                      </a:extLst>
                    </a:blip>
                    <a:srcRect b="37324"/>
                    <a:stretch/>
                  </pic:blipFill>
                  <pic:spPr bwMode="auto">
                    <a:xfrm>
                      <a:off x="0" y="0"/>
                      <a:ext cx="6115050"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0AC980" w14:textId="36DE831C" w:rsidR="009B42FC" w:rsidRDefault="009B42FC">
      <w:pPr>
        <w:suppressAutoHyphens w:val="0"/>
        <w:spacing w:before="0" w:after="120" w:line="440" w:lineRule="atLeast"/>
      </w:pPr>
      <w:r>
        <w:br w:type="page"/>
      </w:r>
    </w:p>
    <w:p w14:paraId="7ACA9E48" w14:textId="6EE851AA" w:rsidR="00446487" w:rsidRDefault="00446487" w:rsidP="00446487">
      <w:r>
        <w:lastRenderedPageBreak/>
        <w:t xml:space="preserve">On </w:t>
      </w:r>
      <w:r w:rsidRPr="00685E8B">
        <w:t>11 May 2021, the Government released its Digital Economy Strategy, a $1.2 billion investment to ensure Australia has the right policy settings, infrastructure and capability to support digital transformation</w:t>
      </w:r>
      <w:r>
        <w:t xml:space="preserve">. Through the Digital Economy Strategy, Australia is set to become a modern </w:t>
      </w:r>
      <w:r w:rsidR="00A84CD5">
        <w:t xml:space="preserve">and top 10 </w:t>
      </w:r>
      <w:r>
        <w:t>digital economy</w:t>
      </w:r>
      <w:r w:rsidR="00A84CD5">
        <w:t xml:space="preserve"> and society</w:t>
      </w:r>
      <w:r>
        <w:t xml:space="preserve">. Amongst other priorities, the Digital Economy Strategy sets a pathway to take advantage of this digitisation, including for: </w:t>
      </w:r>
    </w:p>
    <w:p w14:paraId="5AB1DD57" w14:textId="0C9FE89A" w:rsidR="009B42FC" w:rsidRDefault="00446487" w:rsidP="00D2459E">
      <w:pPr>
        <w:pStyle w:val="ListParagraph"/>
        <w:numPr>
          <w:ilvl w:val="0"/>
          <w:numId w:val="15"/>
        </w:numPr>
      </w:pPr>
      <w:r>
        <w:t>all businesses to be digital businesses</w:t>
      </w:r>
    </w:p>
    <w:p w14:paraId="5D1803ED" w14:textId="3C1A5EC1" w:rsidR="00446487" w:rsidRDefault="00446487" w:rsidP="00446487">
      <w:pPr>
        <w:pStyle w:val="ListParagraph"/>
        <w:numPr>
          <w:ilvl w:val="0"/>
          <w:numId w:val="15"/>
        </w:numPr>
      </w:pPr>
      <w:r>
        <w:t xml:space="preserve">all transactions to be electronic, integrated and secure </w:t>
      </w:r>
    </w:p>
    <w:p w14:paraId="7D5B7ADA" w14:textId="77777777" w:rsidR="00446487" w:rsidRDefault="00446487" w:rsidP="00446487">
      <w:pPr>
        <w:pStyle w:val="ListParagraph"/>
        <w:numPr>
          <w:ilvl w:val="0"/>
          <w:numId w:val="15"/>
        </w:numPr>
      </w:pPr>
      <w:r>
        <w:t>Australians to have the capabilities to confidently use and create digital technology</w:t>
      </w:r>
    </w:p>
    <w:p w14:paraId="398502A5" w14:textId="542E4076" w:rsidR="00446487" w:rsidRDefault="00446487" w:rsidP="00446487">
      <w:pPr>
        <w:pStyle w:val="ListParagraph"/>
        <w:numPr>
          <w:ilvl w:val="0"/>
          <w:numId w:val="15"/>
        </w:numPr>
      </w:pPr>
      <w:r>
        <w:t>Government services to be all easily and safely accessible online</w:t>
      </w:r>
      <w:r w:rsidR="001A1A6F">
        <w:t>.</w:t>
      </w:r>
    </w:p>
    <w:p w14:paraId="3EC33AC0" w14:textId="2F2CD8C9" w:rsidR="00446487" w:rsidRDefault="00446487" w:rsidP="00446487">
      <w:r w:rsidRPr="00685E8B">
        <w:t>The potential benefits to the Australian economy through digitalisation</w:t>
      </w:r>
      <w:r w:rsidR="00281D68">
        <w:t xml:space="preserve"> – the </w:t>
      </w:r>
      <w:r w:rsidR="0020205B">
        <w:t>use of digital technology to</w:t>
      </w:r>
      <w:r w:rsidR="006F2D97">
        <w:t xml:space="preserve"> improve</w:t>
      </w:r>
      <w:r w:rsidR="0020205B">
        <w:t xml:space="preserve"> business</w:t>
      </w:r>
      <w:r w:rsidR="00BF77D1">
        <w:t xml:space="preserve"> processes</w:t>
      </w:r>
      <w:r w:rsidR="003243C2">
        <w:t xml:space="preserve"> and </w:t>
      </w:r>
      <w:r w:rsidR="001038BE">
        <w:t>create</w:t>
      </w:r>
      <w:r w:rsidR="003243C2">
        <w:t xml:space="preserve"> new revenue opportunities</w:t>
      </w:r>
      <w:r w:rsidR="0020205B">
        <w:t xml:space="preserve"> </w:t>
      </w:r>
      <w:r w:rsidR="006F2D97">
        <w:t>–</w:t>
      </w:r>
      <w:r w:rsidRPr="00685E8B">
        <w:t xml:space="preserve"> have been estimated to be as much as </w:t>
      </w:r>
      <w:r>
        <w:t>AU</w:t>
      </w:r>
      <w:r w:rsidRPr="00685E8B">
        <w:t>$315 billion over the next decade, with the potential to create up to a quarter of a million new jobs by 2025.</w:t>
      </w:r>
      <w:r w:rsidR="006C21D9">
        <w:rPr>
          <w:rStyle w:val="FootnoteReference"/>
        </w:rPr>
        <w:footnoteReference w:id="5"/>
      </w:r>
      <w:r w:rsidRPr="00392738">
        <w:t xml:space="preserve"> </w:t>
      </w:r>
      <w:r w:rsidRPr="001445B1">
        <w:t xml:space="preserve">It is estimated consumer and business adoption of digital technologies in Australia leapfrogged five years over the course of eight weeks in 2020. </w:t>
      </w:r>
      <w:r w:rsidRPr="00685E8B">
        <w:t xml:space="preserve">And almost 9 in 10 Australian businesses adopted new technologies during </w:t>
      </w:r>
      <w:r>
        <w:t xml:space="preserve">the pandemic </w:t>
      </w:r>
      <w:r w:rsidRPr="00685E8B">
        <w:t xml:space="preserve">to support business continuity. </w:t>
      </w:r>
    </w:p>
    <w:p w14:paraId="152B5B08" w14:textId="66855E0D" w:rsidR="009B42FC" w:rsidRDefault="00F50E2F" w:rsidP="00446487">
      <w:bookmarkStart w:id="7" w:name="_Toc83983133"/>
      <w:bookmarkStart w:id="8" w:name="_Toc83986304"/>
      <w:bookmarkStart w:id="9" w:name="_Toc90387852"/>
      <w:bookmarkStart w:id="10" w:name="_Toc92134445"/>
      <w:r>
        <w:rPr>
          <w:noProof/>
        </w:rPr>
        <w:drawing>
          <wp:anchor distT="0" distB="0" distL="114300" distR="114300" simplePos="0" relativeHeight="251651072" behindDoc="0" locked="0" layoutInCell="1" allowOverlap="1" wp14:anchorId="2BC97D28" wp14:editId="3075AD01">
            <wp:simplePos x="0" y="0"/>
            <wp:positionH relativeFrom="margin">
              <wp:align>right</wp:align>
            </wp:positionH>
            <wp:positionV relativeFrom="paragraph">
              <wp:posOffset>46355</wp:posOffset>
            </wp:positionV>
            <wp:extent cx="6115050" cy="1596390"/>
            <wp:effectExtent l="0" t="0" r="0" b="381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rotWithShape="1">
                    <a:blip r:embed="rId25">
                      <a:extLst>
                        <a:ext uri="{28A0092B-C50C-407E-A947-70E740481C1C}">
                          <a14:useLocalDpi xmlns:a14="http://schemas.microsoft.com/office/drawing/2010/main" val="0"/>
                        </a:ext>
                      </a:extLst>
                    </a:blip>
                    <a:srcRect t="32917" b="15617"/>
                    <a:stretch/>
                  </pic:blipFill>
                  <pic:spPr bwMode="auto">
                    <a:xfrm>
                      <a:off x="0" y="0"/>
                      <a:ext cx="6115050" cy="1596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7"/>
      <w:bookmarkEnd w:id="8"/>
      <w:bookmarkEnd w:id="9"/>
      <w:bookmarkEnd w:id="10"/>
    </w:p>
    <w:p w14:paraId="62B1A42D" w14:textId="3E3E7CC6" w:rsidR="00446487" w:rsidRDefault="00446487" w:rsidP="00446487">
      <w:r w:rsidRPr="001445B1">
        <w:t xml:space="preserve">In Southeast Asia, which has the world’s fastest growing online market with over </w:t>
      </w:r>
      <w:r>
        <w:t>400</w:t>
      </w:r>
      <w:r w:rsidRPr="001445B1">
        <w:t xml:space="preserve"> million Internet users, the overall market size tripled in size in just four years (to US$100 billion in 2019).</w:t>
      </w:r>
      <w:r w:rsidR="000A75E6">
        <w:rPr>
          <w:rStyle w:val="FootnoteReference"/>
        </w:rPr>
        <w:footnoteReference w:id="6"/>
      </w:r>
    </w:p>
    <w:p w14:paraId="53F436AD" w14:textId="0C6FAC57" w:rsidR="00446487" w:rsidRPr="00C82BC2" w:rsidRDefault="00446487" w:rsidP="00446487">
      <w:r w:rsidRPr="00C82BC2">
        <w:t xml:space="preserve">And </w:t>
      </w:r>
      <w:r w:rsidR="00455507">
        <w:t>Southeast Asia</w:t>
      </w:r>
      <w:r w:rsidRPr="00C82BC2">
        <w:t xml:space="preserve"> is continuing to undergo a rapid digital transformation</w:t>
      </w:r>
      <w:r>
        <w:t xml:space="preserve">, with the market size </w:t>
      </w:r>
      <w:r w:rsidRPr="00C82BC2">
        <w:t xml:space="preserve">on track to be worth more than USD$300 billion by 2025. E-commerce, or online shopping, is expected to reach </w:t>
      </w:r>
      <w:r w:rsidR="006F5CFD">
        <w:t>USD</w:t>
      </w:r>
      <w:r w:rsidRPr="00C82BC2">
        <w:t>$172 billion by 2025, with digital services also becoming more important</w:t>
      </w:r>
      <w:r w:rsidR="00743420">
        <w:t>.</w:t>
      </w:r>
      <w:r>
        <w:rPr>
          <w:rStyle w:val="FootnoteReference"/>
        </w:rPr>
        <w:footnoteReference w:id="7"/>
      </w:r>
      <w:r w:rsidRPr="00C82BC2">
        <w:t xml:space="preserve"> </w:t>
      </w:r>
    </w:p>
    <w:p w14:paraId="5AE26D01" w14:textId="54C7B979" w:rsidR="00446487" w:rsidRDefault="00446487" w:rsidP="00446487">
      <w:r w:rsidRPr="00C82BC2">
        <w:t>This digit</w:t>
      </w:r>
      <w:r w:rsidR="00094F3D">
        <w:t>al</w:t>
      </w:r>
      <w:r w:rsidRPr="00C82BC2">
        <w:t>isation is seeing a number of Southeast Asia’s economies ‘leapfrog’ technologies. For example, in the financial services sector, in countries where the take up of bank accounts is still low, companies are finding alternate ways to reach their customers. Payments by phone are becoming the norm</w:t>
      </w:r>
      <w:r w:rsidR="00743420">
        <w:t xml:space="preserve"> – th</w:t>
      </w:r>
      <w:r>
        <w:t xml:space="preserve">e </w:t>
      </w:r>
      <w:r w:rsidRPr="00C82BC2">
        <w:t xml:space="preserve">annual value of total digital payment transactions across Southeast Asia </w:t>
      </w:r>
      <w:r>
        <w:t xml:space="preserve">is estimated to </w:t>
      </w:r>
      <w:r w:rsidR="006F5CFD">
        <w:t>exceed USD$1 trillion by 2023.</w:t>
      </w:r>
      <w:r w:rsidR="006F5CFD">
        <w:rPr>
          <w:rStyle w:val="FootnoteReference"/>
        </w:rPr>
        <w:footnoteReference w:id="8"/>
      </w:r>
    </w:p>
    <w:p w14:paraId="3B7C9741" w14:textId="64B53F9F" w:rsidR="00446487" w:rsidRDefault="00446487" w:rsidP="00446487">
      <w:pPr>
        <w:pStyle w:val="BodyText"/>
      </w:pPr>
      <w:r>
        <w:t>D</w:t>
      </w:r>
      <w:r w:rsidRPr="002B234D">
        <w:t xml:space="preserve">igital </w:t>
      </w:r>
      <w:r>
        <w:t xml:space="preserve">trade </w:t>
      </w:r>
      <w:r w:rsidRPr="002B234D">
        <w:t>has become paramount for continued economic growth and development across the region</w:t>
      </w:r>
      <w:r>
        <w:t>.</w:t>
      </w:r>
    </w:p>
    <w:p w14:paraId="36E89990" w14:textId="77777777" w:rsidR="009B42FC" w:rsidRPr="009B42FC" w:rsidRDefault="009B42FC" w:rsidP="000B3FD0">
      <w:pPr>
        <w:pStyle w:val="BodyText"/>
        <w:pBdr>
          <w:top w:val="single" w:sz="12" w:space="1" w:color="3DA18F" w:themeColor="accent1" w:themeShade="BF"/>
          <w:left w:val="single" w:sz="12" w:space="4" w:color="3DA18F" w:themeColor="accent1" w:themeShade="BF"/>
          <w:bottom w:val="single" w:sz="12" w:space="1" w:color="3DA18F" w:themeColor="accent1" w:themeShade="BF"/>
          <w:right w:val="single" w:sz="12" w:space="0" w:color="3DA18F" w:themeColor="accent1" w:themeShade="BF"/>
        </w:pBdr>
        <w:spacing w:before="0" w:after="0"/>
        <w:jc w:val="center"/>
        <w:rPr>
          <w:b/>
          <w:bCs/>
          <w:sz w:val="16"/>
          <w:szCs w:val="16"/>
        </w:rPr>
      </w:pPr>
    </w:p>
    <w:p w14:paraId="3A2C0FA1" w14:textId="63CB482B" w:rsidR="009B42FC" w:rsidRPr="009B42FC" w:rsidRDefault="009B42FC" w:rsidP="000B3FD0">
      <w:pPr>
        <w:pStyle w:val="BodyText"/>
        <w:pBdr>
          <w:top w:val="single" w:sz="12" w:space="1" w:color="3DA18F" w:themeColor="accent1" w:themeShade="BF"/>
          <w:left w:val="single" w:sz="12" w:space="4" w:color="3DA18F" w:themeColor="accent1" w:themeShade="BF"/>
          <w:bottom w:val="single" w:sz="12" w:space="1" w:color="3DA18F" w:themeColor="accent1" w:themeShade="BF"/>
          <w:right w:val="single" w:sz="12" w:space="0" w:color="3DA18F" w:themeColor="accent1" w:themeShade="BF"/>
        </w:pBdr>
        <w:spacing w:before="0" w:after="0"/>
        <w:jc w:val="center"/>
        <w:rPr>
          <w:b/>
          <w:bCs/>
          <w:sz w:val="24"/>
          <w:szCs w:val="24"/>
        </w:rPr>
      </w:pPr>
      <w:r w:rsidRPr="009B42FC">
        <w:rPr>
          <w:b/>
          <w:bCs/>
          <w:sz w:val="24"/>
          <w:szCs w:val="24"/>
        </w:rPr>
        <w:t>Digital trade is an increasingly important way for Australia to trade with the rest of the world and further grow the economy.</w:t>
      </w:r>
    </w:p>
    <w:p w14:paraId="089C82F9" w14:textId="77777777" w:rsidR="009B42FC" w:rsidRPr="009B42FC" w:rsidRDefault="009B42FC" w:rsidP="000B3FD0">
      <w:pPr>
        <w:pStyle w:val="BodyText"/>
        <w:pBdr>
          <w:top w:val="single" w:sz="12" w:space="1" w:color="3DA18F" w:themeColor="accent1" w:themeShade="BF"/>
          <w:left w:val="single" w:sz="12" w:space="4" w:color="3DA18F" w:themeColor="accent1" w:themeShade="BF"/>
          <w:bottom w:val="single" w:sz="12" w:space="1" w:color="3DA18F" w:themeColor="accent1" w:themeShade="BF"/>
          <w:right w:val="single" w:sz="12" w:space="0" w:color="3DA18F" w:themeColor="accent1" w:themeShade="BF"/>
        </w:pBdr>
        <w:spacing w:before="0" w:after="0"/>
        <w:jc w:val="center"/>
        <w:rPr>
          <w:b/>
          <w:bCs/>
          <w:sz w:val="16"/>
          <w:szCs w:val="16"/>
        </w:rPr>
      </w:pPr>
    </w:p>
    <w:p w14:paraId="6928B5DE" w14:textId="536E05EA" w:rsidR="009B42FC" w:rsidRPr="009B42FC" w:rsidRDefault="009B42FC" w:rsidP="000B3FD0">
      <w:pPr>
        <w:pStyle w:val="BodyText"/>
        <w:pBdr>
          <w:top w:val="single" w:sz="12" w:space="1" w:color="3DA18F" w:themeColor="accent1" w:themeShade="BF"/>
          <w:left w:val="single" w:sz="12" w:space="4" w:color="3DA18F" w:themeColor="accent1" w:themeShade="BF"/>
          <w:bottom w:val="single" w:sz="12" w:space="1" w:color="3DA18F" w:themeColor="accent1" w:themeShade="BF"/>
          <w:right w:val="single" w:sz="12" w:space="0" w:color="3DA18F" w:themeColor="accent1" w:themeShade="BF"/>
        </w:pBdr>
        <w:spacing w:before="0" w:after="0"/>
        <w:jc w:val="center"/>
        <w:rPr>
          <w:b/>
          <w:bCs/>
          <w:sz w:val="24"/>
          <w:szCs w:val="24"/>
        </w:rPr>
      </w:pPr>
      <w:r w:rsidRPr="009B42FC">
        <w:rPr>
          <w:b/>
          <w:bCs/>
          <w:sz w:val="24"/>
          <w:szCs w:val="24"/>
        </w:rPr>
        <w:t>It opens up exciting opportunities for Australian businesses and consumers.</w:t>
      </w:r>
    </w:p>
    <w:p w14:paraId="3EE5B3FB" w14:textId="77777777" w:rsidR="009B42FC" w:rsidRPr="009B42FC" w:rsidRDefault="009B42FC" w:rsidP="000B3FD0">
      <w:pPr>
        <w:pStyle w:val="BodyText"/>
        <w:pBdr>
          <w:top w:val="single" w:sz="12" w:space="1" w:color="3DA18F" w:themeColor="accent1" w:themeShade="BF"/>
          <w:left w:val="single" w:sz="12" w:space="4" w:color="3DA18F" w:themeColor="accent1" w:themeShade="BF"/>
          <w:bottom w:val="single" w:sz="12" w:space="1" w:color="3DA18F" w:themeColor="accent1" w:themeShade="BF"/>
          <w:right w:val="single" w:sz="12" w:space="0" w:color="3DA18F" w:themeColor="accent1" w:themeShade="BF"/>
        </w:pBdr>
        <w:spacing w:before="0" w:after="0"/>
        <w:jc w:val="center"/>
        <w:rPr>
          <w:b/>
          <w:bCs/>
          <w:sz w:val="16"/>
          <w:szCs w:val="16"/>
        </w:rPr>
      </w:pPr>
    </w:p>
    <w:p w14:paraId="5864ABB2" w14:textId="77777777" w:rsidR="009B42FC" w:rsidRPr="00B124F8" w:rsidRDefault="009B42FC" w:rsidP="00446487">
      <w:pPr>
        <w:pStyle w:val="BodyText"/>
      </w:pPr>
    </w:p>
    <w:p w14:paraId="1460239F" w14:textId="77777777" w:rsidR="00446487" w:rsidRDefault="00446487" w:rsidP="00362F5A">
      <w:pPr>
        <w:pStyle w:val="Heading2"/>
        <w:sectPr w:rsidR="00446487" w:rsidSect="00446487">
          <w:type w:val="continuous"/>
          <w:pgSz w:w="11906" w:h="16838" w:code="9"/>
          <w:pgMar w:top="1985" w:right="1134" w:bottom="1701" w:left="1134" w:header="567" w:footer="567" w:gutter="0"/>
          <w:cols w:num="2" w:space="708"/>
          <w:titlePg/>
          <w:docGrid w:linePitch="360"/>
        </w:sectPr>
      </w:pPr>
    </w:p>
    <w:p w14:paraId="1DA02E8F" w14:textId="22606B02" w:rsidR="0065226B" w:rsidRDefault="0065226B" w:rsidP="00362F5A">
      <w:pPr>
        <w:pStyle w:val="Heading2"/>
      </w:pPr>
      <w:r>
        <w:br w:type="page"/>
      </w:r>
    </w:p>
    <w:p w14:paraId="0FD51270" w14:textId="24AD0B88" w:rsidR="00756CBB" w:rsidRDefault="002B234D" w:rsidP="00362F5A">
      <w:pPr>
        <w:pStyle w:val="Heading2"/>
      </w:pPr>
      <w:bookmarkStart w:id="13" w:name="_Toc92134446"/>
      <w:r>
        <w:lastRenderedPageBreak/>
        <w:t>Barriers</w:t>
      </w:r>
      <w:bookmarkEnd w:id="13"/>
      <w:r w:rsidR="00362F5A">
        <w:t xml:space="preserve"> </w:t>
      </w:r>
    </w:p>
    <w:p w14:paraId="60F55146" w14:textId="77777777" w:rsidR="00446487" w:rsidRDefault="00446487" w:rsidP="00446487">
      <w:pPr>
        <w:pStyle w:val="BodyText"/>
        <w:sectPr w:rsidR="00446487" w:rsidSect="00446487">
          <w:type w:val="continuous"/>
          <w:pgSz w:w="11906" w:h="16838" w:code="9"/>
          <w:pgMar w:top="1985" w:right="1134" w:bottom="1701" w:left="1134" w:header="567" w:footer="567" w:gutter="0"/>
          <w:cols w:space="708"/>
          <w:titlePg/>
          <w:docGrid w:linePitch="360"/>
        </w:sectPr>
      </w:pPr>
    </w:p>
    <w:p w14:paraId="031CCFE5" w14:textId="0C164A70" w:rsidR="00446487" w:rsidRDefault="00446487" w:rsidP="00446487">
      <w:pPr>
        <w:pStyle w:val="BodyText"/>
      </w:pPr>
      <w:r>
        <w:t>However, the benefits of digital trade cannot be realised or shared where there are barriers to online participation, or unjustified barriers preventing consumers and businesses from engaging in digital trade. Barriers to engage in digital trade can create uncertainty and raise costs of conducting business onlin</w:t>
      </w:r>
      <w:r w:rsidR="003D569C">
        <w:t>e, which can disproportionately impact more geographically isolated countries, like Australia</w:t>
      </w:r>
      <w:r w:rsidR="00BF4FBE">
        <w:t>.</w:t>
      </w:r>
    </w:p>
    <w:p w14:paraId="036040D0" w14:textId="73F02598" w:rsidR="00446487" w:rsidRDefault="00446487" w:rsidP="00446487">
      <w:pPr>
        <w:pStyle w:val="BodyText"/>
      </w:pPr>
      <w:r w:rsidRPr="00DF3181">
        <w:t>Behind</w:t>
      </w:r>
      <w:r w:rsidR="00A32D10">
        <w:t>-</w:t>
      </w:r>
      <w:r w:rsidRPr="00DF3181">
        <w:t>the</w:t>
      </w:r>
      <w:r w:rsidR="00A32D10">
        <w:t>-</w:t>
      </w:r>
      <w:r w:rsidRPr="00DF3181">
        <w:t>border barriers</w:t>
      </w:r>
      <w:r>
        <w:t xml:space="preserve"> </w:t>
      </w:r>
      <w:r w:rsidRPr="00DF3181">
        <w:t xml:space="preserve">include data localisation requirements necessitating the use of local </w:t>
      </w:r>
      <w:r w:rsidR="003B6987">
        <w:t>data storage facilities</w:t>
      </w:r>
      <w:r w:rsidRPr="00DF3181">
        <w:t>, data flow restrictions requiring localisation of certain types of data, or unjustifiable and anti-competitive filtering of cross-border Internet traffic</w:t>
      </w:r>
      <w:r>
        <w:t xml:space="preserve">. There has also been </w:t>
      </w:r>
      <w:r w:rsidRPr="00DF3181">
        <w:t xml:space="preserve">an increase in cyber security measures and privacy </w:t>
      </w:r>
      <w:r w:rsidR="00A32D10">
        <w:t xml:space="preserve">and </w:t>
      </w:r>
      <w:r w:rsidRPr="00DF3181">
        <w:t>data protection laws acting as trade barriers</w:t>
      </w:r>
      <w:r>
        <w:t>.</w:t>
      </w:r>
      <w:r w:rsidRPr="00655192">
        <w:t xml:space="preserve"> </w:t>
      </w:r>
      <w:r w:rsidR="000D77C9">
        <w:t>The broad spectrum of malicious cyber activity by state and non-state actors continues to present a persistent barrier to a trusted digital ecosystem</w:t>
      </w:r>
      <w:r w:rsidR="006E45CF">
        <w:t>.</w:t>
      </w:r>
    </w:p>
    <w:p w14:paraId="0B8A6D16" w14:textId="33333A95" w:rsidR="00200661" w:rsidRDefault="00200661" w:rsidP="00200661">
      <w:pPr>
        <w:pStyle w:val="BodyText"/>
      </w:pPr>
      <w:bookmarkStart w:id="14" w:name="_Hlk90904380"/>
      <w:r>
        <w:t>Some countries are also increasingly using technology to undermine existing liberal democratic values that support an open, interoperable and connected global economy, and are seeking to embed authoritarian rules and norms into international technology standards and data governance to reshape digital rulemaking.</w:t>
      </w:r>
    </w:p>
    <w:bookmarkEnd w:id="14"/>
    <w:p w14:paraId="729D0ECA" w14:textId="5C268EF2" w:rsidR="00446487" w:rsidRDefault="00446487" w:rsidP="00446487">
      <w:pPr>
        <w:pStyle w:val="BodyText"/>
      </w:pPr>
      <w:r>
        <w:t xml:space="preserve">These challenges are intensified for MSMEs </w:t>
      </w:r>
      <w:r w:rsidR="001D38EC">
        <w:t xml:space="preserve">that </w:t>
      </w:r>
      <w:r>
        <w:t>are lagging behind due to the digital divide. The growth of digital trade and use of digital technologies is not automatic, and the spread of its benefits is not guaranteed. There are significant challenges to mak</w:t>
      </w:r>
      <w:r w:rsidR="003D569C">
        <w:t>ing</w:t>
      </w:r>
      <w:r>
        <w:t xml:space="preserve"> the most of this technological era. Different levels of digital development, scarce </w:t>
      </w:r>
      <w:r w:rsidR="00A32D10">
        <w:t>I</w:t>
      </w:r>
      <w:r>
        <w:t>nternet infrastructure, slow</w:t>
      </w:r>
      <w:r w:rsidRPr="006F35F3">
        <w:t xml:space="preserve"> adoption, regulatory bottlenecks, and poor or mismatched skills</w:t>
      </w:r>
      <w:r>
        <w:t xml:space="preserve"> can exacerbate existing inequalities. Levels of digitalisation can influence whether countries are able to support the implementation of the</w:t>
      </w:r>
      <w:r w:rsidR="001D38EC">
        <w:t xml:space="preserve"> UN’s</w:t>
      </w:r>
      <w:r>
        <w:t xml:space="preserve"> 2030 Agenda for Sustainable Development Goals (SDGs). </w:t>
      </w:r>
    </w:p>
    <w:p w14:paraId="0E4D3F01" w14:textId="563A8222" w:rsidR="00446487" w:rsidRDefault="00446487" w:rsidP="002917B0">
      <w:pPr>
        <w:pStyle w:val="Bullet1"/>
        <w:numPr>
          <w:ilvl w:val="0"/>
          <w:numId w:val="0"/>
        </w:numPr>
        <w:spacing w:after="120"/>
      </w:pPr>
      <w:r>
        <w:t>There is also a risk of a widening digital divide where large companies dominate smaller companies that lack the resources for digital transformation, or businesses opt to relocate their operations to countries with the fastest and cheapest connection. This can undermine a country’s plans to turn its digital economy into an engine of growth.</w:t>
      </w:r>
    </w:p>
    <w:p w14:paraId="5E583617" w14:textId="77777777" w:rsidR="00A23D40" w:rsidRPr="00E3757B" w:rsidRDefault="00A23D40" w:rsidP="00E3757B">
      <w:pPr>
        <w:pStyle w:val="Bullet1"/>
        <w:numPr>
          <w:ilvl w:val="0"/>
          <w:numId w:val="0"/>
        </w:numPr>
        <w:pBdr>
          <w:top w:val="single" w:sz="12" w:space="1" w:color="595959" w:themeColor="text1" w:themeTint="A6"/>
          <w:left w:val="single" w:sz="12" w:space="0" w:color="595959" w:themeColor="text1" w:themeTint="A6"/>
          <w:bottom w:val="single" w:sz="12" w:space="1" w:color="595959" w:themeColor="text1" w:themeTint="A6"/>
          <w:right w:val="single" w:sz="12" w:space="0" w:color="595959" w:themeColor="text1" w:themeTint="A6"/>
        </w:pBdr>
        <w:shd w:val="clear" w:color="auto" w:fill="595959" w:themeFill="text1" w:themeFillTint="A6"/>
        <w:spacing w:before="0" w:after="0"/>
        <w:rPr>
          <w:color w:val="FFFFFF" w:themeColor="background1"/>
        </w:rPr>
      </w:pPr>
    </w:p>
    <w:p w14:paraId="270B493B" w14:textId="1C7FC44F" w:rsidR="00446487" w:rsidRPr="00E3757B" w:rsidRDefault="006E45CF" w:rsidP="00E3757B">
      <w:pPr>
        <w:pStyle w:val="Bullet1"/>
        <w:numPr>
          <w:ilvl w:val="0"/>
          <w:numId w:val="0"/>
        </w:numPr>
        <w:pBdr>
          <w:top w:val="single" w:sz="12" w:space="1" w:color="595959" w:themeColor="text1" w:themeTint="A6"/>
          <w:left w:val="single" w:sz="12" w:space="0" w:color="595959" w:themeColor="text1" w:themeTint="A6"/>
          <w:bottom w:val="single" w:sz="12" w:space="1" w:color="595959" w:themeColor="text1" w:themeTint="A6"/>
          <w:right w:val="single" w:sz="12" w:space="0" w:color="595959" w:themeColor="text1" w:themeTint="A6"/>
        </w:pBdr>
        <w:shd w:val="clear" w:color="auto" w:fill="595959" w:themeFill="text1" w:themeFillTint="A6"/>
        <w:spacing w:before="0" w:after="0"/>
        <w:jc w:val="center"/>
        <w:rPr>
          <w:color w:val="FFFFFF" w:themeColor="background1"/>
          <w:sz w:val="24"/>
          <w:szCs w:val="24"/>
        </w:rPr>
      </w:pPr>
      <w:r w:rsidRPr="00E3757B">
        <w:rPr>
          <w:color w:val="FFFFFF" w:themeColor="background1"/>
          <w:sz w:val="24"/>
          <w:szCs w:val="24"/>
        </w:rPr>
        <w:t>It is important that Australia remains well-positioned to curb growing digital protectionism in our region, as well as multinational corporations’ monopolistic behaviours.</w:t>
      </w:r>
    </w:p>
    <w:p w14:paraId="6C9ADB52" w14:textId="77777777" w:rsidR="00A23D40" w:rsidRPr="00E3757B" w:rsidRDefault="00A23D40" w:rsidP="00E3757B">
      <w:pPr>
        <w:pStyle w:val="Bullet1"/>
        <w:numPr>
          <w:ilvl w:val="0"/>
          <w:numId w:val="0"/>
        </w:numPr>
        <w:pBdr>
          <w:top w:val="single" w:sz="12" w:space="1" w:color="595959" w:themeColor="text1" w:themeTint="A6"/>
          <w:left w:val="single" w:sz="12" w:space="0" w:color="595959" w:themeColor="text1" w:themeTint="A6"/>
          <w:bottom w:val="single" w:sz="12" w:space="1" w:color="595959" w:themeColor="text1" w:themeTint="A6"/>
          <w:right w:val="single" w:sz="12" w:space="0" w:color="595959" w:themeColor="text1" w:themeTint="A6"/>
        </w:pBdr>
        <w:shd w:val="clear" w:color="auto" w:fill="595959" w:themeFill="text1" w:themeFillTint="A6"/>
        <w:spacing w:before="0" w:after="0"/>
        <w:rPr>
          <w:color w:val="FFFFFF" w:themeColor="background1"/>
        </w:rPr>
      </w:pPr>
    </w:p>
    <w:p w14:paraId="17BFA767" w14:textId="069C5C66" w:rsidR="000D77C9" w:rsidRDefault="000D77C9" w:rsidP="002556B3">
      <w:pPr>
        <w:pStyle w:val="Bullet1"/>
        <w:numPr>
          <w:ilvl w:val="0"/>
          <w:numId w:val="0"/>
        </w:numPr>
        <w:sectPr w:rsidR="000D77C9" w:rsidSect="00446487">
          <w:type w:val="continuous"/>
          <w:pgSz w:w="11906" w:h="16838" w:code="9"/>
          <w:pgMar w:top="1985" w:right="1134" w:bottom="1701" w:left="1134" w:header="567" w:footer="567" w:gutter="0"/>
          <w:cols w:num="2" w:space="708"/>
          <w:titlePg/>
          <w:docGrid w:linePitch="360"/>
        </w:sectPr>
      </w:pPr>
    </w:p>
    <w:p w14:paraId="34EB0C4B" w14:textId="3E3BD0A2" w:rsidR="00FC2682" w:rsidRDefault="00FC2682" w:rsidP="002556B3">
      <w:pPr>
        <w:pStyle w:val="Bullet1"/>
        <w:numPr>
          <w:ilvl w:val="0"/>
          <w:numId w:val="0"/>
        </w:numPr>
      </w:pPr>
    </w:p>
    <w:p w14:paraId="3315628E" w14:textId="4784AA09" w:rsidR="00291240" w:rsidRDefault="00FC2682" w:rsidP="00756CBB">
      <w:pPr>
        <w:pStyle w:val="BodyText"/>
        <w:sectPr w:rsidR="00291240" w:rsidSect="00446487">
          <w:type w:val="continuous"/>
          <w:pgSz w:w="11906" w:h="16838" w:code="9"/>
          <w:pgMar w:top="1985" w:right="1134" w:bottom="1701" w:left="1134" w:header="567" w:footer="567" w:gutter="0"/>
          <w:cols w:space="708"/>
          <w:titlePg/>
          <w:docGrid w:linePitch="360"/>
        </w:sectPr>
      </w:pPr>
      <w:r>
        <w:rPr>
          <w:noProof/>
        </w:rPr>
        <w:drawing>
          <wp:inline distT="0" distB="0" distL="0" distR="0" wp14:anchorId="477BE8AC" wp14:editId="254CE8CC">
            <wp:extent cx="6068695" cy="2200259"/>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1929" cy="2219559"/>
                    </a:xfrm>
                    <a:prstGeom prst="rect">
                      <a:avLst/>
                    </a:prstGeom>
                  </pic:spPr>
                </pic:pic>
              </a:graphicData>
            </a:graphic>
          </wp:inline>
        </w:drawing>
      </w:r>
    </w:p>
    <w:p w14:paraId="1B4CEA21" w14:textId="486A5A42" w:rsidR="00067853" w:rsidRDefault="00067853" w:rsidP="00756CBB">
      <w:pPr>
        <w:pStyle w:val="BodyText"/>
      </w:pPr>
    </w:p>
    <w:p w14:paraId="40C6E0DD" w14:textId="73BE8013" w:rsidR="007B2B1E" w:rsidRDefault="0095090A" w:rsidP="00D132AE">
      <w:pPr>
        <w:pStyle w:val="Heading1"/>
        <w:spacing w:before="120" w:after="120"/>
        <w:contextualSpacing w:val="0"/>
      </w:pPr>
      <w:bookmarkStart w:id="15" w:name="_Toc92134447"/>
      <w:r>
        <w:t>Shaping an enabling environment</w:t>
      </w:r>
      <w:r w:rsidR="00D132AE">
        <w:br/>
      </w:r>
      <w:r w:rsidR="000377B1">
        <w:t xml:space="preserve">Through </w:t>
      </w:r>
      <w:r w:rsidR="00291240">
        <w:t>d</w:t>
      </w:r>
      <w:r w:rsidR="007B2B1E">
        <w:t>igital trade rules</w:t>
      </w:r>
      <w:bookmarkEnd w:id="15"/>
    </w:p>
    <w:p w14:paraId="704C9FFD" w14:textId="77777777" w:rsidR="004D0D64" w:rsidRPr="004D0D64" w:rsidRDefault="004D0D64" w:rsidP="004D0D64"/>
    <w:p w14:paraId="218FD379" w14:textId="77777777" w:rsidR="004D0D64" w:rsidRDefault="004D0D64" w:rsidP="00446487">
      <w:pPr>
        <w:pStyle w:val="BodyText"/>
      </w:pPr>
    </w:p>
    <w:p w14:paraId="5034D8C1" w14:textId="54FDA42A" w:rsidR="004D0D64" w:rsidRDefault="004D0D64" w:rsidP="00446487">
      <w:pPr>
        <w:pStyle w:val="BodyText"/>
        <w:sectPr w:rsidR="004D0D64" w:rsidSect="00D4318C">
          <w:pgSz w:w="11906" w:h="16838" w:code="9"/>
          <w:pgMar w:top="1985" w:right="1134" w:bottom="1701" w:left="1134" w:header="567" w:footer="567" w:gutter="0"/>
          <w:cols w:space="708"/>
          <w:titlePg/>
          <w:docGrid w:linePitch="360"/>
        </w:sectPr>
      </w:pPr>
    </w:p>
    <w:p w14:paraId="5CFAE712" w14:textId="1A0DEAFF" w:rsidR="00446487" w:rsidRDefault="000C2638" w:rsidP="00446487">
      <w:pPr>
        <w:pStyle w:val="BodyText"/>
      </w:pPr>
      <w:r>
        <w:t>A</w:t>
      </w:r>
      <w:r w:rsidR="00446487" w:rsidRPr="006545B6">
        <w:t xml:space="preserve">ustralia </w:t>
      </w:r>
      <w:r w:rsidR="00446487">
        <w:t xml:space="preserve">seeks </w:t>
      </w:r>
      <w:r w:rsidR="00446487" w:rsidRPr="006545B6">
        <w:t xml:space="preserve">to maximise economic growth by shaping an </w:t>
      </w:r>
      <w:r w:rsidR="003D569C">
        <w:t>international</w:t>
      </w:r>
      <w:r w:rsidR="003D569C" w:rsidRPr="006545B6">
        <w:t xml:space="preserve"> </w:t>
      </w:r>
      <w:r w:rsidR="00446487" w:rsidRPr="006545B6">
        <w:t xml:space="preserve">environment that </w:t>
      </w:r>
      <w:r w:rsidR="003D569C">
        <w:t>enables</w:t>
      </w:r>
      <w:r w:rsidR="00385E84">
        <w:t xml:space="preserve"> </w:t>
      </w:r>
      <w:r w:rsidR="00446487" w:rsidRPr="006545B6">
        <w:t>digital trade and reinforces the international rules-based trading system.</w:t>
      </w:r>
      <w:r w:rsidR="00446487">
        <w:t xml:space="preserve"> </w:t>
      </w:r>
    </w:p>
    <w:p w14:paraId="5655876D" w14:textId="60A04280" w:rsidR="00446487" w:rsidRDefault="00446487" w:rsidP="00BF4FBE">
      <w:pPr>
        <w:pStyle w:val="Bullet1"/>
        <w:numPr>
          <w:ilvl w:val="0"/>
          <w:numId w:val="0"/>
        </w:numPr>
      </w:pPr>
      <w:r>
        <w:t>Digital trade rules are essential to this</w:t>
      </w:r>
      <w:r w:rsidR="001E65D1">
        <w:t xml:space="preserve">. As discussed above, they can </w:t>
      </w:r>
      <w:r>
        <w:t xml:space="preserve">significantly </w:t>
      </w:r>
      <w:r w:rsidR="00330058">
        <w:t>reduce</w:t>
      </w:r>
      <w:r>
        <w:t xml:space="preserve"> barriers to trade, improve trade efficiencies and facilitate access to markets, creating new trade possibilities. In turn, these rules can:  </w:t>
      </w:r>
    </w:p>
    <w:p w14:paraId="2A3938CA" w14:textId="15841708" w:rsidR="00446487" w:rsidRDefault="00446487" w:rsidP="00446487">
      <w:pPr>
        <w:pStyle w:val="Bullet1"/>
      </w:pPr>
      <w:r w:rsidRPr="00685E8B">
        <w:t>provide certainty, stability and build trust in the online environment, enabling innovation, interoperability, and growth</w:t>
      </w:r>
      <w:r>
        <w:t xml:space="preserve"> </w:t>
      </w:r>
    </w:p>
    <w:p w14:paraId="70446F34" w14:textId="5E94C38A" w:rsidR="00446487" w:rsidRDefault="00446487" w:rsidP="00446487">
      <w:pPr>
        <w:pStyle w:val="Bullet1"/>
      </w:pPr>
      <w:r w:rsidRPr="00B57B1B">
        <w:t xml:space="preserve">support </w:t>
      </w:r>
      <w:r>
        <w:t xml:space="preserve">digital inclusivity and </w:t>
      </w:r>
      <w:r w:rsidRPr="00B57B1B">
        <w:t>participation in the digital economy</w:t>
      </w:r>
      <w:r>
        <w:t xml:space="preserve">. </w:t>
      </w:r>
    </w:p>
    <w:p w14:paraId="59575494" w14:textId="0A3412BD" w:rsidR="00CB1366" w:rsidRDefault="00CB1366" w:rsidP="00446487">
      <w:pPr>
        <w:pStyle w:val="BodyText"/>
      </w:pPr>
      <w:r>
        <w:t>Australia sees digital trade rules as a mechanism to facilitate trade and</w:t>
      </w:r>
      <w:r w:rsidR="009666B1">
        <w:t xml:space="preserve"> </w:t>
      </w:r>
      <w:r w:rsidR="00711D02">
        <w:t xml:space="preserve">help </w:t>
      </w:r>
      <w:r w:rsidR="009666B1">
        <w:t>ensure that</w:t>
      </w:r>
      <w:r>
        <w:t xml:space="preserve"> regulatory barriers </w:t>
      </w:r>
      <w:r w:rsidR="000228A3">
        <w:t xml:space="preserve">can </w:t>
      </w:r>
      <w:r>
        <w:t xml:space="preserve">only be </w:t>
      </w:r>
      <w:r w:rsidR="009666B1">
        <w:t xml:space="preserve">imposed </w:t>
      </w:r>
      <w:r>
        <w:t xml:space="preserve">to address clear </w:t>
      </w:r>
      <w:r w:rsidR="00CE5118">
        <w:t xml:space="preserve">market </w:t>
      </w:r>
      <w:r>
        <w:t>failures.</w:t>
      </w:r>
    </w:p>
    <w:p w14:paraId="0C6B0538" w14:textId="6498EA09" w:rsidR="00446487" w:rsidRDefault="00446487" w:rsidP="00446487">
      <w:pPr>
        <w:pStyle w:val="BodyText"/>
      </w:pPr>
      <w:r>
        <w:t>Governments have an important role to play in helping businesses make the most of the digital economy while ensuring appropriate consumer and privacy protections.</w:t>
      </w:r>
      <w:r w:rsidRPr="002701D4">
        <w:t xml:space="preserve"> </w:t>
      </w:r>
      <w:r>
        <w:t>Digital development and inclusion remain essential to promote digital trade within Australia as well as regionally and globally.</w:t>
      </w:r>
    </w:p>
    <w:p w14:paraId="7B17DAA1" w14:textId="77777777" w:rsidR="00D55DBD" w:rsidRDefault="00446487" w:rsidP="00446487">
      <w:pPr>
        <w:pStyle w:val="BodyText"/>
      </w:pPr>
      <w:r>
        <w:t xml:space="preserve">The Australian Government participates in global rule-making to shape and support an open digital economy. </w:t>
      </w:r>
    </w:p>
    <w:p w14:paraId="00B3FB68" w14:textId="6E8585B0" w:rsidR="00446487" w:rsidRDefault="00446487" w:rsidP="00446487">
      <w:pPr>
        <w:pStyle w:val="BodyText"/>
      </w:pPr>
      <w:r>
        <w:t>Australia advocates strongly for a rules-based and open global trading environment that supports the digitalisation of trade, builds trust and confidence in the online environment, reduces trade barriers and facilitates digital trade.</w:t>
      </w:r>
      <w:r w:rsidRPr="007B7773">
        <w:t xml:space="preserve"> </w:t>
      </w:r>
      <w:r>
        <w:t xml:space="preserve">This </w:t>
      </w:r>
      <w:r>
        <w:t>includes negotiating rules in bilateral, plurilateral and multilateral settings</w:t>
      </w:r>
      <w:r w:rsidR="00E90ECA">
        <w:t>, and working with our trading partners and business stakeholders to help support the implementation and utilisation of these rules</w:t>
      </w:r>
      <w:r>
        <w:t xml:space="preserve">. The Australian Government is also working </w:t>
      </w:r>
      <w:r w:rsidR="00E90ECA">
        <w:t>internationally</w:t>
      </w:r>
      <w:r>
        <w:t xml:space="preserve"> to ensure Australian businesses and consumers benefit from the immense opportunities that digital trade offer</w:t>
      </w:r>
      <w:r w:rsidR="00A32D10">
        <w:t>s</w:t>
      </w:r>
      <w:r>
        <w:t>.</w:t>
      </w:r>
    </w:p>
    <w:p w14:paraId="13C071E4" w14:textId="129461C7" w:rsidR="00446487" w:rsidRDefault="00446487" w:rsidP="00446487">
      <w:pPr>
        <w:pStyle w:val="BodyText"/>
      </w:pPr>
      <w:r>
        <w:t xml:space="preserve">Australia’s digital trade commitments </w:t>
      </w:r>
      <w:r w:rsidR="00CB1366">
        <w:t xml:space="preserve">outlined in </w:t>
      </w:r>
      <w:r w:rsidR="0033728F">
        <w:t>T</w:t>
      </w:r>
      <w:r w:rsidRPr="00CB1366">
        <w:t>able</w:t>
      </w:r>
      <w:r w:rsidR="00CB1366" w:rsidRPr="00CB1366">
        <w:t xml:space="preserve"> 1</w:t>
      </w:r>
      <w:r>
        <w:t xml:space="preserve"> focus on four broad categories: </w:t>
      </w:r>
    </w:p>
    <w:p w14:paraId="58DDF8A4" w14:textId="66BB8F3A" w:rsidR="00446487" w:rsidRDefault="00446487" w:rsidP="00446487">
      <w:pPr>
        <w:pStyle w:val="Bullet1"/>
      </w:pPr>
      <w:r>
        <w:t xml:space="preserve">Trade facilitation, </w:t>
      </w:r>
      <w:r w:rsidR="000C2638">
        <w:t xml:space="preserve">such as </w:t>
      </w:r>
      <w:r>
        <w:t xml:space="preserve">acceptance of electronic trade documents, </w:t>
      </w:r>
      <w:r w:rsidR="001E65D1">
        <w:t xml:space="preserve">prohibiting the </w:t>
      </w:r>
      <w:r>
        <w:t xml:space="preserve">charging </w:t>
      </w:r>
      <w:r w:rsidR="001E65D1">
        <w:t xml:space="preserve">of </w:t>
      </w:r>
      <w:r>
        <w:t xml:space="preserve">customs duties on electronic transmissions, </w:t>
      </w:r>
      <w:r w:rsidR="00533E77" w:rsidRPr="00086BD0">
        <w:t>digital trade standards,</w:t>
      </w:r>
      <w:r w:rsidR="00533E77">
        <w:t xml:space="preserve"> </w:t>
      </w:r>
      <w:r>
        <w:t>acceptance of e-signatures and commitments on e-invoicing and e-payments.</w:t>
      </w:r>
    </w:p>
    <w:p w14:paraId="5698957D" w14:textId="0F998C22" w:rsidR="00446487" w:rsidRDefault="00446487" w:rsidP="00446487">
      <w:pPr>
        <w:pStyle w:val="Bullet1"/>
      </w:pPr>
      <w:r>
        <w:t>Trust, which includes commitments on online consumer protection, personal data protection</w:t>
      </w:r>
      <w:r w:rsidR="000C2638">
        <w:t xml:space="preserve"> and </w:t>
      </w:r>
      <w:r>
        <w:t>the treatment of spam.</w:t>
      </w:r>
    </w:p>
    <w:p w14:paraId="15797159" w14:textId="77777777" w:rsidR="0023478F" w:rsidRDefault="0023478F" w:rsidP="0023478F">
      <w:pPr>
        <w:pStyle w:val="Bullet1"/>
      </w:pPr>
      <w:r>
        <w:t>Cross-border flow of data, which is necessary for almost every international transaction. These rules enable the free movement of data between countries and prohibit data localisation requirements, while also providing for the protection of national security, consumers, and the personal information of Australians.</w:t>
      </w:r>
    </w:p>
    <w:p w14:paraId="36ABBFC4" w14:textId="58903AE2" w:rsidR="00446487" w:rsidRDefault="00446487" w:rsidP="00446487">
      <w:pPr>
        <w:pStyle w:val="Bullet1"/>
      </w:pPr>
      <w:r>
        <w:t>Cooperation, typically in areas like</w:t>
      </w:r>
      <w:r w:rsidR="00E90ECA">
        <w:t xml:space="preserve"> emerging technologies,</w:t>
      </w:r>
      <w:r>
        <w:t xml:space="preserve"> cyber</w:t>
      </w:r>
      <w:r w:rsidR="00A32D10">
        <w:t xml:space="preserve"> </w:t>
      </w:r>
      <w:r>
        <w:t xml:space="preserve">security, </w:t>
      </w:r>
      <w:r w:rsidR="00E90ECA">
        <w:t xml:space="preserve">and technical </w:t>
      </w:r>
      <w:r>
        <w:t>assistance</w:t>
      </w:r>
      <w:r w:rsidR="00E90ECA">
        <w:t xml:space="preserve"> and capacity building</w:t>
      </w:r>
      <w:r>
        <w:t xml:space="preserve"> to </w:t>
      </w:r>
      <w:r w:rsidR="00E90ECA">
        <w:t>share knowledge and best-practice and support trading partners to make the most of digital trade</w:t>
      </w:r>
      <w:r w:rsidR="00330058">
        <w:t>.</w:t>
      </w:r>
      <w:r>
        <w:t xml:space="preserve"> </w:t>
      </w:r>
    </w:p>
    <w:p w14:paraId="49F6AEB9" w14:textId="77777777" w:rsidR="00AA37B2" w:rsidRDefault="00AA37B2" w:rsidP="00D55DBD">
      <w:pPr>
        <w:pStyle w:val="Bullet1"/>
        <w:numPr>
          <w:ilvl w:val="0"/>
          <w:numId w:val="0"/>
        </w:numPr>
        <w:sectPr w:rsidR="00AA37B2" w:rsidSect="00AA37B2">
          <w:type w:val="continuous"/>
          <w:pgSz w:w="11906" w:h="16838" w:code="9"/>
          <w:pgMar w:top="1985" w:right="1134" w:bottom="1701" w:left="1134" w:header="567" w:footer="567" w:gutter="0"/>
          <w:cols w:num="2" w:space="708"/>
          <w:titlePg/>
          <w:docGrid w:linePitch="360"/>
        </w:sectPr>
      </w:pPr>
    </w:p>
    <w:p w14:paraId="351D6D56" w14:textId="571E33C9" w:rsidR="00AA37B2" w:rsidRDefault="00AA37B2" w:rsidP="00446487">
      <w:pPr>
        <w:pStyle w:val="BodyText"/>
        <w:sectPr w:rsidR="00AA37B2" w:rsidSect="00AA37B2">
          <w:type w:val="continuous"/>
          <w:pgSz w:w="11906" w:h="16838" w:code="9"/>
          <w:pgMar w:top="1985" w:right="1134" w:bottom="1701" w:left="1134" w:header="567" w:footer="567" w:gutter="0"/>
          <w:cols w:num="2" w:space="708"/>
          <w:titlePg/>
          <w:docGrid w:linePitch="360"/>
        </w:sectPr>
      </w:pPr>
    </w:p>
    <w:p w14:paraId="52DD0E23" w14:textId="77777777" w:rsidR="00327D10" w:rsidRPr="00327D10" w:rsidRDefault="00327D10" w:rsidP="004E5A48">
      <w:pPr>
        <w:pStyle w:val="BodyText"/>
        <w:pBdr>
          <w:top w:val="single" w:sz="18" w:space="1" w:color="3DA18F" w:themeColor="accent1" w:themeShade="BF"/>
          <w:left w:val="single" w:sz="18" w:space="4" w:color="3DA18F" w:themeColor="accent1" w:themeShade="BF"/>
          <w:bottom w:val="single" w:sz="18" w:space="1" w:color="3DA18F" w:themeColor="accent1" w:themeShade="BF"/>
          <w:right w:val="single" w:sz="18" w:space="4" w:color="3DA18F" w:themeColor="accent1" w:themeShade="BF"/>
        </w:pBdr>
        <w:spacing w:before="0" w:after="0"/>
        <w:jc w:val="center"/>
        <w:rPr>
          <w:b/>
          <w:sz w:val="12"/>
          <w:szCs w:val="12"/>
          <w:lang w:val="en-AU"/>
        </w:rPr>
      </w:pPr>
    </w:p>
    <w:p w14:paraId="5AF26B25" w14:textId="7F4E2FD5" w:rsidR="00AA37B2" w:rsidRPr="00327D10" w:rsidRDefault="00643B82" w:rsidP="004E5A48">
      <w:pPr>
        <w:pStyle w:val="BodyText"/>
        <w:pBdr>
          <w:top w:val="single" w:sz="18" w:space="1" w:color="3DA18F" w:themeColor="accent1" w:themeShade="BF"/>
          <w:left w:val="single" w:sz="18" w:space="4" w:color="3DA18F" w:themeColor="accent1" w:themeShade="BF"/>
          <w:bottom w:val="single" w:sz="18" w:space="1" w:color="3DA18F" w:themeColor="accent1" w:themeShade="BF"/>
          <w:right w:val="single" w:sz="18" w:space="4" w:color="3DA18F" w:themeColor="accent1" w:themeShade="BF"/>
        </w:pBdr>
        <w:spacing w:before="0" w:after="0"/>
        <w:jc w:val="center"/>
        <w:rPr>
          <w:b/>
          <w:sz w:val="28"/>
          <w:szCs w:val="28"/>
          <w:lang w:val="en-AU"/>
        </w:rPr>
      </w:pPr>
      <w:r w:rsidRPr="00327D10">
        <w:rPr>
          <w:b/>
          <w:sz w:val="28"/>
          <w:szCs w:val="28"/>
          <w:lang w:val="en-AU"/>
        </w:rPr>
        <w:t xml:space="preserve">Digital trade rules and standards support businesses and consumers by removing barriers to entry and making </w:t>
      </w:r>
      <w:r w:rsidR="00636BBB" w:rsidRPr="00327D10">
        <w:rPr>
          <w:b/>
          <w:sz w:val="28"/>
          <w:szCs w:val="28"/>
          <w:lang w:val="en-AU"/>
        </w:rPr>
        <w:t>it easier to trade.</w:t>
      </w:r>
    </w:p>
    <w:p w14:paraId="758DF673" w14:textId="77777777" w:rsidR="00327D10" w:rsidRPr="00327D10" w:rsidRDefault="00327D10" w:rsidP="004E5A48">
      <w:pPr>
        <w:pStyle w:val="BodyText"/>
        <w:pBdr>
          <w:top w:val="single" w:sz="18" w:space="1" w:color="3DA18F" w:themeColor="accent1" w:themeShade="BF"/>
          <w:left w:val="single" w:sz="18" w:space="4" w:color="3DA18F" w:themeColor="accent1" w:themeShade="BF"/>
          <w:bottom w:val="single" w:sz="18" w:space="1" w:color="3DA18F" w:themeColor="accent1" w:themeShade="BF"/>
          <w:right w:val="single" w:sz="18" w:space="4" w:color="3DA18F" w:themeColor="accent1" w:themeShade="BF"/>
        </w:pBdr>
        <w:spacing w:before="0" w:after="0"/>
        <w:jc w:val="center"/>
        <w:rPr>
          <w:sz w:val="12"/>
          <w:szCs w:val="12"/>
        </w:rPr>
      </w:pPr>
    </w:p>
    <w:p w14:paraId="6021D622" w14:textId="77777777" w:rsidR="00AA37B2" w:rsidRDefault="00AA37B2" w:rsidP="00A45833">
      <w:pPr>
        <w:pStyle w:val="Box1Heading"/>
        <w:spacing w:after="80"/>
        <w:jc w:val="center"/>
      </w:pPr>
      <w:bookmarkStart w:id="16" w:name="_Hlk83980703"/>
      <w:r>
        <w:lastRenderedPageBreak/>
        <w:t>Link to digital trade standards</w:t>
      </w:r>
    </w:p>
    <w:p w14:paraId="0D20CC98" w14:textId="7F669B40" w:rsidR="00AA37B2" w:rsidRDefault="00AA37B2" w:rsidP="00A45833">
      <w:pPr>
        <w:pStyle w:val="Box1Text"/>
        <w:spacing w:after="80"/>
      </w:pPr>
      <w:r>
        <w:t xml:space="preserve">Digital trade standards play an important role in enabling digital trade. Digitalisation and digital technologies may expand a domestic industry’s access to international markets if implementation is aligned with international trade standards. </w:t>
      </w:r>
      <w:r w:rsidR="00FE0D56">
        <w:t>Interoperable or harmonised i</w:t>
      </w:r>
      <w:r>
        <w:t xml:space="preserve">nternational standards reduce barriers to, and achieve lower friction in, </w:t>
      </w:r>
      <w:r w:rsidR="00AB58BC">
        <w:t xml:space="preserve">international </w:t>
      </w:r>
      <w:r>
        <w:t xml:space="preserve">trade. </w:t>
      </w:r>
    </w:p>
    <w:p w14:paraId="3E558875" w14:textId="6C5B2D2E" w:rsidR="00AA37B2" w:rsidRDefault="00D56E16" w:rsidP="00A45833">
      <w:pPr>
        <w:pStyle w:val="Box1Text"/>
        <w:spacing w:after="80"/>
      </w:pPr>
      <w:r>
        <w:t xml:space="preserve">This </w:t>
      </w:r>
      <w:r w:rsidR="005124ED">
        <w:t>makes</w:t>
      </w:r>
      <w:r w:rsidR="00AA37B2">
        <w:t xml:space="preserve"> international standards</w:t>
      </w:r>
      <w:r w:rsidR="007812F6">
        <w:t xml:space="preserve"> </w:t>
      </w:r>
      <w:r w:rsidR="005124ED">
        <w:t>a</w:t>
      </w:r>
      <w:r w:rsidR="004F7BA9">
        <w:t>n important</w:t>
      </w:r>
      <w:r w:rsidR="00AA37B2">
        <w:t xml:space="preserve"> </w:t>
      </w:r>
      <w:r w:rsidR="004F7BA9">
        <w:t xml:space="preserve">part of </w:t>
      </w:r>
      <w:r w:rsidR="00AA37B2">
        <w:t>seamless supply chains</w:t>
      </w:r>
      <w:r w:rsidR="00DE12BC">
        <w:t>.</w:t>
      </w:r>
      <w:r w:rsidR="007812F6">
        <w:t xml:space="preserve"> </w:t>
      </w:r>
      <w:r w:rsidR="00DE12BC">
        <w:t>F</w:t>
      </w:r>
      <w:r w:rsidR="007812F6">
        <w:t>or example</w:t>
      </w:r>
      <w:r w:rsidR="006E43F6">
        <w:t>, both Singapore and Australia</w:t>
      </w:r>
      <w:r w:rsidR="00A37E8D">
        <w:t xml:space="preserve"> have</w:t>
      </w:r>
      <w:r w:rsidR="006E43F6">
        <w:t xml:space="preserve"> adopted the </w:t>
      </w:r>
      <w:r w:rsidR="00711D02">
        <w:t>Peppol</w:t>
      </w:r>
      <w:r w:rsidR="006E43F6">
        <w:t xml:space="preserve"> </w:t>
      </w:r>
      <w:r w:rsidR="0017495D">
        <w:t>framework</w:t>
      </w:r>
      <w:r w:rsidR="006E43F6">
        <w:t xml:space="preserve"> </w:t>
      </w:r>
      <w:r w:rsidR="0017495D">
        <w:t>for</w:t>
      </w:r>
      <w:r w:rsidR="00A37E8D">
        <w:t xml:space="preserve"> e-invoicing</w:t>
      </w:r>
      <w:r w:rsidR="007E6519">
        <w:t>,</w:t>
      </w:r>
      <w:r w:rsidR="00A37E8D">
        <w:t xml:space="preserve"> and EMV</w:t>
      </w:r>
      <w:r w:rsidR="0017495D">
        <w:t xml:space="preserve"> </w:t>
      </w:r>
      <w:r w:rsidR="00711D02">
        <w:t>Specifications</w:t>
      </w:r>
      <w:r w:rsidR="0017495D">
        <w:t xml:space="preserve"> for</w:t>
      </w:r>
      <w:r w:rsidR="00A37E8D">
        <w:t xml:space="preserve"> QR code</w:t>
      </w:r>
      <w:r w:rsidR="00711D02">
        <w:t>s</w:t>
      </w:r>
      <w:r w:rsidR="00DB51B7">
        <w:t xml:space="preserve">, </w:t>
      </w:r>
      <w:r w:rsidR="0017495D">
        <w:t>helping</w:t>
      </w:r>
      <w:r w:rsidR="00DB51B7">
        <w:t xml:space="preserve"> to streamline supply-chain management between the two economies</w:t>
      </w:r>
      <w:r w:rsidR="005D5216">
        <w:t xml:space="preserve"> </w:t>
      </w:r>
      <w:r w:rsidR="007060F4">
        <w:t>including through</w:t>
      </w:r>
      <w:r w:rsidR="00534CC8">
        <w:t xml:space="preserve"> faster and more accurate</w:t>
      </w:r>
      <w:r w:rsidR="00711D02">
        <w:t xml:space="preserve"> invoicing and</w:t>
      </w:r>
      <w:r w:rsidR="00534CC8">
        <w:t xml:space="preserve"> inventor</w:t>
      </w:r>
      <w:r w:rsidR="00856907">
        <w:t>ies</w:t>
      </w:r>
      <w:r w:rsidR="00AA37B2">
        <w:t xml:space="preserve">. These standards can increase the efficiency, value and volume of trade and meet the objectives of a regional approach. Because international standards are developed </w:t>
      </w:r>
      <w:r w:rsidR="001F0F53">
        <w:t xml:space="preserve">in multilateral and multistakeholder organisations, </w:t>
      </w:r>
      <w:r w:rsidR="00AA37B2">
        <w:t xml:space="preserve">their adoption also increases business confidence by providing for greater </w:t>
      </w:r>
      <w:r w:rsidR="001F0F53">
        <w:t xml:space="preserve">interoperability, </w:t>
      </w:r>
      <w:r w:rsidR="00AA37B2">
        <w:t>safety, security and quality.</w:t>
      </w:r>
    </w:p>
    <w:p w14:paraId="7260D4E8" w14:textId="6CD5176A" w:rsidR="00AA37B2" w:rsidRDefault="00AA37B2" w:rsidP="00A45833">
      <w:pPr>
        <w:pStyle w:val="Box1Text"/>
        <w:spacing w:after="80"/>
      </w:pPr>
      <w:r>
        <w:t>In contrast, countries that develop national standards that diverge from international trade standards, could find themselves isolated from those states that encourage interoperability and compatibility through the adoption of accepted international standards. Divergent national standards constrain the adoption of new technologies and create incompatibilities which become barriers to cross-border trade</w:t>
      </w:r>
      <w:r w:rsidR="00AE3D43">
        <w:t xml:space="preserve">, including by having a negative impact on </w:t>
      </w:r>
      <w:r w:rsidR="00711D02">
        <w:t xml:space="preserve">the smooth operation of </w:t>
      </w:r>
      <w:r w:rsidR="00AE3D43">
        <w:t>supply chains</w:t>
      </w:r>
      <w:r w:rsidR="00711D02">
        <w:t xml:space="preserve"> including </w:t>
      </w:r>
      <w:r w:rsidR="00AE3D43">
        <w:t>regional and global value chains</w:t>
      </w:r>
      <w:r>
        <w:t xml:space="preserve">. </w:t>
      </w:r>
    </w:p>
    <w:p w14:paraId="07D4B169" w14:textId="0324750B" w:rsidR="00AA37B2" w:rsidRDefault="00AA37B2" w:rsidP="00A45833">
      <w:pPr>
        <w:pStyle w:val="Box1Text"/>
        <w:spacing w:after="80"/>
      </w:pPr>
      <w:r>
        <w:t>The incorporation of international standards</w:t>
      </w:r>
      <w:r w:rsidR="006263FA">
        <w:t xml:space="preserve"> int</w:t>
      </w:r>
      <w:r w:rsidR="006F7D9E">
        <w:t xml:space="preserve">o domestic </w:t>
      </w:r>
      <w:r w:rsidR="008E1943">
        <w:t>frameworks</w:t>
      </w:r>
      <w:r>
        <w:t xml:space="preserve"> can foster the necessary compatibility to accelerate the adoption of digital technologies and processes, </w:t>
      </w:r>
      <w:r w:rsidR="001E65D1">
        <w:t xml:space="preserve">thereby </w:t>
      </w:r>
      <w:r>
        <w:t xml:space="preserve">growing industries, growing markets and growing the economy. Such standards facilitate the use of new technologies by enabling greater efficiencies, interoperability, safety and security. Further, employing accepted international standards can help new and existing industries achieve greater scale and expanded production of goods and services, while delivering consistent quality to consumers. </w:t>
      </w:r>
    </w:p>
    <w:p w14:paraId="22C5DF45" w14:textId="2A85DB59" w:rsidR="00AA37B2" w:rsidRDefault="00AA37B2" w:rsidP="00A45833">
      <w:pPr>
        <w:pStyle w:val="Box1Text"/>
        <w:spacing w:after="80"/>
        <w:rPr>
          <w:i/>
          <w:iCs/>
        </w:rPr>
      </w:pPr>
      <w:r>
        <w:t xml:space="preserve">The DFAT-led, whole-of-government </w:t>
      </w:r>
      <w:r w:rsidRPr="007076D1">
        <w:rPr>
          <w:i/>
          <w:iCs/>
        </w:rPr>
        <w:t xml:space="preserve">International Cyber and Critical Technology Engagement Strategy </w:t>
      </w:r>
      <w:r>
        <w:t>confirm</w:t>
      </w:r>
      <w:r w:rsidR="002E696B">
        <w:t>s</w:t>
      </w:r>
      <w:r>
        <w:t xml:space="preserve"> the Australian Government’s commitment to protecting and advancing Australia’s national interests in increasingly contested international standard-setting bodi</w:t>
      </w:r>
      <w:bookmarkEnd w:id="16"/>
      <w:r>
        <w:t>es.</w:t>
      </w:r>
      <w:r w:rsidR="00506F17">
        <w:t xml:space="preserve"> </w:t>
      </w:r>
      <w:r w:rsidR="00506F17">
        <w:rPr>
          <w:iCs/>
        </w:rPr>
        <w:t>Australia supports this commitment by being an active participant in international bodies, like</w:t>
      </w:r>
      <w:r w:rsidR="00307C05">
        <w:rPr>
          <w:iCs/>
        </w:rPr>
        <w:t xml:space="preserve"> the International Organization </w:t>
      </w:r>
      <w:r w:rsidR="00387A24">
        <w:rPr>
          <w:iCs/>
        </w:rPr>
        <w:t xml:space="preserve">for Standardization </w:t>
      </w:r>
      <w:r w:rsidR="00307C05">
        <w:rPr>
          <w:iCs/>
        </w:rPr>
        <w:t>and the International Electrotechnical Commission</w:t>
      </w:r>
      <w:r w:rsidR="00506F17">
        <w:rPr>
          <w:iCs/>
        </w:rPr>
        <w:t>, through Standards Australia, and participation in other regional activities to show leadership in the standards setting area.</w:t>
      </w:r>
      <w:r w:rsidRPr="007076D1">
        <w:rPr>
          <w:i/>
          <w:iCs/>
        </w:rPr>
        <w:t xml:space="preserve"> </w:t>
      </w:r>
    </w:p>
    <w:p w14:paraId="1DB27201" w14:textId="2B5E4398" w:rsidR="002F761B" w:rsidRPr="002F761B" w:rsidRDefault="002F761B" w:rsidP="00A45833">
      <w:pPr>
        <w:pStyle w:val="Box1Text"/>
        <w:spacing w:after="80"/>
      </w:pPr>
      <w:r>
        <w:t>Following the development and adoption of standards, the other components of Australia’s standards and conformance infrastr</w:t>
      </w:r>
      <w:r w:rsidR="0070638F">
        <w:t>ucture are also important considerations. Metrology, accreditation and conformity assessment support digital trade by ensuring standards are accurately and effectively implemented, further building trust in the Australian community and with internationals trading partners.</w:t>
      </w:r>
    </w:p>
    <w:p w14:paraId="05A6B6A1" w14:textId="2567E46A" w:rsidR="002F761B" w:rsidRPr="007076D1" w:rsidRDefault="002F761B" w:rsidP="00A45833">
      <w:pPr>
        <w:pStyle w:val="Box1Text"/>
        <w:spacing w:after="80"/>
        <w:rPr>
          <w:i/>
          <w:iCs/>
        </w:rPr>
        <w:sectPr w:rsidR="002F761B" w:rsidRPr="007076D1" w:rsidSect="00446487">
          <w:type w:val="continuous"/>
          <w:pgSz w:w="11906" w:h="16838" w:code="9"/>
          <w:pgMar w:top="1985" w:right="1134" w:bottom="1701" w:left="1134" w:header="567" w:footer="567" w:gutter="0"/>
          <w:cols w:space="708"/>
          <w:titlePg/>
          <w:docGrid w:linePitch="360"/>
        </w:sectPr>
      </w:pPr>
    </w:p>
    <w:p w14:paraId="32A49B20" w14:textId="5A53D7B0" w:rsidR="000C2638" w:rsidRDefault="00223640" w:rsidP="00446487">
      <w:pPr>
        <w:pStyle w:val="BodyText"/>
      </w:pPr>
      <w:r>
        <w:rPr>
          <w:i/>
          <w:iCs/>
          <w:noProof/>
        </w:rPr>
        <w:drawing>
          <wp:anchor distT="0" distB="0" distL="114300" distR="114300" simplePos="0" relativeHeight="251666432" behindDoc="0" locked="0" layoutInCell="1" allowOverlap="1" wp14:anchorId="67B8FBC7" wp14:editId="675E5B00">
            <wp:simplePos x="0" y="0"/>
            <wp:positionH relativeFrom="margin">
              <wp:align>right</wp:align>
            </wp:positionH>
            <wp:positionV relativeFrom="paragraph">
              <wp:posOffset>225425</wp:posOffset>
            </wp:positionV>
            <wp:extent cx="6105525" cy="2409825"/>
            <wp:effectExtent l="0" t="0" r="9525" b="9525"/>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rotWithShape="1">
                    <a:blip r:embed="rId27">
                      <a:extLst>
                        <a:ext uri="{28A0092B-C50C-407E-A947-70E740481C1C}">
                          <a14:useLocalDpi xmlns:a14="http://schemas.microsoft.com/office/drawing/2010/main" val="0"/>
                        </a:ext>
                      </a:extLst>
                    </a:blip>
                    <a:srcRect l="17307" r="14701"/>
                    <a:stretch/>
                  </pic:blipFill>
                  <pic:spPr bwMode="auto">
                    <a:xfrm>
                      <a:off x="0" y="0"/>
                      <a:ext cx="6105525" cy="240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E1406F" w14:textId="77777777" w:rsidR="000C2638" w:rsidRDefault="000C2638" w:rsidP="00446487">
      <w:pPr>
        <w:pStyle w:val="BodyText"/>
        <w:sectPr w:rsidR="000C2638" w:rsidSect="00446487">
          <w:type w:val="continuous"/>
          <w:pgSz w:w="11906" w:h="16838" w:code="9"/>
          <w:pgMar w:top="1985" w:right="1134" w:bottom="1701" w:left="1134" w:header="567" w:footer="567" w:gutter="0"/>
          <w:cols w:num="2" w:space="708"/>
          <w:titlePg/>
          <w:docGrid w:linePitch="360"/>
        </w:sectPr>
      </w:pPr>
    </w:p>
    <w:p w14:paraId="41B80FC9" w14:textId="726F3444" w:rsidR="00780409" w:rsidRDefault="0033728F" w:rsidP="00362F5A">
      <w:pPr>
        <w:pStyle w:val="Heading2"/>
      </w:pPr>
      <w:bookmarkStart w:id="17" w:name="_Toc92134448"/>
      <w:r>
        <w:lastRenderedPageBreak/>
        <w:t xml:space="preserve">Table 1: </w:t>
      </w:r>
      <w:r w:rsidR="00F212B0" w:rsidRPr="00362F5A">
        <w:t>Digital trade rules explained</w:t>
      </w:r>
      <w:bookmarkEnd w:id="17"/>
      <w:r w:rsidR="00F212B0">
        <w:t xml:space="preserve"> </w:t>
      </w:r>
    </w:p>
    <w:tbl>
      <w:tblPr>
        <w:tblStyle w:val="GridTable1Light-Accent1"/>
        <w:tblW w:w="14601" w:type="dxa"/>
        <w:tblInd w:w="-572" w:type="dxa"/>
        <w:tblLayout w:type="fixed"/>
        <w:tblLook w:val="04A0" w:firstRow="1" w:lastRow="0" w:firstColumn="1" w:lastColumn="0" w:noHBand="0" w:noVBand="1"/>
      </w:tblPr>
      <w:tblGrid>
        <w:gridCol w:w="1701"/>
        <w:gridCol w:w="8236"/>
        <w:gridCol w:w="4664"/>
      </w:tblGrid>
      <w:tr w:rsidR="00684C8E" w:rsidRPr="00780409" w14:paraId="164371FA" w14:textId="77777777" w:rsidTr="00453D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tcPr>
          <w:p w14:paraId="4D42584D" w14:textId="07DC064B" w:rsidR="00684C8E" w:rsidRPr="00880E04" w:rsidRDefault="00684C8E" w:rsidP="00684C8E">
            <w:pPr>
              <w:pStyle w:val="TableText"/>
              <w:framePr w:hSpace="0" w:wrap="auto" w:vAnchor="margin" w:hAnchor="text" w:yAlign="inline"/>
              <w:rPr>
                <w:szCs w:val="22"/>
              </w:rPr>
            </w:pPr>
            <w:r>
              <w:rPr>
                <w:szCs w:val="22"/>
              </w:rPr>
              <w:t>Trade</w:t>
            </w:r>
            <w:r w:rsidRPr="00880E04">
              <w:rPr>
                <w:szCs w:val="22"/>
              </w:rPr>
              <w:t xml:space="preserve"> rule</w:t>
            </w:r>
          </w:p>
        </w:tc>
        <w:tc>
          <w:tcPr>
            <w:tcW w:w="8236" w:type="dxa"/>
          </w:tcPr>
          <w:p w14:paraId="05426A5A" w14:textId="18B49958" w:rsidR="00684C8E" w:rsidRPr="00880E04" w:rsidRDefault="00684C8E" w:rsidP="00684C8E">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szCs w:val="22"/>
              </w:rPr>
            </w:pPr>
            <w:r>
              <w:rPr>
                <w:szCs w:val="22"/>
              </w:rPr>
              <w:t>Benefit</w:t>
            </w:r>
          </w:p>
        </w:tc>
        <w:tc>
          <w:tcPr>
            <w:tcW w:w="4664" w:type="dxa"/>
          </w:tcPr>
          <w:p w14:paraId="5FF6B325" w14:textId="7D23CF4F" w:rsidR="00684C8E" w:rsidRPr="00880E04" w:rsidRDefault="00684C8E" w:rsidP="00684C8E">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szCs w:val="22"/>
              </w:rPr>
            </w:pPr>
            <w:r w:rsidRPr="00880E04">
              <w:rPr>
                <w:szCs w:val="22"/>
              </w:rPr>
              <w:t xml:space="preserve">Commitments </w:t>
            </w:r>
            <w:r w:rsidR="004B7917">
              <w:rPr>
                <w:szCs w:val="22"/>
              </w:rPr>
              <w:t>sought by Australia</w:t>
            </w:r>
          </w:p>
        </w:tc>
      </w:tr>
      <w:tr w:rsidR="00684C8E" w:rsidRPr="00780409" w14:paraId="5C97F08D" w14:textId="77777777" w:rsidTr="00880E04">
        <w:trPr>
          <w:cantSplit/>
        </w:trPr>
        <w:tc>
          <w:tcPr>
            <w:cnfStyle w:val="001000000000" w:firstRow="0" w:lastRow="0" w:firstColumn="1" w:lastColumn="0" w:oddVBand="0" w:evenVBand="0" w:oddHBand="0" w:evenHBand="0" w:firstRowFirstColumn="0" w:firstRowLastColumn="0" w:lastRowFirstColumn="0" w:lastRowLastColumn="0"/>
            <w:tcW w:w="1701" w:type="dxa"/>
          </w:tcPr>
          <w:p w14:paraId="51CCEFE4" w14:textId="77777777" w:rsidR="00684C8E" w:rsidRPr="00880E04" w:rsidRDefault="00684C8E" w:rsidP="00684C8E">
            <w:pPr>
              <w:pStyle w:val="TableText"/>
              <w:framePr w:hSpace="0" w:wrap="auto" w:vAnchor="margin" w:hAnchor="text" w:yAlign="inline"/>
              <w:rPr>
                <w:szCs w:val="22"/>
              </w:rPr>
            </w:pPr>
            <w:r w:rsidRPr="00880E04">
              <w:rPr>
                <w:szCs w:val="22"/>
              </w:rPr>
              <w:t>Paperless trading</w:t>
            </w:r>
            <w:r w:rsidRPr="00880E04">
              <w:rPr>
                <w:szCs w:val="22"/>
              </w:rPr>
              <w:tab/>
            </w:r>
          </w:p>
          <w:p w14:paraId="06552919" w14:textId="77777777" w:rsidR="00684C8E" w:rsidRPr="00880E04" w:rsidRDefault="00684C8E" w:rsidP="00684C8E">
            <w:pPr>
              <w:pStyle w:val="TableText"/>
              <w:framePr w:hSpace="0" w:wrap="auto" w:vAnchor="margin" w:hAnchor="text" w:yAlign="inline"/>
              <w:rPr>
                <w:szCs w:val="22"/>
              </w:rPr>
            </w:pPr>
          </w:p>
        </w:tc>
        <w:tc>
          <w:tcPr>
            <w:tcW w:w="8236" w:type="dxa"/>
          </w:tcPr>
          <w:p w14:paraId="0C16686C" w14:textId="4C83F46C" w:rsidR="00684C8E" w:rsidRPr="00880E04" w:rsidRDefault="00684C8E" w:rsidP="00684C8E">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szCs w:val="22"/>
              </w:rPr>
            </w:pPr>
            <w:r w:rsidRPr="00880E04">
              <w:rPr>
                <w:szCs w:val="22"/>
              </w:rPr>
              <w:t>Paperless trading refers to the digitisation of information flows, including making available and enabling the exchange of trade-related data and documents electronically</w:t>
            </w:r>
            <w:r>
              <w:rPr>
                <w:szCs w:val="22"/>
              </w:rPr>
              <w:t xml:space="preserve">, which </w:t>
            </w:r>
            <w:r w:rsidRPr="00880E04">
              <w:rPr>
                <w:szCs w:val="22"/>
              </w:rPr>
              <w:t>can speed up trade, ease the cost of doing business, improve the efficiency of customs controls and trade administration processes, and improve transparency.</w:t>
            </w:r>
          </w:p>
        </w:tc>
        <w:tc>
          <w:tcPr>
            <w:tcW w:w="4664" w:type="dxa"/>
          </w:tcPr>
          <w:p w14:paraId="52B09D86" w14:textId="67E41245" w:rsidR="00684C8E" w:rsidRPr="00880E04" w:rsidRDefault="00684C8E" w:rsidP="00684C8E">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szCs w:val="22"/>
              </w:rPr>
            </w:pPr>
            <w:r w:rsidRPr="00880E04">
              <w:rPr>
                <w:szCs w:val="22"/>
              </w:rPr>
              <w:t>Agreement to provide for online availability of import and export documentation and electronic submission of those documents.</w:t>
            </w:r>
          </w:p>
        </w:tc>
      </w:tr>
      <w:tr w:rsidR="00684C8E" w:rsidRPr="00780409" w14:paraId="1FADA80A" w14:textId="77777777" w:rsidTr="00880E04">
        <w:trPr>
          <w:cantSplit/>
        </w:trPr>
        <w:tc>
          <w:tcPr>
            <w:cnfStyle w:val="001000000000" w:firstRow="0" w:lastRow="0" w:firstColumn="1" w:lastColumn="0" w:oddVBand="0" w:evenVBand="0" w:oddHBand="0" w:evenHBand="0" w:firstRowFirstColumn="0" w:firstRowLastColumn="0" w:lastRowFirstColumn="0" w:lastRowLastColumn="0"/>
            <w:tcW w:w="1701" w:type="dxa"/>
          </w:tcPr>
          <w:p w14:paraId="4BF42704" w14:textId="212FA6B5" w:rsidR="00684C8E" w:rsidRPr="00880E04" w:rsidRDefault="00684C8E" w:rsidP="00684C8E">
            <w:pPr>
              <w:pStyle w:val="TableText"/>
              <w:framePr w:hSpace="0" w:wrap="auto" w:vAnchor="margin" w:hAnchor="text" w:yAlign="inline"/>
              <w:rPr>
                <w:szCs w:val="22"/>
              </w:rPr>
            </w:pPr>
            <w:r w:rsidRPr="00880E04">
              <w:rPr>
                <w:szCs w:val="22"/>
              </w:rPr>
              <w:t xml:space="preserve">Electronic authentication </w:t>
            </w:r>
          </w:p>
        </w:tc>
        <w:tc>
          <w:tcPr>
            <w:tcW w:w="8236" w:type="dxa"/>
          </w:tcPr>
          <w:p w14:paraId="70899D77" w14:textId="78F6192B" w:rsidR="00684C8E" w:rsidRPr="00183F23" w:rsidRDefault="00684C8E" w:rsidP="00684C8E">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i/>
                <w:iCs/>
                <w:szCs w:val="22"/>
              </w:rPr>
            </w:pPr>
            <w:r w:rsidRPr="009200C2">
              <w:rPr>
                <w:szCs w:val="22"/>
              </w:rPr>
              <w:t>Electronic signatures streamline trade by reducing the time involved to exchange physical documents signed by parties.</w:t>
            </w:r>
            <w:r w:rsidRPr="00183F23">
              <w:rPr>
                <w:i/>
                <w:iCs/>
                <w:szCs w:val="22"/>
              </w:rPr>
              <w:t xml:space="preserve"> </w:t>
            </w:r>
          </w:p>
        </w:tc>
        <w:tc>
          <w:tcPr>
            <w:tcW w:w="4664" w:type="dxa"/>
          </w:tcPr>
          <w:p w14:paraId="6A6AD657" w14:textId="261B4E1B" w:rsidR="00684C8E" w:rsidRPr="00880E04" w:rsidRDefault="00684C8E" w:rsidP="00684C8E">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szCs w:val="22"/>
              </w:rPr>
            </w:pPr>
            <w:r w:rsidRPr="00880E04">
              <w:rPr>
                <w:szCs w:val="22"/>
              </w:rPr>
              <w:t xml:space="preserve">Agreement to not deny a signature on the basis it is in electronic form, and </w:t>
            </w:r>
            <w:r>
              <w:rPr>
                <w:szCs w:val="22"/>
              </w:rPr>
              <w:t xml:space="preserve">to </w:t>
            </w:r>
            <w:r w:rsidRPr="00880E04">
              <w:rPr>
                <w:szCs w:val="22"/>
              </w:rPr>
              <w:t>adopt a flexible approach to authentication technologies.</w:t>
            </w:r>
          </w:p>
        </w:tc>
      </w:tr>
      <w:tr w:rsidR="00684C8E" w:rsidRPr="00780409" w14:paraId="3794033E" w14:textId="77777777" w:rsidTr="00880E04">
        <w:trPr>
          <w:cantSplit/>
        </w:trPr>
        <w:tc>
          <w:tcPr>
            <w:cnfStyle w:val="001000000000" w:firstRow="0" w:lastRow="0" w:firstColumn="1" w:lastColumn="0" w:oddVBand="0" w:evenVBand="0" w:oddHBand="0" w:evenHBand="0" w:firstRowFirstColumn="0" w:firstRowLastColumn="0" w:lastRowFirstColumn="0" w:lastRowLastColumn="0"/>
            <w:tcW w:w="1701" w:type="dxa"/>
          </w:tcPr>
          <w:p w14:paraId="641458B4" w14:textId="36339929" w:rsidR="00684C8E" w:rsidRPr="00880E04" w:rsidRDefault="00684C8E" w:rsidP="00684C8E">
            <w:pPr>
              <w:pStyle w:val="TableText"/>
              <w:framePr w:hSpace="0" w:wrap="auto" w:vAnchor="margin" w:hAnchor="text" w:yAlign="inline"/>
              <w:rPr>
                <w:szCs w:val="22"/>
              </w:rPr>
            </w:pPr>
            <w:r w:rsidRPr="00880E04">
              <w:rPr>
                <w:szCs w:val="22"/>
              </w:rPr>
              <w:t>Electronic payments</w:t>
            </w:r>
          </w:p>
        </w:tc>
        <w:tc>
          <w:tcPr>
            <w:tcW w:w="8236" w:type="dxa"/>
          </w:tcPr>
          <w:p w14:paraId="7B9BDFC2" w14:textId="10AB8B64" w:rsidR="00684C8E" w:rsidRPr="00880E04" w:rsidRDefault="00684C8E" w:rsidP="00684C8E">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szCs w:val="22"/>
              </w:rPr>
            </w:pPr>
            <w:r w:rsidRPr="00880E04">
              <w:rPr>
                <w:szCs w:val="22"/>
              </w:rPr>
              <w:t>Electronic payments enable secure, convenient transactions between buyers and sellers regardless of their physical location or currency. Interoperability of system for smooth cross-border e-payments is crucial</w:t>
            </w:r>
            <w:r w:rsidRPr="00880E04">
              <w:rPr>
                <w:rFonts w:cstheme="minorHAnsi"/>
                <w:i/>
                <w:iCs/>
                <w:szCs w:val="22"/>
              </w:rPr>
              <w:t xml:space="preserve">. </w:t>
            </w:r>
            <w:r w:rsidRPr="00880E04">
              <w:rPr>
                <w:szCs w:val="22"/>
              </w:rPr>
              <w:t xml:space="preserve">Despite the importance of e-payments to regional trade, significant logistical and governance challenges persist. </w:t>
            </w:r>
          </w:p>
        </w:tc>
        <w:tc>
          <w:tcPr>
            <w:tcW w:w="4664" w:type="dxa"/>
          </w:tcPr>
          <w:p w14:paraId="25E404AC" w14:textId="7EF5EB97" w:rsidR="00684C8E" w:rsidRPr="00880E04" w:rsidRDefault="00684C8E" w:rsidP="00684C8E">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szCs w:val="22"/>
              </w:rPr>
            </w:pPr>
            <w:r w:rsidRPr="00880E04">
              <w:rPr>
                <w:rFonts w:cstheme="minorHAnsi"/>
                <w:szCs w:val="22"/>
              </w:rPr>
              <w:t xml:space="preserve">Agreement </w:t>
            </w:r>
            <w:r w:rsidRPr="00880E04">
              <w:rPr>
                <w:szCs w:val="22"/>
              </w:rPr>
              <w:t xml:space="preserve">to promote the </w:t>
            </w:r>
            <w:r w:rsidRPr="00880E04">
              <w:rPr>
                <w:rFonts w:cstheme="minorHAnsi"/>
                <w:szCs w:val="22"/>
              </w:rPr>
              <w:t>interoperability and the interlinking of payment structures.</w:t>
            </w:r>
          </w:p>
        </w:tc>
      </w:tr>
      <w:tr w:rsidR="00684C8E" w:rsidRPr="00780409" w14:paraId="29067B55" w14:textId="77777777" w:rsidTr="00880E04">
        <w:trPr>
          <w:cantSplit/>
        </w:trPr>
        <w:tc>
          <w:tcPr>
            <w:cnfStyle w:val="001000000000" w:firstRow="0" w:lastRow="0" w:firstColumn="1" w:lastColumn="0" w:oddVBand="0" w:evenVBand="0" w:oddHBand="0" w:evenHBand="0" w:firstRowFirstColumn="0" w:firstRowLastColumn="0" w:lastRowFirstColumn="0" w:lastRowLastColumn="0"/>
            <w:tcW w:w="1701" w:type="dxa"/>
          </w:tcPr>
          <w:p w14:paraId="444D234F" w14:textId="79735343" w:rsidR="00684C8E" w:rsidRPr="00880E04" w:rsidRDefault="00684C8E" w:rsidP="00684C8E">
            <w:pPr>
              <w:pStyle w:val="TableText"/>
              <w:framePr w:hSpace="0" w:wrap="auto" w:vAnchor="margin" w:hAnchor="text" w:yAlign="inline"/>
              <w:rPr>
                <w:szCs w:val="22"/>
              </w:rPr>
            </w:pPr>
            <w:r w:rsidRPr="00880E04">
              <w:rPr>
                <w:szCs w:val="22"/>
              </w:rPr>
              <w:t>Electronic invoicing</w:t>
            </w:r>
          </w:p>
        </w:tc>
        <w:tc>
          <w:tcPr>
            <w:tcW w:w="8236" w:type="dxa"/>
          </w:tcPr>
          <w:p w14:paraId="5E5079F8" w14:textId="493D0559" w:rsidR="00684C8E" w:rsidRPr="00880E04" w:rsidRDefault="00684C8E" w:rsidP="00684C8E">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szCs w:val="22"/>
              </w:rPr>
            </w:pPr>
            <w:r w:rsidRPr="00880E04">
              <w:rPr>
                <w:szCs w:val="22"/>
              </w:rPr>
              <w:t xml:space="preserve">Secure and interoperable electronic invoicing improves </w:t>
            </w:r>
            <w:r w:rsidRPr="00880E04">
              <w:rPr>
                <w:rFonts w:cstheme="minorHAnsi"/>
                <w:szCs w:val="22"/>
              </w:rPr>
              <w:t xml:space="preserve">efficiency, accuracy and reliability of commercial transactions. E-invoicing reduces </w:t>
            </w:r>
            <w:r w:rsidRPr="00880E04">
              <w:rPr>
                <w:szCs w:val="22"/>
              </w:rPr>
              <w:t>processing time and costs for both the suppliers and the buyers, leading to faster payments to suppliers.</w:t>
            </w:r>
          </w:p>
        </w:tc>
        <w:tc>
          <w:tcPr>
            <w:tcW w:w="4664" w:type="dxa"/>
          </w:tcPr>
          <w:p w14:paraId="50640AFD" w14:textId="208458D2" w:rsidR="00684C8E" w:rsidRPr="00880E04" w:rsidRDefault="00684C8E" w:rsidP="00684C8E">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szCs w:val="22"/>
              </w:rPr>
            </w:pPr>
            <w:r w:rsidRPr="00880E04">
              <w:rPr>
                <w:szCs w:val="22"/>
              </w:rPr>
              <w:t>Agreement to promote streamlined and secure cross-border interoperability of e-invoicing systems</w:t>
            </w:r>
            <w:r>
              <w:rPr>
                <w:szCs w:val="22"/>
              </w:rPr>
              <w:t>.</w:t>
            </w:r>
            <w:r w:rsidRPr="00880E04">
              <w:rPr>
                <w:szCs w:val="22"/>
              </w:rPr>
              <w:t xml:space="preserve">  </w:t>
            </w:r>
          </w:p>
        </w:tc>
      </w:tr>
      <w:tr w:rsidR="00684C8E" w:rsidRPr="00780409" w14:paraId="3E72CAAA" w14:textId="77777777" w:rsidTr="00880E04">
        <w:trPr>
          <w:cantSplit/>
        </w:trPr>
        <w:tc>
          <w:tcPr>
            <w:cnfStyle w:val="001000000000" w:firstRow="0" w:lastRow="0" w:firstColumn="1" w:lastColumn="0" w:oddVBand="0" w:evenVBand="0" w:oddHBand="0" w:evenHBand="0" w:firstRowFirstColumn="0" w:firstRowLastColumn="0" w:lastRowFirstColumn="0" w:lastRowLastColumn="0"/>
            <w:tcW w:w="1701" w:type="dxa"/>
          </w:tcPr>
          <w:p w14:paraId="78B6232C" w14:textId="70502727" w:rsidR="00684C8E" w:rsidRPr="00880E04" w:rsidRDefault="00684C8E" w:rsidP="00684C8E">
            <w:pPr>
              <w:pStyle w:val="TableText"/>
              <w:framePr w:hSpace="0" w:wrap="auto" w:vAnchor="margin" w:hAnchor="text" w:yAlign="inline"/>
              <w:rPr>
                <w:szCs w:val="22"/>
              </w:rPr>
            </w:pPr>
            <w:r w:rsidRPr="00880E04">
              <w:rPr>
                <w:szCs w:val="22"/>
              </w:rPr>
              <w:t>Customs duties</w:t>
            </w:r>
          </w:p>
        </w:tc>
        <w:tc>
          <w:tcPr>
            <w:tcW w:w="8236" w:type="dxa"/>
          </w:tcPr>
          <w:p w14:paraId="7E705122" w14:textId="30A651E1" w:rsidR="00684C8E" w:rsidRPr="00880E04" w:rsidRDefault="00684C8E" w:rsidP="00684C8E">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szCs w:val="22"/>
              </w:rPr>
            </w:pPr>
            <w:r w:rsidRPr="00880E04">
              <w:rPr>
                <w:szCs w:val="22"/>
              </w:rPr>
              <w:t>Enabling electronic transmissions to flow without barriers at the border, such as customs duties, helps drive growth and maintain open trading arrangements. Not applying customs duties on electronic transmissions provides predictability for business and consumers, and encourages participation in the digital economy.</w:t>
            </w:r>
          </w:p>
        </w:tc>
        <w:tc>
          <w:tcPr>
            <w:tcW w:w="4664" w:type="dxa"/>
          </w:tcPr>
          <w:p w14:paraId="35E572D3" w14:textId="4EA5F491" w:rsidR="00684C8E" w:rsidRPr="00880E04" w:rsidRDefault="00684C8E" w:rsidP="00684C8E">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szCs w:val="22"/>
              </w:rPr>
            </w:pPr>
            <w:r w:rsidRPr="00880E04">
              <w:rPr>
                <w:szCs w:val="22"/>
              </w:rPr>
              <w:t>Agreement to not impose or apply customs duties on electronic transmissions.</w:t>
            </w:r>
          </w:p>
        </w:tc>
      </w:tr>
      <w:tr w:rsidR="00B33C52" w:rsidRPr="00780409" w14:paraId="6BF215D9" w14:textId="77777777" w:rsidTr="00880E04">
        <w:trPr>
          <w:cantSplit/>
        </w:trPr>
        <w:tc>
          <w:tcPr>
            <w:cnfStyle w:val="001000000000" w:firstRow="0" w:lastRow="0" w:firstColumn="1" w:lastColumn="0" w:oddVBand="0" w:evenVBand="0" w:oddHBand="0" w:evenHBand="0" w:firstRowFirstColumn="0" w:firstRowLastColumn="0" w:lastRowFirstColumn="0" w:lastRowLastColumn="0"/>
            <w:tcW w:w="1701" w:type="dxa"/>
          </w:tcPr>
          <w:p w14:paraId="42A4CB88" w14:textId="4428C314" w:rsidR="00B33C52" w:rsidRPr="00B2169E" w:rsidRDefault="00B33C52" w:rsidP="00684C8E">
            <w:pPr>
              <w:pStyle w:val="TableText"/>
              <w:framePr w:hSpace="0" w:wrap="auto" w:vAnchor="margin" w:hAnchor="text" w:yAlign="inline"/>
              <w:rPr>
                <w:szCs w:val="22"/>
              </w:rPr>
            </w:pPr>
            <w:r w:rsidRPr="00B2169E">
              <w:rPr>
                <w:szCs w:val="22"/>
              </w:rPr>
              <w:t>Digital trade standards</w:t>
            </w:r>
          </w:p>
        </w:tc>
        <w:tc>
          <w:tcPr>
            <w:tcW w:w="8236" w:type="dxa"/>
          </w:tcPr>
          <w:p w14:paraId="4720EEEE" w14:textId="1013F669" w:rsidR="00B33C52" w:rsidRPr="00B2169E" w:rsidRDefault="00B33C52" w:rsidP="00684C8E">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szCs w:val="22"/>
              </w:rPr>
            </w:pPr>
            <w:r w:rsidRPr="00B2169E">
              <w:rPr>
                <w:szCs w:val="22"/>
              </w:rPr>
              <w:t>International standards set out specifications and procedures to ensure consistent implementation of processes, technologies and methods and play a crucial role in consumer trust and market confidence.</w:t>
            </w:r>
          </w:p>
        </w:tc>
        <w:tc>
          <w:tcPr>
            <w:tcW w:w="4664" w:type="dxa"/>
          </w:tcPr>
          <w:p w14:paraId="557B0816" w14:textId="21F6D1CE" w:rsidR="00B33C52" w:rsidRPr="00B33C52" w:rsidRDefault="00B33C52" w:rsidP="00684C8E">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B2169E">
              <w:rPr>
                <w:rFonts w:asciiTheme="majorHAnsi" w:hAnsiTheme="majorHAnsi" w:cstheme="majorHAnsi"/>
                <w:szCs w:val="22"/>
              </w:rPr>
              <w:t xml:space="preserve">Agreement to adopt international digital trade standards and </w:t>
            </w:r>
            <w:r w:rsidRPr="00B2169E">
              <w:rPr>
                <w:rFonts w:asciiTheme="majorHAnsi" w:eastAsia="Calibri" w:hAnsiTheme="majorHAnsi" w:cstheme="majorHAnsi"/>
                <w:szCs w:val="22"/>
                <w:lang w:val="en-US"/>
              </w:rPr>
              <w:t>cooperate in relati</w:t>
            </w:r>
            <w:r w:rsidR="00297BC9" w:rsidRPr="00B2169E">
              <w:rPr>
                <w:rFonts w:asciiTheme="majorHAnsi" w:eastAsia="Calibri" w:hAnsiTheme="majorHAnsi" w:cstheme="majorHAnsi"/>
                <w:szCs w:val="22"/>
                <w:lang w:val="en-US"/>
              </w:rPr>
              <w:t>on</w:t>
            </w:r>
            <w:r w:rsidRPr="00B2169E">
              <w:rPr>
                <w:rFonts w:asciiTheme="majorHAnsi" w:eastAsia="Calibri" w:hAnsiTheme="majorHAnsi" w:cstheme="majorHAnsi"/>
                <w:szCs w:val="22"/>
                <w:lang w:val="en-US"/>
              </w:rPr>
              <w:t xml:space="preserve"> to the development, application and adoption of standards.</w:t>
            </w:r>
          </w:p>
        </w:tc>
      </w:tr>
      <w:tr w:rsidR="00684C8E" w:rsidRPr="00780409" w14:paraId="0CA90F69" w14:textId="77777777" w:rsidTr="00880E04">
        <w:trPr>
          <w:cantSplit/>
        </w:trPr>
        <w:tc>
          <w:tcPr>
            <w:cnfStyle w:val="001000000000" w:firstRow="0" w:lastRow="0" w:firstColumn="1" w:lastColumn="0" w:oddVBand="0" w:evenVBand="0" w:oddHBand="0" w:evenHBand="0" w:firstRowFirstColumn="0" w:firstRowLastColumn="0" w:lastRowFirstColumn="0" w:lastRowLastColumn="0"/>
            <w:tcW w:w="1701" w:type="dxa"/>
          </w:tcPr>
          <w:p w14:paraId="54D5B692" w14:textId="6D4F0CA3" w:rsidR="00684C8E" w:rsidRPr="00880E04" w:rsidRDefault="00684C8E" w:rsidP="00684C8E">
            <w:pPr>
              <w:pStyle w:val="TableText"/>
              <w:framePr w:hSpace="0" w:wrap="auto" w:vAnchor="margin" w:hAnchor="text" w:yAlign="inline"/>
              <w:rPr>
                <w:szCs w:val="22"/>
              </w:rPr>
            </w:pPr>
            <w:r w:rsidRPr="00880E04">
              <w:rPr>
                <w:szCs w:val="22"/>
              </w:rPr>
              <w:lastRenderedPageBreak/>
              <w:t>Non-disclosure of source code</w:t>
            </w:r>
          </w:p>
        </w:tc>
        <w:tc>
          <w:tcPr>
            <w:tcW w:w="8236" w:type="dxa"/>
          </w:tcPr>
          <w:p w14:paraId="4C6C7795" w14:textId="2497103F" w:rsidR="00684C8E" w:rsidRPr="00880E04" w:rsidRDefault="00684C8E" w:rsidP="00684C8E">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szCs w:val="22"/>
              </w:rPr>
            </w:pPr>
            <w:r w:rsidRPr="00880E04">
              <w:rPr>
                <w:szCs w:val="22"/>
              </w:rPr>
              <w:t>Ensuring the protection of source code can promote business confidence, investment and innovation and promote economic growth through inward investment. Conversely, requirements to disclose source code can be a significant impediment to operating in a market. It can stifle investment and innovation, and risks leakage of valuable information.</w:t>
            </w:r>
          </w:p>
        </w:tc>
        <w:tc>
          <w:tcPr>
            <w:tcW w:w="4664" w:type="dxa"/>
          </w:tcPr>
          <w:p w14:paraId="78346239" w14:textId="70226056" w:rsidR="00684C8E" w:rsidRPr="00880E04" w:rsidRDefault="00684C8E" w:rsidP="00684C8E">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szCs w:val="22"/>
              </w:rPr>
            </w:pPr>
            <w:r w:rsidRPr="00880E04">
              <w:rPr>
                <w:szCs w:val="22"/>
              </w:rPr>
              <w:t xml:space="preserve">Agreement to not require the transfer or access to source code, as a condition for the import, distribution, sale or use of software. </w:t>
            </w:r>
          </w:p>
        </w:tc>
      </w:tr>
      <w:tr w:rsidR="00684C8E" w:rsidRPr="00780409" w14:paraId="331E86BF" w14:textId="77777777" w:rsidTr="00880E04">
        <w:trPr>
          <w:cantSplit/>
        </w:trPr>
        <w:tc>
          <w:tcPr>
            <w:cnfStyle w:val="001000000000" w:firstRow="0" w:lastRow="0" w:firstColumn="1" w:lastColumn="0" w:oddVBand="0" w:evenVBand="0" w:oddHBand="0" w:evenHBand="0" w:firstRowFirstColumn="0" w:firstRowLastColumn="0" w:lastRowFirstColumn="0" w:lastRowLastColumn="0"/>
            <w:tcW w:w="1701" w:type="dxa"/>
          </w:tcPr>
          <w:p w14:paraId="4CC0D56F" w14:textId="57FD939C" w:rsidR="00684C8E" w:rsidRPr="00880E04" w:rsidRDefault="00684C8E" w:rsidP="00684C8E">
            <w:pPr>
              <w:pStyle w:val="TableText"/>
              <w:framePr w:hSpace="0" w:wrap="auto" w:vAnchor="margin" w:hAnchor="text" w:yAlign="inline"/>
              <w:rPr>
                <w:szCs w:val="22"/>
              </w:rPr>
            </w:pPr>
            <w:r w:rsidRPr="00880E04">
              <w:rPr>
                <w:szCs w:val="22"/>
              </w:rPr>
              <w:t>Accessible Government Data</w:t>
            </w:r>
          </w:p>
        </w:tc>
        <w:tc>
          <w:tcPr>
            <w:tcW w:w="8236" w:type="dxa"/>
          </w:tcPr>
          <w:p w14:paraId="5FCE11F5" w14:textId="522E5D1F" w:rsidR="00684C8E" w:rsidRPr="00880E04" w:rsidRDefault="00684C8E" w:rsidP="00684C8E">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szCs w:val="22"/>
              </w:rPr>
            </w:pPr>
            <w:r w:rsidRPr="00880E04">
              <w:rPr>
                <w:szCs w:val="22"/>
              </w:rPr>
              <w:t xml:space="preserve">Having data that is accessible and useable, for example data that is available online and machine readable, ensures the data can be more easily used, shared and exchanged, thereby maximising the benefits to support government, private and research sectors, stimulate business activity, and develop knowledge. </w:t>
            </w:r>
          </w:p>
        </w:tc>
        <w:tc>
          <w:tcPr>
            <w:tcW w:w="4664" w:type="dxa"/>
          </w:tcPr>
          <w:p w14:paraId="61C73A90" w14:textId="2DDA192B" w:rsidR="00684C8E" w:rsidRPr="00880E04" w:rsidRDefault="00684C8E" w:rsidP="00684C8E">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szCs w:val="22"/>
              </w:rPr>
            </w:pPr>
            <w:r w:rsidRPr="00880E04">
              <w:rPr>
                <w:szCs w:val="22"/>
              </w:rPr>
              <w:t xml:space="preserve">Where a party chooses to make government information available to the public, agreement to release the data in an open and machine-readable format. </w:t>
            </w:r>
            <w:r w:rsidRPr="00880E04">
              <w:rPr>
                <w:szCs w:val="22"/>
              </w:rPr>
              <w:br w:type="page"/>
            </w:r>
          </w:p>
        </w:tc>
      </w:tr>
      <w:tr w:rsidR="00684C8E" w:rsidRPr="00780409" w14:paraId="695249A5" w14:textId="77777777" w:rsidTr="00880E04">
        <w:trPr>
          <w:cantSplit/>
        </w:trPr>
        <w:tc>
          <w:tcPr>
            <w:cnfStyle w:val="001000000000" w:firstRow="0" w:lastRow="0" w:firstColumn="1" w:lastColumn="0" w:oddVBand="0" w:evenVBand="0" w:oddHBand="0" w:evenHBand="0" w:firstRowFirstColumn="0" w:firstRowLastColumn="0" w:lastRowFirstColumn="0" w:lastRowLastColumn="0"/>
            <w:tcW w:w="1701" w:type="dxa"/>
          </w:tcPr>
          <w:p w14:paraId="35241E76" w14:textId="7A3A5D6F" w:rsidR="00684C8E" w:rsidRPr="00880E04" w:rsidRDefault="00684C8E" w:rsidP="00684C8E">
            <w:pPr>
              <w:pStyle w:val="TableText"/>
              <w:framePr w:hSpace="0" w:wrap="auto" w:vAnchor="margin" w:hAnchor="text" w:yAlign="inline"/>
              <w:rPr>
                <w:szCs w:val="22"/>
              </w:rPr>
            </w:pPr>
            <w:r w:rsidRPr="00880E04">
              <w:rPr>
                <w:szCs w:val="22"/>
              </w:rPr>
              <w:t>Cross-border data flows and location of computing facilities</w:t>
            </w:r>
          </w:p>
        </w:tc>
        <w:tc>
          <w:tcPr>
            <w:tcW w:w="8236" w:type="dxa"/>
          </w:tcPr>
          <w:p w14:paraId="4044C635" w14:textId="4908D2D9" w:rsidR="00684C8E" w:rsidRPr="00880E04" w:rsidRDefault="00684C8E" w:rsidP="00684C8E">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szCs w:val="22"/>
              </w:rPr>
            </w:pPr>
            <w:r w:rsidRPr="00880E04">
              <w:rPr>
                <w:szCs w:val="22"/>
              </w:rPr>
              <w:t xml:space="preserve">Data flows are intrinsic to trade in virtual goods and services. Data flows increasingly enable our other goods and services exports, and the movement of finance, people and ideas: virtually every cross-border transaction has a digital element. </w:t>
            </w:r>
            <w:bookmarkStart w:id="18" w:name="_Hlk84524942"/>
            <w:r w:rsidRPr="00880E04">
              <w:rPr>
                <w:szCs w:val="22"/>
              </w:rPr>
              <w:t>Unnecessary restriction on the flow of data, or requirements to store data locally raises costs for businesses and significantly reduces efficiencies, impacts the ability to make decisions on business development, marketing, innovation and development of comparative advantage, and makes it difficult for businesses to enter new markets.</w:t>
            </w:r>
            <w:bookmarkEnd w:id="18"/>
          </w:p>
        </w:tc>
        <w:tc>
          <w:tcPr>
            <w:tcW w:w="4664" w:type="dxa"/>
          </w:tcPr>
          <w:p w14:paraId="7B5E3CE0" w14:textId="20077D20" w:rsidR="00684C8E" w:rsidRPr="00880E04" w:rsidRDefault="00684C8E" w:rsidP="0070638F">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szCs w:val="22"/>
              </w:rPr>
            </w:pPr>
            <w:r w:rsidRPr="00880E04">
              <w:rPr>
                <w:szCs w:val="22"/>
              </w:rPr>
              <w:t>Agreement to allow the transfer of data for business purposes. Agreement to not force business to build data storage centres, or use local computing centres, as a condition of conducting business.</w:t>
            </w:r>
            <w:r w:rsidR="0070638F">
              <w:rPr>
                <w:szCs w:val="22"/>
              </w:rPr>
              <w:t xml:space="preserve"> Provision of appropriate exceptions to allow for consumer protection and legitimate public policy objectives.</w:t>
            </w:r>
          </w:p>
        </w:tc>
      </w:tr>
      <w:tr w:rsidR="00684C8E" w:rsidRPr="00780409" w14:paraId="3CE5C8A7" w14:textId="77777777" w:rsidTr="00880E04">
        <w:trPr>
          <w:cantSplit/>
        </w:trPr>
        <w:tc>
          <w:tcPr>
            <w:cnfStyle w:val="001000000000" w:firstRow="0" w:lastRow="0" w:firstColumn="1" w:lastColumn="0" w:oddVBand="0" w:evenVBand="0" w:oddHBand="0" w:evenHBand="0" w:firstRowFirstColumn="0" w:firstRowLastColumn="0" w:lastRowFirstColumn="0" w:lastRowLastColumn="0"/>
            <w:tcW w:w="1701" w:type="dxa"/>
          </w:tcPr>
          <w:p w14:paraId="14E02AEB" w14:textId="582CA7C1" w:rsidR="00684C8E" w:rsidRPr="00880E04" w:rsidRDefault="00684C8E" w:rsidP="00684C8E">
            <w:pPr>
              <w:pStyle w:val="TableText"/>
              <w:framePr w:hSpace="0" w:wrap="auto" w:vAnchor="margin" w:hAnchor="text" w:yAlign="inline"/>
              <w:rPr>
                <w:szCs w:val="22"/>
              </w:rPr>
            </w:pPr>
            <w:r w:rsidRPr="00880E04">
              <w:rPr>
                <w:szCs w:val="22"/>
              </w:rPr>
              <w:t xml:space="preserve">Online consumer protection </w:t>
            </w:r>
          </w:p>
        </w:tc>
        <w:tc>
          <w:tcPr>
            <w:tcW w:w="8236" w:type="dxa"/>
          </w:tcPr>
          <w:p w14:paraId="76DB2307" w14:textId="77973694" w:rsidR="00684C8E" w:rsidRPr="00880E04" w:rsidRDefault="00684C8E" w:rsidP="00684C8E">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szCs w:val="22"/>
              </w:rPr>
            </w:pPr>
            <w:r w:rsidRPr="00880E04">
              <w:rPr>
                <w:szCs w:val="22"/>
              </w:rPr>
              <w:t>Enhancing consumer confidence is an important means of encouraging greater use of e-commerce. It is important to protect online consumers from commercial practices that are misleading or deceptive and cause actual harm to consumers, or that pose a potential threat of such harm if not prevented.</w:t>
            </w:r>
          </w:p>
        </w:tc>
        <w:tc>
          <w:tcPr>
            <w:tcW w:w="4664" w:type="dxa"/>
          </w:tcPr>
          <w:p w14:paraId="4FDBC372" w14:textId="6C8ABBB5" w:rsidR="00684C8E" w:rsidRPr="00880E04" w:rsidRDefault="00684C8E" w:rsidP="00684C8E">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szCs w:val="22"/>
              </w:rPr>
            </w:pPr>
            <w:r w:rsidRPr="00880E04">
              <w:rPr>
                <w:szCs w:val="22"/>
              </w:rPr>
              <w:t>Agreement to provide the same protections for online consumers as for any other consumer.</w:t>
            </w:r>
          </w:p>
        </w:tc>
      </w:tr>
      <w:tr w:rsidR="00684C8E" w:rsidRPr="00780409" w14:paraId="1F6A3C93" w14:textId="77777777" w:rsidTr="00880E04">
        <w:trPr>
          <w:cantSplit/>
        </w:trPr>
        <w:tc>
          <w:tcPr>
            <w:cnfStyle w:val="001000000000" w:firstRow="0" w:lastRow="0" w:firstColumn="1" w:lastColumn="0" w:oddVBand="0" w:evenVBand="0" w:oddHBand="0" w:evenHBand="0" w:firstRowFirstColumn="0" w:firstRowLastColumn="0" w:lastRowFirstColumn="0" w:lastRowLastColumn="0"/>
            <w:tcW w:w="1701" w:type="dxa"/>
          </w:tcPr>
          <w:p w14:paraId="564F7925" w14:textId="021FF6EF" w:rsidR="00684C8E" w:rsidRPr="00880E04" w:rsidRDefault="00684C8E" w:rsidP="00684C8E">
            <w:pPr>
              <w:pStyle w:val="TableText"/>
              <w:framePr w:hSpace="0" w:wrap="auto" w:vAnchor="margin" w:hAnchor="text" w:yAlign="inline"/>
              <w:rPr>
                <w:szCs w:val="22"/>
              </w:rPr>
            </w:pPr>
            <w:r w:rsidRPr="00880E04">
              <w:rPr>
                <w:szCs w:val="22"/>
              </w:rPr>
              <w:t xml:space="preserve">Online protection of personal information </w:t>
            </w:r>
          </w:p>
        </w:tc>
        <w:tc>
          <w:tcPr>
            <w:tcW w:w="8236" w:type="dxa"/>
          </w:tcPr>
          <w:p w14:paraId="41E76F69" w14:textId="7AFE2D0D" w:rsidR="00684C8E" w:rsidRPr="00880E04" w:rsidRDefault="00684C8E" w:rsidP="00684C8E">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szCs w:val="22"/>
              </w:rPr>
            </w:pPr>
            <w:r w:rsidRPr="00880E04">
              <w:rPr>
                <w:szCs w:val="22"/>
              </w:rPr>
              <w:t>The protection of personal information of users of digital trade enhances consumer confidence in digital trade, and results in economic and social benefits.</w:t>
            </w:r>
          </w:p>
        </w:tc>
        <w:tc>
          <w:tcPr>
            <w:tcW w:w="4664" w:type="dxa"/>
          </w:tcPr>
          <w:p w14:paraId="66A9E95B" w14:textId="738292C6" w:rsidR="00684C8E" w:rsidRPr="00880E04" w:rsidRDefault="00684C8E" w:rsidP="00684C8E">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szCs w:val="22"/>
              </w:rPr>
            </w:pPr>
            <w:r w:rsidRPr="00880E04">
              <w:rPr>
                <w:szCs w:val="22"/>
              </w:rPr>
              <w:t>Agreement to adopt or maintain a legal framework to protect the personal information of electronic commerce users from unauthorised disclosure.</w:t>
            </w:r>
          </w:p>
        </w:tc>
      </w:tr>
      <w:tr w:rsidR="00684C8E" w:rsidRPr="00780409" w14:paraId="710904D5" w14:textId="77777777" w:rsidTr="00880E04">
        <w:trPr>
          <w:cantSplit/>
        </w:trPr>
        <w:tc>
          <w:tcPr>
            <w:cnfStyle w:val="001000000000" w:firstRow="0" w:lastRow="0" w:firstColumn="1" w:lastColumn="0" w:oddVBand="0" w:evenVBand="0" w:oddHBand="0" w:evenHBand="0" w:firstRowFirstColumn="0" w:firstRowLastColumn="0" w:lastRowFirstColumn="0" w:lastRowLastColumn="0"/>
            <w:tcW w:w="1701" w:type="dxa"/>
          </w:tcPr>
          <w:p w14:paraId="49A29830" w14:textId="51414C83" w:rsidR="00684C8E" w:rsidRPr="00880E04" w:rsidRDefault="00684C8E" w:rsidP="00684C8E">
            <w:pPr>
              <w:pStyle w:val="TableText"/>
              <w:framePr w:hSpace="0" w:wrap="auto" w:vAnchor="margin" w:hAnchor="text" w:yAlign="inline"/>
              <w:rPr>
                <w:szCs w:val="22"/>
              </w:rPr>
            </w:pPr>
            <w:r w:rsidRPr="00880E04">
              <w:rPr>
                <w:szCs w:val="22"/>
              </w:rPr>
              <w:t xml:space="preserve">Unsolicited commercial electronic messages  </w:t>
            </w:r>
          </w:p>
        </w:tc>
        <w:tc>
          <w:tcPr>
            <w:tcW w:w="8236" w:type="dxa"/>
          </w:tcPr>
          <w:p w14:paraId="7DB53988" w14:textId="00A604F1" w:rsidR="00684C8E" w:rsidRPr="00880E04" w:rsidRDefault="00684C8E" w:rsidP="00684C8E">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szCs w:val="22"/>
              </w:rPr>
            </w:pPr>
            <w:r w:rsidRPr="00880E04">
              <w:rPr>
                <w:szCs w:val="22"/>
              </w:rPr>
              <w:t>Colloquially known as ‘spam messages,’ unsolicited commercial electronic communications are messages sent in-bulk to recipients in forms such as advertisements, product updates, or trade offers from various sources. These communications can have a detrimental effect on the digital consumer experience.</w:t>
            </w:r>
          </w:p>
        </w:tc>
        <w:tc>
          <w:tcPr>
            <w:tcW w:w="4664" w:type="dxa"/>
          </w:tcPr>
          <w:p w14:paraId="2C6D1D47" w14:textId="4C1118B6" w:rsidR="00684C8E" w:rsidRPr="00880E04" w:rsidRDefault="00684C8E" w:rsidP="00684C8E">
            <w:pPr>
              <w:pStyle w:val="TableText"/>
              <w:framePr w:wrap="around"/>
              <w:cnfStyle w:val="000000000000" w:firstRow="0" w:lastRow="0" w:firstColumn="0" w:lastColumn="0" w:oddVBand="0" w:evenVBand="0" w:oddHBand="0" w:evenHBand="0" w:firstRowFirstColumn="0" w:firstRowLastColumn="0" w:lastRowFirstColumn="0" w:lastRowLastColumn="0"/>
              <w:rPr>
                <w:szCs w:val="22"/>
              </w:rPr>
            </w:pPr>
            <w:r w:rsidRPr="00880E04">
              <w:rPr>
                <w:szCs w:val="22"/>
              </w:rPr>
              <w:t xml:space="preserve">Agreement to adopt or maintain measures to deal with spam, such as allowing consumers to opt out of receiving unwanted commercial messages. </w:t>
            </w:r>
          </w:p>
        </w:tc>
      </w:tr>
      <w:tr w:rsidR="00684C8E" w:rsidRPr="00780409" w14:paraId="49391458" w14:textId="77777777" w:rsidTr="00880E04">
        <w:trPr>
          <w:cantSplit/>
        </w:trPr>
        <w:tc>
          <w:tcPr>
            <w:cnfStyle w:val="001000000000" w:firstRow="0" w:lastRow="0" w:firstColumn="1" w:lastColumn="0" w:oddVBand="0" w:evenVBand="0" w:oddHBand="0" w:evenHBand="0" w:firstRowFirstColumn="0" w:firstRowLastColumn="0" w:lastRowFirstColumn="0" w:lastRowLastColumn="0"/>
            <w:tcW w:w="1701" w:type="dxa"/>
          </w:tcPr>
          <w:p w14:paraId="020B49A2" w14:textId="30F23C1A" w:rsidR="00684C8E" w:rsidRPr="00880E04" w:rsidRDefault="00684C8E" w:rsidP="00684C8E">
            <w:pPr>
              <w:pStyle w:val="TableText"/>
              <w:framePr w:hSpace="0" w:wrap="auto" w:vAnchor="margin" w:hAnchor="text" w:yAlign="inline"/>
              <w:rPr>
                <w:szCs w:val="22"/>
              </w:rPr>
            </w:pPr>
            <w:r w:rsidRPr="00880E04">
              <w:rPr>
                <w:szCs w:val="22"/>
              </w:rPr>
              <w:t>Cooperation</w:t>
            </w:r>
          </w:p>
        </w:tc>
        <w:tc>
          <w:tcPr>
            <w:tcW w:w="8236" w:type="dxa"/>
          </w:tcPr>
          <w:p w14:paraId="06146ED9" w14:textId="789A189A" w:rsidR="00684C8E" w:rsidRPr="00880E04" w:rsidRDefault="00684C8E" w:rsidP="00684C8E">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szCs w:val="22"/>
              </w:rPr>
            </w:pPr>
            <w:r w:rsidRPr="00880E04">
              <w:rPr>
                <w:szCs w:val="22"/>
              </w:rPr>
              <w:t>Includes provisions to encourage the cooperation</w:t>
            </w:r>
            <w:r w:rsidR="00393F37">
              <w:rPr>
                <w:szCs w:val="22"/>
              </w:rPr>
              <w:t xml:space="preserve"> and</w:t>
            </w:r>
            <w:r w:rsidRPr="00880E04">
              <w:rPr>
                <w:szCs w:val="22"/>
              </w:rPr>
              <w:t xml:space="preserve"> sharing of best practices</w:t>
            </w:r>
            <w:r w:rsidR="00393F37">
              <w:rPr>
                <w:szCs w:val="22"/>
              </w:rPr>
              <w:t>.</w:t>
            </w:r>
          </w:p>
        </w:tc>
        <w:tc>
          <w:tcPr>
            <w:tcW w:w="4664" w:type="dxa"/>
          </w:tcPr>
          <w:p w14:paraId="082687EC" w14:textId="31726EA3" w:rsidR="00684C8E" w:rsidRPr="00880E04" w:rsidRDefault="00684C8E" w:rsidP="00E00BB6">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szCs w:val="22"/>
              </w:rPr>
            </w:pPr>
            <w:r w:rsidRPr="00880E04">
              <w:rPr>
                <w:szCs w:val="22"/>
              </w:rPr>
              <w:t xml:space="preserve">Agreement to exchange information and share best practice on areas of mutual interest </w:t>
            </w:r>
          </w:p>
        </w:tc>
      </w:tr>
    </w:tbl>
    <w:p w14:paraId="3C8D8C37" w14:textId="08913F43" w:rsidR="00067853" w:rsidRDefault="00067853" w:rsidP="001C3C3E">
      <w:pPr>
        <w:pStyle w:val="BodyText"/>
        <w:sectPr w:rsidR="00067853" w:rsidSect="00D4318C">
          <w:headerReference w:type="default" r:id="rId28"/>
          <w:pgSz w:w="16838" w:h="11906" w:orient="landscape" w:code="9"/>
          <w:pgMar w:top="1134" w:right="1985" w:bottom="1134" w:left="1701" w:header="567" w:footer="567" w:gutter="0"/>
          <w:cols w:space="708"/>
          <w:docGrid w:linePitch="360"/>
        </w:sectPr>
      </w:pPr>
    </w:p>
    <w:p w14:paraId="24E45C5C" w14:textId="1B9F83BD" w:rsidR="006545B6" w:rsidRPr="004D633C" w:rsidRDefault="007B2B1E" w:rsidP="006545B6">
      <w:pPr>
        <w:pStyle w:val="Heading1"/>
      </w:pPr>
      <w:bookmarkStart w:id="19" w:name="_Toc92134449"/>
      <w:r>
        <w:lastRenderedPageBreak/>
        <w:t>Australia’s action</w:t>
      </w:r>
      <w:bookmarkEnd w:id="19"/>
    </w:p>
    <w:p w14:paraId="28143B8A" w14:textId="5DFE538C" w:rsidR="00684C8E" w:rsidRPr="00526F20" w:rsidRDefault="00684C8E" w:rsidP="00526F20">
      <w:pPr>
        <w:pStyle w:val="Heading3"/>
        <w:spacing w:after="360"/>
        <w:rPr>
          <w:rFonts w:asciiTheme="minorHAnsi" w:hAnsiTheme="minorHAnsi" w:cstheme="minorHAnsi"/>
          <w:b/>
          <w:bCs w:val="0"/>
        </w:rPr>
      </w:pPr>
      <w:r w:rsidRPr="00526F20">
        <w:rPr>
          <w:rFonts w:asciiTheme="minorHAnsi" w:hAnsiTheme="minorHAnsi" w:cstheme="minorHAnsi"/>
          <w:b/>
          <w:bCs w:val="0"/>
        </w:rPr>
        <w:t xml:space="preserve">In delivering a modern digital economy to drive Australia’s future prosperity, Australia will maximise economic growth by shaping an enabling environment for digital trade. To do this, Australia will pursue global digital trade rules that reduce barriers to digital trade and support the growth of an open and competitive economic environment. </w:t>
      </w:r>
    </w:p>
    <w:p w14:paraId="0B0FA247" w14:textId="185601F0" w:rsidR="00684C8E" w:rsidRDefault="00684C8E" w:rsidP="00226090">
      <w:pPr>
        <w:pStyle w:val="Box1Text"/>
        <w:spacing w:after="240"/>
      </w:pPr>
      <w:r>
        <w:t xml:space="preserve">Australia has taken a leadership role on digital </w:t>
      </w:r>
      <w:r w:rsidRPr="007C3373">
        <w:t>trade</w:t>
      </w:r>
      <w:r>
        <w:t xml:space="preserve"> rules, advocating for liberalisation and facilitation of digital trade through participation in multilateral for</w:t>
      </w:r>
      <w:r w:rsidR="0087091F">
        <w:t>a</w:t>
      </w:r>
      <w:r>
        <w:t xml:space="preserve"> like the WTO, </w:t>
      </w:r>
      <w:r w:rsidR="006147D9">
        <w:t xml:space="preserve">UN, </w:t>
      </w:r>
      <w:r>
        <w:t xml:space="preserve">OECD, APEC and G20, as well as pursuing ambitious FTA outcomes on digital trade. </w:t>
      </w:r>
      <w:r w:rsidRPr="00685E8B">
        <w:t>Australia is also committed to working to bridge digital divides across the Indo-Pacific and to encourag</w:t>
      </w:r>
      <w:r w:rsidR="009366BB">
        <w:t>ing</w:t>
      </w:r>
      <w:r w:rsidRPr="00685E8B">
        <w:t xml:space="preserve"> innovative uses of digital technologies to support sustainable and inclusive development. </w:t>
      </w:r>
    </w:p>
    <w:p w14:paraId="71D12B46" w14:textId="77777777" w:rsidR="00684C8E" w:rsidRDefault="00684C8E" w:rsidP="00226090">
      <w:pPr>
        <w:pStyle w:val="Box1Heading"/>
        <w:spacing w:before="120" w:after="80"/>
      </w:pPr>
      <w:r>
        <w:t xml:space="preserve">Australia will continue to: </w:t>
      </w:r>
    </w:p>
    <w:p w14:paraId="00760017" w14:textId="3D411E60" w:rsidR="00684C8E" w:rsidRDefault="00684C8E" w:rsidP="00A45833">
      <w:pPr>
        <w:pStyle w:val="Box1Bullet"/>
        <w:spacing w:after="80"/>
      </w:pPr>
      <w:r w:rsidRPr="009A3898">
        <w:rPr>
          <w:b/>
          <w:bCs/>
        </w:rPr>
        <w:t>Advocate</w:t>
      </w:r>
      <w:r>
        <w:t xml:space="preserve"> </w:t>
      </w:r>
      <w:r w:rsidR="00AB58BC" w:rsidRPr="00910075">
        <w:t>for digital trade liberalisation, standards and regulatory cooperation with international partners and through participation in international fora</w:t>
      </w:r>
      <w:r>
        <w:t xml:space="preserve">. </w:t>
      </w:r>
    </w:p>
    <w:p w14:paraId="49EE15F2" w14:textId="1AE9EDED" w:rsidR="00684C8E" w:rsidRDefault="00684C8E" w:rsidP="00A45833">
      <w:pPr>
        <w:pStyle w:val="Box1Bullet"/>
        <w:spacing w:after="80"/>
      </w:pPr>
      <w:r>
        <w:rPr>
          <w:b/>
          <w:bCs/>
        </w:rPr>
        <w:t>Negotiate</w:t>
      </w:r>
      <w:r w:rsidRPr="007076D1">
        <w:rPr>
          <w:b/>
          <w:bCs/>
        </w:rPr>
        <w:t xml:space="preserve"> </w:t>
      </w:r>
      <w:r w:rsidRPr="003F2A92">
        <w:t>agreement</w:t>
      </w:r>
      <w:r>
        <w:t xml:space="preserve"> to digital trade rules and commitments in bilateral</w:t>
      </w:r>
      <w:r w:rsidR="00AC44DF">
        <w:t>, regional</w:t>
      </w:r>
      <w:r>
        <w:t xml:space="preserve"> and plurilateral agreements, through pursuing digital trade rules in new and upgraded FTAs and exploring </w:t>
      </w:r>
      <w:r w:rsidR="00913B23">
        <w:t>how digital trade rules could be made more consistent across the Indo-Pacifi</w:t>
      </w:r>
      <w:r w:rsidR="00B535E9">
        <w:t>c region.</w:t>
      </w:r>
    </w:p>
    <w:p w14:paraId="4DCCC978" w14:textId="25AD66E8" w:rsidR="00684C8E" w:rsidRDefault="00684C8E" w:rsidP="00A45833">
      <w:pPr>
        <w:pStyle w:val="Box1Bullet"/>
        <w:spacing w:after="80"/>
      </w:pPr>
      <w:r w:rsidRPr="009A3898">
        <w:rPr>
          <w:b/>
          <w:bCs/>
        </w:rPr>
        <w:t xml:space="preserve">Support </w:t>
      </w:r>
      <w:r w:rsidRPr="003F2A92">
        <w:t>the implementation</w:t>
      </w:r>
      <w:r>
        <w:t xml:space="preserve"> of digital trade rules, including through </w:t>
      </w:r>
      <w:r w:rsidR="0087091F">
        <w:t xml:space="preserve">development assistance and </w:t>
      </w:r>
      <w:r>
        <w:t>capacity building projects</w:t>
      </w:r>
      <w:r w:rsidRPr="00083344">
        <w:t xml:space="preserve"> </w:t>
      </w:r>
      <w:r>
        <w:t>and support for Australian businesses to trade overseas</w:t>
      </w:r>
      <w:r w:rsidR="00722B38">
        <w:t>, including</w:t>
      </w:r>
      <w:r w:rsidR="000C6E90">
        <w:t xml:space="preserve"> through advice on Australia’s FTAs</w:t>
      </w:r>
      <w:r>
        <w:t>.</w:t>
      </w:r>
    </w:p>
    <w:p w14:paraId="19B2B6EA" w14:textId="79BE3A47" w:rsidR="00D07528" w:rsidRDefault="00D07528" w:rsidP="00D07528">
      <w:pPr>
        <w:pStyle w:val="Heading2"/>
      </w:pPr>
      <w:bookmarkStart w:id="20" w:name="_Toc83986310"/>
      <w:bookmarkStart w:id="21" w:name="_Toc90387857"/>
      <w:bookmarkStart w:id="22" w:name="_Toc92134450"/>
      <w:r>
        <w:rPr>
          <w:noProof/>
        </w:rPr>
        <w:drawing>
          <wp:anchor distT="0" distB="0" distL="114300" distR="114300" simplePos="0" relativeHeight="251668480" behindDoc="0" locked="0" layoutInCell="1" allowOverlap="1" wp14:anchorId="593E30CF" wp14:editId="647353E8">
            <wp:simplePos x="0" y="0"/>
            <wp:positionH relativeFrom="margin">
              <wp:posOffset>0</wp:posOffset>
            </wp:positionH>
            <wp:positionV relativeFrom="paragraph">
              <wp:posOffset>287655</wp:posOffset>
            </wp:positionV>
            <wp:extent cx="6120130" cy="2340610"/>
            <wp:effectExtent l="0" t="0" r="0" b="2540"/>
            <wp:wrapNone/>
            <wp:docPr id="223" name="Picture 3">
              <a:extLst xmlns:a="http://schemas.openxmlformats.org/drawingml/2006/main">
                <a:ext uri="{FF2B5EF4-FFF2-40B4-BE49-F238E27FC236}">
                  <a16:creationId xmlns:a16="http://schemas.microsoft.com/office/drawing/2014/main" id="{3B012B9E-2B61-E94D-ADCE-4D84DA3D830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3">
                      <a:extLst>
                        <a:ext uri="{FF2B5EF4-FFF2-40B4-BE49-F238E27FC236}">
                          <a16:creationId xmlns:a16="http://schemas.microsoft.com/office/drawing/2014/main" id="{3B012B9E-2B61-E94D-ADCE-4D84DA3D8304}"/>
                        </a:ext>
                        <a:ext uri="{C183D7F6-B498-43B3-948B-1728B52AA6E4}">
                          <adec:decorative xmlns:adec="http://schemas.microsoft.com/office/drawing/2017/decorative" val="1"/>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120130" cy="2340610"/>
                    </a:xfrm>
                    <a:prstGeom prst="rect">
                      <a:avLst/>
                    </a:prstGeom>
                  </pic:spPr>
                </pic:pic>
              </a:graphicData>
            </a:graphic>
            <wp14:sizeRelH relativeFrom="margin">
              <wp14:pctWidth>0</wp14:pctWidth>
            </wp14:sizeRelH>
            <wp14:sizeRelV relativeFrom="margin">
              <wp14:pctHeight>0</wp14:pctHeight>
            </wp14:sizeRelV>
          </wp:anchor>
        </w:drawing>
      </w:r>
      <w:bookmarkEnd w:id="20"/>
      <w:bookmarkEnd w:id="21"/>
      <w:bookmarkEnd w:id="22"/>
    </w:p>
    <w:p w14:paraId="13E158B4" w14:textId="5E6D57C2" w:rsidR="00D07528" w:rsidRDefault="00D07528" w:rsidP="00D07528"/>
    <w:p w14:paraId="23CCA224" w14:textId="0D2A0E6F" w:rsidR="00D07528" w:rsidRPr="00D07528" w:rsidRDefault="00D07528" w:rsidP="00D07528"/>
    <w:p w14:paraId="7F6275A6" w14:textId="03EAADCD" w:rsidR="00D07528" w:rsidRDefault="00D07528" w:rsidP="00D07528"/>
    <w:p w14:paraId="2A570848" w14:textId="77777777" w:rsidR="00D07528" w:rsidRPr="00D07528" w:rsidRDefault="00D07528" w:rsidP="00D07528"/>
    <w:bookmarkStart w:id="23" w:name="_Toc92134451"/>
    <w:p w14:paraId="69937081" w14:textId="7090F915" w:rsidR="009A3898" w:rsidRDefault="00454DA9" w:rsidP="00F7684B">
      <w:pPr>
        <w:pStyle w:val="Heading2"/>
        <w:spacing w:after="240"/>
      </w:pPr>
      <w:r w:rsidRPr="00454DA9">
        <w:rPr>
          <w:noProof/>
        </w:rPr>
        <w:lastRenderedPageBreak/>
        <mc:AlternateContent>
          <mc:Choice Requires="wpg">
            <w:drawing>
              <wp:anchor distT="0" distB="0" distL="114300" distR="114300" simplePos="0" relativeHeight="251653120" behindDoc="0" locked="0" layoutInCell="1" allowOverlap="1" wp14:anchorId="5C80887F" wp14:editId="2396CE50">
                <wp:simplePos x="0" y="0"/>
                <wp:positionH relativeFrom="column">
                  <wp:posOffset>1364898</wp:posOffset>
                </wp:positionH>
                <wp:positionV relativeFrom="paragraph">
                  <wp:posOffset>-195276</wp:posOffset>
                </wp:positionV>
                <wp:extent cx="295920" cy="423360"/>
                <wp:effectExtent l="38100" t="0" r="27940" b="15240"/>
                <wp:wrapNone/>
                <wp:docPr id="197" name="Group 12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5920" cy="423360"/>
                          <a:chOff x="1444219" y="0"/>
                          <a:chExt cx="295920" cy="423360"/>
                        </a:xfrm>
                        <a:solidFill>
                          <a:schemeClr val="bg1"/>
                        </a:solidFill>
                      </wpg:grpSpPr>
                      <wps:wsp>
                        <wps:cNvPr id="198" name="Freeform 198"/>
                        <wps:cNvSpPr/>
                        <wps:spPr>
                          <a:xfrm>
                            <a:off x="1444219" y="51480"/>
                            <a:ext cx="295920" cy="371880"/>
                          </a:xfrm>
                          <a:custGeom>
                            <a:avLst/>
                            <a:gdLst/>
                            <a:ahLst/>
                            <a:cxnLst/>
                            <a:rect l="0" t="0" r="r" b="b"/>
                            <a:pathLst>
                              <a:path w="822" h="1033">
                                <a:moveTo>
                                  <a:pt x="665" y="1032"/>
                                </a:moveTo>
                                <a:lnTo>
                                  <a:pt x="665" y="1032"/>
                                </a:lnTo>
                                <a:cubicBezTo>
                                  <a:pt x="665" y="801"/>
                                  <a:pt x="665" y="801"/>
                                  <a:pt x="665" y="801"/>
                                </a:cubicBezTo>
                                <a:cubicBezTo>
                                  <a:pt x="665" y="801"/>
                                  <a:pt x="665" y="712"/>
                                  <a:pt x="719" y="645"/>
                                </a:cubicBezTo>
                                <a:cubicBezTo>
                                  <a:pt x="740" y="618"/>
                                  <a:pt x="760" y="583"/>
                                  <a:pt x="774" y="550"/>
                                </a:cubicBezTo>
                                <a:cubicBezTo>
                                  <a:pt x="801" y="448"/>
                                  <a:pt x="821" y="244"/>
                                  <a:pt x="604" y="129"/>
                                </a:cubicBezTo>
                                <a:cubicBezTo>
                                  <a:pt x="604" y="129"/>
                                  <a:pt x="353" y="0"/>
                                  <a:pt x="163" y="176"/>
                                </a:cubicBezTo>
                                <a:cubicBezTo>
                                  <a:pt x="129" y="203"/>
                                  <a:pt x="102" y="244"/>
                                  <a:pt x="88" y="292"/>
                                </a:cubicBezTo>
                                <a:cubicBezTo>
                                  <a:pt x="81" y="326"/>
                                  <a:pt x="75" y="373"/>
                                  <a:pt x="81" y="427"/>
                                </a:cubicBezTo>
                                <a:cubicBezTo>
                                  <a:pt x="81" y="434"/>
                                  <a:pt x="81" y="441"/>
                                  <a:pt x="81" y="448"/>
                                </a:cubicBezTo>
                                <a:cubicBezTo>
                                  <a:pt x="88" y="461"/>
                                  <a:pt x="88" y="502"/>
                                  <a:pt x="68" y="543"/>
                                </a:cubicBezTo>
                                <a:cubicBezTo>
                                  <a:pt x="13" y="618"/>
                                  <a:pt x="13" y="618"/>
                                  <a:pt x="13" y="618"/>
                                </a:cubicBezTo>
                                <a:cubicBezTo>
                                  <a:pt x="13" y="618"/>
                                  <a:pt x="0" y="651"/>
                                  <a:pt x="34" y="658"/>
                                </a:cubicBezTo>
                                <a:cubicBezTo>
                                  <a:pt x="34" y="658"/>
                                  <a:pt x="47" y="658"/>
                                  <a:pt x="54" y="658"/>
                                </a:cubicBezTo>
                                <a:cubicBezTo>
                                  <a:pt x="61" y="665"/>
                                  <a:pt x="68" y="673"/>
                                  <a:pt x="61" y="679"/>
                                </a:cubicBezTo>
                                <a:cubicBezTo>
                                  <a:pt x="54" y="686"/>
                                  <a:pt x="47" y="692"/>
                                  <a:pt x="68" y="699"/>
                                </a:cubicBezTo>
                                <a:cubicBezTo>
                                  <a:pt x="68" y="706"/>
                                  <a:pt x="75" y="712"/>
                                  <a:pt x="68" y="712"/>
                                </a:cubicBezTo>
                                <a:cubicBezTo>
                                  <a:pt x="68" y="726"/>
                                  <a:pt x="61" y="740"/>
                                  <a:pt x="81" y="740"/>
                                </a:cubicBezTo>
                                <a:cubicBezTo>
                                  <a:pt x="88" y="746"/>
                                  <a:pt x="88" y="746"/>
                                  <a:pt x="88" y="753"/>
                                </a:cubicBezTo>
                                <a:cubicBezTo>
                                  <a:pt x="88" y="780"/>
                                  <a:pt x="75" y="855"/>
                                  <a:pt x="149" y="855"/>
                                </a:cubicBezTo>
                                <a:cubicBezTo>
                                  <a:pt x="210" y="848"/>
                                  <a:pt x="210" y="848"/>
                                  <a:pt x="210" y="848"/>
                                </a:cubicBezTo>
                                <a:cubicBezTo>
                                  <a:pt x="251" y="848"/>
                                  <a:pt x="285" y="875"/>
                                  <a:pt x="292" y="916"/>
                                </a:cubicBezTo>
                                <a:cubicBezTo>
                                  <a:pt x="299" y="943"/>
                                  <a:pt x="305" y="984"/>
                                  <a:pt x="305" y="1032"/>
                                </a:cubicBezTo>
                              </a:path>
                            </a:pathLst>
                          </a:custGeom>
                          <a:solidFill>
                            <a:schemeClr val="bg1"/>
                          </a:solidFill>
                          <a:ln w="9720">
                            <a:solidFill>
                              <a:srgbClr val="344154"/>
                            </a:solidFill>
                            <a:miter/>
                          </a:ln>
                        </wps:spPr>
                        <wps:bodyPr/>
                      </wps:wsp>
                      <wps:wsp>
                        <wps:cNvPr id="199" name="Freeform 199"/>
                        <wps:cNvSpPr/>
                        <wps:spPr>
                          <a:xfrm>
                            <a:off x="1578499" y="161280"/>
                            <a:ext cx="46800" cy="46800"/>
                          </a:xfrm>
                          <a:custGeom>
                            <a:avLst/>
                            <a:gdLst/>
                            <a:ahLst/>
                            <a:cxnLst/>
                            <a:rect l="0" t="0" r="r" b="b"/>
                            <a:pathLst>
                              <a:path w="130" h="130">
                                <a:moveTo>
                                  <a:pt x="0" y="0"/>
                                </a:moveTo>
                                <a:lnTo>
                                  <a:pt x="0" y="129"/>
                                </a:lnTo>
                                <a:lnTo>
                                  <a:pt x="129" y="129"/>
                                </a:lnTo>
                                <a:lnTo>
                                  <a:pt x="129" y="0"/>
                                </a:lnTo>
                                <a:lnTo>
                                  <a:pt x="0" y="0"/>
                                </a:lnTo>
                              </a:path>
                            </a:pathLst>
                          </a:custGeom>
                          <a:grpFill/>
                          <a:ln>
                            <a:solidFill>
                              <a:srgbClr val="344154"/>
                            </a:solidFill>
                          </a:ln>
                        </wps:spPr>
                        <wps:bodyPr/>
                      </wps:wsp>
                      <wps:wsp>
                        <wps:cNvPr id="200" name="Freeform 200"/>
                        <wps:cNvSpPr/>
                        <wps:spPr>
                          <a:xfrm>
                            <a:off x="1578499" y="161280"/>
                            <a:ext cx="46800" cy="46800"/>
                          </a:xfrm>
                          <a:custGeom>
                            <a:avLst/>
                            <a:gdLst/>
                            <a:ahLst/>
                            <a:cxnLst/>
                            <a:rect l="0" t="0" r="r" b="b"/>
                            <a:pathLst>
                              <a:path w="130" h="130">
                                <a:moveTo>
                                  <a:pt x="0" y="0"/>
                                </a:moveTo>
                                <a:lnTo>
                                  <a:pt x="0" y="129"/>
                                </a:lnTo>
                                <a:lnTo>
                                  <a:pt x="129" y="129"/>
                                </a:lnTo>
                                <a:lnTo>
                                  <a:pt x="129" y="0"/>
                                </a:lnTo>
                                <a:lnTo>
                                  <a:pt x="0" y="0"/>
                                </a:lnTo>
                              </a:path>
                            </a:pathLst>
                          </a:custGeom>
                          <a:grpFill/>
                          <a:ln w="9720">
                            <a:solidFill>
                              <a:srgbClr val="344154"/>
                            </a:solidFill>
                            <a:miter/>
                          </a:ln>
                        </wps:spPr>
                        <wps:bodyPr/>
                      </wps:wsp>
                      <wps:wsp>
                        <wps:cNvPr id="201" name="Line 1192"/>
                        <wps:cNvCnPr/>
                        <wps:spPr>
                          <a:xfrm>
                            <a:off x="1646899" y="161280"/>
                            <a:ext cx="12240" cy="0"/>
                          </a:xfrm>
                          <a:prstGeom prst="line">
                            <a:avLst/>
                          </a:prstGeom>
                          <a:grpFill/>
                          <a:ln w="9720">
                            <a:solidFill>
                              <a:srgbClr val="344154"/>
                            </a:solidFill>
                            <a:round/>
                          </a:ln>
                        </wps:spPr>
                        <wps:style>
                          <a:lnRef idx="0">
                            <a:scrgbClr r="0" g="0" b="0"/>
                          </a:lnRef>
                          <a:fillRef idx="0">
                            <a:scrgbClr r="0" g="0" b="0"/>
                          </a:fillRef>
                          <a:effectRef idx="0">
                            <a:scrgbClr r="0" g="0" b="0"/>
                          </a:effectRef>
                          <a:fontRef idx="minor"/>
                        </wps:style>
                        <wps:bodyPr/>
                      </wps:wsp>
                      <wps:wsp>
                        <wps:cNvPr id="202" name="Line 1193"/>
                        <wps:cNvCnPr/>
                        <wps:spPr>
                          <a:xfrm>
                            <a:off x="1646899" y="183240"/>
                            <a:ext cx="12240" cy="0"/>
                          </a:xfrm>
                          <a:prstGeom prst="line">
                            <a:avLst/>
                          </a:prstGeom>
                          <a:grpFill/>
                          <a:ln w="9720">
                            <a:solidFill>
                              <a:srgbClr val="344154"/>
                            </a:solidFill>
                            <a:round/>
                          </a:ln>
                        </wps:spPr>
                        <wps:style>
                          <a:lnRef idx="0">
                            <a:scrgbClr r="0" g="0" b="0"/>
                          </a:lnRef>
                          <a:fillRef idx="0">
                            <a:scrgbClr r="0" g="0" b="0"/>
                          </a:fillRef>
                          <a:effectRef idx="0">
                            <a:scrgbClr r="0" g="0" b="0"/>
                          </a:effectRef>
                          <a:fontRef idx="minor"/>
                        </wps:style>
                        <wps:bodyPr/>
                      </wps:wsp>
                      <wps:wsp>
                        <wps:cNvPr id="203" name="Line 1194"/>
                        <wps:cNvCnPr/>
                        <wps:spPr>
                          <a:xfrm>
                            <a:off x="1646899" y="207720"/>
                            <a:ext cx="12240" cy="0"/>
                          </a:xfrm>
                          <a:prstGeom prst="line">
                            <a:avLst/>
                          </a:prstGeom>
                          <a:grpFill/>
                          <a:ln w="9720">
                            <a:solidFill>
                              <a:srgbClr val="344154"/>
                            </a:solidFill>
                            <a:round/>
                          </a:ln>
                        </wps:spPr>
                        <wps:style>
                          <a:lnRef idx="0">
                            <a:scrgbClr r="0" g="0" b="0"/>
                          </a:lnRef>
                          <a:fillRef idx="0">
                            <a:scrgbClr r="0" g="0" b="0"/>
                          </a:fillRef>
                          <a:effectRef idx="0">
                            <a:scrgbClr r="0" g="0" b="0"/>
                          </a:effectRef>
                          <a:fontRef idx="minor"/>
                        </wps:style>
                        <wps:bodyPr/>
                      </wps:wsp>
                      <wps:wsp>
                        <wps:cNvPr id="204" name="Line 1195"/>
                        <wps:cNvCnPr/>
                        <wps:spPr>
                          <a:xfrm>
                            <a:off x="1544299" y="161280"/>
                            <a:ext cx="14760" cy="0"/>
                          </a:xfrm>
                          <a:prstGeom prst="line">
                            <a:avLst/>
                          </a:prstGeom>
                          <a:grpFill/>
                          <a:ln w="9720">
                            <a:solidFill>
                              <a:srgbClr val="344154"/>
                            </a:solidFill>
                            <a:round/>
                          </a:ln>
                        </wps:spPr>
                        <wps:style>
                          <a:lnRef idx="0">
                            <a:scrgbClr r="0" g="0" b="0"/>
                          </a:lnRef>
                          <a:fillRef idx="0">
                            <a:scrgbClr r="0" g="0" b="0"/>
                          </a:fillRef>
                          <a:effectRef idx="0">
                            <a:scrgbClr r="0" g="0" b="0"/>
                          </a:effectRef>
                          <a:fontRef idx="minor"/>
                        </wps:style>
                        <wps:bodyPr/>
                      </wps:wsp>
                      <wps:wsp>
                        <wps:cNvPr id="205" name="Line 1196"/>
                        <wps:cNvCnPr/>
                        <wps:spPr>
                          <a:xfrm>
                            <a:off x="1544299" y="183240"/>
                            <a:ext cx="14760" cy="0"/>
                          </a:xfrm>
                          <a:prstGeom prst="line">
                            <a:avLst/>
                          </a:prstGeom>
                          <a:grpFill/>
                          <a:ln w="9720">
                            <a:solidFill>
                              <a:srgbClr val="344154"/>
                            </a:solidFill>
                            <a:round/>
                          </a:ln>
                        </wps:spPr>
                        <wps:style>
                          <a:lnRef idx="0">
                            <a:scrgbClr r="0" g="0" b="0"/>
                          </a:lnRef>
                          <a:fillRef idx="0">
                            <a:scrgbClr r="0" g="0" b="0"/>
                          </a:fillRef>
                          <a:effectRef idx="0">
                            <a:scrgbClr r="0" g="0" b="0"/>
                          </a:effectRef>
                          <a:fontRef idx="minor"/>
                        </wps:style>
                        <wps:bodyPr/>
                      </wps:wsp>
                      <wps:wsp>
                        <wps:cNvPr id="206" name="Line 1197"/>
                        <wps:cNvCnPr/>
                        <wps:spPr>
                          <a:xfrm>
                            <a:off x="1544299" y="207720"/>
                            <a:ext cx="14760" cy="0"/>
                          </a:xfrm>
                          <a:prstGeom prst="line">
                            <a:avLst/>
                          </a:prstGeom>
                          <a:grpFill/>
                          <a:ln w="9720">
                            <a:solidFill>
                              <a:srgbClr val="344154"/>
                            </a:solidFill>
                            <a:round/>
                          </a:ln>
                        </wps:spPr>
                        <wps:style>
                          <a:lnRef idx="0">
                            <a:scrgbClr r="0" g="0" b="0"/>
                          </a:lnRef>
                          <a:fillRef idx="0">
                            <a:scrgbClr r="0" g="0" b="0"/>
                          </a:fillRef>
                          <a:effectRef idx="0">
                            <a:scrgbClr r="0" g="0" b="0"/>
                          </a:effectRef>
                          <a:fontRef idx="minor"/>
                        </wps:style>
                        <wps:bodyPr/>
                      </wps:wsp>
                      <wps:wsp>
                        <wps:cNvPr id="207" name="Line 1198"/>
                        <wps:cNvCnPr/>
                        <wps:spPr>
                          <a:xfrm flipV="1">
                            <a:off x="1578499" y="127080"/>
                            <a:ext cx="0" cy="12240"/>
                          </a:xfrm>
                          <a:prstGeom prst="line">
                            <a:avLst/>
                          </a:prstGeom>
                          <a:grpFill/>
                          <a:ln w="9720">
                            <a:solidFill>
                              <a:srgbClr val="344154"/>
                            </a:solidFill>
                            <a:round/>
                          </a:ln>
                        </wps:spPr>
                        <wps:style>
                          <a:lnRef idx="0">
                            <a:scrgbClr r="0" g="0" b="0"/>
                          </a:lnRef>
                          <a:fillRef idx="0">
                            <a:scrgbClr r="0" g="0" b="0"/>
                          </a:fillRef>
                          <a:effectRef idx="0">
                            <a:scrgbClr r="0" g="0" b="0"/>
                          </a:effectRef>
                          <a:fontRef idx="minor"/>
                        </wps:style>
                        <wps:bodyPr/>
                      </wps:wsp>
                      <wps:wsp>
                        <wps:cNvPr id="208" name="Line 1199"/>
                        <wps:cNvCnPr/>
                        <wps:spPr>
                          <a:xfrm flipV="1">
                            <a:off x="1602979" y="127080"/>
                            <a:ext cx="0" cy="12240"/>
                          </a:xfrm>
                          <a:prstGeom prst="line">
                            <a:avLst/>
                          </a:prstGeom>
                          <a:grpFill/>
                          <a:ln w="9720">
                            <a:solidFill>
                              <a:srgbClr val="344154"/>
                            </a:solidFill>
                            <a:round/>
                          </a:ln>
                        </wps:spPr>
                        <wps:style>
                          <a:lnRef idx="0">
                            <a:scrgbClr r="0" g="0" b="0"/>
                          </a:lnRef>
                          <a:fillRef idx="0">
                            <a:scrgbClr r="0" g="0" b="0"/>
                          </a:fillRef>
                          <a:effectRef idx="0">
                            <a:scrgbClr r="0" g="0" b="0"/>
                          </a:effectRef>
                          <a:fontRef idx="minor"/>
                        </wps:style>
                        <wps:bodyPr/>
                      </wps:wsp>
                      <wps:wsp>
                        <wps:cNvPr id="209" name="Line 1200"/>
                        <wps:cNvCnPr/>
                        <wps:spPr>
                          <a:xfrm flipV="1">
                            <a:off x="1624939" y="127080"/>
                            <a:ext cx="0" cy="12240"/>
                          </a:xfrm>
                          <a:prstGeom prst="line">
                            <a:avLst/>
                          </a:prstGeom>
                          <a:grpFill/>
                          <a:ln w="9720">
                            <a:solidFill>
                              <a:srgbClr val="344154"/>
                            </a:solidFill>
                            <a:round/>
                          </a:ln>
                        </wps:spPr>
                        <wps:style>
                          <a:lnRef idx="0">
                            <a:scrgbClr r="0" g="0" b="0"/>
                          </a:lnRef>
                          <a:fillRef idx="0">
                            <a:scrgbClr r="0" g="0" b="0"/>
                          </a:fillRef>
                          <a:effectRef idx="0">
                            <a:scrgbClr r="0" g="0" b="0"/>
                          </a:effectRef>
                          <a:fontRef idx="minor"/>
                        </wps:style>
                        <wps:bodyPr/>
                      </wps:wsp>
                      <wps:wsp>
                        <wps:cNvPr id="210" name="Line 1201"/>
                        <wps:cNvCnPr/>
                        <wps:spPr>
                          <a:xfrm flipV="1">
                            <a:off x="1578499" y="229680"/>
                            <a:ext cx="0" cy="12240"/>
                          </a:xfrm>
                          <a:prstGeom prst="line">
                            <a:avLst/>
                          </a:prstGeom>
                          <a:grpFill/>
                          <a:ln w="9720">
                            <a:solidFill>
                              <a:srgbClr val="344154"/>
                            </a:solidFill>
                            <a:round/>
                          </a:ln>
                        </wps:spPr>
                        <wps:style>
                          <a:lnRef idx="0">
                            <a:scrgbClr r="0" g="0" b="0"/>
                          </a:lnRef>
                          <a:fillRef idx="0">
                            <a:scrgbClr r="0" g="0" b="0"/>
                          </a:fillRef>
                          <a:effectRef idx="0">
                            <a:scrgbClr r="0" g="0" b="0"/>
                          </a:effectRef>
                          <a:fontRef idx="minor"/>
                        </wps:style>
                        <wps:bodyPr/>
                      </wps:wsp>
                      <wps:wsp>
                        <wps:cNvPr id="211" name="Line 1202"/>
                        <wps:cNvCnPr/>
                        <wps:spPr>
                          <a:xfrm flipV="1">
                            <a:off x="1602979" y="229680"/>
                            <a:ext cx="0" cy="12240"/>
                          </a:xfrm>
                          <a:prstGeom prst="line">
                            <a:avLst/>
                          </a:prstGeom>
                          <a:grpFill/>
                          <a:ln w="9720">
                            <a:solidFill>
                              <a:srgbClr val="344154"/>
                            </a:solidFill>
                            <a:round/>
                          </a:ln>
                        </wps:spPr>
                        <wps:style>
                          <a:lnRef idx="0">
                            <a:scrgbClr r="0" g="0" b="0"/>
                          </a:lnRef>
                          <a:fillRef idx="0">
                            <a:scrgbClr r="0" g="0" b="0"/>
                          </a:fillRef>
                          <a:effectRef idx="0">
                            <a:scrgbClr r="0" g="0" b="0"/>
                          </a:effectRef>
                          <a:fontRef idx="minor"/>
                        </wps:style>
                        <wps:bodyPr/>
                      </wps:wsp>
                      <wps:wsp>
                        <wps:cNvPr id="212" name="Line 1203"/>
                        <wps:cNvCnPr/>
                        <wps:spPr>
                          <a:xfrm flipV="1">
                            <a:off x="1624939" y="229680"/>
                            <a:ext cx="0" cy="12240"/>
                          </a:xfrm>
                          <a:prstGeom prst="line">
                            <a:avLst/>
                          </a:prstGeom>
                          <a:grpFill/>
                          <a:ln w="9720">
                            <a:solidFill>
                              <a:srgbClr val="344154"/>
                            </a:solidFill>
                            <a:round/>
                          </a:ln>
                        </wps:spPr>
                        <wps:style>
                          <a:lnRef idx="0">
                            <a:scrgbClr r="0" g="0" b="0"/>
                          </a:lnRef>
                          <a:fillRef idx="0">
                            <a:scrgbClr r="0" g="0" b="0"/>
                          </a:fillRef>
                          <a:effectRef idx="0">
                            <a:scrgbClr r="0" g="0" b="0"/>
                          </a:effectRef>
                          <a:fontRef idx="minor"/>
                        </wps:style>
                        <wps:bodyPr/>
                      </wps:wsp>
                      <wps:wsp>
                        <wps:cNvPr id="213" name="Freeform 213"/>
                        <wps:cNvSpPr/>
                        <wps:spPr>
                          <a:xfrm>
                            <a:off x="1502899" y="188280"/>
                            <a:ext cx="144360" cy="112680"/>
                          </a:xfrm>
                          <a:custGeom>
                            <a:avLst/>
                            <a:gdLst/>
                            <a:ahLst/>
                            <a:cxnLst/>
                            <a:rect l="0" t="0" r="r" b="b"/>
                            <a:pathLst>
                              <a:path w="401" h="313">
                                <a:moveTo>
                                  <a:pt x="7" y="0"/>
                                </a:moveTo>
                                <a:lnTo>
                                  <a:pt x="7" y="0"/>
                                </a:lnTo>
                                <a:cubicBezTo>
                                  <a:pt x="0" y="75"/>
                                  <a:pt x="20" y="149"/>
                                  <a:pt x="74" y="203"/>
                                </a:cubicBezTo>
                                <a:cubicBezTo>
                                  <a:pt x="149" y="271"/>
                                  <a:pt x="292" y="312"/>
                                  <a:pt x="400" y="271"/>
                                </a:cubicBezTo>
                              </a:path>
                            </a:pathLst>
                          </a:custGeom>
                          <a:grpFill/>
                          <a:ln w="9720">
                            <a:solidFill>
                              <a:srgbClr val="344154"/>
                            </a:solidFill>
                            <a:round/>
                          </a:ln>
                        </wps:spPr>
                        <wps:bodyPr/>
                      </wps:wsp>
                      <wps:wsp>
                        <wps:cNvPr id="214" name="Freeform 214"/>
                        <wps:cNvSpPr/>
                        <wps:spPr>
                          <a:xfrm>
                            <a:off x="1490659" y="0"/>
                            <a:ext cx="19800" cy="59040"/>
                          </a:xfrm>
                          <a:custGeom>
                            <a:avLst/>
                            <a:gdLst/>
                            <a:ahLst/>
                            <a:cxnLst/>
                            <a:rect l="0" t="0" r="r" b="b"/>
                            <a:pathLst>
                              <a:path w="55" h="164">
                                <a:moveTo>
                                  <a:pt x="0" y="27"/>
                                </a:moveTo>
                                <a:lnTo>
                                  <a:pt x="27" y="20"/>
                                </a:lnTo>
                                <a:lnTo>
                                  <a:pt x="27" y="163"/>
                                </a:lnTo>
                                <a:lnTo>
                                  <a:pt x="54" y="163"/>
                                </a:lnTo>
                                <a:lnTo>
                                  <a:pt x="54" y="0"/>
                                </a:lnTo>
                                <a:lnTo>
                                  <a:pt x="0" y="7"/>
                                </a:lnTo>
                                <a:lnTo>
                                  <a:pt x="0" y="27"/>
                                </a:lnTo>
                              </a:path>
                            </a:pathLst>
                          </a:custGeom>
                          <a:grpFill/>
                          <a:ln>
                            <a:noFill/>
                          </a:ln>
                        </wps:spPr>
                        <wps:bodyPr/>
                      </wps:wsp>
                      <wps:wsp>
                        <wps:cNvPr id="215" name="Freeform 215"/>
                        <wps:cNvSpPr/>
                        <wps:spPr>
                          <a:xfrm>
                            <a:off x="1532059" y="0"/>
                            <a:ext cx="34560" cy="59040"/>
                          </a:xfrm>
                          <a:custGeom>
                            <a:avLst/>
                            <a:gdLst/>
                            <a:ahLst/>
                            <a:cxnLst/>
                            <a:rect l="0" t="0" r="r" b="b"/>
                            <a:pathLst>
                              <a:path w="96" h="164">
                                <a:moveTo>
                                  <a:pt x="48" y="0"/>
                                </a:moveTo>
                                <a:lnTo>
                                  <a:pt x="48" y="0"/>
                                </a:lnTo>
                                <a:cubicBezTo>
                                  <a:pt x="34" y="0"/>
                                  <a:pt x="21" y="7"/>
                                  <a:pt x="14" y="14"/>
                                </a:cubicBezTo>
                                <a:cubicBezTo>
                                  <a:pt x="7" y="27"/>
                                  <a:pt x="0" y="41"/>
                                  <a:pt x="0" y="61"/>
                                </a:cubicBezTo>
                                <a:cubicBezTo>
                                  <a:pt x="0" y="102"/>
                                  <a:pt x="0" y="102"/>
                                  <a:pt x="0" y="102"/>
                                </a:cubicBezTo>
                                <a:cubicBezTo>
                                  <a:pt x="0" y="122"/>
                                  <a:pt x="7" y="136"/>
                                  <a:pt x="14" y="149"/>
                                </a:cubicBezTo>
                                <a:cubicBezTo>
                                  <a:pt x="21" y="163"/>
                                  <a:pt x="34" y="163"/>
                                  <a:pt x="48" y="163"/>
                                </a:cubicBezTo>
                                <a:cubicBezTo>
                                  <a:pt x="61" y="163"/>
                                  <a:pt x="75" y="163"/>
                                  <a:pt x="82" y="149"/>
                                </a:cubicBezTo>
                                <a:cubicBezTo>
                                  <a:pt x="89" y="136"/>
                                  <a:pt x="95" y="122"/>
                                  <a:pt x="95" y="102"/>
                                </a:cubicBezTo>
                                <a:cubicBezTo>
                                  <a:pt x="95" y="61"/>
                                  <a:pt x="95" y="61"/>
                                  <a:pt x="95" y="61"/>
                                </a:cubicBezTo>
                                <a:cubicBezTo>
                                  <a:pt x="95" y="41"/>
                                  <a:pt x="89" y="27"/>
                                  <a:pt x="82" y="14"/>
                                </a:cubicBezTo>
                                <a:cubicBezTo>
                                  <a:pt x="75" y="7"/>
                                  <a:pt x="61" y="0"/>
                                  <a:pt x="48" y="0"/>
                                </a:cubicBezTo>
                                <a:moveTo>
                                  <a:pt x="28" y="109"/>
                                </a:moveTo>
                                <a:lnTo>
                                  <a:pt x="28" y="109"/>
                                </a:lnTo>
                                <a:cubicBezTo>
                                  <a:pt x="28" y="55"/>
                                  <a:pt x="28" y="55"/>
                                  <a:pt x="28" y="55"/>
                                </a:cubicBezTo>
                                <a:cubicBezTo>
                                  <a:pt x="28" y="48"/>
                                  <a:pt x="28" y="34"/>
                                  <a:pt x="34" y="27"/>
                                </a:cubicBezTo>
                                <a:cubicBezTo>
                                  <a:pt x="34" y="20"/>
                                  <a:pt x="41" y="20"/>
                                  <a:pt x="48" y="20"/>
                                </a:cubicBezTo>
                                <a:cubicBezTo>
                                  <a:pt x="55" y="20"/>
                                  <a:pt x="61" y="20"/>
                                  <a:pt x="61" y="27"/>
                                </a:cubicBezTo>
                                <a:cubicBezTo>
                                  <a:pt x="68" y="34"/>
                                  <a:pt x="68" y="48"/>
                                  <a:pt x="68" y="55"/>
                                </a:cubicBezTo>
                                <a:cubicBezTo>
                                  <a:pt x="68" y="109"/>
                                  <a:pt x="68" y="109"/>
                                  <a:pt x="68" y="109"/>
                                </a:cubicBezTo>
                                <a:cubicBezTo>
                                  <a:pt x="68" y="122"/>
                                  <a:pt x="68" y="129"/>
                                  <a:pt x="61" y="136"/>
                                </a:cubicBezTo>
                                <a:cubicBezTo>
                                  <a:pt x="61" y="143"/>
                                  <a:pt x="55" y="143"/>
                                  <a:pt x="48" y="143"/>
                                </a:cubicBezTo>
                                <a:cubicBezTo>
                                  <a:pt x="41" y="143"/>
                                  <a:pt x="34" y="143"/>
                                  <a:pt x="34" y="136"/>
                                </a:cubicBezTo>
                                <a:cubicBezTo>
                                  <a:pt x="28" y="129"/>
                                  <a:pt x="28" y="122"/>
                                  <a:pt x="28" y="109"/>
                                </a:cubicBezTo>
                              </a:path>
                            </a:pathLst>
                          </a:custGeom>
                          <a:grpFill/>
                          <a:ln>
                            <a:noFill/>
                          </a:ln>
                        </wps:spPr>
                        <wps:bodyPr/>
                      </wps:wsp>
                      <wps:wsp>
                        <wps:cNvPr id="216" name="Freeform 216"/>
                        <wps:cNvSpPr/>
                        <wps:spPr>
                          <a:xfrm>
                            <a:off x="1581019" y="0"/>
                            <a:ext cx="19800" cy="59040"/>
                          </a:xfrm>
                          <a:custGeom>
                            <a:avLst/>
                            <a:gdLst/>
                            <a:ahLst/>
                            <a:cxnLst/>
                            <a:rect l="0" t="0" r="r" b="b"/>
                            <a:pathLst>
                              <a:path w="55" h="164">
                                <a:moveTo>
                                  <a:pt x="0" y="27"/>
                                </a:moveTo>
                                <a:lnTo>
                                  <a:pt x="27" y="20"/>
                                </a:lnTo>
                                <a:lnTo>
                                  <a:pt x="27" y="163"/>
                                </a:lnTo>
                                <a:lnTo>
                                  <a:pt x="54" y="163"/>
                                </a:lnTo>
                                <a:lnTo>
                                  <a:pt x="54" y="0"/>
                                </a:lnTo>
                                <a:lnTo>
                                  <a:pt x="0" y="7"/>
                                </a:lnTo>
                                <a:lnTo>
                                  <a:pt x="0" y="27"/>
                                </a:lnTo>
                              </a:path>
                            </a:pathLst>
                          </a:custGeom>
                          <a:grpFill/>
                          <a:ln>
                            <a:noFill/>
                          </a:ln>
                        </wps:spPr>
                        <wps:bodyPr/>
                      </wps:wsp>
                      <wps:wsp>
                        <wps:cNvPr id="218" name="Freeform 218"/>
                        <wps:cNvSpPr/>
                        <wps:spPr>
                          <a:xfrm>
                            <a:off x="1622419" y="0"/>
                            <a:ext cx="34560" cy="59040"/>
                          </a:xfrm>
                          <a:custGeom>
                            <a:avLst/>
                            <a:gdLst/>
                            <a:ahLst/>
                            <a:cxnLst/>
                            <a:rect l="0" t="0" r="r" b="b"/>
                            <a:pathLst>
                              <a:path w="96" h="164">
                                <a:moveTo>
                                  <a:pt x="48" y="0"/>
                                </a:moveTo>
                                <a:lnTo>
                                  <a:pt x="48" y="0"/>
                                </a:lnTo>
                                <a:cubicBezTo>
                                  <a:pt x="34" y="0"/>
                                  <a:pt x="21" y="7"/>
                                  <a:pt x="14" y="14"/>
                                </a:cubicBezTo>
                                <a:cubicBezTo>
                                  <a:pt x="7" y="27"/>
                                  <a:pt x="0" y="41"/>
                                  <a:pt x="0" y="61"/>
                                </a:cubicBezTo>
                                <a:cubicBezTo>
                                  <a:pt x="0" y="102"/>
                                  <a:pt x="0" y="102"/>
                                  <a:pt x="0" y="102"/>
                                </a:cubicBezTo>
                                <a:cubicBezTo>
                                  <a:pt x="0" y="122"/>
                                  <a:pt x="7" y="136"/>
                                  <a:pt x="14" y="149"/>
                                </a:cubicBezTo>
                                <a:cubicBezTo>
                                  <a:pt x="21" y="163"/>
                                  <a:pt x="34" y="163"/>
                                  <a:pt x="48" y="163"/>
                                </a:cubicBezTo>
                                <a:cubicBezTo>
                                  <a:pt x="62" y="163"/>
                                  <a:pt x="75" y="163"/>
                                  <a:pt x="82" y="149"/>
                                </a:cubicBezTo>
                                <a:cubicBezTo>
                                  <a:pt x="95" y="136"/>
                                  <a:pt x="95" y="122"/>
                                  <a:pt x="95" y="102"/>
                                </a:cubicBezTo>
                                <a:cubicBezTo>
                                  <a:pt x="95" y="61"/>
                                  <a:pt x="95" y="61"/>
                                  <a:pt x="95" y="61"/>
                                </a:cubicBezTo>
                                <a:cubicBezTo>
                                  <a:pt x="95" y="41"/>
                                  <a:pt x="95" y="27"/>
                                  <a:pt x="82" y="14"/>
                                </a:cubicBezTo>
                                <a:cubicBezTo>
                                  <a:pt x="75" y="7"/>
                                  <a:pt x="62" y="0"/>
                                  <a:pt x="48" y="0"/>
                                </a:cubicBezTo>
                                <a:moveTo>
                                  <a:pt x="28" y="109"/>
                                </a:moveTo>
                                <a:lnTo>
                                  <a:pt x="28" y="109"/>
                                </a:lnTo>
                                <a:cubicBezTo>
                                  <a:pt x="28" y="55"/>
                                  <a:pt x="28" y="55"/>
                                  <a:pt x="28" y="55"/>
                                </a:cubicBezTo>
                                <a:cubicBezTo>
                                  <a:pt x="28" y="48"/>
                                  <a:pt x="28" y="34"/>
                                  <a:pt x="34" y="27"/>
                                </a:cubicBezTo>
                                <a:cubicBezTo>
                                  <a:pt x="34" y="20"/>
                                  <a:pt x="41" y="20"/>
                                  <a:pt x="48" y="20"/>
                                </a:cubicBezTo>
                                <a:cubicBezTo>
                                  <a:pt x="55" y="20"/>
                                  <a:pt x="62" y="20"/>
                                  <a:pt x="68" y="27"/>
                                </a:cubicBezTo>
                                <a:cubicBezTo>
                                  <a:pt x="68" y="34"/>
                                  <a:pt x="68" y="48"/>
                                  <a:pt x="68" y="55"/>
                                </a:cubicBezTo>
                                <a:cubicBezTo>
                                  <a:pt x="68" y="109"/>
                                  <a:pt x="68" y="109"/>
                                  <a:pt x="68" y="109"/>
                                </a:cubicBezTo>
                                <a:cubicBezTo>
                                  <a:pt x="68" y="122"/>
                                  <a:pt x="68" y="129"/>
                                  <a:pt x="68" y="136"/>
                                </a:cubicBezTo>
                                <a:cubicBezTo>
                                  <a:pt x="62" y="143"/>
                                  <a:pt x="55" y="143"/>
                                  <a:pt x="48" y="143"/>
                                </a:cubicBezTo>
                                <a:cubicBezTo>
                                  <a:pt x="41" y="143"/>
                                  <a:pt x="34" y="143"/>
                                  <a:pt x="34" y="136"/>
                                </a:cubicBezTo>
                                <a:cubicBezTo>
                                  <a:pt x="28" y="129"/>
                                  <a:pt x="28" y="122"/>
                                  <a:pt x="28" y="109"/>
                                </a:cubicBezTo>
                              </a:path>
                            </a:pathLst>
                          </a:custGeom>
                          <a:grpFill/>
                          <a:ln>
                            <a:noFill/>
                          </a:ln>
                        </wps:spPr>
                        <wps:bodyPr/>
                      </wps:wsp>
                      <wps:wsp>
                        <wps:cNvPr id="219" name="Freeform 219"/>
                        <wps:cNvSpPr/>
                        <wps:spPr>
                          <a:xfrm>
                            <a:off x="1671379" y="0"/>
                            <a:ext cx="20160" cy="59040"/>
                          </a:xfrm>
                          <a:custGeom>
                            <a:avLst/>
                            <a:gdLst/>
                            <a:ahLst/>
                            <a:cxnLst/>
                            <a:rect l="0" t="0" r="r" b="b"/>
                            <a:pathLst>
                              <a:path w="56" h="164">
                                <a:moveTo>
                                  <a:pt x="0" y="7"/>
                                </a:moveTo>
                                <a:lnTo>
                                  <a:pt x="0" y="27"/>
                                </a:lnTo>
                                <a:lnTo>
                                  <a:pt x="27" y="20"/>
                                </a:lnTo>
                                <a:lnTo>
                                  <a:pt x="27" y="163"/>
                                </a:lnTo>
                                <a:lnTo>
                                  <a:pt x="55" y="163"/>
                                </a:lnTo>
                                <a:lnTo>
                                  <a:pt x="55" y="0"/>
                                </a:lnTo>
                                <a:lnTo>
                                  <a:pt x="0" y="7"/>
                                </a:lnTo>
                              </a:path>
                            </a:pathLst>
                          </a:custGeom>
                          <a:grpFill/>
                          <a:ln>
                            <a:noFill/>
                          </a:ln>
                        </wps:spPr>
                        <wps:bodyPr/>
                      </wps:wsp>
                    </wpg:wgp>
                  </a:graphicData>
                </a:graphic>
              </wp:anchor>
            </w:drawing>
          </mc:Choice>
          <mc:Fallback>
            <w:pict>
              <v:group w14:anchorId="26E22E04" id="Group 1258" o:spid="_x0000_s1026" alt="&quot;&quot;" style="position:absolute;margin-left:107.45pt;margin-top:-15.4pt;width:23.3pt;height:33.35pt;z-index:251653120" coordorigin="14442" coordsize="2959,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">
                <v:shape id="Freeform 198" o:spid="_x0000_s1027" style="position:absolute;left:14442;top:514;width:2959;height:3719;visibility:visible;mso-wrap-style:square;v-text-anchor:top" coordsize="822,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" path="m665,1032r,c665,801,665,801,665,801v,,,-89,54,-156c740,618,760,583,774,550,801,448,821,244,604,129v,,-251,-129,-441,47c129,203,102,244,88,292v-7,34,-13,81,-7,135c81,434,81,441,81,448v7,13,7,54,-13,95c13,618,13,618,13,618v,,-13,33,21,40c34,658,47,658,54,658v7,7,14,15,7,21c54,686,47,692,68,699v,7,7,13,,13c68,726,61,740,81,740v7,6,7,6,7,13c88,780,75,855,149,855v61,-7,61,-7,61,-7c251,848,285,875,292,916v7,27,13,68,13,116e" fillcolor="white [3212]" strokecolor="#344154" strokeweight=".27mm">
                  <v:stroke joinstyle="miter"/>
                  <v:path arrowok="t"/>
                </v:shape>
                <v:shape id="Freeform 199" o:spid="_x0000_s1028" style="position:absolute;left:15784;top:1612;width:468;height:468;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" path="m,l,129r129,l129,,,e" filled="f" strokecolor="#344154">
                  <v:path arrowok="t"/>
                </v:shape>
                <v:shape id="Freeform 200" o:spid="_x0000_s1029" style="position:absolute;left:15784;top:1612;width:468;height:468;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" path="m,l,129r129,l129,,,e" filled="f" strokecolor="#344154" strokeweight=".27mm">
                  <v:stroke joinstyle="miter"/>
                  <v:path arrowok="t"/>
                </v:shape>
                <v:line id="Line 1192" o:spid="_x0000_s1030" style="position:absolute;visibility:visible;mso-wrap-style:square" from="16468,1612" to="16591,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" strokecolor="#344154" strokeweight=".27mm"/>
                <v:line id="Line 1193" o:spid="_x0000_s1031" style="position:absolute;visibility:visible;mso-wrap-style:square" from="16468,1832" to="16591,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" strokecolor="#344154" strokeweight=".27mm"/>
                <v:line id="Line 1194" o:spid="_x0000_s1032" style="position:absolute;visibility:visible;mso-wrap-style:square" from="16468,2077" to="16591,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" strokecolor="#344154" strokeweight=".27mm"/>
                <v:line id="Line 1195" o:spid="_x0000_s1033" style="position:absolute;visibility:visible;mso-wrap-style:square" from="15442,1612" to="15590,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" strokecolor="#344154" strokeweight=".27mm"/>
                <v:line id="Line 1196" o:spid="_x0000_s1034" style="position:absolute;visibility:visible;mso-wrap-style:square" from="15442,1832" to="15590,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" strokecolor="#344154" strokeweight=".27mm"/>
                <v:line id="Line 1197" o:spid="_x0000_s1035" style="position:absolute;visibility:visible;mso-wrap-style:square" from="15442,2077" to="15590,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" strokecolor="#344154" strokeweight=".27mm"/>
                <v:line id="Line 1198" o:spid="_x0000_s1036" style="position:absolute;flip:y;visibility:visible;mso-wrap-style:square" from="15784,1270" to="15784,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" strokecolor="#344154" strokeweight=".27mm"/>
                <v:line id="Line 1199" o:spid="_x0000_s1037" style="position:absolute;flip:y;visibility:visible;mso-wrap-style:square" from="16029,1270" to="16029,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" strokecolor="#344154" strokeweight=".27mm"/>
                <v:line id="Line 1200" o:spid="_x0000_s1038" style="position:absolute;flip:y;visibility:visible;mso-wrap-style:square" from="16249,1270" to="16249,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" strokecolor="#344154" strokeweight=".27mm"/>
                <v:line id="Line 1201" o:spid="_x0000_s1039" style="position:absolute;flip:y;visibility:visible;mso-wrap-style:square" from="15784,2296" to="15784,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" strokecolor="#344154" strokeweight=".27mm"/>
                <v:line id="Line 1202" o:spid="_x0000_s1040" style="position:absolute;flip:y;visibility:visible;mso-wrap-style:square" from="16029,2296" to="16029,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" strokecolor="#344154" strokeweight=".27mm"/>
                <v:line id="Line 1203" o:spid="_x0000_s1041" style="position:absolute;flip:y;visibility:visible;mso-wrap-style:square" from="16249,2296" to="16249,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" strokecolor="#344154" strokeweight=".27mm"/>
                <v:shape id="Freeform 213" o:spid="_x0000_s1042" style="position:absolute;left:15028;top:1882;width:1444;height:1127;visibility:visible;mso-wrap-style:square;v-text-anchor:top" coordsize="40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" path="m7,r,c,75,20,149,74,203v75,68,218,109,326,68e" filled="f" strokecolor="#344154" strokeweight=".27mm">
                  <v:path arrowok="t"/>
                </v:shape>
                <v:shape id="Freeform 214" o:spid="_x0000_s1043" style="position:absolute;left:14906;width:198;height:590;visibility:visible;mso-wrap-style:square;v-text-anchor:top" coordsize="5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" path="m,27l27,20r,143l54,163,54,,,7,,27e" filled="f" stroked="f">
                  <v:path arrowok="t"/>
                </v:shape>
                <v:shape id="Freeform 215" o:spid="_x0000_s1044" style="position:absolute;left:15320;width:346;height:590;visibility:visible;mso-wrap-style:square;v-text-anchor:top" coordsize="9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" path="m48,r,c34,,21,7,14,14,7,27,,41,,61v,41,,41,,41c,122,7,136,14,149v7,14,20,14,34,14c61,163,75,163,82,149v7,-13,13,-27,13,-47c95,61,95,61,95,61,95,41,89,27,82,14,75,7,61,,48,m28,109r,c28,55,28,55,28,55v,-7,,-21,6,-28c34,20,41,20,48,20v7,,13,,13,7c68,34,68,48,68,55v,54,,54,,54c68,122,68,129,61,136v,7,-6,7,-13,7c41,143,34,143,34,136v-6,-7,-6,-14,-6,-27e" filled="f" stroked="f">
                  <v:path arrowok="t"/>
                </v:shape>
                <v:shape id="Freeform 216" o:spid="_x0000_s1045" style="position:absolute;left:15810;width:198;height:590;visibility:visible;mso-wrap-style:square;v-text-anchor:top" coordsize="5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" path="m,27l27,20r,143l54,163,54,,,7,,27e" filled="f" stroked="f">
                  <v:path arrowok="t"/>
                </v:shape>
                <v:shape id="Freeform 218" o:spid="_x0000_s1046" style="position:absolute;left:16224;width:345;height:590;visibility:visible;mso-wrap-style:square;v-text-anchor:top" coordsize="9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" path="m48,r,c34,,21,7,14,14,7,27,,41,,61v,41,,41,,41c,122,7,136,14,149v7,14,20,14,34,14c62,163,75,163,82,149,95,136,95,122,95,102v,-41,,-41,,-41c95,41,95,27,82,14,75,7,62,,48,m28,109r,c28,55,28,55,28,55v,-7,,-21,6,-28c34,20,41,20,48,20v7,,14,,20,7c68,34,68,48,68,55v,54,,54,,54c68,122,68,129,68,136v-6,7,-13,7,-20,7c41,143,34,143,34,136v-6,-7,-6,-14,-6,-27e" filled="f" stroked="f">
                  <v:path arrowok="t"/>
                </v:shape>
                <v:shape id="Freeform 219" o:spid="_x0000_s1047" style="position:absolute;left:16713;width:202;height:590;visibility:visible;mso-wrap-style:square;v-text-anchor:top" coordsize="5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" path="m,7l,27,27,20r,143l55,163,55,,,7e" filled="f" stroked="f">
                  <v:path arrowok="t"/>
                </v:shape>
              </v:group>
            </w:pict>
          </mc:Fallback>
        </mc:AlternateContent>
      </w:r>
      <w:r w:rsidR="007076D1">
        <w:t>Adv</w:t>
      </w:r>
      <w:r w:rsidR="009A3898">
        <w:t>o</w:t>
      </w:r>
      <w:r w:rsidR="007076D1">
        <w:t>cat</w:t>
      </w:r>
      <w:r w:rsidR="009A3898">
        <w:t>e</w:t>
      </w:r>
      <w:bookmarkEnd w:id="23"/>
    </w:p>
    <w:p w14:paraId="63F8A5A0" w14:textId="4AAED2AB" w:rsidR="00684C8E" w:rsidRPr="00354D0B" w:rsidRDefault="00684C8E" w:rsidP="00F7684B">
      <w:pPr>
        <w:pStyle w:val="Box2Text"/>
        <w:spacing w:after="360"/>
      </w:pPr>
      <w:r>
        <w:t>A</w:t>
      </w:r>
      <w:r w:rsidRPr="00354D0B">
        <w:t xml:space="preserve">ustralia </w:t>
      </w:r>
      <w:r>
        <w:t>will continue to take</w:t>
      </w:r>
      <w:r w:rsidRPr="00354D0B">
        <w:t xml:space="preserve"> a leading role in multiple international fora to progress digital priorities and shape global digital rules, norms and standards in line with Australia’s interests and values.</w:t>
      </w:r>
    </w:p>
    <w:p w14:paraId="1B7653DD" w14:textId="77777777" w:rsidR="00684C8E" w:rsidRDefault="00684C8E" w:rsidP="00C6398E">
      <w:pPr>
        <w:pStyle w:val="Subtitle"/>
        <w:sectPr w:rsidR="00684C8E" w:rsidSect="00F7684B">
          <w:headerReference w:type="default" r:id="rId30"/>
          <w:footerReference w:type="default" r:id="rId31"/>
          <w:headerReference w:type="first" r:id="rId32"/>
          <w:footerReference w:type="first" r:id="rId33"/>
          <w:pgSz w:w="11906" w:h="16838" w:code="9"/>
          <w:pgMar w:top="1418" w:right="1134" w:bottom="1701" w:left="1134" w:header="567" w:footer="567" w:gutter="0"/>
          <w:cols w:space="708"/>
          <w:titlePg/>
          <w:docGrid w:linePitch="360"/>
        </w:sectPr>
      </w:pPr>
    </w:p>
    <w:p w14:paraId="583F2BE0" w14:textId="58287493" w:rsidR="009A3898" w:rsidRPr="00DD3596" w:rsidRDefault="009A3898" w:rsidP="00F7684B">
      <w:pPr>
        <w:pStyle w:val="Subtitle"/>
        <w:spacing w:after="60"/>
        <w:rPr>
          <w:b/>
          <w:bCs w:val="0"/>
        </w:rPr>
      </w:pPr>
      <w:r w:rsidRPr="00DD3596">
        <w:rPr>
          <w:b/>
          <w:bCs w:val="0"/>
        </w:rPr>
        <w:t>WTO</w:t>
      </w:r>
    </w:p>
    <w:p w14:paraId="2E6946A9" w14:textId="77777777" w:rsidR="00684C8E" w:rsidRDefault="00684C8E" w:rsidP="00684C8E">
      <w:r w:rsidRPr="002701D4">
        <w:t>Australia's economy relies on a strong and open global trading environment. The Australian Government is strongly committed to the WTO and its framework of rules, which helps promote and protect the open global trading system.</w:t>
      </w:r>
    </w:p>
    <w:p w14:paraId="17C88090" w14:textId="0E18A0F1" w:rsidR="00684C8E" w:rsidRPr="008D7015" w:rsidRDefault="00684C8E" w:rsidP="00684C8E">
      <w:r w:rsidRPr="008D7015">
        <w:t>On 25 January 2019, in the margins of the World Economic Forum in Davos, Australia joined 75 other WTO Members in launching negotiations on trade-related aspects of electronic commerce, representing 90 per cent of global trade. Australia is chairing the</w:t>
      </w:r>
      <w:r w:rsidR="00D07528">
        <w:t xml:space="preserve"> </w:t>
      </w:r>
      <w:r w:rsidR="00D07528" w:rsidRPr="008D7015">
        <w:t>Joint Statement Initiative on E-commerce</w:t>
      </w:r>
      <w:r w:rsidRPr="008D7015">
        <w:t xml:space="preserve"> process with co-convenors Japan and Singapore to develop the first set of global digital trade rules. There has been encouraging progress in the JSI since negotiations were launched in 2019 and the initiative now has 86 WTO signatories including the US, EU, and China. </w:t>
      </w:r>
    </w:p>
    <w:p w14:paraId="01F8CC83" w14:textId="19947CD0" w:rsidR="00684C8E" w:rsidRPr="008D7015" w:rsidRDefault="00684C8E" w:rsidP="00684C8E">
      <w:r w:rsidRPr="008D7015">
        <w:t>Australia also supports crucial WTO agreements on goods, services and intellectual property, including the Agreement on Trade Facilitation. Australia supports the adoption of agreements that encourage WTO members to take on further digital trade and trade facilitation commitments. These include the WTO Information Technology Agreement and the Telecommunications Reference Paper.</w:t>
      </w:r>
    </w:p>
    <w:p w14:paraId="40CA79E8" w14:textId="1BD140A4" w:rsidR="00684C8E" w:rsidRPr="008D7015" w:rsidRDefault="00684C8E" w:rsidP="00684C8E">
      <w:r w:rsidRPr="008D7015">
        <w:t xml:space="preserve">Another priority is making permanent a WTO moratorium on imposing customs duties on electronic transmissions. Any move to apply customs duties would increase the costs of goods and services purchased online and may act as a </w:t>
      </w:r>
      <w:r w:rsidR="00E375D6">
        <w:br w:type="column"/>
      </w:r>
      <w:r w:rsidRPr="008D7015">
        <w:t xml:space="preserve">disincentive for business and consumers to engage in e-commerce. </w:t>
      </w:r>
      <w:r>
        <w:t>T</w:t>
      </w:r>
      <w:r w:rsidRPr="008D7015">
        <w:t xml:space="preserve">he moratorium acts as a driver for </w:t>
      </w:r>
      <w:r>
        <w:t xml:space="preserve">digital trade </w:t>
      </w:r>
      <w:r w:rsidRPr="008D7015">
        <w:t>growth as it maintains liberalising trading outcomes and provides predictability for businesses and consumers. Rather than impose customs duties</w:t>
      </w:r>
      <w:r>
        <w:t>, the WTO considers that</w:t>
      </w:r>
      <w:r w:rsidRPr="008D7015">
        <w:t xml:space="preserve"> a combination of internal taxation and international tax reform, </w:t>
      </w:r>
      <w:r w:rsidR="00FE0D56">
        <w:t xml:space="preserve">coordinated </w:t>
      </w:r>
      <w:r w:rsidRPr="008D7015">
        <w:t xml:space="preserve">by the OECD, is the best path forward for governments seeking to protect national revenue bases in the context of the digital economy. </w:t>
      </w:r>
    </w:p>
    <w:p w14:paraId="4EFB11E6" w14:textId="089B93AA" w:rsidR="00684C8E" w:rsidRPr="00DD3596" w:rsidRDefault="002C1071" w:rsidP="00684C8E">
      <w:pPr>
        <w:pStyle w:val="Subtitle"/>
        <w:rPr>
          <w:b/>
          <w:bCs w:val="0"/>
        </w:rPr>
      </w:pPr>
      <w:r>
        <w:rPr>
          <w:b/>
          <w:bCs w:val="0"/>
        </w:rPr>
        <w:t>APEC</w:t>
      </w:r>
    </w:p>
    <w:p w14:paraId="10EA73D5" w14:textId="253A6A8F" w:rsidR="00684C8E" w:rsidRDefault="00684C8E" w:rsidP="00684C8E">
      <w:pPr>
        <w:rPr>
          <w:rFonts w:cs="Poppins-Regular"/>
          <w:szCs w:val="20"/>
        </w:rPr>
      </w:pPr>
      <w:r>
        <w:rPr>
          <w:rFonts w:cs="Poppins-Regular"/>
          <w:szCs w:val="20"/>
        </w:rPr>
        <w:t xml:space="preserve">APEC recognises that digital trade is critical to support an inclusive and sustainable recovery from COVID-19. As a founding member of APEC, one of Australia’s priorities is to advance </w:t>
      </w:r>
      <w:r w:rsidRPr="00F3774B">
        <w:rPr>
          <w:rFonts w:cs="Poppins-Regular"/>
          <w:szCs w:val="20"/>
        </w:rPr>
        <w:t>APEC's digital trade agenda</w:t>
      </w:r>
      <w:r>
        <w:rPr>
          <w:rFonts w:cs="Poppins-Regular"/>
          <w:szCs w:val="20"/>
        </w:rPr>
        <w:t>.</w:t>
      </w:r>
      <w:r w:rsidRPr="004669FD">
        <w:rPr>
          <w:rFonts w:cs="Poppins-Regular"/>
          <w:szCs w:val="20"/>
        </w:rPr>
        <w:t xml:space="preserve"> </w:t>
      </w:r>
    </w:p>
    <w:p w14:paraId="4C9B48BE" w14:textId="77777777" w:rsidR="00332D43" w:rsidRDefault="00684C8E" w:rsidP="00684C8E">
      <w:pPr>
        <w:rPr>
          <w:rFonts w:cs="Arial"/>
          <w:szCs w:val="20"/>
        </w:rPr>
      </w:pPr>
      <w:r>
        <w:rPr>
          <w:rFonts w:cs="Poppins-Regular"/>
          <w:szCs w:val="20"/>
        </w:rPr>
        <w:t xml:space="preserve">Since the pandemic, Australia has encouraged the accelerated implementation of the </w:t>
      </w:r>
      <w:r w:rsidRPr="004669FD">
        <w:rPr>
          <w:rFonts w:cs="Poppins-Regular"/>
          <w:szCs w:val="20"/>
        </w:rPr>
        <w:t>APEC Internet and Digital Economy Roadmap</w:t>
      </w:r>
      <w:r w:rsidR="00266568">
        <w:rPr>
          <w:rFonts w:cs="Poppins-Regular"/>
          <w:szCs w:val="20"/>
        </w:rPr>
        <w:t>, including through adoption of the Work Program for its implementation</w:t>
      </w:r>
      <w:r>
        <w:rPr>
          <w:rFonts w:cs="Poppins-Regular"/>
          <w:szCs w:val="20"/>
        </w:rPr>
        <w:t xml:space="preserve">. </w:t>
      </w:r>
      <w:r w:rsidRPr="004669FD">
        <w:rPr>
          <w:rFonts w:cs="Poppins-Regular"/>
          <w:szCs w:val="20"/>
        </w:rPr>
        <w:t>The Roadmap provides guidance on key areas and actions to facilitate technological and policy exchanges among member economies and to promote innovative, inclusive and sustainable growth, as well as to bridge the digital divide in the APEC region</w:t>
      </w:r>
      <w:r>
        <w:rPr>
          <w:rFonts w:cs="Poppins-Regular"/>
          <w:szCs w:val="20"/>
        </w:rPr>
        <w:t xml:space="preserve">. </w:t>
      </w:r>
      <w:r>
        <w:rPr>
          <w:rFonts w:cs="Arial"/>
          <w:szCs w:val="20"/>
        </w:rPr>
        <w:t xml:space="preserve">Action has been prioritised in the areas of greatest impact on inclusive economic growth, including digital trade facilitation and interoperability. APEC also </w:t>
      </w:r>
      <w:r w:rsidRPr="007A6F45">
        <w:rPr>
          <w:rFonts w:cs="Arial"/>
          <w:szCs w:val="20"/>
        </w:rPr>
        <w:t>support</w:t>
      </w:r>
      <w:r>
        <w:rPr>
          <w:rFonts w:cs="Arial"/>
          <w:szCs w:val="20"/>
        </w:rPr>
        <w:t>s</w:t>
      </w:r>
      <w:r w:rsidRPr="007A6F45">
        <w:rPr>
          <w:rFonts w:cs="Arial"/>
          <w:szCs w:val="20"/>
        </w:rPr>
        <w:t xml:space="preserve"> measures designed to foster digital transformation and contribute to bridging the digital divide, including digital literacy and skills</w:t>
      </w:r>
      <w:r w:rsidR="00E375D6">
        <w:rPr>
          <w:rFonts w:cs="Arial"/>
          <w:szCs w:val="20"/>
        </w:rPr>
        <w:t>.</w:t>
      </w:r>
    </w:p>
    <w:p w14:paraId="786650B0" w14:textId="7FADE62C" w:rsidR="00E375D6" w:rsidRDefault="00E375D6" w:rsidP="00E375D6">
      <w:pPr>
        <w:pStyle w:val="Bullet1"/>
        <w:numPr>
          <w:ilvl w:val="0"/>
          <w:numId w:val="0"/>
        </w:numPr>
      </w:pPr>
    </w:p>
    <w:p w14:paraId="08326667" w14:textId="77777777" w:rsidR="00E375D6" w:rsidRDefault="00E375D6" w:rsidP="00E375D6">
      <w:pPr>
        <w:pStyle w:val="Bullet1"/>
        <w:numPr>
          <w:ilvl w:val="0"/>
          <w:numId w:val="0"/>
        </w:numPr>
        <w:sectPr w:rsidR="00E375D6" w:rsidSect="00AA37B2">
          <w:type w:val="continuous"/>
          <w:pgSz w:w="11906" w:h="16838" w:code="9"/>
          <w:pgMar w:top="1985" w:right="1134" w:bottom="1701" w:left="1134" w:header="567" w:footer="567" w:gutter="0"/>
          <w:cols w:num="2" w:space="708"/>
          <w:titlePg/>
          <w:docGrid w:linePitch="360"/>
        </w:sectPr>
      </w:pPr>
    </w:p>
    <w:p w14:paraId="108F37A4" w14:textId="77777777" w:rsidR="00E375D6" w:rsidRDefault="00E375D6" w:rsidP="00E375D6">
      <w:pPr>
        <w:pStyle w:val="BodyText"/>
        <w:sectPr w:rsidR="00E375D6" w:rsidSect="00AA37B2">
          <w:type w:val="continuous"/>
          <w:pgSz w:w="11906" w:h="16838" w:code="9"/>
          <w:pgMar w:top="1985" w:right="1134" w:bottom="1701" w:left="1134" w:header="567" w:footer="567" w:gutter="0"/>
          <w:cols w:num="2" w:space="708"/>
          <w:titlePg/>
          <w:docGrid w:linePitch="360"/>
        </w:sectPr>
      </w:pPr>
    </w:p>
    <w:p w14:paraId="749A8629" w14:textId="4AC91689" w:rsidR="00E375D6" w:rsidRPr="00B557B1" w:rsidRDefault="00E375D6" w:rsidP="00E375D6">
      <w:pPr>
        <w:pStyle w:val="BodyText"/>
        <w:pBdr>
          <w:top w:val="single" w:sz="18" w:space="1" w:color="3DA18F" w:themeColor="accent1" w:themeShade="BF"/>
          <w:left w:val="single" w:sz="18" w:space="4" w:color="3DA18F" w:themeColor="accent1" w:themeShade="BF"/>
          <w:bottom w:val="single" w:sz="18" w:space="1" w:color="3DA18F" w:themeColor="accent1" w:themeShade="BF"/>
          <w:right w:val="single" w:sz="18" w:space="4" w:color="3DA18F" w:themeColor="accent1" w:themeShade="BF"/>
        </w:pBdr>
        <w:spacing w:before="0" w:after="0"/>
        <w:jc w:val="center"/>
        <w:rPr>
          <w:b/>
          <w:sz w:val="32"/>
          <w:szCs w:val="32"/>
          <w:lang w:val="en-AU"/>
        </w:rPr>
        <w:sectPr w:rsidR="00E375D6" w:rsidRPr="00B557B1" w:rsidSect="00E375D6">
          <w:type w:val="continuous"/>
          <w:pgSz w:w="11906" w:h="16838" w:code="9"/>
          <w:pgMar w:top="1985" w:right="1134" w:bottom="1701" w:left="1134" w:header="567" w:footer="567" w:gutter="0"/>
          <w:cols w:space="708"/>
          <w:titlePg/>
          <w:docGrid w:linePitch="360"/>
        </w:sectPr>
      </w:pPr>
      <w:r w:rsidRPr="00B557B1">
        <w:rPr>
          <w:b/>
          <w:sz w:val="32"/>
          <w:szCs w:val="32"/>
          <w:lang w:val="en-AU"/>
        </w:rPr>
        <w:t>The Joint Statement Initiative on E-commer</w:t>
      </w:r>
      <w:r w:rsidR="00A72F73" w:rsidRPr="00B557B1">
        <w:rPr>
          <w:b/>
          <w:sz w:val="32"/>
          <w:szCs w:val="32"/>
          <w:lang w:val="en-AU"/>
        </w:rPr>
        <w:t>ce recognises that digital trade is critical to global economic recovery and is an opportunity for the WTO to respond to this urgent need.</w:t>
      </w:r>
      <w:r w:rsidRPr="00B557B1">
        <w:rPr>
          <w:b/>
          <w:sz w:val="32"/>
          <w:szCs w:val="32"/>
          <w:lang w:val="en-AU"/>
        </w:rPr>
        <w:t xml:space="preserve"> </w:t>
      </w:r>
    </w:p>
    <w:p w14:paraId="10F3D9B3" w14:textId="7F91E2F0" w:rsidR="00E375D6" w:rsidRDefault="00E375D6" w:rsidP="00684C8E">
      <w:pPr>
        <w:rPr>
          <w:rFonts w:cs="Arial"/>
          <w:szCs w:val="20"/>
        </w:rPr>
        <w:sectPr w:rsidR="00E375D6" w:rsidSect="00684C8E">
          <w:type w:val="continuous"/>
          <w:pgSz w:w="11906" w:h="16838" w:code="9"/>
          <w:pgMar w:top="1985" w:right="1134" w:bottom="1701" w:left="1134" w:header="567" w:footer="567" w:gutter="0"/>
          <w:cols w:num="2" w:space="708"/>
          <w:titlePg/>
          <w:docGrid w:linePitch="360"/>
        </w:sectPr>
      </w:pPr>
    </w:p>
    <w:p w14:paraId="7CB48493" w14:textId="77777777" w:rsidR="00960AD4" w:rsidRDefault="00684C8E" w:rsidP="00684C8E">
      <w:r w:rsidRPr="008D7015">
        <w:lastRenderedPageBreak/>
        <w:t xml:space="preserve">In APEC, Australia is focused on practical projects to support digital trade capacity building activities. </w:t>
      </w:r>
    </w:p>
    <w:p w14:paraId="04FE7B8A" w14:textId="77777777" w:rsidR="00185BF5" w:rsidRDefault="00185BF5" w:rsidP="00185BF5">
      <w:r>
        <w:t xml:space="preserve">APEC has guided </w:t>
      </w:r>
      <w:r w:rsidRPr="0017200B">
        <w:t xml:space="preserve">numerous capacity building projects that promote the development and use of </w:t>
      </w:r>
      <w:r>
        <w:t xml:space="preserve">digital trade. </w:t>
      </w:r>
    </w:p>
    <w:p w14:paraId="31D61F4C" w14:textId="79B4992A" w:rsidR="00185BF5" w:rsidRDefault="00185BF5" w:rsidP="00185BF5">
      <w:r>
        <w:t>This includes t</w:t>
      </w:r>
      <w:r w:rsidRPr="008D7015">
        <w:t>he APEC Cross</w:t>
      </w:r>
      <w:r w:rsidRPr="008D7015">
        <w:noBreakHyphen/>
        <w:t>Border Privacy Rules (CBPR) system</w:t>
      </w:r>
      <w:r>
        <w:t>, which</w:t>
      </w:r>
      <w:r w:rsidRPr="008D7015">
        <w:t xml:space="preserve"> builds on the </w:t>
      </w:r>
      <w:hyperlink r:id="rId34" w:history="1">
        <w:r w:rsidRPr="008D7015">
          <w:t>APEC Privacy Framework</w:t>
        </w:r>
      </w:hyperlink>
      <w:r w:rsidRPr="008D7015">
        <w:t xml:space="preserve"> and its information privacy principles aimed at driving economic growth and strengthening cooperation among APEC economies in the protection of citizens’ privacy rights. </w:t>
      </w:r>
      <w:r>
        <w:t xml:space="preserve">The CBPR system provides a mechanism for governments and businesses to safeguard the free flow of data while protecting the privacy rights of individuals. It requires participating businesses to demonstrate compliance with a set of privacy standards, establishing a level of certainty and assurance for individuals when providing their data. It is a key vehicle in promoting international digital standards and the cross-border flow of data, and Australia is working towards its implementation. The other participating economies are the US, Mexico, Canada, Japan, Republic of Korea, Singapore, Chinese Taipei and the Philippines. The US, Japan and Singapore have fully implemented the system domestically. </w:t>
      </w:r>
    </w:p>
    <w:p w14:paraId="414F6B68" w14:textId="573BAF97" w:rsidR="00185BF5" w:rsidRDefault="00185BF5" w:rsidP="00684C8E"/>
    <w:p w14:paraId="14C169C9" w14:textId="27CC175D" w:rsidR="00185BF5" w:rsidRPr="00DD3596" w:rsidRDefault="002070D4" w:rsidP="00185BF5">
      <w:pPr>
        <w:pStyle w:val="Subtitle"/>
        <w:rPr>
          <w:b/>
          <w:bCs w:val="0"/>
        </w:rPr>
      </w:pPr>
      <w:r>
        <w:rPr>
          <w:noProof/>
        </w:rPr>
        <w:drawing>
          <wp:anchor distT="0" distB="0" distL="114300" distR="114300" simplePos="0" relativeHeight="251676672" behindDoc="0" locked="0" layoutInCell="1" allowOverlap="1" wp14:anchorId="4F8713FD" wp14:editId="0FA4BE3E">
            <wp:simplePos x="0" y="0"/>
            <wp:positionH relativeFrom="margin">
              <wp:posOffset>5080</wp:posOffset>
            </wp:positionH>
            <wp:positionV relativeFrom="paragraph">
              <wp:posOffset>269240</wp:posOffset>
            </wp:positionV>
            <wp:extent cx="6114896" cy="3019425"/>
            <wp:effectExtent l="0" t="0" r="63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35">
                      <a:extLst>
                        <a:ext uri="{28A0092B-C50C-407E-A947-70E740481C1C}">
                          <a14:useLocalDpi xmlns:a14="http://schemas.microsoft.com/office/drawing/2010/main" val="0"/>
                        </a:ext>
                      </a:extLst>
                    </a:blip>
                    <a:srcRect b="25871"/>
                    <a:stretch/>
                  </pic:blipFill>
                  <pic:spPr bwMode="auto">
                    <a:xfrm>
                      <a:off x="0" y="0"/>
                      <a:ext cx="6114896" cy="3019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0AD4">
        <w:br w:type="column"/>
      </w:r>
      <w:r w:rsidR="00185BF5" w:rsidRPr="00DD3596">
        <w:rPr>
          <w:b/>
          <w:bCs w:val="0"/>
        </w:rPr>
        <w:t>OECD</w:t>
      </w:r>
    </w:p>
    <w:p w14:paraId="5B0409ED" w14:textId="77777777" w:rsidR="00185BF5" w:rsidRDefault="00185BF5" w:rsidP="00185BF5">
      <w:pPr>
        <w:rPr>
          <w:lang w:val="en-AU"/>
        </w:rPr>
      </w:pPr>
      <w:r w:rsidRPr="00203677">
        <w:rPr>
          <w:lang w:val="en-AU"/>
        </w:rPr>
        <w:t>An active member since 1971, Australia works with the OECD and OECD members to find solutions to common problems through independent analysis and information sharing</w:t>
      </w:r>
      <w:r>
        <w:rPr>
          <w:lang w:val="en-AU"/>
        </w:rPr>
        <w:t xml:space="preserve">. </w:t>
      </w:r>
      <w:r w:rsidRPr="00203677">
        <w:rPr>
          <w:lang w:val="en-AU"/>
        </w:rPr>
        <w:t>Australia values the OECD's evidence-based economic and social policy analysis across issues including health, education, employment, trade, investment, agriculture, food security, energy, the environment, climate change and development cooperation.</w:t>
      </w:r>
      <w:r w:rsidRPr="00203677">
        <w:t xml:space="preserve"> </w:t>
      </w:r>
      <w:r w:rsidRPr="00203677">
        <w:rPr>
          <w:lang w:val="en-AU"/>
        </w:rPr>
        <w:t>Australia maintains a permanent delegation to the OECD, based in Paris.</w:t>
      </w:r>
    </w:p>
    <w:p w14:paraId="44FDB4FF" w14:textId="77777777" w:rsidR="00185BF5" w:rsidRDefault="00185BF5" w:rsidP="00185BF5">
      <w:pPr>
        <w:rPr>
          <w:lang w:val="en-AU"/>
        </w:rPr>
      </w:pPr>
      <w:r w:rsidRPr="00203677">
        <w:rPr>
          <w:lang w:val="en-AU"/>
        </w:rPr>
        <w:t>The 2020 OECD Ministerial Council Statement recognises the transformative potential of the digital economy by ensuring data free flow with trust, a dynamic further underscored by the role of data to the recovery from the COVID-19 crisis.</w:t>
      </w:r>
      <w:r>
        <w:rPr>
          <w:lang w:val="en-AU"/>
        </w:rPr>
        <w:t xml:space="preserve"> </w:t>
      </w:r>
    </w:p>
    <w:p w14:paraId="541563B1" w14:textId="77C1259A" w:rsidR="00185BF5" w:rsidRPr="00203677" w:rsidRDefault="00185BF5" w:rsidP="00185BF5">
      <w:pPr>
        <w:rPr>
          <w:lang w:val="en-AU"/>
        </w:rPr>
      </w:pPr>
      <w:r w:rsidRPr="00203677">
        <w:rPr>
          <w:lang w:val="en-AU"/>
        </w:rPr>
        <w:t xml:space="preserve">Australia participates in the Working Party of the Trade Committee meeting, which supports the WTO e-commerce negotiations and digital trade more broadly. Australia </w:t>
      </w:r>
      <w:r>
        <w:rPr>
          <w:lang w:val="en-AU"/>
        </w:rPr>
        <w:t xml:space="preserve">also </w:t>
      </w:r>
      <w:r w:rsidRPr="00203677">
        <w:rPr>
          <w:lang w:val="en-AU"/>
        </w:rPr>
        <w:t xml:space="preserve">endorsed the </w:t>
      </w:r>
      <w:r w:rsidR="00BB15D6" w:rsidRPr="00E54686">
        <w:rPr>
          <w:lang w:val="en-AU"/>
        </w:rPr>
        <w:t>OECD’s Committee on Digital Economy Policy’s project on Trusted Government Access to Personal Data held by the Private Sector, and is participating in a Drafting Group considering developing principles on this matter.</w:t>
      </w:r>
      <w:r w:rsidRPr="00203677">
        <w:rPr>
          <w:lang w:val="en-AU"/>
        </w:rPr>
        <w:t xml:space="preserve">  </w:t>
      </w:r>
    </w:p>
    <w:p w14:paraId="75B76EFB" w14:textId="539E5AF6" w:rsidR="00684C8E" w:rsidRDefault="00684C8E" w:rsidP="00185BF5"/>
    <w:p w14:paraId="138C8E08" w14:textId="0AAEDB46" w:rsidR="00960AD4" w:rsidRDefault="00960AD4" w:rsidP="00684C8E">
      <w:pPr>
        <w:pStyle w:val="Subtitle"/>
      </w:pPr>
      <w:r>
        <w:br w:type="page"/>
      </w:r>
    </w:p>
    <w:p w14:paraId="22760916" w14:textId="0E618BED" w:rsidR="00185BF5" w:rsidRPr="00DD3596" w:rsidRDefault="00185BF5" w:rsidP="00185BF5">
      <w:pPr>
        <w:pStyle w:val="Subtitle"/>
        <w:rPr>
          <w:b/>
          <w:bCs w:val="0"/>
        </w:rPr>
      </w:pPr>
      <w:r w:rsidRPr="00DD3596">
        <w:rPr>
          <w:b/>
          <w:bCs w:val="0"/>
        </w:rPr>
        <w:lastRenderedPageBreak/>
        <w:t>G20</w:t>
      </w:r>
    </w:p>
    <w:p w14:paraId="25474BAA" w14:textId="68586F5D" w:rsidR="00185BF5" w:rsidRDefault="00185BF5" w:rsidP="00185BF5">
      <w:pPr>
        <w:rPr>
          <w:lang w:val="en-AU"/>
        </w:rPr>
      </w:pPr>
      <w:r w:rsidRPr="0097109C">
        <w:rPr>
          <w:lang w:val="en-AU"/>
        </w:rPr>
        <w:t xml:space="preserve">Australia works collaboratively with G20 </w:t>
      </w:r>
      <w:r>
        <w:rPr>
          <w:lang w:val="en-AU"/>
        </w:rPr>
        <w:t>members</w:t>
      </w:r>
      <w:r w:rsidRPr="0097109C">
        <w:rPr>
          <w:lang w:val="en-AU"/>
        </w:rPr>
        <w:t xml:space="preserve"> to support an open, global economy and the rules-based multilateral trading system. In response to COVID-19, Australia and other G20 </w:t>
      </w:r>
      <w:r>
        <w:rPr>
          <w:lang w:val="en-AU"/>
        </w:rPr>
        <w:t>members</w:t>
      </w:r>
      <w:r w:rsidRPr="0097109C">
        <w:rPr>
          <w:lang w:val="en-AU"/>
        </w:rPr>
        <w:t xml:space="preserve"> are also focused on the need to support global economic and health responses to the pandemic.</w:t>
      </w:r>
    </w:p>
    <w:p w14:paraId="3B2E74DA" w14:textId="1E6DD41F" w:rsidR="00185BF5" w:rsidRDefault="00185BF5" w:rsidP="00185BF5">
      <w:pPr>
        <w:rPr>
          <w:lang w:val="en-AU"/>
        </w:rPr>
      </w:pPr>
      <w:r w:rsidRPr="0097109C">
        <w:rPr>
          <w:lang w:val="en-AU"/>
        </w:rPr>
        <w:t xml:space="preserve">Australia </w:t>
      </w:r>
      <w:r w:rsidR="00441E50">
        <w:rPr>
          <w:lang w:val="en-AU"/>
        </w:rPr>
        <w:t xml:space="preserve">continues to </w:t>
      </w:r>
      <w:r w:rsidRPr="0097109C">
        <w:rPr>
          <w:lang w:val="en-AU"/>
        </w:rPr>
        <w:t xml:space="preserve">support trade and investment in response to COVID-19. </w:t>
      </w:r>
      <w:r>
        <w:rPr>
          <w:lang w:val="en-AU"/>
        </w:rPr>
        <w:t xml:space="preserve">G20 trade and investment ministers endorsed the G20 Actions to Support World Trade and Investment in Response to COVID-19 at their May 2020 meeting. </w:t>
      </w:r>
      <w:r w:rsidRPr="0097109C">
        <w:rPr>
          <w:lang w:val="en-AU"/>
        </w:rPr>
        <w:t xml:space="preserve">Australia published its actions </w:t>
      </w:r>
      <w:r>
        <w:rPr>
          <w:lang w:val="en-AU"/>
        </w:rPr>
        <w:t xml:space="preserve">in </w:t>
      </w:r>
      <w:r w:rsidRPr="0097109C">
        <w:rPr>
          <w:lang w:val="en-AU"/>
        </w:rPr>
        <w:t xml:space="preserve">support </w:t>
      </w:r>
      <w:r>
        <w:rPr>
          <w:lang w:val="en-AU"/>
        </w:rPr>
        <w:t xml:space="preserve">of this </w:t>
      </w:r>
      <w:r w:rsidRPr="0097109C">
        <w:rPr>
          <w:lang w:val="en-AU"/>
        </w:rPr>
        <w:t xml:space="preserve">response to COVID-19, as part of a commitment by G20 members to increase transparency and accountability. </w:t>
      </w:r>
      <w:r>
        <w:rPr>
          <w:lang w:val="en-AU"/>
        </w:rPr>
        <w:t xml:space="preserve">This includes action to support </w:t>
      </w:r>
      <w:r w:rsidRPr="0097109C">
        <w:rPr>
          <w:lang w:val="en-AU"/>
        </w:rPr>
        <w:t>the application of online services and e-commerce</w:t>
      </w:r>
      <w:r>
        <w:rPr>
          <w:lang w:val="en-AU"/>
        </w:rPr>
        <w:t xml:space="preserve"> </w:t>
      </w:r>
      <w:r w:rsidRPr="0097109C">
        <w:rPr>
          <w:lang w:val="en-AU"/>
        </w:rPr>
        <w:t>to facilitate the flow of essential goods and services during the pandemic</w:t>
      </w:r>
      <w:r>
        <w:rPr>
          <w:lang w:val="en-AU"/>
        </w:rPr>
        <w:t xml:space="preserve"> a</w:t>
      </w:r>
      <w:r w:rsidRPr="0097109C">
        <w:rPr>
          <w:lang w:val="en-AU"/>
        </w:rPr>
        <w:t>nd supporting the development and sharing of best practices to expand digital trade</w:t>
      </w:r>
      <w:r>
        <w:rPr>
          <w:lang w:val="en-AU"/>
        </w:rPr>
        <w:t>.</w:t>
      </w:r>
    </w:p>
    <w:p w14:paraId="00459C9A" w14:textId="617F6D86" w:rsidR="00185BF5" w:rsidRDefault="00555143" w:rsidP="00185BF5">
      <w:pPr>
        <w:rPr>
          <w:lang w:val="en-AU"/>
        </w:rPr>
      </w:pPr>
      <w:r>
        <w:rPr>
          <w:lang w:val="en-AU"/>
        </w:rPr>
        <w:t>I</w:t>
      </w:r>
      <w:r w:rsidR="00185BF5" w:rsidRPr="008F0B5F">
        <w:rPr>
          <w:lang w:val="en-AU"/>
        </w:rPr>
        <w:t xml:space="preserve">n 2019, G20 </w:t>
      </w:r>
      <w:r w:rsidR="00185BF5">
        <w:rPr>
          <w:lang w:val="en-AU"/>
        </w:rPr>
        <w:t>members</w:t>
      </w:r>
      <w:r w:rsidR="00185BF5" w:rsidRPr="008F0B5F">
        <w:rPr>
          <w:lang w:val="en-AU"/>
        </w:rPr>
        <w:t xml:space="preserve"> acknowledged </w:t>
      </w:r>
      <w:r w:rsidR="00DD3596">
        <w:rPr>
          <w:lang w:val="en-AU"/>
        </w:rPr>
        <w:t xml:space="preserve">that </w:t>
      </w:r>
      <w:r w:rsidR="00185BF5" w:rsidRPr="008F0B5F">
        <w:rPr>
          <w:lang w:val="en-AU"/>
        </w:rPr>
        <w:t>data free flow</w:t>
      </w:r>
      <w:r w:rsidR="00185BF5">
        <w:rPr>
          <w:lang w:val="en-AU"/>
        </w:rPr>
        <w:t xml:space="preserve"> with trust</w:t>
      </w:r>
      <w:r w:rsidR="00185BF5" w:rsidRPr="008F0B5F">
        <w:rPr>
          <w:lang w:val="en-AU"/>
        </w:rPr>
        <w:t xml:space="preserve"> </w:t>
      </w:r>
      <w:r w:rsidR="00DD3596">
        <w:rPr>
          <w:lang w:val="en-AU"/>
        </w:rPr>
        <w:t xml:space="preserve">contributes to productivity, innovation and sustainable development, but also </w:t>
      </w:r>
      <w:r w:rsidR="00185BF5" w:rsidRPr="008F0B5F">
        <w:rPr>
          <w:lang w:val="en-AU"/>
        </w:rPr>
        <w:t xml:space="preserve">recognised that the flow of data across borders raises challenges </w:t>
      </w:r>
      <w:r w:rsidR="00296F2F">
        <w:rPr>
          <w:lang w:val="en-AU"/>
        </w:rPr>
        <w:t xml:space="preserve">in areas such as </w:t>
      </w:r>
      <w:r w:rsidR="00185BF5" w:rsidRPr="008F0B5F">
        <w:rPr>
          <w:lang w:val="en-AU"/>
        </w:rPr>
        <w:t>privacy, data protection</w:t>
      </w:r>
      <w:r w:rsidR="00296F2F">
        <w:rPr>
          <w:lang w:val="en-AU"/>
        </w:rPr>
        <w:t xml:space="preserve"> and</w:t>
      </w:r>
      <w:r w:rsidR="00185BF5" w:rsidRPr="008F0B5F">
        <w:rPr>
          <w:lang w:val="en-AU"/>
        </w:rPr>
        <w:t xml:space="preserve"> intellectual property rights.</w:t>
      </w:r>
      <w:r w:rsidR="00185BF5">
        <w:rPr>
          <w:lang w:val="en-AU"/>
        </w:rPr>
        <w:t xml:space="preserve"> Australia continues to </w:t>
      </w:r>
      <w:r w:rsidR="00185BF5" w:rsidRPr="008F0B5F">
        <w:rPr>
          <w:lang w:val="en-AU"/>
        </w:rPr>
        <w:t>support</w:t>
      </w:r>
      <w:r w:rsidR="00185BF5">
        <w:rPr>
          <w:lang w:val="en-AU"/>
        </w:rPr>
        <w:t xml:space="preserve"> </w:t>
      </w:r>
      <w:r w:rsidR="00185BF5" w:rsidRPr="008F0B5F">
        <w:rPr>
          <w:lang w:val="en-AU"/>
        </w:rPr>
        <w:t xml:space="preserve">discussions in the G20 Digital Economy </w:t>
      </w:r>
      <w:r w:rsidR="00185BF5">
        <w:rPr>
          <w:lang w:val="en-AU"/>
        </w:rPr>
        <w:t>Working Group</w:t>
      </w:r>
      <w:r w:rsidR="00185BF5" w:rsidRPr="008F0B5F">
        <w:rPr>
          <w:lang w:val="en-AU"/>
        </w:rPr>
        <w:t xml:space="preserve"> on the need to address these challenges, in accordance with </w:t>
      </w:r>
      <w:r w:rsidR="0040641E">
        <w:rPr>
          <w:lang w:val="en-AU"/>
        </w:rPr>
        <w:br/>
      </w:r>
      <w:r w:rsidR="0040641E">
        <w:rPr>
          <w:lang w:val="en-AU"/>
        </w:rPr>
        <w:br/>
      </w:r>
      <w:r w:rsidR="00185BF5" w:rsidRPr="008F0B5F">
        <w:rPr>
          <w:lang w:val="en-AU"/>
        </w:rPr>
        <w:t>relevant applicable legal frameworks, to further facilitate data flows and strengthen consumer and business trust</w:t>
      </w:r>
      <w:r w:rsidR="00185BF5">
        <w:rPr>
          <w:lang w:val="en-AU"/>
        </w:rPr>
        <w:t xml:space="preserve">. Australia advocates for </w:t>
      </w:r>
      <w:r w:rsidR="00185BF5" w:rsidRPr="008F0B5F">
        <w:rPr>
          <w:lang w:val="en-AU"/>
        </w:rPr>
        <w:t xml:space="preserve">the G20 </w:t>
      </w:r>
      <w:r w:rsidR="00185BF5">
        <w:rPr>
          <w:lang w:val="en-AU"/>
        </w:rPr>
        <w:t xml:space="preserve">to </w:t>
      </w:r>
      <w:r w:rsidR="00185BF5" w:rsidRPr="008F0B5F">
        <w:rPr>
          <w:lang w:val="en-AU"/>
        </w:rPr>
        <w:t>identify ways to lower costs and support the development of international standards to build an open digital trade framework that allows for the flow of data across borders</w:t>
      </w:r>
      <w:r w:rsidR="00185BF5">
        <w:rPr>
          <w:lang w:val="en-AU"/>
        </w:rPr>
        <w:t xml:space="preserve">. </w:t>
      </w:r>
    </w:p>
    <w:p w14:paraId="4E8899AC" w14:textId="77777777" w:rsidR="008D1B67" w:rsidRPr="00DD3596" w:rsidRDefault="008D1B67" w:rsidP="007C3373">
      <w:pPr>
        <w:pStyle w:val="Subtitle"/>
        <w:spacing w:before="160"/>
        <w:rPr>
          <w:b/>
          <w:bCs w:val="0"/>
        </w:rPr>
      </w:pPr>
      <w:r w:rsidRPr="00DD3596">
        <w:rPr>
          <w:b/>
          <w:bCs w:val="0"/>
        </w:rPr>
        <w:t>International standardising bodies</w:t>
      </w:r>
    </w:p>
    <w:p w14:paraId="697C40B6" w14:textId="395BAB35" w:rsidR="008D1B67" w:rsidRPr="00AD29F3" w:rsidRDefault="008D1B67" w:rsidP="008D1B67">
      <w:r w:rsidRPr="005747E1">
        <w:t xml:space="preserve">Australia is committed to international standards development and adoption through existing multilateral and multistakeholder </w:t>
      </w:r>
      <w:r>
        <w:t>standards developing organisations (SDOs)</w:t>
      </w:r>
      <w:r w:rsidRPr="005747E1">
        <w:t>.</w:t>
      </w:r>
      <w:r>
        <w:t xml:space="preserve"> E</w:t>
      </w:r>
      <w:r w:rsidRPr="005747E1">
        <w:t>ngagement is focused on strengthening international SDOs to ensure they are fit for purpose to address current challenges, accountable to member states, free from undue influence and appropriately focused. These efforts assist in preventing divergent standards that splinter digital trade markets and reduce the benefits of harmonisation and innovation.</w:t>
      </w:r>
      <w:r>
        <w:t xml:space="preserve"> </w:t>
      </w:r>
    </w:p>
    <w:p w14:paraId="2A6FABC7" w14:textId="77777777" w:rsidR="002A30A4" w:rsidRDefault="008D1B67" w:rsidP="002A30A4">
      <w:pPr>
        <w:pStyle w:val="Bullet1"/>
        <w:numPr>
          <w:ilvl w:val="0"/>
          <w:numId w:val="0"/>
        </w:numPr>
      </w:pPr>
      <w:r>
        <w:rPr>
          <w:lang w:val="en-AU"/>
        </w:rPr>
        <w:t xml:space="preserve">The most visible international standards-setting bodies involved in developing standards and frameworks for digital trade and e-business are the International Organization for Standardization, the International Electrotechnical Commission and the United Nations </w:t>
      </w:r>
      <w:r w:rsidR="00F267C0">
        <w:rPr>
          <w:lang w:val="en-AU"/>
        </w:rPr>
        <w:t>Centre for Trade Facilitation and Electronic Business</w:t>
      </w:r>
      <w:r>
        <w:rPr>
          <w:lang w:val="en-AU"/>
        </w:rPr>
        <w:t xml:space="preserve">. </w:t>
      </w:r>
      <w:r>
        <w:t xml:space="preserve">Australian participation in </w:t>
      </w:r>
      <w:r w:rsidR="00F267C0">
        <w:t xml:space="preserve">these bodies </w:t>
      </w:r>
      <w:r>
        <w:t xml:space="preserve">allows industry experts to shape trajectories and advance the values and interests of Australian consumers and industry. </w:t>
      </w:r>
    </w:p>
    <w:p w14:paraId="4802691E" w14:textId="31732C1A" w:rsidR="00194411" w:rsidRDefault="00194411" w:rsidP="002A30A4">
      <w:pPr>
        <w:pStyle w:val="Bullet1"/>
        <w:numPr>
          <w:ilvl w:val="0"/>
          <w:numId w:val="0"/>
        </w:numPr>
        <w:sectPr w:rsidR="00194411" w:rsidSect="002A30A4">
          <w:pgSz w:w="11906" w:h="16838" w:code="9"/>
          <w:pgMar w:top="1985" w:right="1134" w:bottom="1701" w:left="1134" w:header="567" w:footer="567" w:gutter="0"/>
          <w:cols w:num="2" w:space="708"/>
          <w:titlePg/>
          <w:docGrid w:linePitch="360"/>
        </w:sectPr>
      </w:pPr>
    </w:p>
    <w:p w14:paraId="69F9BEDC" w14:textId="77777777" w:rsidR="001F7A6A" w:rsidRPr="001F7A6A" w:rsidRDefault="001F7A6A" w:rsidP="00194411">
      <w:pPr>
        <w:pStyle w:val="BodyText"/>
        <w:pBdr>
          <w:top w:val="single" w:sz="18" w:space="1" w:color="3DA18F" w:themeColor="accent1" w:themeShade="BF"/>
          <w:left w:val="single" w:sz="18" w:space="4" w:color="3DA18F" w:themeColor="accent1" w:themeShade="BF"/>
          <w:bottom w:val="single" w:sz="18" w:space="1" w:color="3DA18F" w:themeColor="accent1" w:themeShade="BF"/>
          <w:right w:val="single" w:sz="18" w:space="4" w:color="3DA18F" w:themeColor="accent1" w:themeShade="BF"/>
        </w:pBdr>
        <w:spacing w:before="0" w:after="0"/>
        <w:jc w:val="center"/>
        <w:rPr>
          <w:b/>
          <w:bCs/>
          <w:sz w:val="12"/>
          <w:szCs w:val="12"/>
        </w:rPr>
      </w:pPr>
    </w:p>
    <w:p w14:paraId="6E1BC5BE" w14:textId="5C209B7C" w:rsidR="001A65D1" w:rsidRPr="001F7A6A" w:rsidRDefault="001A65D1" w:rsidP="00194411">
      <w:pPr>
        <w:pStyle w:val="BodyText"/>
        <w:pBdr>
          <w:top w:val="single" w:sz="18" w:space="1" w:color="3DA18F" w:themeColor="accent1" w:themeShade="BF"/>
          <w:left w:val="single" w:sz="18" w:space="4" w:color="3DA18F" w:themeColor="accent1" w:themeShade="BF"/>
          <w:bottom w:val="single" w:sz="18" w:space="1" w:color="3DA18F" w:themeColor="accent1" w:themeShade="BF"/>
          <w:right w:val="single" w:sz="18" w:space="4" w:color="3DA18F" w:themeColor="accent1" w:themeShade="BF"/>
        </w:pBdr>
        <w:spacing w:before="0" w:after="0"/>
        <w:jc w:val="center"/>
        <w:rPr>
          <w:b/>
          <w:bCs/>
          <w:sz w:val="28"/>
          <w:szCs w:val="28"/>
        </w:rPr>
      </w:pPr>
      <w:r w:rsidRPr="001F7A6A">
        <w:rPr>
          <w:b/>
          <w:bCs/>
          <w:sz w:val="28"/>
          <w:szCs w:val="28"/>
        </w:rPr>
        <w:t>Cooperation with ASEAN on Digital Trade Standards</w:t>
      </w:r>
    </w:p>
    <w:p w14:paraId="34675AFB" w14:textId="78CAB142" w:rsidR="002A30A4" w:rsidRDefault="00053C44" w:rsidP="001F7A6A">
      <w:pPr>
        <w:pStyle w:val="BodyText"/>
        <w:pBdr>
          <w:top w:val="single" w:sz="18" w:space="1" w:color="3DA18F" w:themeColor="accent1" w:themeShade="BF"/>
          <w:left w:val="single" w:sz="18" w:space="4" w:color="3DA18F" w:themeColor="accent1" w:themeShade="BF"/>
          <w:bottom w:val="single" w:sz="18" w:space="1" w:color="3DA18F" w:themeColor="accent1" w:themeShade="BF"/>
          <w:right w:val="single" w:sz="18" w:space="4" w:color="3DA18F" w:themeColor="accent1" w:themeShade="BF"/>
        </w:pBdr>
        <w:spacing w:before="0" w:after="120"/>
        <w:rPr>
          <w:color w:val="auto"/>
          <w:sz w:val="20"/>
        </w:rPr>
      </w:pPr>
      <w:r w:rsidRPr="00047F6A">
        <w:rPr>
          <w:color w:val="auto"/>
          <w:sz w:val="20"/>
        </w:rPr>
        <w:t xml:space="preserve">The ASEAN-Australia Digital Trade Standards Initiative provides a framework for Australia and ASEAN countries to cooperate in developing, adopting and using international standards that promote digital trade and support inclusive economic growth in the region. It also seeks to raise awareness of international standards and address </w:t>
      </w:r>
      <w:r>
        <w:rPr>
          <w:color w:val="auto"/>
          <w:sz w:val="20"/>
        </w:rPr>
        <w:t xml:space="preserve">the </w:t>
      </w:r>
      <w:r w:rsidRPr="00047F6A">
        <w:rPr>
          <w:color w:val="auto"/>
          <w:sz w:val="20"/>
        </w:rPr>
        <w:t>key factors which enable and inhibit digital trade across ASEAN and Australia.</w:t>
      </w:r>
    </w:p>
    <w:p w14:paraId="5B856BFC" w14:textId="00256791" w:rsidR="00053C44" w:rsidRDefault="009F4072" w:rsidP="001F7A6A">
      <w:pPr>
        <w:pStyle w:val="BodyText"/>
        <w:pBdr>
          <w:top w:val="single" w:sz="18" w:space="1" w:color="3DA18F" w:themeColor="accent1" w:themeShade="BF"/>
          <w:left w:val="single" w:sz="18" w:space="4" w:color="3DA18F" w:themeColor="accent1" w:themeShade="BF"/>
          <w:bottom w:val="single" w:sz="18" w:space="1" w:color="3DA18F" w:themeColor="accent1" w:themeShade="BF"/>
          <w:right w:val="single" w:sz="18" w:space="4" w:color="3DA18F" w:themeColor="accent1" w:themeShade="BF"/>
        </w:pBdr>
        <w:spacing w:before="0" w:after="120"/>
        <w:rPr>
          <w:color w:val="auto"/>
          <w:sz w:val="20"/>
        </w:rPr>
      </w:pPr>
      <w:r w:rsidRPr="00047F6A">
        <w:rPr>
          <w:color w:val="auto"/>
          <w:sz w:val="20"/>
        </w:rPr>
        <w:t>The initiative recognises that the benefits of digitalisation are not always shared equally, so it aims to build regional regulatory consistency in a context of rapid technological diversity and change. This complements existing ASEAN priorities on the digital economy and builds on Australia and ASEAN’s long history of cooperation to promote regional economic integration</w:t>
      </w:r>
      <w:r>
        <w:rPr>
          <w:color w:val="auto"/>
          <w:sz w:val="20"/>
        </w:rPr>
        <w:t>.</w:t>
      </w:r>
    </w:p>
    <w:p w14:paraId="3602DB66" w14:textId="55DE63C6" w:rsidR="009F4072" w:rsidRDefault="000E2620" w:rsidP="001F7A6A">
      <w:pPr>
        <w:pStyle w:val="BodyText"/>
        <w:pBdr>
          <w:top w:val="single" w:sz="18" w:space="1" w:color="3DA18F" w:themeColor="accent1" w:themeShade="BF"/>
          <w:left w:val="single" w:sz="18" w:space="4" w:color="3DA18F" w:themeColor="accent1" w:themeShade="BF"/>
          <w:bottom w:val="single" w:sz="18" w:space="1" w:color="3DA18F" w:themeColor="accent1" w:themeShade="BF"/>
          <w:right w:val="single" w:sz="18" w:space="4" w:color="3DA18F" w:themeColor="accent1" w:themeShade="BF"/>
        </w:pBdr>
        <w:spacing w:before="0" w:after="120"/>
        <w:rPr>
          <w:b/>
          <w:sz w:val="32"/>
          <w:szCs w:val="32"/>
          <w:lang w:val="en-AU"/>
        </w:rPr>
      </w:pPr>
      <w:r w:rsidRPr="00047F6A">
        <w:rPr>
          <w:color w:val="auto"/>
          <w:sz w:val="20"/>
        </w:rPr>
        <w:t xml:space="preserve">The 2021 program included a number of work streams covering development workshops, market deep dives and certification training. Further details of the program are available at: </w:t>
      </w:r>
      <w:hyperlink r:id="rId36" w:history="1">
        <w:r w:rsidRPr="001F7A6A">
          <w:rPr>
            <w:rStyle w:val="Hyperlink"/>
            <w:rFonts w:cstheme="minorBidi"/>
            <w:color w:val="0070C0"/>
            <w:sz w:val="20"/>
            <w:u w:val="none"/>
          </w:rPr>
          <w:t>https://www.apec.org.au/asean-australia-dts</w:t>
        </w:r>
      </w:hyperlink>
      <w:r>
        <w:rPr>
          <w:color w:val="auto"/>
          <w:sz w:val="20"/>
        </w:rPr>
        <w:t xml:space="preserve"> </w:t>
      </w:r>
    </w:p>
    <w:p w14:paraId="33DCE3BA" w14:textId="77777777" w:rsidR="0040641E" w:rsidRPr="0040641E" w:rsidRDefault="0040641E" w:rsidP="00194411">
      <w:pPr>
        <w:pStyle w:val="BodyText"/>
        <w:pBdr>
          <w:top w:val="single" w:sz="18" w:space="1" w:color="3DA18F" w:themeColor="accent1" w:themeShade="BF"/>
          <w:left w:val="single" w:sz="18" w:space="4" w:color="3DA18F" w:themeColor="accent1" w:themeShade="BF"/>
          <w:bottom w:val="single" w:sz="18" w:space="1" w:color="3DA18F" w:themeColor="accent1" w:themeShade="BF"/>
          <w:right w:val="single" w:sz="18" w:space="4" w:color="3DA18F" w:themeColor="accent1" w:themeShade="BF"/>
        </w:pBdr>
        <w:spacing w:before="0" w:after="0"/>
        <w:jc w:val="center"/>
        <w:rPr>
          <w:b/>
          <w:sz w:val="16"/>
          <w:szCs w:val="16"/>
          <w:lang w:val="en-AU"/>
        </w:rPr>
      </w:pPr>
    </w:p>
    <w:p w14:paraId="299C95BE" w14:textId="44956F55" w:rsidR="0040641E" w:rsidRPr="0040641E" w:rsidRDefault="0040641E" w:rsidP="00194411">
      <w:pPr>
        <w:pStyle w:val="BodyText"/>
        <w:pBdr>
          <w:top w:val="single" w:sz="18" w:space="1" w:color="3DA18F" w:themeColor="accent1" w:themeShade="BF"/>
          <w:left w:val="single" w:sz="18" w:space="4" w:color="3DA18F" w:themeColor="accent1" w:themeShade="BF"/>
          <w:bottom w:val="single" w:sz="18" w:space="1" w:color="3DA18F" w:themeColor="accent1" w:themeShade="BF"/>
          <w:right w:val="single" w:sz="18" w:space="4" w:color="3DA18F" w:themeColor="accent1" w:themeShade="BF"/>
        </w:pBdr>
        <w:spacing w:before="0" w:after="0"/>
        <w:jc w:val="center"/>
        <w:rPr>
          <w:b/>
          <w:sz w:val="16"/>
          <w:szCs w:val="16"/>
          <w:lang w:val="en-AU"/>
        </w:rPr>
        <w:sectPr w:rsidR="0040641E" w:rsidRPr="0040641E" w:rsidSect="00E375D6">
          <w:type w:val="continuous"/>
          <w:pgSz w:w="11906" w:h="16838" w:code="9"/>
          <w:pgMar w:top="1985" w:right="1134" w:bottom="1701" w:left="1134" w:header="567" w:footer="567" w:gutter="0"/>
          <w:cols w:space="708"/>
          <w:titlePg/>
          <w:docGrid w:linePitch="360"/>
        </w:sectPr>
      </w:pPr>
    </w:p>
    <w:p w14:paraId="49078045" w14:textId="77777777" w:rsidR="00DF64A3" w:rsidRDefault="00DF64A3" w:rsidP="00AB4579">
      <w:pPr>
        <w:pStyle w:val="Heading2"/>
        <w:spacing w:before="360" w:after="0" w:line="276" w:lineRule="auto"/>
        <w:contextualSpacing w:val="0"/>
        <w:sectPr w:rsidR="00DF64A3" w:rsidSect="00AB4579">
          <w:headerReference w:type="default" r:id="rId37"/>
          <w:footerReference w:type="default" r:id="rId38"/>
          <w:headerReference w:type="first" r:id="rId39"/>
          <w:footerReference w:type="first" r:id="rId40"/>
          <w:type w:val="continuous"/>
          <w:pgSz w:w="11906" w:h="16838" w:code="9"/>
          <w:pgMar w:top="3544" w:right="1134" w:bottom="1701" w:left="1134" w:header="567" w:footer="567" w:gutter="0"/>
          <w:cols w:space="708"/>
          <w:titlePg/>
          <w:docGrid w:linePitch="360"/>
        </w:sectPr>
      </w:pPr>
      <w:bookmarkStart w:id="24" w:name="_Toc92134452"/>
    </w:p>
    <w:p w14:paraId="1DF0B55C" w14:textId="21F82DF3" w:rsidR="007763EB" w:rsidRDefault="00454DA9" w:rsidP="00244623">
      <w:pPr>
        <w:pStyle w:val="Heading2"/>
        <w:spacing w:before="240" w:after="0" w:line="276" w:lineRule="auto"/>
        <w:contextualSpacing w:val="0"/>
      </w:pPr>
      <w:r w:rsidRPr="00454DA9">
        <w:rPr>
          <w:noProof/>
        </w:rPr>
        <w:lastRenderedPageBreak/>
        <mc:AlternateContent>
          <mc:Choice Requires="wpg">
            <w:drawing>
              <wp:anchor distT="0" distB="0" distL="114300" distR="114300" simplePos="0" relativeHeight="251673600" behindDoc="0" locked="0" layoutInCell="1" allowOverlap="1" wp14:anchorId="1221BC11" wp14:editId="04A1B2D3">
                <wp:simplePos x="0" y="0"/>
                <wp:positionH relativeFrom="column">
                  <wp:posOffset>1409700</wp:posOffset>
                </wp:positionH>
                <wp:positionV relativeFrom="paragraph">
                  <wp:posOffset>238425</wp:posOffset>
                </wp:positionV>
                <wp:extent cx="425520" cy="237240"/>
                <wp:effectExtent l="0" t="0" r="19050" b="17145"/>
                <wp:wrapNone/>
                <wp:docPr id="35" name="Group 8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5520" cy="237240"/>
                          <a:chOff x="0" y="93060"/>
                          <a:chExt cx="425520" cy="237240"/>
                        </a:xfrm>
                      </wpg:grpSpPr>
                      <wps:wsp>
                        <wps:cNvPr id="36" name="Freeform 36"/>
                        <wps:cNvSpPr/>
                        <wps:spPr>
                          <a:xfrm>
                            <a:off x="163440" y="151740"/>
                            <a:ext cx="151920" cy="100440"/>
                          </a:xfrm>
                          <a:custGeom>
                            <a:avLst/>
                            <a:gdLst/>
                            <a:ahLst/>
                            <a:cxnLst/>
                            <a:rect l="0" t="0" r="r" b="b"/>
                            <a:pathLst>
                              <a:path w="422" h="279">
                                <a:moveTo>
                                  <a:pt x="421" y="190"/>
                                </a:moveTo>
                                <a:lnTo>
                                  <a:pt x="421" y="190"/>
                                </a:lnTo>
                                <a:cubicBezTo>
                                  <a:pt x="285" y="278"/>
                                  <a:pt x="184" y="129"/>
                                  <a:pt x="184" y="129"/>
                                </a:cubicBezTo>
                                <a:cubicBezTo>
                                  <a:pt x="136" y="68"/>
                                  <a:pt x="102" y="135"/>
                                  <a:pt x="102" y="135"/>
                                </a:cubicBezTo>
                                <a:cubicBezTo>
                                  <a:pt x="75" y="197"/>
                                  <a:pt x="41" y="190"/>
                                  <a:pt x="21" y="176"/>
                                </a:cubicBezTo>
                                <a:cubicBezTo>
                                  <a:pt x="7" y="176"/>
                                  <a:pt x="0" y="163"/>
                                  <a:pt x="7" y="149"/>
                                </a:cubicBezTo>
                                <a:cubicBezTo>
                                  <a:pt x="21" y="95"/>
                                  <a:pt x="21" y="95"/>
                                  <a:pt x="21" y="95"/>
                                </a:cubicBezTo>
                                <a:cubicBezTo>
                                  <a:pt x="28" y="68"/>
                                  <a:pt x="48" y="47"/>
                                  <a:pt x="68" y="41"/>
                                </a:cubicBezTo>
                                <a:cubicBezTo>
                                  <a:pt x="129" y="13"/>
                                  <a:pt x="129" y="13"/>
                                  <a:pt x="129" y="13"/>
                                </a:cubicBezTo>
                                <a:cubicBezTo>
                                  <a:pt x="150" y="0"/>
                                  <a:pt x="170" y="6"/>
                                  <a:pt x="197" y="13"/>
                                </a:cubicBezTo>
                                <a:cubicBezTo>
                                  <a:pt x="360" y="47"/>
                                  <a:pt x="360" y="47"/>
                                  <a:pt x="360" y="47"/>
                                </a:cubicBezTo>
                                <a:lnTo>
                                  <a:pt x="421" y="190"/>
                                </a:lnTo>
                              </a:path>
                            </a:pathLst>
                          </a:custGeom>
                          <a:noFill/>
                          <a:ln w="9720">
                            <a:solidFill>
                              <a:srgbClr val="344154"/>
                            </a:solidFill>
                            <a:miter/>
                          </a:ln>
                        </wps:spPr>
                        <wps:bodyPr/>
                      </wps:wsp>
                      <wps:wsp>
                        <wps:cNvPr id="37" name="Freeform 37"/>
                        <wps:cNvSpPr/>
                        <wps:spPr>
                          <a:xfrm>
                            <a:off x="266040" y="220140"/>
                            <a:ext cx="61560" cy="39240"/>
                          </a:xfrm>
                          <a:custGeom>
                            <a:avLst/>
                            <a:gdLst/>
                            <a:ahLst/>
                            <a:cxnLst/>
                            <a:rect l="0" t="0" r="r" b="b"/>
                            <a:pathLst>
                              <a:path w="171" h="109">
                                <a:moveTo>
                                  <a:pt x="170" y="81"/>
                                </a:moveTo>
                                <a:lnTo>
                                  <a:pt x="170" y="81"/>
                                </a:lnTo>
                                <a:cubicBezTo>
                                  <a:pt x="61" y="108"/>
                                  <a:pt x="61" y="108"/>
                                  <a:pt x="61" y="108"/>
                                </a:cubicBezTo>
                                <a:cubicBezTo>
                                  <a:pt x="0" y="20"/>
                                  <a:pt x="0" y="20"/>
                                  <a:pt x="0" y="20"/>
                                </a:cubicBezTo>
                                <a:cubicBezTo>
                                  <a:pt x="0" y="20"/>
                                  <a:pt x="75" y="54"/>
                                  <a:pt x="136" y="0"/>
                                </a:cubicBezTo>
                                <a:lnTo>
                                  <a:pt x="170" y="81"/>
                                </a:lnTo>
                              </a:path>
                            </a:pathLst>
                          </a:custGeom>
                          <a:noFill/>
                          <a:ln w="9720">
                            <a:solidFill>
                              <a:srgbClr val="344154"/>
                            </a:solidFill>
                            <a:miter/>
                          </a:ln>
                        </wps:spPr>
                        <wps:bodyPr/>
                      </wps:wsp>
                      <wps:wsp>
                        <wps:cNvPr id="38" name="Freeform 38"/>
                        <wps:cNvSpPr/>
                        <wps:spPr>
                          <a:xfrm>
                            <a:off x="0" y="93060"/>
                            <a:ext cx="92880" cy="183600"/>
                          </a:xfrm>
                          <a:custGeom>
                            <a:avLst/>
                            <a:gdLst/>
                            <a:ahLst/>
                            <a:cxnLst/>
                            <a:rect l="0" t="0" r="r" b="b"/>
                            <a:pathLst>
                              <a:path w="258" h="510">
                                <a:moveTo>
                                  <a:pt x="0" y="0"/>
                                </a:moveTo>
                                <a:lnTo>
                                  <a:pt x="0" y="475"/>
                                </a:lnTo>
                                <a:lnTo>
                                  <a:pt x="95" y="509"/>
                                </a:lnTo>
                                <a:lnTo>
                                  <a:pt x="257" y="102"/>
                                </a:lnTo>
                                <a:lnTo>
                                  <a:pt x="0" y="0"/>
                                </a:lnTo>
                              </a:path>
                            </a:pathLst>
                          </a:custGeom>
                          <a:noFill/>
                          <a:ln>
                            <a:solidFill>
                              <a:srgbClr val="344154"/>
                            </a:solidFill>
                          </a:ln>
                        </wps:spPr>
                        <wps:bodyPr/>
                      </wps:wsp>
                      <wps:wsp>
                        <wps:cNvPr id="39" name="Freeform 39"/>
                        <wps:cNvSpPr/>
                        <wps:spPr>
                          <a:xfrm>
                            <a:off x="0" y="93060"/>
                            <a:ext cx="92880" cy="183600"/>
                          </a:xfrm>
                          <a:custGeom>
                            <a:avLst/>
                            <a:gdLst/>
                            <a:ahLst/>
                            <a:cxnLst/>
                            <a:rect l="0" t="0" r="r" b="b"/>
                            <a:pathLst>
                              <a:path w="258" h="510">
                                <a:moveTo>
                                  <a:pt x="0" y="0"/>
                                </a:moveTo>
                                <a:lnTo>
                                  <a:pt x="0" y="475"/>
                                </a:lnTo>
                                <a:lnTo>
                                  <a:pt x="95" y="509"/>
                                </a:lnTo>
                                <a:lnTo>
                                  <a:pt x="257" y="102"/>
                                </a:lnTo>
                                <a:lnTo>
                                  <a:pt x="0" y="0"/>
                                </a:lnTo>
                              </a:path>
                            </a:pathLst>
                          </a:custGeom>
                          <a:noFill/>
                          <a:ln w="9720">
                            <a:solidFill>
                              <a:srgbClr val="344154"/>
                            </a:solidFill>
                            <a:miter/>
                          </a:ln>
                        </wps:spPr>
                        <wps:bodyPr/>
                      </wps:wsp>
                      <wps:wsp>
                        <wps:cNvPr id="40" name="Freeform 40"/>
                        <wps:cNvSpPr/>
                        <wps:spPr>
                          <a:xfrm>
                            <a:off x="51120" y="142020"/>
                            <a:ext cx="81000" cy="107640"/>
                          </a:xfrm>
                          <a:custGeom>
                            <a:avLst/>
                            <a:gdLst/>
                            <a:ahLst/>
                            <a:cxnLst/>
                            <a:rect l="0" t="0" r="r" b="b"/>
                            <a:pathLst>
                              <a:path w="225" h="299">
                                <a:moveTo>
                                  <a:pt x="109" y="0"/>
                                </a:moveTo>
                                <a:lnTo>
                                  <a:pt x="224" y="47"/>
                                </a:lnTo>
                                <a:lnTo>
                                  <a:pt x="115" y="298"/>
                                </a:lnTo>
                                <a:lnTo>
                                  <a:pt x="0" y="251"/>
                                </a:lnTo>
                              </a:path>
                            </a:pathLst>
                          </a:custGeom>
                          <a:noFill/>
                          <a:ln w="9720">
                            <a:solidFill>
                              <a:srgbClr val="344154"/>
                            </a:solidFill>
                            <a:miter/>
                          </a:ln>
                        </wps:spPr>
                        <wps:bodyPr/>
                      </wps:wsp>
                      <wps:wsp>
                        <wps:cNvPr id="41" name="Freeform 41"/>
                        <wps:cNvSpPr/>
                        <wps:spPr>
                          <a:xfrm>
                            <a:off x="329760" y="100260"/>
                            <a:ext cx="95760" cy="186120"/>
                          </a:xfrm>
                          <a:custGeom>
                            <a:avLst/>
                            <a:gdLst/>
                            <a:ahLst/>
                            <a:cxnLst/>
                            <a:rect l="0" t="0" r="r" b="b"/>
                            <a:pathLst>
                              <a:path w="266" h="517">
                                <a:moveTo>
                                  <a:pt x="265" y="0"/>
                                </a:moveTo>
                                <a:lnTo>
                                  <a:pt x="265" y="475"/>
                                </a:lnTo>
                                <a:lnTo>
                                  <a:pt x="170" y="516"/>
                                </a:lnTo>
                                <a:lnTo>
                                  <a:pt x="0" y="109"/>
                                </a:lnTo>
                                <a:lnTo>
                                  <a:pt x="265" y="0"/>
                                </a:lnTo>
                              </a:path>
                            </a:pathLst>
                          </a:custGeom>
                          <a:noFill/>
                          <a:ln>
                            <a:solidFill>
                              <a:srgbClr val="344154"/>
                            </a:solidFill>
                          </a:ln>
                        </wps:spPr>
                        <wps:bodyPr/>
                      </wps:wsp>
                      <wps:wsp>
                        <wps:cNvPr id="42" name="Freeform 42"/>
                        <wps:cNvSpPr/>
                        <wps:spPr>
                          <a:xfrm>
                            <a:off x="329760" y="100260"/>
                            <a:ext cx="95760" cy="186120"/>
                          </a:xfrm>
                          <a:custGeom>
                            <a:avLst/>
                            <a:gdLst/>
                            <a:ahLst/>
                            <a:cxnLst/>
                            <a:rect l="0" t="0" r="r" b="b"/>
                            <a:pathLst>
                              <a:path w="266" h="517">
                                <a:moveTo>
                                  <a:pt x="265" y="0"/>
                                </a:moveTo>
                                <a:lnTo>
                                  <a:pt x="265" y="475"/>
                                </a:lnTo>
                                <a:lnTo>
                                  <a:pt x="170" y="516"/>
                                </a:lnTo>
                                <a:lnTo>
                                  <a:pt x="0" y="109"/>
                                </a:lnTo>
                                <a:lnTo>
                                  <a:pt x="265" y="0"/>
                                </a:lnTo>
                              </a:path>
                            </a:pathLst>
                          </a:custGeom>
                          <a:noFill/>
                          <a:ln w="9720">
                            <a:solidFill>
                              <a:srgbClr val="344154"/>
                            </a:solidFill>
                            <a:miter/>
                          </a:ln>
                        </wps:spPr>
                        <wps:bodyPr/>
                      </wps:wsp>
                      <wps:wsp>
                        <wps:cNvPr id="43" name="Freeform 43"/>
                        <wps:cNvSpPr/>
                        <wps:spPr>
                          <a:xfrm>
                            <a:off x="293040" y="151740"/>
                            <a:ext cx="78480" cy="105480"/>
                          </a:xfrm>
                          <a:custGeom>
                            <a:avLst/>
                            <a:gdLst/>
                            <a:ahLst/>
                            <a:cxnLst/>
                            <a:rect l="0" t="0" r="r" b="b"/>
                            <a:pathLst>
                              <a:path w="218" h="293">
                                <a:moveTo>
                                  <a:pt x="116" y="0"/>
                                </a:moveTo>
                                <a:lnTo>
                                  <a:pt x="0" y="47"/>
                                </a:lnTo>
                                <a:lnTo>
                                  <a:pt x="102" y="292"/>
                                </a:lnTo>
                                <a:lnTo>
                                  <a:pt x="217" y="251"/>
                                </a:lnTo>
                              </a:path>
                            </a:pathLst>
                          </a:custGeom>
                          <a:noFill/>
                          <a:ln w="9720">
                            <a:solidFill>
                              <a:srgbClr val="344154"/>
                            </a:solidFill>
                            <a:miter/>
                          </a:ln>
                        </wps:spPr>
                        <wps:bodyPr/>
                      </wps:wsp>
                      <wps:wsp>
                        <wps:cNvPr id="44" name="Freeform 44"/>
                        <wps:cNvSpPr/>
                        <wps:spPr>
                          <a:xfrm>
                            <a:off x="229680" y="227340"/>
                            <a:ext cx="68760" cy="64080"/>
                          </a:xfrm>
                          <a:custGeom>
                            <a:avLst/>
                            <a:gdLst/>
                            <a:ahLst/>
                            <a:cxnLst/>
                            <a:rect l="0" t="0" r="r" b="b"/>
                            <a:pathLst>
                              <a:path w="191" h="178">
                                <a:moveTo>
                                  <a:pt x="88" y="0"/>
                                </a:moveTo>
                                <a:lnTo>
                                  <a:pt x="88" y="0"/>
                                </a:lnTo>
                                <a:cubicBezTo>
                                  <a:pt x="183" y="116"/>
                                  <a:pt x="183" y="116"/>
                                  <a:pt x="183" y="116"/>
                                </a:cubicBezTo>
                                <a:cubicBezTo>
                                  <a:pt x="190" y="122"/>
                                  <a:pt x="190" y="136"/>
                                  <a:pt x="190" y="143"/>
                                </a:cubicBezTo>
                                <a:lnTo>
                                  <a:pt x="190" y="143"/>
                                </a:lnTo>
                                <a:cubicBezTo>
                                  <a:pt x="176" y="170"/>
                                  <a:pt x="142" y="177"/>
                                  <a:pt x="122" y="156"/>
                                </a:cubicBezTo>
                                <a:cubicBezTo>
                                  <a:pt x="0" y="27"/>
                                  <a:pt x="0" y="27"/>
                                  <a:pt x="0" y="27"/>
                                </a:cubicBezTo>
                              </a:path>
                            </a:pathLst>
                          </a:custGeom>
                          <a:noFill/>
                          <a:ln w="9720">
                            <a:solidFill>
                              <a:srgbClr val="344154"/>
                            </a:solidFill>
                            <a:miter/>
                          </a:ln>
                        </wps:spPr>
                        <wps:bodyPr/>
                      </wps:wsp>
                      <wps:wsp>
                        <wps:cNvPr id="45" name="Freeform 45"/>
                        <wps:cNvSpPr/>
                        <wps:spPr>
                          <a:xfrm>
                            <a:off x="209880" y="259020"/>
                            <a:ext cx="71280" cy="49320"/>
                          </a:xfrm>
                          <a:custGeom>
                            <a:avLst/>
                            <a:gdLst/>
                            <a:ahLst/>
                            <a:cxnLst/>
                            <a:rect l="0" t="0" r="r" b="b"/>
                            <a:pathLst>
                              <a:path w="198" h="137">
                                <a:moveTo>
                                  <a:pt x="0" y="0"/>
                                </a:moveTo>
                                <a:lnTo>
                                  <a:pt x="0" y="0"/>
                                </a:lnTo>
                                <a:cubicBezTo>
                                  <a:pt x="102" y="109"/>
                                  <a:pt x="102" y="109"/>
                                  <a:pt x="102" y="109"/>
                                </a:cubicBezTo>
                                <a:cubicBezTo>
                                  <a:pt x="136" y="136"/>
                                  <a:pt x="184" y="129"/>
                                  <a:pt x="197" y="89"/>
                                </a:cubicBezTo>
                                <a:lnTo>
                                  <a:pt x="197" y="89"/>
                                </a:lnTo>
                              </a:path>
                            </a:pathLst>
                          </a:custGeom>
                          <a:noFill/>
                          <a:ln w="9720">
                            <a:solidFill>
                              <a:srgbClr val="344154"/>
                            </a:solidFill>
                            <a:miter/>
                          </a:ln>
                        </wps:spPr>
                        <wps:bodyPr/>
                      </wps:wsp>
                      <wps:wsp>
                        <wps:cNvPr id="46" name="Freeform 46"/>
                        <wps:cNvSpPr/>
                        <wps:spPr>
                          <a:xfrm>
                            <a:off x="192960" y="276300"/>
                            <a:ext cx="63720" cy="41760"/>
                          </a:xfrm>
                          <a:custGeom>
                            <a:avLst/>
                            <a:gdLst/>
                            <a:ahLst/>
                            <a:cxnLst/>
                            <a:rect l="0" t="0" r="r" b="b"/>
                            <a:pathLst>
                              <a:path w="177" h="116">
                                <a:moveTo>
                                  <a:pt x="0" y="0"/>
                                </a:moveTo>
                                <a:lnTo>
                                  <a:pt x="0" y="0"/>
                                </a:lnTo>
                                <a:cubicBezTo>
                                  <a:pt x="81" y="102"/>
                                  <a:pt x="81" y="102"/>
                                  <a:pt x="81" y="102"/>
                                </a:cubicBezTo>
                                <a:cubicBezTo>
                                  <a:pt x="95" y="109"/>
                                  <a:pt x="109" y="115"/>
                                  <a:pt x="122" y="115"/>
                                </a:cubicBezTo>
                                <a:cubicBezTo>
                                  <a:pt x="136" y="115"/>
                                  <a:pt x="156" y="109"/>
                                  <a:pt x="176" y="81"/>
                                </a:cubicBezTo>
                              </a:path>
                            </a:pathLst>
                          </a:custGeom>
                          <a:noFill/>
                          <a:ln w="9720">
                            <a:solidFill>
                              <a:srgbClr val="344154"/>
                            </a:solidFill>
                            <a:miter/>
                          </a:ln>
                        </wps:spPr>
                        <wps:bodyPr/>
                      </wps:wsp>
                      <wps:wsp>
                        <wps:cNvPr id="47" name="Freeform 47"/>
                        <wps:cNvSpPr/>
                        <wps:spPr>
                          <a:xfrm>
                            <a:off x="131760" y="156420"/>
                            <a:ext cx="61560" cy="7920"/>
                          </a:xfrm>
                          <a:custGeom>
                            <a:avLst/>
                            <a:gdLst/>
                            <a:ahLst/>
                            <a:cxnLst/>
                            <a:rect l="0" t="0" r="r" b="b"/>
                            <a:pathLst>
                              <a:path w="171" h="22">
                                <a:moveTo>
                                  <a:pt x="170" y="21"/>
                                </a:moveTo>
                                <a:lnTo>
                                  <a:pt x="170" y="21"/>
                                </a:lnTo>
                                <a:cubicBezTo>
                                  <a:pt x="95" y="0"/>
                                  <a:pt x="0" y="7"/>
                                  <a:pt x="0" y="7"/>
                                </a:cubicBezTo>
                              </a:path>
                            </a:pathLst>
                          </a:custGeom>
                          <a:noFill/>
                          <a:ln w="9720">
                            <a:solidFill>
                              <a:srgbClr val="344154"/>
                            </a:solidFill>
                            <a:miter/>
                          </a:ln>
                        </wps:spPr>
                        <wps:bodyPr/>
                      </wps:wsp>
                      <wps:wsp>
                        <wps:cNvPr id="48" name="Freeform 48"/>
                        <wps:cNvSpPr/>
                        <wps:spPr>
                          <a:xfrm>
                            <a:off x="100080" y="232380"/>
                            <a:ext cx="127440" cy="97920"/>
                          </a:xfrm>
                          <a:custGeom>
                            <a:avLst/>
                            <a:gdLst/>
                            <a:ahLst/>
                            <a:cxnLst/>
                            <a:rect l="0" t="0" r="r" b="b"/>
                            <a:pathLst>
                              <a:path w="354" h="272">
                                <a:moveTo>
                                  <a:pt x="0" y="0"/>
                                </a:moveTo>
                                <a:lnTo>
                                  <a:pt x="0" y="0"/>
                                </a:lnTo>
                                <a:cubicBezTo>
                                  <a:pt x="0" y="0"/>
                                  <a:pt x="122" y="81"/>
                                  <a:pt x="251" y="210"/>
                                </a:cubicBezTo>
                                <a:cubicBezTo>
                                  <a:pt x="292" y="251"/>
                                  <a:pt x="292" y="251"/>
                                  <a:pt x="292" y="251"/>
                                </a:cubicBezTo>
                                <a:cubicBezTo>
                                  <a:pt x="312" y="271"/>
                                  <a:pt x="346" y="258"/>
                                  <a:pt x="353" y="231"/>
                                </a:cubicBezTo>
                                <a:lnTo>
                                  <a:pt x="353" y="231"/>
                                </a:lnTo>
                              </a:path>
                            </a:pathLst>
                          </a:custGeom>
                          <a:noFill/>
                          <a:ln w="9720">
                            <a:solidFill>
                              <a:srgbClr val="344154"/>
                            </a:solidFill>
                            <a:miter/>
                          </a:ln>
                        </wps:spPr>
                        <wps:bodyPr/>
                      </wps:wsp>
                      <wps:wsp>
                        <wps:cNvPr id="49" name="Freeform 49"/>
                        <wps:cNvSpPr/>
                        <wps:spPr>
                          <a:xfrm>
                            <a:off x="117000" y="251820"/>
                            <a:ext cx="24840" cy="22320"/>
                          </a:xfrm>
                          <a:custGeom>
                            <a:avLst/>
                            <a:gdLst/>
                            <a:ahLst/>
                            <a:cxnLst/>
                            <a:rect l="0" t="0" r="r" b="b"/>
                            <a:pathLst>
                              <a:path w="69" h="62">
                                <a:moveTo>
                                  <a:pt x="21" y="0"/>
                                </a:moveTo>
                                <a:lnTo>
                                  <a:pt x="21" y="0"/>
                                </a:lnTo>
                                <a:cubicBezTo>
                                  <a:pt x="14" y="14"/>
                                  <a:pt x="14" y="14"/>
                                  <a:pt x="14" y="14"/>
                                </a:cubicBezTo>
                                <a:cubicBezTo>
                                  <a:pt x="0" y="20"/>
                                  <a:pt x="0" y="41"/>
                                  <a:pt x="14" y="48"/>
                                </a:cubicBezTo>
                                <a:lnTo>
                                  <a:pt x="14" y="48"/>
                                </a:lnTo>
                                <a:cubicBezTo>
                                  <a:pt x="28" y="61"/>
                                  <a:pt x="48" y="61"/>
                                  <a:pt x="55" y="48"/>
                                </a:cubicBezTo>
                                <a:cubicBezTo>
                                  <a:pt x="68" y="34"/>
                                  <a:pt x="68" y="34"/>
                                  <a:pt x="68" y="34"/>
                                </a:cubicBezTo>
                              </a:path>
                            </a:pathLst>
                          </a:custGeom>
                          <a:noFill/>
                          <a:ln w="9720">
                            <a:solidFill>
                              <a:srgbClr val="344154"/>
                            </a:solidFill>
                            <a:miter/>
                          </a:ln>
                        </wps:spPr>
                        <wps:bodyPr/>
                      </wps:wsp>
                      <wps:wsp>
                        <wps:cNvPr id="50" name="Freeform 50"/>
                        <wps:cNvSpPr/>
                        <wps:spPr>
                          <a:xfrm>
                            <a:off x="129240" y="264060"/>
                            <a:ext cx="32040" cy="32040"/>
                          </a:xfrm>
                          <a:custGeom>
                            <a:avLst/>
                            <a:gdLst/>
                            <a:ahLst/>
                            <a:cxnLst/>
                            <a:rect l="0" t="0" r="r" b="b"/>
                            <a:pathLst>
                              <a:path w="89" h="89">
                                <a:moveTo>
                                  <a:pt x="88" y="47"/>
                                </a:moveTo>
                                <a:lnTo>
                                  <a:pt x="88" y="47"/>
                                </a:lnTo>
                                <a:cubicBezTo>
                                  <a:pt x="68" y="75"/>
                                  <a:pt x="68" y="75"/>
                                  <a:pt x="68" y="75"/>
                                </a:cubicBezTo>
                                <a:cubicBezTo>
                                  <a:pt x="55" y="88"/>
                                  <a:pt x="34" y="88"/>
                                  <a:pt x="21" y="75"/>
                                </a:cubicBezTo>
                                <a:lnTo>
                                  <a:pt x="21" y="75"/>
                                </a:lnTo>
                                <a:cubicBezTo>
                                  <a:pt x="7" y="61"/>
                                  <a:pt x="0" y="41"/>
                                  <a:pt x="14" y="27"/>
                                </a:cubicBezTo>
                                <a:cubicBezTo>
                                  <a:pt x="34" y="0"/>
                                  <a:pt x="34" y="0"/>
                                  <a:pt x="34" y="0"/>
                                </a:cubicBezTo>
                              </a:path>
                            </a:pathLst>
                          </a:custGeom>
                          <a:noFill/>
                          <a:ln w="9720">
                            <a:solidFill>
                              <a:srgbClr val="344154"/>
                            </a:solidFill>
                            <a:miter/>
                          </a:ln>
                        </wps:spPr>
                        <wps:bodyPr/>
                      </wps:wsp>
                      <wps:wsp>
                        <wps:cNvPr id="51" name="Freeform 51"/>
                        <wps:cNvSpPr/>
                        <wps:spPr>
                          <a:xfrm>
                            <a:off x="151200" y="280980"/>
                            <a:ext cx="27360" cy="27360"/>
                          </a:xfrm>
                          <a:custGeom>
                            <a:avLst/>
                            <a:gdLst/>
                            <a:ahLst/>
                            <a:cxnLst/>
                            <a:rect l="0" t="0" r="r" b="b"/>
                            <a:pathLst>
                              <a:path w="76" h="76">
                                <a:moveTo>
                                  <a:pt x="27" y="0"/>
                                </a:moveTo>
                                <a:lnTo>
                                  <a:pt x="27" y="0"/>
                                </a:lnTo>
                                <a:cubicBezTo>
                                  <a:pt x="14" y="21"/>
                                  <a:pt x="14" y="21"/>
                                  <a:pt x="14" y="21"/>
                                </a:cubicBezTo>
                                <a:cubicBezTo>
                                  <a:pt x="0" y="35"/>
                                  <a:pt x="0" y="55"/>
                                  <a:pt x="14" y="68"/>
                                </a:cubicBezTo>
                                <a:lnTo>
                                  <a:pt x="14" y="68"/>
                                </a:lnTo>
                                <a:cubicBezTo>
                                  <a:pt x="27" y="75"/>
                                  <a:pt x="48" y="75"/>
                                  <a:pt x="62" y="62"/>
                                </a:cubicBezTo>
                                <a:cubicBezTo>
                                  <a:pt x="75" y="48"/>
                                  <a:pt x="75" y="48"/>
                                  <a:pt x="75" y="48"/>
                                </a:cubicBezTo>
                              </a:path>
                            </a:pathLst>
                          </a:custGeom>
                          <a:noFill/>
                          <a:ln w="9720">
                            <a:solidFill>
                              <a:srgbClr val="344154"/>
                            </a:solidFill>
                            <a:miter/>
                          </a:ln>
                        </wps:spPr>
                        <wps:bodyPr/>
                      </wps:wsp>
                      <wps:wsp>
                        <wps:cNvPr id="52" name="Freeform 52"/>
                        <wps:cNvSpPr/>
                        <wps:spPr>
                          <a:xfrm>
                            <a:off x="171000" y="298260"/>
                            <a:ext cx="24840" cy="24840"/>
                          </a:xfrm>
                          <a:custGeom>
                            <a:avLst/>
                            <a:gdLst/>
                            <a:ahLst/>
                            <a:cxnLst/>
                            <a:rect l="0" t="0" r="r" b="b"/>
                            <a:pathLst>
                              <a:path w="69" h="69">
                                <a:moveTo>
                                  <a:pt x="68" y="41"/>
                                </a:moveTo>
                                <a:lnTo>
                                  <a:pt x="68" y="41"/>
                                </a:lnTo>
                                <a:cubicBezTo>
                                  <a:pt x="61" y="54"/>
                                  <a:pt x="61" y="54"/>
                                  <a:pt x="61" y="54"/>
                                </a:cubicBezTo>
                                <a:cubicBezTo>
                                  <a:pt x="47" y="61"/>
                                  <a:pt x="27" y="68"/>
                                  <a:pt x="13" y="54"/>
                                </a:cubicBezTo>
                                <a:lnTo>
                                  <a:pt x="13" y="54"/>
                                </a:lnTo>
                                <a:cubicBezTo>
                                  <a:pt x="7" y="41"/>
                                  <a:pt x="0" y="20"/>
                                  <a:pt x="13" y="7"/>
                                </a:cubicBezTo>
                                <a:cubicBezTo>
                                  <a:pt x="20" y="0"/>
                                  <a:pt x="20" y="0"/>
                                  <a:pt x="20" y="0"/>
                                </a:cubicBezTo>
                              </a:path>
                            </a:pathLst>
                          </a:custGeom>
                          <a:noFill/>
                          <a:ln w="9720">
                            <a:solidFill>
                              <a:srgbClr val="344154"/>
                            </a:solidFill>
                            <a:miter/>
                          </a:ln>
                        </wps:spPr>
                        <wps:bodyPr/>
                      </wps:wsp>
                    </wpg:wgp>
                  </a:graphicData>
                </a:graphic>
              </wp:anchor>
            </w:drawing>
          </mc:Choice>
          <mc:Fallback>
            <w:pict>
              <v:group w14:anchorId="0BB11481" id="Group 895" o:spid="_x0000_s1026" alt="&quot;&quot;" style="position:absolute;margin-left:111pt;margin-top:18.75pt;width:33.5pt;height:18.7pt;z-index:251673600" coordorigin=",93060" coordsize="425520,23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">
                <v:shape id="Freeform 36" o:spid="_x0000_s1027" style="position:absolute;left:163440;top:151740;width:151920;height:100440;visibility:visible;mso-wrap-style:square;v-text-anchor:top" coordsize="42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" path="m421,190r,c285,278,184,129,184,129v-48,-61,-82,6,-82,6c75,197,41,190,21,176,7,176,,163,7,149,21,95,21,95,21,95,28,68,48,47,68,41,129,13,129,13,129,13v21,-13,41,-7,68,c360,47,360,47,360,47r61,143e" filled="f" strokecolor="#344154" strokeweight=".27mm">
                  <v:stroke joinstyle="miter"/>
                  <v:path arrowok="t"/>
                </v:shape>
                <v:shape id="Freeform 37" o:spid="_x0000_s1028" style="position:absolute;left:266040;top:220140;width:61560;height:39240;visibility:visible;mso-wrap-style:square;v-text-anchor:top" coordsize="17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" path="m170,81r,c61,108,61,108,61,108,,20,,20,,20,,20,75,54,136,r34,81e" filled="f" strokecolor="#344154" strokeweight=".27mm">
                  <v:stroke joinstyle="miter"/>
                  <v:path arrowok="t"/>
                </v:shape>
                <v:shape id="Freeform 38" o:spid="_x0000_s1029" style="position:absolute;top:93060;width:92880;height:183600;visibility:visible;mso-wrap-style:square;v-text-anchor:top" coordsize="25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" path="m,l,475r95,34l257,102,,e" filled="f" strokecolor="#344154">
                  <v:path arrowok="t"/>
                </v:shape>
                <v:shape id="Freeform 39" o:spid="_x0000_s1030" style="position:absolute;top:93060;width:92880;height:183600;visibility:visible;mso-wrap-style:square;v-text-anchor:top" coordsize="25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" path="m,l,475r95,34l257,102,,e" filled="f" strokecolor="#344154" strokeweight=".27mm">
                  <v:stroke joinstyle="miter"/>
                  <v:path arrowok="t"/>
                </v:shape>
                <v:shape id="Freeform 40" o:spid="_x0000_s1031" style="position:absolute;left:51120;top:142020;width:81000;height:107640;visibility:visible;mso-wrap-style:square;v-text-anchor:top" coordsize="22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" path="m109,l224,47,115,298,,251e" filled="f" strokecolor="#344154" strokeweight=".27mm">
                  <v:stroke joinstyle="miter"/>
                  <v:path arrowok="t"/>
                </v:shape>
                <v:shape id="Freeform 41" o:spid="_x0000_s1032" style="position:absolute;left:329760;top:100260;width:95760;height:186120;visibility:visible;mso-wrap-style:square;v-text-anchor:top" coordsize="266,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" path="m265,r,475l170,516,,109,265,e" filled="f" strokecolor="#344154">
                  <v:path arrowok="t"/>
                </v:shape>
                <v:shape id="Freeform 42" o:spid="_x0000_s1033" style="position:absolute;left:329760;top:100260;width:95760;height:186120;visibility:visible;mso-wrap-style:square;v-text-anchor:top" coordsize="266,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" path="m265,r,475l170,516,,109,265,e" filled="f" strokecolor="#344154" strokeweight=".27mm">
                  <v:stroke joinstyle="miter"/>
                  <v:path arrowok="t"/>
                </v:shape>
                <v:shape id="Freeform 43" o:spid="_x0000_s1034" style="position:absolute;left:293040;top:151740;width:78480;height:105480;visibility:visible;mso-wrap-style:square;v-text-anchor:top" coordsize="2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" path="m116,l,47,102,292,217,251e" filled="f" strokecolor="#344154" strokeweight=".27mm">
                  <v:stroke joinstyle="miter"/>
                  <v:path arrowok="t"/>
                </v:shape>
                <v:shape id="Freeform 44" o:spid="_x0000_s1035" style="position:absolute;left:229680;top:227340;width:68760;height:64080;visibility:visible;mso-wrap-style:square;v-text-anchor:top" coordsize="19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" path="m88,r,c183,116,183,116,183,116v7,6,7,20,7,27l190,143v-14,27,-48,34,-68,13c,27,,27,,27e" filled="f" strokecolor="#344154" strokeweight=".27mm">
                  <v:stroke joinstyle="miter"/>
                  <v:path arrowok="t"/>
                </v:shape>
                <v:shape id="Freeform 45" o:spid="_x0000_s1036" style="position:absolute;left:209880;top:259020;width:71280;height:49320;visibility:visible;mso-wrap-style:square;v-text-anchor:top" coordsize="19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" path="m,l,c102,109,102,109,102,109v34,27,82,20,95,-20l197,89e" filled="f" strokecolor="#344154" strokeweight=".27mm">
                  <v:stroke joinstyle="miter"/>
                  <v:path arrowok="t"/>
                </v:shape>
                <v:shape id="Freeform 46" o:spid="_x0000_s1037" style="position:absolute;left:192960;top:276300;width:63720;height:41760;visibility:visible;mso-wrap-style:square;v-text-anchor:top" coordsize="17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" path="m,l,c81,102,81,102,81,102v14,7,28,13,41,13c136,115,156,109,176,81e" filled="f" strokecolor="#344154" strokeweight=".27mm">
                  <v:stroke joinstyle="miter"/>
                  <v:path arrowok="t"/>
                </v:shape>
                <v:shape id="Freeform 47" o:spid="_x0000_s1038" style="position:absolute;left:131760;top:156420;width:61560;height:7920;visibility:visible;mso-wrap-style:square;v-text-anchor:top" coordsize="1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" path="m170,21r,c95,,,7,,7e" filled="f" strokecolor="#344154" strokeweight=".27mm">
                  <v:stroke joinstyle="miter"/>
                  <v:path arrowok="t"/>
                </v:shape>
                <v:shape id="Freeform 48" o:spid="_x0000_s1039" style="position:absolute;left:100080;top:232380;width:127440;height:97920;visibility:visible;mso-wrap-style:square;v-text-anchor:top" coordsize="35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" path="m,l,c,,122,81,251,210v41,41,41,41,41,41c312,271,346,258,353,231r,e" filled="f" strokecolor="#344154" strokeweight=".27mm">
                  <v:stroke joinstyle="miter"/>
                  <v:path arrowok="t"/>
                </v:shape>
                <v:shape id="Freeform 49" o:spid="_x0000_s1040" style="position:absolute;left:117000;top:251820;width:24840;height:22320;visibility:visible;mso-wrap-style:square;v-text-anchor:top" coordsize="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" path="m21,r,c14,14,14,14,14,14,,20,,41,14,48r,c28,61,48,61,55,48,68,34,68,34,68,34e" filled="f" strokecolor="#344154" strokeweight=".27mm">
                  <v:stroke joinstyle="miter"/>
                  <v:path arrowok="t"/>
                </v:shape>
                <v:shape id="Freeform 50" o:spid="_x0000_s1041" style="position:absolute;left:129240;top:264060;width:32040;height:32040;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" path="m88,47r,c68,75,68,75,68,75,55,88,34,88,21,75r,c7,61,,41,14,27,34,,34,,34,e" filled="f" strokecolor="#344154" strokeweight=".27mm">
                  <v:stroke joinstyle="miter"/>
                  <v:path arrowok="t"/>
                </v:shape>
                <v:shape id="Freeform 51" o:spid="_x0000_s1042" style="position:absolute;left:151200;top:280980;width:27360;height:27360;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" path="m27,r,c14,21,14,21,14,21,,35,,55,14,68r,c27,75,48,75,62,62,75,48,75,48,75,48e" filled="f" strokecolor="#344154" strokeweight=".27mm">
                  <v:stroke joinstyle="miter"/>
                  <v:path arrowok="t"/>
                </v:shape>
                <v:shape id="Freeform 52" o:spid="_x0000_s1043" style="position:absolute;left:171000;top:298260;width:24840;height:24840;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" path="m68,41r,c61,54,61,54,61,54,47,61,27,68,13,54r,c7,41,,20,13,7,20,,20,,20,e" filled="f" strokecolor="#344154" strokeweight=".27mm">
                  <v:stroke joinstyle="miter"/>
                  <v:path arrowok="t"/>
                </v:shape>
              </v:group>
            </w:pict>
          </mc:Fallback>
        </mc:AlternateContent>
      </w:r>
      <w:r w:rsidR="003F2A92">
        <w:t>Negotiate</w:t>
      </w:r>
      <w:bookmarkEnd w:id="24"/>
    </w:p>
    <w:p w14:paraId="1C88E629" w14:textId="71F89AA3" w:rsidR="00684C8E" w:rsidRDefault="00684C8E" w:rsidP="00684C8E">
      <w:pPr>
        <w:pStyle w:val="Box2Text"/>
      </w:pPr>
      <w:r>
        <w:t xml:space="preserve">Australia will continue to pursue digital trade rules that promote openness in our trade agreements. </w:t>
      </w:r>
    </w:p>
    <w:p w14:paraId="0BCE8C66" w14:textId="77777777" w:rsidR="00684C8E" w:rsidRDefault="00684C8E" w:rsidP="00684C8E">
      <w:pPr>
        <w:sectPr w:rsidR="00684C8E" w:rsidSect="00DF64A3">
          <w:pgSz w:w="11906" w:h="16838" w:code="9"/>
          <w:pgMar w:top="3544" w:right="1134" w:bottom="1701" w:left="1134" w:header="567" w:footer="567" w:gutter="0"/>
          <w:cols w:space="708"/>
          <w:titlePg/>
          <w:docGrid w:linePitch="360"/>
        </w:sectPr>
      </w:pPr>
    </w:p>
    <w:p w14:paraId="61C09850" w14:textId="7C843A33" w:rsidR="001C302A" w:rsidRDefault="001C302A" w:rsidP="001C302A">
      <w:r w:rsidRPr="001C302A">
        <w:t>Australia negotiates FTAs to benefit Australian exporters, importers, producers and investors by reducing and eliminating certain barriers to international trade and investment</w:t>
      </w:r>
      <w:r>
        <w:t>.</w:t>
      </w:r>
      <w:r w:rsidR="00AF0D6F" w:rsidRPr="00AF0D6F">
        <w:t xml:space="preserve"> </w:t>
      </w:r>
      <w:r w:rsidR="00AF0D6F" w:rsidRPr="001A6483">
        <w:t xml:space="preserve">Australia </w:t>
      </w:r>
      <w:r w:rsidR="00AF0D6F">
        <w:t xml:space="preserve">seeks ambitious commitments on digital trade but also </w:t>
      </w:r>
      <w:r w:rsidR="00AF0D6F" w:rsidRPr="001A6483">
        <w:t xml:space="preserve">advocates for rules that ensure legitimate public policy objectives </w:t>
      </w:r>
      <w:r w:rsidR="002C6E65">
        <w:t>can be</w:t>
      </w:r>
      <w:r w:rsidR="00AF0D6F" w:rsidRPr="001A6483">
        <w:t xml:space="preserve"> met</w:t>
      </w:r>
      <w:r w:rsidR="00AF0D6F">
        <w:t>.</w:t>
      </w:r>
    </w:p>
    <w:p w14:paraId="1181D843" w14:textId="575F8A85" w:rsidR="00AF0D6F" w:rsidRDefault="00684C8E" w:rsidP="00D001ED">
      <w:r>
        <w:t>Australia has secured quality digital trade rules in regional agreements like the Comprehensive and Progressive Agreement for Trans-Pacific Partnership</w:t>
      </w:r>
      <w:r w:rsidR="001C302A">
        <w:t xml:space="preserve">, </w:t>
      </w:r>
      <w:r>
        <w:t>set global digital trade rule benchmarks in the Australia-Singapore Digital Economy Agreement</w:t>
      </w:r>
      <w:r w:rsidR="001C302A">
        <w:t xml:space="preserve"> and has </w:t>
      </w:r>
      <w:r w:rsidR="00AF0D6F">
        <w:t xml:space="preserve">commitments on </w:t>
      </w:r>
      <w:r w:rsidR="001C302A">
        <w:t xml:space="preserve">digital trade in </w:t>
      </w:r>
      <w:r w:rsidR="00934CE5">
        <w:t>12</w:t>
      </w:r>
      <w:r w:rsidR="00934CE5">
        <w:rPr>
          <w:rStyle w:val="FootnoteReference"/>
        </w:rPr>
        <w:footnoteReference w:id="9"/>
      </w:r>
      <w:r w:rsidR="00934CE5">
        <w:t xml:space="preserve"> of our 13 </w:t>
      </w:r>
      <w:r w:rsidR="001C302A">
        <w:t>bilateral FTAs. Australia is seeking ambitious digital trade rules in our ongoing FTA negotiations</w:t>
      </w:r>
      <w:r w:rsidR="00AF0D6F">
        <w:t xml:space="preserve"> with</w:t>
      </w:r>
      <w:r w:rsidR="001C302A">
        <w:t xml:space="preserve"> the European Union</w:t>
      </w:r>
      <w:r w:rsidR="00AF0D6F">
        <w:t>,</w:t>
      </w:r>
      <w:r w:rsidR="001C302A">
        <w:t xml:space="preserve"> the Pacific Alliance</w:t>
      </w:r>
      <w:r w:rsidR="00AF0D6F">
        <w:t xml:space="preserve"> and </w:t>
      </w:r>
      <w:r w:rsidR="00046E18">
        <w:t xml:space="preserve">with </w:t>
      </w:r>
      <w:r w:rsidR="001C302A">
        <w:t>A</w:t>
      </w:r>
      <w:r w:rsidR="00537550">
        <w:t>SEAN</w:t>
      </w:r>
      <w:r w:rsidR="00AF0D6F">
        <w:t xml:space="preserve"> and New Zealand in the</w:t>
      </w:r>
      <w:r w:rsidR="00C17272">
        <w:t xml:space="preserve"> </w:t>
      </w:r>
      <w:r w:rsidR="00C17272" w:rsidRPr="00C17272">
        <w:t>ASEAN-Australia-New Zealand FTA</w:t>
      </w:r>
      <w:r w:rsidR="00AF0D6F">
        <w:t xml:space="preserve"> </w:t>
      </w:r>
      <w:r w:rsidR="004C3770">
        <w:t>(</w:t>
      </w:r>
      <w:r w:rsidR="00046E18">
        <w:t>AANZFTA</w:t>
      </w:r>
      <w:r w:rsidR="004C3770">
        <w:t>)</w:t>
      </w:r>
      <w:r w:rsidR="00046E18">
        <w:t xml:space="preserve"> </w:t>
      </w:r>
      <w:r w:rsidR="00AF0D6F">
        <w:t>upgrade. We are also</w:t>
      </w:r>
      <w:r w:rsidR="001C302A">
        <w:t xml:space="preserve"> exploring</w:t>
      </w:r>
      <w:r w:rsidR="00F25057">
        <w:t xml:space="preserve"> r</w:t>
      </w:r>
      <w:r w:rsidR="001C302A">
        <w:t>egional digital trade initiative</w:t>
      </w:r>
      <w:r w:rsidR="00F25057">
        <w:t>s</w:t>
      </w:r>
      <w:r w:rsidR="00AF0D6F">
        <w:t xml:space="preserve"> with other countries in the Indo-Pacific</w:t>
      </w:r>
      <w:r w:rsidR="00537550">
        <w:t xml:space="preserve">. </w:t>
      </w:r>
    </w:p>
    <w:p w14:paraId="1AC0035A" w14:textId="77777777" w:rsidR="00606DF0" w:rsidRDefault="00046E18" w:rsidP="001C302A">
      <w:r>
        <w:t xml:space="preserve">DFAT undertakes extensive consultation with stakeholders </w:t>
      </w:r>
      <w:r w:rsidR="008470A1">
        <w:t xml:space="preserve">during FTA negotiations. </w:t>
      </w:r>
      <w:r w:rsidR="00D001ED" w:rsidRPr="00430B3D">
        <w:t xml:space="preserve">State and Territory </w:t>
      </w:r>
      <w:r w:rsidR="008470A1">
        <w:t>g</w:t>
      </w:r>
      <w:r w:rsidR="00D001ED" w:rsidRPr="00430B3D">
        <w:t>overnments are a key focus of the consultation process</w:t>
      </w:r>
      <w:r w:rsidR="00D001ED">
        <w:t xml:space="preserve"> along with </w:t>
      </w:r>
      <w:r w:rsidR="00D001ED" w:rsidRPr="00430B3D">
        <w:t>peak industry bodies</w:t>
      </w:r>
      <w:r w:rsidR="00D001ED">
        <w:t xml:space="preserve">, </w:t>
      </w:r>
      <w:r w:rsidR="00D001ED" w:rsidRPr="00430B3D">
        <w:t>individual companies</w:t>
      </w:r>
      <w:r w:rsidR="00D001ED">
        <w:t xml:space="preserve">, </w:t>
      </w:r>
      <w:r w:rsidR="00D001ED" w:rsidRPr="00430B3D">
        <w:t>academics</w:t>
      </w:r>
      <w:r w:rsidR="00D001ED">
        <w:t xml:space="preserve">, </w:t>
      </w:r>
      <w:r w:rsidR="00D001ED" w:rsidRPr="00430B3D">
        <w:t>unions</w:t>
      </w:r>
      <w:r w:rsidR="00D001ED">
        <w:t xml:space="preserve"> and </w:t>
      </w:r>
      <w:r w:rsidR="00D001ED" w:rsidRPr="00430B3D">
        <w:t>other interested individuals and organisations.</w:t>
      </w:r>
      <w:r w:rsidR="00E249E2">
        <w:t xml:space="preserve"> </w:t>
      </w:r>
      <w:r w:rsidR="008470A1" w:rsidRPr="008470A1">
        <w:t xml:space="preserve">Stakeholder consultations help guide the government’s approach to the negotiations by identifying commercially significant </w:t>
      </w:r>
      <w:r w:rsidR="00E10C75">
        <w:t xml:space="preserve">trade barriers and any other </w:t>
      </w:r>
      <w:r w:rsidR="008470A1" w:rsidRPr="008470A1">
        <w:t>impediments to increasing Australia’s economic links with negotiating partners.</w:t>
      </w:r>
      <w:r w:rsidR="00E249E2">
        <w:t xml:space="preserve"> </w:t>
      </w:r>
    </w:p>
    <w:p w14:paraId="6BD9C014" w14:textId="1614103F" w:rsidR="001C302A" w:rsidRDefault="00E10C75" w:rsidP="001C302A">
      <w:r>
        <w:t xml:space="preserve">DFAT also supports the </w:t>
      </w:r>
      <w:r w:rsidR="008470A1">
        <w:t xml:space="preserve">Australian </w:t>
      </w:r>
      <w:r w:rsidR="00D001ED" w:rsidRPr="00430B3D">
        <w:t>Government</w:t>
      </w:r>
      <w:r>
        <w:t>’s</w:t>
      </w:r>
      <w:r w:rsidR="00D001ED" w:rsidRPr="00430B3D">
        <w:t xml:space="preserve"> Ministerial Advisory Council</w:t>
      </w:r>
      <w:r w:rsidR="006512FA">
        <w:t>, which includes</w:t>
      </w:r>
      <w:r w:rsidR="00D001ED" w:rsidRPr="00430B3D">
        <w:t xml:space="preserve"> senior business and community leaders drawn from a cross-section of Australian society. The Council provides a forum through which members can </w:t>
      </w:r>
      <w:r w:rsidR="006512FA">
        <w:t>discuss</w:t>
      </w:r>
      <w:r w:rsidR="00D001ED" w:rsidRPr="00430B3D">
        <w:t xml:space="preserve"> matters relating to FTAs</w:t>
      </w:r>
      <w:r w:rsidR="006512FA">
        <w:t xml:space="preserve"> directly with the </w:t>
      </w:r>
      <w:r w:rsidR="00995FC3">
        <w:t xml:space="preserve">responsible </w:t>
      </w:r>
      <w:r w:rsidR="006512FA">
        <w:t>Minister.</w:t>
      </w:r>
    </w:p>
    <w:p w14:paraId="1BFB95DE" w14:textId="509B2B52" w:rsidR="007529A1" w:rsidRDefault="007529A1" w:rsidP="001C302A">
      <w:pPr>
        <w:sectPr w:rsidR="007529A1" w:rsidSect="001C302A">
          <w:type w:val="continuous"/>
          <w:pgSz w:w="11906" w:h="16838" w:code="9"/>
          <w:pgMar w:top="1985" w:right="1134" w:bottom="1701" w:left="1134" w:header="567" w:footer="567" w:gutter="0"/>
          <w:cols w:num="2" w:space="708"/>
          <w:titlePg/>
          <w:docGrid w:linePitch="360"/>
        </w:sectPr>
      </w:pPr>
    </w:p>
    <w:p w14:paraId="5290AD18" w14:textId="3C740DA9" w:rsidR="002C073B" w:rsidRPr="00E249E2" w:rsidRDefault="0034497F" w:rsidP="002C073B">
      <w:pPr>
        <w:pStyle w:val="BodyText"/>
        <w:pBdr>
          <w:top w:val="single" w:sz="18" w:space="1" w:color="3DA18F" w:themeColor="accent1" w:themeShade="BF"/>
          <w:left w:val="single" w:sz="18" w:space="4" w:color="3DA18F" w:themeColor="accent1" w:themeShade="BF"/>
          <w:bottom w:val="single" w:sz="18" w:space="1" w:color="3DA18F" w:themeColor="accent1" w:themeShade="BF"/>
          <w:right w:val="single" w:sz="18" w:space="4" w:color="3DA18F" w:themeColor="accent1" w:themeShade="BF"/>
        </w:pBdr>
        <w:spacing w:before="0" w:after="0"/>
        <w:jc w:val="center"/>
        <w:rPr>
          <w:b/>
          <w:bCs/>
          <w:sz w:val="12"/>
          <w:szCs w:val="12"/>
        </w:rPr>
      </w:pPr>
      <w:bookmarkStart w:id="25" w:name="_Toc92134453"/>
      <w:r w:rsidRPr="00E249E2">
        <w:rPr>
          <w:b/>
          <w:bCs/>
        </w:rPr>
        <w:t>Australia-Singapore Digital Economy Agreement</w:t>
      </w:r>
    </w:p>
    <w:p w14:paraId="3E341037" w14:textId="41AF6D10" w:rsidR="002C073B" w:rsidRDefault="00DE5201" w:rsidP="002C073B">
      <w:pPr>
        <w:pStyle w:val="BodyText"/>
        <w:pBdr>
          <w:top w:val="single" w:sz="18" w:space="1" w:color="3DA18F" w:themeColor="accent1" w:themeShade="BF"/>
          <w:left w:val="single" w:sz="18" w:space="4" w:color="3DA18F" w:themeColor="accent1" w:themeShade="BF"/>
          <w:bottom w:val="single" w:sz="18" w:space="1" w:color="3DA18F" w:themeColor="accent1" w:themeShade="BF"/>
          <w:right w:val="single" w:sz="18" w:space="4" w:color="3DA18F" w:themeColor="accent1" w:themeShade="BF"/>
        </w:pBdr>
        <w:spacing w:before="0" w:after="120"/>
        <w:rPr>
          <w:b/>
          <w:sz w:val="32"/>
          <w:szCs w:val="32"/>
          <w:lang w:val="en-AU"/>
        </w:rPr>
      </w:pPr>
      <w:r w:rsidRPr="00D23E0F">
        <w:rPr>
          <w:color w:val="auto"/>
        </w:rPr>
        <w:t>The Australia-Singapore Digital Economy Agreement (DEA) broke new ground. It set new global benchmarks for trade rules and a range of practical cooperation initiatives to reduce barriers to digital trade and build an environment in which Australian businesses and consumers are able to participate and benefit from digital trade and the digitalisation of the economy.</w:t>
      </w:r>
      <w:r w:rsidR="00403C4D">
        <w:rPr>
          <w:color w:val="auto"/>
        </w:rPr>
        <w:t xml:space="preserve"> </w:t>
      </w:r>
      <w:r w:rsidRPr="00D23E0F">
        <w:rPr>
          <w:color w:val="auto"/>
        </w:rPr>
        <w:t xml:space="preserve">The DEA delivers a range of new trade rules and a comprehensive framework for bilateral cooperation to help businesses and consumers capitalise on the digital economy. </w:t>
      </w:r>
      <w:r>
        <w:rPr>
          <w:color w:val="auto"/>
        </w:rPr>
        <w:t xml:space="preserve">Alongside the DEA, </w:t>
      </w:r>
      <w:r w:rsidRPr="00D23E0F">
        <w:rPr>
          <w:color w:val="auto"/>
        </w:rPr>
        <w:t>Australia and Singapore also signed a series of MoUs on areas including data innovation, artificial intelligence, e</w:t>
      </w:r>
      <w:r w:rsidRPr="00D23E0F">
        <w:rPr>
          <w:rFonts w:ascii="Cambria Math" w:hAnsi="Cambria Math" w:cs="Cambria Math"/>
          <w:color w:val="auto"/>
        </w:rPr>
        <w:t>‑</w:t>
      </w:r>
      <w:r w:rsidRPr="00D23E0F">
        <w:rPr>
          <w:color w:val="auto"/>
        </w:rPr>
        <w:t>invoicing, e-certification for agricultural exports and imports, trade facilitation, personal data protection, and digital identity. These MoUs are realising tangible outcomes – for example, Australian Border Force has completed a proof-of-concept trial of electronic Certificates of Origin with Singapore Customs and Singapore’s Infocomm Media Development Authority</w:t>
      </w:r>
      <w:r>
        <w:rPr>
          <w:color w:val="auto"/>
        </w:rPr>
        <w:t>.</w:t>
      </w:r>
    </w:p>
    <w:p w14:paraId="7F4299DF" w14:textId="77777777" w:rsidR="002C073B" w:rsidRDefault="002C073B" w:rsidP="00441E50">
      <w:pPr>
        <w:pStyle w:val="Heading2"/>
        <w:spacing w:before="360"/>
        <w:sectPr w:rsidR="002C073B" w:rsidSect="00DD3BA7">
          <w:type w:val="continuous"/>
          <w:pgSz w:w="11906" w:h="16838" w:code="9"/>
          <w:pgMar w:top="3544" w:right="1134" w:bottom="1701" w:left="1134" w:header="567" w:footer="567" w:gutter="0"/>
          <w:cols w:space="708"/>
          <w:titlePg/>
          <w:docGrid w:linePitch="360"/>
        </w:sectPr>
      </w:pPr>
    </w:p>
    <w:p w14:paraId="5684626A" w14:textId="7775DA3F" w:rsidR="009D024D" w:rsidRDefault="00454DA9" w:rsidP="00441E50">
      <w:pPr>
        <w:pStyle w:val="Heading2"/>
        <w:spacing w:before="360"/>
      </w:pPr>
      <w:r w:rsidRPr="00454DA9">
        <w:rPr>
          <w:noProof/>
        </w:rPr>
        <w:lastRenderedPageBreak/>
        <mc:AlternateContent>
          <mc:Choice Requires="wpg">
            <w:drawing>
              <wp:anchor distT="0" distB="0" distL="114300" distR="114300" simplePos="0" relativeHeight="251674624" behindDoc="0" locked="0" layoutInCell="1" allowOverlap="1" wp14:anchorId="0D27DC11" wp14:editId="3BF72076">
                <wp:simplePos x="0" y="0"/>
                <wp:positionH relativeFrom="column">
                  <wp:posOffset>1216426</wp:posOffset>
                </wp:positionH>
                <wp:positionV relativeFrom="paragraph">
                  <wp:posOffset>11596</wp:posOffset>
                </wp:positionV>
                <wp:extent cx="435600" cy="342360"/>
                <wp:effectExtent l="0" t="0" r="22225" b="19685"/>
                <wp:wrapNone/>
                <wp:docPr id="53" name="Group 1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5600" cy="342360"/>
                          <a:chOff x="700289" y="40500"/>
                          <a:chExt cx="435600" cy="342360"/>
                        </a:xfrm>
                      </wpg:grpSpPr>
                      <wps:wsp>
                        <wps:cNvPr id="54" name="Freeform 54"/>
                        <wps:cNvSpPr/>
                        <wps:spPr>
                          <a:xfrm>
                            <a:off x="839609" y="54900"/>
                            <a:ext cx="71280" cy="42120"/>
                          </a:xfrm>
                          <a:custGeom>
                            <a:avLst/>
                            <a:gdLst/>
                            <a:ahLst/>
                            <a:cxnLst/>
                            <a:rect l="0" t="0" r="r" b="b"/>
                            <a:pathLst>
                              <a:path w="198" h="117">
                                <a:moveTo>
                                  <a:pt x="34" y="68"/>
                                </a:moveTo>
                                <a:lnTo>
                                  <a:pt x="34" y="68"/>
                                </a:lnTo>
                                <a:cubicBezTo>
                                  <a:pt x="34" y="68"/>
                                  <a:pt x="0" y="7"/>
                                  <a:pt x="68" y="0"/>
                                </a:cubicBezTo>
                                <a:cubicBezTo>
                                  <a:pt x="68" y="0"/>
                                  <a:pt x="82" y="41"/>
                                  <a:pt x="143" y="48"/>
                                </a:cubicBezTo>
                                <a:cubicBezTo>
                                  <a:pt x="177" y="48"/>
                                  <a:pt x="197" y="88"/>
                                  <a:pt x="177" y="116"/>
                                </a:cubicBezTo>
                                <a:lnTo>
                                  <a:pt x="177" y="116"/>
                                </a:lnTo>
                              </a:path>
                            </a:pathLst>
                          </a:custGeom>
                          <a:noFill/>
                          <a:ln w="9720">
                            <a:solidFill>
                              <a:srgbClr val="344154"/>
                            </a:solidFill>
                            <a:miter/>
                          </a:ln>
                        </wps:spPr>
                        <wps:bodyPr/>
                      </wps:wsp>
                      <wps:wsp>
                        <wps:cNvPr id="55" name="Freeform 55"/>
                        <wps:cNvSpPr/>
                        <wps:spPr>
                          <a:xfrm>
                            <a:off x="864089" y="40500"/>
                            <a:ext cx="95760" cy="36720"/>
                          </a:xfrm>
                          <a:custGeom>
                            <a:avLst/>
                            <a:gdLst/>
                            <a:ahLst/>
                            <a:cxnLst/>
                            <a:rect l="0" t="0" r="r" b="b"/>
                            <a:pathLst>
                              <a:path w="266" h="102">
                                <a:moveTo>
                                  <a:pt x="0" y="40"/>
                                </a:moveTo>
                                <a:lnTo>
                                  <a:pt x="0" y="40"/>
                                </a:lnTo>
                                <a:lnTo>
                                  <a:pt x="0" y="40"/>
                                </a:lnTo>
                                <a:cubicBezTo>
                                  <a:pt x="0" y="13"/>
                                  <a:pt x="20" y="0"/>
                                  <a:pt x="41" y="6"/>
                                </a:cubicBezTo>
                                <a:cubicBezTo>
                                  <a:pt x="61" y="6"/>
                                  <a:pt x="88" y="13"/>
                                  <a:pt x="122" y="6"/>
                                </a:cubicBezTo>
                                <a:cubicBezTo>
                                  <a:pt x="143" y="0"/>
                                  <a:pt x="163" y="6"/>
                                  <a:pt x="177" y="13"/>
                                </a:cubicBezTo>
                                <a:cubicBezTo>
                                  <a:pt x="197" y="33"/>
                                  <a:pt x="231" y="61"/>
                                  <a:pt x="265" y="101"/>
                                </a:cubicBezTo>
                              </a:path>
                            </a:pathLst>
                          </a:custGeom>
                          <a:noFill/>
                          <a:ln w="9720">
                            <a:solidFill>
                              <a:srgbClr val="344154"/>
                            </a:solidFill>
                            <a:miter/>
                          </a:ln>
                        </wps:spPr>
                        <wps:bodyPr/>
                      </wps:wsp>
                      <wps:wsp>
                        <wps:cNvPr id="56" name="Freeform 56"/>
                        <wps:cNvSpPr/>
                        <wps:spPr>
                          <a:xfrm>
                            <a:off x="780929" y="76860"/>
                            <a:ext cx="244800" cy="215640"/>
                          </a:xfrm>
                          <a:custGeom>
                            <a:avLst/>
                            <a:gdLst/>
                            <a:ahLst/>
                            <a:cxnLst/>
                            <a:rect l="0" t="0" r="r" b="b"/>
                            <a:pathLst>
                              <a:path w="680" h="599">
                                <a:moveTo>
                                  <a:pt x="347" y="27"/>
                                </a:moveTo>
                                <a:lnTo>
                                  <a:pt x="347" y="27"/>
                                </a:lnTo>
                                <a:cubicBezTo>
                                  <a:pt x="496" y="0"/>
                                  <a:pt x="496" y="0"/>
                                  <a:pt x="496" y="0"/>
                                </a:cubicBezTo>
                                <a:cubicBezTo>
                                  <a:pt x="516" y="0"/>
                                  <a:pt x="530" y="0"/>
                                  <a:pt x="543" y="0"/>
                                </a:cubicBezTo>
                                <a:cubicBezTo>
                                  <a:pt x="571" y="7"/>
                                  <a:pt x="571" y="7"/>
                                  <a:pt x="571" y="7"/>
                                </a:cubicBezTo>
                                <a:cubicBezTo>
                                  <a:pt x="604" y="14"/>
                                  <a:pt x="618" y="55"/>
                                  <a:pt x="598" y="82"/>
                                </a:cubicBezTo>
                                <a:lnTo>
                                  <a:pt x="598" y="82"/>
                                </a:lnTo>
                                <a:cubicBezTo>
                                  <a:pt x="598" y="82"/>
                                  <a:pt x="639" y="102"/>
                                  <a:pt x="625" y="156"/>
                                </a:cubicBezTo>
                                <a:cubicBezTo>
                                  <a:pt x="625" y="156"/>
                                  <a:pt x="666" y="177"/>
                                  <a:pt x="639" y="224"/>
                                </a:cubicBezTo>
                                <a:cubicBezTo>
                                  <a:pt x="639" y="224"/>
                                  <a:pt x="679" y="245"/>
                                  <a:pt x="666" y="285"/>
                                </a:cubicBezTo>
                                <a:lnTo>
                                  <a:pt x="666" y="285"/>
                                </a:lnTo>
                                <a:cubicBezTo>
                                  <a:pt x="604" y="333"/>
                                  <a:pt x="530" y="380"/>
                                  <a:pt x="455" y="414"/>
                                </a:cubicBezTo>
                                <a:cubicBezTo>
                                  <a:pt x="428" y="428"/>
                                  <a:pt x="428" y="428"/>
                                  <a:pt x="428" y="428"/>
                                </a:cubicBezTo>
                                <a:cubicBezTo>
                                  <a:pt x="299" y="442"/>
                                  <a:pt x="299" y="442"/>
                                  <a:pt x="299" y="442"/>
                                </a:cubicBezTo>
                                <a:cubicBezTo>
                                  <a:pt x="265" y="442"/>
                                  <a:pt x="238" y="455"/>
                                  <a:pt x="204" y="469"/>
                                </a:cubicBezTo>
                                <a:cubicBezTo>
                                  <a:pt x="0" y="598"/>
                                  <a:pt x="0" y="598"/>
                                  <a:pt x="0" y="598"/>
                                </a:cubicBezTo>
                              </a:path>
                            </a:pathLst>
                          </a:custGeom>
                          <a:noFill/>
                          <a:ln w="9720">
                            <a:solidFill>
                              <a:srgbClr val="344154"/>
                            </a:solidFill>
                            <a:miter/>
                          </a:ln>
                        </wps:spPr>
                        <wps:bodyPr/>
                      </wps:wsp>
                      <wps:wsp>
                        <wps:cNvPr id="57" name="Freeform 57"/>
                        <wps:cNvSpPr/>
                        <wps:spPr>
                          <a:xfrm>
                            <a:off x="825209" y="130860"/>
                            <a:ext cx="46440" cy="32040"/>
                          </a:xfrm>
                          <a:custGeom>
                            <a:avLst/>
                            <a:gdLst/>
                            <a:ahLst/>
                            <a:cxnLst/>
                            <a:rect l="0" t="0" r="r" b="b"/>
                            <a:pathLst>
                              <a:path w="129" h="89">
                                <a:moveTo>
                                  <a:pt x="34" y="0"/>
                                </a:moveTo>
                                <a:lnTo>
                                  <a:pt x="34" y="0"/>
                                </a:lnTo>
                                <a:cubicBezTo>
                                  <a:pt x="34" y="0"/>
                                  <a:pt x="0" y="13"/>
                                  <a:pt x="6" y="40"/>
                                </a:cubicBezTo>
                                <a:cubicBezTo>
                                  <a:pt x="6" y="54"/>
                                  <a:pt x="20" y="67"/>
                                  <a:pt x="34" y="67"/>
                                </a:cubicBezTo>
                                <a:cubicBezTo>
                                  <a:pt x="74" y="81"/>
                                  <a:pt x="74" y="81"/>
                                  <a:pt x="74" y="81"/>
                                </a:cubicBezTo>
                                <a:cubicBezTo>
                                  <a:pt x="95" y="88"/>
                                  <a:pt x="122" y="74"/>
                                  <a:pt x="122" y="54"/>
                                </a:cubicBezTo>
                                <a:cubicBezTo>
                                  <a:pt x="128" y="47"/>
                                  <a:pt x="122" y="40"/>
                                  <a:pt x="115" y="27"/>
                                </a:cubicBezTo>
                              </a:path>
                            </a:pathLst>
                          </a:custGeom>
                          <a:noFill/>
                          <a:ln w="9720">
                            <a:solidFill>
                              <a:srgbClr val="344154"/>
                            </a:solidFill>
                            <a:miter/>
                          </a:ln>
                        </wps:spPr>
                        <wps:bodyPr/>
                      </wps:wsp>
                      <wps:wsp>
                        <wps:cNvPr id="58" name="Line 1138"/>
                        <wps:cNvCnPr/>
                        <wps:spPr>
                          <a:xfrm flipH="1">
                            <a:off x="780929" y="154980"/>
                            <a:ext cx="54000" cy="39240"/>
                          </a:xfrm>
                          <a:prstGeom prst="line">
                            <a:avLst/>
                          </a:prstGeom>
                          <a:ln w="9720">
                            <a:solidFill>
                              <a:srgbClr val="344154"/>
                            </a:solidFill>
                            <a:miter/>
                          </a:ln>
                        </wps:spPr>
                        <wps:style>
                          <a:lnRef idx="0">
                            <a:scrgbClr r="0" g="0" b="0"/>
                          </a:lnRef>
                          <a:fillRef idx="0">
                            <a:scrgbClr r="0" g="0" b="0"/>
                          </a:fillRef>
                          <a:effectRef idx="0">
                            <a:scrgbClr r="0" g="0" b="0"/>
                          </a:effectRef>
                          <a:fontRef idx="minor"/>
                        </wps:style>
                        <wps:bodyPr/>
                      </wps:wsp>
                      <wps:wsp>
                        <wps:cNvPr id="59" name="Freeform 59"/>
                        <wps:cNvSpPr/>
                        <wps:spPr>
                          <a:xfrm>
                            <a:off x="935009" y="230940"/>
                            <a:ext cx="117720" cy="61560"/>
                          </a:xfrm>
                          <a:custGeom>
                            <a:avLst/>
                            <a:gdLst/>
                            <a:ahLst/>
                            <a:cxnLst/>
                            <a:rect l="0" t="0" r="r" b="b"/>
                            <a:pathLst>
                              <a:path w="327" h="171">
                                <a:moveTo>
                                  <a:pt x="0" y="0"/>
                                </a:moveTo>
                                <a:lnTo>
                                  <a:pt x="0" y="0"/>
                                </a:lnTo>
                                <a:cubicBezTo>
                                  <a:pt x="0" y="0"/>
                                  <a:pt x="211" y="122"/>
                                  <a:pt x="326" y="170"/>
                                </a:cubicBezTo>
                              </a:path>
                            </a:pathLst>
                          </a:custGeom>
                          <a:noFill/>
                          <a:ln w="9720">
                            <a:solidFill>
                              <a:srgbClr val="344154"/>
                            </a:solidFill>
                            <a:miter/>
                          </a:ln>
                        </wps:spPr>
                        <wps:bodyPr/>
                      </wps:wsp>
                      <wps:wsp>
                        <wps:cNvPr id="60" name="Line 1140"/>
                        <wps:cNvCnPr/>
                        <wps:spPr>
                          <a:xfrm>
                            <a:off x="1020689" y="179460"/>
                            <a:ext cx="29160" cy="14760"/>
                          </a:xfrm>
                          <a:prstGeom prst="line">
                            <a:avLst/>
                          </a:prstGeom>
                          <a:ln w="9720">
                            <a:solidFill>
                              <a:srgbClr val="344154"/>
                            </a:solidFill>
                            <a:miter/>
                          </a:ln>
                        </wps:spPr>
                        <wps:style>
                          <a:lnRef idx="0">
                            <a:scrgbClr r="0" g="0" b="0"/>
                          </a:lnRef>
                          <a:fillRef idx="0">
                            <a:scrgbClr r="0" g="0" b="0"/>
                          </a:fillRef>
                          <a:effectRef idx="0">
                            <a:scrgbClr r="0" g="0" b="0"/>
                          </a:effectRef>
                          <a:fontRef idx="minor"/>
                        </wps:style>
                        <wps:bodyPr/>
                      </wps:wsp>
                      <wps:wsp>
                        <wps:cNvPr id="61" name="Line 1141"/>
                        <wps:cNvCnPr/>
                        <wps:spPr>
                          <a:xfrm flipH="1">
                            <a:off x="962009" y="106380"/>
                            <a:ext cx="34200" cy="2520"/>
                          </a:xfrm>
                          <a:prstGeom prst="line">
                            <a:avLst/>
                          </a:prstGeom>
                          <a:ln w="9720">
                            <a:solidFill>
                              <a:srgbClr val="344154"/>
                            </a:solidFill>
                            <a:miter/>
                          </a:ln>
                        </wps:spPr>
                        <wps:style>
                          <a:lnRef idx="0">
                            <a:scrgbClr r="0" g="0" b="0"/>
                          </a:lnRef>
                          <a:fillRef idx="0">
                            <a:scrgbClr r="0" g="0" b="0"/>
                          </a:fillRef>
                          <a:effectRef idx="0">
                            <a:scrgbClr r="0" g="0" b="0"/>
                          </a:effectRef>
                          <a:fontRef idx="minor"/>
                        </wps:style>
                        <wps:bodyPr/>
                      </wps:wsp>
                      <wps:wsp>
                        <wps:cNvPr id="62" name="Line 1142"/>
                        <wps:cNvCnPr/>
                        <wps:spPr>
                          <a:xfrm flipH="1">
                            <a:off x="969209" y="133020"/>
                            <a:ext cx="36720" cy="10080"/>
                          </a:xfrm>
                          <a:prstGeom prst="line">
                            <a:avLst/>
                          </a:prstGeom>
                          <a:ln w="9720">
                            <a:solidFill>
                              <a:srgbClr val="344154"/>
                            </a:solidFill>
                            <a:miter/>
                          </a:ln>
                        </wps:spPr>
                        <wps:style>
                          <a:lnRef idx="0">
                            <a:scrgbClr r="0" g="0" b="0"/>
                          </a:lnRef>
                          <a:fillRef idx="0">
                            <a:scrgbClr r="0" g="0" b="0"/>
                          </a:fillRef>
                          <a:effectRef idx="0">
                            <a:scrgbClr r="0" g="0" b="0"/>
                          </a:effectRef>
                          <a:fontRef idx="minor"/>
                        </wps:style>
                        <wps:bodyPr/>
                      </wps:wsp>
                      <wps:wsp>
                        <wps:cNvPr id="63" name="Line 1143"/>
                        <wps:cNvCnPr/>
                        <wps:spPr>
                          <a:xfrm flipH="1">
                            <a:off x="978929" y="157500"/>
                            <a:ext cx="32040" cy="17280"/>
                          </a:xfrm>
                          <a:prstGeom prst="line">
                            <a:avLst/>
                          </a:prstGeom>
                          <a:ln w="9720">
                            <a:solidFill>
                              <a:srgbClr val="344154"/>
                            </a:solidFill>
                            <a:miter/>
                          </a:ln>
                        </wps:spPr>
                        <wps:style>
                          <a:lnRef idx="0">
                            <a:scrgbClr r="0" g="0" b="0"/>
                          </a:lnRef>
                          <a:fillRef idx="0">
                            <a:scrgbClr r="0" g="0" b="0"/>
                          </a:fillRef>
                          <a:effectRef idx="0">
                            <a:scrgbClr r="0" g="0" b="0"/>
                          </a:effectRef>
                          <a:fontRef idx="minor"/>
                        </wps:style>
                        <wps:bodyPr/>
                      </wps:wsp>
                      <wps:wsp>
                        <wps:cNvPr id="192" name="Freeform 192"/>
                        <wps:cNvSpPr/>
                        <wps:spPr>
                          <a:xfrm>
                            <a:off x="742049" y="181980"/>
                            <a:ext cx="39240" cy="146880"/>
                          </a:xfrm>
                          <a:custGeom>
                            <a:avLst/>
                            <a:gdLst/>
                            <a:ahLst/>
                            <a:cxnLst/>
                            <a:rect l="0" t="0" r="r" b="b"/>
                            <a:pathLst>
                              <a:path w="109" h="408">
                                <a:moveTo>
                                  <a:pt x="6" y="54"/>
                                </a:moveTo>
                                <a:lnTo>
                                  <a:pt x="108" y="0"/>
                                </a:lnTo>
                                <a:lnTo>
                                  <a:pt x="108" y="346"/>
                                </a:lnTo>
                                <a:lnTo>
                                  <a:pt x="0" y="407"/>
                                </a:lnTo>
                              </a:path>
                            </a:pathLst>
                          </a:custGeom>
                          <a:noFill/>
                          <a:ln w="9720">
                            <a:solidFill>
                              <a:srgbClr val="344154"/>
                            </a:solidFill>
                            <a:round/>
                          </a:ln>
                        </wps:spPr>
                        <wps:bodyPr/>
                      </wps:wsp>
                      <wps:wsp>
                        <wps:cNvPr id="193" name="Freeform 193"/>
                        <wps:cNvSpPr/>
                        <wps:spPr>
                          <a:xfrm>
                            <a:off x="700289" y="181980"/>
                            <a:ext cx="44280" cy="200880"/>
                          </a:xfrm>
                          <a:custGeom>
                            <a:avLst/>
                            <a:gdLst/>
                            <a:ahLst/>
                            <a:cxnLst/>
                            <a:rect l="0" t="0" r="r" b="b"/>
                            <a:pathLst>
                              <a:path w="123" h="558">
                                <a:moveTo>
                                  <a:pt x="122" y="41"/>
                                </a:moveTo>
                                <a:lnTo>
                                  <a:pt x="122" y="41"/>
                                </a:lnTo>
                                <a:cubicBezTo>
                                  <a:pt x="122" y="462"/>
                                  <a:pt x="122" y="462"/>
                                  <a:pt x="122" y="462"/>
                                </a:cubicBezTo>
                                <a:cubicBezTo>
                                  <a:pt x="122" y="475"/>
                                  <a:pt x="116" y="482"/>
                                  <a:pt x="109" y="489"/>
                                </a:cubicBezTo>
                                <a:cubicBezTo>
                                  <a:pt x="0" y="557"/>
                                  <a:pt x="0" y="557"/>
                                  <a:pt x="0" y="557"/>
                                </a:cubicBezTo>
                                <a:cubicBezTo>
                                  <a:pt x="0" y="54"/>
                                  <a:pt x="0" y="54"/>
                                  <a:pt x="0" y="54"/>
                                </a:cubicBezTo>
                                <a:cubicBezTo>
                                  <a:pt x="75" y="14"/>
                                  <a:pt x="75" y="14"/>
                                  <a:pt x="75" y="14"/>
                                </a:cubicBezTo>
                                <a:cubicBezTo>
                                  <a:pt x="95" y="0"/>
                                  <a:pt x="122" y="14"/>
                                  <a:pt x="122" y="41"/>
                                </a:cubicBezTo>
                              </a:path>
                            </a:pathLst>
                          </a:custGeom>
                          <a:noFill/>
                          <a:ln w="9720">
                            <a:solidFill>
                              <a:srgbClr val="344154"/>
                            </a:solidFill>
                            <a:round/>
                          </a:ln>
                        </wps:spPr>
                        <wps:bodyPr/>
                      </wps:wsp>
                      <wps:wsp>
                        <wps:cNvPr id="194" name="Freeform 194"/>
                        <wps:cNvSpPr/>
                        <wps:spPr>
                          <a:xfrm>
                            <a:off x="1052369" y="181980"/>
                            <a:ext cx="41760" cy="146880"/>
                          </a:xfrm>
                          <a:custGeom>
                            <a:avLst/>
                            <a:gdLst/>
                            <a:ahLst/>
                            <a:cxnLst/>
                            <a:rect l="0" t="0" r="r" b="b"/>
                            <a:pathLst>
                              <a:path w="116" h="408">
                                <a:moveTo>
                                  <a:pt x="102" y="54"/>
                                </a:moveTo>
                                <a:lnTo>
                                  <a:pt x="0" y="0"/>
                                </a:lnTo>
                                <a:lnTo>
                                  <a:pt x="0" y="346"/>
                                </a:lnTo>
                                <a:lnTo>
                                  <a:pt x="115" y="407"/>
                                </a:lnTo>
                              </a:path>
                            </a:pathLst>
                          </a:custGeom>
                          <a:noFill/>
                          <a:ln w="9720">
                            <a:solidFill>
                              <a:srgbClr val="344154"/>
                            </a:solidFill>
                            <a:round/>
                          </a:ln>
                        </wps:spPr>
                        <wps:bodyPr/>
                      </wps:wsp>
                      <wps:wsp>
                        <wps:cNvPr id="195" name="Freeform 195"/>
                        <wps:cNvSpPr/>
                        <wps:spPr>
                          <a:xfrm>
                            <a:off x="1091249" y="181980"/>
                            <a:ext cx="44640" cy="200880"/>
                          </a:xfrm>
                          <a:custGeom>
                            <a:avLst/>
                            <a:gdLst/>
                            <a:ahLst/>
                            <a:cxnLst/>
                            <a:rect l="0" t="0" r="r" b="b"/>
                            <a:pathLst>
                              <a:path w="124" h="558">
                                <a:moveTo>
                                  <a:pt x="0" y="41"/>
                                </a:moveTo>
                                <a:lnTo>
                                  <a:pt x="0" y="41"/>
                                </a:lnTo>
                                <a:cubicBezTo>
                                  <a:pt x="0" y="462"/>
                                  <a:pt x="0" y="462"/>
                                  <a:pt x="0" y="462"/>
                                </a:cubicBezTo>
                                <a:cubicBezTo>
                                  <a:pt x="0" y="475"/>
                                  <a:pt x="0" y="482"/>
                                  <a:pt x="14" y="489"/>
                                </a:cubicBezTo>
                                <a:cubicBezTo>
                                  <a:pt x="123" y="557"/>
                                  <a:pt x="123" y="557"/>
                                  <a:pt x="123" y="557"/>
                                </a:cubicBezTo>
                                <a:cubicBezTo>
                                  <a:pt x="123" y="54"/>
                                  <a:pt x="123" y="54"/>
                                  <a:pt x="123" y="54"/>
                                </a:cubicBezTo>
                                <a:cubicBezTo>
                                  <a:pt x="41" y="14"/>
                                  <a:pt x="41" y="14"/>
                                  <a:pt x="41" y="14"/>
                                </a:cubicBezTo>
                                <a:cubicBezTo>
                                  <a:pt x="21" y="0"/>
                                  <a:pt x="0" y="14"/>
                                  <a:pt x="0" y="41"/>
                                </a:cubicBezTo>
                              </a:path>
                            </a:pathLst>
                          </a:custGeom>
                          <a:noFill/>
                          <a:ln w="9720">
                            <a:solidFill>
                              <a:srgbClr val="344154"/>
                            </a:solidFill>
                            <a:round/>
                          </a:ln>
                        </wps:spPr>
                        <wps:bodyPr/>
                      </wps:wsp>
                      <wps:wsp>
                        <wps:cNvPr id="196" name="Freeform 196"/>
                        <wps:cNvSpPr/>
                        <wps:spPr>
                          <a:xfrm>
                            <a:off x="825209" y="79380"/>
                            <a:ext cx="85680" cy="64080"/>
                          </a:xfrm>
                          <a:custGeom>
                            <a:avLst/>
                            <a:gdLst/>
                            <a:ahLst/>
                            <a:cxnLst/>
                            <a:rect l="0" t="0" r="r" b="b"/>
                            <a:pathLst>
                              <a:path w="238" h="178">
                                <a:moveTo>
                                  <a:pt x="142" y="109"/>
                                </a:moveTo>
                                <a:lnTo>
                                  <a:pt x="142" y="109"/>
                                </a:lnTo>
                                <a:cubicBezTo>
                                  <a:pt x="183" y="122"/>
                                  <a:pt x="183" y="122"/>
                                  <a:pt x="183" y="122"/>
                                </a:cubicBezTo>
                                <a:cubicBezTo>
                                  <a:pt x="203" y="122"/>
                                  <a:pt x="224" y="116"/>
                                  <a:pt x="230" y="95"/>
                                </a:cubicBezTo>
                                <a:lnTo>
                                  <a:pt x="230" y="95"/>
                                </a:lnTo>
                                <a:cubicBezTo>
                                  <a:pt x="237" y="75"/>
                                  <a:pt x="224" y="48"/>
                                  <a:pt x="203" y="41"/>
                                </a:cubicBezTo>
                                <a:cubicBezTo>
                                  <a:pt x="95" y="7"/>
                                  <a:pt x="95" y="7"/>
                                  <a:pt x="95" y="7"/>
                                </a:cubicBezTo>
                                <a:cubicBezTo>
                                  <a:pt x="81" y="0"/>
                                  <a:pt x="61" y="0"/>
                                  <a:pt x="47" y="14"/>
                                </a:cubicBezTo>
                                <a:cubicBezTo>
                                  <a:pt x="40" y="20"/>
                                  <a:pt x="34" y="27"/>
                                  <a:pt x="34" y="41"/>
                                </a:cubicBezTo>
                                <a:cubicBezTo>
                                  <a:pt x="34" y="61"/>
                                  <a:pt x="40" y="75"/>
                                  <a:pt x="61" y="82"/>
                                </a:cubicBezTo>
                                <a:cubicBezTo>
                                  <a:pt x="183" y="122"/>
                                  <a:pt x="183" y="122"/>
                                  <a:pt x="183" y="122"/>
                                </a:cubicBezTo>
                                <a:cubicBezTo>
                                  <a:pt x="169" y="143"/>
                                  <a:pt x="169" y="143"/>
                                  <a:pt x="169" y="143"/>
                                </a:cubicBezTo>
                                <a:cubicBezTo>
                                  <a:pt x="163" y="170"/>
                                  <a:pt x="142" y="177"/>
                                  <a:pt x="115" y="170"/>
                                </a:cubicBezTo>
                                <a:cubicBezTo>
                                  <a:pt x="108" y="170"/>
                                  <a:pt x="108" y="170"/>
                                  <a:pt x="108" y="170"/>
                                </a:cubicBezTo>
                                <a:cubicBezTo>
                                  <a:pt x="27" y="143"/>
                                  <a:pt x="27" y="143"/>
                                  <a:pt x="27" y="143"/>
                                </a:cubicBezTo>
                                <a:cubicBezTo>
                                  <a:pt x="6" y="136"/>
                                  <a:pt x="0" y="109"/>
                                  <a:pt x="6" y="95"/>
                                </a:cubicBezTo>
                                <a:cubicBezTo>
                                  <a:pt x="13" y="82"/>
                                  <a:pt x="27" y="75"/>
                                  <a:pt x="47" y="68"/>
                                </a:cubicBezTo>
                              </a:path>
                            </a:pathLst>
                          </a:custGeom>
                          <a:noFill/>
                          <a:ln w="9720">
                            <a:solidFill>
                              <a:srgbClr val="344154"/>
                            </a:solidFill>
                            <a:miter/>
                          </a:ln>
                        </wps:spPr>
                        <wps:bodyPr/>
                      </wps:wsp>
                    </wpg:wgp>
                  </a:graphicData>
                </a:graphic>
                <wp14:sizeRelH relativeFrom="margin">
                  <wp14:pctWidth>0</wp14:pctWidth>
                </wp14:sizeRelH>
                <wp14:sizeRelV relativeFrom="margin">
                  <wp14:pctHeight>0</wp14:pctHeight>
                </wp14:sizeRelV>
              </wp:anchor>
            </w:drawing>
          </mc:Choice>
          <mc:Fallback>
            <w:pict>
              <v:group w14:anchorId="023CB339" id="Group 1199" o:spid="_x0000_s1026" alt="&quot;&quot;" style="position:absolute;margin-left:95.8pt;margin-top:.9pt;width:34.3pt;height:26.95pt;z-index:251674624;mso-width-relative:margin;mso-height-relative:margin" coordorigin="7002,405" coordsize="4356,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">
                <v:shape id="Freeform 54" o:spid="_x0000_s1027" style="position:absolute;left:8396;top:549;width:712;height:421;visibility:visible;mso-wrap-style:square;v-text-anchor:top" coordsize="19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" path="m34,68r,c34,68,,7,68,v,,14,41,75,48c177,48,197,88,177,116r,e" filled="f" strokecolor="#344154" strokeweight=".27mm">
                  <v:stroke joinstyle="miter"/>
                  <v:path arrowok="t"/>
                </v:shape>
                <v:shape id="Freeform 55" o:spid="_x0000_s1028" style="position:absolute;left:8640;top:405;width:958;height:367;visibility:visible;mso-wrap-style:square;v-text-anchor:top" coordsize="26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" path="m,40r,l,40c,13,20,,41,6v20,,47,7,81,c143,,163,6,177,13v20,20,54,48,88,88e" filled="f" strokecolor="#344154" strokeweight=".27mm">
                  <v:stroke joinstyle="miter"/>
                  <v:path arrowok="t"/>
                </v:shape>
                <v:shape id="Freeform 56" o:spid="_x0000_s1029" style="position:absolute;left:7809;top:768;width:2448;height:2157;visibility:visible;mso-wrap-style:square;v-text-anchor:top" coordsize="68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" path="m347,27r,c496,,496,,496,v20,,34,,47,c571,7,571,7,571,7v33,7,47,48,27,75l598,82v,,41,20,27,74c625,156,666,177,639,224v,,40,21,27,61l666,285c604,333,530,380,455,414v-27,14,-27,14,-27,14c299,442,299,442,299,442v-34,,-61,13,-95,27c,598,,598,,598e" filled="f" strokecolor="#344154" strokeweight=".27mm">
                  <v:stroke joinstyle="miter"/>
                  <v:path arrowok="t"/>
                </v:shape>
                <v:shape id="Freeform 57" o:spid="_x0000_s1030" style="position:absolute;left:8252;top:1308;width:464;height:321;visibility:visible;mso-wrap-style:square;v-text-anchor:top" coordsize="1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" path="m34,r,c34,,,13,6,40v,14,14,27,28,27c74,81,74,81,74,81v21,7,48,-7,48,-27c128,47,122,40,115,27e" filled="f" strokecolor="#344154" strokeweight=".27mm">
                  <v:stroke joinstyle="miter"/>
                  <v:path arrowok="t"/>
                </v:shape>
                <v:line id="Line 1138" o:spid="_x0000_s1031" style="position:absolute;flip:x;visibility:visible;mso-wrap-style:square" from="7809,1549" to="8349,1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" strokecolor="#344154" strokeweight=".27mm">
                  <v:stroke joinstyle="miter"/>
                </v:line>
                <v:shape id="Freeform 59" o:spid="_x0000_s1032" style="position:absolute;left:9350;top:2309;width:1177;height:616;visibility:visible;mso-wrap-style:square;v-text-anchor:top" coordsize="32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" path="m,l,c,,211,122,326,170e" filled="f" strokecolor="#344154" strokeweight=".27mm">
                  <v:stroke joinstyle="miter"/>
                  <v:path arrowok="t"/>
                </v:shape>
                <v:line id="Line 1140" o:spid="_x0000_s1033" style="position:absolute;visibility:visible;mso-wrap-style:square" from="10206,1794" to="10498,1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" strokecolor="#344154" strokeweight=".27mm">
                  <v:stroke joinstyle="miter"/>
                </v:line>
                <v:line id="Line 1141" o:spid="_x0000_s1034" style="position:absolute;flip:x;visibility:visible;mso-wrap-style:square" from="9620,1063" to="9962,1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" strokecolor="#344154" strokeweight=".27mm">
                  <v:stroke joinstyle="miter"/>
                </v:line>
                <v:line id="Line 1142" o:spid="_x0000_s1035" style="position:absolute;flip:x;visibility:visible;mso-wrap-style:square" from="9692,1330" to="10059,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" strokecolor="#344154" strokeweight=".27mm">
                  <v:stroke joinstyle="miter"/>
                </v:line>
                <v:line id="Line 1143" o:spid="_x0000_s1036" style="position:absolute;flip:x;visibility:visible;mso-wrap-style:square" from="9789,1575" to="10109,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" strokecolor="#344154" strokeweight=".27mm">
                  <v:stroke joinstyle="miter"/>
                </v:line>
                <v:shape id="Freeform 192" o:spid="_x0000_s1037" style="position:absolute;left:7420;top:1819;width:392;height:1469;visibility:visible;mso-wrap-style:square;v-text-anchor:top" coordsize="10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" path="m6,54l108,r,346l,407e" filled="f" strokecolor="#344154" strokeweight=".27mm">
                  <v:path arrowok="t"/>
                </v:shape>
                <v:shape id="Freeform 193" o:spid="_x0000_s1038" style="position:absolute;left:7002;top:1819;width:443;height:2009;visibility:visible;mso-wrap-style:square;v-text-anchor:top" coordsize="12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" path="m122,41r,c122,462,122,462,122,462v,13,-6,20,-13,27c,557,,557,,557,,54,,54,,54,75,14,75,14,75,14v20,-14,47,,47,27e" filled="f" strokecolor="#344154" strokeweight=".27mm">
                  <v:path arrowok="t"/>
                </v:shape>
                <v:shape id="Freeform 194" o:spid="_x0000_s1039" style="position:absolute;left:10523;top:1819;width:418;height:1469;visibility:visible;mso-wrap-style:square;v-text-anchor:top" coordsize="1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" path="m102,54l,,,346r115,61e" filled="f" strokecolor="#344154" strokeweight=".27mm">
                  <v:path arrowok="t"/>
                </v:shape>
                <v:shape id="Freeform 195" o:spid="_x0000_s1040" style="position:absolute;left:10912;top:1819;width:446;height:2009;visibility:visible;mso-wrap-style:square;v-text-anchor:top" coordsize="12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" path="m,41r,c,462,,462,,462v,13,,20,14,27c123,557,123,557,123,557v,-503,,-503,,-503c41,14,41,14,41,14,21,,,14,,41e" filled="f" strokecolor="#344154" strokeweight=".27mm">
                  <v:path arrowok="t"/>
                </v:shape>
                <v:shape id="Freeform 196" o:spid="_x0000_s1041" style="position:absolute;left:8252;top:793;width:856;height:641;visibility:visible;mso-wrap-style:square;v-text-anchor:top" coordsize="23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" path="m142,109r,c183,122,183,122,183,122v20,,41,-6,47,-27l230,95c237,75,224,48,203,41,95,7,95,7,95,7,81,,61,,47,14,40,20,34,27,34,41v,20,6,34,27,41c183,122,183,122,183,122v-14,21,-14,21,-14,21c163,170,142,177,115,170v-7,,-7,,-7,c27,143,27,143,27,143,6,136,,109,6,95,13,82,27,75,47,68e" filled="f" strokecolor="#344154" strokeweight=".27mm">
                  <v:stroke joinstyle="miter"/>
                  <v:path arrowok="t"/>
                </v:shape>
              </v:group>
            </w:pict>
          </mc:Fallback>
        </mc:AlternateContent>
      </w:r>
      <w:r w:rsidR="009D024D">
        <w:t>Support</w:t>
      </w:r>
      <w:bookmarkEnd w:id="25"/>
      <w:r w:rsidR="009D024D">
        <w:t xml:space="preserve"> </w:t>
      </w:r>
    </w:p>
    <w:p w14:paraId="6B23F0A8" w14:textId="575D79B3" w:rsidR="001C302A" w:rsidRDefault="001C302A" w:rsidP="001C302A">
      <w:pPr>
        <w:pStyle w:val="Box2Text"/>
      </w:pPr>
      <w:r w:rsidRPr="009D024D">
        <w:t xml:space="preserve">Australia will continue to support the </w:t>
      </w:r>
      <w:r w:rsidRPr="003F2A92">
        <w:t>implementation</w:t>
      </w:r>
      <w:r>
        <w:t xml:space="preserve"> of digital trade rules</w:t>
      </w:r>
      <w:r w:rsidR="00995FC3">
        <w:t xml:space="preserve"> internationally</w:t>
      </w:r>
      <w:r>
        <w:t>, including through capacity building projects</w:t>
      </w:r>
      <w:r w:rsidRPr="00083344">
        <w:t xml:space="preserve"> </w:t>
      </w:r>
      <w:r>
        <w:t>and support for Australian business to trade overseas.</w:t>
      </w:r>
    </w:p>
    <w:p w14:paraId="1229B825" w14:textId="77777777" w:rsidR="001C302A" w:rsidRDefault="001C302A" w:rsidP="009D024D">
      <w:pPr>
        <w:pStyle w:val="Heading4"/>
        <w:sectPr w:rsidR="001C302A" w:rsidSect="002C073B">
          <w:pgSz w:w="11906" w:h="16838" w:code="9"/>
          <w:pgMar w:top="3544" w:right="1134" w:bottom="1701" w:left="1134" w:header="567" w:footer="567" w:gutter="0"/>
          <w:cols w:space="708"/>
          <w:titlePg/>
          <w:docGrid w:linePitch="360"/>
        </w:sectPr>
      </w:pPr>
    </w:p>
    <w:p w14:paraId="7FF70EEC" w14:textId="031194FC" w:rsidR="009D024D" w:rsidRDefault="009D024D" w:rsidP="009D024D">
      <w:pPr>
        <w:pStyle w:val="Heading4"/>
      </w:pPr>
      <w:r>
        <w:t xml:space="preserve">Implementation of digital trade rules </w:t>
      </w:r>
    </w:p>
    <w:p w14:paraId="2856FB0C" w14:textId="55B8A0B7" w:rsidR="00BA0B12" w:rsidRDefault="001C302A" w:rsidP="001C302A">
      <w:r>
        <w:t xml:space="preserve">Australia </w:t>
      </w:r>
      <w:r w:rsidRPr="00EF13F2">
        <w:t>is committed to cooperating with countries to</w:t>
      </w:r>
      <w:r>
        <w:t xml:space="preserve"> support the implementation of digital trade rules, </w:t>
      </w:r>
      <w:r w:rsidRPr="00EF13F2">
        <w:t xml:space="preserve">bridge digital divides </w:t>
      </w:r>
      <w:r w:rsidR="00392184">
        <w:t>in</w:t>
      </w:r>
      <w:r w:rsidRPr="00EF13F2">
        <w:t xml:space="preserve"> the Indo-Pacific, and encourage innovative uses of digital technologies to support sustainable </w:t>
      </w:r>
      <w:r w:rsidR="000F3FAD">
        <w:t>development</w:t>
      </w:r>
      <w:r w:rsidRPr="00EF13F2">
        <w:t xml:space="preserve">. </w:t>
      </w:r>
    </w:p>
    <w:p w14:paraId="55D65F64" w14:textId="7FD8115A" w:rsidR="001C302A" w:rsidRDefault="001C302A" w:rsidP="001C302A">
      <w:r w:rsidRPr="00EF13F2">
        <w:t xml:space="preserve">Cooperation activities </w:t>
      </w:r>
      <w:r>
        <w:t xml:space="preserve">will </w:t>
      </w:r>
      <w:r w:rsidRPr="00EF13F2">
        <w:t xml:space="preserve">be supported by Australia’s Regional Trade for Development Initiative </w:t>
      </w:r>
      <w:r>
        <w:t xml:space="preserve">which will provide technical assistance and capacity building to help eligible countries implement commitments under both </w:t>
      </w:r>
      <w:r w:rsidR="00701C0C">
        <w:t xml:space="preserve">the </w:t>
      </w:r>
      <w:r>
        <w:t xml:space="preserve">RCEP and AANZFTA agreements. </w:t>
      </w:r>
    </w:p>
    <w:p w14:paraId="3B384B20" w14:textId="54A8F727" w:rsidR="001C302A" w:rsidRDefault="001C302A" w:rsidP="008205AE">
      <w:r>
        <w:t xml:space="preserve">Australia’s development policy, Partnerships for Recovery, articulates the key role that trade plays in economic recovery from COVID-19 in developing countries. Australia will work bilaterally to support the digital economy and emerging tech, and to help bridge the digital divide to reduce poverty and inequality.  </w:t>
      </w:r>
    </w:p>
    <w:p w14:paraId="6882D2D2" w14:textId="5BB00A12" w:rsidR="001C302A" w:rsidRDefault="001C302A" w:rsidP="00C26053">
      <w:r>
        <w:t>As part of this, Australia’s aid for trade investments build on</w:t>
      </w:r>
      <w:r w:rsidR="00AB1A97">
        <w:t xml:space="preserve"> </w:t>
      </w:r>
      <w:r>
        <w:t>our trade and development policy</w:t>
      </w:r>
      <w:r w:rsidR="0076284D">
        <w:t xml:space="preserve"> efforts</w:t>
      </w:r>
      <w:r>
        <w:t xml:space="preserve"> for a transparent, and predictable rules-based trading system. For example, Australia supports developing countries to implement the WTO Agreement on Trade Facilitation, which cuts red tape at the border, making trade cheaper, more efficient, and therefore more accessible for developing country traders. Australia’s support has helped </w:t>
      </w:r>
      <w:r w:rsidR="00AB1A97">
        <w:t xml:space="preserve">globally </w:t>
      </w:r>
      <w:r>
        <w:t>to reduce customs physical inspections, eliminate unnecessary documents, and automate manual processing steps.</w:t>
      </w:r>
    </w:p>
    <w:p w14:paraId="7DDEBA9F" w14:textId="77777777" w:rsidR="001C302A" w:rsidRDefault="001C302A" w:rsidP="001C302A">
      <w:r>
        <w:t xml:space="preserve">In 2021–22, Australia’s aid for trade investments will continue to: </w:t>
      </w:r>
    </w:p>
    <w:p w14:paraId="64AA5B06" w14:textId="759E6AAF" w:rsidR="001C302A" w:rsidRDefault="001C302A" w:rsidP="001C302A">
      <w:pPr>
        <w:pStyle w:val="ListParagraph"/>
        <w:numPr>
          <w:ilvl w:val="0"/>
          <w:numId w:val="14"/>
        </w:numPr>
      </w:pPr>
      <w:r>
        <w:t>support developing country engagement in the multilateral trade system</w:t>
      </w:r>
      <w:r w:rsidR="00541ED1">
        <w:t xml:space="preserve"> through implementation of</w:t>
      </w:r>
      <w:r>
        <w:t xml:space="preserve"> the WTO Trade Facilitation Agreement; </w:t>
      </w:r>
    </w:p>
    <w:p w14:paraId="2F0972A5" w14:textId="4845E98B" w:rsidR="001C302A" w:rsidRDefault="001C302A" w:rsidP="001C302A">
      <w:pPr>
        <w:pStyle w:val="ListParagraph"/>
        <w:numPr>
          <w:ilvl w:val="0"/>
          <w:numId w:val="14"/>
        </w:numPr>
      </w:pPr>
      <w:r>
        <w:t xml:space="preserve">promote the use of digital technologies to make trade more inclusive. </w:t>
      </w:r>
      <w:r w:rsidR="00541ED1">
        <w:t xml:space="preserve">Australia </w:t>
      </w:r>
      <w:r>
        <w:t xml:space="preserve">will support the uptake of e-commerce to make trade cheaper, more efficient and more accessible to disadvantaged groups, including women, and </w:t>
      </w:r>
      <w:r w:rsidR="00541ED1">
        <w:t>MSMEs</w:t>
      </w:r>
      <w:r>
        <w:t xml:space="preserve">. </w:t>
      </w:r>
    </w:p>
    <w:p w14:paraId="53A0FE5D" w14:textId="77777777" w:rsidR="00973297" w:rsidRDefault="00973297" w:rsidP="00392184">
      <w:pPr>
        <w:pStyle w:val="Heading4"/>
        <w:spacing w:before="0"/>
      </w:pPr>
    </w:p>
    <w:p w14:paraId="187FDDB7" w14:textId="789A544D" w:rsidR="001C302A" w:rsidRPr="00083344" w:rsidRDefault="001C302A" w:rsidP="00392184">
      <w:pPr>
        <w:pStyle w:val="Heading4"/>
        <w:spacing w:before="0"/>
      </w:pPr>
      <w:r>
        <w:t>Support for</w:t>
      </w:r>
      <w:r w:rsidRPr="00083344">
        <w:t xml:space="preserve"> Australian business</w:t>
      </w:r>
      <w:r>
        <w:t>es to trade</w:t>
      </w:r>
    </w:p>
    <w:p w14:paraId="5A01F58B" w14:textId="5CD2212A" w:rsidR="006A1917" w:rsidRDefault="006A1917" w:rsidP="001C302A">
      <w:pPr>
        <w:pStyle w:val="BodyText"/>
      </w:pPr>
      <w:r>
        <w:t xml:space="preserve">The Simplified Trade System Implementation Taskforce, </w:t>
      </w:r>
      <w:r w:rsidR="00624494">
        <w:t>a whole-of-Government initiative</w:t>
      </w:r>
      <w:r w:rsidR="00F72AB4">
        <w:t xml:space="preserve"> </w:t>
      </w:r>
      <w:r>
        <w:t xml:space="preserve">established in July 2021, is working with </w:t>
      </w:r>
      <w:r w:rsidR="00F72AB4">
        <w:t xml:space="preserve">agencies and </w:t>
      </w:r>
      <w:r>
        <w:t>business to streamline and digitise the cross-border trading system, and help Australian traders boost productivity and competitiveness.</w:t>
      </w:r>
    </w:p>
    <w:p w14:paraId="5BE6566A" w14:textId="7026F809" w:rsidR="008D1B67" w:rsidRDefault="001C302A" w:rsidP="001C302A">
      <w:pPr>
        <w:pStyle w:val="BodyText"/>
      </w:pPr>
      <w:r>
        <w:t xml:space="preserve">Austrade </w:t>
      </w:r>
      <w:r w:rsidR="003B6091">
        <w:t xml:space="preserve">leads a </w:t>
      </w:r>
      <w:r>
        <w:t>number of activities which support</w:t>
      </w:r>
      <w:r w:rsidR="003B6091">
        <w:t xml:space="preserve"> </w:t>
      </w:r>
      <w:r>
        <w:t xml:space="preserve">digital trade. </w:t>
      </w:r>
      <w:r w:rsidRPr="00083344">
        <w:t xml:space="preserve">These include the Trade Information Service, </w:t>
      </w:r>
      <w:r w:rsidR="00D446BC">
        <w:t xml:space="preserve">digital </w:t>
      </w:r>
      <w:r w:rsidRPr="00083344">
        <w:t>initiatives under</w:t>
      </w:r>
      <w:r w:rsidR="004E7D20">
        <w:t xml:space="preserve"> the</w:t>
      </w:r>
      <w:r w:rsidR="004E7D20">
        <w:rPr>
          <w:i/>
          <w:iCs/>
        </w:rPr>
        <w:t xml:space="preserve"> </w:t>
      </w:r>
      <w:r w:rsidR="00D446BC">
        <w:t>planned national strategy for the visitor economy</w:t>
      </w:r>
      <w:r w:rsidR="005B688C">
        <w:t>,</w:t>
      </w:r>
      <w:r w:rsidR="004E7D20">
        <w:t xml:space="preserve"> </w:t>
      </w:r>
      <w:r w:rsidR="004E7D20">
        <w:rPr>
          <w:i/>
          <w:iCs/>
        </w:rPr>
        <w:t>THRIVE 2030</w:t>
      </w:r>
      <w:r w:rsidR="005B688C">
        <w:rPr>
          <w:i/>
          <w:iCs/>
        </w:rPr>
        <w:t>,</w:t>
      </w:r>
      <w:r w:rsidRPr="00083344">
        <w:t xml:space="preserve"> and </w:t>
      </w:r>
      <w:r w:rsidR="005B688C">
        <w:t xml:space="preserve">other </w:t>
      </w:r>
      <w:r w:rsidRPr="00083344">
        <w:t xml:space="preserve">services to businesses, including Fintech Bridges. These activities are also important to support </w:t>
      </w:r>
      <w:r w:rsidR="003B6091">
        <w:t>MS</w:t>
      </w:r>
      <w:r w:rsidR="00F616C2">
        <w:t>M</w:t>
      </w:r>
      <w:r w:rsidR="003B6091">
        <w:t xml:space="preserve">Es </w:t>
      </w:r>
      <w:r w:rsidRPr="00083344">
        <w:t xml:space="preserve">where they engage with international markets, whether as an exporter or </w:t>
      </w:r>
      <w:r w:rsidR="004E7D20">
        <w:t xml:space="preserve">through </w:t>
      </w:r>
      <w:r w:rsidRPr="00083344">
        <w:t>engaging with international visitors</w:t>
      </w:r>
      <w:r w:rsidR="003B6091">
        <w:t>.</w:t>
      </w:r>
    </w:p>
    <w:p w14:paraId="53746F94" w14:textId="19CF9034" w:rsidR="008C202D" w:rsidRDefault="00701C0C" w:rsidP="001C302A">
      <w:pPr>
        <w:pStyle w:val="BodyText"/>
      </w:pPr>
      <w:r>
        <w:t xml:space="preserve">Austrade also provides businesses with </w:t>
      </w:r>
      <w:r w:rsidR="008C202D">
        <w:t xml:space="preserve">advice and </w:t>
      </w:r>
      <w:r>
        <w:t xml:space="preserve">information about trading with the countries </w:t>
      </w:r>
      <w:r w:rsidR="00D64312">
        <w:t xml:space="preserve">with which </w:t>
      </w:r>
      <w:r>
        <w:t xml:space="preserve">Australia has FTAs and supports the Free Trade Advantage online platform, </w:t>
      </w:r>
      <w:r w:rsidR="007156F8">
        <w:t>which provides practical advice and resources to help businesses access the benefits of Australia’s FTAs.</w:t>
      </w:r>
    </w:p>
    <w:p w14:paraId="7F3634AD" w14:textId="2AEBCDE1" w:rsidR="008D1B67" w:rsidRDefault="008D1B67" w:rsidP="001C302A">
      <w:pPr>
        <w:pStyle w:val="BodyText"/>
        <w:sectPr w:rsidR="008D1B67" w:rsidSect="001C302A">
          <w:type w:val="continuous"/>
          <w:pgSz w:w="11906" w:h="16838" w:code="9"/>
          <w:pgMar w:top="1985" w:right="1134" w:bottom="1701" w:left="1134" w:header="567" w:footer="567" w:gutter="0"/>
          <w:cols w:num="2" w:space="708"/>
          <w:titlePg/>
          <w:docGrid w:linePitch="360"/>
        </w:sectPr>
      </w:pPr>
    </w:p>
    <w:p w14:paraId="1BCA4702" w14:textId="6786FB56" w:rsidR="009D024D" w:rsidRPr="009D024D" w:rsidRDefault="009D024D" w:rsidP="00F24DFC">
      <w:pPr>
        <w:pStyle w:val="BodyText"/>
        <w:sectPr w:rsidR="009D024D" w:rsidRPr="009D024D" w:rsidSect="009D024D">
          <w:type w:val="continuous"/>
          <w:pgSz w:w="11906" w:h="16838" w:code="9"/>
          <w:pgMar w:top="1985" w:right="1134" w:bottom="1701" w:left="1134" w:header="567" w:footer="567" w:gutter="0"/>
          <w:cols w:space="708"/>
          <w:titlePg/>
          <w:docGrid w:linePitch="360"/>
        </w:sectPr>
      </w:pPr>
    </w:p>
    <w:p w14:paraId="6642584C" w14:textId="223AB021" w:rsidR="00083344" w:rsidRDefault="00D324BA" w:rsidP="00083344">
      <w:pPr>
        <w:pStyle w:val="BodyText"/>
      </w:pPr>
      <w:r>
        <w:lastRenderedPageBreak/>
        <w:t>END</w:t>
      </w:r>
    </w:p>
    <w:sectPr w:rsidR="00083344" w:rsidSect="00271503">
      <w:pgSz w:w="11906" w:h="16838" w:code="9"/>
      <w:pgMar w:top="1985"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17B33" w14:textId="77777777" w:rsidR="00C84F26" w:rsidRDefault="00C84F26" w:rsidP="003A5358">
      <w:r>
        <w:separator/>
      </w:r>
    </w:p>
  </w:endnote>
  <w:endnote w:type="continuationSeparator" w:id="0">
    <w:p w14:paraId="705E1CAE" w14:textId="77777777" w:rsidR="00C84F26" w:rsidRDefault="00C84F26" w:rsidP="003A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oppins-Regular">
    <w:altName w:val="Arial"/>
    <w:panose1 w:val="00000000000000000000"/>
    <w:charset w:val="EE"/>
    <w:family w:val="swiss"/>
    <w:notTrueType/>
    <w:pitch w:val="default"/>
    <w:sig w:usb0="00000005" w:usb1="00000000" w:usb2="00000000" w:usb3="00000000" w:csb0="00000002"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FC1A9" w14:textId="77777777" w:rsidR="0070638F" w:rsidRDefault="0070638F" w:rsidP="00057479">
    <w:pPr>
      <w:pStyle w:val="Classification"/>
    </w:pPr>
  </w:p>
  <w:p w14:paraId="40AFC1AA" w14:textId="285A5DC2" w:rsidR="0070638F" w:rsidRDefault="0070638F" w:rsidP="003A5358">
    <w:pPr>
      <w:pStyle w:val="Footer"/>
    </w:pPr>
    <w:r>
      <w:tab/>
    </w:r>
    <w:r w:rsidRPr="00B92E1E">
      <w:fldChar w:fldCharType="begin"/>
    </w:r>
    <w:r>
      <w:instrText xml:space="preserve"> STYLEREF  Title  \* MERGEFORMAT </w:instrText>
    </w:r>
    <w:r w:rsidRPr="00B92E1E">
      <w:fldChar w:fldCharType="separate"/>
    </w:r>
    <w:r w:rsidR="00AF4A67">
      <w:rPr>
        <w:noProof/>
      </w:rPr>
      <w:t>Digital trade strategy</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Pr>
        <w:rStyle w:val="PageNumber"/>
        <w:noProof/>
      </w:rPr>
      <w:t>i</w:t>
    </w:r>
    <w:r w:rsidRPr="00B92E1E">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FC1AC" w14:textId="4600B562" w:rsidR="0070638F" w:rsidRDefault="0070638F" w:rsidP="003A5358">
    <w:pPr>
      <w:pStyle w:val="Footer"/>
    </w:pPr>
    <w:r>
      <w:tab/>
    </w:r>
    <w:r w:rsidRPr="00806503">
      <w:fldChar w:fldCharType="begin"/>
    </w:r>
    <w:r>
      <w:instrText xml:space="preserve"> STYLEREF  Title  \* MERGEFORMAT </w:instrText>
    </w:r>
    <w:r w:rsidRPr="00806503">
      <w:fldChar w:fldCharType="separate"/>
    </w:r>
    <w:r w:rsidR="00E54686">
      <w:rPr>
        <w:noProof/>
      </w:rPr>
      <w:t>Digital trade strategy DRAFT</w:t>
    </w:r>
    <w:r w:rsidRPr="00806503">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Pr>
        <w:rStyle w:val="PageNumber"/>
        <w:noProof/>
      </w:rPr>
      <w:t>i</w:t>
    </w:r>
    <w:r w:rsidRPr="00F5404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FC1AE" w14:textId="10880F67" w:rsidR="0070638F" w:rsidRDefault="0070638F" w:rsidP="004E083A">
    <w:pPr>
      <w:pStyle w:val="Classification"/>
    </w:pPr>
  </w:p>
  <w:p w14:paraId="40AFC1AF" w14:textId="2FB2E7DD" w:rsidR="0070638F" w:rsidRDefault="0070638F" w:rsidP="003A5358">
    <w:pPr>
      <w:pStyle w:val="Footer"/>
    </w:pPr>
    <w:r>
      <w:tab/>
    </w:r>
    <w:r w:rsidRPr="00B92E1E">
      <w:fldChar w:fldCharType="begin"/>
    </w:r>
    <w:r>
      <w:instrText xml:space="preserve"> STYLEREF  Title  \* MERGEFORMAT </w:instrText>
    </w:r>
    <w:r w:rsidRPr="00B92E1E">
      <w:fldChar w:fldCharType="separate"/>
    </w:r>
    <w:r w:rsidR="00AF4A67">
      <w:rPr>
        <w:noProof/>
      </w:rPr>
      <w:t>Digital trade strategy</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Pr>
        <w:rStyle w:val="PageNumber"/>
        <w:noProof/>
      </w:rPr>
      <w:t>5</w:t>
    </w:r>
    <w:r w:rsidRPr="00B92E1E">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FC1B1" w14:textId="77777777" w:rsidR="0070638F" w:rsidRDefault="0070638F" w:rsidP="00D203EB">
    <w:pPr>
      <w:pStyle w:val="Classification"/>
    </w:pPr>
  </w:p>
  <w:p w14:paraId="40AFC1B2" w14:textId="58C2DE5C" w:rsidR="0070638F" w:rsidRDefault="0070638F" w:rsidP="003A5358">
    <w:pPr>
      <w:pStyle w:val="Footer"/>
    </w:pPr>
    <w:r>
      <w:tab/>
    </w:r>
    <w:r w:rsidRPr="005B583F">
      <w:fldChar w:fldCharType="begin"/>
    </w:r>
    <w:r>
      <w:instrText xml:space="preserve"> STYLEREF  Title  \* MERGEFORMAT </w:instrText>
    </w:r>
    <w:r w:rsidRPr="005B583F">
      <w:fldChar w:fldCharType="separate"/>
    </w:r>
    <w:r w:rsidR="00AF4A67">
      <w:rPr>
        <w:noProof/>
      </w:rPr>
      <w:t>Digital trade strategy</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Pr>
        <w:rStyle w:val="PageNumber"/>
        <w:noProof/>
      </w:rPr>
      <w:t>2</w:t>
    </w:r>
    <w:r w:rsidRPr="005B583F">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FC1BA" w14:textId="77777777" w:rsidR="0070638F" w:rsidRDefault="0070638F" w:rsidP="00D203EB">
    <w:pPr>
      <w:pStyle w:val="Classification"/>
    </w:pPr>
  </w:p>
  <w:p w14:paraId="40AFC1BB" w14:textId="57C0DA69" w:rsidR="0070638F" w:rsidRDefault="0070638F" w:rsidP="003A5358">
    <w:pPr>
      <w:pStyle w:val="Footer"/>
    </w:pPr>
    <w:r>
      <w:tab/>
    </w:r>
    <w:r w:rsidRPr="00B92E1E">
      <w:fldChar w:fldCharType="begin"/>
    </w:r>
    <w:r>
      <w:instrText xml:space="preserve"> STYLEREF  Title  \* MERGEFORMAT </w:instrText>
    </w:r>
    <w:r w:rsidRPr="00B92E1E">
      <w:fldChar w:fldCharType="separate"/>
    </w:r>
    <w:r w:rsidR="00AF4A67">
      <w:rPr>
        <w:noProof/>
      </w:rPr>
      <w:t>Digital trade strategy</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Pr>
        <w:rStyle w:val="PageNumber"/>
        <w:noProof/>
      </w:rPr>
      <w:t>10</w:t>
    </w:r>
    <w:r w:rsidRPr="00B92E1E">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FC1BD" w14:textId="77777777" w:rsidR="0070638F" w:rsidRDefault="0070638F" w:rsidP="00D203EB">
    <w:pPr>
      <w:pStyle w:val="Classification"/>
    </w:pPr>
  </w:p>
  <w:p w14:paraId="40AFC1BE" w14:textId="7377D2D1" w:rsidR="0070638F" w:rsidRDefault="0070638F" w:rsidP="003A5358">
    <w:pPr>
      <w:pStyle w:val="Footer"/>
    </w:pPr>
    <w:r>
      <w:tab/>
    </w:r>
    <w:r w:rsidRPr="005B583F">
      <w:fldChar w:fldCharType="begin"/>
    </w:r>
    <w:r>
      <w:instrText xml:space="preserve"> STYLEREF  Title  \* MERGEFORMAT </w:instrText>
    </w:r>
    <w:r w:rsidRPr="005B583F">
      <w:fldChar w:fldCharType="separate"/>
    </w:r>
    <w:r w:rsidR="00AF4A67">
      <w:rPr>
        <w:noProof/>
      </w:rPr>
      <w:t>Digital trade strategy</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Pr>
        <w:rStyle w:val="PageNumber"/>
        <w:noProof/>
      </w:rPr>
      <w:t>9</w:t>
    </w:r>
    <w:r w:rsidRPr="005B583F">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23546" w14:textId="77777777" w:rsidR="0070638F" w:rsidRDefault="0070638F" w:rsidP="00D203EB">
    <w:pPr>
      <w:pStyle w:val="Classification"/>
    </w:pPr>
  </w:p>
  <w:p w14:paraId="15528CF5" w14:textId="15267EEF" w:rsidR="0070638F" w:rsidRDefault="0070638F" w:rsidP="003A5358">
    <w:pPr>
      <w:pStyle w:val="Footer"/>
    </w:pPr>
    <w:r>
      <w:tab/>
    </w:r>
    <w:r w:rsidRPr="00B92E1E">
      <w:fldChar w:fldCharType="begin"/>
    </w:r>
    <w:r>
      <w:instrText xml:space="preserve"> STYLEREF  Title  \* MERGEFORMAT </w:instrText>
    </w:r>
    <w:r w:rsidRPr="00B92E1E">
      <w:fldChar w:fldCharType="separate"/>
    </w:r>
    <w:r w:rsidR="00050CCF">
      <w:rPr>
        <w:noProof/>
      </w:rPr>
      <w:t>Digital trade strategy</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Pr>
        <w:rStyle w:val="PageNumber"/>
        <w:noProof/>
      </w:rPr>
      <w:t>10</w:t>
    </w:r>
    <w:r w:rsidRPr="00B92E1E">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01E3" w14:textId="0DD602A6" w:rsidR="0070638F" w:rsidRDefault="0070638F" w:rsidP="003A5358">
    <w:pPr>
      <w:pStyle w:val="Footer"/>
    </w:pPr>
    <w:r>
      <w:tab/>
    </w:r>
    <w:r w:rsidRPr="005B583F">
      <w:fldChar w:fldCharType="begin"/>
    </w:r>
    <w:r>
      <w:instrText xml:space="preserve"> STYLEREF  Title  \* MERGEFORMAT </w:instrText>
    </w:r>
    <w:r w:rsidRPr="005B583F">
      <w:fldChar w:fldCharType="separate"/>
    </w:r>
    <w:r w:rsidR="00AF4A67">
      <w:rPr>
        <w:noProof/>
      </w:rPr>
      <w:t>Digital trade strategy</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Pr>
        <w:rStyle w:val="PageNumber"/>
        <w:noProof/>
      </w:rPr>
      <w:t>9</w:t>
    </w:r>
    <w:r w:rsidRPr="005B583F">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FCA46" w14:textId="77777777" w:rsidR="00C84F26" w:rsidRPr="008C5A0E" w:rsidRDefault="00C84F26" w:rsidP="003A5358">
      <w:pPr>
        <w:pStyle w:val="FootnoteSeparator"/>
      </w:pPr>
    </w:p>
  </w:footnote>
  <w:footnote w:type="continuationSeparator" w:id="0">
    <w:p w14:paraId="6CFB0ABE" w14:textId="77777777" w:rsidR="00C84F26" w:rsidRDefault="00C84F26" w:rsidP="003A5358">
      <w:r>
        <w:continuationSeparator/>
      </w:r>
    </w:p>
  </w:footnote>
  <w:footnote w:id="1">
    <w:p w14:paraId="409C1ED8" w14:textId="667C3841" w:rsidR="00614258" w:rsidRPr="00614258" w:rsidRDefault="00614258" w:rsidP="007652B0">
      <w:pPr>
        <w:pStyle w:val="FootnoteText"/>
        <w:ind w:left="0" w:firstLine="0"/>
        <w:rPr>
          <w:lang w:val="en-AU"/>
        </w:rPr>
      </w:pPr>
      <w:r>
        <w:rPr>
          <w:rStyle w:val="FootnoteReference"/>
        </w:rPr>
        <w:footnoteRef/>
      </w:r>
      <w:r>
        <w:t xml:space="preserve"> </w:t>
      </w:r>
      <w:r w:rsidR="00CA587B" w:rsidRPr="001B1386">
        <w:rPr>
          <w:color w:val="0070C0"/>
        </w:rPr>
        <w:t>https://www.internationalcybertech.gov.au/</w:t>
      </w:r>
    </w:p>
  </w:footnote>
  <w:footnote w:id="2">
    <w:p w14:paraId="07322381" w14:textId="77777777" w:rsidR="0070638F" w:rsidRDefault="0070638F" w:rsidP="006C21D9">
      <w:pPr>
        <w:pStyle w:val="FootnoteText"/>
        <w:ind w:left="0" w:firstLine="0"/>
      </w:pPr>
      <w:r>
        <w:rPr>
          <w:rStyle w:val="FootnoteReference"/>
        </w:rPr>
        <w:footnoteRef/>
      </w:r>
      <w:r>
        <w:t xml:space="preserve"> </w:t>
      </w:r>
      <w:r w:rsidRPr="001C3669">
        <w:rPr>
          <w:color w:val="0065B0"/>
          <w:szCs w:val="16"/>
        </w:rPr>
        <w:t>https://www.dfat.gov.au/sites/default/files/2021-22-dfat-corporate-plan_0.pdf</w:t>
      </w:r>
    </w:p>
  </w:footnote>
  <w:footnote w:id="3">
    <w:p w14:paraId="2988CC01" w14:textId="77777777" w:rsidR="0070638F" w:rsidRDefault="0070638F" w:rsidP="006C21D9">
      <w:pPr>
        <w:pStyle w:val="FootnoteText"/>
        <w:ind w:left="0" w:firstLine="0"/>
      </w:pPr>
      <w:r>
        <w:rPr>
          <w:rStyle w:val="FootnoteReference"/>
        </w:rPr>
        <w:footnoteRef/>
      </w:r>
      <w:r>
        <w:t xml:space="preserve"> </w:t>
      </w:r>
      <w:r w:rsidRPr="001C3669">
        <w:rPr>
          <w:color w:val="0065B0"/>
          <w:szCs w:val="16"/>
        </w:rPr>
        <w:t>https://digitaleconomy.pmc.gov.au/sites/default/files/2021-05/digital-economy-strategy-on-a-page.pdf</w:t>
      </w:r>
    </w:p>
  </w:footnote>
  <w:footnote w:id="4">
    <w:p w14:paraId="08D4991C" w14:textId="77777777" w:rsidR="0070638F" w:rsidRPr="00F23613" w:rsidRDefault="0070638F" w:rsidP="006C21D9">
      <w:pPr>
        <w:pStyle w:val="FootnoteText"/>
        <w:ind w:left="0" w:firstLine="0"/>
        <w:rPr>
          <w:lang w:val="en-AU"/>
        </w:rPr>
      </w:pPr>
      <w:r>
        <w:rPr>
          <w:rStyle w:val="FootnoteReference"/>
        </w:rPr>
        <w:footnoteRef/>
      </w:r>
      <w:r>
        <w:t xml:space="preserve"> </w:t>
      </w:r>
      <w:r>
        <w:rPr>
          <w:i/>
          <w:iCs/>
          <w:lang w:val="en-AU"/>
        </w:rPr>
        <w:t xml:space="preserve">From Resource Boom to Digital Boom: Capturing Australia’s Digital Trade Opportunity at Home and Abroad </w:t>
      </w:r>
      <w:r>
        <w:rPr>
          <w:lang w:val="en-AU"/>
        </w:rPr>
        <w:t xml:space="preserve">(2018), </w:t>
      </w:r>
      <w:r w:rsidRPr="001C3669">
        <w:rPr>
          <w:color w:val="0065B0"/>
          <w:lang w:val="en-AU"/>
        </w:rPr>
        <w:t>https://export.org.au/wp-content/uploads/2021/08/Fromresourceboomtodigitalboom.pdf</w:t>
      </w:r>
    </w:p>
  </w:footnote>
  <w:footnote w:id="5">
    <w:p w14:paraId="508EB20D" w14:textId="6D5EA0C9" w:rsidR="0070638F" w:rsidRPr="00056484" w:rsidRDefault="0070638F" w:rsidP="00056484">
      <w:pPr>
        <w:pStyle w:val="FootnoteText"/>
        <w:ind w:left="0" w:firstLine="0"/>
        <w:rPr>
          <w:lang w:val="en-AU"/>
        </w:rPr>
      </w:pPr>
      <w:r>
        <w:rPr>
          <w:rStyle w:val="FootnoteReference"/>
        </w:rPr>
        <w:footnoteRef/>
      </w:r>
      <w:r>
        <w:t xml:space="preserve"> Alphabeta (2018) </w:t>
      </w:r>
      <w:r w:rsidRPr="00A45833">
        <w:rPr>
          <w:i/>
          <w:iCs/>
        </w:rPr>
        <w:t>Digital Innovation: Australia’s $315b opportunity</w:t>
      </w:r>
      <w:r>
        <w:t xml:space="preserve">, </w:t>
      </w:r>
      <w:hyperlink r:id="rId1" w:history="1">
        <w:r w:rsidRPr="00A45833">
          <w:rPr>
            <w:rStyle w:val="Hyperlink"/>
            <w:rFonts w:cstheme="minorBidi"/>
            <w:color w:val="0070C0"/>
            <w:u w:val="none"/>
          </w:rPr>
          <w:t>https://alphabeta.com/wpcontent/uploads/2018/09/csiro-data61_digital-innovation-report.pdf</w:t>
        </w:r>
      </w:hyperlink>
      <w:r w:rsidRPr="00A45833">
        <w:rPr>
          <w:rStyle w:val="Hyperlink"/>
          <w:rFonts w:cstheme="minorBidi"/>
          <w:color w:val="0070C0"/>
        </w:rPr>
        <w:t xml:space="preserve"> </w:t>
      </w:r>
      <w:r>
        <w:br/>
        <w:t xml:space="preserve">Telstra and PwC (2021) </w:t>
      </w:r>
      <w:r w:rsidRPr="001C3669">
        <w:rPr>
          <w:i/>
          <w:iCs/>
        </w:rPr>
        <w:t>Be What’s Next. Embracing the Digital Economy in Australia</w:t>
      </w:r>
      <w:r>
        <w:t xml:space="preserve">. </w:t>
      </w:r>
      <w:r w:rsidRPr="001C3669">
        <w:rPr>
          <w:color w:val="0065B0"/>
        </w:rPr>
        <w:t>https://www.telstra.com. au/business-enterprise/news-research/research/the-digital-economy-report</w:t>
      </w:r>
    </w:p>
  </w:footnote>
  <w:footnote w:id="6">
    <w:p w14:paraId="4BBDF0DD" w14:textId="28B7F8CA" w:rsidR="0070638F" w:rsidRPr="00743420" w:rsidRDefault="0070638F" w:rsidP="00743420">
      <w:pPr>
        <w:pStyle w:val="FootnoteText"/>
        <w:ind w:left="0" w:firstLine="0"/>
        <w:rPr>
          <w:lang w:val="en-AU"/>
        </w:rPr>
      </w:pPr>
      <w:r>
        <w:rPr>
          <w:rStyle w:val="FootnoteReference"/>
        </w:rPr>
        <w:footnoteRef/>
      </w:r>
      <w:r>
        <w:t xml:space="preserve"> Google, Temasek and Bain &amp; Company (2019) </w:t>
      </w:r>
      <w:r w:rsidRPr="00C3001C">
        <w:rPr>
          <w:i/>
          <w:iCs/>
          <w:lang w:val="en-AU"/>
        </w:rPr>
        <w:t>E-conomy SEA 20</w:t>
      </w:r>
      <w:r>
        <w:rPr>
          <w:i/>
          <w:iCs/>
          <w:lang w:val="en-AU"/>
        </w:rPr>
        <w:t>19</w:t>
      </w:r>
      <w:r w:rsidRPr="00C3001C">
        <w:rPr>
          <w:i/>
          <w:iCs/>
          <w:lang w:val="en-AU"/>
        </w:rPr>
        <w:t xml:space="preserve">. </w:t>
      </w:r>
      <w:r>
        <w:rPr>
          <w:i/>
          <w:iCs/>
          <w:lang w:val="en-AU"/>
        </w:rPr>
        <w:t>Swipe Up and to the Right: Southeast Asia’s $100 billion Internet Economy</w:t>
      </w:r>
      <w:r>
        <w:rPr>
          <w:lang w:val="en-AU"/>
        </w:rPr>
        <w:t xml:space="preserve">. </w:t>
      </w:r>
      <w:r w:rsidRPr="001C3669">
        <w:rPr>
          <w:color w:val="0065B0"/>
          <w:lang w:val="en-AU"/>
        </w:rPr>
        <w:t>https://www.bain.com/insights/e-conomy-sea-2019/</w:t>
      </w:r>
    </w:p>
  </w:footnote>
  <w:footnote w:id="7">
    <w:p w14:paraId="3768B458" w14:textId="642C8134" w:rsidR="0070638F" w:rsidRPr="00C82BC2" w:rsidRDefault="0070638F" w:rsidP="00056484">
      <w:pPr>
        <w:pStyle w:val="FootnoteText"/>
        <w:ind w:left="0" w:firstLine="0"/>
        <w:rPr>
          <w:lang w:val="en-AU"/>
        </w:rPr>
      </w:pPr>
      <w:bookmarkStart w:id="11" w:name="_Hlk92132664"/>
      <w:r>
        <w:rPr>
          <w:rStyle w:val="FootnoteReference"/>
        </w:rPr>
        <w:footnoteRef/>
      </w:r>
      <w:r>
        <w:t xml:space="preserve"> </w:t>
      </w:r>
      <w:r w:rsidRPr="00C3001C">
        <w:rPr>
          <w:lang w:val="en-AU"/>
        </w:rPr>
        <w:t>Google, Temasek and Bain &amp; Company</w:t>
      </w:r>
      <w:r>
        <w:rPr>
          <w:lang w:val="en-AU"/>
        </w:rPr>
        <w:t xml:space="preserve"> (2020)</w:t>
      </w:r>
      <w:r w:rsidRPr="00C3001C">
        <w:rPr>
          <w:i/>
          <w:iCs/>
          <w:lang w:val="en-AU"/>
        </w:rPr>
        <w:t xml:space="preserve"> E-conomy SEA 2020. At full velocity: Resilient and racing ahead</w:t>
      </w:r>
      <w:r>
        <w:rPr>
          <w:lang w:val="en-AU"/>
        </w:rPr>
        <w:t xml:space="preserve">. </w:t>
      </w:r>
      <w:r w:rsidRPr="001C3669">
        <w:rPr>
          <w:color w:val="0065B0"/>
          <w:lang w:val="en-AU"/>
        </w:rPr>
        <w:t>https://www.bain.com/insights/e-conomy-sea-2020/</w:t>
      </w:r>
      <w:bookmarkEnd w:id="11"/>
    </w:p>
  </w:footnote>
  <w:footnote w:id="8">
    <w:p w14:paraId="2E98A48A" w14:textId="3F1CF338" w:rsidR="0070638F" w:rsidRPr="001C3669" w:rsidRDefault="0070638F" w:rsidP="006F5CFD">
      <w:pPr>
        <w:pStyle w:val="FootnoteText"/>
        <w:ind w:left="0" w:firstLine="0"/>
        <w:rPr>
          <w:color w:val="0070C0"/>
          <w:lang w:val="en-AU"/>
        </w:rPr>
      </w:pPr>
      <w:r>
        <w:rPr>
          <w:rStyle w:val="FootnoteReference"/>
        </w:rPr>
        <w:footnoteRef/>
      </w:r>
      <w:r>
        <w:t xml:space="preserve"> </w:t>
      </w:r>
      <w:bookmarkStart w:id="12" w:name="_Hlk92132644"/>
      <w:r>
        <w:rPr>
          <w:lang w:val="en-AU"/>
        </w:rPr>
        <w:t xml:space="preserve">McKinsey and Company (2020) </w:t>
      </w:r>
      <w:r>
        <w:rPr>
          <w:i/>
          <w:iCs/>
          <w:lang w:val="en-AU"/>
        </w:rPr>
        <w:t xml:space="preserve">The Future of Payments in Asia. </w:t>
      </w:r>
      <w:r w:rsidRPr="001C3669">
        <w:rPr>
          <w:color w:val="0065B0"/>
          <w:lang w:val="en-AU"/>
        </w:rPr>
        <w:t>https://www.mckinsey.com/~/media/mckinsey/industries/financial%20services/our%20insights/the%20next%20frontier%20in%20asia%20payments/the-future-of-payments-in-asia-vf.pdf</w:t>
      </w:r>
      <w:bookmarkEnd w:id="12"/>
    </w:p>
  </w:footnote>
  <w:footnote w:id="9">
    <w:p w14:paraId="20319D84" w14:textId="7256572B" w:rsidR="0070638F" w:rsidRPr="00AF0D6F" w:rsidRDefault="0070638F" w:rsidP="00934CE5">
      <w:pPr>
        <w:pStyle w:val="FootnoteText"/>
        <w:ind w:left="0" w:right="70" w:firstLine="0"/>
        <w:rPr>
          <w:lang w:val="en-AU"/>
        </w:rPr>
      </w:pPr>
      <w:r>
        <w:rPr>
          <w:rStyle w:val="FootnoteReference"/>
        </w:rPr>
        <w:footnoteRef/>
      </w:r>
      <w:r>
        <w:t xml:space="preserve"> Namely Chile, China, Hong Kong, Indonesia, Japan, Republic of United Kingdom.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FC1A6" w14:textId="77777777" w:rsidR="0070638F" w:rsidRPr="00806503" w:rsidRDefault="0070638F" w:rsidP="00057479">
    <w:pPr>
      <w:pStyle w:val="Classification"/>
    </w:pPr>
    <w:r w:rsidRPr="00B92E1E">
      <w:rPr>
        <w:noProof/>
        <w:lang w:val="en-AU" w:eastAsia="en-AU"/>
      </w:rPr>
      <w:drawing>
        <wp:anchor distT="0" distB="0" distL="114300" distR="114300" simplePos="0" relativeHeight="251645952" behindDoc="1" locked="1" layoutInCell="1" allowOverlap="1" wp14:anchorId="40AFC1BF" wp14:editId="3B396913">
          <wp:simplePos x="0" y="0"/>
          <wp:positionH relativeFrom="page">
            <wp:posOffset>720090</wp:posOffset>
          </wp:positionH>
          <wp:positionV relativeFrom="page">
            <wp:posOffset>1584325</wp:posOffset>
          </wp:positionV>
          <wp:extent cx="3168000" cy="554400"/>
          <wp:effectExtent l="0" t="0" r="0" b="0"/>
          <wp:wrapNone/>
          <wp:docPr id="477" name="Picture 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42880" behindDoc="1" locked="1" layoutInCell="1" allowOverlap="1" wp14:anchorId="40AFC1C1" wp14:editId="2AFC4B10">
          <wp:simplePos x="0" y="0"/>
          <wp:positionH relativeFrom="page">
            <wp:align>left</wp:align>
          </wp:positionH>
          <wp:positionV relativeFrom="page">
            <wp:align>center</wp:align>
          </wp:positionV>
          <wp:extent cx="7559040" cy="10692765"/>
          <wp:effectExtent l="0" t="0" r="3810" b="0"/>
          <wp:wrapNone/>
          <wp:docPr id="478" name="Picture 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9639"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FC1BC" w14:textId="77777777" w:rsidR="0070638F" w:rsidRPr="00806503" w:rsidRDefault="0070638F" w:rsidP="00D203EB">
    <w:pPr>
      <w:pStyle w:val="Classification"/>
    </w:pPr>
    <w:r w:rsidRPr="00B92E1E">
      <w:rPr>
        <w:noProof/>
        <w:lang w:val="en-AU" w:eastAsia="en-AU"/>
      </w:rPr>
      <w:drawing>
        <wp:anchor distT="0" distB="0" distL="114300" distR="114300" simplePos="0" relativeHeight="251663360" behindDoc="1" locked="1" layoutInCell="1" allowOverlap="1" wp14:anchorId="40AFC1D9" wp14:editId="557BBAEB">
          <wp:simplePos x="0" y="0"/>
          <wp:positionH relativeFrom="page">
            <wp:align>left</wp:align>
          </wp:positionH>
          <wp:positionV relativeFrom="page">
            <wp:align>center</wp:align>
          </wp:positionV>
          <wp:extent cx="7558405" cy="10692130"/>
          <wp:effectExtent l="0" t="0" r="4445" b="0"/>
          <wp:wrapNone/>
          <wp:docPr id="240" name="Pictur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E51F" w14:textId="77777777" w:rsidR="0070638F" w:rsidRPr="00806503" w:rsidRDefault="0070638F" w:rsidP="00D203EB">
    <w:pPr>
      <w:pStyle w:val="Classification"/>
    </w:pPr>
    <w:r w:rsidRPr="00B92E1E">
      <w:rPr>
        <w:noProof/>
        <w:lang w:val="en-AU" w:eastAsia="en-AU"/>
      </w:rPr>
      <w:drawing>
        <wp:anchor distT="0" distB="0" distL="114300" distR="114300" simplePos="0" relativeHeight="251677696" behindDoc="1" locked="1" layoutInCell="1" allowOverlap="1" wp14:anchorId="034146E2" wp14:editId="1BC4DBE5">
          <wp:simplePos x="0" y="0"/>
          <wp:positionH relativeFrom="page">
            <wp:align>left</wp:align>
          </wp:positionH>
          <wp:positionV relativeFrom="page">
            <wp:align>center</wp:align>
          </wp:positionV>
          <wp:extent cx="7558405" cy="10692130"/>
          <wp:effectExtent l="0" t="0" r="444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B968E" w14:textId="77777777" w:rsidR="0070638F" w:rsidRPr="00806503" w:rsidRDefault="0070638F" w:rsidP="00D203EB">
    <w:pPr>
      <w:pStyle w:val="Classification"/>
    </w:pPr>
    <w:r w:rsidRPr="00B92E1E">
      <w:rPr>
        <w:noProof/>
        <w:lang w:val="en-AU" w:eastAsia="en-AU"/>
      </w:rPr>
      <w:drawing>
        <wp:anchor distT="0" distB="0" distL="114300" distR="114300" simplePos="0" relativeHeight="251676672" behindDoc="1" locked="1" layoutInCell="1" allowOverlap="1" wp14:anchorId="5F534D7D" wp14:editId="4C9ABD4E">
          <wp:simplePos x="0" y="0"/>
          <wp:positionH relativeFrom="page">
            <wp:align>left</wp:align>
          </wp:positionH>
          <wp:positionV relativeFrom="page">
            <wp:align>center</wp:align>
          </wp:positionV>
          <wp:extent cx="7558405" cy="10692130"/>
          <wp:effectExtent l="0" t="0" r="444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FC1A7" w14:textId="56D58B4E" w:rsidR="0070638F" w:rsidRDefault="00D3000C" w:rsidP="00AE3A0C">
    <w:pPr>
      <w:pStyle w:val="Classification"/>
      <w:ind w:left="-567"/>
      <w:jc w:val="left"/>
    </w:pPr>
    <w:r>
      <w:rPr>
        <w:noProof/>
      </w:rPr>
      <w:drawing>
        <wp:inline distT="0" distB="0" distL="0" distR="0" wp14:anchorId="594E0E6B" wp14:editId="07013D33">
          <wp:extent cx="3787200" cy="662400"/>
          <wp:effectExtent l="0" t="0" r="3810" b="4445"/>
          <wp:docPr id="479" name="Picture 479" descr="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Department of Foreign Affairs and Trade logo"/>
                  <pic:cNvPicPr/>
                </pic:nvPicPr>
                <pic:blipFill>
                  <a:blip r:embed="rId1">
                    <a:extLst>
                      <a:ext uri="{28A0092B-C50C-407E-A947-70E740481C1C}">
                        <a14:useLocalDpi xmlns:a14="http://schemas.microsoft.com/office/drawing/2010/main" val="0"/>
                      </a:ext>
                    </a:extLst>
                  </a:blip>
                  <a:stretch>
                    <a:fillRect/>
                  </a:stretch>
                </pic:blipFill>
                <pic:spPr>
                  <a:xfrm>
                    <a:off x="0" y="0"/>
                    <a:ext cx="3787200" cy="662400"/>
                  </a:xfrm>
                  <a:prstGeom prst="rect">
                    <a:avLst/>
                  </a:prstGeom>
                </pic:spPr>
              </pic:pic>
            </a:graphicData>
          </a:graphic>
        </wp:inline>
      </w:drawing>
    </w:r>
    <w:r w:rsidR="0070638F" w:rsidRPr="00B92E1E">
      <w:rPr>
        <w:noProof/>
        <w:lang w:val="en-AU" w:eastAsia="en-AU"/>
      </w:rPr>
      <w:drawing>
        <wp:anchor distT="0" distB="0" distL="114300" distR="114300" simplePos="0" relativeHeight="251655168" behindDoc="1" locked="1" layoutInCell="1" allowOverlap="1" wp14:anchorId="40AFC1C5" wp14:editId="5587FCE1">
          <wp:simplePos x="0" y="0"/>
          <wp:positionH relativeFrom="page">
            <wp:posOffset>720090</wp:posOffset>
          </wp:positionH>
          <wp:positionV relativeFrom="page">
            <wp:posOffset>1584325</wp:posOffset>
          </wp:positionV>
          <wp:extent cx="3168000" cy="554400"/>
          <wp:effectExtent l="0" t="0" r="0" b="0"/>
          <wp:wrapNone/>
          <wp:docPr id="480" name="Picture 4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0070638F" w:rsidRPr="00B92E1E">
      <w:rPr>
        <w:noProof/>
        <w:lang w:val="en-AU" w:eastAsia="en-AU"/>
      </w:rPr>
      <w:drawing>
        <wp:anchor distT="0" distB="0" distL="114300" distR="114300" simplePos="0" relativeHeight="251639808" behindDoc="1" locked="1" layoutInCell="1" allowOverlap="1" wp14:anchorId="40AFC1C7" wp14:editId="12E22F96">
          <wp:simplePos x="0" y="0"/>
          <wp:positionH relativeFrom="page">
            <wp:posOffset>0</wp:posOffset>
          </wp:positionH>
          <wp:positionV relativeFrom="page">
            <wp:posOffset>4931410</wp:posOffset>
          </wp:positionV>
          <wp:extent cx="5039995" cy="3353435"/>
          <wp:effectExtent l="0" t="0" r="1905" b="0"/>
          <wp:wrapNone/>
          <wp:docPr id="481" name="Picture 4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5039995" cy="3353435"/>
                  </a:xfrm>
                  <a:prstGeom prst="rect">
                    <a:avLst/>
                  </a:prstGeom>
                </pic:spPr>
              </pic:pic>
            </a:graphicData>
          </a:graphic>
          <wp14:sizeRelH relativeFrom="margin">
            <wp14:pctWidth>0</wp14:pctWidth>
          </wp14:sizeRelH>
          <wp14:sizeRelV relativeFrom="margin">
            <wp14:pctHeight>0</wp14:pctHeight>
          </wp14:sizeRelV>
        </wp:anchor>
      </w:drawing>
    </w:r>
    <w:r w:rsidR="0070638F" w:rsidRPr="00B92E1E">
      <w:rPr>
        <w:noProof/>
        <w:lang w:val="en-AU" w:eastAsia="en-AU"/>
      </w:rPr>
      <w:drawing>
        <wp:anchor distT="0" distB="0" distL="114300" distR="114300" simplePos="0" relativeHeight="251675648" behindDoc="1" locked="1" layoutInCell="1" allowOverlap="1" wp14:anchorId="40AFC1C9" wp14:editId="050C77C5">
          <wp:simplePos x="0" y="0"/>
          <wp:positionH relativeFrom="page">
            <wp:align>left</wp:align>
          </wp:positionH>
          <wp:positionV relativeFrom="page">
            <wp:align>center</wp:align>
          </wp:positionV>
          <wp:extent cx="7559040" cy="10692765"/>
          <wp:effectExtent l="0" t="0" r="3810" b="0"/>
          <wp:wrapNone/>
          <wp:docPr id="482" name="Picture 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FC1A8" w14:textId="77777777" w:rsidR="0070638F" w:rsidRPr="00806503" w:rsidRDefault="0070638F" w:rsidP="00057479">
    <w:pPr>
      <w:pStyle w:val="Classification"/>
    </w:pPr>
    <w:r w:rsidRPr="00B92E1E">
      <w:rPr>
        <w:noProof/>
        <w:lang w:val="en-AU" w:eastAsia="en-AU"/>
      </w:rPr>
      <w:drawing>
        <wp:anchor distT="0" distB="0" distL="114300" distR="114300" simplePos="0" relativeHeight="251658240" behindDoc="1" locked="1" layoutInCell="1" allowOverlap="1" wp14:anchorId="40AFC1CB" wp14:editId="45039A32">
          <wp:simplePos x="0" y="0"/>
          <wp:positionH relativeFrom="page">
            <wp:align>left</wp:align>
          </wp:positionH>
          <wp:positionV relativeFrom="page">
            <wp:align>center</wp:align>
          </wp:positionV>
          <wp:extent cx="7559040" cy="10692765"/>
          <wp:effectExtent l="0" t="0" r="3810" b="0"/>
          <wp:wrapNone/>
          <wp:docPr id="224" name="Pictur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39"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FC1AB" w14:textId="77777777" w:rsidR="0070638F" w:rsidRDefault="0070638F" w:rsidP="003A5358">
    <w:pPr>
      <w:pStyle w:val="Header"/>
    </w:pPr>
    <w:r w:rsidRPr="00B92E1E">
      <w:rPr>
        <w:noProof/>
        <w:lang w:val="en-AU" w:eastAsia="en-AU"/>
      </w:rPr>
      <w:drawing>
        <wp:anchor distT="0" distB="0" distL="114300" distR="114300" simplePos="0" relativeHeight="251660288" behindDoc="1" locked="1" layoutInCell="1" allowOverlap="1" wp14:anchorId="40AFC1CD" wp14:editId="7ECC1457">
          <wp:simplePos x="0" y="0"/>
          <wp:positionH relativeFrom="page">
            <wp:posOffset>0</wp:posOffset>
          </wp:positionH>
          <wp:positionV relativeFrom="page">
            <wp:posOffset>0</wp:posOffset>
          </wp:positionV>
          <wp:extent cx="7558405" cy="10692130"/>
          <wp:effectExtent l="0" t="0" r="4445" b="0"/>
          <wp:wrapNone/>
          <wp:docPr id="225"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FC1AD" w14:textId="77777777" w:rsidR="0070638F" w:rsidRPr="00806503" w:rsidRDefault="0070638F" w:rsidP="00D203EB">
    <w:pPr>
      <w:pStyle w:val="Classification"/>
    </w:pPr>
    <w:r w:rsidRPr="00B92E1E">
      <w:rPr>
        <w:noProof/>
        <w:lang w:val="en-AU" w:eastAsia="en-AU"/>
      </w:rPr>
      <w:drawing>
        <wp:anchor distT="0" distB="0" distL="114300" distR="114300" simplePos="0" relativeHeight="251649024" behindDoc="1" locked="1" layoutInCell="1" allowOverlap="1" wp14:anchorId="40AFC1CF" wp14:editId="3211ED12">
          <wp:simplePos x="0" y="0"/>
          <wp:positionH relativeFrom="page">
            <wp:align>left</wp:align>
          </wp:positionH>
          <wp:positionV relativeFrom="page">
            <wp:align>center</wp:align>
          </wp:positionV>
          <wp:extent cx="7558405" cy="10692130"/>
          <wp:effectExtent l="0" t="0" r="4445" b="0"/>
          <wp:wrapNone/>
          <wp:docPr id="238" name="Picture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FC1B0" w14:textId="364A895A" w:rsidR="0070638F" w:rsidRPr="00806503" w:rsidRDefault="0070638F" w:rsidP="00D4318C">
    <w:pPr>
      <w:pStyle w:val="Classification"/>
      <w:tabs>
        <w:tab w:val="center" w:pos="4819"/>
        <w:tab w:val="left" w:pos="8543"/>
      </w:tabs>
      <w:jc w:val="left"/>
    </w:pPr>
    <w:r>
      <w:tab/>
    </w:r>
    <w:r>
      <w:tab/>
    </w:r>
    <w:r w:rsidRPr="00B92E1E">
      <w:rPr>
        <w:noProof/>
        <w:lang w:val="en-AU" w:eastAsia="en-AU"/>
      </w:rPr>
      <w:drawing>
        <wp:anchor distT="0" distB="0" distL="114300" distR="114300" simplePos="0" relativeHeight="251652096" behindDoc="1" locked="1" layoutInCell="1" allowOverlap="1" wp14:anchorId="40AFC1D1" wp14:editId="66CACF0D">
          <wp:simplePos x="0" y="0"/>
          <wp:positionH relativeFrom="page">
            <wp:align>left</wp:align>
          </wp:positionH>
          <wp:positionV relativeFrom="page">
            <wp:align>center</wp:align>
          </wp:positionV>
          <wp:extent cx="7558405" cy="10692130"/>
          <wp:effectExtent l="0" t="0" r="4445" b="0"/>
          <wp:wrapNone/>
          <wp:docPr id="239" name="Picture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AB8DE" w14:textId="77777777" w:rsidR="0070638F" w:rsidRPr="00806503" w:rsidRDefault="0070638F" w:rsidP="00D203EB">
    <w:pPr>
      <w:pStyle w:val="Classification"/>
    </w:pPr>
    <w:r w:rsidRPr="00B92E1E">
      <w:rPr>
        <w:noProof/>
        <w:lang w:val="en-AU" w:eastAsia="en-AU"/>
      </w:rPr>
      <w:drawing>
        <wp:anchor distT="0" distB="0" distL="114300" distR="114300" simplePos="0" relativeHeight="251668480" behindDoc="1" locked="1" layoutInCell="1" allowOverlap="1" wp14:anchorId="7EB30685" wp14:editId="21AF1BB5">
          <wp:simplePos x="0" y="0"/>
          <wp:positionH relativeFrom="page">
            <wp:align>left</wp:align>
          </wp:positionH>
          <wp:positionV relativeFrom="page">
            <wp:align>center</wp:align>
          </wp:positionV>
          <wp:extent cx="7558405" cy="10692130"/>
          <wp:effectExtent l="0" t="0" r="4445"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FE233" w14:textId="77777777" w:rsidR="0070638F" w:rsidRPr="00806503" w:rsidRDefault="0070638F" w:rsidP="00D4318C">
    <w:pPr>
      <w:pStyle w:val="Classification"/>
    </w:pPr>
    <w:r w:rsidRPr="00B92E1E">
      <w:rPr>
        <w:noProof/>
        <w:lang w:val="en-AU" w:eastAsia="en-AU"/>
      </w:rPr>
      <w:drawing>
        <wp:anchor distT="0" distB="0" distL="114300" distR="114300" simplePos="0" relativeHeight="251672576" behindDoc="1" locked="1" layoutInCell="1" allowOverlap="1" wp14:anchorId="31C5BDFB" wp14:editId="66796DC3">
          <wp:simplePos x="0" y="0"/>
          <wp:positionH relativeFrom="page">
            <wp:align>left</wp:align>
          </wp:positionH>
          <wp:positionV relativeFrom="page">
            <wp:align>center</wp:align>
          </wp:positionV>
          <wp:extent cx="7558405" cy="10692130"/>
          <wp:effectExtent l="0" t="0" r="4445"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p w14:paraId="243F457E" w14:textId="77777777" w:rsidR="0070638F" w:rsidRPr="00806503" w:rsidRDefault="0070638F" w:rsidP="00D203EB">
    <w:pPr>
      <w:pStyle w:val="Classification"/>
    </w:pPr>
    <w:r w:rsidRPr="00B92E1E">
      <w:rPr>
        <w:noProof/>
        <w:lang w:val="en-AU" w:eastAsia="en-AU"/>
      </w:rPr>
      <w:drawing>
        <wp:anchor distT="0" distB="0" distL="114300" distR="114300" simplePos="0" relativeHeight="251670528" behindDoc="1" locked="1" layoutInCell="1" allowOverlap="1" wp14:anchorId="2A59C80B" wp14:editId="73D7EBE9">
          <wp:simplePos x="0" y="0"/>
          <wp:positionH relativeFrom="page">
            <wp:align>left</wp:align>
          </wp:positionH>
          <wp:positionV relativeFrom="page">
            <wp:align>center</wp:align>
          </wp:positionV>
          <wp:extent cx="7558405" cy="10692130"/>
          <wp:effectExtent l="0" t="0" r="4445" b="0"/>
          <wp:wrapNone/>
          <wp:docPr id="231" name="Picture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FC1B9" w14:textId="77777777" w:rsidR="0070638F" w:rsidRPr="00806503" w:rsidRDefault="0070638F" w:rsidP="00D203EB">
    <w:pPr>
      <w:pStyle w:val="Classification"/>
    </w:pPr>
    <w:r w:rsidRPr="00B92E1E">
      <w:rPr>
        <w:noProof/>
        <w:lang w:val="en-AU" w:eastAsia="en-AU"/>
      </w:rPr>
      <w:drawing>
        <wp:anchor distT="0" distB="0" distL="114300" distR="114300" simplePos="0" relativeHeight="251665408" behindDoc="1" locked="1" layoutInCell="1" allowOverlap="1" wp14:anchorId="40AFC1D7" wp14:editId="1957EF37">
          <wp:simplePos x="0" y="0"/>
          <wp:positionH relativeFrom="page">
            <wp:align>left</wp:align>
          </wp:positionH>
          <wp:positionV relativeFrom="page">
            <wp:align>center</wp:align>
          </wp:positionV>
          <wp:extent cx="7558405" cy="10692130"/>
          <wp:effectExtent l="0" t="0" r="4445" b="0"/>
          <wp:wrapNone/>
          <wp:docPr id="237" name="Picture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2"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15:restartNumberingAfterBreak="0">
    <w:nsid w:val="3A017CB6"/>
    <w:multiLevelType w:val="hybridMultilevel"/>
    <w:tmpl w:val="623AA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282623"/>
    <w:multiLevelType w:val="hybridMultilevel"/>
    <w:tmpl w:val="B010C2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4B565667"/>
    <w:multiLevelType w:val="multilevel"/>
    <w:tmpl w:val="5D9A3B7C"/>
    <w:numStyleLink w:val="BulletsList"/>
  </w:abstractNum>
  <w:abstractNum w:abstractNumId="6"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7"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8" w15:restartNumberingAfterBreak="0">
    <w:nsid w:val="5FB735EC"/>
    <w:multiLevelType w:val="hybridMultilevel"/>
    <w:tmpl w:val="A5D8D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AF0534C"/>
    <w:multiLevelType w:val="hybridMultilevel"/>
    <w:tmpl w:val="C40C86D4"/>
    <w:lvl w:ilvl="0" w:tplc="D6ECC846">
      <w:start w:val="1"/>
      <w:numFmt w:val="bullet"/>
      <w:lvlText w:val=""/>
      <w:lvlJc w:val="left"/>
      <w:pPr>
        <w:ind w:left="405" w:hanging="360"/>
      </w:pPr>
      <w:rPr>
        <w:rFonts w:ascii="Symbol" w:eastAsia="Calibri" w:hAnsi="Symbol" w:cs="Times New Roman" w:hint="default"/>
      </w:rPr>
    </w:lvl>
    <w:lvl w:ilvl="1" w:tplc="0C090003">
      <w:start w:val="1"/>
      <w:numFmt w:val="bullet"/>
      <w:lvlText w:val="o"/>
      <w:lvlJc w:val="left"/>
      <w:pPr>
        <w:ind w:left="1125" w:hanging="360"/>
      </w:pPr>
      <w:rPr>
        <w:rFonts w:ascii="Courier New" w:hAnsi="Courier New" w:cs="Courier New" w:hint="default"/>
      </w:rPr>
    </w:lvl>
    <w:lvl w:ilvl="2" w:tplc="0C090005">
      <w:start w:val="1"/>
      <w:numFmt w:val="bullet"/>
      <w:lvlText w:val=""/>
      <w:lvlJc w:val="left"/>
      <w:pPr>
        <w:ind w:left="1845" w:hanging="360"/>
      </w:pPr>
      <w:rPr>
        <w:rFonts w:ascii="Wingdings" w:hAnsi="Wingdings" w:hint="default"/>
      </w:rPr>
    </w:lvl>
    <w:lvl w:ilvl="3" w:tplc="0C090001">
      <w:start w:val="1"/>
      <w:numFmt w:val="bullet"/>
      <w:lvlText w:val=""/>
      <w:lvlJc w:val="left"/>
      <w:pPr>
        <w:ind w:left="2565" w:hanging="360"/>
      </w:pPr>
      <w:rPr>
        <w:rFonts w:ascii="Symbol" w:hAnsi="Symbol" w:hint="default"/>
      </w:rPr>
    </w:lvl>
    <w:lvl w:ilvl="4" w:tplc="0C090003">
      <w:start w:val="1"/>
      <w:numFmt w:val="bullet"/>
      <w:lvlText w:val="o"/>
      <w:lvlJc w:val="left"/>
      <w:pPr>
        <w:ind w:left="3285" w:hanging="360"/>
      </w:pPr>
      <w:rPr>
        <w:rFonts w:ascii="Courier New" w:hAnsi="Courier New" w:cs="Courier New" w:hint="default"/>
      </w:rPr>
    </w:lvl>
    <w:lvl w:ilvl="5" w:tplc="0C090005">
      <w:start w:val="1"/>
      <w:numFmt w:val="bullet"/>
      <w:lvlText w:val=""/>
      <w:lvlJc w:val="left"/>
      <w:pPr>
        <w:ind w:left="4005" w:hanging="360"/>
      </w:pPr>
      <w:rPr>
        <w:rFonts w:ascii="Wingdings" w:hAnsi="Wingdings" w:hint="default"/>
      </w:rPr>
    </w:lvl>
    <w:lvl w:ilvl="6" w:tplc="0C090001">
      <w:start w:val="1"/>
      <w:numFmt w:val="bullet"/>
      <w:lvlText w:val=""/>
      <w:lvlJc w:val="left"/>
      <w:pPr>
        <w:ind w:left="4725" w:hanging="360"/>
      </w:pPr>
      <w:rPr>
        <w:rFonts w:ascii="Symbol" w:hAnsi="Symbol" w:hint="default"/>
      </w:rPr>
    </w:lvl>
    <w:lvl w:ilvl="7" w:tplc="0C090003">
      <w:start w:val="1"/>
      <w:numFmt w:val="bullet"/>
      <w:lvlText w:val="o"/>
      <w:lvlJc w:val="left"/>
      <w:pPr>
        <w:ind w:left="5445" w:hanging="360"/>
      </w:pPr>
      <w:rPr>
        <w:rFonts w:ascii="Courier New" w:hAnsi="Courier New" w:cs="Courier New" w:hint="default"/>
      </w:rPr>
    </w:lvl>
    <w:lvl w:ilvl="8" w:tplc="0C090005">
      <w:start w:val="1"/>
      <w:numFmt w:val="bullet"/>
      <w:lvlText w:val=""/>
      <w:lvlJc w:val="left"/>
      <w:pPr>
        <w:ind w:left="6165" w:hanging="360"/>
      </w:pPr>
      <w:rPr>
        <w:rFonts w:ascii="Wingdings" w:hAnsi="Wingdings" w:hint="default"/>
      </w:rPr>
    </w:lvl>
  </w:abstractNum>
  <w:abstractNum w:abstractNumId="10" w15:restartNumberingAfterBreak="0">
    <w:nsid w:val="6F5E3763"/>
    <w:multiLevelType w:val="multilevel"/>
    <w:tmpl w:val="3AE6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107305"/>
    <w:multiLevelType w:val="multilevel"/>
    <w:tmpl w:val="5D9A3B7C"/>
    <w:styleLink w:val="BulletsList"/>
    <w:lvl w:ilvl="0">
      <w:start w:val="1"/>
      <w:numFmt w:val="bullet"/>
      <w:pStyle w:val="Bullet1"/>
      <w:lvlText w:val=""/>
      <w:lvlJc w:val="left"/>
      <w:pPr>
        <w:tabs>
          <w:tab w:val="num" w:pos="284"/>
        </w:tabs>
        <w:ind w:left="284" w:firstLine="0"/>
      </w:pPr>
      <w:rPr>
        <w:rFonts w:ascii="Symbol" w:hAnsi="Symbol" w:hint="default"/>
      </w:rPr>
    </w:lvl>
    <w:lvl w:ilvl="1">
      <w:start w:val="1"/>
      <w:numFmt w:val="bullet"/>
      <w:pStyle w:val="Bullet2"/>
      <w:lvlText w:val="–"/>
      <w:lvlJc w:val="left"/>
      <w:pPr>
        <w:tabs>
          <w:tab w:val="num" w:pos="568"/>
        </w:tabs>
        <w:ind w:left="568" w:firstLine="0"/>
      </w:pPr>
      <w:rPr>
        <w:rFonts w:ascii="Arial" w:hAnsi="Arial" w:hint="default"/>
      </w:rPr>
    </w:lvl>
    <w:lvl w:ilvl="2">
      <w:start w:val="1"/>
      <w:numFmt w:val="bullet"/>
      <w:pStyle w:val="Bullet3"/>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12" w15:restartNumberingAfterBreak="0">
    <w:nsid w:val="753B1E47"/>
    <w:multiLevelType w:val="hybridMultilevel"/>
    <w:tmpl w:val="76D0A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7A196852"/>
    <w:multiLevelType w:val="hybridMultilevel"/>
    <w:tmpl w:val="B1549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2"/>
  </w:num>
  <w:num w:numId="4">
    <w:abstractNumId w:val="6"/>
  </w:num>
  <w:num w:numId="5">
    <w:abstractNumId w:val="7"/>
  </w:num>
  <w:num w:numId="6">
    <w:abstractNumId w:val="0"/>
  </w:num>
  <w:num w:numId="7">
    <w:abstractNumId w:val="2"/>
  </w:num>
  <w:num w:numId="8">
    <w:abstractNumId w:val="1"/>
  </w:num>
  <w:num w:numId="9">
    <w:abstractNumId w:val="13"/>
  </w:num>
  <w:num w:numId="10">
    <w:abstractNumId w:val="5"/>
  </w:num>
  <w:num w:numId="11">
    <w:abstractNumId w:val="3"/>
  </w:num>
  <w:num w:numId="12">
    <w:abstractNumId w:val="12"/>
  </w:num>
  <w:num w:numId="13">
    <w:abstractNumId w:val="10"/>
  </w:num>
  <w:num w:numId="14">
    <w:abstractNumId w:val="8"/>
  </w:num>
  <w:num w:numId="15">
    <w:abstractNumId w:val="14"/>
  </w:num>
  <w:num w:numId="16">
    <w:abstractNumId w:val="5"/>
  </w:num>
  <w:num w:numId="17">
    <w:abstractNumId w:val="9"/>
  </w:num>
  <w:num w:numId="18">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edit="readOnly" w:formatting="1"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96C"/>
    <w:rsid w:val="00001594"/>
    <w:rsid w:val="000015F4"/>
    <w:rsid w:val="000037F1"/>
    <w:rsid w:val="00013F0E"/>
    <w:rsid w:val="0002080A"/>
    <w:rsid w:val="000228A3"/>
    <w:rsid w:val="00025DD7"/>
    <w:rsid w:val="00027287"/>
    <w:rsid w:val="0002782F"/>
    <w:rsid w:val="000313F0"/>
    <w:rsid w:val="000356C3"/>
    <w:rsid w:val="000377B1"/>
    <w:rsid w:val="000429FD"/>
    <w:rsid w:val="00043245"/>
    <w:rsid w:val="00046E18"/>
    <w:rsid w:val="00047F6A"/>
    <w:rsid w:val="00050CCF"/>
    <w:rsid w:val="000524C5"/>
    <w:rsid w:val="00053C44"/>
    <w:rsid w:val="00054E4D"/>
    <w:rsid w:val="00056484"/>
    <w:rsid w:val="00057479"/>
    <w:rsid w:val="00060052"/>
    <w:rsid w:val="00060073"/>
    <w:rsid w:val="000643A1"/>
    <w:rsid w:val="00067853"/>
    <w:rsid w:val="00074477"/>
    <w:rsid w:val="00083344"/>
    <w:rsid w:val="00086BD0"/>
    <w:rsid w:val="00090CA7"/>
    <w:rsid w:val="0009168A"/>
    <w:rsid w:val="00094F3D"/>
    <w:rsid w:val="000A35A8"/>
    <w:rsid w:val="000A75E6"/>
    <w:rsid w:val="000A77C1"/>
    <w:rsid w:val="000B10D6"/>
    <w:rsid w:val="000B3155"/>
    <w:rsid w:val="000B321A"/>
    <w:rsid w:val="000B3416"/>
    <w:rsid w:val="000B3FD0"/>
    <w:rsid w:val="000B492A"/>
    <w:rsid w:val="000B7420"/>
    <w:rsid w:val="000C08CB"/>
    <w:rsid w:val="000C2638"/>
    <w:rsid w:val="000C6E90"/>
    <w:rsid w:val="000D3A9F"/>
    <w:rsid w:val="000D77C9"/>
    <w:rsid w:val="000E0261"/>
    <w:rsid w:val="000E2620"/>
    <w:rsid w:val="000E4AA4"/>
    <w:rsid w:val="000E6040"/>
    <w:rsid w:val="000E79F6"/>
    <w:rsid w:val="000F10D9"/>
    <w:rsid w:val="000F1979"/>
    <w:rsid w:val="000F3FAD"/>
    <w:rsid w:val="000F67DF"/>
    <w:rsid w:val="000F6A0C"/>
    <w:rsid w:val="001038BE"/>
    <w:rsid w:val="001051BF"/>
    <w:rsid w:val="00110436"/>
    <w:rsid w:val="00112074"/>
    <w:rsid w:val="00116218"/>
    <w:rsid w:val="001250CF"/>
    <w:rsid w:val="00135E28"/>
    <w:rsid w:val="001374DB"/>
    <w:rsid w:val="001408BE"/>
    <w:rsid w:val="00141E3E"/>
    <w:rsid w:val="00151E94"/>
    <w:rsid w:val="001541EA"/>
    <w:rsid w:val="00154519"/>
    <w:rsid w:val="00157C34"/>
    <w:rsid w:val="0016605C"/>
    <w:rsid w:val="001726DE"/>
    <w:rsid w:val="0017495D"/>
    <w:rsid w:val="001773F9"/>
    <w:rsid w:val="00183F23"/>
    <w:rsid w:val="00185BF5"/>
    <w:rsid w:val="00194411"/>
    <w:rsid w:val="001949A4"/>
    <w:rsid w:val="001A10B4"/>
    <w:rsid w:val="001A1A6F"/>
    <w:rsid w:val="001A6483"/>
    <w:rsid w:val="001A65D1"/>
    <w:rsid w:val="001B1386"/>
    <w:rsid w:val="001B19AF"/>
    <w:rsid w:val="001B4773"/>
    <w:rsid w:val="001C013B"/>
    <w:rsid w:val="001C302A"/>
    <w:rsid w:val="001C3669"/>
    <w:rsid w:val="001C3C3E"/>
    <w:rsid w:val="001C7935"/>
    <w:rsid w:val="001D2D2C"/>
    <w:rsid w:val="001D38EC"/>
    <w:rsid w:val="001D420F"/>
    <w:rsid w:val="001D4E4B"/>
    <w:rsid w:val="001D663E"/>
    <w:rsid w:val="001D7F27"/>
    <w:rsid w:val="001E1DC0"/>
    <w:rsid w:val="001E5715"/>
    <w:rsid w:val="001E65D1"/>
    <w:rsid w:val="001F0DA5"/>
    <w:rsid w:val="001F0F53"/>
    <w:rsid w:val="001F1581"/>
    <w:rsid w:val="001F7A6A"/>
    <w:rsid w:val="00200661"/>
    <w:rsid w:val="0020205B"/>
    <w:rsid w:val="00203BF7"/>
    <w:rsid w:val="002070D4"/>
    <w:rsid w:val="0022166A"/>
    <w:rsid w:val="0022186C"/>
    <w:rsid w:val="00222F6A"/>
    <w:rsid w:val="00223640"/>
    <w:rsid w:val="00226090"/>
    <w:rsid w:val="0023478F"/>
    <w:rsid w:val="0023481D"/>
    <w:rsid w:val="00237EDA"/>
    <w:rsid w:val="00241335"/>
    <w:rsid w:val="00244623"/>
    <w:rsid w:val="0024653B"/>
    <w:rsid w:val="00246F33"/>
    <w:rsid w:val="00253033"/>
    <w:rsid w:val="002556B3"/>
    <w:rsid w:val="00260A9A"/>
    <w:rsid w:val="0026610B"/>
    <w:rsid w:val="00266568"/>
    <w:rsid w:val="0027037F"/>
    <w:rsid w:val="00271503"/>
    <w:rsid w:val="00274D36"/>
    <w:rsid w:val="00276B76"/>
    <w:rsid w:val="00281D68"/>
    <w:rsid w:val="002834DE"/>
    <w:rsid w:val="0028602A"/>
    <w:rsid w:val="0029106A"/>
    <w:rsid w:val="00291240"/>
    <w:rsid w:val="002917B0"/>
    <w:rsid w:val="00296F2F"/>
    <w:rsid w:val="0029737F"/>
    <w:rsid w:val="00297BC9"/>
    <w:rsid w:val="002A15E3"/>
    <w:rsid w:val="002A30A4"/>
    <w:rsid w:val="002A4781"/>
    <w:rsid w:val="002B0236"/>
    <w:rsid w:val="002B234D"/>
    <w:rsid w:val="002B3720"/>
    <w:rsid w:val="002C073B"/>
    <w:rsid w:val="002C1071"/>
    <w:rsid w:val="002C6E65"/>
    <w:rsid w:val="002C7AE3"/>
    <w:rsid w:val="002D00DE"/>
    <w:rsid w:val="002D13BA"/>
    <w:rsid w:val="002D484F"/>
    <w:rsid w:val="002E63B2"/>
    <w:rsid w:val="002E696B"/>
    <w:rsid w:val="002F1A08"/>
    <w:rsid w:val="002F761B"/>
    <w:rsid w:val="003002C0"/>
    <w:rsid w:val="00301144"/>
    <w:rsid w:val="00307C05"/>
    <w:rsid w:val="00311882"/>
    <w:rsid w:val="003148B7"/>
    <w:rsid w:val="003155F1"/>
    <w:rsid w:val="003158C3"/>
    <w:rsid w:val="003243C2"/>
    <w:rsid w:val="003274CD"/>
    <w:rsid w:val="00327D10"/>
    <w:rsid w:val="00330058"/>
    <w:rsid w:val="00332D43"/>
    <w:rsid w:val="00333501"/>
    <w:rsid w:val="003340B9"/>
    <w:rsid w:val="0033728F"/>
    <w:rsid w:val="0034497F"/>
    <w:rsid w:val="003457C4"/>
    <w:rsid w:val="0035119D"/>
    <w:rsid w:val="003535A1"/>
    <w:rsid w:val="003544D4"/>
    <w:rsid w:val="00354D0B"/>
    <w:rsid w:val="003567C7"/>
    <w:rsid w:val="00362F5A"/>
    <w:rsid w:val="00363B3C"/>
    <w:rsid w:val="00364DB3"/>
    <w:rsid w:val="00372D59"/>
    <w:rsid w:val="00385E84"/>
    <w:rsid w:val="00387A24"/>
    <w:rsid w:val="00392184"/>
    <w:rsid w:val="00392738"/>
    <w:rsid w:val="003934C5"/>
    <w:rsid w:val="00393F37"/>
    <w:rsid w:val="00395013"/>
    <w:rsid w:val="00397123"/>
    <w:rsid w:val="003A5358"/>
    <w:rsid w:val="003B0E86"/>
    <w:rsid w:val="003B125F"/>
    <w:rsid w:val="003B1D61"/>
    <w:rsid w:val="003B4F12"/>
    <w:rsid w:val="003B6091"/>
    <w:rsid w:val="003B6987"/>
    <w:rsid w:val="003C022D"/>
    <w:rsid w:val="003C2724"/>
    <w:rsid w:val="003C50F6"/>
    <w:rsid w:val="003D16FB"/>
    <w:rsid w:val="003D4F55"/>
    <w:rsid w:val="003D569C"/>
    <w:rsid w:val="003E0442"/>
    <w:rsid w:val="003E1A6B"/>
    <w:rsid w:val="003E6717"/>
    <w:rsid w:val="003F00B8"/>
    <w:rsid w:val="003F2A92"/>
    <w:rsid w:val="003F65B6"/>
    <w:rsid w:val="003F752A"/>
    <w:rsid w:val="00403C4D"/>
    <w:rsid w:val="004056BD"/>
    <w:rsid w:val="0040641E"/>
    <w:rsid w:val="004215E7"/>
    <w:rsid w:val="004230ED"/>
    <w:rsid w:val="00423F31"/>
    <w:rsid w:val="0042502D"/>
    <w:rsid w:val="00425CB9"/>
    <w:rsid w:val="00426C51"/>
    <w:rsid w:val="00431899"/>
    <w:rsid w:val="00437219"/>
    <w:rsid w:val="00440A7D"/>
    <w:rsid w:val="00441E50"/>
    <w:rsid w:val="00445668"/>
    <w:rsid w:val="00445B90"/>
    <w:rsid w:val="00446487"/>
    <w:rsid w:val="00447182"/>
    <w:rsid w:val="00453DBB"/>
    <w:rsid w:val="00454DA9"/>
    <w:rsid w:val="00455507"/>
    <w:rsid w:val="00461D32"/>
    <w:rsid w:val="00462441"/>
    <w:rsid w:val="00467615"/>
    <w:rsid w:val="00467695"/>
    <w:rsid w:val="00481CA0"/>
    <w:rsid w:val="00486237"/>
    <w:rsid w:val="00486804"/>
    <w:rsid w:val="00487C58"/>
    <w:rsid w:val="00495F8E"/>
    <w:rsid w:val="004A3BFD"/>
    <w:rsid w:val="004A4855"/>
    <w:rsid w:val="004A7D12"/>
    <w:rsid w:val="004B13E9"/>
    <w:rsid w:val="004B3775"/>
    <w:rsid w:val="004B7917"/>
    <w:rsid w:val="004C1EAD"/>
    <w:rsid w:val="004C3770"/>
    <w:rsid w:val="004C7B1B"/>
    <w:rsid w:val="004D0AEE"/>
    <w:rsid w:val="004D0D64"/>
    <w:rsid w:val="004D336E"/>
    <w:rsid w:val="004D633C"/>
    <w:rsid w:val="004D7B14"/>
    <w:rsid w:val="004E058F"/>
    <w:rsid w:val="004E083A"/>
    <w:rsid w:val="004E3B87"/>
    <w:rsid w:val="004E5A48"/>
    <w:rsid w:val="004E7D20"/>
    <w:rsid w:val="004F28CA"/>
    <w:rsid w:val="004F7BA9"/>
    <w:rsid w:val="004F7F58"/>
    <w:rsid w:val="00501EA3"/>
    <w:rsid w:val="0050405D"/>
    <w:rsid w:val="0050532C"/>
    <w:rsid w:val="00506D43"/>
    <w:rsid w:val="00506F17"/>
    <w:rsid w:val="00510921"/>
    <w:rsid w:val="00510AD3"/>
    <w:rsid w:val="005124ED"/>
    <w:rsid w:val="00513348"/>
    <w:rsid w:val="00516678"/>
    <w:rsid w:val="005230E9"/>
    <w:rsid w:val="00526F20"/>
    <w:rsid w:val="005315C2"/>
    <w:rsid w:val="00533B5D"/>
    <w:rsid w:val="00533E77"/>
    <w:rsid w:val="00534548"/>
    <w:rsid w:val="00534CC8"/>
    <w:rsid w:val="005366CA"/>
    <w:rsid w:val="00537550"/>
    <w:rsid w:val="00540705"/>
    <w:rsid w:val="00541ED1"/>
    <w:rsid w:val="005448D0"/>
    <w:rsid w:val="00550E81"/>
    <w:rsid w:val="00555143"/>
    <w:rsid w:val="00556381"/>
    <w:rsid w:val="005577DE"/>
    <w:rsid w:val="00565BE9"/>
    <w:rsid w:val="00577368"/>
    <w:rsid w:val="005835E7"/>
    <w:rsid w:val="00583789"/>
    <w:rsid w:val="0058458D"/>
    <w:rsid w:val="0059626F"/>
    <w:rsid w:val="00596DED"/>
    <w:rsid w:val="005A0020"/>
    <w:rsid w:val="005A35E2"/>
    <w:rsid w:val="005B583F"/>
    <w:rsid w:val="005B6400"/>
    <w:rsid w:val="005B688C"/>
    <w:rsid w:val="005C35E7"/>
    <w:rsid w:val="005D3210"/>
    <w:rsid w:val="005D5216"/>
    <w:rsid w:val="005D76A2"/>
    <w:rsid w:val="005E03F7"/>
    <w:rsid w:val="005E59EA"/>
    <w:rsid w:val="005F43C3"/>
    <w:rsid w:val="00606DF0"/>
    <w:rsid w:val="00607045"/>
    <w:rsid w:val="00612989"/>
    <w:rsid w:val="00614258"/>
    <w:rsid w:val="006147D9"/>
    <w:rsid w:val="00616017"/>
    <w:rsid w:val="00617926"/>
    <w:rsid w:val="00623BA1"/>
    <w:rsid w:val="00624494"/>
    <w:rsid w:val="00625481"/>
    <w:rsid w:val="006263FA"/>
    <w:rsid w:val="00627558"/>
    <w:rsid w:val="006346BC"/>
    <w:rsid w:val="00635FDD"/>
    <w:rsid w:val="00636BBB"/>
    <w:rsid w:val="00641FE3"/>
    <w:rsid w:val="00642000"/>
    <w:rsid w:val="00643B82"/>
    <w:rsid w:val="006512FA"/>
    <w:rsid w:val="0065226B"/>
    <w:rsid w:val="006530F9"/>
    <w:rsid w:val="006545B6"/>
    <w:rsid w:val="00655169"/>
    <w:rsid w:val="00655192"/>
    <w:rsid w:val="00660AF5"/>
    <w:rsid w:val="0066652A"/>
    <w:rsid w:val="00674123"/>
    <w:rsid w:val="00675C53"/>
    <w:rsid w:val="00676710"/>
    <w:rsid w:val="00680FAA"/>
    <w:rsid w:val="00681185"/>
    <w:rsid w:val="006813B2"/>
    <w:rsid w:val="00682167"/>
    <w:rsid w:val="00684C8E"/>
    <w:rsid w:val="00687B3B"/>
    <w:rsid w:val="00690A02"/>
    <w:rsid w:val="0069258C"/>
    <w:rsid w:val="00692D50"/>
    <w:rsid w:val="00694770"/>
    <w:rsid w:val="00695F9C"/>
    <w:rsid w:val="006A1917"/>
    <w:rsid w:val="006B0E2A"/>
    <w:rsid w:val="006B7662"/>
    <w:rsid w:val="006C09BD"/>
    <w:rsid w:val="006C1513"/>
    <w:rsid w:val="006C21D9"/>
    <w:rsid w:val="006C42AF"/>
    <w:rsid w:val="006C483E"/>
    <w:rsid w:val="006C51D7"/>
    <w:rsid w:val="006E2A12"/>
    <w:rsid w:val="006E43F6"/>
    <w:rsid w:val="006E45CF"/>
    <w:rsid w:val="006E5938"/>
    <w:rsid w:val="006F0606"/>
    <w:rsid w:val="006F2D97"/>
    <w:rsid w:val="006F35F3"/>
    <w:rsid w:val="006F5CFD"/>
    <w:rsid w:val="006F7D9E"/>
    <w:rsid w:val="00700B3A"/>
    <w:rsid w:val="00701C0C"/>
    <w:rsid w:val="007060F4"/>
    <w:rsid w:val="0070638F"/>
    <w:rsid w:val="007076D1"/>
    <w:rsid w:val="0071086E"/>
    <w:rsid w:val="00711D02"/>
    <w:rsid w:val="00711D8E"/>
    <w:rsid w:val="007122F7"/>
    <w:rsid w:val="00712672"/>
    <w:rsid w:val="007156F8"/>
    <w:rsid w:val="00722B38"/>
    <w:rsid w:val="0073109A"/>
    <w:rsid w:val="00734B4B"/>
    <w:rsid w:val="00734E3F"/>
    <w:rsid w:val="00736985"/>
    <w:rsid w:val="00743420"/>
    <w:rsid w:val="00745DF5"/>
    <w:rsid w:val="00750DBA"/>
    <w:rsid w:val="007529A1"/>
    <w:rsid w:val="00753EDA"/>
    <w:rsid w:val="00756044"/>
    <w:rsid w:val="00756CBB"/>
    <w:rsid w:val="00761FBB"/>
    <w:rsid w:val="0076284D"/>
    <w:rsid w:val="007652B0"/>
    <w:rsid w:val="007712A0"/>
    <w:rsid w:val="00774489"/>
    <w:rsid w:val="007763EB"/>
    <w:rsid w:val="00780409"/>
    <w:rsid w:val="007812F6"/>
    <w:rsid w:val="007919B1"/>
    <w:rsid w:val="0079738A"/>
    <w:rsid w:val="007B257B"/>
    <w:rsid w:val="007B2B1E"/>
    <w:rsid w:val="007B6200"/>
    <w:rsid w:val="007C3373"/>
    <w:rsid w:val="007C6EA2"/>
    <w:rsid w:val="007D1E09"/>
    <w:rsid w:val="007E3380"/>
    <w:rsid w:val="007E6519"/>
    <w:rsid w:val="007F3395"/>
    <w:rsid w:val="007F66A5"/>
    <w:rsid w:val="00800342"/>
    <w:rsid w:val="00800894"/>
    <w:rsid w:val="00801B9F"/>
    <w:rsid w:val="00805C53"/>
    <w:rsid w:val="00806503"/>
    <w:rsid w:val="008205AE"/>
    <w:rsid w:val="008254E2"/>
    <w:rsid w:val="00833C7D"/>
    <w:rsid w:val="00834336"/>
    <w:rsid w:val="00844BFA"/>
    <w:rsid w:val="00845018"/>
    <w:rsid w:val="008470A1"/>
    <w:rsid w:val="0085011E"/>
    <w:rsid w:val="00852F2E"/>
    <w:rsid w:val="00856907"/>
    <w:rsid w:val="0087091F"/>
    <w:rsid w:val="008756A5"/>
    <w:rsid w:val="00877E14"/>
    <w:rsid w:val="00880E04"/>
    <w:rsid w:val="008830D2"/>
    <w:rsid w:val="00892441"/>
    <w:rsid w:val="008973D5"/>
    <w:rsid w:val="008A5A35"/>
    <w:rsid w:val="008C0460"/>
    <w:rsid w:val="008C202D"/>
    <w:rsid w:val="008C455D"/>
    <w:rsid w:val="008C487E"/>
    <w:rsid w:val="008C5A0E"/>
    <w:rsid w:val="008D0351"/>
    <w:rsid w:val="008D1B67"/>
    <w:rsid w:val="008D2E0A"/>
    <w:rsid w:val="008D3D8D"/>
    <w:rsid w:val="008D6C17"/>
    <w:rsid w:val="008E032F"/>
    <w:rsid w:val="008E1943"/>
    <w:rsid w:val="008F420B"/>
    <w:rsid w:val="008F516A"/>
    <w:rsid w:val="00910075"/>
    <w:rsid w:val="0091212D"/>
    <w:rsid w:val="00913B23"/>
    <w:rsid w:val="0091423B"/>
    <w:rsid w:val="0092044E"/>
    <w:rsid w:val="0092197F"/>
    <w:rsid w:val="00923851"/>
    <w:rsid w:val="00927F8F"/>
    <w:rsid w:val="009342A1"/>
    <w:rsid w:val="00934CE5"/>
    <w:rsid w:val="009366BB"/>
    <w:rsid w:val="009415EF"/>
    <w:rsid w:val="0095090A"/>
    <w:rsid w:val="0095193B"/>
    <w:rsid w:val="0095400D"/>
    <w:rsid w:val="00960AD4"/>
    <w:rsid w:val="00961895"/>
    <w:rsid w:val="009664CB"/>
    <w:rsid w:val="009666B1"/>
    <w:rsid w:val="00973297"/>
    <w:rsid w:val="00974B2C"/>
    <w:rsid w:val="00982A5F"/>
    <w:rsid w:val="009833EE"/>
    <w:rsid w:val="00991288"/>
    <w:rsid w:val="009946C6"/>
    <w:rsid w:val="00995FC3"/>
    <w:rsid w:val="009A3898"/>
    <w:rsid w:val="009B12CA"/>
    <w:rsid w:val="009B2EA6"/>
    <w:rsid w:val="009B42FC"/>
    <w:rsid w:val="009B4C5C"/>
    <w:rsid w:val="009B4D3B"/>
    <w:rsid w:val="009D024D"/>
    <w:rsid w:val="009D7407"/>
    <w:rsid w:val="009E0866"/>
    <w:rsid w:val="009F4072"/>
    <w:rsid w:val="009F6423"/>
    <w:rsid w:val="00A10F47"/>
    <w:rsid w:val="00A13E4D"/>
    <w:rsid w:val="00A1424D"/>
    <w:rsid w:val="00A158E5"/>
    <w:rsid w:val="00A223EA"/>
    <w:rsid w:val="00A237C1"/>
    <w:rsid w:val="00A23D40"/>
    <w:rsid w:val="00A24100"/>
    <w:rsid w:val="00A2486C"/>
    <w:rsid w:val="00A24A62"/>
    <w:rsid w:val="00A31C9F"/>
    <w:rsid w:val="00A3205A"/>
    <w:rsid w:val="00A32D10"/>
    <w:rsid w:val="00A34525"/>
    <w:rsid w:val="00A37E8D"/>
    <w:rsid w:val="00A4144F"/>
    <w:rsid w:val="00A45833"/>
    <w:rsid w:val="00A5178B"/>
    <w:rsid w:val="00A55CEF"/>
    <w:rsid w:val="00A56462"/>
    <w:rsid w:val="00A6241D"/>
    <w:rsid w:val="00A65F96"/>
    <w:rsid w:val="00A662DE"/>
    <w:rsid w:val="00A70A19"/>
    <w:rsid w:val="00A72F73"/>
    <w:rsid w:val="00A75A27"/>
    <w:rsid w:val="00A84CD5"/>
    <w:rsid w:val="00AA37B2"/>
    <w:rsid w:val="00AA6DF2"/>
    <w:rsid w:val="00AB1A97"/>
    <w:rsid w:val="00AB1D78"/>
    <w:rsid w:val="00AB388E"/>
    <w:rsid w:val="00AB4579"/>
    <w:rsid w:val="00AB58BC"/>
    <w:rsid w:val="00AC164A"/>
    <w:rsid w:val="00AC376D"/>
    <w:rsid w:val="00AC4169"/>
    <w:rsid w:val="00AC44DF"/>
    <w:rsid w:val="00AC5C34"/>
    <w:rsid w:val="00AD156E"/>
    <w:rsid w:val="00AD378E"/>
    <w:rsid w:val="00AE3A0C"/>
    <w:rsid w:val="00AE3D43"/>
    <w:rsid w:val="00AF0D6F"/>
    <w:rsid w:val="00AF2050"/>
    <w:rsid w:val="00AF2CEA"/>
    <w:rsid w:val="00AF4A67"/>
    <w:rsid w:val="00AF6D5E"/>
    <w:rsid w:val="00B03CA8"/>
    <w:rsid w:val="00B042B5"/>
    <w:rsid w:val="00B059F1"/>
    <w:rsid w:val="00B124F8"/>
    <w:rsid w:val="00B2169E"/>
    <w:rsid w:val="00B21AB7"/>
    <w:rsid w:val="00B24635"/>
    <w:rsid w:val="00B25A6B"/>
    <w:rsid w:val="00B30385"/>
    <w:rsid w:val="00B33C52"/>
    <w:rsid w:val="00B535E9"/>
    <w:rsid w:val="00B557B1"/>
    <w:rsid w:val="00B55E19"/>
    <w:rsid w:val="00B561AF"/>
    <w:rsid w:val="00B57B1B"/>
    <w:rsid w:val="00B75D2C"/>
    <w:rsid w:val="00B851FD"/>
    <w:rsid w:val="00B91B7D"/>
    <w:rsid w:val="00B92E1E"/>
    <w:rsid w:val="00BA0B12"/>
    <w:rsid w:val="00BA46FE"/>
    <w:rsid w:val="00BA4B6D"/>
    <w:rsid w:val="00BB15D6"/>
    <w:rsid w:val="00BB19CD"/>
    <w:rsid w:val="00BB26C5"/>
    <w:rsid w:val="00BC235C"/>
    <w:rsid w:val="00BD145B"/>
    <w:rsid w:val="00BD35CD"/>
    <w:rsid w:val="00BD707F"/>
    <w:rsid w:val="00BE02F4"/>
    <w:rsid w:val="00BE0891"/>
    <w:rsid w:val="00BE791C"/>
    <w:rsid w:val="00BE7B78"/>
    <w:rsid w:val="00BF14D0"/>
    <w:rsid w:val="00BF29D2"/>
    <w:rsid w:val="00BF3A17"/>
    <w:rsid w:val="00BF4DE6"/>
    <w:rsid w:val="00BF4FBE"/>
    <w:rsid w:val="00BF77D1"/>
    <w:rsid w:val="00C00230"/>
    <w:rsid w:val="00C00C98"/>
    <w:rsid w:val="00C036B3"/>
    <w:rsid w:val="00C04CAA"/>
    <w:rsid w:val="00C16478"/>
    <w:rsid w:val="00C17272"/>
    <w:rsid w:val="00C26053"/>
    <w:rsid w:val="00C3001C"/>
    <w:rsid w:val="00C30991"/>
    <w:rsid w:val="00C35DA3"/>
    <w:rsid w:val="00C3731C"/>
    <w:rsid w:val="00C3756D"/>
    <w:rsid w:val="00C40AD0"/>
    <w:rsid w:val="00C42CDE"/>
    <w:rsid w:val="00C43F07"/>
    <w:rsid w:val="00C46354"/>
    <w:rsid w:val="00C566F1"/>
    <w:rsid w:val="00C56A4F"/>
    <w:rsid w:val="00C6398E"/>
    <w:rsid w:val="00C63EE9"/>
    <w:rsid w:val="00C6649F"/>
    <w:rsid w:val="00C72DF2"/>
    <w:rsid w:val="00C73DB2"/>
    <w:rsid w:val="00C74173"/>
    <w:rsid w:val="00C80EE6"/>
    <w:rsid w:val="00C82BC2"/>
    <w:rsid w:val="00C84851"/>
    <w:rsid w:val="00C84F26"/>
    <w:rsid w:val="00C86007"/>
    <w:rsid w:val="00C90869"/>
    <w:rsid w:val="00C90FDD"/>
    <w:rsid w:val="00C91053"/>
    <w:rsid w:val="00C9312E"/>
    <w:rsid w:val="00C9731C"/>
    <w:rsid w:val="00CA37B1"/>
    <w:rsid w:val="00CA587B"/>
    <w:rsid w:val="00CA6EC9"/>
    <w:rsid w:val="00CB1366"/>
    <w:rsid w:val="00CB1959"/>
    <w:rsid w:val="00CB5AE1"/>
    <w:rsid w:val="00CC431B"/>
    <w:rsid w:val="00CC6B06"/>
    <w:rsid w:val="00CC7797"/>
    <w:rsid w:val="00CD2F34"/>
    <w:rsid w:val="00CD64B5"/>
    <w:rsid w:val="00CE3A37"/>
    <w:rsid w:val="00CE5118"/>
    <w:rsid w:val="00CE5DDA"/>
    <w:rsid w:val="00CE79F7"/>
    <w:rsid w:val="00CF0AD8"/>
    <w:rsid w:val="00CF118F"/>
    <w:rsid w:val="00CF1D25"/>
    <w:rsid w:val="00CF20CF"/>
    <w:rsid w:val="00D001ED"/>
    <w:rsid w:val="00D0296C"/>
    <w:rsid w:val="00D02F6C"/>
    <w:rsid w:val="00D07528"/>
    <w:rsid w:val="00D132AE"/>
    <w:rsid w:val="00D14B27"/>
    <w:rsid w:val="00D175F3"/>
    <w:rsid w:val="00D203EB"/>
    <w:rsid w:val="00D23E0F"/>
    <w:rsid w:val="00D2669D"/>
    <w:rsid w:val="00D2703D"/>
    <w:rsid w:val="00D3000C"/>
    <w:rsid w:val="00D324BA"/>
    <w:rsid w:val="00D40C15"/>
    <w:rsid w:val="00D4109F"/>
    <w:rsid w:val="00D4318C"/>
    <w:rsid w:val="00D446BC"/>
    <w:rsid w:val="00D475C4"/>
    <w:rsid w:val="00D47D6D"/>
    <w:rsid w:val="00D500E9"/>
    <w:rsid w:val="00D508B3"/>
    <w:rsid w:val="00D52C27"/>
    <w:rsid w:val="00D55DBD"/>
    <w:rsid w:val="00D5607A"/>
    <w:rsid w:val="00D56E16"/>
    <w:rsid w:val="00D64312"/>
    <w:rsid w:val="00D64A6E"/>
    <w:rsid w:val="00D66BF7"/>
    <w:rsid w:val="00D73433"/>
    <w:rsid w:val="00D759FD"/>
    <w:rsid w:val="00D75DDB"/>
    <w:rsid w:val="00D77031"/>
    <w:rsid w:val="00DA3F66"/>
    <w:rsid w:val="00DA4E5B"/>
    <w:rsid w:val="00DB0D3D"/>
    <w:rsid w:val="00DB37CD"/>
    <w:rsid w:val="00DB51B7"/>
    <w:rsid w:val="00DB7B04"/>
    <w:rsid w:val="00DC17E3"/>
    <w:rsid w:val="00DD32B2"/>
    <w:rsid w:val="00DD3596"/>
    <w:rsid w:val="00DD3BA7"/>
    <w:rsid w:val="00DE12BC"/>
    <w:rsid w:val="00DE5201"/>
    <w:rsid w:val="00DF64A3"/>
    <w:rsid w:val="00E00BB6"/>
    <w:rsid w:val="00E01E30"/>
    <w:rsid w:val="00E10C75"/>
    <w:rsid w:val="00E21C07"/>
    <w:rsid w:val="00E249E2"/>
    <w:rsid w:val="00E300C5"/>
    <w:rsid w:val="00E3021A"/>
    <w:rsid w:val="00E33AAF"/>
    <w:rsid w:val="00E357B7"/>
    <w:rsid w:val="00E3757B"/>
    <w:rsid w:val="00E375D6"/>
    <w:rsid w:val="00E377D5"/>
    <w:rsid w:val="00E47CC4"/>
    <w:rsid w:val="00E53067"/>
    <w:rsid w:val="00E53800"/>
    <w:rsid w:val="00E54686"/>
    <w:rsid w:val="00E6081F"/>
    <w:rsid w:val="00E6753E"/>
    <w:rsid w:val="00E718E9"/>
    <w:rsid w:val="00E71F5E"/>
    <w:rsid w:val="00E803EA"/>
    <w:rsid w:val="00E82491"/>
    <w:rsid w:val="00E839A4"/>
    <w:rsid w:val="00E867AF"/>
    <w:rsid w:val="00E90ECA"/>
    <w:rsid w:val="00E94049"/>
    <w:rsid w:val="00EA04B2"/>
    <w:rsid w:val="00EA0BCE"/>
    <w:rsid w:val="00EA20F3"/>
    <w:rsid w:val="00EA390C"/>
    <w:rsid w:val="00EB366A"/>
    <w:rsid w:val="00EC1976"/>
    <w:rsid w:val="00EC1BCB"/>
    <w:rsid w:val="00ED43D1"/>
    <w:rsid w:val="00ED6115"/>
    <w:rsid w:val="00EE4EE1"/>
    <w:rsid w:val="00EE6390"/>
    <w:rsid w:val="00EF13F2"/>
    <w:rsid w:val="00EF23EA"/>
    <w:rsid w:val="00EF4574"/>
    <w:rsid w:val="00EF63BB"/>
    <w:rsid w:val="00F11C2C"/>
    <w:rsid w:val="00F13FB3"/>
    <w:rsid w:val="00F14149"/>
    <w:rsid w:val="00F1611E"/>
    <w:rsid w:val="00F17A2B"/>
    <w:rsid w:val="00F20E5E"/>
    <w:rsid w:val="00F212B0"/>
    <w:rsid w:val="00F24DFC"/>
    <w:rsid w:val="00F25057"/>
    <w:rsid w:val="00F25448"/>
    <w:rsid w:val="00F267C0"/>
    <w:rsid w:val="00F2684E"/>
    <w:rsid w:val="00F31C37"/>
    <w:rsid w:val="00F31C9D"/>
    <w:rsid w:val="00F3400E"/>
    <w:rsid w:val="00F40221"/>
    <w:rsid w:val="00F4791C"/>
    <w:rsid w:val="00F50E2F"/>
    <w:rsid w:val="00F5404C"/>
    <w:rsid w:val="00F54088"/>
    <w:rsid w:val="00F56E6F"/>
    <w:rsid w:val="00F616C2"/>
    <w:rsid w:val="00F63911"/>
    <w:rsid w:val="00F65FFA"/>
    <w:rsid w:val="00F66616"/>
    <w:rsid w:val="00F676EA"/>
    <w:rsid w:val="00F71E5E"/>
    <w:rsid w:val="00F72408"/>
    <w:rsid w:val="00F729EF"/>
    <w:rsid w:val="00F72AB4"/>
    <w:rsid w:val="00F7684B"/>
    <w:rsid w:val="00F77CAE"/>
    <w:rsid w:val="00F958AE"/>
    <w:rsid w:val="00F96BB9"/>
    <w:rsid w:val="00FA6261"/>
    <w:rsid w:val="00FA79D4"/>
    <w:rsid w:val="00FA7C9E"/>
    <w:rsid w:val="00FC17EB"/>
    <w:rsid w:val="00FC2682"/>
    <w:rsid w:val="00FC750D"/>
    <w:rsid w:val="00FD1DF4"/>
    <w:rsid w:val="00FD22B7"/>
    <w:rsid w:val="00FE0D56"/>
    <w:rsid w:val="00FE0DC6"/>
    <w:rsid w:val="00FE6D51"/>
    <w:rsid w:val="00FE7052"/>
    <w:rsid w:val="00FF30B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AFC0A3"/>
  <w15:docId w15:val="{2314F4F5-6C6D-4ED4-95B4-9B97BF797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3756D"/>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F1611E"/>
    <w:pPr>
      <w:keepNext/>
      <w:keepLines/>
      <w:spacing w:before="300" w:after="24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501EA3"/>
    <w:pPr>
      <w:spacing w:line="200" w:lineRule="atLeast"/>
      <w:outlineLvl w:val="4"/>
    </w:pPr>
    <w:rPr>
      <w:b/>
      <w:sz w:val="16"/>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sz w:val="22"/>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1C013B"/>
    <w:pPr>
      <w:numPr>
        <w:numId w:val="10"/>
      </w:numPr>
      <w:tabs>
        <w:tab w:val="left" w:pos="567"/>
      </w:tabs>
      <w:spacing w:before="60"/>
    </w:pPr>
  </w:style>
  <w:style w:type="paragraph" w:customStyle="1" w:styleId="Bullet2">
    <w:name w:val="Bullet 2"/>
    <w:basedOn w:val="Bullet1"/>
    <w:qFormat/>
    <w:rsid w:val="001C013B"/>
    <w:pPr>
      <w:numPr>
        <w:ilvl w:val="1"/>
      </w:numPr>
      <w:tabs>
        <w:tab w:val="clear" w:pos="568"/>
        <w:tab w:val="left" w:pos="851"/>
      </w:tabs>
      <w:ind w:left="851" w:hanging="284"/>
    </w:pPr>
  </w:style>
  <w:style w:type="paragraph" w:customStyle="1" w:styleId="Bullet3">
    <w:name w:val="Bullet 3"/>
    <w:basedOn w:val="Bullet2"/>
    <w:qFormat/>
    <w:rsid w:val="001C013B"/>
    <w:pPr>
      <w:numPr>
        <w:ilvl w:val="2"/>
      </w:numPr>
      <w:tabs>
        <w:tab w:val="clear" w:pos="852"/>
        <w:tab w:val="left" w:pos="1134"/>
      </w:tabs>
      <w:ind w:left="1135" w:hanging="284"/>
    </w:pPr>
  </w:style>
  <w:style w:type="paragraph" w:customStyle="1" w:styleId="NumberedList1">
    <w:name w:val="Numbered List 1"/>
    <w:basedOn w:val="Normal"/>
    <w:qFormat/>
    <w:rsid w:val="009946C6"/>
    <w:pPr>
      <w:numPr>
        <w:numId w:val="6"/>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pPr>
  </w:style>
  <w:style w:type="paragraph" w:customStyle="1" w:styleId="Heading1Numbered">
    <w:name w:val="Heading 1 Numbered"/>
    <w:basedOn w:val="Heading1"/>
    <w:next w:val="Normal"/>
    <w:qFormat/>
    <w:rsid w:val="009946C6"/>
    <w:pPr>
      <w:numPr>
        <w:numId w:val="7"/>
      </w:numPr>
      <w:spacing w:after="3000" w:line="240" w:lineRule="auto"/>
    </w:pPr>
  </w:style>
  <w:style w:type="paragraph" w:customStyle="1" w:styleId="Heading2Numbered">
    <w:name w:val="Heading 2 Numbered"/>
    <w:basedOn w:val="Heading2"/>
    <w:next w:val="Normal"/>
    <w:qFormat/>
    <w:rsid w:val="00501EA3"/>
    <w:pPr>
      <w:numPr>
        <w:ilvl w:val="1"/>
        <w:numId w:val="7"/>
      </w:numPr>
      <w:spacing w:after="60"/>
    </w:pPr>
    <w:rPr>
      <w:bCs/>
    </w:rPr>
  </w:style>
  <w:style w:type="paragraph" w:customStyle="1" w:styleId="Heading3Numbered">
    <w:name w:val="Heading 3 Numbered"/>
    <w:basedOn w:val="Heading3"/>
    <w:next w:val="Normal"/>
    <w:qFormat/>
    <w:rsid w:val="00501EA3"/>
    <w:pPr>
      <w:numPr>
        <w:ilvl w:val="2"/>
        <w:numId w:val="7"/>
      </w:numPr>
      <w:spacing w:before="300" w:after="60"/>
    </w:pPr>
    <w:rPr>
      <w:szCs w:val="22"/>
      <w:lang w:val="en-GB"/>
    </w:rPr>
  </w:style>
  <w:style w:type="numbering" w:customStyle="1" w:styleId="BulletsList">
    <w:name w:val="Bullets List"/>
    <w:uiPriority w:val="99"/>
    <w:rsid w:val="001C013B"/>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BE0891"/>
    <w:pPr>
      <w:pBdr>
        <w:top w:val="single" w:sz="4" w:space="6" w:color="65C5B4" w:themeColor="accent1"/>
        <w:between w:val="single" w:sz="4" w:space="6" w:color="65C5B4" w:themeColor="accent1"/>
      </w:pBdr>
      <w:tabs>
        <w:tab w:val="left" w:pos="680"/>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BE0891"/>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locked/>
    <w:rsid w:val="008D0351"/>
    <w:pPr>
      <w:spacing w:before="400" w:after="400" w:line="280" w:lineRule="exact"/>
    </w:pPr>
    <w:rPr>
      <w:b/>
      <w:caps/>
      <w:color w:val="ACD08C" w:themeColor="accent2"/>
      <w:sz w:val="28"/>
    </w:rPr>
  </w:style>
  <w:style w:type="table" w:styleId="TableGrid">
    <w:name w:val="Table Grid"/>
    <w:basedOn w:val="TableNormal"/>
    <w:uiPriority w:val="5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501EA3"/>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uiPriority w:val="35"/>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uiPriority w:val="99"/>
    <w:rsid w:val="001C013B"/>
    <w:rPr>
      <w:color w:val="495965" w:themeColor="text2"/>
      <w:sz w:val="16"/>
      <w:szCs w:val="20"/>
      <w:lang w:val="en-GB"/>
    </w:rPr>
  </w:style>
  <w:style w:type="character" w:styleId="FootnoteReference">
    <w:name w:val="footnote reference"/>
    <w:aliases w:val="Footnote symbol"/>
    <w:basedOn w:val="DefaultParagraphFont"/>
    <w:uiPriority w:val="99"/>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D001ED"/>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0" w:after="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8"/>
      </w:numPr>
      <w:ind w:left="454" w:hanging="170"/>
    </w:pPr>
  </w:style>
  <w:style w:type="paragraph" w:customStyle="1" w:styleId="Box2Bullet">
    <w:name w:val="Box 2 Bullet"/>
    <w:basedOn w:val="Box2Text"/>
    <w:qFormat/>
    <w:rsid w:val="00C16478"/>
    <w:pPr>
      <w:numPr>
        <w:numId w:val="9"/>
      </w:numPr>
      <w:ind w:left="454" w:hanging="170"/>
    </w:pPr>
  </w:style>
  <w:style w:type="paragraph" w:styleId="ListParagraph">
    <w:name w:val="List Paragraph"/>
    <w:aliases w:val="Recommendation,List Paragraph1,List Paragraph11,L,F5 List Paragraph,Dot pt,CV text,Table text,List Paragraph111,Medium Grid 1 - Accent 21,Numbered Paragraph,List Paragraph2,Bulleted Para,NFP GP Bulleted List,FooterText,numbered,列出段落,列出段落1"/>
    <w:basedOn w:val="Normal"/>
    <w:link w:val="ListParagraphChar"/>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semiHidden/>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semiHidden/>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paragraph" w:customStyle="1" w:styleId="Footerlandscape">
    <w:name w:val="Footer landscape"/>
    <w:basedOn w:val="Footer"/>
    <w:qFormat/>
    <w:rsid w:val="00EB366A"/>
    <w:pPr>
      <w:tabs>
        <w:tab w:val="right" w:pos="13041"/>
      </w:tabs>
      <w:ind w:right="-1307"/>
      <w:jc w:val="right"/>
    </w:pPr>
    <w:rPr>
      <w:rFonts w:ascii="Calibri Light" w:eastAsia="Calibri Light" w:hAnsi="Calibri Light" w:cs="Times New Roman"/>
      <w:noProof/>
    </w:rPr>
  </w:style>
  <w:style w:type="character" w:customStyle="1" w:styleId="ListParagraphChar">
    <w:name w:val="List Paragraph Char"/>
    <w:aliases w:val="Recommendation Char,List Paragraph1 Char,List Paragraph11 Char,L Char,F5 List Paragraph Char,Dot pt Char,CV text Char,Table text Char,List Paragraph111 Char,Medium Grid 1 - Accent 21 Char,Numbered Paragraph Char,List Paragraph2 Char"/>
    <w:link w:val="ListParagraph"/>
    <w:uiPriority w:val="34"/>
    <w:qFormat/>
    <w:locked/>
    <w:rsid w:val="00AF2CEA"/>
    <w:rPr>
      <w:color w:val="495965" w:themeColor="text2"/>
      <w:lang w:val="en-GB"/>
    </w:rPr>
  </w:style>
  <w:style w:type="table" w:styleId="GridTable1Light-Accent1">
    <w:name w:val="Grid Table 1 Light Accent 1"/>
    <w:basedOn w:val="TableNormal"/>
    <w:uiPriority w:val="46"/>
    <w:locked/>
    <w:rsid w:val="00DA4E5B"/>
    <w:pPr>
      <w:spacing w:after="0" w:line="240" w:lineRule="auto"/>
    </w:pPr>
    <w:tblPr>
      <w:tblStyleRowBandSize w:val="1"/>
      <w:tblStyleColBandSize w:val="1"/>
      <w:tblBorders>
        <w:top w:val="single" w:sz="4" w:space="0" w:color="C1E7E0" w:themeColor="accent1" w:themeTint="66"/>
        <w:left w:val="single" w:sz="4" w:space="0" w:color="C1E7E0" w:themeColor="accent1" w:themeTint="66"/>
        <w:bottom w:val="single" w:sz="4" w:space="0" w:color="C1E7E0" w:themeColor="accent1" w:themeTint="66"/>
        <w:right w:val="single" w:sz="4" w:space="0" w:color="C1E7E0" w:themeColor="accent1" w:themeTint="66"/>
        <w:insideH w:val="single" w:sz="4" w:space="0" w:color="C1E7E0" w:themeColor="accent1" w:themeTint="66"/>
        <w:insideV w:val="single" w:sz="4" w:space="0" w:color="C1E7E0" w:themeColor="accent1" w:themeTint="66"/>
      </w:tblBorders>
    </w:tblPr>
    <w:tblStylePr w:type="firstRow">
      <w:rPr>
        <w:b/>
        <w:bCs/>
      </w:rPr>
      <w:tblPr/>
      <w:tcPr>
        <w:tcBorders>
          <w:bottom w:val="single" w:sz="12" w:space="0" w:color="A2DCD1" w:themeColor="accent1" w:themeTint="99"/>
        </w:tcBorders>
      </w:tcPr>
    </w:tblStylePr>
    <w:tblStylePr w:type="lastRow">
      <w:rPr>
        <w:b/>
        <w:bCs/>
      </w:rPr>
      <w:tblPr/>
      <w:tcPr>
        <w:tcBorders>
          <w:top w:val="double" w:sz="2" w:space="0" w:color="A2DCD1"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8C0460"/>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styleId="Revision">
    <w:name w:val="Revision"/>
    <w:hidden/>
    <w:uiPriority w:val="99"/>
    <w:semiHidden/>
    <w:rsid w:val="00D175F3"/>
    <w:pPr>
      <w:spacing w:after="0" w:line="240" w:lineRule="auto"/>
    </w:pPr>
    <w:rPr>
      <w:color w:val="495965" w:themeColor="text2"/>
      <w:lang w:val="en-GB"/>
    </w:rPr>
  </w:style>
  <w:style w:type="character" w:styleId="UnresolvedMention">
    <w:name w:val="Unresolved Mention"/>
    <w:basedOn w:val="DefaultParagraphFont"/>
    <w:uiPriority w:val="99"/>
    <w:semiHidden/>
    <w:unhideWhenUsed/>
    <w:rsid w:val="006F5CFD"/>
    <w:rPr>
      <w:color w:val="605E5C"/>
      <w:shd w:val="clear" w:color="auto" w:fill="E1DFDD"/>
    </w:rPr>
  </w:style>
  <w:style w:type="character" w:styleId="FollowedHyperlink">
    <w:name w:val="FollowedHyperlink"/>
    <w:basedOn w:val="DefaultParagraphFont"/>
    <w:uiPriority w:val="99"/>
    <w:semiHidden/>
    <w:unhideWhenUsed/>
    <w:rsid w:val="005166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98133">
      <w:bodyDiv w:val="1"/>
      <w:marLeft w:val="0"/>
      <w:marRight w:val="0"/>
      <w:marTop w:val="0"/>
      <w:marBottom w:val="0"/>
      <w:divBdr>
        <w:top w:val="none" w:sz="0" w:space="0" w:color="auto"/>
        <w:left w:val="none" w:sz="0" w:space="0" w:color="auto"/>
        <w:bottom w:val="none" w:sz="0" w:space="0" w:color="auto"/>
        <w:right w:val="none" w:sz="0" w:space="0" w:color="auto"/>
      </w:divBdr>
    </w:div>
    <w:div w:id="99187893">
      <w:bodyDiv w:val="1"/>
      <w:marLeft w:val="0"/>
      <w:marRight w:val="0"/>
      <w:marTop w:val="0"/>
      <w:marBottom w:val="0"/>
      <w:divBdr>
        <w:top w:val="none" w:sz="0" w:space="0" w:color="auto"/>
        <w:left w:val="none" w:sz="0" w:space="0" w:color="auto"/>
        <w:bottom w:val="none" w:sz="0" w:space="0" w:color="auto"/>
        <w:right w:val="none" w:sz="0" w:space="0" w:color="auto"/>
      </w:divBdr>
    </w:div>
    <w:div w:id="238104106">
      <w:bodyDiv w:val="1"/>
      <w:marLeft w:val="0"/>
      <w:marRight w:val="0"/>
      <w:marTop w:val="0"/>
      <w:marBottom w:val="0"/>
      <w:divBdr>
        <w:top w:val="none" w:sz="0" w:space="0" w:color="auto"/>
        <w:left w:val="none" w:sz="0" w:space="0" w:color="auto"/>
        <w:bottom w:val="none" w:sz="0" w:space="0" w:color="auto"/>
        <w:right w:val="none" w:sz="0" w:space="0" w:color="auto"/>
      </w:divBdr>
    </w:div>
    <w:div w:id="302658503">
      <w:bodyDiv w:val="1"/>
      <w:marLeft w:val="0"/>
      <w:marRight w:val="0"/>
      <w:marTop w:val="0"/>
      <w:marBottom w:val="0"/>
      <w:divBdr>
        <w:top w:val="none" w:sz="0" w:space="0" w:color="auto"/>
        <w:left w:val="none" w:sz="0" w:space="0" w:color="auto"/>
        <w:bottom w:val="none" w:sz="0" w:space="0" w:color="auto"/>
        <w:right w:val="none" w:sz="0" w:space="0" w:color="auto"/>
      </w:divBdr>
    </w:div>
    <w:div w:id="332952739">
      <w:bodyDiv w:val="1"/>
      <w:marLeft w:val="0"/>
      <w:marRight w:val="0"/>
      <w:marTop w:val="0"/>
      <w:marBottom w:val="0"/>
      <w:divBdr>
        <w:top w:val="none" w:sz="0" w:space="0" w:color="auto"/>
        <w:left w:val="none" w:sz="0" w:space="0" w:color="auto"/>
        <w:bottom w:val="none" w:sz="0" w:space="0" w:color="auto"/>
        <w:right w:val="none" w:sz="0" w:space="0" w:color="auto"/>
      </w:divBdr>
    </w:div>
    <w:div w:id="409229361">
      <w:bodyDiv w:val="1"/>
      <w:marLeft w:val="0"/>
      <w:marRight w:val="0"/>
      <w:marTop w:val="0"/>
      <w:marBottom w:val="0"/>
      <w:divBdr>
        <w:top w:val="none" w:sz="0" w:space="0" w:color="auto"/>
        <w:left w:val="none" w:sz="0" w:space="0" w:color="auto"/>
        <w:bottom w:val="none" w:sz="0" w:space="0" w:color="auto"/>
        <w:right w:val="none" w:sz="0" w:space="0" w:color="auto"/>
      </w:divBdr>
    </w:div>
    <w:div w:id="569317038">
      <w:bodyDiv w:val="1"/>
      <w:marLeft w:val="0"/>
      <w:marRight w:val="0"/>
      <w:marTop w:val="0"/>
      <w:marBottom w:val="0"/>
      <w:divBdr>
        <w:top w:val="none" w:sz="0" w:space="0" w:color="auto"/>
        <w:left w:val="none" w:sz="0" w:space="0" w:color="auto"/>
        <w:bottom w:val="none" w:sz="0" w:space="0" w:color="auto"/>
        <w:right w:val="none" w:sz="0" w:space="0" w:color="auto"/>
      </w:divBdr>
    </w:div>
    <w:div w:id="600988066">
      <w:bodyDiv w:val="1"/>
      <w:marLeft w:val="0"/>
      <w:marRight w:val="0"/>
      <w:marTop w:val="0"/>
      <w:marBottom w:val="0"/>
      <w:divBdr>
        <w:top w:val="none" w:sz="0" w:space="0" w:color="auto"/>
        <w:left w:val="none" w:sz="0" w:space="0" w:color="auto"/>
        <w:bottom w:val="none" w:sz="0" w:space="0" w:color="auto"/>
        <w:right w:val="none" w:sz="0" w:space="0" w:color="auto"/>
      </w:divBdr>
    </w:div>
    <w:div w:id="657156492">
      <w:bodyDiv w:val="1"/>
      <w:marLeft w:val="0"/>
      <w:marRight w:val="0"/>
      <w:marTop w:val="0"/>
      <w:marBottom w:val="0"/>
      <w:divBdr>
        <w:top w:val="none" w:sz="0" w:space="0" w:color="auto"/>
        <w:left w:val="none" w:sz="0" w:space="0" w:color="auto"/>
        <w:bottom w:val="none" w:sz="0" w:space="0" w:color="auto"/>
        <w:right w:val="none" w:sz="0" w:space="0" w:color="auto"/>
      </w:divBdr>
    </w:div>
    <w:div w:id="687675822">
      <w:bodyDiv w:val="1"/>
      <w:marLeft w:val="0"/>
      <w:marRight w:val="0"/>
      <w:marTop w:val="0"/>
      <w:marBottom w:val="0"/>
      <w:divBdr>
        <w:top w:val="none" w:sz="0" w:space="0" w:color="auto"/>
        <w:left w:val="none" w:sz="0" w:space="0" w:color="auto"/>
        <w:bottom w:val="none" w:sz="0" w:space="0" w:color="auto"/>
        <w:right w:val="none" w:sz="0" w:space="0" w:color="auto"/>
      </w:divBdr>
    </w:div>
    <w:div w:id="950165526">
      <w:bodyDiv w:val="1"/>
      <w:marLeft w:val="0"/>
      <w:marRight w:val="0"/>
      <w:marTop w:val="0"/>
      <w:marBottom w:val="0"/>
      <w:divBdr>
        <w:top w:val="none" w:sz="0" w:space="0" w:color="auto"/>
        <w:left w:val="none" w:sz="0" w:space="0" w:color="auto"/>
        <w:bottom w:val="none" w:sz="0" w:space="0" w:color="auto"/>
        <w:right w:val="none" w:sz="0" w:space="0" w:color="auto"/>
      </w:divBdr>
    </w:div>
    <w:div w:id="970131111">
      <w:bodyDiv w:val="1"/>
      <w:marLeft w:val="0"/>
      <w:marRight w:val="0"/>
      <w:marTop w:val="0"/>
      <w:marBottom w:val="0"/>
      <w:divBdr>
        <w:top w:val="none" w:sz="0" w:space="0" w:color="auto"/>
        <w:left w:val="none" w:sz="0" w:space="0" w:color="auto"/>
        <w:bottom w:val="none" w:sz="0" w:space="0" w:color="auto"/>
        <w:right w:val="none" w:sz="0" w:space="0" w:color="auto"/>
      </w:divBdr>
    </w:div>
    <w:div w:id="1202399106">
      <w:bodyDiv w:val="1"/>
      <w:marLeft w:val="0"/>
      <w:marRight w:val="0"/>
      <w:marTop w:val="0"/>
      <w:marBottom w:val="0"/>
      <w:divBdr>
        <w:top w:val="none" w:sz="0" w:space="0" w:color="auto"/>
        <w:left w:val="none" w:sz="0" w:space="0" w:color="auto"/>
        <w:bottom w:val="none" w:sz="0" w:space="0" w:color="auto"/>
        <w:right w:val="none" w:sz="0" w:space="0" w:color="auto"/>
      </w:divBdr>
    </w:div>
    <w:div w:id="1260064622">
      <w:bodyDiv w:val="1"/>
      <w:marLeft w:val="0"/>
      <w:marRight w:val="0"/>
      <w:marTop w:val="0"/>
      <w:marBottom w:val="0"/>
      <w:divBdr>
        <w:top w:val="none" w:sz="0" w:space="0" w:color="auto"/>
        <w:left w:val="none" w:sz="0" w:space="0" w:color="auto"/>
        <w:bottom w:val="none" w:sz="0" w:space="0" w:color="auto"/>
        <w:right w:val="none" w:sz="0" w:space="0" w:color="auto"/>
      </w:divBdr>
    </w:div>
    <w:div w:id="1356541741">
      <w:bodyDiv w:val="1"/>
      <w:marLeft w:val="0"/>
      <w:marRight w:val="0"/>
      <w:marTop w:val="0"/>
      <w:marBottom w:val="0"/>
      <w:divBdr>
        <w:top w:val="none" w:sz="0" w:space="0" w:color="auto"/>
        <w:left w:val="none" w:sz="0" w:space="0" w:color="auto"/>
        <w:bottom w:val="none" w:sz="0" w:space="0" w:color="auto"/>
        <w:right w:val="none" w:sz="0" w:space="0" w:color="auto"/>
      </w:divBdr>
    </w:div>
    <w:div w:id="1356886994">
      <w:bodyDiv w:val="1"/>
      <w:marLeft w:val="0"/>
      <w:marRight w:val="0"/>
      <w:marTop w:val="0"/>
      <w:marBottom w:val="0"/>
      <w:divBdr>
        <w:top w:val="none" w:sz="0" w:space="0" w:color="auto"/>
        <w:left w:val="none" w:sz="0" w:space="0" w:color="auto"/>
        <w:bottom w:val="none" w:sz="0" w:space="0" w:color="auto"/>
        <w:right w:val="none" w:sz="0" w:space="0" w:color="auto"/>
      </w:divBdr>
    </w:div>
    <w:div w:id="1427581049">
      <w:bodyDiv w:val="1"/>
      <w:marLeft w:val="0"/>
      <w:marRight w:val="0"/>
      <w:marTop w:val="0"/>
      <w:marBottom w:val="0"/>
      <w:divBdr>
        <w:top w:val="none" w:sz="0" w:space="0" w:color="auto"/>
        <w:left w:val="none" w:sz="0" w:space="0" w:color="auto"/>
        <w:bottom w:val="none" w:sz="0" w:space="0" w:color="auto"/>
        <w:right w:val="none" w:sz="0" w:space="0" w:color="auto"/>
      </w:divBdr>
    </w:div>
    <w:div w:id="1554343046">
      <w:bodyDiv w:val="1"/>
      <w:marLeft w:val="0"/>
      <w:marRight w:val="0"/>
      <w:marTop w:val="0"/>
      <w:marBottom w:val="0"/>
      <w:divBdr>
        <w:top w:val="none" w:sz="0" w:space="0" w:color="auto"/>
        <w:left w:val="none" w:sz="0" w:space="0" w:color="auto"/>
        <w:bottom w:val="none" w:sz="0" w:space="0" w:color="auto"/>
        <w:right w:val="none" w:sz="0" w:space="0" w:color="auto"/>
      </w:divBdr>
    </w:div>
    <w:div w:id="1650860500">
      <w:bodyDiv w:val="1"/>
      <w:marLeft w:val="0"/>
      <w:marRight w:val="0"/>
      <w:marTop w:val="0"/>
      <w:marBottom w:val="0"/>
      <w:divBdr>
        <w:top w:val="none" w:sz="0" w:space="0" w:color="auto"/>
        <w:left w:val="none" w:sz="0" w:space="0" w:color="auto"/>
        <w:bottom w:val="none" w:sz="0" w:space="0" w:color="auto"/>
        <w:right w:val="none" w:sz="0" w:space="0" w:color="auto"/>
      </w:divBdr>
      <w:divsChild>
        <w:div w:id="1348407267">
          <w:marLeft w:val="274"/>
          <w:marRight w:val="0"/>
          <w:marTop w:val="0"/>
          <w:marBottom w:val="0"/>
          <w:divBdr>
            <w:top w:val="none" w:sz="0" w:space="0" w:color="auto"/>
            <w:left w:val="none" w:sz="0" w:space="0" w:color="auto"/>
            <w:bottom w:val="none" w:sz="0" w:space="0" w:color="auto"/>
            <w:right w:val="none" w:sz="0" w:space="0" w:color="auto"/>
          </w:divBdr>
        </w:div>
        <w:div w:id="843087781">
          <w:marLeft w:val="994"/>
          <w:marRight w:val="0"/>
          <w:marTop w:val="0"/>
          <w:marBottom w:val="0"/>
          <w:divBdr>
            <w:top w:val="none" w:sz="0" w:space="0" w:color="auto"/>
            <w:left w:val="none" w:sz="0" w:space="0" w:color="auto"/>
            <w:bottom w:val="none" w:sz="0" w:space="0" w:color="auto"/>
            <w:right w:val="none" w:sz="0" w:space="0" w:color="auto"/>
          </w:divBdr>
        </w:div>
        <w:div w:id="2121679929">
          <w:marLeft w:val="994"/>
          <w:marRight w:val="0"/>
          <w:marTop w:val="0"/>
          <w:marBottom w:val="0"/>
          <w:divBdr>
            <w:top w:val="none" w:sz="0" w:space="0" w:color="auto"/>
            <w:left w:val="none" w:sz="0" w:space="0" w:color="auto"/>
            <w:bottom w:val="none" w:sz="0" w:space="0" w:color="auto"/>
            <w:right w:val="none" w:sz="0" w:space="0" w:color="auto"/>
          </w:divBdr>
        </w:div>
        <w:div w:id="125322727">
          <w:marLeft w:val="274"/>
          <w:marRight w:val="0"/>
          <w:marTop w:val="0"/>
          <w:marBottom w:val="0"/>
          <w:divBdr>
            <w:top w:val="none" w:sz="0" w:space="0" w:color="auto"/>
            <w:left w:val="none" w:sz="0" w:space="0" w:color="auto"/>
            <w:bottom w:val="none" w:sz="0" w:space="0" w:color="auto"/>
            <w:right w:val="none" w:sz="0" w:space="0" w:color="auto"/>
          </w:divBdr>
        </w:div>
        <w:div w:id="1918860665">
          <w:marLeft w:val="994"/>
          <w:marRight w:val="0"/>
          <w:marTop w:val="0"/>
          <w:marBottom w:val="0"/>
          <w:divBdr>
            <w:top w:val="none" w:sz="0" w:space="0" w:color="auto"/>
            <w:left w:val="none" w:sz="0" w:space="0" w:color="auto"/>
            <w:bottom w:val="none" w:sz="0" w:space="0" w:color="auto"/>
            <w:right w:val="none" w:sz="0" w:space="0" w:color="auto"/>
          </w:divBdr>
        </w:div>
        <w:div w:id="442769289">
          <w:marLeft w:val="994"/>
          <w:marRight w:val="0"/>
          <w:marTop w:val="0"/>
          <w:marBottom w:val="0"/>
          <w:divBdr>
            <w:top w:val="none" w:sz="0" w:space="0" w:color="auto"/>
            <w:left w:val="none" w:sz="0" w:space="0" w:color="auto"/>
            <w:bottom w:val="none" w:sz="0" w:space="0" w:color="auto"/>
            <w:right w:val="none" w:sz="0" w:space="0" w:color="auto"/>
          </w:divBdr>
        </w:div>
        <w:div w:id="1745882543">
          <w:marLeft w:val="994"/>
          <w:marRight w:val="0"/>
          <w:marTop w:val="0"/>
          <w:marBottom w:val="0"/>
          <w:divBdr>
            <w:top w:val="none" w:sz="0" w:space="0" w:color="auto"/>
            <w:left w:val="none" w:sz="0" w:space="0" w:color="auto"/>
            <w:bottom w:val="none" w:sz="0" w:space="0" w:color="auto"/>
            <w:right w:val="none" w:sz="0" w:space="0" w:color="auto"/>
          </w:divBdr>
        </w:div>
        <w:div w:id="627510489">
          <w:marLeft w:val="274"/>
          <w:marRight w:val="0"/>
          <w:marTop w:val="0"/>
          <w:marBottom w:val="0"/>
          <w:divBdr>
            <w:top w:val="none" w:sz="0" w:space="0" w:color="auto"/>
            <w:left w:val="none" w:sz="0" w:space="0" w:color="auto"/>
            <w:bottom w:val="none" w:sz="0" w:space="0" w:color="auto"/>
            <w:right w:val="none" w:sz="0" w:space="0" w:color="auto"/>
          </w:divBdr>
        </w:div>
      </w:divsChild>
    </w:div>
    <w:div w:id="1718889641">
      <w:bodyDiv w:val="1"/>
      <w:marLeft w:val="0"/>
      <w:marRight w:val="0"/>
      <w:marTop w:val="0"/>
      <w:marBottom w:val="0"/>
      <w:divBdr>
        <w:top w:val="none" w:sz="0" w:space="0" w:color="auto"/>
        <w:left w:val="none" w:sz="0" w:space="0" w:color="auto"/>
        <w:bottom w:val="none" w:sz="0" w:space="0" w:color="auto"/>
        <w:right w:val="none" w:sz="0" w:space="0" w:color="auto"/>
      </w:divBdr>
    </w:div>
    <w:div w:id="1808625476">
      <w:bodyDiv w:val="1"/>
      <w:marLeft w:val="0"/>
      <w:marRight w:val="0"/>
      <w:marTop w:val="0"/>
      <w:marBottom w:val="0"/>
      <w:divBdr>
        <w:top w:val="none" w:sz="0" w:space="0" w:color="auto"/>
        <w:left w:val="none" w:sz="0" w:space="0" w:color="auto"/>
        <w:bottom w:val="none" w:sz="0" w:space="0" w:color="auto"/>
        <w:right w:val="none" w:sz="0" w:space="0" w:color="auto"/>
      </w:divBdr>
      <w:divsChild>
        <w:div w:id="361908308">
          <w:marLeft w:val="1253"/>
          <w:marRight w:val="0"/>
          <w:marTop w:val="0"/>
          <w:marBottom w:val="0"/>
          <w:divBdr>
            <w:top w:val="none" w:sz="0" w:space="0" w:color="auto"/>
            <w:left w:val="none" w:sz="0" w:space="0" w:color="auto"/>
            <w:bottom w:val="none" w:sz="0" w:space="0" w:color="auto"/>
            <w:right w:val="none" w:sz="0" w:space="0" w:color="auto"/>
          </w:divBdr>
        </w:div>
        <w:div w:id="409619797">
          <w:marLeft w:val="1253"/>
          <w:marRight w:val="0"/>
          <w:marTop w:val="0"/>
          <w:marBottom w:val="0"/>
          <w:divBdr>
            <w:top w:val="none" w:sz="0" w:space="0" w:color="auto"/>
            <w:left w:val="none" w:sz="0" w:space="0" w:color="auto"/>
            <w:bottom w:val="none" w:sz="0" w:space="0" w:color="auto"/>
            <w:right w:val="none" w:sz="0" w:space="0" w:color="auto"/>
          </w:divBdr>
        </w:div>
        <w:div w:id="604074869">
          <w:marLeft w:val="1253"/>
          <w:marRight w:val="0"/>
          <w:marTop w:val="0"/>
          <w:marBottom w:val="0"/>
          <w:divBdr>
            <w:top w:val="none" w:sz="0" w:space="0" w:color="auto"/>
            <w:left w:val="none" w:sz="0" w:space="0" w:color="auto"/>
            <w:bottom w:val="none" w:sz="0" w:space="0" w:color="auto"/>
            <w:right w:val="none" w:sz="0" w:space="0" w:color="auto"/>
          </w:divBdr>
        </w:div>
        <w:div w:id="649597082">
          <w:marLeft w:val="1253"/>
          <w:marRight w:val="0"/>
          <w:marTop w:val="0"/>
          <w:marBottom w:val="0"/>
          <w:divBdr>
            <w:top w:val="none" w:sz="0" w:space="0" w:color="auto"/>
            <w:left w:val="none" w:sz="0" w:space="0" w:color="auto"/>
            <w:bottom w:val="none" w:sz="0" w:space="0" w:color="auto"/>
            <w:right w:val="none" w:sz="0" w:space="0" w:color="auto"/>
          </w:divBdr>
        </w:div>
        <w:div w:id="1200508943">
          <w:marLeft w:val="1253"/>
          <w:marRight w:val="0"/>
          <w:marTop w:val="0"/>
          <w:marBottom w:val="0"/>
          <w:divBdr>
            <w:top w:val="none" w:sz="0" w:space="0" w:color="auto"/>
            <w:left w:val="none" w:sz="0" w:space="0" w:color="auto"/>
            <w:bottom w:val="none" w:sz="0" w:space="0" w:color="auto"/>
            <w:right w:val="none" w:sz="0" w:space="0" w:color="auto"/>
          </w:divBdr>
        </w:div>
      </w:divsChild>
    </w:div>
    <w:div w:id="1868978729">
      <w:bodyDiv w:val="1"/>
      <w:marLeft w:val="0"/>
      <w:marRight w:val="0"/>
      <w:marTop w:val="0"/>
      <w:marBottom w:val="0"/>
      <w:divBdr>
        <w:top w:val="none" w:sz="0" w:space="0" w:color="auto"/>
        <w:left w:val="none" w:sz="0" w:space="0" w:color="auto"/>
        <w:bottom w:val="none" w:sz="0" w:space="0" w:color="auto"/>
        <w:right w:val="none" w:sz="0" w:space="0" w:color="auto"/>
      </w:divBdr>
    </w:div>
    <w:div w:id="1946889237">
      <w:bodyDiv w:val="1"/>
      <w:marLeft w:val="0"/>
      <w:marRight w:val="0"/>
      <w:marTop w:val="0"/>
      <w:marBottom w:val="0"/>
      <w:divBdr>
        <w:top w:val="none" w:sz="0" w:space="0" w:color="auto"/>
        <w:left w:val="none" w:sz="0" w:space="0" w:color="auto"/>
        <w:bottom w:val="none" w:sz="0" w:space="0" w:color="auto"/>
        <w:right w:val="none" w:sz="0" w:space="0" w:color="auto"/>
      </w:divBdr>
    </w:div>
    <w:div w:id="213655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image" Target="media/image11.jpeg"/><Relationship Id="rId39" Type="http://schemas.openxmlformats.org/officeDocument/2006/relationships/header" Target="header12.xml"/><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hyperlink" Target="https://www.apec.org/Publications/2017/08/APEC-Privacy-Framework-(2015)"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10.jpg"/><Relationship Id="rId33" Type="http://schemas.openxmlformats.org/officeDocument/2006/relationships/footer" Target="footer6.xml"/><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3.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jpg"/><Relationship Id="rId32" Type="http://schemas.openxmlformats.org/officeDocument/2006/relationships/header" Target="header10.xml"/><Relationship Id="rId37" Type="http://schemas.openxmlformats.org/officeDocument/2006/relationships/header" Target="header11.xml"/><Relationship Id="rId40"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image" Target="media/image8.jpeg"/><Relationship Id="rId28" Type="http://schemas.openxmlformats.org/officeDocument/2006/relationships/header" Target="header8.xml"/><Relationship Id="rId36" Type="http://schemas.openxmlformats.org/officeDocument/2006/relationships/hyperlink" Target="https://www.apec.org.au/asean-australia-dts" TargetMode="Externa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header" Target="header9.xml"/><Relationship Id="rId35"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s://alphabeta.com/wpcontent/uploads/2018/09/csiro-data61_digital-innovation-report.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952AF08EF54743B6A9A7912E2C3EF6" ma:contentTypeVersion="6" ma:contentTypeDescription="Create a new document." ma:contentTypeScope="" ma:versionID="fa2651bc2c22a3e9b3754aff43a48291">
  <xsd:schema xmlns:xsd="http://www.w3.org/2001/XMLSchema" xmlns:xs="http://www.w3.org/2001/XMLSchema" xmlns:p="http://schemas.microsoft.com/office/2006/metadata/properties" xmlns:ns2="416d98e1-ff00-40e2-a2c0-d475b3a7e942" xmlns:ns3="fdf53c1d-3426-4032-9bdb-84c3ea6fc01e" targetNamespace="http://schemas.microsoft.com/office/2006/metadata/properties" ma:root="true" ma:fieldsID="8dc13a44a4e1c0f530d358fa81839180" ns2:_="" ns3:_="">
    <xsd:import namespace="416d98e1-ff00-40e2-a2c0-d475b3a7e942"/>
    <xsd:import namespace="fdf53c1d-3426-4032-9bdb-84c3ea6fc0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6d98e1-ff00-40e2-a2c0-d475b3a7e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53c1d-3426-4032-9bdb-84c3ea6fc0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6EF34E-AE94-4429-9D07-9F9FAAE48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6d98e1-ff00-40e2-a2c0-d475b3a7e942"/>
    <ds:schemaRef ds:uri="fdf53c1d-3426-4032-9bdb-84c3ea6fc0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9A6E51-B5D2-4862-812A-2278E0B50C78}">
  <ds:schemaRefs>
    <ds:schemaRef ds:uri="http://schemas.microsoft.com/sharepoint/v3/contenttype/forms"/>
  </ds:schemaRefs>
</ds:datastoreItem>
</file>

<file path=customXml/itemProps3.xml><?xml version="1.0" encoding="utf-8"?>
<ds:datastoreItem xmlns:ds="http://schemas.openxmlformats.org/officeDocument/2006/customXml" ds:itemID="{81757C69-027D-42F6-ACEB-1E04E0D83C57}">
  <ds:schemaRefs>
    <ds:schemaRef ds:uri="http://schemas.openxmlformats.org/officeDocument/2006/bibliography"/>
  </ds:schemaRefs>
</ds:datastoreItem>
</file>

<file path=customXml/itemProps4.xml><?xml version="1.0" encoding="utf-8"?>
<ds:datastoreItem xmlns:ds="http://schemas.openxmlformats.org/officeDocument/2006/customXml" ds:itemID="{664DEA33-32C7-4722-970C-E6D2777AE29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19</Pages>
  <Words>6003</Words>
  <Characters>36802</Characters>
  <Application>Microsoft Office Word</Application>
  <DocSecurity>0</DocSecurity>
  <Lines>943</Lines>
  <Paragraphs>206</Paragraphs>
  <ScaleCrop>false</ScaleCrop>
  <HeadingPairs>
    <vt:vector size="2" baseType="variant">
      <vt:variant>
        <vt:lpstr>Title</vt:lpstr>
      </vt:variant>
      <vt:variant>
        <vt:i4>1</vt:i4>
      </vt:variant>
    </vt:vector>
  </HeadingPairs>
  <TitlesOfParts>
    <vt:vector size="1" baseType="lpstr">
      <vt:lpstr>Report - aqua cover photo</vt:lpstr>
    </vt:vector>
  </TitlesOfParts>
  <Company>Department of Foreign Affairs and Trade</Company>
  <LinksUpToDate>false</LinksUpToDate>
  <CharactersWithSpaces>42692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 aqua cover photo</dc:title>
  <dc:creator>Ben</dc:creator>
  <cp:keywords> [SEC=UNOFFICIAL]</cp:keywords>
  <cp:lastModifiedBy>Gabrielle Kneipp</cp:lastModifiedBy>
  <cp:revision>3</cp:revision>
  <cp:lastPrinted>2022-03-18T00:57:00Z</cp:lastPrinted>
  <dcterms:created xsi:type="dcterms:W3CDTF">2022-04-14T03:52:00Z</dcterms:created>
  <dcterms:modified xsi:type="dcterms:W3CDTF">2022-04-14T04:14:00Z</dcterms:modified>
  <cp:category/>
  <cp:contentStatus>Classification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c3099737-3a5d-49ad-a328-b9e143141cd6</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0x01010037952AF08EF54743B6A9A7912E2C3EF6</vt:lpwstr>
  </property>
  <property fmtid="{D5CDD505-2E9C-101B-9397-08002B2CF9AE}" pid="6" name="Order">
    <vt:r8>92300</vt:r8>
  </property>
  <property fmtid="{D5CDD505-2E9C-101B-9397-08002B2CF9AE}" pid="7" name="PageKeywords">
    <vt:lpwstr/>
  </property>
  <property fmtid="{D5CDD505-2E9C-101B-9397-08002B2CF9AE}" pid="8" name="Template group">
    <vt:lpwstr>Publication Templates</vt:lpwstr>
  </property>
  <property fmtid="{D5CDD505-2E9C-101B-9397-08002B2CF9AE}" pid="9" name="PM_ProtectiveMarkingImage_Header">
    <vt:lpwstr>C:\Program Files (x86)\Common Files\janusNET Shared\janusSEAL\Images\DocumentSlashBlue.png</vt:lpwstr>
  </property>
  <property fmtid="{D5CDD505-2E9C-101B-9397-08002B2CF9AE}" pid="10" name="PM_Caveats_Count">
    <vt:lpwstr>0</vt:lpwstr>
  </property>
  <property fmtid="{D5CDD505-2E9C-101B-9397-08002B2CF9AE}" pid="11" name="PM_DisplayValueSecClassificationWithQualifier">
    <vt:lpwstr>UNOFFICIAL</vt:lpwstr>
  </property>
  <property fmtid="{D5CDD505-2E9C-101B-9397-08002B2CF9AE}" pid="12" name="PM_Qualifier">
    <vt:lpwstr/>
  </property>
  <property fmtid="{D5CDD505-2E9C-101B-9397-08002B2CF9AE}" pid="13" name="PM_SecurityClassification">
    <vt:lpwstr>UNOFFICIAL</vt:lpwstr>
  </property>
  <property fmtid="{D5CDD505-2E9C-101B-9397-08002B2CF9AE}" pid="14" name="PM_InsertionValue">
    <vt:lpwstr>UNOFFICIAL</vt:lpwstr>
  </property>
  <property fmtid="{D5CDD505-2E9C-101B-9397-08002B2CF9AE}" pid="15" name="PM_Originating_FileId">
    <vt:lpwstr>3935092A5E2A4569A0C7C5C7B9CF322F</vt:lpwstr>
  </property>
  <property fmtid="{D5CDD505-2E9C-101B-9397-08002B2CF9AE}" pid="16" name="PM_ProtectiveMarkingValue_Footer">
    <vt:lpwstr>UNOFFICIAL</vt:lpwstr>
  </property>
  <property fmtid="{D5CDD505-2E9C-101B-9397-08002B2CF9AE}" pid="17" name="PM_Originator_Hash_SHA1">
    <vt:lpwstr>260D391A355C0F7895D53005377AC1700003BFA9</vt:lpwstr>
  </property>
  <property fmtid="{D5CDD505-2E9C-101B-9397-08002B2CF9AE}" pid="18" name="PM_OriginationTimeStamp">
    <vt:lpwstr>2022-04-14T04:03:01Z</vt:lpwstr>
  </property>
  <property fmtid="{D5CDD505-2E9C-101B-9397-08002B2CF9AE}" pid="19" name="PM_ProtectiveMarkingValue_Header">
    <vt:lpwstr>UNOFFICIAL</vt:lpwstr>
  </property>
  <property fmtid="{D5CDD505-2E9C-101B-9397-08002B2CF9AE}" pid="20" name="PM_ProtectiveMarkingImage_Footer">
    <vt:lpwstr>C:\Program Files (x86)\Common Files\janusNET Shared\janusSEAL\Images\DocumentSlashBlue.png</vt:lpwstr>
  </property>
  <property fmtid="{D5CDD505-2E9C-101B-9397-08002B2CF9AE}" pid="21" name="PM_Namespace">
    <vt:lpwstr>gov.au</vt:lpwstr>
  </property>
  <property fmtid="{D5CDD505-2E9C-101B-9397-08002B2CF9AE}" pid="22" name="PM_Version">
    <vt:lpwstr>2018.4</vt:lpwstr>
  </property>
  <property fmtid="{D5CDD505-2E9C-101B-9397-08002B2CF9AE}" pid="23" name="PM_Note">
    <vt:lpwstr/>
  </property>
  <property fmtid="{D5CDD505-2E9C-101B-9397-08002B2CF9AE}" pid="24" name="PM_Markers">
    <vt:lpwstr/>
  </property>
  <property fmtid="{D5CDD505-2E9C-101B-9397-08002B2CF9AE}" pid="25" name="PM_Hash_Version">
    <vt:lpwstr>2018.0</vt:lpwstr>
  </property>
  <property fmtid="{D5CDD505-2E9C-101B-9397-08002B2CF9AE}" pid="26" name="PM_Hash_Salt_Prev">
    <vt:lpwstr>C0597DA2B1938D74458F6D4619D9EDD0</vt:lpwstr>
  </property>
  <property fmtid="{D5CDD505-2E9C-101B-9397-08002B2CF9AE}" pid="27" name="PM_Hash_Salt">
    <vt:lpwstr>9D6AA3820CFC86D8C032F9EEFAC1FE88</vt:lpwstr>
  </property>
  <property fmtid="{D5CDD505-2E9C-101B-9397-08002B2CF9AE}" pid="28" name="PM_Hash_SHA1">
    <vt:lpwstr>08A09A42878740BCFE88FCE9FB5A5B8761C0E7A9</vt:lpwstr>
  </property>
  <property fmtid="{D5CDD505-2E9C-101B-9397-08002B2CF9AE}" pid="29" name="PM_SecurityClassification_Prev">
    <vt:lpwstr>UNOFFICIAL</vt:lpwstr>
  </property>
  <property fmtid="{D5CDD505-2E9C-101B-9397-08002B2CF9AE}" pid="30" name="PM_Qualifier_Prev">
    <vt:lpwstr/>
  </property>
  <property fmtid="{D5CDD505-2E9C-101B-9397-08002B2CF9AE}" pid="31" name="PM_Display">
    <vt:lpwstr>UNOFFICIAL</vt:lpwstr>
  </property>
  <property fmtid="{D5CDD505-2E9C-101B-9397-08002B2CF9AE}" pid="32" name="PM_OriginatorUserAccountName_SHA256">
    <vt:lpwstr>647441C863BA0E6BF34874ECEB426C0FB409C0D65CAC913F59EE32D94FA9C8D6</vt:lpwstr>
  </property>
  <property fmtid="{D5CDD505-2E9C-101B-9397-08002B2CF9AE}" pid="33" name="PM_OriginatorDomainName_SHA256">
    <vt:lpwstr>6F3591835F3B2A8A025B00B5BA6418010DA3A17C9C26EA9C049FFD28039489A2</vt:lpwstr>
  </property>
</Properties>
</file>