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6775599" w:displacedByCustomXml="next"/>
    <w:bookmarkEnd w:id="0" w:displacedByCustomXml="next"/>
    <w:sdt>
      <w:sdtPr>
        <w:rPr>
          <w:rFonts w:eastAsia="Calibri"/>
          <w:color w:val="auto"/>
          <w:lang w:val="en-GB" w:eastAsia="en-GB"/>
        </w:rPr>
        <w:id w:val="1959442963"/>
        <w:docPartObj>
          <w:docPartGallery w:val="Cover Pages"/>
          <w:docPartUnique/>
        </w:docPartObj>
      </w:sdtPr>
      <w:sdtEndPr>
        <w:rPr>
          <w:rFonts w:eastAsiaTheme="minorHAnsi"/>
          <w:lang w:val="en-US" w:eastAsia="en-US"/>
        </w:rPr>
      </w:sdtEndPr>
      <w:sdtContent>
        <w:p w14:paraId="2634055F" w14:textId="031BBB5E" w:rsidR="00437C2B" w:rsidRPr="00843214" w:rsidRDefault="00656088" w:rsidP="00437C2B">
          <w:pPr>
            <w:rPr>
              <w:color w:val="auto"/>
            </w:rPr>
          </w:pPr>
          <w:r w:rsidRPr="00843214">
            <w:rPr>
              <w:rFonts w:ascii="Georgia" w:eastAsia="Calibri" w:hAnsi="Georgia"/>
              <w:noProof/>
              <w:color w:val="auto"/>
              <w:lang w:val="en-GB"/>
            </w:rPr>
            <w:drawing>
              <wp:anchor distT="0" distB="0" distL="114300" distR="114300" simplePos="0" relativeHeight="251658250" behindDoc="1" locked="0" layoutInCell="1" allowOverlap="1" wp14:anchorId="4C49E137" wp14:editId="487C98C5">
                <wp:simplePos x="0" y="0"/>
                <wp:positionH relativeFrom="column">
                  <wp:posOffset>0</wp:posOffset>
                </wp:positionH>
                <wp:positionV relativeFrom="paragraph">
                  <wp:posOffset>-635</wp:posOffset>
                </wp:positionV>
                <wp:extent cx="2885440" cy="1549400"/>
                <wp:effectExtent l="0" t="0" r="0" b="0"/>
                <wp:wrapNone/>
                <wp:docPr id="2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5440" cy="1549400"/>
                        </a:xfrm>
                        <a:prstGeom prst="rect">
                          <a:avLst/>
                        </a:prstGeom>
                        <a:noFill/>
                      </pic:spPr>
                    </pic:pic>
                  </a:graphicData>
                </a:graphic>
                <wp14:sizeRelH relativeFrom="page">
                  <wp14:pctWidth>0</wp14:pctWidth>
                </wp14:sizeRelH>
                <wp14:sizeRelV relativeFrom="page">
                  <wp14:pctHeight>0</wp14:pctHeight>
                </wp14:sizeRelV>
              </wp:anchor>
            </w:drawing>
          </w:r>
        </w:p>
        <w:p w14:paraId="34BEC4E2" w14:textId="77777777" w:rsidR="00437C2B" w:rsidRPr="00843214" w:rsidRDefault="00437C2B" w:rsidP="00CB3B7A">
          <w:pPr>
            <w:pStyle w:val="Subtitle"/>
            <w:rPr>
              <w:color w:val="auto"/>
            </w:rPr>
          </w:pPr>
        </w:p>
        <w:p w14:paraId="1593F4DC" w14:textId="77777777" w:rsidR="00437C2B" w:rsidRPr="00843214" w:rsidRDefault="00437C2B" w:rsidP="00957CC9">
          <w:pPr>
            <w:rPr>
              <w:color w:val="auto"/>
            </w:rPr>
          </w:pPr>
        </w:p>
        <w:p w14:paraId="68255ED5" w14:textId="77777777" w:rsidR="00437C2B" w:rsidRPr="00843214" w:rsidRDefault="00437C2B" w:rsidP="00CB3B7A">
          <w:pPr>
            <w:pStyle w:val="Subtitle"/>
            <w:rPr>
              <w:color w:val="auto"/>
            </w:rPr>
          </w:pPr>
        </w:p>
        <w:p w14:paraId="7CB3F315" w14:textId="77777777" w:rsidR="00437C2B" w:rsidRPr="00843214" w:rsidRDefault="00437C2B" w:rsidP="009620F3">
          <w:pPr>
            <w:rPr>
              <w:color w:val="auto"/>
            </w:rPr>
          </w:pPr>
        </w:p>
        <w:p w14:paraId="1E816770" w14:textId="77777777" w:rsidR="00656088" w:rsidRPr="00843214" w:rsidRDefault="00656088" w:rsidP="009620F3">
          <w:pPr>
            <w:rPr>
              <w:color w:val="auto"/>
            </w:rPr>
          </w:pPr>
        </w:p>
        <w:p w14:paraId="2EEC58DB" w14:textId="0F372575" w:rsidR="009620F3" w:rsidRPr="00843214" w:rsidRDefault="009620F3" w:rsidP="009620F3">
          <w:pPr>
            <w:rPr>
              <w:color w:val="auto"/>
            </w:rPr>
          </w:pPr>
        </w:p>
        <w:p w14:paraId="51A4B73E" w14:textId="3716B923" w:rsidR="009E1950" w:rsidRPr="00843214" w:rsidRDefault="009E1950" w:rsidP="009620F3">
          <w:pPr>
            <w:rPr>
              <w:color w:val="auto"/>
            </w:rPr>
          </w:pPr>
        </w:p>
        <w:p w14:paraId="7DC957F7" w14:textId="3040A048" w:rsidR="009E1950" w:rsidRPr="00843214" w:rsidRDefault="009E1950" w:rsidP="009620F3">
          <w:pPr>
            <w:rPr>
              <w:color w:val="auto"/>
            </w:rPr>
          </w:pPr>
        </w:p>
        <w:p w14:paraId="3DF7993A" w14:textId="18E5F8D9" w:rsidR="00437C2B" w:rsidRPr="00843214" w:rsidRDefault="00495719" w:rsidP="00CB3B7A">
          <w:pPr>
            <w:pStyle w:val="Maintitle"/>
            <w:rPr>
              <w:color w:val="auto"/>
            </w:rPr>
          </w:pPr>
          <w:r w:rsidRPr="00843214">
            <w:rPr>
              <w:color w:val="auto"/>
            </w:rPr>
            <w:t>UN Women- DFAT Strategic Partnership Framework</w:t>
          </w:r>
        </w:p>
        <w:p w14:paraId="53F57EB7" w14:textId="77777777" w:rsidR="00843214" w:rsidRPr="00843214" w:rsidRDefault="00151278" w:rsidP="001F164C">
          <w:pPr>
            <w:pStyle w:val="Subtitle"/>
            <w:rPr>
              <w:color w:val="auto"/>
            </w:rPr>
          </w:pPr>
          <w:r w:rsidRPr="00843214">
            <w:rPr>
              <w:noProof/>
              <w:color w:val="auto"/>
            </w:rPr>
            <mc:AlternateContent>
              <mc:Choice Requires="wps">
                <w:drawing>
                  <wp:inline distT="0" distB="0" distL="0" distR="0" wp14:anchorId="2573A7F9" wp14:editId="247E7FAE">
                    <wp:extent cx="3013710" cy="1804987"/>
                    <wp:effectExtent l="0" t="0" r="0" b="5080"/>
                    <wp:docPr id="18980530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1804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C1B8" w14:textId="77777777" w:rsidR="00843214" w:rsidRDefault="00843214" w:rsidP="00085AC7">
                                <w:pPr>
                                  <w:pStyle w:val="Frontpagedetails"/>
                                  <w:rPr>
                                    <w:color w:val="auto"/>
                                  </w:rPr>
                                </w:pPr>
                              </w:p>
                              <w:p w14:paraId="5CBCA388" w14:textId="77777777" w:rsidR="00843214" w:rsidRDefault="00843214" w:rsidP="00085AC7">
                                <w:pPr>
                                  <w:pStyle w:val="Frontpagedetails"/>
                                  <w:rPr>
                                    <w:color w:val="auto"/>
                                  </w:rPr>
                                </w:pPr>
                              </w:p>
                              <w:p w14:paraId="1754E170" w14:textId="77777777" w:rsidR="00843214" w:rsidRDefault="00843214" w:rsidP="00085AC7">
                                <w:pPr>
                                  <w:pStyle w:val="Frontpagedetails"/>
                                  <w:rPr>
                                    <w:color w:val="auto"/>
                                  </w:rPr>
                                </w:pPr>
                              </w:p>
                              <w:p w14:paraId="608F3B89" w14:textId="4BDA78B0" w:rsidR="00843214" w:rsidRPr="00843214" w:rsidRDefault="00843214" w:rsidP="00085AC7">
                                <w:pPr>
                                  <w:pStyle w:val="Frontpagedetails"/>
                                  <w:rPr>
                                    <w:color w:val="auto"/>
                                  </w:rPr>
                                </w:pPr>
                                <w:r w:rsidRPr="00843214">
                                  <w:rPr>
                                    <w:color w:val="auto"/>
                                  </w:rPr>
                                  <w:t>Prepared for // Australia’s Department of Foreign Affairs and Trade, and UN Women</w:t>
                                </w:r>
                              </w:p>
                              <w:p w14:paraId="71EBE297" w14:textId="1CEAE355" w:rsidR="00843214" w:rsidRPr="00843214" w:rsidRDefault="00843214" w:rsidP="00085AC7">
                                <w:pPr>
                                  <w:pStyle w:val="Frontpagedetails"/>
                                  <w:rPr>
                                    <w:color w:val="auto"/>
                                  </w:rPr>
                                </w:pPr>
                                <w:r w:rsidRPr="00843214">
                                  <w:rPr>
                                    <w:color w:val="auto"/>
                                  </w:rPr>
                                  <w:t>By // Judith Friedman and Jenny Geppert</w:t>
                                </w:r>
                              </w:p>
                              <w:p w14:paraId="7365C944" w14:textId="3051E124" w:rsidR="00843214" w:rsidRPr="00843214" w:rsidRDefault="00843214" w:rsidP="00FA6109">
                                <w:pPr>
                                  <w:pStyle w:val="Frontpagedetails"/>
                                  <w:rPr>
                                    <w:color w:val="auto"/>
                                  </w:rPr>
                                </w:pPr>
                                <w:r w:rsidRPr="00843214">
                                  <w:rPr>
                                    <w:color w:val="auto"/>
                                  </w:rPr>
                                  <w:t>Date //16/03/2021</w:t>
                                </w:r>
                              </w:p>
                            </w:txbxContent>
                          </wps:txbx>
                          <wps:bodyPr rot="0" vert="horz" wrap="square" lIns="91440" tIns="45720" rIns="91440" bIns="45720" anchor="t" anchorCtr="0" upright="1">
                            <a:noAutofit/>
                          </wps:bodyPr>
                        </wps:wsp>
                      </a:graphicData>
                    </a:graphic>
                  </wp:inline>
                </w:drawing>
              </mc:Choice>
              <mc:Fallback>
                <w:pict>
                  <v:shapetype w14:anchorId="2573A7F9" id="_x0000_t202" coordsize="21600,21600" o:spt="202" path="m,l,21600r21600,l21600,xe">
                    <v:stroke joinstyle="miter"/>
                    <v:path gradientshapeok="t" o:connecttype="rect"/>
                  </v:shapetype>
                  <v:shape id="Text Box 31" o:spid="_x0000_s1026" type="#_x0000_t202" style="width:237.3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" filled="f" stroked="f">
                    <v:textbox>
                      <w:txbxContent>
                        <w:p w14:paraId="135DC1B8" w14:textId="77777777" w:rsidR="00843214" w:rsidRDefault="00843214" w:rsidP="00085AC7">
                          <w:pPr>
                            <w:pStyle w:val="Frontpagedetails"/>
                            <w:rPr>
                              <w:color w:val="auto"/>
                            </w:rPr>
                          </w:pPr>
                        </w:p>
                        <w:p w14:paraId="5CBCA388" w14:textId="77777777" w:rsidR="00843214" w:rsidRDefault="00843214" w:rsidP="00085AC7">
                          <w:pPr>
                            <w:pStyle w:val="Frontpagedetails"/>
                            <w:rPr>
                              <w:color w:val="auto"/>
                            </w:rPr>
                          </w:pPr>
                        </w:p>
                        <w:p w14:paraId="1754E170" w14:textId="77777777" w:rsidR="00843214" w:rsidRDefault="00843214" w:rsidP="00085AC7">
                          <w:pPr>
                            <w:pStyle w:val="Frontpagedetails"/>
                            <w:rPr>
                              <w:color w:val="auto"/>
                            </w:rPr>
                          </w:pPr>
                        </w:p>
                        <w:p w14:paraId="608F3B89" w14:textId="4BDA78B0" w:rsidR="00843214" w:rsidRPr="00843214" w:rsidRDefault="00843214" w:rsidP="00085AC7">
                          <w:pPr>
                            <w:pStyle w:val="Frontpagedetails"/>
                            <w:rPr>
                              <w:color w:val="auto"/>
                            </w:rPr>
                          </w:pPr>
                          <w:r w:rsidRPr="00843214">
                            <w:rPr>
                              <w:color w:val="auto"/>
                            </w:rPr>
                            <w:t>Prepared for // Australia’s Department of Foreign Affairs and Trade, and UN Women</w:t>
                          </w:r>
                        </w:p>
                        <w:p w14:paraId="71EBE297" w14:textId="1CEAE355" w:rsidR="00843214" w:rsidRPr="00843214" w:rsidRDefault="00843214" w:rsidP="00085AC7">
                          <w:pPr>
                            <w:pStyle w:val="Frontpagedetails"/>
                            <w:rPr>
                              <w:color w:val="auto"/>
                            </w:rPr>
                          </w:pPr>
                          <w:r w:rsidRPr="00843214">
                            <w:rPr>
                              <w:color w:val="auto"/>
                            </w:rPr>
                            <w:t>By // Judith Friedman and Jenny Geppert</w:t>
                          </w:r>
                        </w:p>
                        <w:p w14:paraId="7365C944" w14:textId="3051E124" w:rsidR="00843214" w:rsidRPr="00843214" w:rsidRDefault="00843214" w:rsidP="00FA6109">
                          <w:pPr>
                            <w:pStyle w:val="Frontpagedetails"/>
                            <w:rPr>
                              <w:color w:val="auto"/>
                            </w:rPr>
                          </w:pPr>
                          <w:r w:rsidRPr="00843214">
                            <w:rPr>
                              <w:color w:val="auto"/>
                            </w:rPr>
                            <w:t>Date //16/03/2021</w:t>
                          </w:r>
                        </w:p>
                      </w:txbxContent>
                    </v:textbox>
                    <w10:anchorlock/>
                  </v:shape>
                </w:pict>
              </mc:Fallback>
            </mc:AlternateContent>
          </w:r>
        </w:p>
        <w:p w14:paraId="5EBE284D" w14:textId="03F4733C" w:rsidR="00437C2B" w:rsidRPr="00843214" w:rsidRDefault="00495719" w:rsidP="001F164C">
          <w:pPr>
            <w:pStyle w:val="Subtitle"/>
            <w:rPr>
              <w:color w:val="auto"/>
            </w:rPr>
          </w:pPr>
          <w:r w:rsidRPr="00843214">
            <w:rPr>
              <w:color w:val="auto"/>
            </w:rPr>
            <w:t xml:space="preserve">Review Report: </w:t>
          </w:r>
          <w:r w:rsidR="00D872C6" w:rsidRPr="00843214">
            <w:rPr>
              <w:b/>
              <w:bCs/>
              <w:color w:val="auto"/>
            </w:rPr>
            <w:t>Final</w:t>
          </w:r>
        </w:p>
        <w:p w14:paraId="578521DB" w14:textId="4ACE5FDD" w:rsidR="00C44B70" w:rsidRPr="00843214" w:rsidRDefault="00437C2B">
          <w:pPr>
            <w:rPr>
              <w:color w:val="auto"/>
            </w:rPr>
          </w:pPr>
          <w:r w:rsidRPr="00843214">
            <w:rPr>
              <w:noProof/>
              <w:color w:val="auto"/>
            </w:rPr>
            <mc:AlternateContent>
              <mc:Choice Requires="wps">
                <w:drawing>
                  <wp:anchor distT="0" distB="0" distL="114300" distR="114300" simplePos="0" relativeHeight="251658242" behindDoc="0" locked="0" layoutInCell="1" allowOverlap="1" wp14:anchorId="669D0895" wp14:editId="6EFD8858">
                    <wp:simplePos x="0" y="0"/>
                    <wp:positionH relativeFrom="margin">
                      <wp:align>left</wp:align>
                    </wp:positionH>
                    <wp:positionV relativeFrom="page">
                      <wp:posOffset>4634230</wp:posOffset>
                    </wp:positionV>
                    <wp:extent cx="592328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280" cy="0"/>
                            </a:xfrm>
                            <a:prstGeom prst="line">
                              <a:avLst/>
                            </a:prstGeom>
                            <a:ln w="19050">
                              <a:solidFill>
                                <a:srgbClr val="00A499"/>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77646" id="Straight Connector 4" o:spid="_x0000_s1026" alt="&quot;&quot;"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64.9pt" to="466.4pt,3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" strokecolor="#00a499" strokeweight="1.5pt">
                    <v:stroke joinstyle="miter"/>
                    <w10:wrap anchorx="margin" anchory="page"/>
                  </v:line>
                </w:pict>
              </mc:Fallback>
            </mc:AlternateContent>
          </w:r>
          <w:r w:rsidRPr="00843214">
            <w:rPr>
              <w:noProof/>
              <w:color w:val="auto"/>
            </w:rPr>
            <mc:AlternateContent>
              <mc:Choice Requires="wps">
                <w:drawing>
                  <wp:inline distT="0" distB="0" distL="114300" distR="114300" wp14:anchorId="2B91612C" wp14:editId="5B7A1761">
                    <wp:extent cx="3013710" cy="2104390"/>
                    <wp:effectExtent l="0" t="0" r="0" b="0"/>
                    <wp:docPr id="1135915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210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29F0" w14:textId="77777777" w:rsidR="00843214" w:rsidRPr="00843214" w:rsidRDefault="00843214" w:rsidP="00085AC7">
                                <w:pPr>
                                  <w:pStyle w:val="Frontpagedetails"/>
                                  <w:rPr>
                                    <w:color w:val="auto"/>
                                  </w:rPr>
                                </w:pPr>
                                <w:r w:rsidRPr="00843214">
                                  <w:rPr>
                                    <w:color w:val="auto"/>
                                  </w:rPr>
                                  <w:t>IOD PARC is the trading name of International Organisation Development Ltd</w:t>
                                </w:r>
                              </w:p>
                              <w:p w14:paraId="5018AB76" w14:textId="77777777" w:rsidR="00843214" w:rsidRPr="00843214" w:rsidRDefault="00843214" w:rsidP="00085AC7">
                                <w:pPr>
                                  <w:pStyle w:val="Frontpagedetails"/>
                                  <w:rPr>
                                    <w:color w:val="auto"/>
                                  </w:rPr>
                                </w:pPr>
                                <w:r w:rsidRPr="00843214">
                                  <w:rPr>
                                    <w:color w:val="auto"/>
                                  </w:rPr>
                                  <w:t>Omega Court</w:t>
                                </w:r>
                                <w:r w:rsidRPr="00843214">
                                  <w:rPr>
                                    <w:color w:val="auto"/>
                                  </w:rPr>
                                  <w:br/>
                                  <w:t>362 Cemetery Road</w:t>
                                </w:r>
                                <w:r w:rsidRPr="00843214">
                                  <w:rPr>
                                    <w:color w:val="auto"/>
                                  </w:rPr>
                                  <w:br/>
                                  <w:t>Sheffield</w:t>
                                </w:r>
                                <w:r w:rsidRPr="00843214">
                                  <w:rPr>
                                    <w:color w:val="auto"/>
                                  </w:rPr>
                                  <w:br/>
                                  <w:t>S11 8FT</w:t>
                                </w:r>
                                <w:r w:rsidRPr="00843214">
                                  <w:rPr>
                                    <w:color w:val="auto"/>
                                  </w:rPr>
                                  <w:br/>
                                  <w:t>United Kingdom</w:t>
                                </w:r>
                              </w:p>
                              <w:p w14:paraId="5D76AE73" w14:textId="77777777" w:rsidR="00843214" w:rsidRPr="00843214" w:rsidRDefault="00843214" w:rsidP="00085AC7">
                                <w:pPr>
                                  <w:pStyle w:val="Frontpagedetails"/>
                                  <w:rPr>
                                    <w:color w:val="auto"/>
                                  </w:rPr>
                                </w:pPr>
                                <w:r w:rsidRPr="00843214">
                                  <w:rPr>
                                    <w:color w:val="auto"/>
                                  </w:rPr>
                                  <w:t>Tel: +44 (0) 114 267 3620</w:t>
                                </w:r>
                                <w:r w:rsidRPr="00843214">
                                  <w:rPr>
                                    <w:color w:val="auto"/>
                                  </w:rPr>
                                  <w:br/>
                                  <w:t>www.iodparc.com</w:t>
                                </w:r>
                              </w:p>
                            </w:txbxContent>
                          </wps:txbx>
                          <wps:bodyPr rot="0" vert="horz" wrap="square" lIns="91440" tIns="45720" rIns="91440" bIns="45720" anchor="t" anchorCtr="0" upright="1">
                            <a:noAutofit/>
                          </wps:bodyPr>
                        </wps:wsp>
                      </a:graphicData>
                    </a:graphic>
                  </wp:inline>
                </w:drawing>
              </mc:Choice>
              <mc:Fallback>
                <w:pict>
                  <v:shape w14:anchorId="2B91612C" id="Text Box 2" o:spid="_x0000_s1027" type="#_x0000_t202" style="width:237.3pt;height:1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" filled="f" stroked="f">
                    <v:textbox>
                      <w:txbxContent>
                        <w:p w14:paraId="179F29F0" w14:textId="77777777" w:rsidR="00843214" w:rsidRPr="00843214" w:rsidRDefault="00843214" w:rsidP="00085AC7">
                          <w:pPr>
                            <w:pStyle w:val="Frontpagedetails"/>
                            <w:rPr>
                              <w:color w:val="auto"/>
                            </w:rPr>
                          </w:pPr>
                          <w:r w:rsidRPr="00843214">
                            <w:rPr>
                              <w:color w:val="auto"/>
                            </w:rPr>
                            <w:t>IOD PARC is the trading name of International Organisation Development Ltd</w:t>
                          </w:r>
                        </w:p>
                        <w:p w14:paraId="5018AB76" w14:textId="77777777" w:rsidR="00843214" w:rsidRPr="00843214" w:rsidRDefault="00843214" w:rsidP="00085AC7">
                          <w:pPr>
                            <w:pStyle w:val="Frontpagedetails"/>
                            <w:rPr>
                              <w:color w:val="auto"/>
                            </w:rPr>
                          </w:pPr>
                          <w:r w:rsidRPr="00843214">
                            <w:rPr>
                              <w:color w:val="auto"/>
                            </w:rPr>
                            <w:t>Omega Court</w:t>
                          </w:r>
                          <w:r w:rsidRPr="00843214">
                            <w:rPr>
                              <w:color w:val="auto"/>
                            </w:rPr>
                            <w:br/>
                            <w:t>362 Cemetery Road</w:t>
                          </w:r>
                          <w:r w:rsidRPr="00843214">
                            <w:rPr>
                              <w:color w:val="auto"/>
                            </w:rPr>
                            <w:br/>
                            <w:t>Sheffield</w:t>
                          </w:r>
                          <w:r w:rsidRPr="00843214">
                            <w:rPr>
                              <w:color w:val="auto"/>
                            </w:rPr>
                            <w:br/>
                            <w:t>S11 8FT</w:t>
                          </w:r>
                          <w:r w:rsidRPr="00843214">
                            <w:rPr>
                              <w:color w:val="auto"/>
                            </w:rPr>
                            <w:br/>
                            <w:t>United Kingdom</w:t>
                          </w:r>
                        </w:p>
                        <w:p w14:paraId="5D76AE73" w14:textId="77777777" w:rsidR="00843214" w:rsidRPr="00843214" w:rsidRDefault="00843214" w:rsidP="00085AC7">
                          <w:pPr>
                            <w:pStyle w:val="Frontpagedetails"/>
                            <w:rPr>
                              <w:color w:val="auto"/>
                            </w:rPr>
                          </w:pPr>
                          <w:r w:rsidRPr="00843214">
                            <w:rPr>
                              <w:color w:val="auto"/>
                            </w:rPr>
                            <w:t>Tel: +44 (0) 114 267 3620</w:t>
                          </w:r>
                          <w:r w:rsidRPr="00843214">
                            <w:rPr>
                              <w:color w:val="auto"/>
                            </w:rPr>
                            <w:br/>
                            <w:t>www.iodparc.com</w:t>
                          </w:r>
                        </w:p>
                      </w:txbxContent>
                    </v:textbox>
                    <w10:anchorlock/>
                  </v:shape>
                </w:pict>
              </mc:Fallback>
            </mc:AlternateContent>
          </w:r>
          <w:r w:rsidRPr="00843214">
            <w:rPr>
              <w:color w:val="auto"/>
            </w:rPr>
            <w:br/>
          </w:r>
          <w:r w:rsidR="009319E2" w:rsidRPr="00843214">
            <w:rPr>
              <w:noProof/>
              <w:color w:val="auto"/>
            </w:rPr>
            <w:drawing>
              <wp:anchor distT="0" distB="0" distL="114300" distR="114300" simplePos="0" relativeHeight="251658244" behindDoc="0" locked="0" layoutInCell="1" allowOverlap="1" wp14:anchorId="6605A768" wp14:editId="0F647C73">
                <wp:simplePos x="0" y="0"/>
                <wp:positionH relativeFrom="column">
                  <wp:posOffset>647065</wp:posOffset>
                </wp:positionH>
                <wp:positionV relativeFrom="page">
                  <wp:posOffset>7659370</wp:posOffset>
                </wp:positionV>
                <wp:extent cx="1315720" cy="14325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72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E2" w:rsidRPr="00843214">
            <w:rPr>
              <w:noProof/>
              <w:color w:val="auto"/>
            </w:rPr>
            <w:drawing>
              <wp:anchor distT="0" distB="0" distL="114300" distR="114300" simplePos="0" relativeHeight="251658248" behindDoc="0" locked="0" layoutInCell="1" allowOverlap="1" wp14:anchorId="1117C49D" wp14:editId="1D071196">
                <wp:simplePos x="0" y="0"/>
                <wp:positionH relativeFrom="margin">
                  <wp:posOffset>4835525</wp:posOffset>
                </wp:positionH>
                <wp:positionV relativeFrom="page">
                  <wp:posOffset>7667625</wp:posOffset>
                </wp:positionV>
                <wp:extent cx="1311275" cy="14306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27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E2" w:rsidRPr="00843214">
            <w:rPr>
              <w:noProof/>
              <w:color w:val="auto"/>
            </w:rPr>
            <w:drawing>
              <wp:anchor distT="0" distB="0" distL="114300" distR="114300" simplePos="0" relativeHeight="251658247" behindDoc="0" locked="0" layoutInCell="1" allowOverlap="1" wp14:anchorId="09F22F66" wp14:editId="333A57BF">
                <wp:simplePos x="0" y="0"/>
                <wp:positionH relativeFrom="column">
                  <wp:posOffset>3843655</wp:posOffset>
                </wp:positionH>
                <wp:positionV relativeFrom="page">
                  <wp:posOffset>7665720</wp:posOffset>
                </wp:positionV>
                <wp:extent cx="1306830" cy="143002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83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E2" w:rsidRPr="00843214">
            <w:rPr>
              <w:noProof/>
              <w:color w:val="auto"/>
            </w:rPr>
            <w:drawing>
              <wp:anchor distT="0" distB="0" distL="114300" distR="114300" simplePos="0" relativeHeight="251658246" behindDoc="0" locked="0" layoutInCell="1" allowOverlap="1" wp14:anchorId="4A6510DE" wp14:editId="60451353">
                <wp:simplePos x="0" y="0"/>
                <wp:positionH relativeFrom="column">
                  <wp:posOffset>2741295</wp:posOffset>
                </wp:positionH>
                <wp:positionV relativeFrom="page">
                  <wp:posOffset>7682230</wp:posOffset>
                </wp:positionV>
                <wp:extent cx="1291590" cy="140462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59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E2" w:rsidRPr="00843214">
            <w:rPr>
              <w:noProof/>
              <w:color w:val="auto"/>
            </w:rPr>
            <w:drawing>
              <wp:anchor distT="0" distB="0" distL="114300" distR="114300" simplePos="0" relativeHeight="251658243" behindDoc="0" locked="0" layoutInCell="1" allowOverlap="1" wp14:anchorId="4BA02A82" wp14:editId="5503484B">
                <wp:simplePos x="0" y="0"/>
                <wp:positionH relativeFrom="column">
                  <wp:posOffset>-339090</wp:posOffset>
                </wp:positionH>
                <wp:positionV relativeFrom="page">
                  <wp:posOffset>7676515</wp:posOffset>
                </wp:positionV>
                <wp:extent cx="1295400" cy="14147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E2" w:rsidRPr="00843214">
            <w:rPr>
              <w:noProof/>
              <w:color w:val="auto"/>
            </w:rPr>
            <w:drawing>
              <wp:anchor distT="0" distB="0" distL="114300" distR="114300" simplePos="0" relativeHeight="251658245" behindDoc="0" locked="0" layoutInCell="1" allowOverlap="1" wp14:anchorId="3B821291" wp14:editId="79F949B9">
                <wp:simplePos x="0" y="0"/>
                <wp:positionH relativeFrom="column">
                  <wp:posOffset>1703070</wp:posOffset>
                </wp:positionH>
                <wp:positionV relativeFrom="page">
                  <wp:posOffset>7670165</wp:posOffset>
                </wp:positionV>
                <wp:extent cx="1318895" cy="143764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8895"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19A" w:rsidRPr="00843214">
            <w:rPr>
              <w:noProof/>
              <w:color w:val="auto"/>
            </w:rPr>
            <mc:AlternateContent>
              <mc:Choice Requires="wps">
                <w:drawing>
                  <wp:anchor distT="0" distB="0" distL="114300" distR="114300" simplePos="0" relativeHeight="251658249" behindDoc="0" locked="0" layoutInCell="1" allowOverlap="1" wp14:anchorId="482C32F3" wp14:editId="2FA8F788">
                    <wp:simplePos x="0" y="0"/>
                    <wp:positionH relativeFrom="page">
                      <wp:posOffset>14605</wp:posOffset>
                    </wp:positionH>
                    <wp:positionV relativeFrom="page">
                      <wp:posOffset>8775065</wp:posOffset>
                    </wp:positionV>
                    <wp:extent cx="77724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16375" id="Straight Connector 5" o:spid="_x0000_s1026" alt="&quot;&quot;"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5pt,690.95pt" to="613.15pt,6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" strokecolor="#00a499 [3215]" strokeweight="2pt">
                    <v:stroke joinstyle="miter"/>
                    <w10:wrap anchorx="page" anchory="page"/>
                  </v:line>
                </w:pict>
              </mc:Fallback>
            </mc:AlternateContent>
          </w:r>
        </w:p>
        <w:p w14:paraId="089E3B78" w14:textId="395C27E3" w:rsidR="00FA6109" w:rsidRPr="00843214" w:rsidRDefault="00FA6109">
          <w:pPr>
            <w:rPr>
              <w:color w:val="auto"/>
            </w:rPr>
          </w:pPr>
        </w:p>
        <w:p w14:paraId="1F731044" w14:textId="1C43BEF9" w:rsidR="00FA6109" w:rsidRPr="00843214" w:rsidRDefault="00FA6109">
          <w:pPr>
            <w:rPr>
              <w:color w:val="auto"/>
            </w:rPr>
          </w:pPr>
        </w:p>
        <w:p w14:paraId="6E0207C2" w14:textId="77777777" w:rsidR="00FA6109" w:rsidRPr="00843214" w:rsidRDefault="00FA6109">
          <w:pPr>
            <w:rPr>
              <w:color w:val="auto"/>
            </w:rPr>
          </w:pPr>
        </w:p>
        <w:p w14:paraId="58B77D17" w14:textId="77777777" w:rsidR="0000519A" w:rsidRPr="00843214" w:rsidRDefault="0000519A">
          <w:pPr>
            <w:rPr>
              <w:color w:val="auto"/>
            </w:rPr>
            <w:sectPr w:rsidR="0000519A" w:rsidRPr="00843214" w:rsidSect="00E32277">
              <w:headerReference w:type="default" r:id="rId16"/>
              <w:footerReference w:type="default" r:id="rId17"/>
              <w:pgSz w:w="11906" w:h="16838" w:code="9"/>
              <w:pgMar w:top="1440" w:right="1440" w:bottom="1440" w:left="1440" w:header="708" w:footer="708" w:gutter="0"/>
              <w:cols w:space="708"/>
              <w:titlePg/>
              <w:docGrid w:linePitch="360"/>
            </w:sectPr>
          </w:pPr>
        </w:p>
        <w:p w14:paraId="1246BE90" w14:textId="0B772BC7" w:rsidR="00E34F80" w:rsidRPr="00843214" w:rsidRDefault="00724649" w:rsidP="00843214">
          <w:pPr>
            <w:pStyle w:val="Heading1"/>
          </w:pPr>
          <w:bookmarkStart w:id="1" w:name="_Toc8998710"/>
          <w:bookmarkStart w:id="2" w:name="_Toc11767278"/>
          <w:bookmarkStart w:id="3" w:name="_Toc17958714"/>
          <w:bookmarkStart w:id="4" w:name="_Toc17959384"/>
          <w:bookmarkStart w:id="5" w:name="_Toc69376648"/>
          <w:r w:rsidRPr="00843214">
            <w:lastRenderedPageBreak/>
            <w:t>A</w:t>
          </w:r>
          <w:r w:rsidR="00E34F80" w:rsidRPr="00843214">
            <w:t>cknowledgements</w:t>
          </w:r>
          <w:bookmarkEnd w:id="1"/>
          <w:bookmarkEnd w:id="2"/>
          <w:bookmarkEnd w:id="3"/>
          <w:bookmarkEnd w:id="4"/>
          <w:bookmarkEnd w:id="5"/>
        </w:p>
        <w:p w14:paraId="452D61EE" w14:textId="7B786AF0" w:rsidR="00AA71AF" w:rsidRPr="00843214" w:rsidRDefault="00AA71AF" w:rsidP="003A3CED">
          <w:pPr>
            <w:rPr>
              <w:color w:val="auto"/>
            </w:rPr>
          </w:pPr>
          <w:r w:rsidRPr="00843214">
            <w:rPr>
              <w:color w:val="auto"/>
            </w:rPr>
            <w:t xml:space="preserve">The IOD PARC review team included Judith Friedman (Technical Lead), Jenny Geppert (Researcher) and Jo Kaybryn (Peer Reviewer). </w:t>
          </w:r>
        </w:p>
        <w:p w14:paraId="65CE6F76" w14:textId="43A32C8A" w:rsidR="00E34F80" w:rsidRPr="00843214" w:rsidRDefault="00696222" w:rsidP="003A3CED">
          <w:pPr>
            <w:rPr>
              <w:color w:val="auto"/>
            </w:rPr>
          </w:pPr>
          <w:r w:rsidRPr="00843214">
            <w:rPr>
              <w:color w:val="auto"/>
            </w:rPr>
            <w:t>The review team would like to thank UN Women and DFAT staff, their partner</w:t>
          </w:r>
          <w:r w:rsidR="00AA71AF" w:rsidRPr="00843214">
            <w:rPr>
              <w:color w:val="auto"/>
            </w:rPr>
            <w:t xml:space="preserve"> </w:t>
          </w:r>
          <w:proofErr w:type="gramStart"/>
          <w:r w:rsidR="00AA71AF" w:rsidRPr="00843214">
            <w:rPr>
              <w:color w:val="auto"/>
            </w:rPr>
            <w:t>agencies</w:t>
          </w:r>
          <w:proofErr w:type="gramEnd"/>
          <w:r w:rsidR="00AA71AF" w:rsidRPr="00843214">
            <w:rPr>
              <w:color w:val="auto"/>
            </w:rPr>
            <w:t xml:space="preserve"> and key stakeholders for </w:t>
          </w:r>
          <w:r w:rsidR="0094020E" w:rsidRPr="00843214">
            <w:rPr>
              <w:color w:val="auto"/>
            </w:rPr>
            <w:t xml:space="preserve">providing </w:t>
          </w:r>
          <w:r w:rsidR="00AA71AF" w:rsidRPr="00843214">
            <w:rPr>
              <w:color w:val="auto"/>
            </w:rPr>
            <w:t xml:space="preserve">their insights to the review. </w:t>
          </w:r>
        </w:p>
        <w:p w14:paraId="1E55EAAF" w14:textId="1AB88197" w:rsidR="00696222" w:rsidRPr="00843214" w:rsidRDefault="00696222" w:rsidP="003A3CED">
          <w:pPr>
            <w:rPr>
              <w:color w:val="auto"/>
            </w:rPr>
          </w:pPr>
          <w:r w:rsidRPr="00843214">
            <w:rPr>
              <w:color w:val="auto"/>
            </w:rPr>
            <w:t xml:space="preserve">The review team is very grateful for the </w:t>
          </w:r>
          <w:r w:rsidR="009B1CCC" w:rsidRPr="00843214">
            <w:rPr>
              <w:color w:val="auto"/>
            </w:rPr>
            <w:t xml:space="preserve">involvement and </w:t>
          </w:r>
          <w:r w:rsidRPr="00843214">
            <w:rPr>
              <w:color w:val="auto"/>
            </w:rPr>
            <w:t xml:space="preserve">support of </w:t>
          </w:r>
          <w:r w:rsidR="00AA71AF" w:rsidRPr="00843214">
            <w:rPr>
              <w:color w:val="auto"/>
            </w:rPr>
            <w:t xml:space="preserve">DFAT and </w:t>
          </w:r>
          <w:r w:rsidRPr="00843214">
            <w:rPr>
              <w:color w:val="auto"/>
            </w:rPr>
            <w:t xml:space="preserve">UN Women in the design and implementation of the review. </w:t>
          </w:r>
          <w:proofErr w:type="gramStart"/>
          <w:r w:rsidRPr="00843214">
            <w:rPr>
              <w:color w:val="auto"/>
            </w:rPr>
            <w:t>In particular</w:t>
          </w:r>
          <w:r w:rsidR="00AA71AF" w:rsidRPr="00843214">
            <w:rPr>
              <w:color w:val="auto"/>
            </w:rPr>
            <w:t>,</w:t>
          </w:r>
          <w:r w:rsidRPr="00843214">
            <w:rPr>
              <w:color w:val="auto"/>
            </w:rPr>
            <w:t xml:space="preserve"> we</w:t>
          </w:r>
          <w:proofErr w:type="gramEnd"/>
          <w:r w:rsidRPr="00843214">
            <w:rPr>
              <w:color w:val="auto"/>
            </w:rPr>
            <w:t xml:space="preserve"> wish to thank </w:t>
          </w:r>
          <w:r w:rsidR="006811D4" w:rsidRPr="00843214">
            <w:rPr>
              <w:color w:val="auto"/>
            </w:rPr>
            <w:t xml:space="preserve">the review reference group of </w:t>
          </w:r>
          <w:r w:rsidR="00AA71AF" w:rsidRPr="00843214">
            <w:rPr>
              <w:color w:val="auto"/>
            </w:rPr>
            <w:t>Yunei Kim (Senior Policy Officer) and Laura Ralph (Assistant Director) within DFAT’s Gender Multilateral Section and Ksenia Glebova (</w:t>
          </w:r>
          <w:r w:rsidR="0016095A" w:rsidRPr="00843214">
            <w:rPr>
              <w:color w:val="auto"/>
            </w:rPr>
            <w:t>Partnerships and Resource Mobili</w:t>
          </w:r>
          <w:r w:rsidR="00864137" w:rsidRPr="00843214">
            <w:rPr>
              <w:color w:val="auto"/>
            </w:rPr>
            <w:t>s</w:t>
          </w:r>
          <w:r w:rsidR="0016095A" w:rsidRPr="00843214">
            <w:rPr>
              <w:color w:val="auto"/>
            </w:rPr>
            <w:t>ation Specialist</w:t>
          </w:r>
          <w:r w:rsidR="00AA71AF" w:rsidRPr="00843214">
            <w:rPr>
              <w:color w:val="auto"/>
            </w:rPr>
            <w:t>), Laraine Mills (</w:t>
          </w:r>
          <w:r w:rsidR="00DB7A3B" w:rsidRPr="00843214">
            <w:rPr>
              <w:color w:val="auto"/>
            </w:rPr>
            <w:t>Partnerships and Resource</w:t>
          </w:r>
          <w:r w:rsidR="00DB7A3B" w:rsidRPr="00843214">
            <w:rPr>
              <w:rFonts w:ascii="Arial" w:hAnsi="Arial" w:cs="Arial"/>
              <w:color w:val="auto"/>
            </w:rPr>
            <w:t> </w:t>
          </w:r>
          <w:r w:rsidR="00DB7A3B" w:rsidRPr="00843214">
            <w:rPr>
              <w:color w:val="auto"/>
            </w:rPr>
            <w:t>Mobili</w:t>
          </w:r>
          <w:r w:rsidR="00864137" w:rsidRPr="00843214">
            <w:rPr>
              <w:color w:val="auto"/>
            </w:rPr>
            <w:t>s</w:t>
          </w:r>
          <w:r w:rsidR="00DB7A3B" w:rsidRPr="00843214">
            <w:rPr>
              <w:color w:val="auto"/>
            </w:rPr>
            <w:t>ation Consultant</w:t>
          </w:r>
          <w:r w:rsidR="00AA71AF" w:rsidRPr="00843214">
            <w:rPr>
              <w:color w:val="auto"/>
            </w:rPr>
            <w:t>) and Xiaoman Zhang (</w:t>
          </w:r>
          <w:r w:rsidR="00DB7A3B" w:rsidRPr="00843214">
            <w:rPr>
              <w:color w:val="auto"/>
            </w:rPr>
            <w:t>Partnerships and Resource Mobili</w:t>
          </w:r>
          <w:r w:rsidR="00864137" w:rsidRPr="00843214">
            <w:rPr>
              <w:color w:val="auto"/>
            </w:rPr>
            <w:t>s</w:t>
          </w:r>
          <w:r w:rsidR="00DB7A3B" w:rsidRPr="00843214">
            <w:rPr>
              <w:color w:val="auto"/>
            </w:rPr>
            <w:t>ation Specialist and Partner Focal Point for Asia and the Pacific</w:t>
          </w:r>
          <w:r w:rsidR="00AA71AF" w:rsidRPr="00843214">
            <w:rPr>
              <w:color w:val="auto"/>
            </w:rPr>
            <w:t xml:space="preserve">) at UN Women. </w:t>
          </w:r>
          <w:r w:rsidR="005F7014" w:rsidRPr="00843214">
            <w:rPr>
              <w:color w:val="auto"/>
            </w:rPr>
            <w:t xml:space="preserve">Their </w:t>
          </w:r>
          <w:r w:rsidR="00FD63C5" w:rsidRPr="00843214">
            <w:rPr>
              <w:color w:val="auto"/>
            </w:rPr>
            <w:t>open</w:t>
          </w:r>
          <w:r w:rsidR="00FE1FD2" w:rsidRPr="00843214">
            <w:rPr>
              <w:color w:val="auto"/>
            </w:rPr>
            <w:t xml:space="preserve"> approach</w:t>
          </w:r>
          <w:r w:rsidR="00FD63C5" w:rsidRPr="00843214">
            <w:rPr>
              <w:color w:val="auto"/>
            </w:rPr>
            <w:t xml:space="preserve"> and </w:t>
          </w:r>
          <w:r w:rsidR="00FE1FD2" w:rsidRPr="00843214">
            <w:rPr>
              <w:color w:val="auto"/>
            </w:rPr>
            <w:t xml:space="preserve">practical </w:t>
          </w:r>
          <w:r w:rsidR="005F7014" w:rsidRPr="00843214">
            <w:rPr>
              <w:color w:val="auto"/>
            </w:rPr>
            <w:t xml:space="preserve">support to </w:t>
          </w:r>
          <w:r w:rsidR="00FE1FD2" w:rsidRPr="00843214">
            <w:rPr>
              <w:color w:val="auto"/>
            </w:rPr>
            <w:t xml:space="preserve">provide documentation, </w:t>
          </w:r>
          <w:r w:rsidR="005F7014" w:rsidRPr="00843214">
            <w:rPr>
              <w:color w:val="auto"/>
            </w:rPr>
            <w:t>identify stakeholders, coordinate interviews</w:t>
          </w:r>
          <w:r w:rsidR="006811D4" w:rsidRPr="00843214">
            <w:rPr>
              <w:color w:val="auto"/>
            </w:rPr>
            <w:t>,</w:t>
          </w:r>
          <w:r w:rsidR="005F7014" w:rsidRPr="00843214">
            <w:rPr>
              <w:color w:val="auto"/>
            </w:rPr>
            <w:t xml:space="preserve"> and provide consolidated and prioriti</w:t>
          </w:r>
          <w:r w:rsidR="009B1CCC" w:rsidRPr="00843214">
            <w:rPr>
              <w:color w:val="auto"/>
            </w:rPr>
            <w:t>s</w:t>
          </w:r>
          <w:r w:rsidR="005F7014" w:rsidRPr="00843214">
            <w:rPr>
              <w:color w:val="auto"/>
            </w:rPr>
            <w:t xml:space="preserve">ed feedback greatly facilitated the review process. </w:t>
          </w:r>
        </w:p>
        <w:p w14:paraId="3E38A312" w14:textId="77777777" w:rsidR="003A3CED" w:rsidRPr="00843214" w:rsidRDefault="00E34F80" w:rsidP="003A3CED">
          <w:pPr>
            <w:rPr>
              <w:color w:val="auto"/>
            </w:rPr>
          </w:pPr>
          <w:r w:rsidRPr="00843214">
            <w:rPr>
              <w:color w:val="auto"/>
            </w:rPr>
            <w:br w:type="page"/>
          </w:r>
        </w:p>
      </w:sdtContent>
    </w:sdt>
    <w:bookmarkStart w:id="6" w:name="_Toc69376649" w:displacedByCustomXml="next"/>
    <w:bookmarkStart w:id="7" w:name="_Toc66354727" w:displacedByCustomXml="next"/>
    <w:sdt>
      <w:sdtPr>
        <w:rPr>
          <w:rFonts w:eastAsiaTheme="minorHAnsi" w:cstheme="minorBidi"/>
          <w:b w:val="0"/>
          <w:color w:val="000000" w:themeColor="text1"/>
          <w:sz w:val="22"/>
          <w:szCs w:val="22"/>
          <w:lang w:eastAsia="en-US"/>
        </w:rPr>
        <w:id w:val="-1611664482"/>
        <w:docPartObj>
          <w:docPartGallery w:val="Table of Contents"/>
          <w:docPartUnique/>
        </w:docPartObj>
      </w:sdtPr>
      <w:sdtEndPr>
        <w:rPr>
          <w:rFonts w:cs="Times New Roman"/>
          <w:bCs/>
          <w:noProof/>
          <w:sz w:val="21"/>
          <w:szCs w:val="24"/>
        </w:rPr>
      </w:sdtEndPr>
      <w:sdtContent>
        <w:p w14:paraId="1DD4BA3D" w14:textId="77777777" w:rsidR="00074780" w:rsidRPr="00843214" w:rsidRDefault="00074780" w:rsidP="00843214">
          <w:pPr>
            <w:pStyle w:val="Heading1"/>
          </w:pPr>
          <w:r w:rsidRPr="00843214">
            <w:t>Table of Contents</w:t>
          </w:r>
          <w:bookmarkEnd w:id="7"/>
          <w:bookmarkEnd w:id="6"/>
        </w:p>
        <w:p w14:paraId="19E2F526" w14:textId="37B205D7" w:rsidR="00C33499" w:rsidRPr="00843214" w:rsidRDefault="002B6586" w:rsidP="009C37CA">
          <w:pPr>
            <w:pStyle w:val="TOC1"/>
            <w:rPr>
              <w:rFonts w:asciiTheme="minorHAnsi" w:eastAsiaTheme="minorEastAsia" w:hAnsiTheme="minorHAnsi" w:cstheme="minorBidi"/>
              <w:noProof/>
              <w:color w:val="auto"/>
              <w:sz w:val="22"/>
              <w:szCs w:val="22"/>
              <w:lang w:val="en-GB" w:eastAsia="en-GB"/>
            </w:rPr>
          </w:pPr>
          <w:r w:rsidRPr="00843214">
            <w:rPr>
              <w:i/>
              <w:color w:val="auto"/>
            </w:rPr>
            <w:fldChar w:fldCharType="begin"/>
          </w:r>
          <w:r w:rsidRPr="00843214">
            <w:rPr>
              <w:i/>
              <w:color w:val="auto"/>
            </w:rPr>
            <w:instrText xml:space="preserve"> TOC \o "1-3" \h \z \u </w:instrText>
          </w:r>
          <w:r w:rsidRPr="00843214">
            <w:rPr>
              <w:i/>
              <w:color w:val="auto"/>
            </w:rPr>
            <w:fldChar w:fldCharType="separate"/>
          </w:r>
          <w:hyperlink w:anchor="_Toc69376648" w:history="1">
            <w:r w:rsidR="00C33499" w:rsidRPr="00843214">
              <w:rPr>
                <w:rStyle w:val="Hyperlink"/>
                <w:noProof/>
                <w:color w:val="auto"/>
              </w:rPr>
              <w:t>Acknowledgements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_Toc69376648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i</w:t>
            </w:r>
            <w:r w:rsidR="00C33499" w:rsidRPr="00843214">
              <w:rPr>
                <w:noProof/>
                <w:webHidden/>
                <w:color w:val="auto"/>
              </w:rPr>
              <w:fldChar w:fldCharType="end"/>
            </w:r>
          </w:hyperlink>
        </w:p>
        <w:p w14:paraId="32E376C4" w14:textId="0E36F378"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49" w:history="1">
            <w:r w:rsidR="00C33499" w:rsidRPr="00843214">
              <w:rPr>
                <w:rStyle w:val="Hyperlink"/>
                <w:noProof/>
                <w:color w:val="auto"/>
              </w:rPr>
              <w:t>Table of Contents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_Toc69376649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ii</w:t>
            </w:r>
            <w:r w:rsidR="00C33499" w:rsidRPr="00843214">
              <w:rPr>
                <w:noProof/>
                <w:webHidden/>
                <w:color w:val="auto"/>
              </w:rPr>
              <w:fldChar w:fldCharType="end"/>
            </w:r>
          </w:hyperlink>
        </w:p>
        <w:p w14:paraId="5B500D60" w14:textId="0BF1543F"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50" w:history="1">
            <w:r w:rsidR="00C33499" w:rsidRPr="00843214">
              <w:rPr>
                <w:rStyle w:val="Hyperlink"/>
                <w:noProof/>
                <w:color w:val="auto"/>
              </w:rPr>
              <w:t>Acronyms and Abbreviations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_Toc69376650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iii</w:t>
            </w:r>
            <w:r w:rsidR="00C33499" w:rsidRPr="00843214">
              <w:rPr>
                <w:noProof/>
                <w:webHidden/>
                <w:color w:val="auto"/>
              </w:rPr>
              <w:fldChar w:fldCharType="end"/>
            </w:r>
          </w:hyperlink>
        </w:p>
        <w:p w14:paraId="291E035A" w14:textId="753BAF97"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51" w:history="1">
            <w:r w:rsidR="00C33499" w:rsidRPr="00843214">
              <w:rPr>
                <w:rStyle w:val="Hyperlink"/>
                <w:noProof/>
                <w:color w:val="auto"/>
              </w:rPr>
              <w:t>Executive Summary</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_Toc69376651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v</w:t>
            </w:r>
            <w:r w:rsidR="00C33499" w:rsidRPr="00843214">
              <w:rPr>
                <w:noProof/>
                <w:webHidden/>
                <w:color w:val="auto"/>
              </w:rPr>
              <w:fldChar w:fldCharType="end"/>
            </w:r>
          </w:hyperlink>
        </w:p>
        <w:p w14:paraId="7F73679D" w14:textId="6B1BD60B"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52" w:history="1">
            <w:r w:rsidR="00C33499" w:rsidRPr="00843214">
              <w:rPr>
                <w:rStyle w:val="Hyperlink"/>
                <w:noProof/>
                <w:color w:val="auto"/>
              </w:rPr>
              <w:t>Introduction</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_Toc69376652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w:t>
            </w:r>
            <w:r w:rsidR="00C33499" w:rsidRPr="00843214">
              <w:rPr>
                <w:noProof/>
                <w:webHidden/>
                <w:color w:val="auto"/>
              </w:rPr>
              <w:fldChar w:fldCharType="end"/>
            </w:r>
          </w:hyperlink>
        </w:p>
        <w:p w14:paraId="095ADCA9" w14:textId="68C1CE47"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53" w:history="1">
            <w:r w:rsidR="00C33499" w:rsidRPr="00843214">
              <w:rPr>
                <w:rStyle w:val="Hyperlink"/>
                <w:noProof/>
                <w:color w:val="auto"/>
                <w:lang w:eastAsia="en-GB"/>
              </w:rPr>
              <w:t>Purpose and scope</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_Toc69376653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w:t>
            </w:r>
            <w:r w:rsidR="00C33499" w:rsidRPr="00843214">
              <w:rPr>
                <w:noProof/>
                <w:webHidden/>
                <w:color w:val="auto"/>
              </w:rPr>
              <w:fldChar w:fldCharType="end"/>
            </w:r>
          </w:hyperlink>
        </w:p>
        <w:p w14:paraId="7DD00526" w14:textId="7BFFA005"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54" w:history="1">
            <w:r w:rsidR="00C33499" w:rsidRPr="00843214">
              <w:rPr>
                <w:rStyle w:val="Hyperlink"/>
                <w:noProof/>
                <w:color w:val="auto"/>
                <w:lang w:val="en-GB"/>
              </w:rPr>
              <w:t>Overview of the SPF and background</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_Toc69376654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w:t>
            </w:r>
            <w:r w:rsidR="00C33499" w:rsidRPr="00843214">
              <w:rPr>
                <w:noProof/>
                <w:webHidden/>
                <w:color w:val="auto"/>
              </w:rPr>
              <w:fldChar w:fldCharType="end"/>
            </w:r>
          </w:hyperlink>
        </w:p>
        <w:p w14:paraId="30628721" w14:textId="6FCB2144"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55" w:history="1">
            <w:r w:rsidR="00C33499" w:rsidRPr="00843214">
              <w:rPr>
                <w:rStyle w:val="Hyperlink"/>
                <w:noProof/>
                <w:color w:val="auto"/>
              </w:rPr>
              <w:t>Methodology</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_Toc69376655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w:t>
            </w:r>
            <w:r w:rsidR="00C33499" w:rsidRPr="00843214">
              <w:rPr>
                <w:noProof/>
                <w:webHidden/>
                <w:color w:val="auto"/>
              </w:rPr>
              <w:fldChar w:fldCharType="end"/>
            </w:r>
          </w:hyperlink>
        </w:p>
        <w:p w14:paraId="4EE6CE6F" w14:textId="3E7C6723"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56" w:history="1">
            <w:r w:rsidR="00C33499" w:rsidRPr="00843214">
              <w:rPr>
                <w:rStyle w:val="Hyperlink"/>
                <w:noProof/>
                <w:color w:val="auto"/>
                <w:lang w:eastAsia="en-GB"/>
              </w:rPr>
              <w:t>Limitations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_Toc69376656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w:t>
            </w:r>
            <w:r w:rsidR="00C33499" w:rsidRPr="00843214">
              <w:rPr>
                <w:noProof/>
                <w:webHidden/>
                <w:color w:val="auto"/>
              </w:rPr>
              <w:fldChar w:fldCharType="end"/>
            </w:r>
          </w:hyperlink>
        </w:p>
        <w:p w14:paraId="078A632D" w14:textId="616CCB36"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57" w:history="1">
            <w:r w:rsidR="00C33499" w:rsidRPr="00843214">
              <w:rPr>
                <w:rStyle w:val="Hyperlink"/>
                <w:noProof/>
                <w:color w:val="auto"/>
              </w:rPr>
              <w:t>Findings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_Toc69376657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w:t>
            </w:r>
            <w:r w:rsidR="00C33499" w:rsidRPr="00843214">
              <w:rPr>
                <w:noProof/>
                <w:webHidden/>
                <w:color w:val="auto"/>
              </w:rPr>
              <w:fldChar w:fldCharType="end"/>
            </w:r>
          </w:hyperlink>
        </w:p>
        <w:p w14:paraId="630B6992" w14:textId="5761F548"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58" w:history="1">
            <w:r w:rsidR="00C33499" w:rsidRPr="00843214">
              <w:rPr>
                <w:rStyle w:val="Hyperlink"/>
                <w:noProof/>
                <w:color w:val="auto"/>
                <w:lang w:val="en-AU"/>
              </w:rPr>
              <w:t>1.1</w:t>
            </w:r>
            <w:r w:rsidR="00C33499" w:rsidRPr="00843214">
              <w:rPr>
                <w:rFonts w:asciiTheme="minorHAnsi" w:eastAsiaTheme="minorEastAsia" w:hAnsiTheme="minorHAnsi" w:cstheme="minorBidi"/>
                <w:bCs w:val="0"/>
                <w:noProof/>
                <w:color w:val="auto"/>
                <w:sz w:val="22"/>
                <w:szCs w:val="22"/>
                <w:lang w:val="en-GB" w:eastAsia="en-GB"/>
              </w:rPr>
              <w:tab/>
            </w:r>
            <w:r w:rsidR="00C33499" w:rsidRPr="00843214">
              <w:rPr>
                <w:rStyle w:val="Hyperlink"/>
                <w:noProof/>
                <w:color w:val="auto"/>
                <w:lang w:val="en-AU"/>
              </w:rPr>
              <w:t>Effectiveness of the Partnership 2016-2021</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_Toc69376658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w:t>
            </w:r>
            <w:r w:rsidR="00C33499" w:rsidRPr="00843214">
              <w:rPr>
                <w:noProof/>
                <w:webHidden/>
                <w:color w:val="auto"/>
              </w:rPr>
              <w:fldChar w:fldCharType="end"/>
            </w:r>
          </w:hyperlink>
        </w:p>
        <w:p w14:paraId="47DDF708" w14:textId="2E1338D1"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59" w:history="1">
            <w:r w:rsidR="00C33499" w:rsidRPr="00843214">
              <w:rPr>
                <w:rStyle w:val="Hyperlink"/>
                <w:noProof/>
                <w:color w:val="auto"/>
                <w:lang w:val="en-AU"/>
              </w:rPr>
              <w:t>1.1.1</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Progress against the nine shared objectives of the SPF</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_Toc69376659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w:t>
            </w:r>
            <w:r w:rsidR="00C33499" w:rsidRPr="00843214">
              <w:rPr>
                <w:noProof/>
                <w:webHidden/>
                <w:color w:val="auto"/>
              </w:rPr>
              <w:fldChar w:fldCharType="end"/>
            </w:r>
          </w:hyperlink>
        </w:p>
        <w:p w14:paraId="295AC473" w14:textId="2E88220F"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0" w:history="1">
            <w:r w:rsidR="00C33499" w:rsidRPr="00843214">
              <w:rPr>
                <w:rStyle w:val="Hyperlink"/>
                <w:noProof/>
                <w:color w:val="auto"/>
                <w:lang w:val="en-AU"/>
              </w:rPr>
              <w:t>1.1.2</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Factors that support or constrain progress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_Toc69376660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13</w:t>
            </w:r>
            <w:r w:rsidR="00C33499" w:rsidRPr="00843214">
              <w:rPr>
                <w:noProof/>
                <w:webHidden/>
                <w:color w:val="auto"/>
              </w:rPr>
              <w:fldChar w:fldCharType="end"/>
            </w:r>
          </w:hyperlink>
        </w:p>
        <w:p w14:paraId="1A2F41C0" w14:textId="106A078E"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61" w:history="1">
            <w:r w:rsidR="00C33499" w:rsidRPr="00843214">
              <w:rPr>
                <w:rStyle w:val="Hyperlink"/>
                <w:noProof/>
                <w:color w:val="auto"/>
                <w:lang w:val="en-AU"/>
              </w:rPr>
              <w:t>1.2</w:t>
            </w:r>
            <w:r w:rsidR="00C33499" w:rsidRPr="00843214">
              <w:rPr>
                <w:rFonts w:asciiTheme="minorHAnsi" w:eastAsiaTheme="minorEastAsia" w:hAnsiTheme="minorHAnsi" w:cstheme="minorBidi"/>
                <w:bCs w:val="0"/>
                <w:noProof/>
                <w:color w:val="auto"/>
                <w:sz w:val="22"/>
                <w:szCs w:val="22"/>
                <w:lang w:val="en-GB" w:eastAsia="en-GB"/>
              </w:rPr>
              <w:tab/>
            </w:r>
            <w:r w:rsidR="00C33499" w:rsidRPr="00843214">
              <w:rPr>
                <w:rStyle w:val="Hyperlink"/>
                <w:noProof/>
                <w:color w:val="auto"/>
                <w:lang w:val="en-AU"/>
              </w:rPr>
              <w:t>Changing landscape for gender equality</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_Toc69376661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13</w:t>
            </w:r>
            <w:r w:rsidR="00C33499" w:rsidRPr="00843214">
              <w:rPr>
                <w:noProof/>
                <w:webHidden/>
                <w:color w:val="auto"/>
              </w:rPr>
              <w:fldChar w:fldCharType="end"/>
            </w:r>
          </w:hyperlink>
        </w:p>
        <w:p w14:paraId="21FA31A7" w14:textId="67F6A43F"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2" w:history="1">
            <w:r w:rsidR="00C33499" w:rsidRPr="00843214">
              <w:rPr>
                <w:rStyle w:val="Hyperlink"/>
                <w:noProof/>
                <w:color w:val="auto"/>
                <w:lang w:val="en-AU"/>
              </w:rPr>
              <w:t>1.2.1</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Current and emerging context for gender equality within the Indo-Pacific</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_Toc69376662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13</w:t>
            </w:r>
            <w:r w:rsidR="00C33499" w:rsidRPr="00843214">
              <w:rPr>
                <w:noProof/>
                <w:webHidden/>
                <w:color w:val="auto"/>
              </w:rPr>
              <w:fldChar w:fldCharType="end"/>
            </w:r>
          </w:hyperlink>
        </w:p>
        <w:p w14:paraId="164F9169" w14:textId="5728DE06"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3" w:history="1">
            <w:r w:rsidR="00C33499" w:rsidRPr="00843214">
              <w:rPr>
                <w:rStyle w:val="Hyperlink"/>
                <w:noProof/>
                <w:color w:val="auto"/>
                <w:lang w:val="en-AU"/>
              </w:rPr>
              <w:t>1.2.2</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UN Women’s Role in relation to COVID-19</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_Toc69376663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15</w:t>
            </w:r>
            <w:r w:rsidR="00C33499" w:rsidRPr="00843214">
              <w:rPr>
                <w:noProof/>
                <w:webHidden/>
                <w:color w:val="auto"/>
              </w:rPr>
              <w:fldChar w:fldCharType="end"/>
            </w:r>
          </w:hyperlink>
        </w:p>
        <w:p w14:paraId="058A3666" w14:textId="36C7DCA5"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4" w:history="1">
            <w:r w:rsidR="00C33499" w:rsidRPr="00843214">
              <w:rPr>
                <w:rStyle w:val="Hyperlink"/>
                <w:noProof/>
                <w:color w:val="auto"/>
                <w:lang w:val="en-AU"/>
              </w:rPr>
              <w:t>1.2.3</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UN Women organisational positioning and the effects of United Nations Development Systems reform</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_Toc69376664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16</w:t>
            </w:r>
            <w:r w:rsidR="00C33499" w:rsidRPr="00843214">
              <w:rPr>
                <w:noProof/>
                <w:webHidden/>
                <w:color w:val="auto"/>
              </w:rPr>
              <w:fldChar w:fldCharType="end"/>
            </w:r>
          </w:hyperlink>
        </w:p>
        <w:p w14:paraId="2255A4F3" w14:textId="3DD30629"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65" w:history="1">
            <w:r w:rsidR="00C33499" w:rsidRPr="00843214">
              <w:rPr>
                <w:rStyle w:val="Hyperlink"/>
                <w:noProof/>
                <w:color w:val="auto"/>
                <w:lang w:val="en-AU"/>
              </w:rPr>
              <w:t>1.3</w:t>
            </w:r>
            <w:r w:rsidR="00C33499" w:rsidRPr="00843214">
              <w:rPr>
                <w:rFonts w:asciiTheme="minorHAnsi" w:eastAsiaTheme="minorEastAsia" w:hAnsiTheme="minorHAnsi" w:cstheme="minorBidi"/>
                <w:bCs w:val="0"/>
                <w:noProof/>
                <w:color w:val="auto"/>
                <w:sz w:val="22"/>
                <w:szCs w:val="22"/>
                <w:lang w:val="en-GB" w:eastAsia="en-GB"/>
              </w:rPr>
              <w:tab/>
            </w:r>
            <w:r w:rsidR="00C33499" w:rsidRPr="00843214">
              <w:rPr>
                <w:rStyle w:val="Hyperlink"/>
                <w:noProof/>
                <w:color w:val="auto"/>
                <w:lang w:val="en-AU"/>
              </w:rPr>
              <w:t>Partnership Arrangements and Funding</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_Toc69376665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18</w:t>
            </w:r>
            <w:r w:rsidR="00C33499" w:rsidRPr="00843214">
              <w:rPr>
                <w:noProof/>
                <w:webHidden/>
                <w:color w:val="auto"/>
              </w:rPr>
              <w:fldChar w:fldCharType="end"/>
            </w:r>
          </w:hyperlink>
        </w:p>
        <w:p w14:paraId="4AA5B31A" w14:textId="10A7D394"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6" w:history="1">
            <w:r w:rsidR="00C33499" w:rsidRPr="00843214">
              <w:rPr>
                <w:rStyle w:val="Hyperlink"/>
                <w:noProof/>
                <w:color w:val="auto"/>
                <w:lang w:val="en-AU"/>
              </w:rPr>
              <w:t>1.3.1</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Individual and shared objectives and future priorities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_Toc69376666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18</w:t>
            </w:r>
            <w:r w:rsidR="00C33499" w:rsidRPr="00843214">
              <w:rPr>
                <w:noProof/>
                <w:webHidden/>
                <w:color w:val="auto"/>
              </w:rPr>
              <w:fldChar w:fldCharType="end"/>
            </w:r>
          </w:hyperlink>
        </w:p>
        <w:p w14:paraId="51D4C875" w14:textId="0D2EF321"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7" w:history="1">
            <w:r w:rsidR="00C33499" w:rsidRPr="00843214">
              <w:rPr>
                <w:rStyle w:val="Hyperlink"/>
                <w:noProof/>
                <w:color w:val="auto"/>
                <w:lang w:val="en-AU"/>
              </w:rPr>
              <w:t>1.3.2</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SPF operational arrangements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_Toc69376667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19</w:t>
            </w:r>
            <w:r w:rsidR="00C33499" w:rsidRPr="00843214">
              <w:rPr>
                <w:noProof/>
                <w:webHidden/>
                <w:color w:val="auto"/>
              </w:rPr>
              <w:fldChar w:fldCharType="end"/>
            </w:r>
          </w:hyperlink>
        </w:p>
        <w:p w14:paraId="6B1B0C70" w14:textId="5E2FAF93"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68" w:history="1">
            <w:r w:rsidR="00C33499" w:rsidRPr="00843214">
              <w:rPr>
                <w:rStyle w:val="Hyperlink"/>
                <w:noProof/>
                <w:color w:val="auto"/>
                <w:lang w:val="en-AU"/>
              </w:rPr>
              <w:t>1.3.3</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Relationship</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_Toc69376668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19</w:t>
            </w:r>
            <w:r w:rsidR="00C33499" w:rsidRPr="00843214">
              <w:rPr>
                <w:noProof/>
                <w:webHidden/>
                <w:color w:val="auto"/>
              </w:rPr>
              <w:fldChar w:fldCharType="end"/>
            </w:r>
          </w:hyperlink>
        </w:p>
        <w:p w14:paraId="07B92006" w14:textId="5FC21E0D"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70" w:history="1">
            <w:r w:rsidR="00C33499" w:rsidRPr="00843214">
              <w:rPr>
                <w:rStyle w:val="Hyperlink"/>
                <w:noProof/>
                <w:color w:val="auto"/>
                <w:lang w:val="en-AU"/>
              </w:rPr>
              <w:t>1.3.4</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noProof/>
                <w:color w:val="auto"/>
                <w:lang w:val="en-AU"/>
              </w:rPr>
              <w:t>Funding</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_Toc69376670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20</w:t>
            </w:r>
            <w:r w:rsidR="00C33499" w:rsidRPr="00843214">
              <w:rPr>
                <w:noProof/>
                <w:webHidden/>
                <w:color w:val="auto"/>
              </w:rPr>
              <w:fldChar w:fldCharType="end"/>
            </w:r>
          </w:hyperlink>
        </w:p>
        <w:p w14:paraId="640E390E" w14:textId="06F7A658" w:rsidR="00C33499" w:rsidRPr="00843214" w:rsidRDefault="00891CD2">
          <w:pPr>
            <w:pStyle w:val="TOC3"/>
            <w:tabs>
              <w:tab w:val="left" w:pos="1320"/>
              <w:tab w:val="right" w:leader="underscore" w:pos="9016"/>
            </w:tabs>
            <w:rPr>
              <w:rFonts w:asciiTheme="minorHAnsi" w:eastAsiaTheme="minorEastAsia" w:hAnsiTheme="minorHAnsi" w:cstheme="minorBidi"/>
              <w:noProof/>
              <w:color w:val="auto"/>
              <w:sz w:val="22"/>
              <w:szCs w:val="22"/>
              <w:lang w:val="en-GB" w:eastAsia="en-GB"/>
            </w:rPr>
          </w:pPr>
          <w:hyperlink w:anchor="_Toc69376671" w:history="1">
            <w:r w:rsidR="00C33499" w:rsidRPr="00843214">
              <w:rPr>
                <w:rStyle w:val="Hyperlink"/>
                <w:rFonts w:eastAsiaTheme="majorEastAsia" w:cstheme="majorBidi"/>
                <w:noProof/>
                <w:color w:val="auto"/>
                <w:lang w:val="en-AU"/>
              </w:rPr>
              <w:t>1.3.5</w:t>
            </w:r>
            <w:r w:rsidR="00C33499" w:rsidRPr="00843214">
              <w:rPr>
                <w:rFonts w:asciiTheme="minorHAnsi" w:eastAsiaTheme="minorEastAsia" w:hAnsiTheme="minorHAnsi" w:cstheme="minorBidi"/>
                <w:noProof/>
                <w:color w:val="auto"/>
                <w:sz w:val="22"/>
                <w:szCs w:val="22"/>
                <w:lang w:val="en-GB" w:eastAsia="en-GB"/>
              </w:rPr>
              <w:tab/>
            </w:r>
            <w:r w:rsidR="00C33499" w:rsidRPr="00843214">
              <w:rPr>
                <w:rStyle w:val="Hyperlink"/>
                <w:rFonts w:eastAsiaTheme="majorEastAsia" w:cstheme="majorBidi"/>
                <w:noProof/>
                <w:color w:val="auto"/>
                <w:lang w:val="en-AU"/>
              </w:rPr>
              <w:t>Value for Money</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_Toc69376671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22</w:t>
            </w:r>
            <w:r w:rsidR="00C33499" w:rsidRPr="00843214">
              <w:rPr>
                <w:noProof/>
                <w:webHidden/>
                <w:color w:val="auto"/>
              </w:rPr>
              <w:fldChar w:fldCharType="end"/>
            </w:r>
          </w:hyperlink>
        </w:p>
        <w:p w14:paraId="10AFB4BE" w14:textId="758119B3"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2" w:history="1">
            <w:r w:rsidR="00C33499" w:rsidRPr="00843214">
              <w:rPr>
                <w:rStyle w:val="Hyperlink"/>
                <w:noProof/>
                <w:color w:val="auto"/>
                <w:lang w:val="en-AU"/>
              </w:rPr>
              <w:t>Towards the SPF 2022-2025</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_Toc69376672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22</w:t>
            </w:r>
            <w:r w:rsidR="00C33499" w:rsidRPr="00843214">
              <w:rPr>
                <w:noProof/>
                <w:webHidden/>
                <w:color w:val="auto"/>
              </w:rPr>
              <w:fldChar w:fldCharType="end"/>
            </w:r>
          </w:hyperlink>
        </w:p>
        <w:p w14:paraId="3FB58AA8" w14:textId="1B1E2C45"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73" w:history="1">
            <w:r w:rsidR="00C33499" w:rsidRPr="00843214">
              <w:rPr>
                <w:rStyle w:val="Hyperlink"/>
                <w:noProof/>
                <w:color w:val="auto"/>
                <w:lang w:val="en-AU" w:eastAsia="en-GB"/>
              </w:rPr>
              <w:t>Conclusions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_Toc69376673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22</w:t>
            </w:r>
            <w:r w:rsidR="00C33499" w:rsidRPr="00843214">
              <w:rPr>
                <w:noProof/>
                <w:webHidden/>
                <w:color w:val="auto"/>
              </w:rPr>
              <w:fldChar w:fldCharType="end"/>
            </w:r>
          </w:hyperlink>
        </w:p>
        <w:p w14:paraId="32951A43" w14:textId="43AD0E38" w:rsidR="00C33499" w:rsidRPr="00843214" w:rsidRDefault="00891CD2">
          <w:pPr>
            <w:pStyle w:val="TOC2"/>
            <w:rPr>
              <w:rFonts w:asciiTheme="minorHAnsi" w:eastAsiaTheme="minorEastAsia" w:hAnsiTheme="minorHAnsi" w:cstheme="minorBidi"/>
              <w:bCs w:val="0"/>
              <w:noProof/>
              <w:color w:val="auto"/>
              <w:sz w:val="22"/>
              <w:szCs w:val="22"/>
              <w:lang w:val="en-GB" w:eastAsia="en-GB"/>
            </w:rPr>
          </w:pPr>
          <w:hyperlink w:anchor="_Toc69376674" w:history="1">
            <w:r w:rsidR="00C33499" w:rsidRPr="00843214">
              <w:rPr>
                <w:rStyle w:val="Hyperlink"/>
                <w:noProof/>
                <w:color w:val="auto"/>
                <w:lang w:val="en-AU" w:eastAsia="en-GB"/>
              </w:rPr>
              <w:t>Recommendations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_Toc69376674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23</w:t>
            </w:r>
            <w:r w:rsidR="00C33499" w:rsidRPr="00843214">
              <w:rPr>
                <w:noProof/>
                <w:webHidden/>
                <w:color w:val="auto"/>
              </w:rPr>
              <w:fldChar w:fldCharType="end"/>
            </w:r>
          </w:hyperlink>
        </w:p>
        <w:p w14:paraId="1D1D3DE8" w14:textId="717A5DA4"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5" w:history="1">
            <w:r w:rsidR="00C33499" w:rsidRPr="00843214">
              <w:rPr>
                <w:rStyle w:val="Hyperlink"/>
                <w:noProof/>
                <w:color w:val="auto"/>
                <w:lang w:val="en-AU"/>
              </w:rPr>
              <w:t>Annex 1 Review Matrix</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_Toc69376675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26</w:t>
            </w:r>
            <w:r w:rsidR="00C33499" w:rsidRPr="00843214">
              <w:rPr>
                <w:noProof/>
                <w:webHidden/>
                <w:color w:val="auto"/>
              </w:rPr>
              <w:fldChar w:fldCharType="end"/>
            </w:r>
          </w:hyperlink>
        </w:p>
        <w:p w14:paraId="05DC9E4A" w14:textId="5AFB1D75"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6" w:history="1">
            <w:r w:rsidR="00C33499" w:rsidRPr="00843214">
              <w:rPr>
                <w:rStyle w:val="Hyperlink"/>
                <w:noProof/>
                <w:color w:val="auto"/>
                <w:lang w:val="en-AU"/>
              </w:rPr>
              <w:t>Annex 2: Document list</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_Toc69376676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31</w:t>
            </w:r>
            <w:r w:rsidR="00C33499" w:rsidRPr="00843214">
              <w:rPr>
                <w:noProof/>
                <w:webHidden/>
                <w:color w:val="auto"/>
              </w:rPr>
              <w:fldChar w:fldCharType="end"/>
            </w:r>
          </w:hyperlink>
        </w:p>
        <w:p w14:paraId="7BB1286A" w14:textId="71C8F808"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7" w:history="1">
            <w:r w:rsidR="00C33499" w:rsidRPr="00843214">
              <w:rPr>
                <w:rStyle w:val="Hyperlink"/>
                <w:noProof/>
                <w:color w:val="auto"/>
              </w:rPr>
              <w:t>Annex 3: Roundtable Interviews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_Toc69376677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35</w:t>
            </w:r>
            <w:r w:rsidR="00C33499" w:rsidRPr="00843214">
              <w:rPr>
                <w:noProof/>
                <w:webHidden/>
                <w:color w:val="auto"/>
              </w:rPr>
              <w:fldChar w:fldCharType="end"/>
            </w:r>
          </w:hyperlink>
        </w:p>
        <w:p w14:paraId="566858CD" w14:textId="4469F410"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8" w:history="1">
            <w:r w:rsidR="00C33499" w:rsidRPr="00843214">
              <w:rPr>
                <w:rStyle w:val="Hyperlink"/>
                <w:noProof/>
                <w:color w:val="auto"/>
              </w:rPr>
              <w:t>Annex 4: Key Recent Non-core Funded Initiatives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_Toc69376678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36</w:t>
            </w:r>
            <w:r w:rsidR="00C33499" w:rsidRPr="00843214">
              <w:rPr>
                <w:noProof/>
                <w:webHidden/>
                <w:color w:val="auto"/>
              </w:rPr>
              <w:fldChar w:fldCharType="end"/>
            </w:r>
          </w:hyperlink>
        </w:p>
        <w:p w14:paraId="7C2398B2" w14:textId="2F4FEFFD"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79" w:history="1">
            <w:r w:rsidR="00C33499" w:rsidRPr="00843214">
              <w:rPr>
                <w:rStyle w:val="Hyperlink"/>
                <w:noProof/>
                <w:color w:val="auto"/>
              </w:rPr>
              <w:t>Annex 5: Factors that support or constrain progress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_Toc69376679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38</w:t>
            </w:r>
            <w:r w:rsidR="00C33499" w:rsidRPr="00843214">
              <w:rPr>
                <w:noProof/>
                <w:webHidden/>
                <w:color w:val="auto"/>
              </w:rPr>
              <w:fldChar w:fldCharType="end"/>
            </w:r>
          </w:hyperlink>
        </w:p>
        <w:p w14:paraId="7CA5D7E7" w14:textId="7D0794D8" w:rsidR="00C33499" w:rsidRPr="00843214" w:rsidRDefault="00891CD2" w:rsidP="009C37CA">
          <w:pPr>
            <w:pStyle w:val="TOC1"/>
            <w:rPr>
              <w:rFonts w:asciiTheme="minorHAnsi" w:eastAsiaTheme="minorEastAsia" w:hAnsiTheme="minorHAnsi" w:cstheme="minorBidi"/>
              <w:noProof/>
              <w:color w:val="auto"/>
              <w:sz w:val="22"/>
              <w:szCs w:val="22"/>
              <w:lang w:val="en-GB" w:eastAsia="en-GB"/>
            </w:rPr>
          </w:pPr>
          <w:hyperlink w:anchor="_Toc69376680" w:history="1">
            <w:r w:rsidR="00C33499" w:rsidRPr="00843214">
              <w:rPr>
                <w:rStyle w:val="Hyperlink"/>
                <w:noProof/>
                <w:color w:val="auto"/>
              </w:rPr>
              <w:t>Annex 6: Common Current and Future High-Level DFAT and UN Women Gender Priorities</w:t>
            </w:r>
            <w:r w:rsidR="00C33499" w:rsidRPr="00843214">
              <w:rPr>
                <w:noProof/>
                <w:webHidden/>
                <w:color w:val="auto"/>
              </w:rPr>
              <w:tab/>
            </w:r>
            <w:r w:rsidR="00C33499" w:rsidRPr="00843214">
              <w:rPr>
                <w:noProof/>
                <w:webHidden/>
                <w:color w:val="auto"/>
              </w:rPr>
              <w:fldChar w:fldCharType="begin"/>
            </w:r>
            <w:r w:rsidR="00C33499" w:rsidRPr="00843214">
              <w:rPr>
                <w:noProof/>
                <w:webHidden/>
                <w:color w:val="auto"/>
              </w:rPr>
              <w:instrText xml:space="preserve"> PAGEREF _Toc69376680 \h </w:instrText>
            </w:r>
            <w:r w:rsidR="00C33499" w:rsidRPr="00843214">
              <w:rPr>
                <w:noProof/>
                <w:webHidden/>
                <w:color w:val="auto"/>
              </w:rPr>
            </w:r>
            <w:r w:rsidR="00C33499" w:rsidRPr="00843214">
              <w:rPr>
                <w:noProof/>
                <w:webHidden/>
                <w:color w:val="auto"/>
              </w:rPr>
              <w:fldChar w:fldCharType="separate"/>
            </w:r>
            <w:r w:rsidR="00742005" w:rsidRPr="00843214">
              <w:rPr>
                <w:noProof/>
                <w:webHidden/>
                <w:color w:val="auto"/>
              </w:rPr>
              <w:t>40</w:t>
            </w:r>
            <w:r w:rsidR="00C33499" w:rsidRPr="00843214">
              <w:rPr>
                <w:noProof/>
                <w:webHidden/>
                <w:color w:val="auto"/>
              </w:rPr>
              <w:fldChar w:fldCharType="end"/>
            </w:r>
          </w:hyperlink>
        </w:p>
        <w:p w14:paraId="2EF3538D" w14:textId="0158A0D9" w:rsidR="00074780" w:rsidRPr="00843214" w:rsidRDefault="002B6586">
          <w:pPr>
            <w:rPr>
              <w:color w:val="auto"/>
            </w:rPr>
          </w:pPr>
          <w:r w:rsidRPr="00843214">
            <w:rPr>
              <w:rFonts w:cstheme="minorHAnsi"/>
              <w:bCs/>
              <w:i/>
              <w:iCs/>
              <w:color w:val="auto"/>
              <w:sz w:val="28"/>
            </w:rPr>
            <w:fldChar w:fldCharType="end"/>
          </w:r>
        </w:p>
      </w:sdtContent>
    </w:sdt>
    <w:p w14:paraId="39996A90" w14:textId="77777777" w:rsidR="00437C2B" w:rsidRPr="00843214" w:rsidRDefault="00437C2B">
      <w:pPr>
        <w:rPr>
          <w:color w:val="auto"/>
        </w:rPr>
      </w:pPr>
      <w:r w:rsidRPr="00843214">
        <w:rPr>
          <w:color w:val="auto"/>
        </w:rPr>
        <w:br w:type="page"/>
      </w:r>
    </w:p>
    <w:p w14:paraId="4D99E79C" w14:textId="392B80BD" w:rsidR="00437C2B" w:rsidRPr="00843214" w:rsidRDefault="00437C2B" w:rsidP="00843214">
      <w:pPr>
        <w:pStyle w:val="Heading1"/>
      </w:pPr>
      <w:bookmarkStart w:id="8" w:name="_Toc11767277"/>
      <w:bookmarkStart w:id="9" w:name="_Toc17958713"/>
      <w:bookmarkStart w:id="10" w:name="_Toc17959385"/>
      <w:bookmarkStart w:id="11" w:name="_Toc69376650"/>
      <w:r w:rsidRPr="00843214">
        <w:lastRenderedPageBreak/>
        <w:t>Acronyms and Abbreviations</w:t>
      </w:r>
      <w:bookmarkEnd w:id="8"/>
      <w:bookmarkEnd w:id="9"/>
      <w:bookmarkEnd w:id="10"/>
      <w:bookmarkEnd w:id="11"/>
    </w:p>
    <w:p w14:paraId="24572896" w14:textId="77777777" w:rsidR="00437C2B" w:rsidRPr="00843214" w:rsidRDefault="00437C2B" w:rsidP="00437C2B">
      <w:pPr>
        <w:rPr>
          <w:color w:val="auto"/>
        </w:rPr>
      </w:pPr>
    </w:p>
    <w:tbl>
      <w:tblPr>
        <w:tblStyle w:val="IODPARCtable2"/>
        <w:tblW w:w="0" w:type="auto"/>
        <w:tblLook w:val="04A0" w:firstRow="1" w:lastRow="0" w:firstColumn="1" w:lastColumn="0" w:noHBand="0" w:noVBand="1"/>
      </w:tblPr>
      <w:tblGrid>
        <w:gridCol w:w="1475"/>
        <w:gridCol w:w="7531"/>
      </w:tblGrid>
      <w:tr w:rsidR="00843214" w:rsidRPr="00843214" w14:paraId="37612779" w14:textId="77777777" w:rsidTr="00BE4CB2">
        <w:tc>
          <w:tcPr>
            <w:tcW w:w="1475" w:type="dxa"/>
          </w:tcPr>
          <w:p w14:paraId="3EBCBEF6" w14:textId="68102CC1" w:rsidR="00437C2B" w:rsidRPr="00843214" w:rsidRDefault="00BB6FEB" w:rsidP="004C2F21">
            <w:pPr>
              <w:rPr>
                <w:color w:val="auto"/>
                <w:szCs w:val="20"/>
              </w:rPr>
            </w:pPr>
            <w:r w:rsidRPr="00843214">
              <w:rPr>
                <w:color w:val="auto"/>
                <w:szCs w:val="20"/>
              </w:rPr>
              <w:t>AMPR</w:t>
            </w:r>
          </w:p>
        </w:tc>
        <w:tc>
          <w:tcPr>
            <w:tcW w:w="7531" w:type="dxa"/>
          </w:tcPr>
          <w:p w14:paraId="69F6AD3F" w14:textId="589DA232" w:rsidR="00437C2B" w:rsidRPr="00843214" w:rsidRDefault="007A2FF4" w:rsidP="004C2F21">
            <w:pPr>
              <w:rPr>
                <w:color w:val="auto"/>
                <w:szCs w:val="20"/>
              </w:rPr>
            </w:pPr>
            <w:r w:rsidRPr="00843214">
              <w:rPr>
                <w:color w:val="auto"/>
                <w:szCs w:val="20"/>
              </w:rPr>
              <w:t>Annual Multilateral Performance Report</w:t>
            </w:r>
          </w:p>
        </w:tc>
      </w:tr>
      <w:tr w:rsidR="00843214" w:rsidRPr="00843214" w14:paraId="5A94EB3A" w14:textId="77777777" w:rsidTr="00BE4CB2">
        <w:tc>
          <w:tcPr>
            <w:tcW w:w="1475" w:type="dxa"/>
          </w:tcPr>
          <w:p w14:paraId="120A55C0" w14:textId="10E15B80" w:rsidR="003D53EE" w:rsidRPr="00843214" w:rsidRDefault="003D53EE" w:rsidP="004C2F21">
            <w:pPr>
              <w:rPr>
                <w:color w:val="auto"/>
                <w:szCs w:val="20"/>
              </w:rPr>
            </w:pPr>
            <w:r w:rsidRPr="00843214">
              <w:rPr>
                <w:color w:val="auto"/>
                <w:szCs w:val="20"/>
              </w:rPr>
              <w:t>AQC</w:t>
            </w:r>
          </w:p>
        </w:tc>
        <w:tc>
          <w:tcPr>
            <w:tcW w:w="7531" w:type="dxa"/>
          </w:tcPr>
          <w:p w14:paraId="31887247" w14:textId="34FF5F1E" w:rsidR="003D53EE" w:rsidRPr="00843214" w:rsidRDefault="003D53EE" w:rsidP="004C2F21">
            <w:pPr>
              <w:rPr>
                <w:color w:val="auto"/>
                <w:szCs w:val="20"/>
              </w:rPr>
            </w:pPr>
            <w:r w:rsidRPr="00843214">
              <w:rPr>
                <w:color w:val="auto"/>
                <w:szCs w:val="20"/>
              </w:rPr>
              <w:t>Aid Quality Check (DFAT performance report)</w:t>
            </w:r>
          </w:p>
        </w:tc>
      </w:tr>
      <w:tr w:rsidR="00843214" w:rsidRPr="00843214" w14:paraId="01693603" w14:textId="77777777" w:rsidTr="00BE4CB2">
        <w:tc>
          <w:tcPr>
            <w:tcW w:w="1475" w:type="dxa"/>
          </w:tcPr>
          <w:p w14:paraId="5906D688" w14:textId="6DC24A43" w:rsidR="003D53EE" w:rsidRPr="00843214" w:rsidRDefault="003D53EE" w:rsidP="004C2F21">
            <w:pPr>
              <w:rPr>
                <w:color w:val="auto"/>
                <w:szCs w:val="20"/>
              </w:rPr>
            </w:pPr>
            <w:r w:rsidRPr="00843214">
              <w:rPr>
                <w:color w:val="auto"/>
                <w:szCs w:val="20"/>
              </w:rPr>
              <w:t>CEDAW</w:t>
            </w:r>
          </w:p>
        </w:tc>
        <w:tc>
          <w:tcPr>
            <w:tcW w:w="7531" w:type="dxa"/>
          </w:tcPr>
          <w:p w14:paraId="7660FA24" w14:textId="57B729EA" w:rsidR="003D53EE" w:rsidRPr="00843214" w:rsidRDefault="003D53EE" w:rsidP="004C2F21">
            <w:pPr>
              <w:rPr>
                <w:color w:val="auto"/>
                <w:szCs w:val="20"/>
              </w:rPr>
            </w:pPr>
            <w:r w:rsidRPr="00843214">
              <w:rPr>
                <w:color w:val="auto"/>
                <w:szCs w:val="20"/>
              </w:rPr>
              <w:t>Convention on the Elimination of all Forms of Discrimination against Women</w:t>
            </w:r>
          </w:p>
        </w:tc>
      </w:tr>
      <w:tr w:rsidR="00843214" w:rsidRPr="00843214" w14:paraId="5C91A3ED" w14:textId="77777777" w:rsidTr="00BE4CB2">
        <w:tc>
          <w:tcPr>
            <w:tcW w:w="1475" w:type="dxa"/>
          </w:tcPr>
          <w:p w14:paraId="51F08AFB" w14:textId="2C8CB30F" w:rsidR="003D53EE" w:rsidRPr="00843214" w:rsidRDefault="003D53EE" w:rsidP="004C2F21">
            <w:pPr>
              <w:rPr>
                <w:color w:val="auto"/>
                <w:szCs w:val="20"/>
              </w:rPr>
            </w:pPr>
            <w:r w:rsidRPr="00843214">
              <w:rPr>
                <w:color w:val="auto"/>
                <w:szCs w:val="20"/>
              </w:rPr>
              <w:t>CSO</w:t>
            </w:r>
          </w:p>
        </w:tc>
        <w:tc>
          <w:tcPr>
            <w:tcW w:w="7531" w:type="dxa"/>
          </w:tcPr>
          <w:p w14:paraId="14109E32" w14:textId="262B669A" w:rsidR="003D53EE" w:rsidRPr="00843214" w:rsidRDefault="003D53EE" w:rsidP="004C2F21">
            <w:pPr>
              <w:rPr>
                <w:color w:val="auto"/>
                <w:szCs w:val="20"/>
              </w:rPr>
            </w:pPr>
            <w:r w:rsidRPr="00843214">
              <w:rPr>
                <w:color w:val="auto"/>
                <w:szCs w:val="20"/>
              </w:rPr>
              <w:t>Civil Society Organisation</w:t>
            </w:r>
          </w:p>
        </w:tc>
      </w:tr>
      <w:tr w:rsidR="00843214" w:rsidRPr="00843214" w14:paraId="1E31E860" w14:textId="77777777" w:rsidTr="00BE4CB2">
        <w:tc>
          <w:tcPr>
            <w:tcW w:w="1475" w:type="dxa"/>
          </w:tcPr>
          <w:p w14:paraId="253421C7" w14:textId="2AEA6B3D" w:rsidR="00437C2B" w:rsidRPr="00843214" w:rsidRDefault="002724B5" w:rsidP="004C2F21">
            <w:pPr>
              <w:rPr>
                <w:color w:val="auto"/>
                <w:szCs w:val="20"/>
              </w:rPr>
            </w:pPr>
            <w:r w:rsidRPr="00843214">
              <w:rPr>
                <w:color w:val="auto"/>
                <w:szCs w:val="20"/>
              </w:rPr>
              <w:t>COVID-19</w:t>
            </w:r>
          </w:p>
        </w:tc>
        <w:tc>
          <w:tcPr>
            <w:tcW w:w="7531" w:type="dxa"/>
          </w:tcPr>
          <w:p w14:paraId="5C009A72" w14:textId="70D4120E" w:rsidR="00437C2B" w:rsidRPr="00843214" w:rsidRDefault="007A2FF4" w:rsidP="004C2F21">
            <w:pPr>
              <w:rPr>
                <w:color w:val="auto"/>
                <w:szCs w:val="20"/>
              </w:rPr>
            </w:pPr>
            <w:r w:rsidRPr="00843214">
              <w:rPr>
                <w:color w:val="auto"/>
                <w:szCs w:val="20"/>
              </w:rPr>
              <w:t>Novel Corona Virus Disease 2019</w:t>
            </w:r>
          </w:p>
        </w:tc>
      </w:tr>
      <w:tr w:rsidR="00843214" w:rsidRPr="00843214" w14:paraId="46737034" w14:textId="77777777" w:rsidTr="00BE4CB2">
        <w:tc>
          <w:tcPr>
            <w:tcW w:w="1475" w:type="dxa"/>
          </w:tcPr>
          <w:p w14:paraId="3B331973" w14:textId="5B76D067" w:rsidR="002D20B0" w:rsidRPr="00843214" w:rsidRDefault="002D20B0" w:rsidP="00F334C3">
            <w:pPr>
              <w:rPr>
                <w:color w:val="auto"/>
                <w:szCs w:val="20"/>
              </w:rPr>
            </w:pPr>
            <w:r w:rsidRPr="00843214">
              <w:rPr>
                <w:color w:val="auto"/>
                <w:szCs w:val="20"/>
              </w:rPr>
              <w:t>DFAT</w:t>
            </w:r>
          </w:p>
        </w:tc>
        <w:tc>
          <w:tcPr>
            <w:tcW w:w="7531" w:type="dxa"/>
          </w:tcPr>
          <w:p w14:paraId="326421DA" w14:textId="4EB2B4AF" w:rsidR="002D20B0" w:rsidRPr="00843214" w:rsidRDefault="002D20B0" w:rsidP="004C2F21">
            <w:pPr>
              <w:rPr>
                <w:color w:val="auto"/>
                <w:szCs w:val="20"/>
              </w:rPr>
            </w:pPr>
            <w:r w:rsidRPr="00843214">
              <w:rPr>
                <w:color w:val="auto"/>
                <w:szCs w:val="20"/>
              </w:rPr>
              <w:t>Australian Department of Foreign Affairs and Trade</w:t>
            </w:r>
          </w:p>
        </w:tc>
      </w:tr>
      <w:tr w:rsidR="00843214" w:rsidRPr="00843214" w14:paraId="7053CA93" w14:textId="77777777" w:rsidTr="00BE4CB2">
        <w:tc>
          <w:tcPr>
            <w:tcW w:w="1475" w:type="dxa"/>
          </w:tcPr>
          <w:p w14:paraId="1CDBE26F" w14:textId="41C00EF2" w:rsidR="00437C2B" w:rsidRPr="00843214" w:rsidRDefault="001F5E62" w:rsidP="00F334C3">
            <w:pPr>
              <w:rPr>
                <w:color w:val="auto"/>
                <w:szCs w:val="20"/>
              </w:rPr>
            </w:pPr>
            <w:r w:rsidRPr="00843214">
              <w:rPr>
                <w:color w:val="auto"/>
                <w:szCs w:val="20"/>
              </w:rPr>
              <w:t>DRR</w:t>
            </w:r>
          </w:p>
        </w:tc>
        <w:tc>
          <w:tcPr>
            <w:tcW w:w="7531" w:type="dxa"/>
          </w:tcPr>
          <w:p w14:paraId="3A8A8D19" w14:textId="0AE33577" w:rsidR="00437C2B" w:rsidRPr="00843214" w:rsidRDefault="00ED2C78" w:rsidP="004C2F21">
            <w:pPr>
              <w:rPr>
                <w:color w:val="auto"/>
                <w:szCs w:val="20"/>
              </w:rPr>
            </w:pPr>
            <w:r w:rsidRPr="00843214">
              <w:rPr>
                <w:color w:val="auto"/>
                <w:szCs w:val="20"/>
              </w:rPr>
              <w:t>Disaster risk reduction</w:t>
            </w:r>
          </w:p>
        </w:tc>
      </w:tr>
      <w:tr w:rsidR="00843214" w:rsidRPr="00843214" w14:paraId="561E0156" w14:textId="77777777" w:rsidTr="00BE4CB2">
        <w:tc>
          <w:tcPr>
            <w:tcW w:w="1475" w:type="dxa"/>
          </w:tcPr>
          <w:p w14:paraId="598F6914" w14:textId="0CEA0352" w:rsidR="00437C2B" w:rsidRPr="00843214" w:rsidRDefault="001F5E62" w:rsidP="00F334C3">
            <w:pPr>
              <w:rPr>
                <w:color w:val="auto"/>
                <w:szCs w:val="20"/>
              </w:rPr>
            </w:pPr>
            <w:r w:rsidRPr="00843214">
              <w:rPr>
                <w:color w:val="auto"/>
                <w:szCs w:val="20"/>
              </w:rPr>
              <w:t>EVAW</w:t>
            </w:r>
          </w:p>
        </w:tc>
        <w:tc>
          <w:tcPr>
            <w:tcW w:w="7531" w:type="dxa"/>
          </w:tcPr>
          <w:p w14:paraId="6DBF11E2" w14:textId="693AFA57" w:rsidR="00437C2B" w:rsidRPr="00843214" w:rsidRDefault="00ED2C78" w:rsidP="007E6DB2">
            <w:pPr>
              <w:rPr>
                <w:color w:val="auto"/>
                <w:szCs w:val="20"/>
              </w:rPr>
            </w:pPr>
            <w:r w:rsidRPr="00843214">
              <w:rPr>
                <w:color w:val="auto"/>
                <w:szCs w:val="20"/>
              </w:rPr>
              <w:t>Ending violence against women</w:t>
            </w:r>
          </w:p>
        </w:tc>
      </w:tr>
      <w:tr w:rsidR="00843214" w:rsidRPr="00843214" w14:paraId="1C29634F" w14:textId="77777777" w:rsidTr="00BE4CB2">
        <w:tc>
          <w:tcPr>
            <w:tcW w:w="1475" w:type="dxa"/>
          </w:tcPr>
          <w:p w14:paraId="0AC655F4" w14:textId="07B02E39" w:rsidR="00684400" w:rsidRPr="00843214" w:rsidRDefault="00684400" w:rsidP="00F334C3">
            <w:pPr>
              <w:rPr>
                <w:color w:val="auto"/>
                <w:szCs w:val="20"/>
              </w:rPr>
            </w:pPr>
            <w:r w:rsidRPr="00843214">
              <w:rPr>
                <w:color w:val="auto"/>
                <w:szCs w:val="20"/>
              </w:rPr>
              <w:t>EVAWG</w:t>
            </w:r>
          </w:p>
        </w:tc>
        <w:tc>
          <w:tcPr>
            <w:tcW w:w="7531" w:type="dxa"/>
          </w:tcPr>
          <w:p w14:paraId="75DC36A6" w14:textId="5B592C77" w:rsidR="00684400" w:rsidRPr="00843214" w:rsidRDefault="00ED2C78" w:rsidP="007E6DB2">
            <w:pPr>
              <w:rPr>
                <w:color w:val="auto"/>
                <w:szCs w:val="20"/>
              </w:rPr>
            </w:pPr>
            <w:r w:rsidRPr="00843214">
              <w:rPr>
                <w:color w:val="auto"/>
                <w:szCs w:val="20"/>
              </w:rPr>
              <w:t>Ending violence against women and girls</w:t>
            </w:r>
          </w:p>
        </w:tc>
      </w:tr>
      <w:tr w:rsidR="00843214" w:rsidRPr="00843214" w14:paraId="512EB8F1" w14:textId="77777777" w:rsidTr="00BE4CB2">
        <w:tc>
          <w:tcPr>
            <w:tcW w:w="1475" w:type="dxa"/>
          </w:tcPr>
          <w:p w14:paraId="4C05D40E" w14:textId="7F599A6C" w:rsidR="003D53EE" w:rsidRPr="00843214" w:rsidRDefault="003D53EE" w:rsidP="007E6DB2">
            <w:pPr>
              <w:rPr>
                <w:color w:val="auto"/>
                <w:szCs w:val="20"/>
              </w:rPr>
            </w:pPr>
            <w:r w:rsidRPr="00843214">
              <w:rPr>
                <w:color w:val="auto"/>
                <w:szCs w:val="20"/>
              </w:rPr>
              <w:t>FBO</w:t>
            </w:r>
          </w:p>
        </w:tc>
        <w:tc>
          <w:tcPr>
            <w:tcW w:w="7531" w:type="dxa"/>
          </w:tcPr>
          <w:p w14:paraId="16A4F3EE" w14:textId="11D58B98" w:rsidR="003D53EE" w:rsidRPr="00843214" w:rsidRDefault="003D53EE" w:rsidP="007E6DB2">
            <w:pPr>
              <w:rPr>
                <w:color w:val="auto"/>
                <w:szCs w:val="20"/>
              </w:rPr>
            </w:pPr>
            <w:r w:rsidRPr="00843214">
              <w:rPr>
                <w:color w:val="auto"/>
                <w:szCs w:val="20"/>
              </w:rPr>
              <w:t>Faith-based Organisation</w:t>
            </w:r>
          </w:p>
        </w:tc>
      </w:tr>
      <w:tr w:rsidR="00843214" w:rsidRPr="00843214" w14:paraId="1834ADA4" w14:textId="77777777" w:rsidTr="00BE4CB2">
        <w:tc>
          <w:tcPr>
            <w:tcW w:w="1475" w:type="dxa"/>
          </w:tcPr>
          <w:p w14:paraId="451AB49B" w14:textId="27C6B435" w:rsidR="00ED2C78" w:rsidRPr="00843214" w:rsidRDefault="00ED2C78" w:rsidP="007E6DB2">
            <w:pPr>
              <w:rPr>
                <w:color w:val="auto"/>
                <w:szCs w:val="20"/>
              </w:rPr>
            </w:pPr>
            <w:r w:rsidRPr="00843214">
              <w:rPr>
                <w:color w:val="auto"/>
                <w:szCs w:val="20"/>
              </w:rPr>
              <w:t>GBV</w:t>
            </w:r>
          </w:p>
        </w:tc>
        <w:tc>
          <w:tcPr>
            <w:tcW w:w="7531" w:type="dxa"/>
          </w:tcPr>
          <w:p w14:paraId="2C8F802B" w14:textId="0D6871E5" w:rsidR="00ED2C78" w:rsidRPr="00843214" w:rsidRDefault="00ED2C78" w:rsidP="007E6DB2">
            <w:pPr>
              <w:rPr>
                <w:color w:val="auto"/>
                <w:szCs w:val="20"/>
              </w:rPr>
            </w:pPr>
            <w:r w:rsidRPr="00843214">
              <w:rPr>
                <w:color w:val="auto"/>
                <w:szCs w:val="20"/>
              </w:rPr>
              <w:t>Gender-based violence</w:t>
            </w:r>
          </w:p>
        </w:tc>
      </w:tr>
      <w:tr w:rsidR="00843214" w:rsidRPr="00843214" w14:paraId="1CC98CF0" w14:textId="77777777" w:rsidTr="00BE4CB2">
        <w:tc>
          <w:tcPr>
            <w:tcW w:w="1475" w:type="dxa"/>
          </w:tcPr>
          <w:p w14:paraId="5826325B" w14:textId="2B5811D7" w:rsidR="00437C2B" w:rsidRPr="00843214" w:rsidRDefault="00B45E9C" w:rsidP="007E6DB2">
            <w:pPr>
              <w:rPr>
                <w:color w:val="auto"/>
                <w:szCs w:val="20"/>
              </w:rPr>
            </w:pPr>
            <w:r w:rsidRPr="00843214">
              <w:rPr>
                <w:color w:val="auto"/>
                <w:szCs w:val="20"/>
              </w:rPr>
              <w:t>GEWE</w:t>
            </w:r>
          </w:p>
        </w:tc>
        <w:tc>
          <w:tcPr>
            <w:tcW w:w="7531" w:type="dxa"/>
          </w:tcPr>
          <w:p w14:paraId="4C66BF66" w14:textId="7DC44221" w:rsidR="00437C2B" w:rsidRPr="00843214" w:rsidRDefault="00ED2C78" w:rsidP="00ED2C78">
            <w:pPr>
              <w:rPr>
                <w:color w:val="auto"/>
                <w:szCs w:val="20"/>
              </w:rPr>
            </w:pPr>
            <w:r w:rsidRPr="00843214">
              <w:rPr>
                <w:color w:val="auto"/>
                <w:szCs w:val="20"/>
              </w:rPr>
              <w:t>Gender equality and women’s empowerment</w:t>
            </w:r>
          </w:p>
        </w:tc>
      </w:tr>
      <w:tr w:rsidR="00843214" w:rsidRPr="00843214" w14:paraId="77742946" w14:textId="77777777" w:rsidTr="00BE4CB2">
        <w:tc>
          <w:tcPr>
            <w:tcW w:w="1475" w:type="dxa"/>
          </w:tcPr>
          <w:p w14:paraId="195D6FF2" w14:textId="0F451A2D" w:rsidR="00D110B0" w:rsidRPr="00843214" w:rsidRDefault="00D110B0" w:rsidP="00F334C3">
            <w:pPr>
              <w:rPr>
                <w:color w:val="auto"/>
                <w:szCs w:val="20"/>
              </w:rPr>
            </w:pPr>
            <w:r w:rsidRPr="00843214">
              <w:rPr>
                <w:color w:val="auto"/>
                <w:szCs w:val="20"/>
              </w:rPr>
              <w:t>HQ</w:t>
            </w:r>
          </w:p>
        </w:tc>
        <w:tc>
          <w:tcPr>
            <w:tcW w:w="7531" w:type="dxa"/>
          </w:tcPr>
          <w:p w14:paraId="309C4E4A" w14:textId="26F44F14" w:rsidR="00D110B0" w:rsidRPr="00843214" w:rsidRDefault="00D110B0" w:rsidP="007E6DB2">
            <w:pPr>
              <w:rPr>
                <w:color w:val="auto"/>
                <w:szCs w:val="20"/>
              </w:rPr>
            </w:pPr>
            <w:r w:rsidRPr="00843214">
              <w:rPr>
                <w:color w:val="auto"/>
                <w:szCs w:val="20"/>
              </w:rPr>
              <w:t>UN Women New York headquarters</w:t>
            </w:r>
          </w:p>
        </w:tc>
      </w:tr>
      <w:tr w:rsidR="00843214" w:rsidRPr="00843214" w14:paraId="552D072D" w14:textId="77777777" w:rsidTr="00BE4CB2">
        <w:tc>
          <w:tcPr>
            <w:tcW w:w="1475" w:type="dxa"/>
          </w:tcPr>
          <w:p w14:paraId="16EB1402" w14:textId="66347B6D" w:rsidR="00921C86" w:rsidRPr="00843214" w:rsidRDefault="00921C86" w:rsidP="007E6DB2">
            <w:pPr>
              <w:rPr>
                <w:color w:val="auto"/>
                <w:szCs w:val="20"/>
              </w:rPr>
            </w:pPr>
            <w:r w:rsidRPr="00843214">
              <w:rPr>
                <w:color w:val="auto"/>
                <w:szCs w:val="20"/>
              </w:rPr>
              <w:t>LGBTIQ</w:t>
            </w:r>
          </w:p>
        </w:tc>
        <w:tc>
          <w:tcPr>
            <w:tcW w:w="7531" w:type="dxa"/>
          </w:tcPr>
          <w:p w14:paraId="536B446E" w14:textId="46D59582" w:rsidR="00921C86" w:rsidRPr="00843214" w:rsidRDefault="00921C86" w:rsidP="007E6DB2">
            <w:pPr>
              <w:rPr>
                <w:color w:val="auto"/>
                <w:szCs w:val="20"/>
              </w:rPr>
            </w:pPr>
            <w:r w:rsidRPr="00843214">
              <w:rPr>
                <w:color w:val="auto"/>
                <w:szCs w:val="20"/>
              </w:rPr>
              <w:t>Lesbian, Gay, Bisexual, Transexual, Intersex and Queer</w:t>
            </w:r>
          </w:p>
        </w:tc>
      </w:tr>
      <w:tr w:rsidR="00843214" w:rsidRPr="00843214" w14:paraId="2B797A90" w14:textId="77777777" w:rsidTr="00BE4CB2">
        <w:tc>
          <w:tcPr>
            <w:tcW w:w="1475" w:type="dxa"/>
          </w:tcPr>
          <w:p w14:paraId="4F0F1F41" w14:textId="7BA28493" w:rsidR="00C32303" w:rsidRPr="00843214" w:rsidRDefault="00C32303" w:rsidP="007E6DB2">
            <w:pPr>
              <w:rPr>
                <w:color w:val="auto"/>
                <w:szCs w:val="20"/>
              </w:rPr>
            </w:pPr>
            <w:r w:rsidRPr="00843214">
              <w:rPr>
                <w:color w:val="auto"/>
                <w:szCs w:val="20"/>
              </w:rPr>
              <w:t>ILO</w:t>
            </w:r>
          </w:p>
        </w:tc>
        <w:tc>
          <w:tcPr>
            <w:tcW w:w="7531" w:type="dxa"/>
          </w:tcPr>
          <w:p w14:paraId="122EE0F9" w14:textId="297E152E" w:rsidR="00C32303" w:rsidRPr="00843214" w:rsidRDefault="00C32303" w:rsidP="007E6DB2">
            <w:pPr>
              <w:rPr>
                <w:color w:val="auto"/>
                <w:szCs w:val="20"/>
              </w:rPr>
            </w:pPr>
            <w:r w:rsidRPr="00843214">
              <w:rPr>
                <w:color w:val="auto"/>
                <w:szCs w:val="20"/>
              </w:rPr>
              <w:t xml:space="preserve">International Labour Organisation </w:t>
            </w:r>
          </w:p>
        </w:tc>
      </w:tr>
      <w:tr w:rsidR="00843214" w:rsidRPr="00843214" w14:paraId="6A64EA6A" w14:textId="77777777" w:rsidTr="00BE4CB2">
        <w:tc>
          <w:tcPr>
            <w:tcW w:w="1475" w:type="dxa"/>
          </w:tcPr>
          <w:p w14:paraId="5CEB304A" w14:textId="0908DE5B" w:rsidR="00C32303" w:rsidRPr="00843214" w:rsidRDefault="00C32303" w:rsidP="007E6DB2">
            <w:pPr>
              <w:rPr>
                <w:color w:val="auto"/>
                <w:szCs w:val="20"/>
              </w:rPr>
            </w:pPr>
            <w:r w:rsidRPr="00843214">
              <w:rPr>
                <w:color w:val="auto"/>
                <w:szCs w:val="20"/>
              </w:rPr>
              <w:t>IOM</w:t>
            </w:r>
          </w:p>
        </w:tc>
        <w:tc>
          <w:tcPr>
            <w:tcW w:w="7531" w:type="dxa"/>
          </w:tcPr>
          <w:p w14:paraId="45A87387" w14:textId="73B3BD1B" w:rsidR="00C32303" w:rsidRPr="00843214" w:rsidRDefault="00C32303" w:rsidP="007E6DB2">
            <w:pPr>
              <w:rPr>
                <w:color w:val="auto"/>
                <w:szCs w:val="20"/>
              </w:rPr>
            </w:pPr>
            <w:r w:rsidRPr="00843214">
              <w:rPr>
                <w:color w:val="auto"/>
                <w:szCs w:val="20"/>
              </w:rPr>
              <w:t>International Organisation for Migration</w:t>
            </w:r>
          </w:p>
        </w:tc>
      </w:tr>
      <w:tr w:rsidR="00843214" w:rsidRPr="00843214" w14:paraId="12EC4B4F" w14:textId="77777777" w:rsidTr="00BE4CB2">
        <w:tc>
          <w:tcPr>
            <w:tcW w:w="1475" w:type="dxa"/>
          </w:tcPr>
          <w:p w14:paraId="12002B82" w14:textId="77E05E0C" w:rsidR="00437C2B" w:rsidRPr="00843214" w:rsidRDefault="008B5A4A" w:rsidP="007E6DB2">
            <w:pPr>
              <w:rPr>
                <w:color w:val="auto"/>
                <w:szCs w:val="20"/>
              </w:rPr>
            </w:pPr>
            <w:r w:rsidRPr="00843214">
              <w:rPr>
                <w:color w:val="auto"/>
                <w:szCs w:val="20"/>
              </w:rPr>
              <w:t>MCO</w:t>
            </w:r>
          </w:p>
        </w:tc>
        <w:tc>
          <w:tcPr>
            <w:tcW w:w="7531" w:type="dxa"/>
          </w:tcPr>
          <w:p w14:paraId="2B91C982" w14:textId="7BB112BE" w:rsidR="00437C2B" w:rsidRPr="00843214" w:rsidRDefault="008B5A4A" w:rsidP="007E6DB2">
            <w:pPr>
              <w:rPr>
                <w:color w:val="auto"/>
                <w:szCs w:val="20"/>
              </w:rPr>
            </w:pPr>
            <w:r w:rsidRPr="00843214">
              <w:rPr>
                <w:color w:val="auto"/>
                <w:szCs w:val="20"/>
              </w:rPr>
              <w:t>Multi-Country Office</w:t>
            </w:r>
          </w:p>
        </w:tc>
      </w:tr>
      <w:tr w:rsidR="00843214" w:rsidRPr="00843214" w14:paraId="3F2538F3" w14:textId="77777777" w:rsidTr="00BE4CB2">
        <w:tc>
          <w:tcPr>
            <w:tcW w:w="1475" w:type="dxa"/>
          </w:tcPr>
          <w:p w14:paraId="48BE1F50" w14:textId="2253CDB5" w:rsidR="003D53EE" w:rsidRPr="00843214" w:rsidRDefault="003D53EE" w:rsidP="001F5E62">
            <w:pPr>
              <w:rPr>
                <w:color w:val="auto"/>
                <w:szCs w:val="20"/>
              </w:rPr>
            </w:pPr>
            <w:r w:rsidRPr="00843214">
              <w:rPr>
                <w:color w:val="auto"/>
                <w:szCs w:val="20"/>
              </w:rPr>
              <w:t>NGO</w:t>
            </w:r>
          </w:p>
        </w:tc>
        <w:tc>
          <w:tcPr>
            <w:tcW w:w="7531" w:type="dxa"/>
          </w:tcPr>
          <w:p w14:paraId="40C420A5" w14:textId="6649E7C7" w:rsidR="003D53EE" w:rsidRPr="00843214" w:rsidRDefault="003D53EE" w:rsidP="001F5E62">
            <w:pPr>
              <w:rPr>
                <w:color w:val="auto"/>
                <w:szCs w:val="20"/>
              </w:rPr>
            </w:pPr>
            <w:r w:rsidRPr="00843214">
              <w:rPr>
                <w:color w:val="auto"/>
                <w:szCs w:val="20"/>
              </w:rPr>
              <w:t>Non-governmental Organisation</w:t>
            </w:r>
          </w:p>
        </w:tc>
      </w:tr>
      <w:tr w:rsidR="00843214" w:rsidRPr="00843214" w14:paraId="0E9B436B" w14:textId="77777777" w:rsidTr="00BE4CB2">
        <w:tc>
          <w:tcPr>
            <w:tcW w:w="1475" w:type="dxa"/>
          </w:tcPr>
          <w:p w14:paraId="2844AA30" w14:textId="06E9C5E9" w:rsidR="00C32303" w:rsidRPr="00843214" w:rsidRDefault="00C32303" w:rsidP="001F5E62">
            <w:pPr>
              <w:rPr>
                <w:color w:val="auto"/>
                <w:szCs w:val="20"/>
              </w:rPr>
            </w:pPr>
            <w:r w:rsidRPr="00843214">
              <w:rPr>
                <w:color w:val="auto"/>
              </w:rPr>
              <w:t>OC</w:t>
            </w:r>
            <w:r w:rsidR="6D2429E4" w:rsidRPr="00843214">
              <w:rPr>
                <w:color w:val="auto"/>
              </w:rPr>
              <w:t>H</w:t>
            </w:r>
            <w:r w:rsidRPr="00843214">
              <w:rPr>
                <w:color w:val="auto"/>
              </w:rPr>
              <w:t>A</w:t>
            </w:r>
          </w:p>
        </w:tc>
        <w:tc>
          <w:tcPr>
            <w:tcW w:w="7531" w:type="dxa"/>
          </w:tcPr>
          <w:p w14:paraId="6D41C123" w14:textId="5246A587" w:rsidR="00C32303" w:rsidRPr="00843214" w:rsidRDefault="00C32303" w:rsidP="001F5E62">
            <w:pPr>
              <w:rPr>
                <w:color w:val="auto"/>
                <w:szCs w:val="20"/>
              </w:rPr>
            </w:pPr>
            <w:r w:rsidRPr="00843214">
              <w:rPr>
                <w:color w:val="auto"/>
                <w:szCs w:val="20"/>
              </w:rPr>
              <w:t>United Nations Office for the Coordination of Humanitarian Affairs</w:t>
            </w:r>
          </w:p>
        </w:tc>
      </w:tr>
      <w:tr w:rsidR="00843214" w:rsidRPr="00843214" w14:paraId="38670289" w14:textId="77777777" w:rsidTr="00BE4CB2">
        <w:tc>
          <w:tcPr>
            <w:tcW w:w="1475" w:type="dxa"/>
          </w:tcPr>
          <w:p w14:paraId="5577DB6A" w14:textId="2E28DF6B" w:rsidR="00BC4554" w:rsidRPr="00843214" w:rsidRDefault="00BC4554" w:rsidP="001F5E62">
            <w:pPr>
              <w:rPr>
                <w:color w:val="auto"/>
                <w:szCs w:val="20"/>
              </w:rPr>
            </w:pPr>
            <w:r w:rsidRPr="00843214">
              <w:rPr>
                <w:color w:val="auto"/>
                <w:szCs w:val="20"/>
              </w:rPr>
              <w:t>PNG</w:t>
            </w:r>
          </w:p>
        </w:tc>
        <w:tc>
          <w:tcPr>
            <w:tcW w:w="7531" w:type="dxa"/>
          </w:tcPr>
          <w:p w14:paraId="72296079" w14:textId="56647DD9" w:rsidR="00BC4554" w:rsidRPr="00843214" w:rsidRDefault="00BC4554" w:rsidP="001F5E62">
            <w:pPr>
              <w:rPr>
                <w:color w:val="auto"/>
                <w:szCs w:val="20"/>
              </w:rPr>
            </w:pPr>
            <w:r w:rsidRPr="00843214">
              <w:rPr>
                <w:color w:val="auto"/>
                <w:szCs w:val="20"/>
              </w:rPr>
              <w:t xml:space="preserve">Papua New </w:t>
            </w:r>
            <w:r w:rsidR="007969BD" w:rsidRPr="00843214">
              <w:rPr>
                <w:color w:val="auto"/>
                <w:szCs w:val="20"/>
              </w:rPr>
              <w:t>Guinea</w:t>
            </w:r>
          </w:p>
        </w:tc>
      </w:tr>
      <w:tr w:rsidR="00843214" w:rsidRPr="00843214" w14:paraId="18BA1FE5" w14:textId="77777777" w:rsidTr="00BE4CB2">
        <w:tc>
          <w:tcPr>
            <w:tcW w:w="1475" w:type="dxa"/>
          </w:tcPr>
          <w:p w14:paraId="30AA0DEC" w14:textId="588396E8" w:rsidR="00E61CF1" w:rsidRPr="00843214" w:rsidRDefault="00E61CF1" w:rsidP="001F5E62">
            <w:pPr>
              <w:rPr>
                <w:color w:val="auto"/>
                <w:szCs w:val="20"/>
              </w:rPr>
            </w:pPr>
            <w:r w:rsidRPr="00843214">
              <w:rPr>
                <w:color w:val="auto"/>
                <w:szCs w:val="20"/>
              </w:rPr>
              <w:t>PPA</w:t>
            </w:r>
          </w:p>
        </w:tc>
        <w:tc>
          <w:tcPr>
            <w:tcW w:w="7531" w:type="dxa"/>
          </w:tcPr>
          <w:p w14:paraId="06E4F5E6" w14:textId="1F009D7E" w:rsidR="00E61CF1" w:rsidRPr="00843214" w:rsidRDefault="00E61CF1" w:rsidP="001F5E62">
            <w:pPr>
              <w:rPr>
                <w:color w:val="auto"/>
                <w:szCs w:val="20"/>
              </w:rPr>
            </w:pPr>
            <w:r w:rsidRPr="00843214">
              <w:rPr>
                <w:color w:val="auto"/>
                <w:szCs w:val="20"/>
              </w:rPr>
              <w:t>Partner Performance Assessment (DFAT performance report)</w:t>
            </w:r>
          </w:p>
        </w:tc>
      </w:tr>
      <w:tr w:rsidR="00843214" w:rsidRPr="00843214" w14:paraId="375853FC" w14:textId="77777777" w:rsidTr="00BE4CB2">
        <w:tc>
          <w:tcPr>
            <w:tcW w:w="1475" w:type="dxa"/>
          </w:tcPr>
          <w:p w14:paraId="21AF079C" w14:textId="22A9D47D" w:rsidR="00C32303" w:rsidRPr="00843214" w:rsidRDefault="00C32303" w:rsidP="001F5E62">
            <w:pPr>
              <w:rPr>
                <w:color w:val="auto"/>
                <w:szCs w:val="20"/>
              </w:rPr>
            </w:pPr>
            <w:r w:rsidRPr="00843214">
              <w:rPr>
                <w:color w:val="auto"/>
                <w:szCs w:val="20"/>
              </w:rPr>
              <w:t>RBM</w:t>
            </w:r>
          </w:p>
        </w:tc>
        <w:tc>
          <w:tcPr>
            <w:tcW w:w="7531" w:type="dxa"/>
          </w:tcPr>
          <w:p w14:paraId="52C3A9DD" w14:textId="5657DF32" w:rsidR="00C32303" w:rsidRPr="00843214" w:rsidRDefault="00C32303" w:rsidP="001F5E62">
            <w:pPr>
              <w:rPr>
                <w:color w:val="auto"/>
                <w:szCs w:val="20"/>
              </w:rPr>
            </w:pPr>
            <w:r w:rsidRPr="00843214">
              <w:rPr>
                <w:color w:val="auto"/>
                <w:szCs w:val="20"/>
              </w:rPr>
              <w:t>Results-based Management</w:t>
            </w:r>
          </w:p>
        </w:tc>
      </w:tr>
      <w:tr w:rsidR="00843214" w:rsidRPr="00843214" w14:paraId="418250A5" w14:textId="77777777" w:rsidTr="00BE4CB2">
        <w:tc>
          <w:tcPr>
            <w:tcW w:w="1475" w:type="dxa"/>
          </w:tcPr>
          <w:p w14:paraId="7647B7F7" w14:textId="76E2419B" w:rsidR="001F5E62" w:rsidRPr="00843214" w:rsidRDefault="001F5E62" w:rsidP="001F5E62">
            <w:pPr>
              <w:rPr>
                <w:color w:val="auto"/>
                <w:szCs w:val="20"/>
              </w:rPr>
            </w:pPr>
            <w:r w:rsidRPr="00843214">
              <w:rPr>
                <w:color w:val="auto"/>
                <w:szCs w:val="20"/>
              </w:rPr>
              <w:t>SDG</w:t>
            </w:r>
          </w:p>
        </w:tc>
        <w:tc>
          <w:tcPr>
            <w:tcW w:w="7531" w:type="dxa"/>
          </w:tcPr>
          <w:p w14:paraId="38697A37" w14:textId="402340EC" w:rsidR="001F5E62" w:rsidRPr="00843214" w:rsidRDefault="006923FD" w:rsidP="001F5E62">
            <w:pPr>
              <w:rPr>
                <w:color w:val="auto"/>
                <w:szCs w:val="20"/>
              </w:rPr>
            </w:pPr>
            <w:r w:rsidRPr="00843214">
              <w:rPr>
                <w:color w:val="auto"/>
                <w:szCs w:val="20"/>
              </w:rPr>
              <w:t>Sustainable Development Goal</w:t>
            </w:r>
          </w:p>
        </w:tc>
      </w:tr>
      <w:tr w:rsidR="00843214" w:rsidRPr="00843214" w14:paraId="52D7133E" w14:textId="77777777" w:rsidTr="00BE4CB2">
        <w:tc>
          <w:tcPr>
            <w:tcW w:w="1475" w:type="dxa"/>
          </w:tcPr>
          <w:p w14:paraId="64E330D2" w14:textId="3AFE507E" w:rsidR="002B3B4B" w:rsidRPr="00843214" w:rsidRDefault="002B3B4B" w:rsidP="001F5E62">
            <w:pPr>
              <w:rPr>
                <w:color w:val="auto"/>
                <w:szCs w:val="20"/>
              </w:rPr>
            </w:pPr>
            <w:r w:rsidRPr="00843214">
              <w:rPr>
                <w:color w:val="auto"/>
                <w:szCs w:val="20"/>
              </w:rPr>
              <w:t>SG</w:t>
            </w:r>
          </w:p>
        </w:tc>
        <w:tc>
          <w:tcPr>
            <w:tcW w:w="7531" w:type="dxa"/>
          </w:tcPr>
          <w:p w14:paraId="7AD4DAB4" w14:textId="49983A96" w:rsidR="002B3B4B" w:rsidRPr="00843214" w:rsidRDefault="002B3B4B" w:rsidP="001F5E62">
            <w:pPr>
              <w:rPr>
                <w:color w:val="auto"/>
                <w:szCs w:val="20"/>
              </w:rPr>
            </w:pPr>
            <w:r w:rsidRPr="00843214">
              <w:rPr>
                <w:color w:val="auto"/>
                <w:szCs w:val="20"/>
              </w:rPr>
              <w:t>Secretary</w:t>
            </w:r>
            <w:r w:rsidR="72593E44" w:rsidRPr="00843214">
              <w:rPr>
                <w:color w:val="auto"/>
              </w:rPr>
              <w:t>-</w:t>
            </w:r>
            <w:r w:rsidRPr="00843214">
              <w:rPr>
                <w:color w:val="auto"/>
                <w:szCs w:val="20"/>
              </w:rPr>
              <w:t>General of the United Nations</w:t>
            </w:r>
          </w:p>
        </w:tc>
      </w:tr>
      <w:tr w:rsidR="00843214" w:rsidRPr="00843214" w14:paraId="137C8494" w14:textId="77777777" w:rsidTr="00BE4CB2">
        <w:tc>
          <w:tcPr>
            <w:tcW w:w="1475" w:type="dxa"/>
          </w:tcPr>
          <w:p w14:paraId="78F8EC54" w14:textId="50D5668A" w:rsidR="00C32303" w:rsidRPr="00843214" w:rsidRDefault="00C32303" w:rsidP="00F334C3">
            <w:pPr>
              <w:rPr>
                <w:color w:val="auto"/>
                <w:szCs w:val="20"/>
              </w:rPr>
            </w:pPr>
            <w:r w:rsidRPr="00843214">
              <w:rPr>
                <w:color w:val="auto"/>
                <w:szCs w:val="20"/>
              </w:rPr>
              <w:t>SPF</w:t>
            </w:r>
          </w:p>
        </w:tc>
        <w:tc>
          <w:tcPr>
            <w:tcW w:w="7531" w:type="dxa"/>
          </w:tcPr>
          <w:p w14:paraId="008F45FC" w14:textId="74DCE13E" w:rsidR="00C32303" w:rsidRPr="00843214" w:rsidRDefault="00C32303" w:rsidP="001F5E62">
            <w:pPr>
              <w:rPr>
                <w:color w:val="auto"/>
                <w:szCs w:val="20"/>
              </w:rPr>
            </w:pPr>
            <w:r w:rsidRPr="00843214">
              <w:rPr>
                <w:color w:val="auto"/>
                <w:szCs w:val="20"/>
              </w:rPr>
              <w:t>Strategic Partnership Framework</w:t>
            </w:r>
          </w:p>
        </w:tc>
      </w:tr>
      <w:tr w:rsidR="00843214" w:rsidRPr="00843214" w14:paraId="65D9F797" w14:textId="77777777" w:rsidTr="00BE4CB2">
        <w:tc>
          <w:tcPr>
            <w:tcW w:w="1475" w:type="dxa"/>
          </w:tcPr>
          <w:p w14:paraId="6F77B695" w14:textId="7B14411E" w:rsidR="00F334C3" w:rsidRPr="00843214" w:rsidRDefault="00F334C3" w:rsidP="00F334C3">
            <w:pPr>
              <w:rPr>
                <w:color w:val="auto"/>
                <w:szCs w:val="20"/>
              </w:rPr>
            </w:pPr>
            <w:r w:rsidRPr="00843214">
              <w:rPr>
                <w:color w:val="auto"/>
                <w:szCs w:val="20"/>
              </w:rPr>
              <w:t>UN</w:t>
            </w:r>
          </w:p>
        </w:tc>
        <w:tc>
          <w:tcPr>
            <w:tcW w:w="7531" w:type="dxa"/>
          </w:tcPr>
          <w:p w14:paraId="5EA472EE" w14:textId="60939170" w:rsidR="00F334C3" w:rsidRPr="00843214" w:rsidRDefault="007A2FF4" w:rsidP="001F5E62">
            <w:pPr>
              <w:rPr>
                <w:color w:val="auto"/>
                <w:szCs w:val="20"/>
              </w:rPr>
            </w:pPr>
            <w:r w:rsidRPr="00843214">
              <w:rPr>
                <w:color w:val="auto"/>
                <w:szCs w:val="20"/>
              </w:rPr>
              <w:t>United Nations</w:t>
            </w:r>
          </w:p>
        </w:tc>
      </w:tr>
      <w:tr w:rsidR="00843214" w:rsidRPr="00843214" w14:paraId="5836C44E" w14:textId="77777777" w:rsidTr="00BE4CB2">
        <w:tc>
          <w:tcPr>
            <w:tcW w:w="1475" w:type="dxa"/>
          </w:tcPr>
          <w:p w14:paraId="57144D78" w14:textId="503615A6" w:rsidR="00C32303" w:rsidRPr="00843214" w:rsidRDefault="00C32303" w:rsidP="00F334C3">
            <w:pPr>
              <w:rPr>
                <w:color w:val="auto"/>
                <w:szCs w:val="20"/>
              </w:rPr>
            </w:pPr>
            <w:r w:rsidRPr="00843214">
              <w:rPr>
                <w:color w:val="auto"/>
                <w:szCs w:val="20"/>
              </w:rPr>
              <w:t>UNDP</w:t>
            </w:r>
          </w:p>
        </w:tc>
        <w:tc>
          <w:tcPr>
            <w:tcW w:w="7531" w:type="dxa"/>
          </w:tcPr>
          <w:p w14:paraId="40ECD1BB" w14:textId="66C84524" w:rsidR="00C32303" w:rsidRPr="00843214" w:rsidRDefault="00C32303" w:rsidP="001F5E62">
            <w:pPr>
              <w:rPr>
                <w:color w:val="auto"/>
                <w:szCs w:val="20"/>
              </w:rPr>
            </w:pPr>
            <w:r w:rsidRPr="00843214">
              <w:rPr>
                <w:color w:val="auto"/>
                <w:szCs w:val="20"/>
              </w:rPr>
              <w:t xml:space="preserve">United Nations Development </w:t>
            </w:r>
            <w:r w:rsidRPr="00843214">
              <w:rPr>
                <w:color w:val="auto"/>
              </w:rPr>
              <w:t>Program</w:t>
            </w:r>
            <w:r w:rsidR="087EF680" w:rsidRPr="00843214">
              <w:rPr>
                <w:color w:val="auto"/>
              </w:rPr>
              <w:t>me</w:t>
            </w:r>
          </w:p>
        </w:tc>
      </w:tr>
      <w:tr w:rsidR="00843214" w:rsidRPr="00843214" w14:paraId="035A324C" w14:textId="77777777" w:rsidTr="00BE4CB2">
        <w:tc>
          <w:tcPr>
            <w:tcW w:w="1475" w:type="dxa"/>
          </w:tcPr>
          <w:p w14:paraId="5F952798" w14:textId="163DCE46" w:rsidR="00C32303" w:rsidRPr="00843214" w:rsidRDefault="00C32303" w:rsidP="00F334C3">
            <w:pPr>
              <w:rPr>
                <w:color w:val="auto"/>
                <w:szCs w:val="20"/>
              </w:rPr>
            </w:pPr>
            <w:r w:rsidRPr="00843214">
              <w:rPr>
                <w:color w:val="auto"/>
                <w:szCs w:val="20"/>
              </w:rPr>
              <w:t>UNDRR</w:t>
            </w:r>
          </w:p>
        </w:tc>
        <w:tc>
          <w:tcPr>
            <w:tcW w:w="7531" w:type="dxa"/>
          </w:tcPr>
          <w:p w14:paraId="781CC90F" w14:textId="4E8B167C" w:rsidR="00C32303" w:rsidRPr="00843214" w:rsidRDefault="00C32303" w:rsidP="001F5E62">
            <w:pPr>
              <w:rPr>
                <w:color w:val="auto"/>
                <w:szCs w:val="20"/>
              </w:rPr>
            </w:pPr>
            <w:r w:rsidRPr="00843214">
              <w:rPr>
                <w:color w:val="auto"/>
                <w:szCs w:val="20"/>
              </w:rPr>
              <w:t>United Nations Office for Disaster Risk Reduction</w:t>
            </w:r>
          </w:p>
        </w:tc>
      </w:tr>
      <w:tr w:rsidR="00843214" w:rsidRPr="00843214" w14:paraId="317CAF21" w14:textId="77777777" w:rsidTr="00BE4CB2">
        <w:tc>
          <w:tcPr>
            <w:tcW w:w="1475" w:type="dxa"/>
          </w:tcPr>
          <w:p w14:paraId="29ECDEAF" w14:textId="3D779492" w:rsidR="00F334C3" w:rsidRPr="00843214" w:rsidRDefault="00F334C3" w:rsidP="00F334C3">
            <w:pPr>
              <w:rPr>
                <w:color w:val="auto"/>
                <w:szCs w:val="20"/>
              </w:rPr>
            </w:pPr>
            <w:r w:rsidRPr="00843214">
              <w:rPr>
                <w:color w:val="auto"/>
                <w:szCs w:val="20"/>
              </w:rPr>
              <w:t>UNDS</w:t>
            </w:r>
          </w:p>
        </w:tc>
        <w:tc>
          <w:tcPr>
            <w:tcW w:w="7531" w:type="dxa"/>
          </w:tcPr>
          <w:p w14:paraId="7F27B5F7" w14:textId="5A5173A1" w:rsidR="00F334C3" w:rsidRPr="00843214" w:rsidRDefault="00F334C3" w:rsidP="001F5E62">
            <w:pPr>
              <w:rPr>
                <w:color w:val="auto"/>
                <w:szCs w:val="20"/>
              </w:rPr>
            </w:pPr>
            <w:r w:rsidRPr="00843214">
              <w:rPr>
                <w:color w:val="auto"/>
                <w:szCs w:val="20"/>
              </w:rPr>
              <w:t>United Nations Development System</w:t>
            </w:r>
          </w:p>
        </w:tc>
      </w:tr>
      <w:tr w:rsidR="00843214" w:rsidRPr="00843214" w14:paraId="4A99C0A9" w14:textId="77777777" w:rsidTr="00BE4CB2">
        <w:tc>
          <w:tcPr>
            <w:tcW w:w="1475" w:type="dxa"/>
          </w:tcPr>
          <w:p w14:paraId="5D30D524" w14:textId="1DB283A9" w:rsidR="00D44E73" w:rsidRPr="00843214" w:rsidRDefault="00D44E73" w:rsidP="00F334C3">
            <w:pPr>
              <w:rPr>
                <w:color w:val="auto"/>
                <w:szCs w:val="20"/>
              </w:rPr>
            </w:pPr>
            <w:r w:rsidRPr="00843214">
              <w:rPr>
                <w:color w:val="auto"/>
                <w:szCs w:val="20"/>
              </w:rPr>
              <w:t>UNFPA</w:t>
            </w:r>
          </w:p>
        </w:tc>
        <w:tc>
          <w:tcPr>
            <w:tcW w:w="7531" w:type="dxa"/>
          </w:tcPr>
          <w:p w14:paraId="356DA683" w14:textId="641700C1" w:rsidR="00D44E73" w:rsidRPr="00843214" w:rsidRDefault="00D44E73" w:rsidP="001F5E62">
            <w:pPr>
              <w:rPr>
                <w:color w:val="auto"/>
                <w:szCs w:val="20"/>
              </w:rPr>
            </w:pPr>
            <w:r w:rsidRPr="00843214">
              <w:rPr>
                <w:color w:val="auto"/>
                <w:szCs w:val="20"/>
              </w:rPr>
              <w:t>United Nations Population Fund</w:t>
            </w:r>
          </w:p>
        </w:tc>
      </w:tr>
      <w:tr w:rsidR="00843214" w:rsidRPr="00843214" w14:paraId="49D2507A" w14:textId="77777777" w:rsidTr="00BE4CB2">
        <w:tc>
          <w:tcPr>
            <w:tcW w:w="1475" w:type="dxa"/>
          </w:tcPr>
          <w:p w14:paraId="44678051" w14:textId="713B83E2" w:rsidR="00D44E73" w:rsidRPr="00843214" w:rsidRDefault="00D44E73" w:rsidP="00F334C3">
            <w:pPr>
              <w:rPr>
                <w:color w:val="auto"/>
                <w:szCs w:val="20"/>
              </w:rPr>
            </w:pPr>
            <w:r w:rsidRPr="00843214">
              <w:rPr>
                <w:color w:val="auto"/>
                <w:szCs w:val="20"/>
              </w:rPr>
              <w:t>UNHCR</w:t>
            </w:r>
          </w:p>
        </w:tc>
        <w:tc>
          <w:tcPr>
            <w:tcW w:w="7531" w:type="dxa"/>
          </w:tcPr>
          <w:p w14:paraId="51B28CD9" w14:textId="4C3F8C09" w:rsidR="00D44E73" w:rsidRPr="00843214" w:rsidRDefault="00D44E73" w:rsidP="001F5E62">
            <w:pPr>
              <w:rPr>
                <w:color w:val="auto"/>
                <w:szCs w:val="20"/>
              </w:rPr>
            </w:pPr>
            <w:r w:rsidRPr="00843214">
              <w:rPr>
                <w:color w:val="auto"/>
                <w:szCs w:val="20"/>
              </w:rPr>
              <w:t>United Nations High Commissioner for Refugees</w:t>
            </w:r>
          </w:p>
        </w:tc>
      </w:tr>
      <w:tr w:rsidR="00843214" w:rsidRPr="00843214" w14:paraId="2786EC0E" w14:textId="77777777" w:rsidTr="00BE4CB2">
        <w:tc>
          <w:tcPr>
            <w:tcW w:w="1475" w:type="dxa"/>
          </w:tcPr>
          <w:p w14:paraId="4E561BB6" w14:textId="388B7EC4" w:rsidR="00D44E73" w:rsidRPr="00843214" w:rsidRDefault="00D44E73" w:rsidP="00F334C3">
            <w:pPr>
              <w:rPr>
                <w:color w:val="auto"/>
                <w:szCs w:val="20"/>
              </w:rPr>
            </w:pPr>
            <w:r w:rsidRPr="00843214">
              <w:rPr>
                <w:color w:val="auto"/>
                <w:szCs w:val="20"/>
              </w:rPr>
              <w:t>UNICEF</w:t>
            </w:r>
          </w:p>
        </w:tc>
        <w:tc>
          <w:tcPr>
            <w:tcW w:w="7531" w:type="dxa"/>
          </w:tcPr>
          <w:p w14:paraId="5871F9BF" w14:textId="4C6CCCAD" w:rsidR="00D44E73" w:rsidRPr="00843214" w:rsidRDefault="00D44E73" w:rsidP="001F5E62">
            <w:pPr>
              <w:rPr>
                <w:color w:val="auto"/>
                <w:szCs w:val="20"/>
              </w:rPr>
            </w:pPr>
            <w:r w:rsidRPr="00843214">
              <w:rPr>
                <w:color w:val="auto"/>
                <w:szCs w:val="20"/>
              </w:rPr>
              <w:t>United Nations Children's Fund</w:t>
            </w:r>
          </w:p>
        </w:tc>
      </w:tr>
      <w:tr w:rsidR="00843214" w:rsidRPr="00843214" w14:paraId="2EACC169" w14:textId="77777777" w:rsidTr="00BE4CB2">
        <w:tc>
          <w:tcPr>
            <w:tcW w:w="1475" w:type="dxa"/>
          </w:tcPr>
          <w:p w14:paraId="498897E3" w14:textId="702806B7" w:rsidR="00D44E73" w:rsidRPr="00843214" w:rsidRDefault="00D44E73" w:rsidP="00F334C3">
            <w:pPr>
              <w:rPr>
                <w:color w:val="auto"/>
                <w:szCs w:val="20"/>
              </w:rPr>
            </w:pPr>
            <w:r w:rsidRPr="00843214">
              <w:rPr>
                <w:color w:val="auto"/>
                <w:szCs w:val="20"/>
              </w:rPr>
              <w:t>UNODC</w:t>
            </w:r>
          </w:p>
        </w:tc>
        <w:tc>
          <w:tcPr>
            <w:tcW w:w="7531" w:type="dxa"/>
          </w:tcPr>
          <w:p w14:paraId="1837C5D2" w14:textId="3632809B" w:rsidR="00D44E73" w:rsidRPr="00843214" w:rsidRDefault="00D44E73" w:rsidP="001F5E62">
            <w:pPr>
              <w:rPr>
                <w:color w:val="auto"/>
                <w:szCs w:val="20"/>
              </w:rPr>
            </w:pPr>
            <w:r w:rsidRPr="00843214">
              <w:rPr>
                <w:color w:val="auto"/>
                <w:szCs w:val="20"/>
              </w:rPr>
              <w:t xml:space="preserve">United Nations Office on Drugs and </w:t>
            </w:r>
            <w:r w:rsidRPr="00843214">
              <w:rPr>
                <w:color w:val="auto"/>
              </w:rPr>
              <w:t>Crim</w:t>
            </w:r>
            <w:r w:rsidR="4A1C251E" w:rsidRPr="00843214">
              <w:rPr>
                <w:color w:val="auto"/>
              </w:rPr>
              <w:t>e</w:t>
            </w:r>
          </w:p>
        </w:tc>
      </w:tr>
      <w:tr w:rsidR="00843214" w:rsidRPr="00843214" w14:paraId="63443AFB" w14:textId="77777777" w:rsidTr="00BE4CB2">
        <w:tc>
          <w:tcPr>
            <w:tcW w:w="1475" w:type="dxa"/>
          </w:tcPr>
          <w:p w14:paraId="1006CAEA" w14:textId="4927C8A5" w:rsidR="00AB0469" w:rsidRPr="00843214" w:rsidRDefault="00AB0469" w:rsidP="00F334C3">
            <w:pPr>
              <w:rPr>
                <w:color w:val="auto"/>
                <w:szCs w:val="20"/>
              </w:rPr>
            </w:pPr>
            <w:r w:rsidRPr="00843214">
              <w:rPr>
                <w:color w:val="auto"/>
                <w:szCs w:val="20"/>
              </w:rPr>
              <w:t>UN-SWAP</w:t>
            </w:r>
          </w:p>
        </w:tc>
        <w:tc>
          <w:tcPr>
            <w:tcW w:w="7531" w:type="dxa"/>
          </w:tcPr>
          <w:p w14:paraId="6FA33564" w14:textId="0C85258A" w:rsidR="00AB0469" w:rsidRPr="00843214" w:rsidRDefault="007A2FF4" w:rsidP="001F5E62">
            <w:pPr>
              <w:rPr>
                <w:color w:val="auto"/>
                <w:szCs w:val="20"/>
              </w:rPr>
            </w:pPr>
            <w:r w:rsidRPr="00843214">
              <w:rPr>
                <w:color w:val="auto"/>
                <w:szCs w:val="20"/>
              </w:rPr>
              <w:t>United Nations System-wide Action Plan on Gender Equality</w:t>
            </w:r>
          </w:p>
        </w:tc>
      </w:tr>
      <w:tr w:rsidR="00843214" w:rsidRPr="00843214" w14:paraId="4A1C2D7D" w14:textId="77777777" w:rsidTr="00BE4CB2">
        <w:tc>
          <w:tcPr>
            <w:tcW w:w="1475" w:type="dxa"/>
          </w:tcPr>
          <w:p w14:paraId="22DD5417" w14:textId="065ED1AA" w:rsidR="00C82AF0" w:rsidRPr="00843214" w:rsidRDefault="00C82AF0" w:rsidP="00F334C3">
            <w:pPr>
              <w:rPr>
                <w:color w:val="auto"/>
                <w:szCs w:val="20"/>
              </w:rPr>
            </w:pPr>
            <w:r w:rsidRPr="00843214">
              <w:rPr>
                <w:color w:val="auto"/>
                <w:szCs w:val="20"/>
              </w:rPr>
              <w:lastRenderedPageBreak/>
              <w:t>UNTF for EVAW</w:t>
            </w:r>
          </w:p>
        </w:tc>
        <w:tc>
          <w:tcPr>
            <w:tcW w:w="7531" w:type="dxa"/>
          </w:tcPr>
          <w:p w14:paraId="1FEFB5BF" w14:textId="7C507134" w:rsidR="00C82AF0" w:rsidRPr="00843214" w:rsidRDefault="00C82AF0" w:rsidP="001F5E62">
            <w:pPr>
              <w:rPr>
                <w:color w:val="auto"/>
                <w:szCs w:val="20"/>
              </w:rPr>
            </w:pPr>
            <w:r w:rsidRPr="00843214">
              <w:rPr>
                <w:color w:val="auto"/>
                <w:szCs w:val="20"/>
              </w:rPr>
              <w:t xml:space="preserve">United Nations Trust Fund </w:t>
            </w:r>
            <w:r w:rsidRPr="00843214">
              <w:rPr>
                <w:color w:val="auto"/>
                <w:szCs w:val="20"/>
                <w:lang w:eastAsia="en-GB"/>
              </w:rPr>
              <w:t>for the Elimination of Violence against Women</w:t>
            </w:r>
            <w:r w:rsidRPr="00843214">
              <w:rPr>
                <w:color w:val="auto"/>
                <w:szCs w:val="20"/>
              </w:rPr>
              <w:t xml:space="preserve"> </w:t>
            </w:r>
          </w:p>
        </w:tc>
      </w:tr>
      <w:tr w:rsidR="00843214" w:rsidRPr="00843214" w14:paraId="7134397D" w14:textId="77777777" w:rsidTr="00BE4CB2">
        <w:tc>
          <w:tcPr>
            <w:tcW w:w="1475" w:type="dxa"/>
          </w:tcPr>
          <w:p w14:paraId="4AF518C4" w14:textId="566F569D" w:rsidR="00F41127" w:rsidRPr="00843214" w:rsidRDefault="00F41127" w:rsidP="00F334C3">
            <w:pPr>
              <w:rPr>
                <w:color w:val="auto"/>
                <w:szCs w:val="20"/>
              </w:rPr>
            </w:pPr>
            <w:r w:rsidRPr="00843214">
              <w:rPr>
                <w:color w:val="auto"/>
                <w:szCs w:val="20"/>
              </w:rPr>
              <w:t>UN Women</w:t>
            </w:r>
          </w:p>
        </w:tc>
        <w:tc>
          <w:tcPr>
            <w:tcW w:w="7531" w:type="dxa"/>
          </w:tcPr>
          <w:p w14:paraId="37C3E4FB" w14:textId="42247E93" w:rsidR="00F41127" w:rsidRPr="00843214" w:rsidRDefault="00F41127" w:rsidP="001F5E62">
            <w:pPr>
              <w:rPr>
                <w:color w:val="auto"/>
                <w:szCs w:val="20"/>
              </w:rPr>
            </w:pPr>
            <w:r w:rsidRPr="00843214">
              <w:rPr>
                <w:color w:val="auto"/>
                <w:szCs w:val="20"/>
              </w:rPr>
              <w:t>United Nations Entity for Gender Equality and the Empowerment of Women</w:t>
            </w:r>
          </w:p>
        </w:tc>
      </w:tr>
      <w:tr w:rsidR="00843214" w:rsidRPr="00843214" w14:paraId="3C521893" w14:textId="77777777" w:rsidTr="00BE4CB2">
        <w:tc>
          <w:tcPr>
            <w:tcW w:w="1475" w:type="dxa"/>
          </w:tcPr>
          <w:p w14:paraId="3F5C9A6A" w14:textId="4A00B451" w:rsidR="001F5E62" w:rsidRPr="00843214" w:rsidRDefault="001F5E62" w:rsidP="00F334C3">
            <w:pPr>
              <w:rPr>
                <w:color w:val="auto"/>
                <w:szCs w:val="20"/>
              </w:rPr>
            </w:pPr>
            <w:r w:rsidRPr="00843214">
              <w:rPr>
                <w:color w:val="auto"/>
                <w:szCs w:val="20"/>
              </w:rPr>
              <w:t>VAW</w:t>
            </w:r>
          </w:p>
        </w:tc>
        <w:tc>
          <w:tcPr>
            <w:tcW w:w="7531" w:type="dxa"/>
          </w:tcPr>
          <w:p w14:paraId="5E9CB17E" w14:textId="22911E04" w:rsidR="001F5E62" w:rsidRPr="00843214" w:rsidRDefault="007A2FF4" w:rsidP="001F5E62">
            <w:pPr>
              <w:rPr>
                <w:color w:val="auto"/>
                <w:szCs w:val="20"/>
              </w:rPr>
            </w:pPr>
            <w:r w:rsidRPr="00843214">
              <w:rPr>
                <w:color w:val="auto"/>
                <w:szCs w:val="20"/>
              </w:rPr>
              <w:t>Violence against women</w:t>
            </w:r>
          </w:p>
        </w:tc>
      </w:tr>
      <w:tr w:rsidR="00843214" w:rsidRPr="00843214" w14:paraId="28107D95" w14:textId="77777777" w:rsidTr="00BE4CB2">
        <w:tc>
          <w:tcPr>
            <w:tcW w:w="1475" w:type="dxa"/>
          </w:tcPr>
          <w:p w14:paraId="26D6A200" w14:textId="4F5058B2" w:rsidR="00712158" w:rsidRPr="00843214" w:rsidRDefault="00712158" w:rsidP="00F334C3">
            <w:pPr>
              <w:rPr>
                <w:color w:val="auto"/>
                <w:szCs w:val="20"/>
              </w:rPr>
            </w:pPr>
            <w:proofErr w:type="spellStart"/>
            <w:r w:rsidRPr="00843214">
              <w:rPr>
                <w:color w:val="auto"/>
                <w:szCs w:val="20"/>
              </w:rPr>
              <w:t>VfM</w:t>
            </w:r>
            <w:proofErr w:type="spellEnd"/>
          </w:p>
        </w:tc>
        <w:tc>
          <w:tcPr>
            <w:tcW w:w="7531" w:type="dxa"/>
          </w:tcPr>
          <w:p w14:paraId="1311AC6D" w14:textId="55EF827E" w:rsidR="00712158" w:rsidRPr="00843214" w:rsidRDefault="00712158" w:rsidP="001F5E62">
            <w:pPr>
              <w:rPr>
                <w:color w:val="auto"/>
                <w:szCs w:val="20"/>
              </w:rPr>
            </w:pPr>
            <w:r w:rsidRPr="00843214">
              <w:rPr>
                <w:color w:val="auto"/>
                <w:szCs w:val="20"/>
              </w:rPr>
              <w:t>Value for Money</w:t>
            </w:r>
          </w:p>
        </w:tc>
      </w:tr>
      <w:tr w:rsidR="00843214" w:rsidRPr="00843214" w14:paraId="25BBE2E9" w14:textId="77777777" w:rsidTr="00BE4CB2">
        <w:tc>
          <w:tcPr>
            <w:tcW w:w="1475" w:type="dxa"/>
          </w:tcPr>
          <w:p w14:paraId="36CB1214" w14:textId="20DFEFD6" w:rsidR="00684400" w:rsidRPr="00843214" w:rsidRDefault="00684400" w:rsidP="00F334C3">
            <w:pPr>
              <w:rPr>
                <w:color w:val="auto"/>
                <w:szCs w:val="20"/>
              </w:rPr>
            </w:pPr>
            <w:r w:rsidRPr="00843214">
              <w:rPr>
                <w:color w:val="auto"/>
                <w:szCs w:val="20"/>
              </w:rPr>
              <w:t>WEE</w:t>
            </w:r>
          </w:p>
        </w:tc>
        <w:tc>
          <w:tcPr>
            <w:tcW w:w="7531" w:type="dxa"/>
          </w:tcPr>
          <w:p w14:paraId="27814835" w14:textId="1B0A6CCE" w:rsidR="00684400" w:rsidRPr="00843214" w:rsidRDefault="00684400" w:rsidP="001F5E62">
            <w:pPr>
              <w:rPr>
                <w:color w:val="auto"/>
                <w:szCs w:val="20"/>
              </w:rPr>
            </w:pPr>
            <w:r w:rsidRPr="00843214">
              <w:rPr>
                <w:color w:val="auto"/>
                <w:szCs w:val="20"/>
              </w:rPr>
              <w:t>Women</w:t>
            </w:r>
            <w:r w:rsidR="00A4700C" w:rsidRPr="00843214">
              <w:rPr>
                <w:color w:val="auto"/>
                <w:szCs w:val="20"/>
              </w:rPr>
              <w:t>’s economic empowerment</w:t>
            </w:r>
          </w:p>
        </w:tc>
      </w:tr>
      <w:tr w:rsidR="00843214" w:rsidRPr="00843214" w14:paraId="2CBEE0A8" w14:textId="77777777" w:rsidTr="00BE4CB2">
        <w:tc>
          <w:tcPr>
            <w:tcW w:w="1475" w:type="dxa"/>
          </w:tcPr>
          <w:p w14:paraId="13A38EBD" w14:textId="4DEB0B6F" w:rsidR="00787042" w:rsidRPr="00843214" w:rsidRDefault="00787042" w:rsidP="001F5E62">
            <w:pPr>
              <w:rPr>
                <w:color w:val="auto"/>
                <w:szCs w:val="20"/>
              </w:rPr>
            </w:pPr>
            <w:r w:rsidRPr="00843214">
              <w:rPr>
                <w:color w:val="auto"/>
                <w:szCs w:val="20"/>
              </w:rPr>
              <w:t>WHO</w:t>
            </w:r>
          </w:p>
        </w:tc>
        <w:tc>
          <w:tcPr>
            <w:tcW w:w="7531" w:type="dxa"/>
          </w:tcPr>
          <w:p w14:paraId="04A799AB" w14:textId="785D2B6C" w:rsidR="00787042" w:rsidRPr="00843214" w:rsidRDefault="00787042" w:rsidP="001F5E62">
            <w:pPr>
              <w:rPr>
                <w:color w:val="auto"/>
                <w:szCs w:val="20"/>
              </w:rPr>
            </w:pPr>
            <w:r w:rsidRPr="00843214">
              <w:rPr>
                <w:color w:val="auto"/>
                <w:szCs w:val="20"/>
              </w:rPr>
              <w:t>World Health Organisation</w:t>
            </w:r>
          </w:p>
        </w:tc>
      </w:tr>
      <w:tr w:rsidR="00843214" w:rsidRPr="00843214" w14:paraId="4E67C9DB" w14:textId="77777777" w:rsidTr="00BE4CB2">
        <w:tc>
          <w:tcPr>
            <w:tcW w:w="1475" w:type="dxa"/>
          </w:tcPr>
          <w:p w14:paraId="34858529" w14:textId="5044B557" w:rsidR="001F5E62" w:rsidRPr="00843214" w:rsidRDefault="001F5E62" w:rsidP="001F5E62">
            <w:pPr>
              <w:rPr>
                <w:color w:val="auto"/>
                <w:szCs w:val="20"/>
              </w:rPr>
            </w:pPr>
            <w:r w:rsidRPr="00843214">
              <w:rPr>
                <w:color w:val="auto"/>
                <w:szCs w:val="20"/>
              </w:rPr>
              <w:t>WPHF</w:t>
            </w:r>
          </w:p>
        </w:tc>
        <w:tc>
          <w:tcPr>
            <w:tcW w:w="7531" w:type="dxa"/>
          </w:tcPr>
          <w:p w14:paraId="015253DC" w14:textId="53C6610D" w:rsidR="001F5E62" w:rsidRPr="00843214" w:rsidRDefault="009A1E81" w:rsidP="001F5E62">
            <w:pPr>
              <w:rPr>
                <w:color w:val="auto"/>
                <w:szCs w:val="20"/>
              </w:rPr>
            </w:pPr>
            <w:r w:rsidRPr="00843214">
              <w:rPr>
                <w:color w:val="auto"/>
                <w:szCs w:val="20"/>
              </w:rPr>
              <w:t>Women’s peace and humanitarian fund</w:t>
            </w:r>
          </w:p>
        </w:tc>
      </w:tr>
      <w:tr w:rsidR="00843214" w:rsidRPr="00843214" w14:paraId="2C886034" w14:textId="77777777" w:rsidTr="00BE4CB2">
        <w:tc>
          <w:tcPr>
            <w:tcW w:w="1475" w:type="dxa"/>
          </w:tcPr>
          <w:p w14:paraId="58CA6EF9" w14:textId="6B6661E3" w:rsidR="00E43E5D" w:rsidRPr="00843214" w:rsidRDefault="00E43E5D" w:rsidP="00F334C3">
            <w:pPr>
              <w:rPr>
                <w:color w:val="auto"/>
                <w:szCs w:val="20"/>
              </w:rPr>
            </w:pPr>
            <w:r w:rsidRPr="00843214">
              <w:rPr>
                <w:color w:val="auto"/>
                <w:szCs w:val="20"/>
              </w:rPr>
              <w:t>WPP</w:t>
            </w:r>
          </w:p>
        </w:tc>
        <w:tc>
          <w:tcPr>
            <w:tcW w:w="7531" w:type="dxa"/>
          </w:tcPr>
          <w:p w14:paraId="69102C82" w14:textId="7A3EC073" w:rsidR="00E43E5D" w:rsidRPr="00843214" w:rsidRDefault="00E43E5D" w:rsidP="001F5E62">
            <w:pPr>
              <w:rPr>
                <w:color w:val="auto"/>
                <w:szCs w:val="20"/>
              </w:rPr>
            </w:pPr>
            <w:r w:rsidRPr="00843214">
              <w:rPr>
                <w:color w:val="auto"/>
                <w:szCs w:val="20"/>
              </w:rPr>
              <w:t>Women’s political participation</w:t>
            </w:r>
            <w:r w:rsidR="008A6D89" w:rsidRPr="00843214">
              <w:rPr>
                <w:color w:val="auto"/>
                <w:szCs w:val="20"/>
              </w:rPr>
              <w:t xml:space="preserve"> and leadership</w:t>
            </w:r>
          </w:p>
        </w:tc>
      </w:tr>
      <w:tr w:rsidR="00843214" w:rsidRPr="00843214" w14:paraId="36621CB1" w14:textId="77777777" w:rsidTr="00BE4CB2">
        <w:tc>
          <w:tcPr>
            <w:tcW w:w="1475" w:type="dxa"/>
          </w:tcPr>
          <w:p w14:paraId="7EB7B378" w14:textId="67C64AC5" w:rsidR="001F5E62" w:rsidRPr="00843214" w:rsidRDefault="001F5E62" w:rsidP="00F334C3">
            <w:pPr>
              <w:rPr>
                <w:color w:val="auto"/>
                <w:szCs w:val="20"/>
              </w:rPr>
            </w:pPr>
            <w:r w:rsidRPr="00843214">
              <w:rPr>
                <w:color w:val="auto"/>
                <w:szCs w:val="20"/>
              </w:rPr>
              <w:t>WPS</w:t>
            </w:r>
          </w:p>
        </w:tc>
        <w:tc>
          <w:tcPr>
            <w:tcW w:w="7531" w:type="dxa"/>
          </w:tcPr>
          <w:p w14:paraId="686CF0E3" w14:textId="2B41231B" w:rsidR="001F5E62" w:rsidRPr="00843214" w:rsidRDefault="00ED2C78" w:rsidP="001F5E62">
            <w:pPr>
              <w:rPr>
                <w:color w:val="auto"/>
                <w:szCs w:val="20"/>
              </w:rPr>
            </w:pPr>
            <w:r w:rsidRPr="00843214">
              <w:rPr>
                <w:color w:val="auto"/>
                <w:szCs w:val="20"/>
              </w:rPr>
              <w:t xml:space="preserve">Women, </w:t>
            </w:r>
            <w:proofErr w:type="gramStart"/>
            <w:r w:rsidRPr="00843214">
              <w:rPr>
                <w:color w:val="auto"/>
                <w:szCs w:val="20"/>
              </w:rPr>
              <w:t>peace</w:t>
            </w:r>
            <w:proofErr w:type="gramEnd"/>
            <w:r w:rsidRPr="00843214">
              <w:rPr>
                <w:color w:val="auto"/>
                <w:szCs w:val="20"/>
              </w:rPr>
              <w:t xml:space="preserve"> and security</w:t>
            </w:r>
          </w:p>
        </w:tc>
      </w:tr>
      <w:tr w:rsidR="00843214" w:rsidRPr="00843214" w14:paraId="1765AD04" w14:textId="77777777" w:rsidTr="00BE4CB2">
        <w:tc>
          <w:tcPr>
            <w:tcW w:w="1475" w:type="dxa"/>
          </w:tcPr>
          <w:p w14:paraId="72637578" w14:textId="34D38175" w:rsidR="00787042" w:rsidRPr="00843214" w:rsidRDefault="00787042" w:rsidP="00F334C3">
            <w:pPr>
              <w:rPr>
                <w:color w:val="auto"/>
                <w:szCs w:val="20"/>
              </w:rPr>
            </w:pPr>
            <w:r w:rsidRPr="00843214">
              <w:rPr>
                <w:color w:val="auto"/>
                <w:szCs w:val="20"/>
              </w:rPr>
              <w:t>WRD</w:t>
            </w:r>
          </w:p>
        </w:tc>
        <w:tc>
          <w:tcPr>
            <w:tcW w:w="7531" w:type="dxa"/>
          </w:tcPr>
          <w:p w14:paraId="6C9E7E71" w14:textId="66CEE968" w:rsidR="00787042" w:rsidRPr="00843214" w:rsidRDefault="00787042" w:rsidP="001F5E62">
            <w:pPr>
              <w:rPr>
                <w:color w:val="auto"/>
                <w:szCs w:val="20"/>
              </w:rPr>
            </w:pPr>
            <w:r w:rsidRPr="00843214">
              <w:rPr>
                <w:color w:val="auto"/>
                <w:szCs w:val="20"/>
              </w:rPr>
              <w:t>Women’s resilience to disasters</w:t>
            </w:r>
          </w:p>
        </w:tc>
      </w:tr>
    </w:tbl>
    <w:p w14:paraId="41F1CA4E" w14:textId="27E2D8C2" w:rsidR="00182B95" w:rsidRPr="00843214" w:rsidRDefault="00182B95" w:rsidP="00437C2B">
      <w:pPr>
        <w:rPr>
          <w:color w:val="auto"/>
        </w:rPr>
      </w:pPr>
      <w:bookmarkStart w:id="12" w:name="_Toc8998711"/>
    </w:p>
    <w:tbl>
      <w:tblPr>
        <w:tblStyle w:val="IODPARCtable2"/>
        <w:tblW w:w="0" w:type="auto"/>
        <w:tblLook w:val="04A0" w:firstRow="1" w:lastRow="0" w:firstColumn="1" w:lastColumn="0" w:noHBand="0" w:noVBand="1"/>
      </w:tblPr>
      <w:tblGrid>
        <w:gridCol w:w="9006"/>
      </w:tblGrid>
      <w:tr w:rsidR="00843214" w:rsidRPr="00843214" w14:paraId="68ADF72E" w14:textId="77777777" w:rsidTr="00182B95">
        <w:tc>
          <w:tcPr>
            <w:tcW w:w="9026" w:type="dxa"/>
          </w:tcPr>
          <w:p w14:paraId="170E9D51" w14:textId="3F5FAFA0" w:rsidR="00182B95" w:rsidRPr="00843214" w:rsidRDefault="00182B95" w:rsidP="00437C2B">
            <w:pPr>
              <w:rPr>
                <w:color w:val="auto"/>
                <w:lang w:val="en-AU"/>
              </w:rPr>
            </w:pPr>
            <w:r w:rsidRPr="00843214">
              <w:rPr>
                <w:color w:val="auto"/>
                <w:u w:val="single"/>
                <w:lang w:val="en-AU"/>
              </w:rPr>
              <w:t>A note on the term ‘Visibility’:</w:t>
            </w:r>
            <w:r w:rsidRPr="00843214">
              <w:rPr>
                <w:color w:val="auto"/>
                <w:lang w:val="en-AU"/>
              </w:rPr>
              <w:t xml:space="preserve"> </w:t>
            </w:r>
          </w:p>
          <w:p w14:paraId="534BE37F" w14:textId="6C5AFB99" w:rsidR="00182B95" w:rsidRPr="00843214" w:rsidRDefault="00182B95" w:rsidP="00437C2B">
            <w:pPr>
              <w:rPr>
                <w:color w:val="auto"/>
                <w:lang w:val="en-AU"/>
              </w:rPr>
            </w:pPr>
            <w:r w:rsidRPr="00843214">
              <w:rPr>
                <w:color w:val="auto"/>
                <w:lang w:val="en-AU"/>
              </w:rPr>
              <w:t>Visibility has two meanings:</w:t>
            </w:r>
          </w:p>
          <w:p w14:paraId="7F10B5AF" w14:textId="7C539825" w:rsidR="00182B95" w:rsidRPr="00843214" w:rsidRDefault="00182B95" w:rsidP="00437C2B">
            <w:pPr>
              <w:rPr>
                <w:color w:val="auto"/>
                <w:lang w:val="en-AU"/>
              </w:rPr>
            </w:pPr>
            <w:r w:rsidRPr="00843214">
              <w:rPr>
                <w:color w:val="auto"/>
                <w:lang w:val="en-AU"/>
              </w:rPr>
              <w:t>1) Visibility that DFAT has contributed to UN Women publicising that contribution (globally, or in projects or programs) i.e., use of DFAT branding</w:t>
            </w:r>
            <w:r w:rsidR="00F10EDA" w:rsidRPr="00843214">
              <w:rPr>
                <w:color w:val="auto"/>
                <w:lang w:val="en-AU"/>
              </w:rPr>
              <w:t xml:space="preserve"> per the requirements in the SPF </w:t>
            </w:r>
            <w:r w:rsidR="005D1629" w:rsidRPr="00843214">
              <w:rPr>
                <w:color w:val="auto"/>
                <w:lang w:val="en-AU"/>
              </w:rPr>
              <w:t>clause 21.</w:t>
            </w:r>
            <w:r w:rsidRPr="00843214">
              <w:rPr>
                <w:color w:val="auto"/>
                <w:lang w:val="en-AU"/>
              </w:rPr>
              <w:t xml:space="preserve"> </w:t>
            </w:r>
          </w:p>
          <w:p w14:paraId="5B47B314" w14:textId="63D86BA3" w:rsidR="00182B95" w:rsidRPr="00843214" w:rsidRDefault="00182B95" w:rsidP="00437C2B">
            <w:pPr>
              <w:rPr>
                <w:color w:val="auto"/>
                <w:lang w:val="en-AU"/>
              </w:rPr>
            </w:pPr>
            <w:r w:rsidRPr="00843214">
              <w:rPr>
                <w:color w:val="auto"/>
                <w:lang w:val="en-AU"/>
              </w:rPr>
              <w:t xml:space="preserve">2) </w:t>
            </w:r>
            <w:r w:rsidR="00F10EDA" w:rsidRPr="00843214">
              <w:rPr>
                <w:color w:val="auto"/>
                <w:lang w:val="en-AU"/>
              </w:rPr>
              <w:t>V</w:t>
            </w:r>
            <w:r w:rsidRPr="00843214">
              <w:rPr>
                <w:color w:val="auto"/>
                <w:lang w:val="en-AU"/>
              </w:rPr>
              <w:t>isibility of the line between DFAT funding and UN</w:t>
            </w:r>
            <w:r w:rsidR="0048761D" w:rsidRPr="00843214">
              <w:rPr>
                <w:color w:val="auto"/>
                <w:lang w:val="en-AU"/>
              </w:rPr>
              <w:t xml:space="preserve"> Women</w:t>
            </w:r>
            <w:r w:rsidRPr="00843214">
              <w:rPr>
                <w:color w:val="auto"/>
                <w:lang w:val="en-AU"/>
              </w:rPr>
              <w:t xml:space="preserve"> results within the Indo-Pacific.</w:t>
            </w:r>
          </w:p>
        </w:tc>
      </w:tr>
    </w:tbl>
    <w:p w14:paraId="44A23FFA" w14:textId="77777777" w:rsidR="00182B95" w:rsidRPr="00843214" w:rsidRDefault="00182B95" w:rsidP="00437C2B">
      <w:pPr>
        <w:rPr>
          <w:color w:val="auto"/>
        </w:rPr>
      </w:pPr>
    </w:p>
    <w:p w14:paraId="152B9AC4" w14:textId="77777777" w:rsidR="00182B95" w:rsidRPr="00843214" w:rsidRDefault="00182B95" w:rsidP="00437C2B">
      <w:pPr>
        <w:rPr>
          <w:color w:val="auto"/>
        </w:rPr>
      </w:pPr>
    </w:p>
    <w:p w14:paraId="6F62495C" w14:textId="77777777" w:rsidR="00182B95" w:rsidRPr="00843214" w:rsidRDefault="00182B95" w:rsidP="00437C2B">
      <w:pPr>
        <w:rPr>
          <w:color w:val="auto"/>
        </w:rPr>
      </w:pPr>
    </w:p>
    <w:p w14:paraId="55479EF4" w14:textId="44DD0DAC" w:rsidR="00437C2B" w:rsidRPr="00843214" w:rsidRDefault="00437C2B" w:rsidP="00437C2B">
      <w:pPr>
        <w:rPr>
          <w:color w:val="auto"/>
        </w:rPr>
      </w:pPr>
      <w:r w:rsidRPr="00843214">
        <w:rPr>
          <w:color w:val="auto"/>
        </w:rPr>
        <w:br w:type="page"/>
      </w:r>
    </w:p>
    <w:p w14:paraId="37A9DF9E" w14:textId="5EC7248F" w:rsidR="00437C2B" w:rsidRPr="00843214" w:rsidRDefault="00437C2B" w:rsidP="00843214">
      <w:pPr>
        <w:pStyle w:val="Heading1"/>
      </w:pPr>
      <w:bookmarkStart w:id="13" w:name="_Toc11767279"/>
      <w:bookmarkStart w:id="14" w:name="_Toc17958715"/>
      <w:bookmarkStart w:id="15" w:name="_Toc17959386"/>
      <w:bookmarkStart w:id="16" w:name="_Toc69376651"/>
      <w:r w:rsidRPr="00843214">
        <w:lastRenderedPageBreak/>
        <w:t>Executive Summary</w:t>
      </w:r>
      <w:bookmarkEnd w:id="12"/>
      <w:bookmarkEnd w:id="13"/>
      <w:bookmarkEnd w:id="14"/>
      <w:bookmarkEnd w:id="15"/>
      <w:bookmarkEnd w:id="16"/>
    </w:p>
    <w:p w14:paraId="71CCB530" w14:textId="1F6E1BC8" w:rsidR="00BE3F9E" w:rsidRPr="00843214" w:rsidRDefault="001C2A72" w:rsidP="00BE3F9E">
      <w:pPr>
        <w:rPr>
          <w:color w:val="auto"/>
          <w:lang w:val="en-AU"/>
        </w:rPr>
      </w:pPr>
      <w:r w:rsidRPr="00843214">
        <w:rPr>
          <w:color w:val="auto"/>
          <w:lang w:val="en-AU"/>
        </w:rPr>
        <w:t>Australia’s key development objective of gender</w:t>
      </w:r>
      <w:r w:rsidR="00B508B0" w:rsidRPr="00843214">
        <w:rPr>
          <w:color w:val="auto"/>
          <w:lang w:val="en-AU"/>
        </w:rPr>
        <w:t xml:space="preserve"> </w:t>
      </w:r>
      <w:r w:rsidR="00A74FEC" w:rsidRPr="00843214">
        <w:rPr>
          <w:color w:val="auto"/>
          <w:lang w:val="en-AU"/>
        </w:rPr>
        <w:t>equality</w:t>
      </w:r>
      <w:r w:rsidRPr="00843214">
        <w:rPr>
          <w:color w:val="auto"/>
          <w:lang w:val="en-AU"/>
        </w:rPr>
        <w:t xml:space="preserve"> </w:t>
      </w:r>
      <w:r w:rsidR="00F82AF6" w:rsidRPr="00843214">
        <w:rPr>
          <w:color w:val="auto"/>
          <w:lang w:val="en-AU"/>
        </w:rPr>
        <w:t>and wome</w:t>
      </w:r>
      <w:r w:rsidR="00A74FEC" w:rsidRPr="00843214">
        <w:rPr>
          <w:color w:val="auto"/>
          <w:lang w:val="en-AU"/>
        </w:rPr>
        <w:t>n’s</w:t>
      </w:r>
      <w:r w:rsidR="00F82AF6" w:rsidRPr="00843214">
        <w:rPr>
          <w:color w:val="auto"/>
          <w:lang w:val="en-AU"/>
        </w:rPr>
        <w:t xml:space="preserve"> e</w:t>
      </w:r>
      <w:r w:rsidR="00A74FEC" w:rsidRPr="00843214">
        <w:rPr>
          <w:color w:val="auto"/>
          <w:lang w:val="en-AU"/>
        </w:rPr>
        <w:t>mpowerment</w:t>
      </w:r>
      <w:r w:rsidR="00F82AF6" w:rsidRPr="00843214">
        <w:rPr>
          <w:color w:val="auto"/>
          <w:lang w:val="en-AU"/>
        </w:rPr>
        <w:t xml:space="preserve"> </w:t>
      </w:r>
      <w:r w:rsidRPr="00843214">
        <w:rPr>
          <w:color w:val="auto"/>
          <w:lang w:val="en-AU"/>
        </w:rPr>
        <w:t xml:space="preserve">is reflected in its commitment to long-term support for the mandate and activities of UN Women. UN Women is the </w:t>
      </w:r>
      <w:r w:rsidR="00BE24A4" w:rsidRPr="00843214">
        <w:rPr>
          <w:color w:val="auto"/>
          <w:lang w:val="en-AU"/>
        </w:rPr>
        <w:t>United Nations (</w:t>
      </w:r>
      <w:r w:rsidR="00C0562A" w:rsidRPr="00843214">
        <w:rPr>
          <w:color w:val="auto"/>
          <w:lang w:val="en-AU"/>
        </w:rPr>
        <w:t>U</w:t>
      </w:r>
      <w:r w:rsidR="00BE24A4" w:rsidRPr="00843214">
        <w:rPr>
          <w:color w:val="auto"/>
          <w:lang w:val="en-AU"/>
        </w:rPr>
        <w:t>N)</w:t>
      </w:r>
      <w:r w:rsidR="00C0562A" w:rsidRPr="00843214">
        <w:rPr>
          <w:color w:val="auto"/>
          <w:lang w:val="en-AU"/>
        </w:rPr>
        <w:t xml:space="preserve"> </w:t>
      </w:r>
      <w:r w:rsidRPr="00843214">
        <w:rPr>
          <w:color w:val="auto"/>
          <w:lang w:val="en-AU"/>
        </w:rPr>
        <w:t xml:space="preserve">entity dedicated to </w:t>
      </w:r>
      <w:r w:rsidR="00FB3D8A" w:rsidRPr="00843214">
        <w:rPr>
          <w:color w:val="auto"/>
          <w:lang w:val="en-AU"/>
        </w:rPr>
        <w:t xml:space="preserve">providing </w:t>
      </w:r>
      <w:r w:rsidRPr="00843214">
        <w:rPr>
          <w:color w:val="auto"/>
          <w:lang w:val="en-AU"/>
        </w:rPr>
        <w:t xml:space="preserve">guidance and technical support on gender equality, the empowerment and rights of women and gender mainstreaming. It holds a triple mandate of </w:t>
      </w:r>
      <w:r w:rsidRPr="00843214">
        <w:rPr>
          <w:color w:val="auto"/>
          <w:shd w:val="clear" w:color="auto" w:fill="FFFFFF" w:themeFill="background1"/>
          <w:lang w:val="en-AU"/>
        </w:rPr>
        <w:t xml:space="preserve">normative support, UN coordination, and </w:t>
      </w:r>
      <w:r w:rsidR="00A77BB4" w:rsidRPr="00843214">
        <w:rPr>
          <w:color w:val="auto"/>
          <w:shd w:val="clear" w:color="auto" w:fill="FFFFFF" w:themeFill="background1"/>
          <w:lang w:val="en-AU"/>
        </w:rPr>
        <w:t xml:space="preserve">evidence-based </w:t>
      </w:r>
      <w:r w:rsidRPr="00843214">
        <w:rPr>
          <w:color w:val="auto"/>
          <w:shd w:val="clear" w:color="auto" w:fill="FFFFFF" w:themeFill="background1"/>
          <w:lang w:val="en-AU"/>
        </w:rPr>
        <w:t>operational activities</w:t>
      </w:r>
      <w:r w:rsidRPr="00843214">
        <w:rPr>
          <w:color w:val="auto"/>
          <w:lang w:val="en-AU"/>
        </w:rPr>
        <w:t xml:space="preserve">. Australia’s commitment to UN Women has most recently been embedded in the </w:t>
      </w:r>
      <w:r w:rsidR="001A4984" w:rsidRPr="00843214">
        <w:rPr>
          <w:color w:val="auto"/>
          <w:lang w:eastAsia="en-GB"/>
        </w:rPr>
        <w:t>UN Women-DFAT Strategic Partnership Framework</w:t>
      </w:r>
      <w:r w:rsidR="007B598C" w:rsidRPr="00843214">
        <w:rPr>
          <w:color w:val="auto"/>
          <w:lang w:eastAsia="en-GB"/>
        </w:rPr>
        <w:t xml:space="preserve"> (SPF)</w:t>
      </w:r>
      <w:r w:rsidR="001A4984" w:rsidRPr="00843214">
        <w:rPr>
          <w:color w:val="auto"/>
          <w:lang w:eastAsia="en-GB"/>
        </w:rPr>
        <w:t xml:space="preserve"> 2016-2020 and 2021 extension</w:t>
      </w:r>
      <w:r w:rsidR="001A4984" w:rsidRPr="00843214">
        <w:rPr>
          <w:rStyle w:val="FootnoteReference"/>
          <w:color w:val="auto"/>
          <w:lang w:eastAsia="en-GB"/>
        </w:rPr>
        <w:footnoteReference w:id="2"/>
      </w:r>
      <w:r w:rsidR="001A4984" w:rsidRPr="00843214">
        <w:rPr>
          <w:color w:val="auto"/>
          <w:lang w:eastAsia="en-GB"/>
        </w:rPr>
        <w:t xml:space="preserve"> (SPF 2016-2021)</w:t>
      </w:r>
      <w:r w:rsidRPr="00843214">
        <w:rPr>
          <w:color w:val="auto"/>
          <w:lang w:val="en-AU"/>
        </w:rPr>
        <w:t xml:space="preserve">, </w:t>
      </w:r>
      <w:r w:rsidR="00F7601C" w:rsidRPr="00843214">
        <w:rPr>
          <w:color w:val="auto"/>
          <w:lang w:val="en-AU"/>
        </w:rPr>
        <w:t xml:space="preserve">which </w:t>
      </w:r>
      <w:r w:rsidRPr="00843214">
        <w:rPr>
          <w:color w:val="auto"/>
          <w:lang w:val="en-AU"/>
        </w:rPr>
        <w:t xml:space="preserve">defines Australia’s and UN Women’s </w:t>
      </w:r>
      <w:r w:rsidR="001A4984" w:rsidRPr="00843214">
        <w:rPr>
          <w:color w:val="auto"/>
          <w:lang w:val="en-AU"/>
        </w:rPr>
        <w:t xml:space="preserve">nine </w:t>
      </w:r>
      <w:r w:rsidRPr="00843214">
        <w:rPr>
          <w:color w:val="auto"/>
          <w:lang w:val="en-AU"/>
        </w:rPr>
        <w:t>shared objectives</w:t>
      </w:r>
      <w:r w:rsidR="00F7601C" w:rsidRPr="00843214">
        <w:rPr>
          <w:color w:val="auto"/>
          <w:lang w:val="en-AU"/>
        </w:rPr>
        <w:t>,</w:t>
      </w:r>
      <w:r w:rsidRPr="00843214">
        <w:rPr>
          <w:color w:val="auto"/>
          <w:lang w:val="en-AU"/>
        </w:rPr>
        <w:t xml:space="preserve"> </w:t>
      </w:r>
      <w:r w:rsidR="007F2363" w:rsidRPr="00843214">
        <w:rPr>
          <w:color w:val="auto"/>
          <w:lang w:val="en-AU"/>
        </w:rPr>
        <w:t>funding arrangements</w:t>
      </w:r>
      <w:r w:rsidR="00BE3F9E" w:rsidRPr="00843214">
        <w:rPr>
          <w:color w:val="auto"/>
          <w:lang w:val="en-AU"/>
        </w:rPr>
        <w:t>,</w:t>
      </w:r>
      <w:r w:rsidR="00F7601C" w:rsidRPr="00843214">
        <w:rPr>
          <w:color w:val="auto"/>
          <w:lang w:val="en-AU"/>
        </w:rPr>
        <w:t xml:space="preserve"> and engagement principles</w:t>
      </w:r>
      <w:r w:rsidRPr="00843214">
        <w:rPr>
          <w:color w:val="auto"/>
          <w:lang w:val="en-AU"/>
        </w:rPr>
        <w:t xml:space="preserve">. </w:t>
      </w:r>
    </w:p>
    <w:p w14:paraId="716BC439" w14:textId="18B94525" w:rsidR="00BE3F9E" w:rsidRPr="00843214" w:rsidRDefault="007F2363" w:rsidP="00BE3F9E">
      <w:pPr>
        <w:rPr>
          <w:color w:val="auto"/>
          <w:lang w:val="en-AU"/>
        </w:rPr>
      </w:pPr>
      <w:r w:rsidRPr="00843214">
        <w:rPr>
          <w:noProof/>
          <w:color w:val="auto"/>
        </w:rPr>
        <mc:AlternateContent>
          <mc:Choice Requires="wps">
            <w:drawing>
              <wp:anchor distT="45720" distB="45720" distL="114300" distR="114300" simplePos="0" relativeHeight="251658251" behindDoc="0" locked="0" layoutInCell="1" allowOverlap="1" wp14:anchorId="6D2EBEBF" wp14:editId="2DAE4D59">
                <wp:simplePos x="0" y="0"/>
                <wp:positionH relativeFrom="margin">
                  <wp:align>right</wp:align>
                </wp:positionH>
                <wp:positionV relativeFrom="paragraph">
                  <wp:posOffset>1200785</wp:posOffset>
                </wp:positionV>
                <wp:extent cx="3048000" cy="3905250"/>
                <wp:effectExtent l="0" t="0" r="0"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905250"/>
                        </a:xfrm>
                        <a:prstGeom prst="rect">
                          <a:avLst/>
                        </a:prstGeom>
                        <a:solidFill>
                          <a:srgbClr val="FFFFFF"/>
                        </a:solidFill>
                        <a:ln w="9525">
                          <a:noFill/>
                          <a:miter lim="800000"/>
                          <a:headEnd/>
                          <a:tailEnd/>
                        </a:ln>
                      </wps:spPr>
                      <wps:txbx>
                        <w:txbxContent>
                          <w:tbl>
                            <w:tblPr>
                              <w:tblStyle w:val="TableGridLight"/>
                              <w:tblW w:w="4381" w:type="dxa"/>
                              <w:tblLook w:val="04A0" w:firstRow="1" w:lastRow="0" w:firstColumn="1" w:lastColumn="0" w:noHBand="0" w:noVBand="1"/>
                            </w:tblPr>
                            <w:tblGrid>
                              <w:gridCol w:w="3581"/>
                              <w:gridCol w:w="800"/>
                            </w:tblGrid>
                            <w:tr w:rsidR="00843214" w:rsidRPr="009E72E7" w14:paraId="55C6D199" w14:textId="77777777" w:rsidTr="00222069">
                              <w:trPr>
                                <w:trHeight w:val="401"/>
                              </w:trPr>
                              <w:tc>
                                <w:tcPr>
                                  <w:tcW w:w="4381" w:type="dxa"/>
                                  <w:gridSpan w:val="2"/>
                                </w:tcPr>
                                <w:p w14:paraId="7B10FD00" w14:textId="1C6BBB31" w:rsidR="00843214" w:rsidRPr="001A5F83" w:rsidRDefault="00843214" w:rsidP="00EC2C6D">
                                  <w:pPr>
                                    <w:spacing w:after="0"/>
                                    <w:jc w:val="center"/>
                                    <w:rPr>
                                      <w:rFonts w:eastAsia="Calibri" w:cs="Calibri"/>
                                      <w:b/>
                                      <w:bCs/>
                                      <w:color w:val="000000"/>
                                      <w:kern w:val="24"/>
                                      <w:sz w:val="20"/>
                                      <w:szCs w:val="20"/>
                                      <w:lang w:val="en-AU"/>
                                    </w:rPr>
                                  </w:pPr>
                                  <w:r w:rsidRPr="001A5F83">
                                    <w:rPr>
                                      <w:b/>
                                      <w:bCs/>
                                      <w:sz w:val="20"/>
                                      <w:szCs w:val="20"/>
                                    </w:rPr>
                                    <w:t>Overview of progress against the nine shared SPF objectives</w:t>
                                  </w:r>
                                </w:p>
                              </w:tc>
                            </w:tr>
                            <w:tr w:rsidR="00843214" w:rsidRPr="009E72E7" w14:paraId="0035B9C0" w14:textId="77777777" w:rsidTr="00222069">
                              <w:trPr>
                                <w:trHeight w:val="401"/>
                              </w:trPr>
                              <w:tc>
                                <w:tcPr>
                                  <w:tcW w:w="3581" w:type="dxa"/>
                                  <w:hideMark/>
                                </w:tcPr>
                                <w:p w14:paraId="4763CA4D" w14:textId="77777777" w:rsidR="00843214" w:rsidRPr="001A5F83" w:rsidRDefault="00843214" w:rsidP="00EC2C6D">
                                  <w:pPr>
                                    <w:spacing w:after="0" w:line="480" w:lineRule="auto"/>
                                    <w:rPr>
                                      <w:rFonts w:ascii="Arial" w:eastAsia="Times New Roman" w:hAnsi="Arial" w:cs="Arial"/>
                                      <w:color w:val="auto"/>
                                      <w:sz w:val="20"/>
                                      <w:szCs w:val="20"/>
                                    </w:rPr>
                                  </w:pPr>
                                  <w:r w:rsidRPr="001A5F83">
                                    <w:rPr>
                                      <w:rFonts w:eastAsia="Calibri" w:cs="Calibri"/>
                                      <w:b/>
                                      <w:bCs/>
                                      <w:color w:val="000000"/>
                                      <w:kern w:val="24"/>
                                      <w:sz w:val="20"/>
                                      <w:szCs w:val="20"/>
                                      <w:lang w:val="en-AU"/>
                                    </w:rPr>
                                    <w:t>Objective</w:t>
                                  </w:r>
                                </w:p>
                              </w:tc>
                              <w:tc>
                                <w:tcPr>
                                  <w:tcW w:w="800" w:type="dxa"/>
                                  <w:hideMark/>
                                </w:tcPr>
                                <w:p w14:paraId="5A54BF24" w14:textId="77777777" w:rsidR="00843214" w:rsidRPr="009E72E7" w:rsidRDefault="00843214" w:rsidP="00EC2C6D">
                                  <w:pPr>
                                    <w:spacing w:after="0" w:line="480" w:lineRule="auto"/>
                                    <w:rPr>
                                      <w:rFonts w:ascii="Arial" w:eastAsia="Times New Roman" w:hAnsi="Arial" w:cs="Arial"/>
                                      <w:color w:val="auto"/>
                                      <w:szCs w:val="20"/>
                                    </w:rPr>
                                  </w:pPr>
                                  <w:r w:rsidRPr="009E72E7">
                                    <w:rPr>
                                      <w:rFonts w:eastAsia="Calibri" w:cs="Calibri"/>
                                      <w:b/>
                                      <w:bCs/>
                                      <w:color w:val="000000"/>
                                      <w:kern w:val="24"/>
                                      <w:szCs w:val="20"/>
                                      <w:lang w:val="en-AU"/>
                                    </w:rPr>
                                    <w:t>rating</w:t>
                                  </w:r>
                                </w:p>
                              </w:tc>
                            </w:tr>
                            <w:tr w:rsidR="00843214" w:rsidRPr="009E72E7" w14:paraId="4F35AC0E" w14:textId="77777777" w:rsidTr="00222069">
                              <w:trPr>
                                <w:trHeight w:val="316"/>
                              </w:trPr>
                              <w:tc>
                                <w:tcPr>
                                  <w:tcW w:w="3581" w:type="dxa"/>
                                  <w:hideMark/>
                                </w:tcPr>
                                <w:p w14:paraId="28239CEB" w14:textId="77777777" w:rsidR="00843214" w:rsidRPr="001A5F83" w:rsidRDefault="00843214" w:rsidP="00EC2C6D">
                                  <w:pPr>
                                    <w:spacing w:after="0"/>
                                    <w:rPr>
                                      <w:rFonts w:eastAsia="Calibri" w:cs="Calibri"/>
                                      <w:color w:val="000000"/>
                                      <w:kern w:val="24"/>
                                      <w:sz w:val="20"/>
                                      <w:szCs w:val="20"/>
                                      <w:lang w:val="en-AU"/>
                                    </w:rPr>
                                  </w:pPr>
                                  <w:r w:rsidRPr="001A5F83">
                                    <w:rPr>
                                      <w:rFonts w:eastAsia="Calibri" w:cs="Calibri"/>
                                      <w:color w:val="000000"/>
                                      <w:kern w:val="24"/>
                                      <w:sz w:val="20"/>
                                      <w:szCs w:val="20"/>
                                      <w:lang w:val="en-AU"/>
                                    </w:rPr>
                                    <w:t>1. Performance</w:t>
                                  </w:r>
                                </w:p>
                              </w:tc>
                              <w:tc>
                                <w:tcPr>
                                  <w:tcW w:w="800" w:type="dxa"/>
                                  <w:shd w:val="clear" w:color="auto" w:fill="92D050"/>
                                  <w:hideMark/>
                                </w:tcPr>
                                <w:p w14:paraId="7947B69D" w14:textId="77777777" w:rsidR="00843214" w:rsidRPr="009E72E7" w:rsidRDefault="00843214" w:rsidP="00EC2C6D">
                                  <w:pPr>
                                    <w:spacing w:after="0"/>
                                    <w:rPr>
                                      <w:rFonts w:ascii="Arial" w:eastAsia="Times New Roman" w:hAnsi="Arial" w:cs="Arial"/>
                                      <w:color w:val="auto"/>
                                      <w:szCs w:val="20"/>
                                    </w:rPr>
                                  </w:pPr>
                                  <w:r w:rsidRPr="009E72E7">
                                    <w:rPr>
                                      <w:rFonts w:eastAsia="Calibri" w:cs="Calibri"/>
                                      <w:color w:val="000000"/>
                                      <w:kern w:val="24"/>
                                      <w:szCs w:val="20"/>
                                      <w:lang w:val="en-AU"/>
                                    </w:rPr>
                                    <w:t> </w:t>
                                  </w:r>
                                </w:p>
                              </w:tc>
                            </w:tr>
                            <w:tr w:rsidR="00843214" w:rsidRPr="009E72E7" w14:paraId="61457406" w14:textId="77777777" w:rsidTr="00222069">
                              <w:trPr>
                                <w:trHeight w:val="296"/>
                              </w:trPr>
                              <w:tc>
                                <w:tcPr>
                                  <w:tcW w:w="3581" w:type="dxa"/>
                                  <w:hideMark/>
                                </w:tcPr>
                                <w:p w14:paraId="59167B36"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2. Normative</w:t>
                                  </w:r>
                                </w:p>
                              </w:tc>
                              <w:tc>
                                <w:tcPr>
                                  <w:tcW w:w="800" w:type="dxa"/>
                                  <w:shd w:val="clear" w:color="auto" w:fill="92D050"/>
                                  <w:hideMark/>
                                </w:tcPr>
                                <w:p w14:paraId="4E81B68F" w14:textId="77777777" w:rsidR="00843214" w:rsidRPr="009E72E7" w:rsidRDefault="00843214" w:rsidP="00EC2C6D">
                                  <w:pPr>
                                    <w:spacing w:after="0"/>
                                    <w:rPr>
                                      <w:rFonts w:ascii="Arial" w:eastAsia="Times New Roman" w:hAnsi="Arial" w:cs="Arial"/>
                                      <w:color w:val="auto"/>
                                      <w:szCs w:val="20"/>
                                    </w:rPr>
                                  </w:pPr>
                                  <w:r w:rsidRPr="009E72E7">
                                    <w:rPr>
                                      <w:rFonts w:eastAsia="Calibri" w:cs="Calibri"/>
                                      <w:color w:val="000000"/>
                                      <w:kern w:val="24"/>
                                      <w:szCs w:val="20"/>
                                      <w:lang w:val="en-AU"/>
                                    </w:rPr>
                                    <w:t> </w:t>
                                  </w:r>
                                </w:p>
                              </w:tc>
                            </w:tr>
                            <w:tr w:rsidR="00843214" w:rsidRPr="009E72E7" w14:paraId="442F8F12" w14:textId="77777777" w:rsidTr="00222069">
                              <w:trPr>
                                <w:trHeight w:val="340"/>
                              </w:trPr>
                              <w:tc>
                                <w:tcPr>
                                  <w:tcW w:w="3581" w:type="dxa"/>
                                  <w:hideMark/>
                                </w:tcPr>
                                <w:p w14:paraId="4080EF7C"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 xml:space="preserve">3. Coordination </w:t>
                                  </w:r>
                                </w:p>
                              </w:tc>
                              <w:tc>
                                <w:tcPr>
                                  <w:tcW w:w="800" w:type="dxa"/>
                                  <w:shd w:val="clear" w:color="auto" w:fill="92D050"/>
                                  <w:hideMark/>
                                </w:tcPr>
                                <w:p w14:paraId="2D7031B4"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41A6B652" w14:textId="77777777" w:rsidTr="00222069">
                              <w:trPr>
                                <w:trHeight w:val="477"/>
                              </w:trPr>
                              <w:tc>
                                <w:tcPr>
                                  <w:tcW w:w="3581" w:type="dxa"/>
                                  <w:hideMark/>
                                </w:tcPr>
                                <w:p w14:paraId="6F9086B8" w14:textId="10D91365"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4. Women’s voice in decision making, leadership, and peace and security and humanitarian responses</w:t>
                                  </w:r>
                                  <w:r>
                                    <w:rPr>
                                      <w:rFonts w:eastAsia="Calibri" w:cs="Calibri"/>
                                      <w:color w:val="000000"/>
                                      <w:kern w:val="24"/>
                                      <w:sz w:val="20"/>
                                      <w:szCs w:val="20"/>
                                      <w:lang w:val="en-AU"/>
                                    </w:rPr>
                                    <w:t xml:space="preserve"> </w:t>
                                  </w:r>
                                </w:p>
                              </w:tc>
                              <w:tc>
                                <w:tcPr>
                                  <w:tcW w:w="800" w:type="dxa"/>
                                  <w:shd w:val="clear" w:color="auto" w:fill="FFC000"/>
                                  <w:hideMark/>
                                </w:tcPr>
                                <w:p w14:paraId="168D313D"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2FC0BAA3" w14:textId="77777777" w:rsidTr="00222069">
                              <w:trPr>
                                <w:trHeight w:val="456"/>
                              </w:trPr>
                              <w:tc>
                                <w:tcPr>
                                  <w:tcW w:w="3581" w:type="dxa"/>
                                  <w:hideMark/>
                                </w:tcPr>
                                <w:p w14:paraId="33AD345E" w14:textId="17B70354"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5. Women’s economic empowerment (WEE)</w:t>
                                  </w:r>
                                </w:p>
                              </w:tc>
                              <w:tc>
                                <w:tcPr>
                                  <w:tcW w:w="800" w:type="dxa"/>
                                  <w:shd w:val="clear" w:color="auto" w:fill="92D050"/>
                                  <w:hideMark/>
                                </w:tcPr>
                                <w:p w14:paraId="16BEC60E"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5EADB09D" w14:textId="77777777" w:rsidTr="00222069">
                              <w:trPr>
                                <w:trHeight w:val="477"/>
                              </w:trPr>
                              <w:tc>
                                <w:tcPr>
                                  <w:tcW w:w="3581" w:type="dxa"/>
                                  <w:hideMark/>
                                </w:tcPr>
                                <w:p w14:paraId="0FC4D7DC" w14:textId="1CB84D2E"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6. Ending Violence against Women and Girls (EVAWG)</w:t>
                                  </w:r>
                                </w:p>
                              </w:tc>
                              <w:tc>
                                <w:tcPr>
                                  <w:tcW w:w="800" w:type="dxa"/>
                                  <w:shd w:val="clear" w:color="auto" w:fill="92D050"/>
                                  <w:hideMark/>
                                </w:tcPr>
                                <w:p w14:paraId="0D99C1D5" w14:textId="77777777" w:rsidR="00843214" w:rsidRPr="009E72E7" w:rsidRDefault="00843214" w:rsidP="00EC2C6D">
                                  <w:pPr>
                                    <w:rPr>
                                      <w:rFonts w:ascii="Arial" w:eastAsia="Times New Roman" w:hAnsi="Arial" w:cs="Arial"/>
                                      <w:color w:val="auto"/>
                                      <w:szCs w:val="20"/>
                                    </w:rPr>
                                  </w:pPr>
                                  <w:r w:rsidRPr="009E72E7">
                                    <w:rPr>
                                      <w:rFonts w:eastAsia="Calibri"/>
                                      <w:color w:val="00629B"/>
                                      <w:kern w:val="24"/>
                                      <w:szCs w:val="20"/>
                                      <w:lang w:val="en-AU"/>
                                    </w:rPr>
                                    <w:t> </w:t>
                                  </w:r>
                                </w:p>
                              </w:tc>
                            </w:tr>
                            <w:tr w:rsidR="00843214" w:rsidRPr="009E72E7" w14:paraId="151F0077" w14:textId="77777777" w:rsidTr="00222069">
                              <w:trPr>
                                <w:trHeight w:val="477"/>
                              </w:trPr>
                              <w:tc>
                                <w:tcPr>
                                  <w:tcW w:w="3581" w:type="dxa"/>
                                  <w:hideMark/>
                                </w:tcPr>
                                <w:p w14:paraId="485D65A1" w14:textId="642DB1E9"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7. Working with women’s organisations and agencies</w:t>
                                  </w:r>
                                </w:p>
                              </w:tc>
                              <w:tc>
                                <w:tcPr>
                                  <w:tcW w:w="800" w:type="dxa"/>
                                  <w:shd w:val="clear" w:color="auto" w:fill="92D050"/>
                                  <w:hideMark/>
                                </w:tcPr>
                                <w:p w14:paraId="4210AF39"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120AB978" w14:textId="77777777" w:rsidTr="00222069">
                              <w:trPr>
                                <w:trHeight w:val="268"/>
                              </w:trPr>
                              <w:tc>
                                <w:tcPr>
                                  <w:tcW w:w="3581" w:type="dxa"/>
                                  <w:hideMark/>
                                </w:tcPr>
                                <w:p w14:paraId="61619824"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8. Disability inclusive development</w:t>
                                  </w:r>
                                </w:p>
                              </w:tc>
                              <w:tc>
                                <w:tcPr>
                                  <w:tcW w:w="800" w:type="dxa"/>
                                  <w:shd w:val="clear" w:color="auto" w:fill="FFC000"/>
                                  <w:hideMark/>
                                </w:tcPr>
                                <w:p w14:paraId="78167EC8"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35A2B130" w14:textId="77777777" w:rsidTr="00222069">
                              <w:trPr>
                                <w:trHeight w:val="133"/>
                              </w:trPr>
                              <w:tc>
                                <w:tcPr>
                                  <w:tcW w:w="3581" w:type="dxa"/>
                                  <w:hideMark/>
                                </w:tcPr>
                                <w:p w14:paraId="4079D8FB"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 xml:space="preserve">9. Private sector and innovation </w:t>
                                  </w:r>
                                </w:p>
                              </w:tc>
                              <w:tc>
                                <w:tcPr>
                                  <w:tcW w:w="800" w:type="dxa"/>
                                  <w:shd w:val="clear" w:color="auto" w:fill="FFC000"/>
                                  <w:hideMark/>
                                </w:tcPr>
                                <w:p w14:paraId="1D85EB5B"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bl>
                          <w:p w14:paraId="3D7461F1" w14:textId="77777777" w:rsidR="00843214" w:rsidRPr="00EC2C6D" w:rsidRDefault="00843214" w:rsidP="007F2363">
                            <w:pPr>
                              <w:rPr>
                                <w:sz w:val="8"/>
                                <w:szCs w:val="8"/>
                              </w:rPr>
                            </w:pPr>
                          </w:p>
                          <w:tbl>
                            <w:tblPr>
                              <w:tblStyle w:val="IODPARCblanktable1"/>
                              <w:tblW w:w="0" w:type="auto"/>
                              <w:tblInd w:w="90" w:type="dxa"/>
                              <w:tblLook w:val="04A0" w:firstRow="1" w:lastRow="0" w:firstColumn="1" w:lastColumn="0" w:noHBand="0" w:noVBand="1"/>
                            </w:tblPr>
                            <w:tblGrid>
                              <w:gridCol w:w="248"/>
                              <w:gridCol w:w="2722"/>
                            </w:tblGrid>
                            <w:tr w:rsidR="00843214" w:rsidRPr="00763E7C" w14:paraId="2E63D725" w14:textId="77777777" w:rsidTr="00E818C0">
                              <w:trPr>
                                <w:trHeight w:hRule="exact" w:val="284"/>
                              </w:trPr>
                              <w:tc>
                                <w:tcPr>
                                  <w:tcW w:w="248" w:type="dxa"/>
                                  <w:shd w:val="clear" w:color="auto" w:fill="92D050"/>
                                </w:tcPr>
                                <w:p w14:paraId="34DE3CC8" w14:textId="77777777" w:rsidR="00843214" w:rsidRPr="00763E7C" w:rsidRDefault="00843214" w:rsidP="00EC2C6D">
                                  <w:pPr>
                                    <w:spacing w:after="200"/>
                                    <w:rPr>
                                      <w:i/>
                                      <w:iCs/>
                                      <w:color w:val="00A499" w:themeColor="text2"/>
                                      <w:sz w:val="18"/>
                                      <w:szCs w:val="18"/>
                                      <w:lang w:val="en-AU"/>
                                    </w:rPr>
                                  </w:pPr>
                                </w:p>
                              </w:tc>
                              <w:tc>
                                <w:tcPr>
                                  <w:tcW w:w="2722" w:type="dxa"/>
                                </w:tcPr>
                                <w:p w14:paraId="4CCEA384" w14:textId="7649A814" w:rsidR="00843214" w:rsidRPr="00843214" w:rsidRDefault="00843214" w:rsidP="00E818C0">
                                  <w:pPr>
                                    <w:spacing w:after="200"/>
                                    <w:ind w:right="-80"/>
                                    <w:rPr>
                                      <w:i/>
                                      <w:iCs/>
                                      <w:sz w:val="18"/>
                                      <w:szCs w:val="18"/>
                                      <w:lang w:val="en-AU"/>
                                    </w:rPr>
                                  </w:pPr>
                                  <w:r w:rsidRPr="00843214">
                                    <w:rPr>
                                      <w:i/>
                                      <w:iCs/>
                                      <w:sz w:val="18"/>
                                      <w:szCs w:val="18"/>
                                      <w:lang w:val="en-AU"/>
                                    </w:rPr>
                                    <w:t>Progress as expected</w:t>
                                  </w:r>
                                </w:p>
                              </w:tc>
                            </w:tr>
                            <w:tr w:rsidR="00843214" w:rsidRPr="00763E7C" w14:paraId="2A412B1B" w14:textId="77777777" w:rsidTr="00E818C0">
                              <w:trPr>
                                <w:trHeight w:hRule="exact" w:val="284"/>
                              </w:trPr>
                              <w:tc>
                                <w:tcPr>
                                  <w:tcW w:w="248" w:type="dxa"/>
                                  <w:shd w:val="clear" w:color="auto" w:fill="FFC000"/>
                                </w:tcPr>
                                <w:p w14:paraId="47417843" w14:textId="77777777" w:rsidR="00843214" w:rsidRPr="00763E7C" w:rsidRDefault="00843214" w:rsidP="00EC2C6D">
                                  <w:pPr>
                                    <w:spacing w:after="200"/>
                                    <w:rPr>
                                      <w:i/>
                                      <w:iCs/>
                                      <w:color w:val="00A499" w:themeColor="text2"/>
                                      <w:sz w:val="18"/>
                                      <w:szCs w:val="18"/>
                                      <w:lang w:val="en-AU"/>
                                    </w:rPr>
                                  </w:pPr>
                                </w:p>
                              </w:tc>
                              <w:tc>
                                <w:tcPr>
                                  <w:tcW w:w="2722" w:type="dxa"/>
                                </w:tcPr>
                                <w:p w14:paraId="35AF89AB" w14:textId="6333AFEF" w:rsidR="00843214" w:rsidRPr="00843214" w:rsidRDefault="00843214" w:rsidP="00EC2C6D">
                                  <w:pPr>
                                    <w:spacing w:after="200"/>
                                    <w:rPr>
                                      <w:i/>
                                      <w:iCs/>
                                      <w:sz w:val="18"/>
                                      <w:szCs w:val="18"/>
                                      <w:lang w:val="en-AU"/>
                                    </w:rPr>
                                  </w:pPr>
                                  <w:r w:rsidRPr="00843214">
                                    <w:rPr>
                                      <w:i/>
                                      <w:iCs/>
                                      <w:sz w:val="18"/>
                                      <w:szCs w:val="18"/>
                                      <w:lang w:val="en-AU"/>
                                    </w:rPr>
                                    <w:t>Progress less than expected</w:t>
                                  </w:r>
                                </w:p>
                              </w:tc>
                            </w:tr>
                          </w:tbl>
                          <w:p w14:paraId="211F7750" w14:textId="77777777" w:rsidR="00843214" w:rsidRDefault="00843214" w:rsidP="007F2363"/>
                          <w:p w14:paraId="4F30FCFF" w14:textId="77777777" w:rsidR="00843214" w:rsidRDefault="00843214" w:rsidP="007F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EBEBF" id="_x0000_s1028" type="#_x0000_t202" alt="&quot;&quot;" style="position:absolute;margin-left:188.8pt;margin-top:94.55pt;width:240pt;height:307.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" stroked="f">
                <v:textbox>
                  <w:txbxContent>
                    <w:tbl>
                      <w:tblPr>
                        <w:tblStyle w:val="TableGridLight"/>
                        <w:tblW w:w="4381" w:type="dxa"/>
                        <w:tblLook w:val="04A0" w:firstRow="1" w:lastRow="0" w:firstColumn="1" w:lastColumn="0" w:noHBand="0" w:noVBand="1"/>
                      </w:tblPr>
                      <w:tblGrid>
                        <w:gridCol w:w="3581"/>
                        <w:gridCol w:w="800"/>
                      </w:tblGrid>
                      <w:tr w:rsidR="00843214" w:rsidRPr="009E72E7" w14:paraId="55C6D199" w14:textId="77777777" w:rsidTr="00222069">
                        <w:trPr>
                          <w:trHeight w:val="401"/>
                        </w:trPr>
                        <w:tc>
                          <w:tcPr>
                            <w:tcW w:w="4381" w:type="dxa"/>
                            <w:gridSpan w:val="2"/>
                          </w:tcPr>
                          <w:p w14:paraId="7B10FD00" w14:textId="1C6BBB31" w:rsidR="00843214" w:rsidRPr="001A5F83" w:rsidRDefault="00843214" w:rsidP="00EC2C6D">
                            <w:pPr>
                              <w:spacing w:after="0"/>
                              <w:jc w:val="center"/>
                              <w:rPr>
                                <w:rFonts w:eastAsia="Calibri" w:cs="Calibri"/>
                                <w:b/>
                                <w:bCs/>
                                <w:color w:val="000000"/>
                                <w:kern w:val="24"/>
                                <w:sz w:val="20"/>
                                <w:szCs w:val="20"/>
                                <w:lang w:val="en-AU"/>
                              </w:rPr>
                            </w:pPr>
                            <w:r w:rsidRPr="001A5F83">
                              <w:rPr>
                                <w:b/>
                                <w:bCs/>
                                <w:sz w:val="20"/>
                                <w:szCs w:val="20"/>
                              </w:rPr>
                              <w:t>Overview of progress against the nine shared SPF objectives</w:t>
                            </w:r>
                          </w:p>
                        </w:tc>
                      </w:tr>
                      <w:tr w:rsidR="00843214" w:rsidRPr="009E72E7" w14:paraId="0035B9C0" w14:textId="77777777" w:rsidTr="00222069">
                        <w:trPr>
                          <w:trHeight w:val="401"/>
                        </w:trPr>
                        <w:tc>
                          <w:tcPr>
                            <w:tcW w:w="3581" w:type="dxa"/>
                            <w:hideMark/>
                          </w:tcPr>
                          <w:p w14:paraId="4763CA4D" w14:textId="77777777" w:rsidR="00843214" w:rsidRPr="001A5F83" w:rsidRDefault="00843214" w:rsidP="00EC2C6D">
                            <w:pPr>
                              <w:spacing w:after="0" w:line="480" w:lineRule="auto"/>
                              <w:rPr>
                                <w:rFonts w:ascii="Arial" w:eastAsia="Times New Roman" w:hAnsi="Arial" w:cs="Arial"/>
                                <w:color w:val="auto"/>
                                <w:sz w:val="20"/>
                                <w:szCs w:val="20"/>
                              </w:rPr>
                            </w:pPr>
                            <w:r w:rsidRPr="001A5F83">
                              <w:rPr>
                                <w:rFonts w:eastAsia="Calibri" w:cs="Calibri"/>
                                <w:b/>
                                <w:bCs/>
                                <w:color w:val="000000"/>
                                <w:kern w:val="24"/>
                                <w:sz w:val="20"/>
                                <w:szCs w:val="20"/>
                                <w:lang w:val="en-AU"/>
                              </w:rPr>
                              <w:t>Objective</w:t>
                            </w:r>
                          </w:p>
                        </w:tc>
                        <w:tc>
                          <w:tcPr>
                            <w:tcW w:w="800" w:type="dxa"/>
                            <w:hideMark/>
                          </w:tcPr>
                          <w:p w14:paraId="5A54BF24" w14:textId="77777777" w:rsidR="00843214" w:rsidRPr="009E72E7" w:rsidRDefault="00843214" w:rsidP="00EC2C6D">
                            <w:pPr>
                              <w:spacing w:after="0" w:line="480" w:lineRule="auto"/>
                              <w:rPr>
                                <w:rFonts w:ascii="Arial" w:eastAsia="Times New Roman" w:hAnsi="Arial" w:cs="Arial"/>
                                <w:color w:val="auto"/>
                                <w:szCs w:val="20"/>
                              </w:rPr>
                            </w:pPr>
                            <w:r w:rsidRPr="009E72E7">
                              <w:rPr>
                                <w:rFonts w:eastAsia="Calibri" w:cs="Calibri"/>
                                <w:b/>
                                <w:bCs/>
                                <w:color w:val="000000"/>
                                <w:kern w:val="24"/>
                                <w:szCs w:val="20"/>
                                <w:lang w:val="en-AU"/>
                              </w:rPr>
                              <w:t>rating</w:t>
                            </w:r>
                          </w:p>
                        </w:tc>
                      </w:tr>
                      <w:tr w:rsidR="00843214" w:rsidRPr="009E72E7" w14:paraId="4F35AC0E" w14:textId="77777777" w:rsidTr="00222069">
                        <w:trPr>
                          <w:trHeight w:val="316"/>
                        </w:trPr>
                        <w:tc>
                          <w:tcPr>
                            <w:tcW w:w="3581" w:type="dxa"/>
                            <w:hideMark/>
                          </w:tcPr>
                          <w:p w14:paraId="28239CEB" w14:textId="77777777" w:rsidR="00843214" w:rsidRPr="001A5F83" w:rsidRDefault="00843214" w:rsidP="00EC2C6D">
                            <w:pPr>
                              <w:spacing w:after="0"/>
                              <w:rPr>
                                <w:rFonts w:eastAsia="Calibri" w:cs="Calibri"/>
                                <w:color w:val="000000"/>
                                <w:kern w:val="24"/>
                                <w:sz w:val="20"/>
                                <w:szCs w:val="20"/>
                                <w:lang w:val="en-AU"/>
                              </w:rPr>
                            </w:pPr>
                            <w:r w:rsidRPr="001A5F83">
                              <w:rPr>
                                <w:rFonts w:eastAsia="Calibri" w:cs="Calibri"/>
                                <w:color w:val="000000"/>
                                <w:kern w:val="24"/>
                                <w:sz w:val="20"/>
                                <w:szCs w:val="20"/>
                                <w:lang w:val="en-AU"/>
                              </w:rPr>
                              <w:t>1. Performance</w:t>
                            </w:r>
                          </w:p>
                        </w:tc>
                        <w:tc>
                          <w:tcPr>
                            <w:tcW w:w="800" w:type="dxa"/>
                            <w:shd w:val="clear" w:color="auto" w:fill="92D050"/>
                            <w:hideMark/>
                          </w:tcPr>
                          <w:p w14:paraId="7947B69D" w14:textId="77777777" w:rsidR="00843214" w:rsidRPr="009E72E7" w:rsidRDefault="00843214" w:rsidP="00EC2C6D">
                            <w:pPr>
                              <w:spacing w:after="0"/>
                              <w:rPr>
                                <w:rFonts w:ascii="Arial" w:eastAsia="Times New Roman" w:hAnsi="Arial" w:cs="Arial"/>
                                <w:color w:val="auto"/>
                                <w:szCs w:val="20"/>
                              </w:rPr>
                            </w:pPr>
                            <w:r w:rsidRPr="009E72E7">
                              <w:rPr>
                                <w:rFonts w:eastAsia="Calibri" w:cs="Calibri"/>
                                <w:color w:val="000000"/>
                                <w:kern w:val="24"/>
                                <w:szCs w:val="20"/>
                                <w:lang w:val="en-AU"/>
                              </w:rPr>
                              <w:t> </w:t>
                            </w:r>
                          </w:p>
                        </w:tc>
                      </w:tr>
                      <w:tr w:rsidR="00843214" w:rsidRPr="009E72E7" w14:paraId="61457406" w14:textId="77777777" w:rsidTr="00222069">
                        <w:trPr>
                          <w:trHeight w:val="296"/>
                        </w:trPr>
                        <w:tc>
                          <w:tcPr>
                            <w:tcW w:w="3581" w:type="dxa"/>
                            <w:hideMark/>
                          </w:tcPr>
                          <w:p w14:paraId="59167B36"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2. Normative</w:t>
                            </w:r>
                          </w:p>
                        </w:tc>
                        <w:tc>
                          <w:tcPr>
                            <w:tcW w:w="800" w:type="dxa"/>
                            <w:shd w:val="clear" w:color="auto" w:fill="92D050"/>
                            <w:hideMark/>
                          </w:tcPr>
                          <w:p w14:paraId="4E81B68F" w14:textId="77777777" w:rsidR="00843214" w:rsidRPr="009E72E7" w:rsidRDefault="00843214" w:rsidP="00EC2C6D">
                            <w:pPr>
                              <w:spacing w:after="0"/>
                              <w:rPr>
                                <w:rFonts w:ascii="Arial" w:eastAsia="Times New Roman" w:hAnsi="Arial" w:cs="Arial"/>
                                <w:color w:val="auto"/>
                                <w:szCs w:val="20"/>
                              </w:rPr>
                            </w:pPr>
                            <w:r w:rsidRPr="009E72E7">
                              <w:rPr>
                                <w:rFonts w:eastAsia="Calibri" w:cs="Calibri"/>
                                <w:color w:val="000000"/>
                                <w:kern w:val="24"/>
                                <w:szCs w:val="20"/>
                                <w:lang w:val="en-AU"/>
                              </w:rPr>
                              <w:t> </w:t>
                            </w:r>
                          </w:p>
                        </w:tc>
                      </w:tr>
                      <w:tr w:rsidR="00843214" w:rsidRPr="009E72E7" w14:paraId="442F8F12" w14:textId="77777777" w:rsidTr="00222069">
                        <w:trPr>
                          <w:trHeight w:val="340"/>
                        </w:trPr>
                        <w:tc>
                          <w:tcPr>
                            <w:tcW w:w="3581" w:type="dxa"/>
                            <w:hideMark/>
                          </w:tcPr>
                          <w:p w14:paraId="4080EF7C"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 xml:space="preserve">3. Coordination </w:t>
                            </w:r>
                          </w:p>
                        </w:tc>
                        <w:tc>
                          <w:tcPr>
                            <w:tcW w:w="800" w:type="dxa"/>
                            <w:shd w:val="clear" w:color="auto" w:fill="92D050"/>
                            <w:hideMark/>
                          </w:tcPr>
                          <w:p w14:paraId="2D7031B4"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41A6B652" w14:textId="77777777" w:rsidTr="00222069">
                        <w:trPr>
                          <w:trHeight w:val="477"/>
                        </w:trPr>
                        <w:tc>
                          <w:tcPr>
                            <w:tcW w:w="3581" w:type="dxa"/>
                            <w:hideMark/>
                          </w:tcPr>
                          <w:p w14:paraId="6F9086B8" w14:textId="10D91365"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4. Women’s voice in decision making, leadership, and peace and security and humanitarian responses</w:t>
                            </w:r>
                            <w:r>
                              <w:rPr>
                                <w:rFonts w:eastAsia="Calibri" w:cs="Calibri"/>
                                <w:color w:val="000000"/>
                                <w:kern w:val="24"/>
                                <w:sz w:val="20"/>
                                <w:szCs w:val="20"/>
                                <w:lang w:val="en-AU"/>
                              </w:rPr>
                              <w:t xml:space="preserve"> </w:t>
                            </w:r>
                          </w:p>
                        </w:tc>
                        <w:tc>
                          <w:tcPr>
                            <w:tcW w:w="800" w:type="dxa"/>
                            <w:shd w:val="clear" w:color="auto" w:fill="FFC000"/>
                            <w:hideMark/>
                          </w:tcPr>
                          <w:p w14:paraId="168D313D"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2FC0BAA3" w14:textId="77777777" w:rsidTr="00222069">
                        <w:trPr>
                          <w:trHeight w:val="456"/>
                        </w:trPr>
                        <w:tc>
                          <w:tcPr>
                            <w:tcW w:w="3581" w:type="dxa"/>
                            <w:hideMark/>
                          </w:tcPr>
                          <w:p w14:paraId="33AD345E" w14:textId="17B70354"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5. Women’s economic empowerment (WEE)</w:t>
                            </w:r>
                          </w:p>
                        </w:tc>
                        <w:tc>
                          <w:tcPr>
                            <w:tcW w:w="800" w:type="dxa"/>
                            <w:shd w:val="clear" w:color="auto" w:fill="92D050"/>
                            <w:hideMark/>
                          </w:tcPr>
                          <w:p w14:paraId="16BEC60E"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5EADB09D" w14:textId="77777777" w:rsidTr="00222069">
                        <w:trPr>
                          <w:trHeight w:val="477"/>
                        </w:trPr>
                        <w:tc>
                          <w:tcPr>
                            <w:tcW w:w="3581" w:type="dxa"/>
                            <w:hideMark/>
                          </w:tcPr>
                          <w:p w14:paraId="0FC4D7DC" w14:textId="1CB84D2E"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6. Ending Violence against Women and Girls (EVAWG)</w:t>
                            </w:r>
                          </w:p>
                        </w:tc>
                        <w:tc>
                          <w:tcPr>
                            <w:tcW w:w="800" w:type="dxa"/>
                            <w:shd w:val="clear" w:color="auto" w:fill="92D050"/>
                            <w:hideMark/>
                          </w:tcPr>
                          <w:p w14:paraId="0D99C1D5" w14:textId="77777777" w:rsidR="00843214" w:rsidRPr="009E72E7" w:rsidRDefault="00843214" w:rsidP="00EC2C6D">
                            <w:pPr>
                              <w:rPr>
                                <w:rFonts w:ascii="Arial" w:eastAsia="Times New Roman" w:hAnsi="Arial" w:cs="Arial"/>
                                <w:color w:val="auto"/>
                                <w:szCs w:val="20"/>
                              </w:rPr>
                            </w:pPr>
                            <w:r w:rsidRPr="009E72E7">
                              <w:rPr>
                                <w:rFonts w:eastAsia="Calibri"/>
                                <w:color w:val="00629B"/>
                                <w:kern w:val="24"/>
                                <w:szCs w:val="20"/>
                                <w:lang w:val="en-AU"/>
                              </w:rPr>
                              <w:t> </w:t>
                            </w:r>
                          </w:p>
                        </w:tc>
                      </w:tr>
                      <w:tr w:rsidR="00843214" w:rsidRPr="009E72E7" w14:paraId="151F0077" w14:textId="77777777" w:rsidTr="00222069">
                        <w:trPr>
                          <w:trHeight w:val="477"/>
                        </w:trPr>
                        <w:tc>
                          <w:tcPr>
                            <w:tcW w:w="3581" w:type="dxa"/>
                            <w:hideMark/>
                          </w:tcPr>
                          <w:p w14:paraId="485D65A1" w14:textId="642DB1E9"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7. Working with women’s organisations and agencies</w:t>
                            </w:r>
                          </w:p>
                        </w:tc>
                        <w:tc>
                          <w:tcPr>
                            <w:tcW w:w="800" w:type="dxa"/>
                            <w:shd w:val="clear" w:color="auto" w:fill="92D050"/>
                            <w:hideMark/>
                          </w:tcPr>
                          <w:p w14:paraId="4210AF39"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120AB978" w14:textId="77777777" w:rsidTr="00222069">
                        <w:trPr>
                          <w:trHeight w:val="268"/>
                        </w:trPr>
                        <w:tc>
                          <w:tcPr>
                            <w:tcW w:w="3581" w:type="dxa"/>
                            <w:hideMark/>
                          </w:tcPr>
                          <w:p w14:paraId="61619824"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8. Disability inclusive development</w:t>
                            </w:r>
                          </w:p>
                        </w:tc>
                        <w:tc>
                          <w:tcPr>
                            <w:tcW w:w="800" w:type="dxa"/>
                            <w:shd w:val="clear" w:color="auto" w:fill="FFC000"/>
                            <w:hideMark/>
                          </w:tcPr>
                          <w:p w14:paraId="78167EC8"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r w:rsidR="00843214" w:rsidRPr="009E72E7" w14:paraId="35A2B130" w14:textId="77777777" w:rsidTr="00222069">
                        <w:trPr>
                          <w:trHeight w:val="133"/>
                        </w:trPr>
                        <w:tc>
                          <w:tcPr>
                            <w:tcW w:w="3581" w:type="dxa"/>
                            <w:hideMark/>
                          </w:tcPr>
                          <w:p w14:paraId="4079D8FB" w14:textId="77777777" w:rsidR="00843214" w:rsidRPr="001A5F83" w:rsidRDefault="00843214" w:rsidP="00EC2C6D">
                            <w:pPr>
                              <w:spacing w:after="0"/>
                              <w:rPr>
                                <w:rFonts w:ascii="Arial" w:eastAsia="Times New Roman" w:hAnsi="Arial" w:cs="Arial"/>
                                <w:color w:val="auto"/>
                                <w:sz w:val="20"/>
                                <w:szCs w:val="20"/>
                              </w:rPr>
                            </w:pPr>
                            <w:r w:rsidRPr="001A5F83">
                              <w:rPr>
                                <w:rFonts w:eastAsia="Calibri" w:cs="Calibri"/>
                                <w:color w:val="000000"/>
                                <w:kern w:val="24"/>
                                <w:sz w:val="20"/>
                                <w:szCs w:val="20"/>
                                <w:lang w:val="en-AU"/>
                              </w:rPr>
                              <w:t xml:space="preserve">9. Private sector and innovation </w:t>
                            </w:r>
                          </w:p>
                        </w:tc>
                        <w:tc>
                          <w:tcPr>
                            <w:tcW w:w="800" w:type="dxa"/>
                            <w:shd w:val="clear" w:color="auto" w:fill="FFC000"/>
                            <w:hideMark/>
                          </w:tcPr>
                          <w:p w14:paraId="1D85EB5B" w14:textId="77777777" w:rsidR="00843214" w:rsidRPr="009E72E7" w:rsidRDefault="00843214" w:rsidP="00EC2C6D">
                            <w:pPr>
                              <w:rPr>
                                <w:rFonts w:ascii="Arial" w:eastAsia="Times New Roman" w:hAnsi="Arial" w:cs="Arial"/>
                                <w:color w:val="auto"/>
                                <w:szCs w:val="20"/>
                              </w:rPr>
                            </w:pPr>
                            <w:r w:rsidRPr="009E72E7">
                              <w:rPr>
                                <w:rFonts w:eastAsia="Calibri"/>
                                <w:color w:val="000000"/>
                                <w:kern w:val="24"/>
                                <w:szCs w:val="20"/>
                                <w:lang w:val="en-AU"/>
                              </w:rPr>
                              <w:t> </w:t>
                            </w:r>
                          </w:p>
                        </w:tc>
                      </w:tr>
                    </w:tbl>
                    <w:p w14:paraId="3D7461F1" w14:textId="77777777" w:rsidR="00843214" w:rsidRPr="00EC2C6D" w:rsidRDefault="00843214" w:rsidP="007F2363">
                      <w:pPr>
                        <w:rPr>
                          <w:sz w:val="8"/>
                          <w:szCs w:val="8"/>
                        </w:rPr>
                      </w:pPr>
                    </w:p>
                    <w:tbl>
                      <w:tblPr>
                        <w:tblStyle w:val="IODPARCblanktable1"/>
                        <w:tblW w:w="0" w:type="auto"/>
                        <w:tblInd w:w="90" w:type="dxa"/>
                        <w:tblLook w:val="04A0" w:firstRow="1" w:lastRow="0" w:firstColumn="1" w:lastColumn="0" w:noHBand="0" w:noVBand="1"/>
                      </w:tblPr>
                      <w:tblGrid>
                        <w:gridCol w:w="248"/>
                        <w:gridCol w:w="2722"/>
                      </w:tblGrid>
                      <w:tr w:rsidR="00843214" w:rsidRPr="00763E7C" w14:paraId="2E63D725" w14:textId="77777777" w:rsidTr="00E818C0">
                        <w:trPr>
                          <w:trHeight w:hRule="exact" w:val="284"/>
                        </w:trPr>
                        <w:tc>
                          <w:tcPr>
                            <w:tcW w:w="248" w:type="dxa"/>
                            <w:shd w:val="clear" w:color="auto" w:fill="92D050"/>
                          </w:tcPr>
                          <w:p w14:paraId="34DE3CC8" w14:textId="77777777" w:rsidR="00843214" w:rsidRPr="00763E7C" w:rsidRDefault="00843214" w:rsidP="00EC2C6D">
                            <w:pPr>
                              <w:spacing w:after="200"/>
                              <w:rPr>
                                <w:i/>
                                <w:iCs/>
                                <w:color w:val="00A499" w:themeColor="text2"/>
                                <w:sz w:val="18"/>
                                <w:szCs w:val="18"/>
                                <w:lang w:val="en-AU"/>
                              </w:rPr>
                            </w:pPr>
                          </w:p>
                        </w:tc>
                        <w:tc>
                          <w:tcPr>
                            <w:tcW w:w="2722" w:type="dxa"/>
                          </w:tcPr>
                          <w:p w14:paraId="4CCEA384" w14:textId="7649A814" w:rsidR="00843214" w:rsidRPr="00843214" w:rsidRDefault="00843214" w:rsidP="00E818C0">
                            <w:pPr>
                              <w:spacing w:after="200"/>
                              <w:ind w:right="-80"/>
                              <w:rPr>
                                <w:i/>
                                <w:iCs/>
                                <w:sz w:val="18"/>
                                <w:szCs w:val="18"/>
                                <w:lang w:val="en-AU"/>
                              </w:rPr>
                            </w:pPr>
                            <w:r w:rsidRPr="00843214">
                              <w:rPr>
                                <w:i/>
                                <w:iCs/>
                                <w:sz w:val="18"/>
                                <w:szCs w:val="18"/>
                                <w:lang w:val="en-AU"/>
                              </w:rPr>
                              <w:t>Progress as expected</w:t>
                            </w:r>
                          </w:p>
                        </w:tc>
                      </w:tr>
                      <w:tr w:rsidR="00843214" w:rsidRPr="00763E7C" w14:paraId="2A412B1B" w14:textId="77777777" w:rsidTr="00E818C0">
                        <w:trPr>
                          <w:trHeight w:hRule="exact" w:val="284"/>
                        </w:trPr>
                        <w:tc>
                          <w:tcPr>
                            <w:tcW w:w="248" w:type="dxa"/>
                            <w:shd w:val="clear" w:color="auto" w:fill="FFC000"/>
                          </w:tcPr>
                          <w:p w14:paraId="47417843" w14:textId="77777777" w:rsidR="00843214" w:rsidRPr="00763E7C" w:rsidRDefault="00843214" w:rsidP="00EC2C6D">
                            <w:pPr>
                              <w:spacing w:after="200"/>
                              <w:rPr>
                                <w:i/>
                                <w:iCs/>
                                <w:color w:val="00A499" w:themeColor="text2"/>
                                <w:sz w:val="18"/>
                                <w:szCs w:val="18"/>
                                <w:lang w:val="en-AU"/>
                              </w:rPr>
                            </w:pPr>
                          </w:p>
                        </w:tc>
                        <w:tc>
                          <w:tcPr>
                            <w:tcW w:w="2722" w:type="dxa"/>
                          </w:tcPr>
                          <w:p w14:paraId="35AF89AB" w14:textId="6333AFEF" w:rsidR="00843214" w:rsidRPr="00843214" w:rsidRDefault="00843214" w:rsidP="00EC2C6D">
                            <w:pPr>
                              <w:spacing w:after="200"/>
                              <w:rPr>
                                <w:i/>
                                <w:iCs/>
                                <w:sz w:val="18"/>
                                <w:szCs w:val="18"/>
                                <w:lang w:val="en-AU"/>
                              </w:rPr>
                            </w:pPr>
                            <w:r w:rsidRPr="00843214">
                              <w:rPr>
                                <w:i/>
                                <w:iCs/>
                                <w:sz w:val="18"/>
                                <w:szCs w:val="18"/>
                                <w:lang w:val="en-AU"/>
                              </w:rPr>
                              <w:t>Progress less than expected</w:t>
                            </w:r>
                          </w:p>
                        </w:tc>
                      </w:tr>
                    </w:tbl>
                    <w:p w14:paraId="211F7750" w14:textId="77777777" w:rsidR="00843214" w:rsidRDefault="00843214" w:rsidP="007F2363"/>
                    <w:p w14:paraId="4F30FCFF" w14:textId="77777777" w:rsidR="00843214" w:rsidRDefault="00843214" w:rsidP="007F2363"/>
                  </w:txbxContent>
                </v:textbox>
                <w10:wrap type="square" anchorx="margin"/>
              </v:shape>
            </w:pict>
          </mc:Fallback>
        </mc:AlternateContent>
      </w:r>
      <w:r w:rsidR="00C5091C" w:rsidRPr="00843214">
        <w:rPr>
          <w:color w:val="auto"/>
          <w:lang w:val="en-AU"/>
        </w:rPr>
        <w:t xml:space="preserve">Australia’s </w:t>
      </w:r>
      <w:r w:rsidR="00271607" w:rsidRPr="00843214">
        <w:rPr>
          <w:color w:val="auto"/>
          <w:lang w:val="en-AU"/>
        </w:rPr>
        <w:t>Department of Foreign Affairs and Trade (</w:t>
      </w:r>
      <w:r w:rsidR="001A4984" w:rsidRPr="00843214">
        <w:rPr>
          <w:color w:val="auto"/>
          <w:lang w:val="en-AU"/>
        </w:rPr>
        <w:t>DFAT</w:t>
      </w:r>
      <w:r w:rsidR="00271607" w:rsidRPr="00843214">
        <w:rPr>
          <w:color w:val="auto"/>
          <w:lang w:val="en-AU"/>
        </w:rPr>
        <w:t>)</w:t>
      </w:r>
      <w:r w:rsidR="001A4984" w:rsidRPr="00843214">
        <w:rPr>
          <w:color w:val="auto"/>
          <w:lang w:val="en-AU"/>
        </w:rPr>
        <w:t xml:space="preserve"> and UN Women commissioned </w:t>
      </w:r>
      <w:r w:rsidR="00305248" w:rsidRPr="00843214">
        <w:rPr>
          <w:color w:val="auto"/>
          <w:lang w:val="en-AU"/>
        </w:rPr>
        <w:t>a</w:t>
      </w:r>
      <w:r w:rsidR="001A4984" w:rsidRPr="00843214">
        <w:rPr>
          <w:color w:val="auto"/>
          <w:lang w:val="en-AU"/>
        </w:rPr>
        <w:t xml:space="preserve"> review</w:t>
      </w:r>
      <w:r w:rsidR="001A4984" w:rsidRPr="00843214">
        <w:rPr>
          <w:color w:val="auto"/>
          <w:lang w:eastAsia="en-GB"/>
        </w:rPr>
        <w:t xml:space="preserve"> </w:t>
      </w:r>
      <w:r w:rsidR="005A2A6A" w:rsidRPr="00843214">
        <w:rPr>
          <w:color w:val="auto"/>
          <w:lang w:eastAsia="en-GB"/>
        </w:rPr>
        <w:t xml:space="preserve">of </w:t>
      </w:r>
      <w:r w:rsidR="001A4984" w:rsidRPr="00843214">
        <w:rPr>
          <w:color w:val="auto"/>
          <w:lang w:eastAsia="en-GB"/>
        </w:rPr>
        <w:t>the SPF 2016-</w:t>
      </w:r>
      <w:r w:rsidR="007B598C" w:rsidRPr="00843214">
        <w:rPr>
          <w:color w:val="auto"/>
          <w:lang w:eastAsia="en-GB"/>
        </w:rPr>
        <w:t>20</w:t>
      </w:r>
      <w:r w:rsidR="001A4984" w:rsidRPr="00843214">
        <w:rPr>
          <w:color w:val="auto"/>
          <w:lang w:eastAsia="en-GB"/>
        </w:rPr>
        <w:t xml:space="preserve">21 </w:t>
      </w:r>
      <w:r w:rsidR="00BE3F9E" w:rsidRPr="00843214">
        <w:rPr>
          <w:color w:val="auto"/>
          <w:lang w:eastAsia="en-GB"/>
        </w:rPr>
        <w:t>to assess the partnership performance and arrangements over the period and</w:t>
      </w:r>
      <w:r w:rsidR="00305248" w:rsidRPr="00843214">
        <w:rPr>
          <w:color w:val="auto"/>
          <w:lang w:eastAsia="en-GB"/>
        </w:rPr>
        <w:t xml:space="preserve"> to</w:t>
      </w:r>
      <w:r w:rsidR="00BE3F9E" w:rsidRPr="00843214">
        <w:rPr>
          <w:color w:val="auto"/>
          <w:lang w:eastAsia="en-GB"/>
        </w:rPr>
        <w:t xml:space="preserve"> provide</w:t>
      </w:r>
      <w:r w:rsidR="00305248" w:rsidRPr="00843214">
        <w:rPr>
          <w:color w:val="auto"/>
          <w:lang w:eastAsia="en-GB"/>
        </w:rPr>
        <w:t xml:space="preserve"> </w:t>
      </w:r>
      <w:r w:rsidR="00BE3F9E" w:rsidRPr="00843214">
        <w:rPr>
          <w:color w:val="auto"/>
          <w:lang w:eastAsia="en-GB"/>
        </w:rPr>
        <w:t xml:space="preserve">recommendations </w:t>
      </w:r>
      <w:r w:rsidR="007B598C" w:rsidRPr="00843214">
        <w:rPr>
          <w:color w:val="auto"/>
          <w:lang w:eastAsia="en-GB"/>
        </w:rPr>
        <w:t xml:space="preserve">to </w:t>
      </w:r>
      <w:r w:rsidR="00BE3F9E" w:rsidRPr="00843214">
        <w:rPr>
          <w:color w:val="auto"/>
          <w:lang w:eastAsia="en-GB"/>
        </w:rPr>
        <w:t xml:space="preserve">inform the next iteration of the SPF 2022-2025. This future-focused review considers how UN Women and DFAT can maximise the effectiveness of their </w:t>
      </w:r>
      <w:r w:rsidR="007B598C" w:rsidRPr="00843214">
        <w:rPr>
          <w:color w:val="auto"/>
          <w:lang w:eastAsia="en-GB"/>
        </w:rPr>
        <w:t xml:space="preserve">partnership </w:t>
      </w:r>
      <w:r w:rsidR="007159E4" w:rsidRPr="00843214">
        <w:rPr>
          <w:color w:val="auto"/>
          <w:lang w:eastAsia="en-GB"/>
        </w:rPr>
        <w:t>given</w:t>
      </w:r>
      <w:r w:rsidR="00BE3F9E" w:rsidRPr="00843214">
        <w:rPr>
          <w:color w:val="auto"/>
          <w:lang w:eastAsia="en-GB"/>
        </w:rPr>
        <w:t xml:space="preserve"> the changing global context and the impacts of COVID-19 on women</w:t>
      </w:r>
      <w:r w:rsidR="007B598C" w:rsidRPr="00843214">
        <w:rPr>
          <w:color w:val="auto"/>
          <w:lang w:eastAsia="en-GB"/>
        </w:rPr>
        <w:t xml:space="preserve"> and girls</w:t>
      </w:r>
      <w:r w:rsidR="00BE3F9E" w:rsidRPr="00843214">
        <w:rPr>
          <w:color w:val="auto"/>
          <w:lang w:eastAsia="en-GB"/>
        </w:rPr>
        <w:t>. The review</w:t>
      </w:r>
      <w:r w:rsidR="00BE3F9E" w:rsidRPr="00843214">
        <w:rPr>
          <w:rStyle w:val="FootnoteReference"/>
          <w:color w:val="auto"/>
          <w:lang w:eastAsia="en-GB"/>
        </w:rPr>
        <w:footnoteReference w:id="3"/>
      </w:r>
      <w:r w:rsidR="00BE3F9E" w:rsidRPr="00843214">
        <w:rPr>
          <w:color w:val="auto"/>
          <w:lang w:eastAsia="en-GB"/>
        </w:rPr>
        <w:t xml:space="preserve"> seeks to provide insight into where DFAT should invest</w:t>
      </w:r>
      <w:r w:rsidR="00A7755D" w:rsidRPr="00843214">
        <w:rPr>
          <w:color w:val="auto"/>
          <w:lang w:eastAsia="en-GB"/>
        </w:rPr>
        <w:t xml:space="preserve"> </w:t>
      </w:r>
      <w:r w:rsidR="007B598C" w:rsidRPr="00843214">
        <w:rPr>
          <w:color w:val="auto"/>
          <w:lang w:eastAsia="en-GB"/>
        </w:rPr>
        <w:t>to accelerate gender equality in the Indo-Pacific,</w:t>
      </w:r>
      <w:r w:rsidR="00BE3F9E" w:rsidRPr="00843214">
        <w:rPr>
          <w:color w:val="auto"/>
          <w:lang w:eastAsia="en-GB"/>
        </w:rPr>
        <w:t xml:space="preserve"> and consequently what UN Women should do more, do less, or do differently through the next SPF. </w:t>
      </w:r>
      <w:r w:rsidR="00BE3F9E" w:rsidRPr="00843214">
        <w:rPr>
          <w:color w:val="auto"/>
          <w:lang w:val="en-AU"/>
        </w:rPr>
        <w:t xml:space="preserve">The review findings are based on </w:t>
      </w:r>
      <w:r w:rsidR="004169E8" w:rsidRPr="00843214">
        <w:rPr>
          <w:color w:val="auto"/>
          <w:lang w:val="en-AU"/>
        </w:rPr>
        <w:t xml:space="preserve">over </w:t>
      </w:r>
      <w:r w:rsidR="00BE3F9E" w:rsidRPr="00843214">
        <w:rPr>
          <w:color w:val="auto"/>
          <w:lang w:val="en-AU"/>
        </w:rPr>
        <w:t>75 reviewed documents and the input of 8</w:t>
      </w:r>
      <w:r w:rsidR="00931533" w:rsidRPr="00843214">
        <w:rPr>
          <w:color w:val="auto"/>
          <w:lang w:val="en-AU"/>
        </w:rPr>
        <w:t>5</w:t>
      </w:r>
      <w:r w:rsidR="00BE3F9E" w:rsidRPr="00843214">
        <w:rPr>
          <w:color w:val="auto"/>
          <w:lang w:val="en-AU"/>
        </w:rPr>
        <w:t xml:space="preserve"> stakeholders across 19 roundtable interviews</w:t>
      </w:r>
      <w:r w:rsidR="007B598C" w:rsidRPr="00843214">
        <w:rPr>
          <w:color w:val="auto"/>
          <w:lang w:val="en-AU"/>
        </w:rPr>
        <w:t xml:space="preserve"> with internal DFAT and UN Women staff, and external partners</w:t>
      </w:r>
      <w:r w:rsidR="00BE3F9E" w:rsidRPr="00843214">
        <w:rPr>
          <w:color w:val="auto"/>
          <w:lang w:val="en-AU"/>
        </w:rPr>
        <w:t>. The DFAT-UN Women review reference group</w:t>
      </w:r>
      <w:r w:rsidR="0032402B" w:rsidRPr="00843214">
        <w:rPr>
          <w:color w:val="auto"/>
          <w:lang w:val="en-AU"/>
        </w:rPr>
        <w:t xml:space="preserve"> provided feedback</w:t>
      </w:r>
      <w:r w:rsidR="00BE3F9E" w:rsidRPr="00843214">
        <w:rPr>
          <w:color w:val="auto"/>
          <w:lang w:val="en-AU"/>
        </w:rPr>
        <w:t xml:space="preserve"> </w:t>
      </w:r>
      <w:r w:rsidR="0032402B" w:rsidRPr="00843214">
        <w:rPr>
          <w:color w:val="auto"/>
          <w:lang w:val="en-AU"/>
        </w:rPr>
        <w:t>during</w:t>
      </w:r>
      <w:r w:rsidR="00BE3F9E" w:rsidRPr="00843214">
        <w:rPr>
          <w:color w:val="auto"/>
          <w:lang w:val="en-AU"/>
        </w:rPr>
        <w:t xml:space="preserve"> the </w:t>
      </w:r>
      <w:r w:rsidR="00355DE0" w:rsidRPr="00843214">
        <w:rPr>
          <w:color w:val="auto"/>
          <w:lang w:val="en-AU"/>
        </w:rPr>
        <w:t xml:space="preserve">review </w:t>
      </w:r>
      <w:r w:rsidR="00BE3F9E" w:rsidRPr="00843214">
        <w:rPr>
          <w:color w:val="auto"/>
          <w:lang w:val="en-AU"/>
        </w:rPr>
        <w:t>pr</w:t>
      </w:r>
      <w:r w:rsidR="00355DE0" w:rsidRPr="00843214">
        <w:rPr>
          <w:color w:val="auto"/>
          <w:lang w:val="en-AU"/>
        </w:rPr>
        <w:t>ocess</w:t>
      </w:r>
      <w:r w:rsidR="0032402B" w:rsidRPr="00843214">
        <w:rPr>
          <w:color w:val="auto"/>
          <w:lang w:val="en-AU"/>
        </w:rPr>
        <w:t>.</w:t>
      </w:r>
    </w:p>
    <w:p w14:paraId="6E5A28DD" w14:textId="6D7F9AC2" w:rsidR="00B1211C" w:rsidRPr="00843214" w:rsidRDefault="00B1211C" w:rsidP="00EC2C6D">
      <w:pPr>
        <w:pStyle w:val="Heading4"/>
        <w:rPr>
          <w:b/>
          <w:bCs/>
          <w:color w:val="auto"/>
          <w:sz w:val="27"/>
          <w:szCs w:val="36"/>
          <w:lang w:eastAsia="en-GB"/>
        </w:rPr>
      </w:pPr>
      <w:r w:rsidRPr="00843214">
        <w:rPr>
          <w:b/>
          <w:bCs/>
          <w:color w:val="auto"/>
          <w:sz w:val="27"/>
          <w:szCs w:val="36"/>
          <w:lang w:eastAsia="en-GB"/>
        </w:rPr>
        <w:t>Findings</w:t>
      </w:r>
    </w:p>
    <w:p w14:paraId="68E20D2C" w14:textId="6EBEABCF" w:rsidR="008018C3" w:rsidRPr="00843214" w:rsidRDefault="00373159" w:rsidP="00F82AF6">
      <w:pPr>
        <w:rPr>
          <w:color w:val="auto"/>
          <w:lang w:val="en-AU"/>
        </w:rPr>
      </w:pPr>
      <w:r w:rsidRPr="00843214">
        <w:rPr>
          <w:b/>
          <w:bCs/>
          <w:color w:val="auto"/>
          <w:u w:val="single"/>
          <w:lang w:eastAsia="en-GB"/>
        </w:rPr>
        <w:t>Progress against the SPF</w:t>
      </w:r>
      <w:r w:rsidR="085E2C1E" w:rsidRPr="00843214">
        <w:rPr>
          <w:b/>
          <w:bCs/>
          <w:color w:val="auto"/>
          <w:u w:val="single"/>
          <w:lang w:eastAsia="en-GB"/>
        </w:rPr>
        <w:t>’s</w:t>
      </w:r>
      <w:r w:rsidRPr="00843214">
        <w:rPr>
          <w:b/>
          <w:bCs/>
          <w:color w:val="auto"/>
          <w:u w:val="single"/>
          <w:lang w:eastAsia="en-GB"/>
        </w:rPr>
        <w:t xml:space="preserve"> nine shared objectives</w:t>
      </w:r>
      <w:r w:rsidR="007F2363" w:rsidRPr="00843214">
        <w:rPr>
          <w:b/>
          <w:bCs/>
          <w:color w:val="auto"/>
          <w:lang w:eastAsia="en-GB"/>
        </w:rPr>
        <w:t xml:space="preserve">: </w:t>
      </w:r>
      <w:r w:rsidR="006C4130" w:rsidRPr="00843214">
        <w:rPr>
          <w:rStyle w:val="IODPARCbulletsChar"/>
          <w:color w:val="auto"/>
          <w:lang w:val="en-AU"/>
        </w:rPr>
        <w:t>Overall, the partnership effectively supports UN Women’s triple mandate and has achieved important gains for advancing gender equality,</w:t>
      </w:r>
      <w:r w:rsidR="00D65A20" w:rsidRPr="00843214">
        <w:rPr>
          <w:rStyle w:val="IODPARCbulletsChar"/>
          <w:color w:val="auto"/>
          <w:lang w:val="en-AU"/>
        </w:rPr>
        <w:t xml:space="preserve"> and women’s</w:t>
      </w:r>
      <w:r w:rsidR="006C4130" w:rsidRPr="00843214">
        <w:rPr>
          <w:rStyle w:val="IODPARCbulletsChar"/>
          <w:color w:val="auto"/>
          <w:lang w:val="en-AU"/>
        </w:rPr>
        <w:t xml:space="preserve"> empowerment globally and specifically in the Indo</w:t>
      </w:r>
      <w:r w:rsidR="00FA3D37" w:rsidRPr="00843214">
        <w:rPr>
          <w:rStyle w:val="IODPARCbulletsChar"/>
          <w:color w:val="auto"/>
          <w:lang w:val="en-AU"/>
        </w:rPr>
        <w:t>-</w:t>
      </w:r>
      <w:r w:rsidR="006C4130" w:rsidRPr="00843214">
        <w:rPr>
          <w:rStyle w:val="IODPARCbulletsChar"/>
          <w:color w:val="auto"/>
          <w:lang w:val="en-AU"/>
        </w:rPr>
        <w:t>Pacific.</w:t>
      </w:r>
      <w:r w:rsidR="006C4130" w:rsidRPr="00843214">
        <w:rPr>
          <w:color w:val="auto"/>
          <w:lang w:val="en-AU"/>
        </w:rPr>
        <w:t xml:space="preserve"> </w:t>
      </w:r>
    </w:p>
    <w:p w14:paraId="5F1C6AE9" w14:textId="34C8EDB9" w:rsidR="008018C3" w:rsidRPr="00843214" w:rsidRDefault="008018C3" w:rsidP="008018C3">
      <w:pPr>
        <w:rPr>
          <w:color w:val="auto"/>
          <w:lang w:eastAsia="en-GB"/>
        </w:rPr>
      </w:pPr>
      <w:r w:rsidRPr="00843214">
        <w:rPr>
          <w:color w:val="auto"/>
          <w:lang w:val="en-AU"/>
        </w:rPr>
        <w:t>Progress against each of the nine shared objectives</w:t>
      </w:r>
      <w:r w:rsidR="00AF1E48" w:rsidRPr="00843214">
        <w:rPr>
          <w:color w:val="auto"/>
          <w:lang w:val="en-AU"/>
        </w:rPr>
        <w:t xml:space="preserve"> is </w:t>
      </w:r>
      <w:r w:rsidRPr="00843214">
        <w:rPr>
          <w:color w:val="auto"/>
          <w:lang w:val="en-AU"/>
        </w:rPr>
        <w:t xml:space="preserve">generally </w:t>
      </w:r>
      <w:r w:rsidR="00AF1E48" w:rsidRPr="00843214">
        <w:rPr>
          <w:color w:val="auto"/>
          <w:lang w:val="en-AU"/>
        </w:rPr>
        <w:t>strong</w:t>
      </w:r>
      <w:r w:rsidR="00E90C8A" w:rsidRPr="00843214">
        <w:rPr>
          <w:color w:val="auto"/>
          <w:lang w:val="en-AU"/>
        </w:rPr>
        <w:t xml:space="preserve">, though some are </w:t>
      </w:r>
      <w:r w:rsidR="00E637B9" w:rsidRPr="00843214">
        <w:rPr>
          <w:color w:val="auto"/>
          <w:lang w:val="en-AU"/>
        </w:rPr>
        <w:t>less than expected</w:t>
      </w:r>
      <w:r w:rsidR="00AF1E48" w:rsidRPr="00843214">
        <w:rPr>
          <w:color w:val="auto"/>
          <w:lang w:val="en-AU"/>
        </w:rPr>
        <w:t>.</w:t>
      </w:r>
      <w:r w:rsidRPr="00843214">
        <w:rPr>
          <w:color w:val="auto"/>
          <w:lang w:val="en-AU"/>
        </w:rPr>
        <w:t xml:space="preserve"> </w:t>
      </w:r>
      <w:r w:rsidRPr="00843214">
        <w:rPr>
          <w:color w:val="auto"/>
          <w:lang w:eastAsia="en-GB"/>
        </w:rPr>
        <w:t>Progress is supported by a strong</w:t>
      </w:r>
      <w:r w:rsidR="00CA0D1D" w:rsidRPr="00843214">
        <w:rPr>
          <w:color w:val="auto"/>
          <w:lang w:eastAsia="en-GB"/>
        </w:rPr>
        <w:t>,</w:t>
      </w:r>
      <w:r w:rsidRPr="00843214">
        <w:rPr>
          <w:color w:val="auto"/>
          <w:lang w:eastAsia="en-GB"/>
        </w:rPr>
        <w:t xml:space="preserve"> aligned partnership, long-term core and non-core </w:t>
      </w:r>
      <w:r w:rsidR="0045071C" w:rsidRPr="00843214">
        <w:rPr>
          <w:color w:val="auto"/>
          <w:lang w:eastAsia="en-GB"/>
        </w:rPr>
        <w:t>funding</w:t>
      </w:r>
      <w:r w:rsidRPr="00843214">
        <w:rPr>
          <w:color w:val="auto"/>
          <w:lang w:eastAsia="en-GB"/>
        </w:rPr>
        <w:t xml:space="preserve"> </w:t>
      </w:r>
      <w:r w:rsidR="007A00D1" w:rsidRPr="00843214">
        <w:rPr>
          <w:color w:val="auto"/>
          <w:lang w:eastAsia="en-GB"/>
        </w:rPr>
        <w:t xml:space="preserve">that </w:t>
      </w:r>
      <w:r w:rsidRPr="00843214">
        <w:rPr>
          <w:color w:val="auto"/>
          <w:lang w:eastAsia="en-GB"/>
        </w:rPr>
        <w:t>enabl</w:t>
      </w:r>
      <w:r w:rsidR="007A00D1" w:rsidRPr="00843214">
        <w:rPr>
          <w:color w:val="auto"/>
          <w:lang w:eastAsia="en-GB"/>
        </w:rPr>
        <w:t>es</w:t>
      </w:r>
      <w:r w:rsidRPr="00843214">
        <w:rPr>
          <w:color w:val="auto"/>
          <w:lang w:eastAsia="en-GB"/>
        </w:rPr>
        <w:t xml:space="preserve"> key functions, flexibility and responsiveness, and</w:t>
      </w:r>
      <w:r w:rsidRPr="00843214">
        <w:rPr>
          <w:color w:val="auto"/>
        </w:rPr>
        <w:t xml:space="preserve"> </w:t>
      </w:r>
      <w:r w:rsidR="007A00D1" w:rsidRPr="00843214">
        <w:rPr>
          <w:color w:val="auto"/>
        </w:rPr>
        <w:t>robust</w:t>
      </w:r>
      <w:r w:rsidRPr="00843214">
        <w:rPr>
          <w:color w:val="auto"/>
        </w:rPr>
        <w:t xml:space="preserve"> DFAT-UN Women relationships</w:t>
      </w:r>
      <w:r w:rsidRPr="00843214">
        <w:rPr>
          <w:color w:val="auto"/>
          <w:lang w:eastAsia="en-GB"/>
        </w:rPr>
        <w:t xml:space="preserve">. Conversely, </w:t>
      </w:r>
      <w:r w:rsidR="00AC6F89" w:rsidRPr="00843214">
        <w:rPr>
          <w:color w:val="auto"/>
          <w:lang w:eastAsia="en-GB"/>
        </w:rPr>
        <w:t xml:space="preserve">progress is constrained by </w:t>
      </w:r>
      <w:r w:rsidR="003A365B" w:rsidRPr="00843214">
        <w:rPr>
          <w:color w:val="auto"/>
          <w:lang w:val="en-AU"/>
        </w:rPr>
        <w:t xml:space="preserve">variability in </w:t>
      </w:r>
      <w:r w:rsidR="00E637B9" w:rsidRPr="00843214">
        <w:rPr>
          <w:color w:val="auto"/>
          <w:lang w:val="en-AU"/>
        </w:rPr>
        <w:t>resourcing and capacity</w:t>
      </w:r>
      <w:r w:rsidR="00AD4C52" w:rsidRPr="00843214">
        <w:rPr>
          <w:color w:val="auto"/>
          <w:lang w:val="en-AU"/>
        </w:rPr>
        <w:t xml:space="preserve"> limitations (especially at country level)</w:t>
      </w:r>
      <w:r w:rsidRPr="00843214">
        <w:rPr>
          <w:color w:val="auto"/>
          <w:lang w:eastAsia="en-GB"/>
        </w:rPr>
        <w:t xml:space="preserve">, organisational processes and requirements on both sides, and </w:t>
      </w:r>
      <w:r w:rsidR="00D1275D" w:rsidRPr="00843214">
        <w:rPr>
          <w:color w:val="auto"/>
          <w:lang w:eastAsia="en-GB"/>
        </w:rPr>
        <w:t xml:space="preserve">lack of clarity of </w:t>
      </w:r>
      <w:r w:rsidRPr="00843214">
        <w:rPr>
          <w:color w:val="auto"/>
          <w:lang w:eastAsia="en-GB"/>
        </w:rPr>
        <w:t xml:space="preserve">UN Women’s </w:t>
      </w:r>
      <w:r w:rsidR="006E62FF" w:rsidRPr="00843214">
        <w:rPr>
          <w:color w:val="auto"/>
          <w:lang w:eastAsia="en-GB"/>
        </w:rPr>
        <w:t>role and strategic focus</w:t>
      </w:r>
      <w:r w:rsidRPr="00843214">
        <w:rPr>
          <w:color w:val="auto"/>
          <w:lang w:eastAsia="en-GB"/>
        </w:rPr>
        <w:t xml:space="preserve"> vis-à-vis other UN agencies</w:t>
      </w:r>
      <w:r w:rsidR="003A365B" w:rsidRPr="00843214">
        <w:rPr>
          <w:color w:val="auto"/>
          <w:lang w:eastAsia="en-GB"/>
        </w:rPr>
        <w:t>.</w:t>
      </w:r>
    </w:p>
    <w:p w14:paraId="5B2CC778" w14:textId="2D6E4A10" w:rsidR="001C1C98" w:rsidRPr="00843214" w:rsidRDefault="00373159" w:rsidP="001C1C98">
      <w:pPr>
        <w:rPr>
          <w:color w:val="auto"/>
        </w:rPr>
      </w:pPr>
      <w:r w:rsidRPr="00843214">
        <w:rPr>
          <w:b/>
          <w:bCs/>
          <w:color w:val="auto"/>
          <w:u w:val="single"/>
          <w:lang w:eastAsia="en-GB"/>
        </w:rPr>
        <w:t>Changing landscape for gender equality</w:t>
      </w:r>
      <w:r w:rsidR="003A391B" w:rsidRPr="00843214">
        <w:rPr>
          <w:b/>
          <w:bCs/>
          <w:color w:val="auto"/>
          <w:u w:val="single"/>
          <w:lang w:eastAsia="en-GB"/>
        </w:rPr>
        <w:t xml:space="preserve"> and UN Women positioning</w:t>
      </w:r>
      <w:r w:rsidR="007F2363" w:rsidRPr="00843214">
        <w:rPr>
          <w:b/>
          <w:bCs/>
          <w:color w:val="auto"/>
          <w:lang w:eastAsia="en-GB"/>
        </w:rPr>
        <w:t>:</w:t>
      </w:r>
      <w:r w:rsidR="00034939" w:rsidRPr="00843214">
        <w:rPr>
          <w:b/>
          <w:bCs/>
          <w:color w:val="auto"/>
          <w:lang w:eastAsia="en-GB"/>
        </w:rPr>
        <w:t xml:space="preserve"> </w:t>
      </w:r>
      <w:r w:rsidR="001C1C98" w:rsidRPr="00843214">
        <w:rPr>
          <w:color w:val="auto"/>
        </w:rPr>
        <w:t>COVID-19 exacerbat</w:t>
      </w:r>
      <w:r w:rsidR="00DF5824" w:rsidRPr="00843214">
        <w:rPr>
          <w:color w:val="auto"/>
        </w:rPr>
        <w:t>es</w:t>
      </w:r>
      <w:r w:rsidR="001C1C98" w:rsidRPr="00843214">
        <w:rPr>
          <w:color w:val="auto"/>
        </w:rPr>
        <w:t xml:space="preserve"> existing gender inequality and vulnerability</w:t>
      </w:r>
      <w:r w:rsidR="00641681" w:rsidRPr="00843214">
        <w:rPr>
          <w:color w:val="auto"/>
        </w:rPr>
        <w:t xml:space="preserve"> factors</w:t>
      </w:r>
      <w:r w:rsidR="00DF5824" w:rsidRPr="00843214">
        <w:rPr>
          <w:color w:val="auto"/>
        </w:rPr>
        <w:t xml:space="preserve"> including the </w:t>
      </w:r>
      <w:r w:rsidR="001C1C98" w:rsidRPr="00843214">
        <w:rPr>
          <w:color w:val="auto"/>
        </w:rPr>
        <w:t>safety and security of women and girls</w:t>
      </w:r>
      <w:r w:rsidR="00DF5824" w:rsidRPr="00843214">
        <w:rPr>
          <w:color w:val="auto"/>
        </w:rPr>
        <w:t xml:space="preserve">, </w:t>
      </w:r>
      <w:r w:rsidR="001C1C98" w:rsidRPr="00843214">
        <w:rPr>
          <w:color w:val="auto"/>
        </w:rPr>
        <w:t xml:space="preserve">women’s </w:t>
      </w:r>
      <w:proofErr w:type="gramStart"/>
      <w:r w:rsidR="001C1C98" w:rsidRPr="00843214">
        <w:rPr>
          <w:color w:val="auto"/>
        </w:rPr>
        <w:t>livelihoods</w:t>
      </w:r>
      <w:proofErr w:type="gramEnd"/>
      <w:r w:rsidR="00DF5824" w:rsidRPr="00843214">
        <w:rPr>
          <w:color w:val="auto"/>
        </w:rPr>
        <w:t xml:space="preserve"> and </w:t>
      </w:r>
      <w:r w:rsidR="001C1C98" w:rsidRPr="00843214">
        <w:rPr>
          <w:color w:val="auto"/>
        </w:rPr>
        <w:t>women’s participation</w:t>
      </w:r>
      <w:r w:rsidR="00DF5824" w:rsidRPr="00843214">
        <w:rPr>
          <w:color w:val="auto"/>
        </w:rPr>
        <w:t xml:space="preserve">. </w:t>
      </w:r>
      <w:r w:rsidR="00DF1BDE" w:rsidRPr="00843214">
        <w:rPr>
          <w:color w:val="auto"/>
        </w:rPr>
        <w:t xml:space="preserve">These </w:t>
      </w:r>
      <w:r w:rsidR="00262DCD" w:rsidRPr="00843214">
        <w:rPr>
          <w:color w:val="auto"/>
        </w:rPr>
        <w:t xml:space="preserve">existing </w:t>
      </w:r>
      <w:r w:rsidR="00DF1BDE" w:rsidRPr="00843214">
        <w:rPr>
          <w:color w:val="auto"/>
        </w:rPr>
        <w:t>factors</w:t>
      </w:r>
      <w:r w:rsidR="00262DCD" w:rsidRPr="00843214">
        <w:rPr>
          <w:color w:val="auto"/>
        </w:rPr>
        <w:t xml:space="preserve">, now </w:t>
      </w:r>
      <w:r w:rsidR="00262DCD" w:rsidRPr="00843214">
        <w:rPr>
          <w:color w:val="auto"/>
        </w:rPr>
        <w:lastRenderedPageBreak/>
        <w:t>exacerbated by COVID-19,</w:t>
      </w:r>
      <w:r w:rsidR="00DF1BDE" w:rsidRPr="00843214">
        <w:rPr>
          <w:color w:val="auto"/>
        </w:rPr>
        <w:t xml:space="preserve"> </w:t>
      </w:r>
      <w:r w:rsidR="00262DCD" w:rsidRPr="00843214">
        <w:rPr>
          <w:color w:val="auto"/>
        </w:rPr>
        <w:t>are further compounded by</w:t>
      </w:r>
      <w:r w:rsidR="001C1C98" w:rsidRPr="00843214">
        <w:rPr>
          <w:color w:val="auto"/>
        </w:rPr>
        <w:t xml:space="preserve"> </w:t>
      </w:r>
      <w:r w:rsidR="00262DCD" w:rsidRPr="00843214">
        <w:rPr>
          <w:color w:val="auto"/>
        </w:rPr>
        <w:t xml:space="preserve">the impacts of </w:t>
      </w:r>
      <w:r w:rsidR="001C1C98" w:rsidRPr="00843214">
        <w:rPr>
          <w:color w:val="auto"/>
        </w:rPr>
        <w:t>humanitarian instability</w:t>
      </w:r>
      <w:r w:rsidR="00262DCD" w:rsidRPr="00843214">
        <w:rPr>
          <w:color w:val="auto"/>
        </w:rPr>
        <w:t xml:space="preserve">, natural </w:t>
      </w:r>
      <w:proofErr w:type="gramStart"/>
      <w:r w:rsidR="00262DCD" w:rsidRPr="00843214">
        <w:rPr>
          <w:color w:val="auto"/>
        </w:rPr>
        <w:t>hazards</w:t>
      </w:r>
      <w:proofErr w:type="gramEnd"/>
      <w:r w:rsidR="00262DCD" w:rsidRPr="00843214">
        <w:rPr>
          <w:color w:val="auto"/>
        </w:rPr>
        <w:t xml:space="preserve"> </w:t>
      </w:r>
      <w:r w:rsidR="00807D5B" w:rsidRPr="00843214">
        <w:rPr>
          <w:color w:val="auto"/>
        </w:rPr>
        <w:t>and disasters</w:t>
      </w:r>
      <w:r w:rsidR="00C00D77" w:rsidRPr="00843214">
        <w:rPr>
          <w:color w:val="auto"/>
        </w:rPr>
        <w:t xml:space="preserve"> (including from climate change)</w:t>
      </w:r>
      <w:r w:rsidR="00807D5B" w:rsidRPr="00843214">
        <w:rPr>
          <w:color w:val="auto"/>
        </w:rPr>
        <w:t xml:space="preserve">. </w:t>
      </w:r>
    </w:p>
    <w:p w14:paraId="50BA7585" w14:textId="318D3607" w:rsidR="009E26B8" w:rsidRPr="00843214" w:rsidRDefault="006C7587" w:rsidP="001C1C98">
      <w:pPr>
        <w:rPr>
          <w:color w:val="auto"/>
        </w:rPr>
      </w:pPr>
      <w:r w:rsidRPr="00843214">
        <w:rPr>
          <w:color w:val="auto"/>
          <w:lang w:eastAsia="en-GB"/>
        </w:rPr>
        <w:t>UN Women has effectively pivoted in response to COVID-19</w:t>
      </w:r>
      <w:r w:rsidR="008E19D2" w:rsidRPr="00843214">
        <w:rPr>
          <w:color w:val="auto"/>
          <w:lang w:eastAsia="en-GB"/>
        </w:rPr>
        <w:t>,</w:t>
      </w:r>
      <w:r w:rsidR="003A391B" w:rsidRPr="00843214">
        <w:rPr>
          <w:color w:val="auto"/>
          <w:lang w:val="en-AU"/>
        </w:rPr>
        <w:t xml:space="preserve"> provid</w:t>
      </w:r>
      <w:r w:rsidR="008E19D2" w:rsidRPr="00843214">
        <w:rPr>
          <w:color w:val="auto"/>
          <w:lang w:val="en-AU"/>
        </w:rPr>
        <w:t>ing</w:t>
      </w:r>
      <w:r w:rsidR="003A391B" w:rsidRPr="00843214">
        <w:rPr>
          <w:color w:val="auto"/>
          <w:lang w:val="en-AU"/>
        </w:rPr>
        <w:t xml:space="preserve"> gender analysis, </w:t>
      </w:r>
      <w:proofErr w:type="gramStart"/>
      <w:r w:rsidR="003A391B" w:rsidRPr="00843214">
        <w:rPr>
          <w:color w:val="auto"/>
          <w:lang w:val="en-AU"/>
        </w:rPr>
        <w:t>data</w:t>
      </w:r>
      <w:proofErr w:type="gramEnd"/>
      <w:r w:rsidR="003A391B" w:rsidRPr="00843214">
        <w:rPr>
          <w:color w:val="auto"/>
          <w:lang w:val="en-AU"/>
        </w:rPr>
        <w:t xml:space="preserve"> and expertise to </w:t>
      </w:r>
      <w:r w:rsidR="003A391B" w:rsidRPr="00843214">
        <w:rPr>
          <w:color w:val="auto"/>
          <w:lang w:val="en-GB"/>
        </w:rPr>
        <w:t>inform</w:t>
      </w:r>
      <w:r w:rsidR="003A391B" w:rsidRPr="00843214">
        <w:rPr>
          <w:color w:val="auto"/>
          <w:lang w:val="en-AU"/>
        </w:rPr>
        <w:t xml:space="preserve"> regional, national and global preparedness and response</w:t>
      </w:r>
      <w:r w:rsidR="00F069FA" w:rsidRPr="00843214">
        <w:rPr>
          <w:color w:val="auto"/>
          <w:lang w:val="en-AU"/>
        </w:rPr>
        <w:t>. UN Women</w:t>
      </w:r>
      <w:r w:rsidR="003A391B" w:rsidRPr="00843214">
        <w:rPr>
          <w:color w:val="auto"/>
          <w:lang w:val="en-AU"/>
        </w:rPr>
        <w:t xml:space="preserve"> was a prominent voice in urging action on the escalating rates of </w:t>
      </w:r>
      <w:r w:rsidR="009951E8" w:rsidRPr="00843214">
        <w:rPr>
          <w:color w:val="auto"/>
          <w:lang w:val="en-AU"/>
        </w:rPr>
        <w:t>GBV</w:t>
      </w:r>
      <w:r w:rsidR="003A391B" w:rsidRPr="00843214">
        <w:rPr>
          <w:color w:val="auto"/>
          <w:lang w:val="en-AU"/>
        </w:rPr>
        <w:t xml:space="preserve"> during lockdowns.</w:t>
      </w:r>
      <w:r w:rsidR="003A391B" w:rsidRPr="00843214">
        <w:rPr>
          <w:color w:val="auto"/>
        </w:rPr>
        <w:t xml:space="preserve"> UN Women advocates for a COVID-19 response that </w:t>
      </w:r>
      <w:r w:rsidR="00F9628A" w:rsidRPr="00843214">
        <w:rPr>
          <w:color w:val="auto"/>
        </w:rPr>
        <w:t xml:space="preserve">also </w:t>
      </w:r>
      <w:r w:rsidR="003A391B" w:rsidRPr="00843214">
        <w:rPr>
          <w:color w:val="auto"/>
        </w:rPr>
        <w:t xml:space="preserve">looks to improve the lives of women and girls </w:t>
      </w:r>
      <w:r w:rsidR="00CE088B" w:rsidRPr="00843214">
        <w:rPr>
          <w:color w:val="auto"/>
        </w:rPr>
        <w:t xml:space="preserve">beyond </w:t>
      </w:r>
      <w:r w:rsidR="003A391B" w:rsidRPr="00843214">
        <w:rPr>
          <w:color w:val="auto"/>
        </w:rPr>
        <w:t>COVID-19</w:t>
      </w:r>
      <w:r w:rsidR="00641681" w:rsidRPr="00843214">
        <w:rPr>
          <w:color w:val="auto"/>
        </w:rPr>
        <w:t xml:space="preserve"> recovery</w:t>
      </w:r>
      <w:r w:rsidR="008E19D2" w:rsidRPr="00843214">
        <w:rPr>
          <w:color w:val="auto"/>
        </w:rPr>
        <w:t xml:space="preserve">. </w:t>
      </w:r>
      <w:r w:rsidR="00F9628A" w:rsidRPr="00843214">
        <w:rPr>
          <w:color w:val="auto"/>
        </w:rPr>
        <w:t>The agency</w:t>
      </w:r>
      <w:r w:rsidR="003A391B" w:rsidRPr="00843214">
        <w:rPr>
          <w:color w:val="auto"/>
        </w:rPr>
        <w:t xml:space="preserve"> bring</w:t>
      </w:r>
      <w:r w:rsidR="00F9628A" w:rsidRPr="00843214">
        <w:rPr>
          <w:color w:val="auto"/>
        </w:rPr>
        <w:t>s</w:t>
      </w:r>
      <w:r w:rsidR="003A391B" w:rsidRPr="00843214">
        <w:rPr>
          <w:color w:val="auto"/>
        </w:rPr>
        <w:t xml:space="preserve"> strong comparative advantage as the largest source of gender expertise in the UN with the ability to link global and national policy development and </w:t>
      </w:r>
      <w:r w:rsidR="008E19D2" w:rsidRPr="00843214">
        <w:rPr>
          <w:color w:val="auto"/>
        </w:rPr>
        <w:t>having</w:t>
      </w:r>
      <w:r w:rsidR="003A391B" w:rsidRPr="00843214">
        <w:rPr>
          <w:color w:val="auto"/>
        </w:rPr>
        <w:t xml:space="preserve"> a strong network of </w:t>
      </w:r>
      <w:r w:rsidR="00ED2C78" w:rsidRPr="00843214">
        <w:rPr>
          <w:color w:val="auto"/>
        </w:rPr>
        <w:t>civil society organisation</w:t>
      </w:r>
      <w:r w:rsidR="003A391B" w:rsidRPr="00843214">
        <w:rPr>
          <w:color w:val="auto"/>
        </w:rPr>
        <w:t>s and women’s agencies to deliver on its mandate. It also comprehensively contributes across the UN’s peace and security, human rights and sustainable development pillars</w:t>
      </w:r>
      <w:r w:rsidR="008E19D2" w:rsidRPr="00843214">
        <w:rPr>
          <w:color w:val="auto"/>
        </w:rPr>
        <w:t xml:space="preserve"> and is seen as </w:t>
      </w:r>
      <w:r w:rsidR="003A391B" w:rsidRPr="00843214">
        <w:rPr>
          <w:color w:val="auto"/>
        </w:rPr>
        <w:t>a politically neutral advocate</w:t>
      </w:r>
      <w:r w:rsidR="001112DF" w:rsidRPr="00843214">
        <w:rPr>
          <w:color w:val="auto"/>
        </w:rPr>
        <w:t xml:space="preserve"> and implementer</w:t>
      </w:r>
      <w:r w:rsidR="008C3D65" w:rsidRPr="00843214">
        <w:rPr>
          <w:color w:val="auto"/>
        </w:rPr>
        <w:t xml:space="preserve">. </w:t>
      </w:r>
      <w:r w:rsidR="003A391B" w:rsidRPr="00843214">
        <w:rPr>
          <w:color w:val="auto"/>
        </w:rPr>
        <w:t xml:space="preserve">However, </w:t>
      </w:r>
      <w:r w:rsidR="00A15CC4" w:rsidRPr="00843214">
        <w:rPr>
          <w:color w:val="auto"/>
        </w:rPr>
        <w:t>UN Women</w:t>
      </w:r>
      <w:r w:rsidR="003A391B" w:rsidRPr="00843214">
        <w:rPr>
          <w:color w:val="auto"/>
        </w:rPr>
        <w:t xml:space="preserve"> is a</w:t>
      </w:r>
      <w:r w:rsidR="004118FA" w:rsidRPr="00843214">
        <w:rPr>
          <w:color w:val="auto"/>
        </w:rPr>
        <w:t xml:space="preserve"> </w:t>
      </w:r>
      <w:r w:rsidR="003A391B" w:rsidRPr="00843214">
        <w:rPr>
          <w:color w:val="auto"/>
        </w:rPr>
        <w:t>small</w:t>
      </w:r>
      <w:r w:rsidR="004118FA" w:rsidRPr="00843214">
        <w:rPr>
          <w:color w:val="auto"/>
        </w:rPr>
        <w:t xml:space="preserve"> </w:t>
      </w:r>
      <w:r w:rsidR="003A391B" w:rsidRPr="00843214">
        <w:rPr>
          <w:color w:val="auto"/>
        </w:rPr>
        <w:t xml:space="preserve">agency </w:t>
      </w:r>
      <w:r w:rsidR="004118FA" w:rsidRPr="00843214">
        <w:rPr>
          <w:color w:val="auto"/>
        </w:rPr>
        <w:t>with</w:t>
      </w:r>
      <w:r w:rsidR="00C3517D" w:rsidRPr="00843214">
        <w:rPr>
          <w:color w:val="auto"/>
        </w:rPr>
        <w:t xml:space="preserve"> a</w:t>
      </w:r>
      <w:r w:rsidR="006F2B5A" w:rsidRPr="00843214">
        <w:rPr>
          <w:color w:val="auto"/>
        </w:rPr>
        <w:t xml:space="preserve"> broad</w:t>
      </w:r>
      <w:r w:rsidR="004118FA" w:rsidRPr="00843214">
        <w:rPr>
          <w:color w:val="auto"/>
        </w:rPr>
        <w:t xml:space="preserve"> </w:t>
      </w:r>
      <w:r w:rsidR="003A391B" w:rsidRPr="00843214">
        <w:rPr>
          <w:color w:val="auto"/>
        </w:rPr>
        <w:t>triple mandate</w:t>
      </w:r>
      <w:r w:rsidR="00C3517D" w:rsidRPr="00843214">
        <w:rPr>
          <w:color w:val="auto"/>
        </w:rPr>
        <w:t>,</w:t>
      </w:r>
      <w:r w:rsidR="003A391B" w:rsidRPr="00843214">
        <w:rPr>
          <w:color w:val="auto"/>
        </w:rPr>
        <w:t xml:space="preserve"> </w:t>
      </w:r>
      <w:r w:rsidR="004118FA" w:rsidRPr="00843214">
        <w:rPr>
          <w:color w:val="auto"/>
        </w:rPr>
        <w:t>which</w:t>
      </w:r>
      <w:r w:rsidR="003A391B" w:rsidRPr="00843214">
        <w:rPr>
          <w:color w:val="auto"/>
        </w:rPr>
        <w:t xml:space="preserve"> </w:t>
      </w:r>
      <w:r w:rsidR="004118FA" w:rsidRPr="00843214">
        <w:rPr>
          <w:color w:val="auto"/>
        </w:rPr>
        <w:t xml:space="preserve">means </w:t>
      </w:r>
      <w:r w:rsidR="003A391B" w:rsidRPr="00843214">
        <w:rPr>
          <w:color w:val="auto"/>
        </w:rPr>
        <w:t>it is often thinly spread</w:t>
      </w:r>
      <w:r w:rsidR="0090381A" w:rsidRPr="00843214">
        <w:rPr>
          <w:color w:val="auto"/>
        </w:rPr>
        <w:t>.</w:t>
      </w:r>
      <w:r w:rsidR="003A391B" w:rsidRPr="00843214">
        <w:rPr>
          <w:color w:val="auto"/>
        </w:rPr>
        <w:t xml:space="preserve"> </w:t>
      </w:r>
      <w:r w:rsidR="0090381A" w:rsidRPr="00843214">
        <w:rPr>
          <w:color w:val="auto"/>
        </w:rPr>
        <w:t>T</w:t>
      </w:r>
      <w:r w:rsidR="003A391B" w:rsidRPr="00843214">
        <w:rPr>
          <w:color w:val="auto"/>
        </w:rPr>
        <w:t>his is compounded by the need to accept non-strategic programmatic work</w:t>
      </w:r>
      <w:r w:rsidR="001F0C65" w:rsidRPr="00843214">
        <w:rPr>
          <w:color w:val="auto"/>
        </w:rPr>
        <w:t xml:space="preserve"> due to </w:t>
      </w:r>
      <w:r w:rsidR="006F2B5A" w:rsidRPr="00843214">
        <w:rPr>
          <w:color w:val="auto"/>
        </w:rPr>
        <w:t xml:space="preserve">core </w:t>
      </w:r>
      <w:r w:rsidR="001F0C65" w:rsidRPr="00843214">
        <w:rPr>
          <w:color w:val="auto"/>
        </w:rPr>
        <w:t xml:space="preserve">funding limitations and donor </w:t>
      </w:r>
      <w:r w:rsidR="006F2B5A" w:rsidRPr="00843214">
        <w:rPr>
          <w:color w:val="auto"/>
        </w:rPr>
        <w:t>requirements</w:t>
      </w:r>
      <w:r w:rsidR="003A391B" w:rsidRPr="00843214">
        <w:rPr>
          <w:color w:val="auto"/>
        </w:rPr>
        <w:t xml:space="preserve">. </w:t>
      </w:r>
    </w:p>
    <w:p w14:paraId="47B674FE" w14:textId="2D3DD894" w:rsidR="006C7587" w:rsidRPr="00843214" w:rsidRDefault="00641681" w:rsidP="001C1C98">
      <w:pPr>
        <w:rPr>
          <w:color w:val="auto"/>
          <w:lang w:eastAsia="en-GB"/>
        </w:rPr>
      </w:pPr>
      <w:r w:rsidRPr="00843214">
        <w:rPr>
          <w:color w:val="auto"/>
        </w:rPr>
        <w:t xml:space="preserve">Recent </w:t>
      </w:r>
      <w:r w:rsidR="00DF5824" w:rsidRPr="00843214">
        <w:rPr>
          <w:color w:val="auto"/>
        </w:rPr>
        <w:t>UN development sys</w:t>
      </w:r>
      <w:r w:rsidR="00C829F3" w:rsidRPr="00843214">
        <w:rPr>
          <w:color w:val="auto"/>
        </w:rPr>
        <w:t>tem</w:t>
      </w:r>
      <w:r w:rsidR="00DF5824" w:rsidRPr="00843214">
        <w:rPr>
          <w:color w:val="auto"/>
        </w:rPr>
        <w:t xml:space="preserve"> reform </w:t>
      </w:r>
      <w:r w:rsidR="00C3517D" w:rsidRPr="00843214">
        <w:rPr>
          <w:color w:val="auto"/>
        </w:rPr>
        <w:t>should</w:t>
      </w:r>
      <w:r w:rsidR="008C7BEE" w:rsidRPr="00843214">
        <w:rPr>
          <w:color w:val="auto"/>
        </w:rPr>
        <w:t xml:space="preserve"> have</w:t>
      </w:r>
      <w:r w:rsidR="00DF5824" w:rsidRPr="00843214">
        <w:rPr>
          <w:color w:val="auto"/>
        </w:rPr>
        <w:t xml:space="preserve"> advantage</w:t>
      </w:r>
      <w:r w:rsidR="008C7BEE" w:rsidRPr="00843214">
        <w:rPr>
          <w:color w:val="auto"/>
        </w:rPr>
        <w:t>s</w:t>
      </w:r>
      <w:r w:rsidR="00DF5824" w:rsidRPr="00843214">
        <w:rPr>
          <w:color w:val="auto"/>
        </w:rPr>
        <w:t xml:space="preserve"> for UN Women’s coherence and coordination with other UN agencies</w:t>
      </w:r>
      <w:r w:rsidR="00C71693" w:rsidRPr="00843214">
        <w:rPr>
          <w:color w:val="auto"/>
        </w:rPr>
        <w:t xml:space="preserve">, and its ability to have an impact in </w:t>
      </w:r>
      <w:r w:rsidR="00CF014B" w:rsidRPr="00843214">
        <w:rPr>
          <w:color w:val="auto"/>
        </w:rPr>
        <w:t>countries</w:t>
      </w:r>
      <w:r w:rsidR="00C71693" w:rsidRPr="00843214">
        <w:rPr>
          <w:color w:val="auto"/>
        </w:rPr>
        <w:t xml:space="preserve"> where it does not have a country presence.</w:t>
      </w:r>
      <w:r w:rsidR="00C3517D" w:rsidRPr="00843214">
        <w:rPr>
          <w:color w:val="auto"/>
        </w:rPr>
        <w:t xml:space="preserve"> However, it may also cause additional bureaucratic requirements and hide the powerful UN Women brand</w:t>
      </w:r>
      <w:r w:rsidR="006F2B5A" w:rsidRPr="00843214">
        <w:rPr>
          <w:color w:val="auto"/>
        </w:rPr>
        <w:t xml:space="preserve"> (necessary for fundraising)</w:t>
      </w:r>
      <w:r w:rsidR="00C3517D" w:rsidRPr="00843214">
        <w:rPr>
          <w:color w:val="auto"/>
        </w:rPr>
        <w:t xml:space="preserve"> under joint program branding.</w:t>
      </w:r>
      <w:r w:rsidR="00C71693" w:rsidRPr="00843214">
        <w:rPr>
          <w:color w:val="auto"/>
        </w:rPr>
        <w:t xml:space="preserve"> </w:t>
      </w:r>
      <w:r w:rsidR="00C3517D" w:rsidRPr="00843214">
        <w:rPr>
          <w:color w:val="auto"/>
        </w:rPr>
        <w:t>I</w:t>
      </w:r>
      <w:r w:rsidR="00CF014B" w:rsidRPr="00843214">
        <w:rPr>
          <w:color w:val="auto"/>
        </w:rPr>
        <w:t>n pursuing partnerships, UN Women need</w:t>
      </w:r>
      <w:r w:rsidR="005E66D4" w:rsidRPr="00843214">
        <w:rPr>
          <w:color w:val="auto"/>
        </w:rPr>
        <w:t>s</w:t>
      </w:r>
      <w:r w:rsidR="00CF014B" w:rsidRPr="00843214">
        <w:rPr>
          <w:color w:val="auto"/>
        </w:rPr>
        <w:t xml:space="preserve"> to clarify and leverage its role in partnership with other UN agencies</w:t>
      </w:r>
      <w:r w:rsidR="0085714C" w:rsidRPr="00843214">
        <w:rPr>
          <w:color w:val="auto"/>
        </w:rPr>
        <w:t xml:space="preserve"> </w:t>
      </w:r>
      <w:r w:rsidR="00215887" w:rsidRPr="00843214">
        <w:rPr>
          <w:color w:val="auto"/>
        </w:rPr>
        <w:t xml:space="preserve">- </w:t>
      </w:r>
      <w:r w:rsidR="0085714C" w:rsidRPr="00843214">
        <w:rPr>
          <w:color w:val="auto"/>
        </w:rPr>
        <w:t>as intended in their</w:t>
      </w:r>
      <w:r w:rsidR="00905D81" w:rsidRPr="00843214">
        <w:rPr>
          <w:color w:val="auto"/>
        </w:rPr>
        <w:t xml:space="preserve"> current</w:t>
      </w:r>
      <w:r w:rsidR="0085714C" w:rsidRPr="00843214">
        <w:rPr>
          <w:color w:val="auto"/>
        </w:rPr>
        <w:t xml:space="preserve"> draft strategic plan and</w:t>
      </w:r>
      <w:r w:rsidR="00905D81" w:rsidRPr="00843214">
        <w:rPr>
          <w:color w:val="auto"/>
        </w:rPr>
        <w:t xml:space="preserve"> draft</w:t>
      </w:r>
      <w:r w:rsidR="0085714C" w:rsidRPr="00843214">
        <w:rPr>
          <w:color w:val="auto"/>
        </w:rPr>
        <w:t xml:space="preserve"> humanitarian strategy</w:t>
      </w:r>
      <w:r w:rsidR="00CF014B" w:rsidRPr="00843214">
        <w:rPr>
          <w:color w:val="auto"/>
        </w:rPr>
        <w:t>.</w:t>
      </w:r>
    </w:p>
    <w:p w14:paraId="79E2781B" w14:textId="65DFDBA1" w:rsidR="00DB4571" w:rsidRPr="00843214" w:rsidRDefault="00373159" w:rsidP="00DB4571">
      <w:pPr>
        <w:rPr>
          <w:color w:val="auto"/>
        </w:rPr>
      </w:pPr>
      <w:r w:rsidRPr="00843214">
        <w:rPr>
          <w:b/>
          <w:bCs/>
          <w:color w:val="auto"/>
          <w:u w:val="single"/>
          <w:lang w:eastAsia="en-GB"/>
        </w:rPr>
        <w:t>Partnership arrangements and funding</w:t>
      </w:r>
      <w:r w:rsidR="007F2363" w:rsidRPr="00843214">
        <w:rPr>
          <w:b/>
          <w:bCs/>
          <w:color w:val="auto"/>
          <w:lang w:eastAsia="en-GB"/>
        </w:rPr>
        <w:t xml:space="preserve">: </w:t>
      </w:r>
      <w:r w:rsidR="003A391B" w:rsidRPr="00843214">
        <w:rPr>
          <w:color w:val="auto"/>
        </w:rPr>
        <w:t>There is a c</w:t>
      </w:r>
      <w:r w:rsidR="001A7467" w:rsidRPr="00843214">
        <w:rPr>
          <w:color w:val="auto"/>
        </w:rPr>
        <w:t>ommitted, aligned Partnership that transcends donor-recipient arrangement</w:t>
      </w:r>
      <w:r w:rsidR="00CA0D1D" w:rsidRPr="00843214">
        <w:rPr>
          <w:color w:val="auto"/>
        </w:rPr>
        <w:t>s</w:t>
      </w:r>
      <w:r w:rsidR="003A391B" w:rsidRPr="00843214">
        <w:rPr>
          <w:color w:val="auto"/>
        </w:rPr>
        <w:t xml:space="preserve">. </w:t>
      </w:r>
      <w:r w:rsidR="001A7467" w:rsidRPr="00843214">
        <w:rPr>
          <w:color w:val="auto"/>
        </w:rPr>
        <w:t>DFAT is a flexible, highly engaged partner that uniquely provides long-term</w:t>
      </w:r>
      <w:r w:rsidR="00886602" w:rsidRPr="00843214">
        <w:rPr>
          <w:color w:val="auto"/>
        </w:rPr>
        <w:t>, flexible non-core</w:t>
      </w:r>
      <w:r w:rsidR="001A7467" w:rsidRPr="00843214">
        <w:rPr>
          <w:color w:val="auto"/>
        </w:rPr>
        <w:t xml:space="preserve"> financing</w:t>
      </w:r>
      <w:r w:rsidR="003A391B" w:rsidRPr="00843214">
        <w:rPr>
          <w:color w:val="auto"/>
        </w:rPr>
        <w:t xml:space="preserve">. </w:t>
      </w:r>
      <w:r w:rsidR="001A7467" w:rsidRPr="00843214">
        <w:rPr>
          <w:color w:val="auto"/>
        </w:rPr>
        <w:t>UN Women is a responsive, collaborative partner that uniquely provides technical expertise on gender equality and women’s empowerment</w:t>
      </w:r>
      <w:r w:rsidR="003A391B" w:rsidRPr="00843214">
        <w:rPr>
          <w:color w:val="auto"/>
        </w:rPr>
        <w:t xml:space="preserve">. </w:t>
      </w:r>
      <w:r w:rsidR="00DB4571" w:rsidRPr="00843214">
        <w:rPr>
          <w:color w:val="auto"/>
        </w:rPr>
        <w:t>While the Partnership benefits from high levels of engagement, organi</w:t>
      </w:r>
      <w:r w:rsidR="00864137" w:rsidRPr="00843214">
        <w:rPr>
          <w:color w:val="auto"/>
        </w:rPr>
        <w:t>s</w:t>
      </w:r>
      <w:r w:rsidR="00DB4571" w:rsidRPr="00843214">
        <w:rPr>
          <w:color w:val="auto"/>
        </w:rPr>
        <w:t xml:space="preserve">ational </w:t>
      </w:r>
      <w:proofErr w:type="gramStart"/>
      <w:r w:rsidR="00DB4571" w:rsidRPr="00843214">
        <w:rPr>
          <w:color w:val="auto"/>
        </w:rPr>
        <w:t>processes</w:t>
      </w:r>
      <w:proofErr w:type="gramEnd"/>
      <w:r w:rsidR="00DB4571" w:rsidRPr="00843214">
        <w:rPr>
          <w:color w:val="auto"/>
        </w:rPr>
        <w:t xml:space="preserve"> and bureaucracy on both sides </w:t>
      </w:r>
      <w:r w:rsidR="004F50AB" w:rsidRPr="00843214">
        <w:rPr>
          <w:color w:val="auto"/>
        </w:rPr>
        <w:t>curb</w:t>
      </w:r>
      <w:r w:rsidR="00DB4571" w:rsidRPr="00843214">
        <w:rPr>
          <w:color w:val="auto"/>
        </w:rPr>
        <w:t xml:space="preserve"> progress. </w:t>
      </w:r>
      <w:r w:rsidR="005C70D9" w:rsidRPr="00843214">
        <w:rPr>
          <w:color w:val="auto"/>
        </w:rPr>
        <w:t xml:space="preserve">Partnership arrangements defined in the SPF generally support the Partnership, however </w:t>
      </w:r>
      <w:r w:rsidR="008C33DF" w:rsidRPr="00843214">
        <w:rPr>
          <w:color w:val="auto"/>
        </w:rPr>
        <w:t>there is a need to further strengthen and embed</w:t>
      </w:r>
      <w:r w:rsidR="00C2645C" w:rsidRPr="00843214">
        <w:rPr>
          <w:color w:val="auto"/>
        </w:rPr>
        <w:t xml:space="preserve"> public visibility </w:t>
      </w:r>
      <w:proofErr w:type="gramStart"/>
      <w:r w:rsidR="00C2645C" w:rsidRPr="00843214">
        <w:rPr>
          <w:color w:val="auto"/>
        </w:rPr>
        <w:t>requirements</w:t>
      </w:r>
      <w:r w:rsidR="009D4D04" w:rsidRPr="00843214">
        <w:rPr>
          <w:color w:val="auto"/>
        </w:rPr>
        <w:t>,</w:t>
      </w:r>
      <w:r w:rsidR="00C314BC" w:rsidRPr="00843214">
        <w:rPr>
          <w:color w:val="auto"/>
        </w:rPr>
        <w:t xml:space="preserve"> and</w:t>
      </w:r>
      <w:proofErr w:type="gramEnd"/>
      <w:r w:rsidR="00C314BC" w:rsidRPr="00843214">
        <w:rPr>
          <w:color w:val="auto"/>
        </w:rPr>
        <w:t xml:space="preserve"> </w:t>
      </w:r>
      <w:r w:rsidR="009D4D04" w:rsidRPr="00843214">
        <w:rPr>
          <w:color w:val="auto"/>
        </w:rPr>
        <w:t>review</w:t>
      </w:r>
      <w:r w:rsidR="004425E4" w:rsidRPr="00843214">
        <w:rPr>
          <w:color w:val="auto"/>
        </w:rPr>
        <w:t xml:space="preserve"> progress </w:t>
      </w:r>
      <w:r w:rsidR="006A0E37" w:rsidRPr="00843214">
        <w:rPr>
          <w:color w:val="auto"/>
        </w:rPr>
        <w:t>and financial reporting requirements</w:t>
      </w:r>
      <w:r w:rsidR="009D4D04" w:rsidRPr="00843214">
        <w:rPr>
          <w:color w:val="auto"/>
        </w:rPr>
        <w:t xml:space="preserve"> to meet the needs of both agencies</w:t>
      </w:r>
      <w:r w:rsidR="006A0E37" w:rsidRPr="00843214">
        <w:rPr>
          <w:color w:val="auto"/>
        </w:rPr>
        <w:t>.</w:t>
      </w:r>
    </w:p>
    <w:p w14:paraId="19AE72E3" w14:textId="1763FC88" w:rsidR="00CA0D1D" w:rsidRPr="00843214" w:rsidRDefault="001A7467" w:rsidP="00CA0D1D">
      <w:pPr>
        <w:rPr>
          <w:color w:val="auto"/>
        </w:rPr>
      </w:pPr>
      <w:r w:rsidRPr="00843214">
        <w:rPr>
          <w:color w:val="auto"/>
        </w:rPr>
        <w:t>Core f</w:t>
      </w:r>
      <w:r w:rsidR="0036003C" w:rsidRPr="00843214">
        <w:rPr>
          <w:color w:val="auto"/>
        </w:rPr>
        <w:t>unding</w:t>
      </w:r>
      <w:r w:rsidRPr="00843214">
        <w:rPr>
          <w:color w:val="auto"/>
        </w:rPr>
        <w:t xml:space="preserve"> is vital for UN Women to deliver its triple mandate</w:t>
      </w:r>
      <w:r w:rsidR="00C72FF7" w:rsidRPr="00843214">
        <w:rPr>
          <w:color w:val="auto"/>
        </w:rPr>
        <w:t>.</w:t>
      </w:r>
      <w:r w:rsidR="008A3134" w:rsidRPr="00843214">
        <w:rPr>
          <w:color w:val="auto"/>
        </w:rPr>
        <w:t xml:space="preserve"> </w:t>
      </w:r>
      <w:r w:rsidR="00CA0D1D" w:rsidRPr="00843214">
        <w:rPr>
          <w:color w:val="auto"/>
        </w:rPr>
        <w:t xml:space="preserve">DFAT’s core contribution to UN Women under the SPF has enabled UN Women to deliver its programmatic, normative and coordination function. Core funding underpins UN Women’s work and ability to be effective to sensitive political situations, </w:t>
      </w:r>
      <w:proofErr w:type="gramStart"/>
      <w:r w:rsidR="00CA0D1D" w:rsidRPr="00843214">
        <w:rPr>
          <w:color w:val="auto"/>
        </w:rPr>
        <w:t>plan ahead</w:t>
      </w:r>
      <w:proofErr w:type="gramEnd"/>
      <w:r w:rsidR="00CA0D1D" w:rsidRPr="00843214">
        <w:rPr>
          <w:color w:val="auto"/>
        </w:rPr>
        <w:t>, respond flexibly, deliver consistently and continue to increase its organi</w:t>
      </w:r>
      <w:r w:rsidR="00F8713A" w:rsidRPr="00843214">
        <w:rPr>
          <w:color w:val="auto"/>
        </w:rPr>
        <w:t>s</w:t>
      </w:r>
      <w:r w:rsidR="00CA0D1D" w:rsidRPr="00843214">
        <w:rPr>
          <w:color w:val="auto"/>
        </w:rPr>
        <w:t>ational effectiveness. To date is has been challenging to map out the many layers of results achieved through core funding</w:t>
      </w:r>
      <w:r w:rsidR="00C0562A" w:rsidRPr="00843214">
        <w:rPr>
          <w:color w:val="auto"/>
        </w:rPr>
        <w:t>. T</w:t>
      </w:r>
      <w:r w:rsidR="00CA0D1D" w:rsidRPr="00843214">
        <w:rPr>
          <w:color w:val="auto"/>
        </w:rPr>
        <w:t>he dollar value and reach of core funding</w:t>
      </w:r>
      <w:r w:rsidR="00D6369E" w:rsidRPr="00843214">
        <w:rPr>
          <w:color w:val="auto"/>
        </w:rPr>
        <w:t>, especially in the Indo-Pacific,</w:t>
      </w:r>
      <w:r w:rsidR="00CA0D1D" w:rsidRPr="00843214">
        <w:rPr>
          <w:color w:val="auto"/>
        </w:rPr>
        <w:t xml:space="preserve"> are not clear</w:t>
      </w:r>
      <w:r w:rsidR="00777945" w:rsidRPr="00843214">
        <w:rPr>
          <w:color w:val="auto"/>
        </w:rPr>
        <w:t xml:space="preserve"> in UN Women’s Regular Resource Reporting</w:t>
      </w:r>
      <w:r w:rsidR="00CA0D1D" w:rsidRPr="00843214">
        <w:rPr>
          <w:color w:val="auto"/>
        </w:rPr>
        <w:t>.</w:t>
      </w:r>
    </w:p>
    <w:p w14:paraId="0712F376" w14:textId="24708622" w:rsidR="00C204F4" w:rsidRPr="00843214" w:rsidRDefault="00CA0D1D" w:rsidP="00CA0D1D">
      <w:pPr>
        <w:rPr>
          <w:color w:val="auto"/>
        </w:rPr>
      </w:pPr>
      <w:r w:rsidRPr="00843214">
        <w:rPr>
          <w:color w:val="auto"/>
        </w:rPr>
        <w:t xml:space="preserve">DFAT’s project specific (non-core) funding has been foundational to global funds managed by UN Women and has allowed UN Women to achieve visible project results for women and girls in the Indo-Pacific Region, but </w:t>
      </w:r>
      <w:r w:rsidR="00641681" w:rsidRPr="00843214">
        <w:rPr>
          <w:color w:val="auto"/>
        </w:rPr>
        <w:t xml:space="preserve">it </w:t>
      </w:r>
      <w:r w:rsidR="00C72FF7" w:rsidRPr="00843214">
        <w:rPr>
          <w:color w:val="auto"/>
        </w:rPr>
        <w:t>has higher operational transaction costs</w:t>
      </w:r>
      <w:r w:rsidR="00B1211C" w:rsidRPr="00843214">
        <w:rPr>
          <w:color w:val="auto"/>
        </w:rPr>
        <w:t>.</w:t>
      </w:r>
      <w:r w:rsidR="005A2A6A" w:rsidRPr="00843214">
        <w:rPr>
          <w:color w:val="auto"/>
        </w:rPr>
        <w:t xml:space="preserve"> A balance needs to be struck that enables visibility of results and UN Women to </w:t>
      </w:r>
      <w:r w:rsidR="0036003C" w:rsidRPr="00843214">
        <w:rPr>
          <w:color w:val="auto"/>
        </w:rPr>
        <w:t xml:space="preserve">perform its core function and </w:t>
      </w:r>
      <w:r w:rsidR="005A2A6A" w:rsidRPr="00843214">
        <w:rPr>
          <w:color w:val="auto"/>
        </w:rPr>
        <w:t>flexibly pursue emerging areas.</w:t>
      </w:r>
    </w:p>
    <w:p w14:paraId="0E8B4D74" w14:textId="1BA493D9" w:rsidR="00F7601C" w:rsidRPr="00843214" w:rsidRDefault="00F7601C" w:rsidP="00F7601C">
      <w:pPr>
        <w:pStyle w:val="Heading4"/>
        <w:rPr>
          <w:b/>
          <w:bCs/>
          <w:color w:val="auto"/>
          <w:sz w:val="27"/>
          <w:szCs w:val="36"/>
          <w:lang w:eastAsia="en-GB"/>
        </w:rPr>
      </w:pPr>
      <w:r w:rsidRPr="00843214">
        <w:rPr>
          <w:b/>
          <w:bCs/>
          <w:color w:val="auto"/>
          <w:sz w:val="27"/>
          <w:szCs w:val="36"/>
          <w:lang w:eastAsia="en-GB"/>
        </w:rPr>
        <w:t>Conclusions</w:t>
      </w:r>
    </w:p>
    <w:p w14:paraId="69762BBF" w14:textId="7D906E12" w:rsidR="007658C4" w:rsidRPr="00843214" w:rsidRDefault="007658C4" w:rsidP="007658C4">
      <w:pPr>
        <w:rPr>
          <w:color w:val="auto"/>
        </w:rPr>
      </w:pPr>
      <w:bookmarkStart w:id="17" w:name="_Hlk67576831"/>
      <w:r w:rsidRPr="00843214">
        <w:rPr>
          <w:b/>
          <w:bCs/>
          <w:color w:val="auto"/>
          <w:u w:val="single"/>
        </w:rPr>
        <w:t>Overall value of the partnership</w:t>
      </w:r>
      <w:r w:rsidR="007F2363" w:rsidRPr="00843214">
        <w:rPr>
          <w:color w:val="auto"/>
        </w:rPr>
        <w:t xml:space="preserve">: </w:t>
      </w:r>
      <w:r w:rsidRPr="00843214">
        <w:rPr>
          <w:color w:val="auto"/>
        </w:rPr>
        <w:t xml:space="preserve">The </w:t>
      </w:r>
      <w:r w:rsidR="005A2A6A" w:rsidRPr="00843214">
        <w:rPr>
          <w:color w:val="auto"/>
        </w:rPr>
        <w:t>P</w:t>
      </w:r>
      <w:r w:rsidRPr="00843214">
        <w:rPr>
          <w:color w:val="auto"/>
        </w:rPr>
        <w:t xml:space="preserve">artnership has achieved significant gains toward its </w:t>
      </w:r>
      <w:r w:rsidR="005A2A6A" w:rsidRPr="00843214">
        <w:rPr>
          <w:color w:val="auto"/>
        </w:rPr>
        <w:t>shared</w:t>
      </w:r>
      <w:r w:rsidRPr="00843214">
        <w:rPr>
          <w:color w:val="auto"/>
        </w:rPr>
        <w:t xml:space="preserve"> objectives with a strong programmatic focus and shared priorities. The strength of the partnership lies in the alignment of the partners, the ability to leverage global and regional expertise, and the long-term, flexible nature of the engagement on both sides. The driving factor for the achievements of the partnership is DFAT and UN Women’s shared commitment to gender equality, women’s empowerment, and enhancing women’s safety and security</w:t>
      </w:r>
      <w:bookmarkEnd w:id="17"/>
      <w:r w:rsidRPr="00843214">
        <w:rPr>
          <w:color w:val="auto"/>
        </w:rPr>
        <w:t xml:space="preserve">. Australia’s support transcends the role of donor </w:t>
      </w:r>
      <w:r w:rsidR="00A15CC4" w:rsidRPr="00843214">
        <w:rPr>
          <w:color w:val="auto"/>
        </w:rPr>
        <w:t xml:space="preserve">by </w:t>
      </w:r>
      <w:r w:rsidRPr="00843214">
        <w:rPr>
          <w:color w:val="auto"/>
        </w:rPr>
        <w:t xml:space="preserve">providing important leadership and advocacy on </w:t>
      </w:r>
      <w:r w:rsidR="009D56D4" w:rsidRPr="00843214">
        <w:rPr>
          <w:color w:val="auto"/>
        </w:rPr>
        <w:t xml:space="preserve">women, </w:t>
      </w:r>
      <w:proofErr w:type="gramStart"/>
      <w:r w:rsidR="009D56D4" w:rsidRPr="00843214">
        <w:rPr>
          <w:color w:val="auto"/>
        </w:rPr>
        <w:t>peace</w:t>
      </w:r>
      <w:proofErr w:type="gramEnd"/>
      <w:r w:rsidR="009D56D4" w:rsidRPr="00843214">
        <w:rPr>
          <w:color w:val="auto"/>
        </w:rPr>
        <w:t xml:space="preserve"> and security, ending violence against women, sexual exploitation, abuse and harassment, and for emerging work on disaster risk reduction. </w:t>
      </w:r>
      <w:r w:rsidRPr="00843214">
        <w:rPr>
          <w:color w:val="auto"/>
        </w:rPr>
        <w:t xml:space="preserve">For Australia, UN Women’s technical expertise and global advocacy role </w:t>
      </w:r>
      <w:r w:rsidR="006E62FF" w:rsidRPr="00843214">
        <w:rPr>
          <w:color w:val="auto"/>
        </w:rPr>
        <w:t>allows</w:t>
      </w:r>
      <w:r w:rsidRPr="00843214">
        <w:rPr>
          <w:color w:val="auto"/>
        </w:rPr>
        <w:t xml:space="preserve"> DFAT to support </w:t>
      </w:r>
      <w:r w:rsidRPr="00843214">
        <w:rPr>
          <w:color w:val="auto"/>
          <w:lang w:val="en-AU"/>
        </w:rPr>
        <w:t>politically</w:t>
      </w:r>
      <w:r w:rsidRPr="00843214">
        <w:rPr>
          <w:color w:val="auto"/>
        </w:rPr>
        <w:t xml:space="preserve"> sensitive areas that are key to </w:t>
      </w:r>
      <w:r w:rsidR="005A2A6A" w:rsidRPr="00843214">
        <w:rPr>
          <w:color w:val="auto"/>
        </w:rPr>
        <w:t>gender equality and women’s empowerment</w:t>
      </w:r>
      <w:r w:rsidRPr="00843214">
        <w:rPr>
          <w:color w:val="auto"/>
        </w:rPr>
        <w:t xml:space="preserve">. </w:t>
      </w:r>
      <w:bookmarkStart w:id="18" w:name="_Hlk67576876"/>
      <w:r w:rsidR="009D56D4" w:rsidRPr="00843214">
        <w:rPr>
          <w:color w:val="auto"/>
        </w:rPr>
        <w:t>R</w:t>
      </w:r>
      <w:r w:rsidRPr="00843214">
        <w:rPr>
          <w:color w:val="auto"/>
        </w:rPr>
        <w:t xml:space="preserve">ecurring challenges relate to defining </w:t>
      </w:r>
      <w:r w:rsidR="009D56D4" w:rsidRPr="00843214">
        <w:rPr>
          <w:color w:val="auto"/>
        </w:rPr>
        <w:t xml:space="preserve">UN </w:t>
      </w:r>
      <w:r w:rsidR="009D56D4" w:rsidRPr="00843214">
        <w:rPr>
          <w:color w:val="auto"/>
        </w:rPr>
        <w:lastRenderedPageBreak/>
        <w:t>Women’s</w:t>
      </w:r>
      <w:r w:rsidRPr="00843214">
        <w:rPr>
          <w:color w:val="auto"/>
        </w:rPr>
        <w:t xml:space="preserve"> role and strategic focus, resource constraints, and optimising partnerships.</w:t>
      </w:r>
      <w:r w:rsidR="00E060B4" w:rsidRPr="00843214">
        <w:rPr>
          <w:color w:val="auto"/>
        </w:rPr>
        <w:t xml:space="preserve"> </w:t>
      </w:r>
      <w:r w:rsidR="00655153" w:rsidRPr="00843214">
        <w:rPr>
          <w:color w:val="auto"/>
        </w:rPr>
        <w:t>A key area linked to ongoing funding is ensuring sufficient visibility for DFAT both in terms of</w:t>
      </w:r>
      <w:r w:rsidR="00AD4A95" w:rsidRPr="00843214">
        <w:rPr>
          <w:color w:val="auto"/>
        </w:rPr>
        <w:t xml:space="preserve"> 1)</w:t>
      </w:r>
      <w:r w:rsidR="00066603" w:rsidRPr="00843214">
        <w:rPr>
          <w:color w:val="auto"/>
        </w:rPr>
        <w:t xml:space="preserve"> </w:t>
      </w:r>
      <w:r w:rsidR="007D2B02" w:rsidRPr="00843214">
        <w:rPr>
          <w:color w:val="auto"/>
        </w:rPr>
        <w:t xml:space="preserve">UN Women’s initiatives include </w:t>
      </w:r>
      <w:r w:rsidR="00066603" w:rsidRPr="00843214">
        <w:rPr>
          <w:color w:val="auto"/>
        </w:rPr>
        <w:t>robust</w:t>
      </w:r>
      <w:r w:rsidR="00655153" w:rsidRPr="00843214">
        <w:rPr>
          <w:color w:val="auto"/>
        </w:rPr>
        <w:t xml:space="preserve"> </w:t>
      </w:r>
      <w:r w:rsidR="00246A19" w:rsidRPr="00843214">
        <w:rPr>
          <w:color w:val="auto"/>
        </w:rPr>
        <w:t xml:space="preserve">public </w:t>
      </w:r>
      <w:r w:rsidR="00961ABD" w:rsidRPr="00843214">
        <w:rPr>
          <w:color w:val="auto"/>
        </w:rPr>
        <w:t>visibility</w:t>
      </w:r>
      <w:r w:rsidR="0010315F" w:rsidRPr="00843214">
        <w:rPr>
          <w:color w:val="auto"/>
        </w:rPr>
        <w:t xml:space="preserve">, public </w:t>
      </w:r>
      <w:r w:rsidR="00246A19" w:rsidRPr="00843214">
        <w:rPr>
          <w:color w:val="auto"/>
        </w:rPr>
        <w:t xml:space="preserve">diplomacy </w:t>
      </w:r>
      <w:r w:rsidR="00066603" w:rsidRPr="00843214">
        <w:rPr>
          <w:color w:val="auto"/>
        </w:rPr>
        <w:t xml:space="preserve">and branding </w:t>
      </w:r>
      <w:r w:rsidR="001E1098" w:rsidRPr="00843214">
        <w:rPr>
          <w:color w:val="auto"/>
        </w:rPr>
        <w:t xml:space="preserve">that </w:t>
      </w:r>
      <w:r w:rsidR="005A3C3B" w:rsidRPr="00843214">
        <w:rPr>
          <w:color w:val="auto"/>
        </w:rPr>
        <w:t>promote</w:t>
      </w:r>
      <w:r w:rsidR="0086796E" w:rsidRPr="00843214">
        <w:rPr>
          <w:color w:val="auto"/>
        </w:rPr>
        <w:t xml:space="preserve"> DFAT’s contribution</w:t>
      </w:r>
      <w:r w:rsidR="001E1098" w:rsidRPr="00843214">
        <w:rPr>
          <w:color w:val="auto"/>
        </w:rPr>
        <w:t xml:space="preserve"> </w:t>
      </w:r>
      <w:r w:rsidR="00226FD5" w:rsidRPr="00843214">
        <w:rPr>
          <w:color w:val="auto"/>
        </w:rPr>
        <w:t>in line with SPF requirements</w:t>
      </w:r>
      <w:r w:rsidR="00246A19" w:rsidRPr="00843214">
        <w:rPr>
          <w:color w:val="auto"/>
        </w:rPr>
        <w:t xml:space="preserve"> </w:t>
      </w:r>
      <w:r w:rsidR="00655153" w:rsidRPr="00843214">
        <w:rPr>
          <w:color w:val="auto"/>
        </w:rPr>
        <w:t xml:space="preserve">and </w:t>
      </w:r>
      <w:r w:rsidR="00AD4A95" w:rsidRPr="00843214">
        <w:rPr>
          <w:color w:val="auto"/>
        </w:rPr>
        <w:t xml:space="preserve">2) </w:t>
      </w:r>
      <w:r w:rsidR="005A3C3B" w:rsidRPr="00843214">
        <w:rPr>
          <w:color w:val="auto"/>
        </w:rPr>
        <w:t>DFAT’s ability to see</w:t>
      </w:r>
      <w:r w:rsidR="00655153" w:rsidRPr="00843214">
        <w:rPr>
          <w:color w:val="auto"/>
        </w:rPr>
        <w:t xml:space="preserve"> UN Women’s results</w:t>
      </w:r>
      <w:r w:rsidR="0085714C" w:rsidRPr="00843214">
        <w:rPr>
          <w:color w:val="auto"/>
        </w:rPr>
        <w:t xml:space="preserve"> and core funding allocations</w:t>
      </w:r>
      <w:r w:rsidR="00655153" w:rsidRPr="00843214">
        <w:rPr>
          <w:color w:val="auto"/>
        </w:rPr>
        <w:t xml:space="preserve"> within the Indo-Pacific</w:t>
      </w:r>
      <w:r w:rsidR="00786F1B" w:rsidRPr="00843214">
        <w:rPr>
          <w:color w:val="auto"/>
        </w:rPr>
        <w:t xml:space="preserve"> so it can </w:t>
      </w:r>
      <w:r w:rsidR="00E030AD" w:rsidRPr="00843214">
        <w:rPr>
          <w:color w:val="auto"/>
        </w:rPr>
        <w:t>communicate the value of the Partnership within the region</w:t>
      </w:r>
      <w:r w:rsidR="00DF7255" w:rsidRPr="00843214">
        <w:rPr>
          <w:color w:val="auto"/>
        </w:rPr>
        <w:t xml:space="preserve"> to stakeholders</w:t>
      </w:r>
      <w:r w:rsidR="00655153" w:rsidRPr="00843214">
        <w:rPr>
          <w:color w:val="auto"/>
        </w:rPr>
        <w:t>.</w:t>
      </w:r>
    </w:p>
    <w:bookmarkEnd w:id="18"/>
    <w:p w14:paraId="42FC2B39" w14:textId="30B386CE" w:rsidR="007658C4" w:rsidRPr="00843214" w:rsidRDefault="007658C4" w:rsidP="007658C4">
      <w:pPr>
        <w:rPr>
          <w:color w:val="auto"/>
        </w:rPr>
      </w:pPr>
      <w:r w:rsidRPr="00843214">
        <w:rPr>
          <w:b/>
          <w:bCs/>
          <w:color w:val="auto"/>
          <w:u w:val="single"/>
        </w:rPr>
        <w:t>Future priorities</w:t>
      </w:r>
      <w:r w:rsidR="007F2363" w:rsidRPr="00843214">
        <w:rPr>
          <w:b/>
          <w:bCs/>
          <w:color w:val="auto"/>
        </w:rPr>
        <w:t xml:space="preserve">: </w:t>
      </w:r>
      <w:r w:rsidRPr="00843214">
        <w:rPr>
          <w:color w:val="auto"/>
        </w:rPr>
        <w:t xml:space="preserve">The </w:t>
      </w:r>
      <w:r w:rsidR="00D75352" w:rsidRPr="00843214">
        <w:rPr>
          <w:color w:val="auto"/>
        </w:rPr>
        <w:t>nine SPF 2016-21 objectives</w:t>
      </w:r>
      <w:r w:rsidRPr="00843214">
        <w:rPr>
          <w:color w:val="auto"/>
        </w:rPr>
        <w:t xml:space="preserve"> remain relevant within the context of COVID-19</w:t>
      </w:r>
      <w:r w:rsidR="0053720B" w:rsidRPr="00843214">
        <w:rPr>
          <w:color w:val="auto"/>
        </w:rPr>
        <w:t xml:space="preserve"> and for the next SPF</w:t>
      </w:r>
      <w:r w:rsidRPr="00843214">
        <w:rPr>
          <w:color w:val="auto"/>
        </w:rPr>
        <w:t xml:space="preserve">. </w:t>
      </w:r>
      <w:r w:rsidR="008C3D65" w:rsidRPr="00843214">
        <w:rPr>
          <w:color w:val="auto"/>
        </w:rPr>
        <w:t>T</w:t>
      </w:r>
      <w:r w:rsidRPr="00843214">
        <w:rPr>
          <w:color w:val="auto"/>
        </w:rPr>
        <w:t xml:space="preserve">he Partnership has a coherent approach and has contributed meaningfully to the objectives. For the next SPF, </w:t>
      </w:r>
      <w:r w:rsidR="001C4F87" w:rsidRPr="00843214">
        <w:rPr>
          <w:color w:val="auto"/>
        </w:rPr>
        <w:t>t</w:t>
      </w:r>
      <w:r w:rsidRPr="00843214">
        <w:rPr>
          <w:color w:val="auto"/>
        </w:rPr>
        <w:t>he Partnership should maintain focus on key areas of strength/competitive advantage/need in COVID-19 response and recovery</w:t>
      </w:r>
      <w:r w:rsidR="00BE7D33" w:rsidRPr="00843214">
        <w:rPr>
          <w:color w:val="auto"/>
        </w:rPr>
        <w:t xml:space="preserve">, and </w:t>
      </w:r>
      <w:r w:rsidRPr="00843214">
        <w:rPr>
          <w:color w:val="auto"/>
        </w:rPr>
        <w:t>high-functioning existing programs.</w:t>
      </w:r>
      <w:r w:rsidR="006A7BC5" w:rsidRPr="00843214">
        <w:rPr>
          <w:color w:val="auto"/>
        </w:rPr>
        <w:t xml:space="preserve"> </w:t>
      </w:r>
      <w:r w:rsidR="0036003C" w:rsidRPr="00843214">
        <w:rPr>
          <w:color w:val="auto"/>
        </w:rPr>
        <w:t xml:space="preserve">There is an opportunity to clarify and strengthen the aspects of the </w:t>
      </w:r>
      <w:r w:rsidR="001C4F87" w:rsidRPr="00843214">
        <w:rPr>
          <w:color w:val="auto"/>
        </w:rPr>
        <w:t>P</w:t>
      </w:r>
      <w:r w:rsidR="0036003C" w:rsidRPr="00843214">
        <w:rPr>
          <w:color w:val="auto"/>
        </w:rPr>
        <w:t xml:space="preserve">artnership where UN Women has a strategic advantage and where the situation facing women and girls remains critical. </w:t>
      </w:r>
      <w:r w:rsidR="005D1629" w:rsidRPr="00843214">
        <w:rPr>
          <w:color w:val="auto"/>
        </w:rPr>
        <w:t xml:space="preserve">A key change is to separate Objective 4 into </w:t>
      </w:r>
      <w:r w:rsidR="00A00C30" w:rsidRPr="00843214">
        <w:rPr>
          <w:color w:val="auto"/>
        </w:rPr>
        <w:t>a) women’s political</w:t>
      </w:r>
      <w:r w:rsidR="00A346A3" w:rsidRPr="00843214">
        <w:rPr>
          <w:color w:val="auto"/>
        </w:rPr>
        <w:t xml:space="preserve"> participation and</w:t>
      </w:r>
      <w:r w:rsidR="00A00C30" w:rsidRPr="00843214">
        <w:rPr>
          <w:color w:val="auto"/>
        </w:rPr>
        <w:t xml:space="preserve"> </w:t>
      </w:r>
      <w:r w:rsidR="00B40E5A" w:rsidRPr="00843214">
        <w:rPr>
          <w:color w:val="auto"/>
        </w:rPr>
        <w:t>leadership</w:t>
      </w:r>
      <w:r w:rsidR="00A00C30" w:rsidRPr="00843214">
        <w:rPr>
          <w:color w:val="auto"/>
        </w:rPr>
        <w:t>, b</w:t>
      </w:r>
      <w:r w:rsidR="005D1629" w:rsidRPr="00843214">
        <w:rPr>
          <w:color w:val="auto"/>
        </w:rPr>
        <w:t xml:space="preserve">) women, peace and security, </w:t>
      </w:r>
      <w:r w:rsidR="00A00C30" w:rsidRPr="00843214">
        <w:rPr>
          <w:color w:val="auto"/>
        </w:rPr>
        <w:t>c</w:t>
      </w:r>
      <w:r w:rsidR="005D1629" w:rsidRPr="00843214">
        <w:rPr>
          <w:color w:val="auto"/>
        </w:rPr>
        <w:t>)</w:t>
      </w:r>
      <w:r w:rsidR="0036003C" w:rsidRPr="00843214">
        <w:rPr>
          <w:color w:val="auto"/>
        </w:rPr>
        <w:t xml:space="preserve"> disaster risk reduction and </w:t>
      </w:r>
      <w:r w:rsidR="00A00C30" w:rsidRPr="00843214">
        <w:rPr>
          <w:color w:val="auto"/>
        </w:rPr>
        <w:t>d</w:t>
      </w:r>
      <w:r w:rsidR="0036003C" w:rsidRPr="00843214">
        <w:rPr>
          <w:color w:val="auto"/>
        </w:rPr>
        <w:t>) humanitarian</w:t>
      </w:r>
      <w:r w:rsidR="005D1629" w:rsidRPr="00843214">
        <w:rPr>
          <w:color w:val="auto"/>
        </w:rPr>
        <w:t xml:space="preserve"> </w:t>
      </w:r>
      <w:r w:rsidR="0036003C" w:rsidRPr="00843214">
        <w:rPr>
          <w:color w:val="auto"/>
        </w:rPr>
        <w:t xml:space="preserve">to take account of the changing context, agency priorities and to allow an appropriate level of focus and clarity on expected performance in each area. </w:t>
      </w:r>
    </w:p>
    <w:p w14:paraId="78115CCE" w14:textId="14CE4C36" w:rsidR="007658C4" w:rsidRPr="00843214" w:rsidRDefault="007658C4" w:rsidP="007658C4">
      <w:pPr>
        <w:rPr>
          <w:color w:val="auto"/>
        </w:rPr>
      </w:pPr>
      <w:r w:rsidRPr="00843214">
        <w:rPr>
          <w:b/>
          <w:bCs/>
          <w:color w:val="auto"/>
          <w:u w:val="single"/>
        </w:rPr>
        <w:t>UN Women delivery approach</w:t>
      </w:r>
      <w:r w:rsidR="007F2363" w:rsidRPr="00843214">
        <w:rPr>
          <w:b/>
          <w:bCs/>
          <w:color w:val="auto"/>
        </w:rPr>
        <w:t xml:space="preserve">: </w:t>
      </w:r>
      <w:r w:rsidRPr="00843214">
        <w:rPr>
          <w:color w:val="auto"/>
        </w:rPr>
        <w:t xml:space="preserve">UN Women continues to make improvements to its organisational model and its </w:t>
      </w:r>
      <w:r w:rsidR="00503E8D" w:rsidRPr="00843214">
        <w:rPr>
          <w:color w:val="auto"/>
        </w:rPr>
        <w:t>program</w:t>
      </w:r>
      <w:r w:rsidRPr="00843214">
        <w:rPr>
          <w:color w:val="auto"/>
        </w:rPr>
        <w:t xml:space="preserve"> delivery.</w:t>
      </w:r>
      <w:r w:rsidR="008E19D2" w:rsidRPr="00843214">
        <w:rPr>
          <w:color w:val="auto"/>
        </w:rPr>
        <w:t xml:space="preserve"> It</w:t>
      </w:r>
      <w:r w:rsidRPr="00843214">
        <w:rPr>
          <w:color w:val="auto"/>
        </w:rPr>
        <w:t xml:space="preserve"> is actively addressing resource constraints and moving to support the capacity of its country and regional offices. UN Women is actively working to supplement its reporting on core resourcing for greater visibility for donors. </w:t>
      </w:r>
      <w:r w:rsidR="00905D81" w:rsidRPr="00843214">
        <w:rPr>
          <w:color w:val="auto"/>
        </w:rPr>
        <w:t xml:space="preserve">UN Women an entity with a dedicated purpose and a clear global mandate, therefore as an implementation partner it should be recognised as distinct from to a managing contractor or </w:t>
      </w:r>
      <w:r w:rsidR="00A77B0B" w:rsidRPr="00843214">
        <w:rPr>
          <w:color w:val="auto"/>
        </w:rPr>
        <w:t>non-government organi</w:t>
      </w:r>
      <w:r w:rsidR="00F8713A" w:rsidRPr="00843214">
        <w:rPr>
          <w:color w:val="auto"/>
        </w:rPr>
        <w:t>s</w:t>
      </w:r>
      <w:r w:rsidR="00A77B0B" w:rsidRPr="00843214">
        <w:rPr>
          <w:color w:val="auto"/>
        </w:rPr>
        <w:t>ation</w:t>
      </w:r>
      <w:r w:rsidR="009566DD" w:rsidRPr="00843214">
        <w:rPr>
          <w:color w:val="auto"/>
        </w:rPr>
        <w:t>.</w:t>
      </w:r>
    </w:p>
    <w:p w14:paraId="3F348F9D" w14:textId="5DDD2016" w:rsidR="007658C4" w:rsidRPr="00843214" w:rsidRDefault="007658C4" w:rsidP="007658C4">
      <w:pPr>
        <w:rPr>
          <w:color w:val="auto"/>
        </w:rPr>
      </w:pPr>
      <w:r w:rsidRPr="00843214">
        <w:rPr>
          <w:b/>
          <w:bCs/>
          <w:color w:val="auto"/>
          <w:u w:val="single"/>
        </w:rPr>
        <w:t>Partnership approach</w:t>
      </w:r>
      <w:r w:rsidR="007F2363" w:rsidRPr="00843214">
        <w:rPr>
          <w:b/>
          <w:bCs/>
          <w:color w:val="auto"/>
        </w:rPr>
        <w:t xml:space="preserve">: </w:t>
      </w:r>
      <w:r w:rsidR="001C4F87" w:rsidRPr="00843214">
        <w:rPr>
          <w:color w:val="auto"/>
        </w:rPr>
        <w:t>Partnership e</w:t>
      </w:r>
      <w:r w:rsidRPr="00843214">
        <w:rPr>
          <w:color w:val="auto"/>
        </w:rPr>
        <w:t xml:space="preserve">ngagement has transaction costs. Both partners have high expectations of the level of exchange and communications expected from partners. While communications between UN Women and DFAT are </w:t>
      </w:r>
      <w:r w:rsidR="0036003C" w:rsidRPr="00843214">
        <w:rPr>
          <w:color w:val="auto"/>
        </w:rPr>
        <w:t>adaptive</w:t>
      </w:r>
      <w:r w:rsidRPr="00843214">
        <w:rPr>
          <w:color w:val="auto"/>
        </w:rPr>
        <w:t>, at times both partners feel that there are high expectations for the level of engagement and reporting.</w:t>
      </w:r>
    </w:p>
    <w:p w14:paraId="3AF31425" w14:textId="298192DF" w:rsidR="00B1211C" w:rsidRPr="00843214" w:rsidRDefault="00B1211C" w:rsidP="00EC2C6D">
      <w:pPr>
        <w:pStyle w:val="Heading4"/>
        <w:rPr>
          <w:b/>
          <w:bCs/>
          <w:color w:val="auto"/>
          <w:sz w:val="27"/>
          <w:szCs w:val="36"/>
          <w:lang w:eastAsia="en-GB"/>
        </w:rPr>
      </w:pPr>
      <w:r w:rsidRPr="00843214">
        <w:rPr>
          <w:b/>
          <w:bCs/>
          <w:color w:val="auto"/>
          <w:sz w:val="27"/>
          <w:szCs w:val="36"/>
          <w:lang w:eastAsia="en-GB"/>
        </w:rPr>
        <w:t>Recommendations</w:t>
      </w:r>
    </w:p>
    <w:p w14:paraId="6AEC4A81" w14:textId="77A5C313" w:rsidR="00EC2C6D" w:rsidRPr="00843214" w:rsidRDefault="00EC2C6D" w:rsidP="00EC2C6D">
      <w:pPr>
        <w:rPr>
          <w:b/>
          <w:bCs/>
          <w:color w:val="auto"/>
          <w:u w:val="single"/>
        </w:rPr>
      </w:pPr>
      <w:r w:rsidRPr="00843214">
        <w:rPr>
          <w:b/>
          <w:bCs/>
          <w:color w:val="auto"/>
          <w:u w:val="single"/>
        </w:rPr>
        <w:t>Future work</w:t>
      </w:r>
    </w:p>
    <w:p w14:paraId="2C790CC1" w14:textId="445365C2" w:rsidR="000C59C9" w:rsidRPr="00843214" w:rsidRDefault="000C59C9" w:rsidP="000C59C9">
      <w:pPr>
        <w:pStyle w:val="IODPARClistnumber"/>
        <w:rPr>
          <w:lang w:val="en-AU"/>
        </w:rPr>
      </w:pPr>
      <w:r w:rsidRPr="00843214">
        <w:rPr>
          <w:lang w:val="en-AU"/>
        </w:rPr>
        <w:t xml:space="preserve">The Partnership should retain and build upon work in the established SPF priority areas, integrating cross-cutting COVID-19 response and recovery initiatives, and separating women’s political </w:t>
      </w:r>
      <w:r w:rsidR="00A346A3" w:rsidRPr="00843214">
        <w:rPr>
          <w:lang w:val="en-AU"/>
        </w:rPr>
        <w:t xml:space="preserve">participation and </w:t>
      </w:r>
      <w:r w:rsidRPr="00843214">
        <w:rPr>
          <w:lang w:val="en-AU"/>
        </w:rPr>
        <w:t>leadership</w:t>
      </w:r>
      <w:r w:rsidR="00641681" w:rsidRPr="00843214">
        <w:rPr>
          <w:lang w:val="en-AU"/>
        </w:rPr>
        <w:t>;</w:t>
      </w:r>
      <w:r w:rsidRPr="00843214">
        <w:rPr>
          <w:lang w:val="en-AU"/>
        </w:rPr>
        <w:t xml:space="preserve"> </w:t>
      </w:r>
      <w:r w:rsidR="00A827AC" w:rsidRPr="00843214">
        <w:rPr>
          <w:lang w:val="en-AU"/>
        </w:rPr>
        <w:t>w</w:t>
      </w:r>
      <w:r w:rsidR="00DC1C29" w:rsidRPr="00843214">
        <w:rPr>
          <w:lang w:val="en-AU"/>
        </w:rPr>
        <w:t xml:space="preserve">omen, </w:t>
      </w:r>
      <w:r w:rsidR="00A827AC" w:rsidRPr="00843214">
        <w:rPr>
          <w:lang w:val="en-AU"/>
        </w:rPr>
        <w:t>p</w:t>
      </w:r>
      <w:r w:rsidR="00DC1C29" w:rsidRPr="00843214">
        <w:rPr>
          <w:lang w:val="en-AU"/>
        </w:rPr>
        <w:t xml:space="preserve">eace and </w:t>
      </w:r>
      <w:r w:rsidR="00A827AC" w:rsidRPr="00843214">
        <w:rPr>
          <w:lang w:val="en-AU"/>
        </w:rPr>
        <w:t>s</w:t>
      </w:r>
      <w:r w:rsidR="00DC1C29" w:rsidRPr="00843214">
        <w:rPr>
          <w:lang w:val="en-AU"/>
        </w:rPr>
        <w:t>ecurity</w:t>
      </w:r>
      <w:r w:rsidR="00641681" w:rsidRPr="00843214">
        <w:rPr>
          <w:lang w:val="en-AU"/>
        </w:rPr>
        <w:t>;</w:t>
      </w:r>
      <w:r w:rsidRPr="00843214">
        <w:rPr>
          <w:lang w:val="en-AU"/>
        </w:rPr>
        <w:t xml:space="preserve"> </w:t>
      </w:r>
      <w:r w:rsidR="00A827AC" w:rsidRPr="00843214">
        <w:rPr>
          <w:lang w:val="en-AU"/>
        </w:rPr>
        <w:t>d</w:t>
      </w:r>
      <w:r w:rsidR="00DC1C29" w:rsidRPr="00843214">
        <w:rPr>
          <w:lang w:val="en-AU"/>
        </w:rPr>
        <w:t xml:space="preserve">isaster </w:t>
      </w:r>
      <w:r w:rsidR="00A827AC" w:rsidRPr="00843214">
        <w:rPr>
          <w:lang w:val="en-AU"/>
        </w:rPr>
        <w:t>r</w:t>
      </w:r>
      <w:r w:rsidR="00DC1C29" w:rsidRPr="00843214">
        <w:rPr>
          <w:lang w:val="en-AU"/>
        </w:rPr>
        <w:t xml:space="preserve">isk </w:t>
      </w:r>
      <w:r w:rsidR="00A827AC" w:rsidRPr="00843214">
        <w:rPr>
          <w:lang w:val="en-AU"/>
        </w:rPr>
        <w:t>r</w:t>
      </w:r>
      <w:r w:rsidR="00DC1C29" w:rsidRPr="00843214">
        <w:rPr>
          <w:lang w:val="en-AU"/>
        </w:rPr>
        <w:t>eduction</w:t>
      </w:r>
      <w:r w:rsidRPr="00843214">
        <w:rPr>
          <w:lang w:val="en-AU"/>
        </w:rPr>
        <w:t xml:space="preserve"> (including climate change)</w:t>
      </w:r>
      <w:r w:rsidR="00641681" w:rsidRPr="00843214">
        <w:rPr>
          <w:lang w:val="en-AU"/>
        </w:rPr>
        <w:t>;</w:t>
      </w:r>
      <w:r w:rsidRPr="00843214">
        <w:rPr>
          <w:lang w:val="en-AU"/>
        </w:rPr>
        <w:t xml:space="preserve"> </w:t>
      </w:r>
      <w:proofErr w:type="gramStart"/>
      <w:r w:rsidRPr="00843214">
        <w:rPr>
          <w:lang w:val="en-AU"/>
        </w:rPr>
        <w:t>and</w:t>
      </w:r>
      <w:r w:rsidR="00641681" w:rsidRPr="00843214">
        <w:rPr>
          <w:lang w:val="en-AU"/>
        </w:rPr>
        <w:t>,</w:t>
      </w:r>
      <w:proofErr w:type="gramEnd"/>
      <w:r w:rsidRPr="00843214">
        <w:rPr>
          <w:lang w:val="en-AU"/>
        </w:rPr>
        <w:t xml:space="preserve"> humanitarian work to allow an appropriate level of focus and clarity on expected performance in each area. </w:t>
      </w:r>
    </w:p>
    <w:p w14:paraId="26034F18" w14:textId="4E7269CB" w:rsidR="00970ACA" w:rsidRPr="00843214" w:rsidRDefault="00970ACA" w:rsidP="00970ACA">
      <w:pPr>
        <w:rPr>
          <w:b/>
          <w:bCs/>
          <w:color w:val="auto"/>
          <w:u w:val="single"/>
        </w:rPr>
      </w:pPr>
      <w:r w:rsidRPr="00843214">
        <w:rPr>
          <w:b/>
          <w:bCs/>
          <w:color w:val="auto"/>
          <w:u w:val="single"/>
        </w:rPr>
        <w:t>How the Partnership dynamics, implementation approaches, and operational arrangements can change to support the work.</w:t>
      </w:r>
    </w:p>
    <w:p w14:paraId="2F680BB9" w14:textId="77777777" w:rsidR="00970ACA" w:rsidRPr="00843214" w:rsidRDefault="00970ACA" w:rsidP="00970ACA">
      <w:pPr>
        <w:pStyle w:val="IODPARClistnumber"/>
        <w:rPr>
          <w:lang w:val="en-AU"/>
        </w:rPr>
      </w:pPr>
      <w:r w:rsidRPr="00843214">
        <w:rPr>
          <w:lang w:val="en-AU"/>
        </w:rPr>
        <w:t xml:space="preserve">DFAT could provide non-core resourcing to continue linking policy and research to programming and </w:t>
      </w:r>
      <w:proofErr w:type="gramStart"/>
      <w:r w:rsidRPr="00843214">
        <w:rPr>
          <w:lang w:val="en-AU"/>
        </w:rPr>
        <w:t>funding, and</w:t>
      </w:r>
      <w:proofErr w:type="gramEnd"/>
      <w:r w:rsidRPr="00843214">
        <w:rPr>
          <w:lang w:val="en-AU"/>
        </w:rPr>
        <w:t xml:space="preserve"> invest to translate normative work to the Indo-Pacific. </w:t>
      </w:r>
    </w:p>
    <w:p w14:paraId="602D06A5" w14:textId="77777777" w:rsidR="00970ACA" w:rsidRPr="00843214" w:rsidRDefault="00970ACA" w:rsidP="00970ACA">
      <w:pPr>
        <w:pStyle w:val="IODPARClistnumber"/>
        <w:rPr>
          <w:lang w:val="en-AU"/>
        </w:rPr>
      </w:pPr>
      <w:r w:rsidRPr="00843214">
        <w:rPr>
          <w:lang w:val="en-AU"/>
        </w:rPr>
        <w:t>The next SPF should prioritise joint programming and working through UN agency, CSO, and private sector partnerships and DFAT programs, while maintaining the UN Women identity, brand, and unique value proposition.</w:t>
      </w:r>
    </w:p>
    <w:p w14:paraId="2A16B3C4" w14:textId="56D1936E" w:rsidR="00970ACA" w:rsidRPr="00843214" w:rsidRDefault="00970ACA" w:rsidP="00970ACA">
      <w:pPr>
        <w:pStyle w:val="IODPARClistnumber"/>
        <w:rPr>
          <w:lang w:val="en-AU"/>
        </w:rPr>
      </w:pPr>
      <w:r w:rsidRPr="00843214">
        <w:rPr>
          <w:lang w:val="en-AU"/>
        </w:rPr>
        <w:t>The Partnership should ensure that the engagement is strategic and does not add transaction costs without adding value.</w:t>
      </w:r>
    </w:p>
    <w:p w14:paraId="013842FC" w14:textId="113E8B2B" w:rsidR="00C0562A" w:rsidRPr="00843214" w:rsidRDefault="00C0562A" w:rsidP="00C0562A">
      <w:pPr>
        <w:pStyle w:val="IODPARClistnumber"/>
        <w:rPr>
          <w:lang w:val="en-AU"/>
        </w:rPr>
      </w:pPr>
      <w:r w:rsidRPr="00843214">
        <w:rPr>
          <w:lang w:val="en-AU"/>
        </w:rPr>
        <w:t>The Partnership should explore options for lightly earmarked funding.</w:t>
      </w:r>
    </w:p>
    <w:p w14:paraId="6839C9EA" w14:textId="2B05C551" w:rsidR="00970ACA" w:rsidRPr="00843214" w:rsidRDefault="00970ACA" w:rsidP="00970ACA">
      <w:pPr>
        <w:pStyle w:val="IODPARClistnumber"/>
        <w:rPr>
          <w:lang w:val="en-AU"/>
        </w:rPr>
      </w:pPr>
      <w:r w:rsidRPr="00843214">
        <w:rPr>
          <w:lang w:val="en-AU"/>
        </w:rPr>
        <w:t>The Partnership should be clear about how core resourcing is used</w:t>
      </w:r>
      <w:r w:rsidR="009566DD" w:rsidRPr="00843214">
        <w:rPr>
          <w:lang w:val="en-AU"/>
        </w:rPr>
        <w:t>.</w:t>
      </w:r>
    </w:p>
    <w:p w14:paraId="396F187E" w14:textId="06352354" w:rsidR="00970ACA" w:rsidRPr="00843214" w:rsidRDefault="00970ACA" w:rsidP="00970ACA">
      <w:pPr>
        <w:pStyle w:val="IODPARClistnumber"/>
        <w:rPr>
          <w:lang w:val="en-AU"/>
        </w:rPr>
      </w:pPr>
      <w:r w:rsidRPr="00843214">
        <w:rPr>
          <w:lang w:val="en-AU"/>
        </w:rPr>
        <w:t>The Partnership should clarify and strengthen mutual public visibility requirements</w:t>
      </w:r>
      <w:r w:rsidR="009566DD" w:rsidRPr="00843214">
        <w:rPr>
          <w:lang w:val="en-AU"/>
        </w:rPr>
        <w:t>.</w:t>
      </w:r>
    </w:p>
    <w:p w14:paraId="7D12AEF6" w14:textId="33B96322" w:rsidR="00C204F4" w:rsidRPr="00843214" w:rsidRDefault="00970ACA" w:rsidP="00823A94">
      <w:pPr>
        <w:pStyle w:val="IODPARClistnumber"/>
        <w:rPr>
          <w:rFonts w:ascii="Arial" w:hAnsi="Arial"/>
          <w:szCs w:val="21"/>
          <w:shd w:val="clear" w:color="auto" w:fill="FFFFFF"/>
        </w:rPr>
      </w:pPr>
      <w:r w:rsidRPr="00843214">
        <w:rPr>
          <w:lang w:val="en-AU"/>
        </w:rPr>
        <w:t xml:space="preserve">The SPF </w:t>
      </w:r>
      <w:r w:rsidR="004522AA" w:rsidRPr="00843214">
        <w:rPr>
          <w:lang w:val="en-AU"/>
        </w:rPr>
        <w:t>c</w:t>
      </w:r>
      <w:r w:rsidRPr="00843214">
        <w:rPr>
          <w:lang w:val="en-AU"/>
        </w:rPr>
        <w:t>ould identify solutions for UN W</w:t>
      </w:r>
      <w:r w:rsidR="00A827AC" w:rsidRPr="00843214">
        <w:rPr>
          <w:lang w:val="en-AU"/>
        </w:rPr>
        <w:t>o</w:t>
      </w:r>
      <w:r w:rsidRPr="00843214">
        <w:rPr>
          <w:lang w:val="en-AU"/>
        </w:rPr>
        <w:t>men’s capacity constraints, drawing from established DFAT processes and initiatives that provide opportunities for qualified Australians to be involved in development work.</w:t>
      </w:r>
      <w:r w:rsidR="007658C4" w:rsidRPr="00843214">
        <w:t xml:space="preserve"> </w:t>
      </w:r>
    </w:p>
    <w:p w14:paraId="2E0F4C94" w14:textId="77777777" w:rsidR="002B7C6A" w:rsidRPr="00843214" w:rsidRDefault="002B7C6A" w:rsidP="00437C2B">
      <w:pPr>
        <w:rPr>
          <w:color w:val="auto"/>
        </w:rPr>
        <w:sectPr w:rsidR="002B7C6A" w:rsidRPr="00843214" w:rsidSect="002B7C6A">
          <w:headerReference w:type="default" r:id="rId18"/>
          <w:footerReference w:type="default" r:id="rId19"/>
          <w:pgSz w:w="11906" w:h="16838" w:code="9"/>
          <w:pgMar w:top="1440" w:right="1440" w:bottom="1440" w:left="1440" w:header="708" w:footer="708" w:gutter="0"/>
          <w:pgNumType w:fmt="lowerRoman" w:start="1"/>
          <w:cols w:space="708"/>
          <w:docGrid w:linePitch="360"/>
        </w:sectPr>
      </w:pPr>
    </w:p>
    <w:p w14:paraId="2FCA80D8" w14:textId="6A011E87" w:rsidR="00437C2B" w:rsidRPr="00843214" w:rsidRDefault="00437C2B" w:rsidP="00843214">
      <w:pPr>
        <w:pStyle w:val="Heading1"/>
      </w:pPr>
      <w:bookmarkStart w:id="19" w:name="_Toc8998712"/>
      <w:bookmarkStart w:id="20" w:name="_Toc11767280"/>
      <w:bookmarkStart w:id="21" w:name="_Toc17958716"/>
      <w:bookmarkStart w:id="22" w:name="_Toc17959387"/>
      <w:bookmarkStart w:id="23" w:name="_Toc69376652"/>
      <w:r w:rsidRPr="00843214">
        <w:lastRenderedPageBreak/>
        <w:t>Introduction</w:t>
      </w:r>
      <w:bookmarkEnd w:id="19"/>
      <w:bookmarkEnd w:id="20"/>
      <w:bookmarkEnd w:id="21"/>
      <w:bookmarkEnd w:id="22"/>
      <w:bookmarkEnd w:id="23"/>
    </w:p>
    <w:p w14:paraId="47829DA1" w14:textId="395E5651" w:rsidR="005F7008" w:rsidRPr="00843214" w:rsidRDefault="005F7008" w:rsidP="00BD5384">
      <w:pPr>
        <w:pStyle w:val="Heading2"/>
        <w:numPr>
          <w:ilvl w:val="0"/>
          <w:numId w:val="0"/>
        </w:numPr>
        <w:ind w:left="576" w:hanging="576"/>
        <w:rPr>
          <w:color w:val="auto"/>
          <w:lang w:eastAsia="en-GB"/>
        </w:rPr>
      </w:pPr>
      <w:bookmarkStart w:id="24" w:name="_Toc69376653"/>
      <w:r w:rsidRPr="00843214">
        <w:rPr>
          <w:color w:val="auto"/>
          <w:lang w:eastAsia="en-GB"/>
        </w:rPr>
        <w:t>Purpose and scope</w:t>
      </w:r>
      <w:bookmarkEnd w:id="24"/>
    </w:p>
    <w:p w14:paraId="1EC0CB77" w14:textId="04A50B79" w:rsidR="00AC3BA8" w:rsidRPr="00843214" w:rsidRDefault="00362DB3" w:rsidP="003075C5">
      <w:pPr>
        <w:pStyle w:val="IODPARCbullets"/>
        <w:numPr>
          <w:ilvl w:val="0"/>
          <w:numId w:val="0"/>
        </w:numPr>
        <w:rPr>
          <w:color w:val="auto"/>
          <w:lang w:eastAsia="en-GB"/>
        </w:rPr>
      </w:pPr>
      <w:bookmarkStart w:id="25" w:name="_Hlk66699161"/>
      <w:r w:rsidRPr="00843214">
        <w:rPr>
          <w:b/>
          <w:bCs/>
          <w:color w:val="auto"/>
          <w:lang w:eastAsia="en-GB"/>
        </w:rPr>
        <w:t>The Australian Department of Foreign Affairs and Trade</w:t>
      </w:r>
      <w:r w:rsidR="00AC3BA8" w:rsidRPr="00843214">
        <w:rPr>
          <w:b/>
          <w:bCs/>
          <w:color w:val="auto"/>
          <w:lang w:eastAsia="en-GB"/>
        </w:rPr>
        <w:t xml:space="preserve"> </w:t>
      </w:r>
      <w:r w:rsidRPr="00843214">
        <w:rPr>
          <w:b/>
          <w:bCs/>
          <w:color w:val="auto"/>
          <w:lang w:eastAsia="en-GB"/>
        </w:rPr>
        <w:t xml:space="preserve">(DFAT) </w:t>
      </w:r>
      <w:r w:rsidR="00AC3BA8" w:rsidRPr="00843214">
        <w:rPr>
          <w:b/>
          <w:bCs/>
          <w:color w:val="auto"/>
          <w:lang w:eastAsia="en-GB"/>
        </w:rPr>
        <w:t xml:space="preserve">and UN Women </w:t>
      </w:r>
      <w:r w:rsidR="00627AEB" w:rsidRPr="00843214">
        <w:rPr>
          <w:b/>
          <w:bCs/>
          <w:color w:val="auto"/>
          <w:lang w:eastAsia="en-GB"/>
        </w:rPr>
        <w:t xml:space="preserve">have </w:t>
      </w:r>
      <w:r w:rsidR="00AC3BA8" w:rsidRPr="00843214">
        <w:rPr>
          <w:b/>
          <w:bCs/>
          <w:color w:val="auto"/>
          <w:lang w:eastAsia="en-GB"/>
        </w:rPr>
        <w:t>commissioned a review of the UN Women-DFAT Strategic Partnership Framework 2016-2020 and 2021 extension</w:t>
      </w:r>
      <w:r w:rsidR="00FC7B7A" w:rsidRPr="00843214">
        <w:rPr>
          <w:rStyle w:val="FootnoteReference"/>
          <w:b/>
          <w:bCs/>
          <w:color w:val="auto"/>
          <w:lang w:eastAsia="en-GB"/>
        </w:rPr>
        <w:footnoteReference w:id="4"/>
      </w:r>
      <w:r w:rsidR="00FC7B7A" w:rsidRPr="00843214">
        <w:rPr>
          <w:b/>
          <w:bCs/>
          <w:color w:val="auto"/>
          <w:lang w:eastAsia="en-GB"/>
        </w:rPr>
        <w:t xml:space="preserve"> (SPF</w:t>
      </w:r>
      <w:r w:rsidR="006273AB" w:rsidRPr="00843214">
        <w:rPr>
          <w:b/>
          <w:bCs/>
          <w:color w:val="auto"/>
          <w:lang w:eastAsia="en-GB"/>
        </w:rPr>
        <w:t xml:space="preserve"> 2016-2021</w:t>
      </w:r>
      <w:r w:rsidR="00FC7B7A" w:rsidRPr="00843214">
        <w:rPr>
          <w:b/>
          <w:bCs/>
          <w:color w:val="auto"/>
          <w:lang w:eastAsia="en-GB"/>
        </w:rPr>
        <w:t>)</w:t>
      </w:r>
      <w:r w:rsidR="00AC3BA8" w:rsidRPr="00843214">
        <w:rPr>
          <w:b/>
          <w:bCs/>
          <w:color w:val="auto"/>
          <w:lang w:eastAsia="en-GB"/>
        </w:rPr>
        <w:t xml:space="preserve"> to assess </w:t>
      </w:r>
      <w:r w:rsidR="00BE3F9E" w:rsidRPr="00843214">
        <w:rPr>
          <w:b/>
          <w:bCs/>
          <w:color w:val="auto"/>
          <w:lang w:eastAsia="en-GB"/>
        </w:rPr>
        <w:t xml:space="preserve">partnership </w:t>
      </w:r>
      <w:r w:rsidR="00AC3BA8" w:rsidRPr="00843214">
        <w:rPr>
          <w:b/>
          <w:bCs/>
          <w:color w:val="auto"/>
          <w:lang w:eastAsia="en-GB"/>
        </w:rPr>
        <w:t>performance</w:t>
      </w:r>
      <w:r w:rsidR="00BE3F9E" w:rsidRPr="00843214">
        <w:rPr>
          <w:b/>
          <w:bCs/>
          <w:color w:val="auto"/>
          <w:lang w:eastAsia="en-GB"/>
        </w:rPr>
        <w:t xml:space="preserve"> and arrangements</w:t>
      </w:r>
      <w:r w:rsidR="00AC3BA8" w:rsidRPr="00843214">
        <w:rPr>
          <w:b/>
          <w:bCs/>
          <w:color w:val="auto"/>
          <w:lang w:eastAsia="en-GB"/>
        </w:rPr>
        <w:t xml:space="preserve"> </w:t>
      </w:r>
      <w:r w:rsidR="00BE3F9E" w:rsidRPr="00843214">
        <w:rPr>
          <w:b/>
          <w:bCs/>
          <w:color w:val="auto"/>
          <w:lang w:eastAsia="en-GB"/>
        </w:rPr>
        <w:t xml:space="preserve">over the period </w:t>
      </w:r>
      <w:r w:rsidR="00AC3BA8" w:rsidRPr="00843214">
        <w:rPr>
          <w:b/>
          <w:bCs/>
          <w:color w:val="auto"/>
          <w:lang w:eastAsia="en-GB"/>
        </w:rPr>
        <w:t>and provide practical recommendations for improvement</w:t>
      </w:r>
      <w:r w:rsidR="001A4984" w:rsidRPr="00843214">
        <w:rPr>
          <w:b/>
          <w:bCs/>
          <w:color w:val="auto"/>
          <w:lang w:eastAsia="en-GB"/>
        </w:rPr>
        <w:t xml:space="preserve"> that can inform the next iteration of the SPF (2022-2025)</w:t>
      </w:r>
      <w:r w:rsidR="003075C5" w:rsidRPr="00843214">
        <w:rPr>
          <w:b/>
          <w:bCs/>
          <w:color w:val="auto"/>
          <w:lang w:eastAsia="en-GB"/>
        </w:rPr>
        <w:t>.</w:t>
      </w:r>
      <w:r w:rsidR="00AC3BA8" w:rsidRPr="00843214">
        <w:rPr>
          <w:b/>
          <w:bCs/>
          <w:color w:val="auto"/>
          <w:lang w:eastAsia="en-GB"/>
        </w:rPr>
        <w:t xml:space="preserve"> </w:t>
      </w:r>
      <w:r w:rsidR="003075C5" w:rsidRPr="00843214">
        <w:rPr>
          <w:color w:val="auto"/>
          <w:lang w:eastAsia="en-GB"/>
        </w:rPr>
        <w:t>Th</w:t>
      </w:r>
      <w:r w:rsidR="00661B3D" w:rsidRPr="00843214">
        <w:rPr>
          <w:color w:val="auto"/>
          <w:lang w:eastAsia="en-GB"/>
        </w:rPr>
        <w:t>is</w:t>
      </w:r>
      <w:r w:rsidR="003075C5" w:rsidRPr="00843214">
        <w:rPr>
          <w:color w:val="auto"/>
          <w:lang w:eastAsia="en-GB"/>
        </w:rPr>
        <w:t xml:space="preserve"> future-focused review</w:t>
      </w:r>
      <w:r w:rsidR="00AC3BA8" w:rsidRPr="00843214">
        <w:rPr>
          <w:color w:val="auto"/>
          <w:lang w:eastAsia="en-GB"/>
        </w:rPr>
        <w:t xml:space="preserve"> consider</w:t>
      </w:r>
      <w:r w:rsidR="003075C5" w:rsidRPr="00843214">
        <w:rPr>
          <w:color w:val="auto"/>
          <w:lang w:eastAsia="en-GB"/>
        </w:rPr>
        <w:t>s</w:t>
      </w:r>
      <w:r w:rsidR="00AC3BA8" w:rsidRPr="00843214">
        <w:rPr>
          <w:color w:val="auto"/>
          <w:lang w:eastAsia="en-GB"/>
        </w:rPr>
        <w:t xml:space="preserve"> how UN Women and DFAT can maximise the effectiveness of their collaboration </w:t>
      </w:r>
      <w:r w:rsidR="00641681" w:rsidRPr="00843214">
        <w:rPr>
          <w:color w:val="auto"/>
          <w:lang w:eastAsia="en-GB"/>
        </w:rPr>
        <w:t>given</w:t>
      </w:r>
      <w:r w:rsidR="00AC3BA8" w:rsidRPr="00843214">
        <w:rPr>
          <w:color w:val="auto"/>
          <w:lang w:eastAsia="en-GB"/>
        </w:rPr>
        <w:t xml:space="preserve"> the changing global context and COVID-19. </w:t>
      </w:r>
      <w:r w:rsidR="003075C5" w:rsidRPr="00843214">
        <w:rPr>
          <w:color w:val="auto"/>
          <w:lang w:eastAsia="en-GB"/>
        </w:rPr>
        <w:t>In order of the report</w:t>
      </w:r>
      <w:r w:rsidR="00627AEB" w:rsidRPr="00843214">
        <w:rPr>
          <w:color w:val="auto"/>
          <w:lang w:eastAsia="en-GB"/>
        </w:rPr>
        <w:t xml:space="preserve"> and </w:t>
      </w:r>
      <w:r w:rsidR="00233AEA" w:rsidRPr="00843214">
        <w:rPr>
          <w:color w:val="auto"/>
          <w:lang w:eastAsia="en-GB"/>
        </w:rPr>
        <w:t xml:space="preserve">the </w:t>
      </w:r>
      <w:r w:rsidR="00627AEB" w:rsidRPr="00843214">
        <w:rPr>
          <w:color w:val="auto"/>
          <w:lang w:eastAsia="en-GB"/>
        </w:rPr>
        <w:t xml:space="preserve">priority of </w:t>
      </w:r>
      <w:r w:rsidR="00233AEA" w:rsidRPr="00843214">
        <w:rPr>
          <w:color w:val="auto"/>
          <w:lang w:eastAsia="en-GB"/>
        </w:rPr>
        <w:t>findings</w:t>
      </w:r>
      <w:r w:rsidR="003075C5" w:rsidRPr="00843214">
        <w:rPr>
          <w:color w:val="auto"/>
          <w:lang w:eastAsia="en-GB"/>
        </w:rPr>
        <w:t>, t</w:t>
      </w:r>
      <w:r w:rsidR="00AC3BA8" w:rsidRPr="00843214">
        <w:rPr>
          <w:color w:val="auto"/>
          <w:lang w:eastAsia="en-GB"/>
        </w:rPr>
        <w:t xml:space="preserve">he review </w:t>
      </w:r>
      <w:r w:rsidR="003075C5" w:rsidRPr="00843214">
        <w:rPr>
          <w:color w:val="auto"/>
          <w:lang w:eastAsia="en-GB"/>
        </w:rPr>
        <w:t>aims to</w:t>
      </w:r>
      <w:r w:rsidR="003075C5" w:rsidRPr="00843214">
        <w:rPr>
          <w:rStyle w:val="FootnoteReference"/>
          <w:color w:val="auto"/>
          <w:lang w:eastAsia="en-GB"/>
        </w:rPr>
        <w:footnoteReference w:id="5"/>
      </w:r>
      <w:r w:rsidR="00AC3BA8" w:rsidRPr="00843214">
        <w:rPr>
          <w:color w:val="auto"/>
          <w:lang w:eastAsia="en-GB"/>
        </w:rPr>
        <w:t>:</w:t>
      </w:r>
    </w:p>
    <w:p w14:paraId="654A5B43" w14:textId="64297A3A" w:rsidR="00AC3BA8" w:rsidRPr="00843214" w:rsidRDefault="00AC3BA8" w:rsidP="00D65A20">
      <w:pPr>
        <w:pStyle w:val="IODPARCbullets"/>
        <w:spacing w:before="0" w:after="0"/>
        <w:ind w:left="576" w:hanging="288"/>
        <w:rPr>
          <w:color w:val="auto"/>
        </w:rPr>
      </w:pPr>
      <w:r w:rsidRPr="00843214">
        <w:rPr>
          <w:color w:val="auto"/>
        </w:rPr>
        <w:t>Assess progress against the nine shared objectives and identify areas of strong performance that can be leveraged or accelerated</w:t>
      </w:r>
      <w:r w:rsidR="006811D4" w:rsidRPr="00843214">
        <w:rPr>
          <w:color w:val="auto"/>
        </w:rPr>
        <w:t>.</w:t>
      </w:r>
    </w:p>
    <w:p w14:paraId="4685D8FF" w14:textId="72D8F1FF" w:rsidR="003075C5" w:rsidRPr="00843214" w:rsidRDefault="003075C5" w:rsidP="00D65A20">
      <w:pPr>
        <w:pStyle w:val="IODPARCbullets"/>
        <w:spacing w:before="0" w:after="0"/>
        <w:ind w:left="576" w:hanging="288"/>
        <w:rPr>
          <w:color w:val="auto"/>
        </w:rPr>
      </w:pPr>
      <w:r w:rsidRPr="00843214">
        <w:rPr>
          <w:color w:val="auto"/>
        </w:rPr>
        <w:t>Assess the current and emerging landscape for gender equality within the Indo-Pacific</w:t>
      </w:r>
      <w:r w:rsidR="006811D4" w:rsidRPr="00843214">
        <w:rPr>
          <w:color w:val="auto"/>
        </w:rPr>
        <w:t xml:space="preserve"> and UN Women’s positioning to respond.</w:t>
      </w:r>
    </w:p>
    <w:p w14:paraId="709BFAAB" w14:textId="4F1EBFD3" w:rsidR="00AC3BA8" w:rsidRPr="00843214" w:rsidRDefault="00AC3BA8" w:rsidP="00D65A20">
      <w:pPr>
        <w:pStyle w:val="IODPARCbullets"/>
        <w:spacing w:before="0" w:after="0"/>
        <w:ind w:left="576" w:hanging="288"/>
        <w:rPr>
          <w:color w:val="auto"/>
        </w:rPr>
      </w:pPr>
      <w:r w:rsidRPr="00843214">
        <w:rPr>
          <w:color w:val="auto"/>
        </w:rPr>
        <w:t>Assess the strength of the Partnership arrangements and future funding options</w:t>
      </w:r>
      <w:r w:rsidR="006811D4" w:rsidRPr="00843214">
        <w:rPr>
          <w:color w:val="auto"/>
        </w:rPr>
        <w:t>.</w:t>
      </w:r>
    </w:p>
    <w:p w14:paraId="2C73E171" w14:textId="4A549AEE" w:rsidR="00AC3BA8" w:rsidRPr="00843214" w:rsidRDefault="00AC3BA8" w:rsidP="00D65A20">
      <w:pPr>
        <w:pStyle w:val="IODPARCbullets"/>
        <w:spacing w:before="0"/>
        <w:ind w:left="576" w:hanging="288"/>
        <w:rPr>
          <w:color w:val="auto"/>
        </w:rPr>
      </w:pPr>
      <w:r w:rsidRPr="00843214">
        <w:rPr>
          <w:color w:val="auto"/>
        </w:rPr>
        <w:t>Provide robust, evidence-based recommendations.</w:t>
      </w:r>
    </w:p>
    <w:p w14:paraId="324CDBC0" w14:textId="56DC9929" w:rsidR="00256DAA" w:rsidRPr="00843214" w:rsidRDefault="00256DAA" w:rsidP="00256DAA">
      <w:pPr>
        <w:rPr>
          <w:color w:val="auto"/>
          <w:lang w:eastAsia="en-GB"/>
        </w:rPr>
      </w:pPr>
      <w:r w:rsidRPr="00843214">
        <w:rPr>
          <w:color w:val="auto"/>
          <w:lang w:eastAsia="en-GB"/>
        </w:rPr>
        <w:t>The review</w:t>
      </w:r>
      <w:r w:rsidR="005858D4" w:rsidRPr="00843214">
        <w:rPr>
          <w:rStyle w:val="FootnoteReference"/>
          <w:color w:val="auto"/>
          <w:lang w:eastAsia="en-GB"/>
        </w:rPr>
        <w:footnoteReference w:id="6"/>
      </w:r>
      <w:r w:rsidRPr="00843214">
        <w:rPr>
          <w:color w:val="auto"/>
          <w:lang w:eastAsia="en-GB"/>
        </w:rPr>
        <w:t xml:space="preserve"> </w:t>
      </w:r>
      <w:r w:rsidR="00E95AA5" w:rsidRPr="00843214">
        <w:rPr>
          <w:color w:val="auto"/>
          <w:lang w:eastAsia="en-GB"/>
        </w:rPr>
        <w:t>s</w:t>
      </w:r>
      <w:r w:rsidR="005858D4" w:rsidRPr="00843214">
        <w:rPr>
          <w:color w:val="auto"/>
          <w:lang w:eastAsia="en-GB"/>
        </w:rPr>
        <w:t xml:space="preserve">eeks </w:t>
      </w:r>
      <w:r w:rsidRPr="00843214">
        <w:rPr>
          <w:color w:val="auto"/>
          <w:lang w:eastAsia="en-GB"/>
        </w:rPr>
        <w:t xml:space="preserve">to provide insight into where DFAT should invest and consequently what </w:t>
      </w:r>
      <w:r w:rsidR="00BE3F9E" w:rsidRPr="00843214">
        <w:rPr>
          <w:color w:val="auto"/>
          <w:lang w:eastAsia="en-GB"/>
        </w:rPr>
        <w:t xml:space="preserve">DFAT and </w:t>
      </w:r>
      <w:r w:rsidRPr="00843214">
        <w:rPr>
          <w:color w:val="auto"/>
          <w:lang w:eastAsia="en-GB"/>
        </w:rPr>
        <w:t xml:space="preserve">UN Women should do more, do less, or do differently through the next SPF. This includes understanding </w:t>
      </w:r>
      <w:r w:rsidR="00661B3D" w:rsidRPr="00843214">
        <w:rPr>
          <w:color w:val="auto"/>
          <w:lang w:eastAsia="en-GB"/>
        </w:rPr>
        <w:t>how</w:t>
      </w:r>
      <w:r w:rsidRPr="00843214">
        <w:rPr>
          <w:color w:val="auto"/>
          <w:lang w:eastAsia="en-GB"/>
        </w:rPr>
        <w:t xml:space="preserve"> DFAT’s contribution to core funding </w:t>
      </w:r>
      <w:r w:rsidR="00661B3D" w:rsidRPr="00843214">
        <w:rPr>
          <w:color w:val="auto"/>
          <w:lang w:eastAsia="en-GB"/>
        </w:rPr>
        <w:t xml:space="preserve">enables </w:t>
      </w:r>
      <w:r w:rsidRPr="00843214">
        <w:rPr>
          <w:color w:val="auto"/>
          <w:lang w:eastAsia="en-GB"/>
        </w:rPr>
        <w:t xml:space="preserve">UN Women to work effectively on a global level, </w:t>
      </w:r>
      <w:r w:rsidR="00D65A20" w:rsidRPr="00843214">
        <w:rPr>
          <w:color w:val="auto"/>
          <w:lang w:eastAsia="en-GB"/>
        </w:rPr>
        <w:t xml:space="preserve">and </w:t>
      </w:r>
      <w:r w:rsidRPr="00843214">
        <w:rPr>
          <w:color w:val="auto"/>
          <w:lang w:eastAsia="en-GB"/>
        </w:rPr>
        <w:t xml:space="preserve">what has been achieved toward the </w:t>
      </w:r>
      <w:r w:rsidR="00D65A20" w:rsidRPr="00843214">
        <w:rPr>
          <w:color w:val="auto"/>
          <w:lang w:eastAsia="en-GB"/>
        </w:rPr>
        <w:t>Partnership objectives</w:t>
      </w:r>
      <w:r w:rsidRPr="00843214">
        <w:rPr>
          <w:color w:val="auto"/>
          <w:lang w:eastAsia="en-GB"/>
        </w:rPr>
        <w:t xml:space="preserve"> through DFAT’s core and non-core contribution, particularly in the Indo-Pacific region. </w:t>
      </w:r>
    </w:p>
    <w:p w14:paraId="10CCC228" w14:textId="77A2232D" w:rsidR="00C17F93" w:rsidRPr="00843214" w:rsidRDefault="00AC3BA8" w:rsidP="00BD5384">
      <w:pPr>
        <w:pStyle w:val="Heading2"/>
        <w:numPr>
          <w:ilvl w:val="0"/>
          <w:numId w:val="0"/>
        </w:numPr>
        <w:ind w:left="576" w:hanging="576"/>
        <w:rPr>
          <w:color w:val="auto"/>
          <w:lang w:val="en-GB"/>
        </w:rPr>
      </w:pPr>
      <w:bookmarkStart w:id="26" w:name="_Toc69376654"/>
      <w:bookmarkEnd w:id="25"/>
      <w:r w:rsidRPr="00843214">
        <w:rPr>
          <w:color w:val="auto"/>
          <w:lang w:val="en-GB"/>
        </w:rPr>
        <w:t>Overview of the SPF</w:t>
      </w:r>
      <w:r w:rsidR="00F46FD8" w:rsidRPr="00843214">
        <w:rPr>
          <w:color w:val="auto"/>
          <w:lang w:val="en-GB"/>
        </w:rPr>
        <w:t xml:space="preserve"> and </w:t>
      </w:r>
      <w:r w:rsidR="00B45E9C" w:rsidRPr="00843214">
        <w:rPr>
          <w:color w:val="auto"/>
          <w:lang w:val="en-GB"/>
        </w:rPr>
        <w:t>background</w:t>
      </w:r>
      <w:bookmarkEnd w:id="26"/>
    </w:p>
    <w:p w14:paraId="3FACAA3F" w14:textId="3919B5B2" w:rsidR="00EC6760" w:rsidRPr="00843214" w:rsidRDefault="0068271E" w:rsidP="00561DFD">
      <w:pPr>
        <w:rPr>
          <w:color w:val="auto"/>
          <w:lang w:val="en-AU"/>
        </w:rPr>
      </w:pPr>
      <w:r w:rsidRPr="00843214">
        <w:rPr>
          <w:b/>
          <w:bCs/>
          <w:color w:val="auto"/>
          <w:lang w:val="en-AU"/>
        </w:rPr>
        <w:t xml:space="preserve">Australia’s </w:t>
      </w:r>
      <w:r w:rsidR="005858D4" w:rsidRPr="00843214">
        <w:rPr>
          <w:b/>
          <w:bCs/>
          <w:color w:val="auto"/>
          <w:lang w:val="en-AU"/>
        </w:rPr>
        <w:t xml:space="preserve">key </w:t>
      </w:r>
      <w:r w:rsidRPr="00843214">
        <w:rPr>
          <w:b/>
          <w:bCs/>
          <w:color w:val="auto"/>
          <w:lang w:val="en-AU"/>
        </w:rPr>
        <w:t xml:space="preserve">development objective of </w:t>
      </w:r>
      <w:r w:rsidR="00641681" w:rsidRPr="00843214">
        <w:rPr>
          <w:b/>
          <w:bCs/>
          <w:color w:val="auto"/>
          <w:lang w:val="en-AU"/>
        </w:rPr>
        <w:t>gender equality and women’s</w:t>
      </w:r>
      <w:r w:rsidR="00B508B0" w:rsidRPr="00843214">
        <w:rPr>
          <w:b/>
          <w:bCs/>
          <w:color w:val="auto"/>
          <w:lang w:val="en-AU"/>
        </w:rPr>
        <w:t xml:space="preserve"> </w:t>
      </w:r>
      <w:r w:rsidRPr="00843214">
        <w:rPr>
          <w:b/>
          <w:bCs/>
          <w:color w:val="auto"/>
          <w:lang w:val="en-AU"/>
        </w:rPr>
        <w:t xml:space="preserve">empowerment </w:t>
      </w:r>
      <w:r w:rsidR="00641681" w:rsidRPr="00843214">
        <w:rPr>
          <w:b/>
          <w:bCs/>
          <w:color w:val="auto"/>
          <w:lang w:val="en-AU"/>
        </w:rPr>
        <w:t xml:space="preserve">(GEWE) </w:t>
      </w:r>
      <w:r w:rsidRPr="00843214">
        <w:rPr>
          <w:b/>
          <w:bCs/>
          <w:color w:val="auto"/>
          <w:lang w:val="en-AU"/>
        </w:rPr>
        <w:t>is reflected in its commitment to long-term support for the mandate and activities of UN Women</w:t>
      </w:r>
      <w:r w:rsidRPr="00843214">
        <w:rPr>
          <w:color w:val="auto"/>
          <w:lang w:val="en-AU"/>
        </w:rPr>
        <w:t>. UN Women is the U</w:t>
      </w:r>
      <w:r w:rsidR="00395800" w:rsidRPr="00843214">
        <w:rPr>
          <w:color w:val="auto"/>
          <w:lang w:val="en-AU"/>
        </w:rPr>
        <w:t>N</w:t>
      </w:r>
      <w:r w:rsidRPr="00843214">
        <w:rPr>
          <w:color w:val="auto"/>
          <w:lang w:val="en-AU"/>
        </w:rPr>
        <w:t xml:space="preserve"> entity </w:t>
      </w:r>
      <w:r w:rsidR="005858D4" w:rsidRPr="00843214">
        <w:rPr>
          <w:color w:val="auto"/>
          <w:lang w:val="en-AU"/>
        </w:rPr>
        <w:t>dedicated</w:t>
      </w:r>
      <w:r w:rsidRPr="00843214">
        <w:rPr>
          <w:color w:val="auto"/>
          <w:lang w:val="en-AU"/>
        </w:rPr>
        <w:t xml:space="preserve"> to </w:t>
      </w:r>
      <w:r w:rsidR="00D75494" w:rsidRPr="00843214">
        <w:rPr>
          <w:color w:val="auto"/>
          <w:lang w:val="en-AU"/>
        </w:rPr>
        <w:t xml:space="preserve">providing </w:t>
      </w:r>
      <w:r w:rsidRPr="00843214">
        <w:rPr>
          <w:color w:val="auto"/>
          <w:lang w:val="en-AU"/>
        </w:rPr>
        <w:t>guidance and technical support on gender equality, the empowerment and rights of women</w:t>
      </w:r>
      <w:r w:rsidR="00B508B0" w:rsidRPr="00843214">
        <w:rPr>
          <w:color w:val="auto"/>
          <w:lang w:val="en-AU"/>
        </w:rPr>
        <w:t xml:space="preserve"> and girls,</w:t>
      </w:r>
      <w:r w:rsidRPr="00843214">
        <w:rPr>
          <w:color w:val="auto"/>
          <w:lang w:val="en-AU"/>
        </w:rPr>
        <w:t xml:space="preserve"> and gender mainstreaming.</w:t>
      </w:r>
      <w:r w:rsidR="00F334C3" w:rsidRPr="00843214">
        <w:rPr>
          <w:color w:val="auto"/>
          <w:lang w:val="en-AU"/>
        </w:rPr>
        <w:t xml:space="preserve"> It holds a triple mandate of </w:t>
      </w:r>
      <w:r w:rsidR="008A6E91" w:rsidRPr="00843214">
        <w:rPr>
          <w:color w:val="auto"/>
          <w:shd w:val="clear" w:color="auto" w:fill="FFFFFF" w:themeFill="background1"/>
          <w:lang w:val="en-AU"/>
        </w:rPr>
        <w:t>normative support, UN coordination, and operational activities</w:t>
      </w:r>
      <w:r w:rsidR="00F334C3" w:rsidRPr="00843214">
        <w:rPr>
          <w:color w:val="auto"/>
          <w:lang w:val="en-AU"/>
        </w:rPr>
        <w:t>.</w:t>
      </w:r>
      <w:r w:rsidRPr="00843214">
        <w:rPr>
          <w:color w:val="auto"/>
          <w:lang w:val="en-AU"/>
        </w:rPr>
        <w:t xml:space="preserve"> Australia is one of UN Women’s top ten donors and a key contributor to UN Women over the past ten years. </w:t>
      </w:r>
    </w:p>
    <w:p w14:paraId="307682C9" w14:textId="626AF7A5" w:rsidR="00D46DBD" w:rsidRPr="00843214" w:rsidRDefault="00256DAA" w:rsidP="00D46DBD">
      <w:pPr>
        <w:rPr>
          <w:color w:val="auto"/>
          <w:lang w:val="en-AU"/>
        </w:rPr>
      </w:pPr>
      <w:r w:rsidRPr="00843214">
        <w:rPr>
          <w:b/>
          <w:bCs/>
          <w:color w:val="auto"/>
          <w:lang w:val="en-AU"/>
        </w:rPr>
        <w:t>Australia’s commitment to UN Women has most recently been embedded in the SPF 2016-202</w:t>
      </w:r>
      <w:r w:rsidR="006273AB" w:rsidRPr="00843214">
        <w:rPr>
          <w:b/>
          <w:bCs/>
          <w:color w:val="auto"/>
          <w:lang w:val="en-AU"/>
        </w:rPr>
        <w:t>1</w:t>
      </w:r>
      <w:r w:rsidRPr="00843214">
        <w:rPr>
          <w:b/>
          <w:bCs/>
          <w:color w:val="auto"/>
          <w:lang w:val="en-AU"/>
        </w:rPr>
        <w:t xml:space="preserve">, </w:t>
      </w:r>
      <w:r w:rsidR="00F7601C" w:rsidRPr="00843214">
        <w:rPr>
          <w:b/>
          <w:bCs/>
          <w:color w:val="auto"/>
          <w:lang w:val="en-AU"/>
        </w:rPr>
        <w:t xml:space="preserve">which defines Australia’s and UN Women’s shared objectives, </w:t>
      </w:r>
      <w:r w:rsidR="007F2363" w:rsidRPr="00843214">
        <w:rPr>
          <w:b/>
          <w:bCs/>
          <w:color w:val="auto"/>
          <w:lang w:val="en-AU"/>
        </w:rPr>
        <w:t>funding arrangements</w:t>
      </w:r>
      <w:r w:rsidR="00F7601C" w:rsidRPr="00843214">
        <w:rPr>
          <w:b/>
          <w:bCs/>
          <w:color w:val="auto"/>
          <w:lang w:val="en-AU"/>
        </w:rPr>
        <w:t xml:space="preserve"> and engagement principles. </w:t>
      </w:r>
      <w:r w:rsidR="008F1F1F" w:rsidRPr="00843214">
        <w:rPr>
          <w:color w:val="auto"/>
          <w:lang w:val="en-AU"/>
        </w:rPr>
        <w:t xml:space="preserve">The UN Women-DFAT Partnership (the Partnership) has the parallel aims to empower women’s economic and leadership position and to strengthen women’s safety and security through their </w:t>
      </w:r>
      <w:r w:rsidR="00C92301" w:rsidRPr="00843214">
        <w:rPr>
          <w:color w:val="auto"/>
          <w:lang w:val="en-AU"/>
        </w:rPr>
        <w:t xml:space="preserve">meaningful </w:t>
      </w:r>
      <w:r w:rsidR="008F1F1F" w:rsidRPr="00843214">
        <w:rPr>
          <w:color w:val="auto"/>
          <w:lang w:val="en-AU"/>
        </w:rPr>
        <w:t>participation and leadership. The Partnership has worked towards nine shared objectives</w:t>
      </w:r>
      <w:r w:rsidR="00201201" w:rsidRPr="00843214">
        <w:rPr>
          <w:color w:val="auto"/>
          <w:lang w:val="en-AU"/>
        </w:rPr>
        <w:t>: 1)</w:t>
      </w:r>
      <w:r w:rsidR="00C17F93" w:rsidRPr="00843214">
        <w:rPr>
          <w:color w:val="auto"/>
          <w:lang w:val="en-AU" w:eastAsia="en-GB"/>
        </w:rPr>
        <w:t xml:space="preserve"> </w:t>
      </w:r>
      <w:r w:rsidR="00561DFD" w:rsidRPr="00843214">
        <w:rPr>
          <w:color w:val="auto"/>
          <w:lang w:val="en-AU" w:eastAsia="en-GB"/>
        </w:rPr>
        <w:t xml:space="preserve">performance; </w:t>
      </w:r>
      <w:r w:rsidR="00201201" w:rsidRPr="00843214">
        <w:rPr>
          <w:color w:val="auto"/>
          <w:lang w:val="en-AU" w:eastAsia="en-GB"/>
        </w:rPr>
        <w:t xml:space="preserve">2) </w:t>
      </w:r>
      <w:r w:rsidR="00561DFD" w:rsidRPr="00843214">
        <w:rPr>
          <w:color w:val="auto"/>
          <w:lang w:val="en-AU" w:eastAsia="en-GB"/>
        </w:rPr>
        <w:t xml:space="preserve">normative standard setting; </w:t>
      </w:r>
      <w:r w:rsidR="00201201" w:rsidRPr="00843214">
        <w:rPr>
          <w:color w:val="auto"/>
          <w:lang w:val="en-AU" w:eastAsia="en-GB"/>
        </w:rPr>
        <w:t xml:space="preserve">3) </w:t>
      </w:r>
      <w:r w:rsidR="00561DFD" w:rsidRPr="00843214">
        <w:rPr>
          <w:color w:val="auto"/>
          <w:lang w:val="en-AU" w:eastAsia="en-GB"/>
        </w:rPr>
        <w:t xml:space="preserve">UN coordination on gender mainstreaming; </w:t>
      </w:r>
      <w:r w:rsidR="00201201" w:rsidRPr="00843214">
        <w:rPr>
          <w:color w:val="auto"/>
          <w:lang w:val="en-AU" w:eastAsia="en-GB"/>
        </w:rPr>
        <w:t xml:space="preserve">4) </w:t>
      </w:r>
      <w:r w:rsidR="00610C0E" w:rsidRPr="00843214">
        <w:rPr>
          <w:color w:val="auto"/>
          <w:lang w:val="en-AU" w:eastAsia="en-GB"/>
        </w:rPr>
        <w:t xml:space="preserve">enhancing </w:t>
      </w:r>
      <w:r w:rsidR="00561DFD" w:rsidRPr="00843214">
        <w:rPr>
          <w:color w:val="auto"/>
          <w:lang w:val="en-AU" w:eastAsia="en-GB"/>
        </w:rPr>
        <w:t>women’s voice</w:t>
      </w:r>
      <w:r w:rsidR="00610C0E" w:rsidRPr="00843214">
        <w:rPr>
          <w:color w:val="auto"/>
          <w:lang w:val="en-AU" w:eastAsia="en-GB"/>
        </w:rPr>
        <w:t>s</w:t>
      </w:r>
      <w:r w:rsidR="00C92301" w:rsidRPr="00843214">
        <w:rPr>
          <w:color w:val="auto"/>
          <w:lang w:val="en-AU" w:eastAsia="en-GB"/>
        </w:rPr>
        <w:t xml:space="preserve"> in decision-making</w:t>
      </w:r>
      <w:r w:rsidR="00610C0E" w:rsidRPr="00843214">
        <w:rPr>
          <w:color w:val="auto"/>
          <w:lang w:val="en-AU" w:eastAsia="en-GB"/>
        </w:rPr>
        <w:t>,</w:t>
      </w:r>
      <w:r w:rsidR="00C92301" w:rsidRPr="00843214">
        <w:rPr>
          <w:color w:val="auto"/>
          <w:lang w:val="en-AU" w:eastAsia="en-GB"/>
        </w:rPr>
        <w:t xml:space="preserve"> leadership and peacebuilding, </w:t>
      </w:r>
      <w:proofErr w:type="gramStart"/>
      <w:r w:rsidR="00C92301" w:rsidRPr="00843214">
        <w:rPr>
          <w:color w:val="auto"/>
          <w:lang w:val="en-AU" w:eastAsia="en-GB"/>
        </w:rPr>
        <w:t>security</w:t>
      </w:r>
      <w:proofErr w:type="gramEnd"/>
      <w:r w:rsidR="00C92301" w:rsidRPr="00843214">
        <w:rPr>
          <w:color w:val="auto"/>
          <w:lang w:val="en-AU" w:eastAsia="en-GB"/>
        </w:rPr>
        <w:t xml:space="preserve"> and humanitarian response</w:t>
      </w:r>
      <w:r w:rsidR="00561DFD" w:rsidRPr="00843214">
        <w:rPr>
          <w:color w:val="auto"/>
          <w:lang w:val="en-AU" w:eastAsia="en-GB"/>
        </w:rPr>
        <w:t xml:space="preserve">; </w:t>
      </w:r>
      <w:r w:rsidR="00201201" w:rsidRPr="00843214">
        <w:rPr>
          <w:color w:val="auto"/>
          <w:lang w:val="en-AU" w:eastAsia="en-GB"/>
        </w:rPr>
        <w:t xml:space="preserve">5) </w:t>
      </w:r>
      <w:r w:rsidR="00561DFD" w:rsidRPr="00843214">
        <w:rPr>
          <w:color w:val="auto"/>
          <w:lang w:val="en-AU" w:eastAsia="en-GB"/>
        </w:rPr>
        <w:t>women’s economic empowerment</w:t>
      </w:r>
      <w:r w:rsidR="00684400" w:rsidRPr="00843214">
        <w:rPr>
          <w:color w:val="auto"/>
          <w:lang w:val="en-AU" w:eastAsia="en-GB"/>
        </w:rPr>
        <w:t xml:space="preserve"> (WEE)</w:t>
      </w:r>
      <w:r w:rsidR="00561DFD" w:rsidRPr="00843214">
        <w:rPr>
          <w:color w:val="auto"/>
          <w:lang w:val="en-AU" w:eastAsia="en-GB"/>
        </w:rPr>
        <w:t xml:space="preserve">; </w:t>
      </w:r>
      <w:r w:rsidR="00201201" w:rsidRPr="00843214">
        <w:rPr>
          <w:color w:val="auto"/>
          <w:lang w:val="en-AU" w:eastAsia="en-GB"/>
        </w:rPr>
        <w:t xml:space="preserve">6) </w:t>
      </w:r>
      <w:r w:rsidR="00561DFD" w:rsidRPr="00843214">
        <w:rPr>
          <w:color w:val="auto"/>
          <w:lang w:val="en-AU" w:eastAsia="en-GB"/>
        </w:rPr>
        <w:t>ending violence against women</w:t>
      </w:r>
      <w:r w:rsidR="00684400" w:rsidRPr="00843214">
        <w:rPr>
          <w:color w:val="auto"/>
          <w:lang w:val="en-AU" w:eastAsia="en-GB"/>
        </w:rPr>
        <w:t xml:space="preserve"> </w:t>
      </w:r>
      <w:r w:rsidR="00CF1C69" w:rsidRPr="00843214">
        <w:rPr>
          <w:color w:val="auto"/>
          <w:lang w:val="en-AU" w:eastAsia="en-GB"/>
        </w:rPr>
        <w:t xml:space="preserve">and girls </w:t>
      </w:r>
      <w:r w:rsidR="00684400" w:rsidRPr="00843214">
        <w:rPr>
          <w:color w:val="auto"/>
          <w:lang w:val="en-AU" w:eastAsia="en-GB"/>
        </w:rPr>
        <w:t>(EVAW</w:t>
      </w:r>
      <w:r w:rsidR="00CF1C69" w:rsidRPr="00843214">
        <w:rPr>
          <w:color w:val="auto"/>
          <w:lang w:val="en-AU" w:eastAsia="en-GB"/>
        </w:rPr>
        <w:t>G</w:t>
      </w:r>
      <w:r w:rsidR="00684400" w:rsidRPr="00843214">
        <w:rPr>
          <w:color w:val="auto"/>
          <w:lang w:val="en-AU" w:eastAsia="en-GB"/>
        </w:rPr>
        <w:t>)</w:t>
      </w:r>
      <w:r w:rsidR="00561DFD" w:rsidRPr="00843214">
        <w:rPr>
          <w:color w:val="auto"/>
          <w:lang w:val="en-AU" w:eastAsia="en-GB"/>
        </w:rPr>
        <w:t xml:space="preserve">; </w:t>
      </w:r>
      <w:r w:rsidR="00201201" w:rsidRPr="00843214">
        <w:rPr>
          <w:color w:val="auto"/>
          <w:lang w:val="en-AU" w:eastAsia="en-GB"/>
        </w:rPr>
        <w:t xml:space="preserve">7) </w:t>
      </w:r>
      <w:r w:rsidR="00561DFD" w:rsidRPr="00843214">
        <w:rPr>
          <w:color w:val="auto"/>
          <w:lang w:val="en-AU" w:eastAsia="en-GB"/>
        </w:rPr>
        <w:t xml:space="preserve">engagement with women’s organisations; </w:t>
      </w:r>
      <w:r w:rsidR="00201201" w:rsidRPr="00843214">
        <w:rPr>
          <w:color w:val="auto"/>
          <w:lang w:val="en-AU" w:eastAsia="en-GB"/>
        </w:rPr>
        <w:t xml:space="preserve">8) </w:t>
      </w:r>
      <w:r w:rsidR="00561DFD" w:rsidRPr="00843214">
        <w:rPr>
          <w:color w:val="auto"/>
          <w:lang w:val="en-AU" w:eastAsia="en-GB"/>
        </w:rPr>
        <w:t xml:space="preserve">disability inclusive development; </w:t>
      </w:r>
      <w:r w:rsidR="00661B3D" w:rsidRPr="00843214">
        <w:rPr>
          <w:color w:val="auto"/>
          <w:lang w:val="en-AU" w:eastAsia="en-GB"/>
        </w:rPr>
        <w:t xml:space="preserve">and </w:t>
      </w:r>
      <w:r w:rsidR="00201201" w:rsidRPr="00843214">
        <w:rPr>
          <w:color w:val="auto"/>
          <w:lang w:val="en-AU" w:eastAsia="en-GB"/>
        </w:rPr>
        <w:t xml:space="preserve">9) </w:t>
      </w:r>
      <w:r w:rsidR="00561DFD" w:rsidRPr="00843214">
        <w:rPr>
          <w:color w:val="auto"/>
          <w:lang w:val="en-AU" w:eastAsia="en-GB"/>
        </w:rPr>
        <w:t xml:space="preserve">private sector and innovation. </w:t>
      </w:r>
      <w:r w:rsidR="00EC6760" w:rsidRPr="00843214">
        <w:rPr>
          <w:color w:val="auto"/>
          <w:lang w:val="en-AU"/>
        </w:rPr>
        <w:t xml:space="preserve">Australia </w:t>
      </w:r>
      <w:r w:rsidR="00B508B0" w:rsidRPr="00843214">
        <w:rPr>
          <w:color w:val="auto"/>
          <w:lang w:val="en-AU"/>
        </w:rPr>
        <w:t xml:space="preserve">provided </w:t>
      </w:r>
      <w:r w:rsidR="00EC6760" w:rsidRPr="00843214">
        <w:rPr>
          <w:color w:val="auto"/>
          <w:lang w:val="en-AU"/>
        </w:rPr>
        <w:t>a fixed core funding amount under the current SPF (</w:t>
      </w:r>
      <w:r w:rsidR="005858D4" w:rsidRPr="00843214">
        <w:rPr>
          <w:color w:val="auto"/>
          <w:lang w:val="en-AU"/>
        </w:rPr>
        <w:t xml:space="preserve">AUD </w:t>
      </w:r>
      <w:r w:rsidR="00EC6760" w:rsidRPr="00843214">
        <w:rPr>
          <w:color w:val="auto"/>
          <w:lang w:val="en-AU"/>
        </w:rPr>
        <w:t>7.79m per annum</w:t>
      </w:r>
      <w:r w:rsidR="2A0A8F65" w:rsidRPr="00843214">
        <w:rPr>
          <w:color w:val="auto"/>
          <w:lang w:val="en-AU"/>
        </w:rPr>
        <w:t xml:space="preserve"> during 2016-2021</w:t>
      </w:r>
      <w:r w:rsidR="00EC6760" w:rsidRPr="00843214">
        <w:rPr>
          <w:color w:val="auto"/>
          <w:lang w:val="en-AU"/>
        </w:rPr>
        <w:t>) and has steadily increased non-core funding during the current SPF period</w:t>
      </w:r>
      <w:r w:rsidR="008A6E91" w:rsidRPr="00843214">
        <w:rPr>
          <w:color w:val="auto"/>
          <w:lang w:val="en-AU"/>
        </w:rPr>
        <w:t>.</w:t>
      </w:r>
      <w:r w:rsidR="008F1F1F" w:rsidRPr="00843214">
        <w:rPr>
          <w:color w:val="auto"/>
          <w:lang w:val="en-AU"/>
        </w:rPr>
        <w:t xml:space="preserve"> </w:t>
      </w:r>
      <w:r w:rsidR="005858D4" w:rsidRPr="00843214">
        <w:rPr>
          <w:color w:val="auto"/>
          <w:lang w:val="en-AU"/>
        </w:rPr>
        <w:t>N</w:t>
      </w:r>
      <w:r w:rsidR="008F1F1F" w:rsidRPr="00843214">
        <w:rPr>
          <w:color w:val="auto"/>
          <w:lang w:val="en-AU"/>
        </w:rPr>
        <w:t>on-core funding is focused on the Indo-Pacific, while maintaining a global gender perspective aligned to the Sustainable Development Goals</w:t>
      </w:r>
      <w:r w:rsidR="005858D4" w:rsidRPr="00843214">
        <w:rPr>
          <w:color w:val="auto"/>
          <w:lang w:val="en-AU"/>
        </w:rPr>
        <w:t xml:space="preserve"> (SDGs)</w:t>
      </w:r>
      <w:r w:rsidR="008F1F1F" w:rsidRPr="00843214">
        <w:rPr>
          <w:color w:val="auto"/>
          <w:lang w:val="en-AU"/>
        </w:rPr>
        <w:t>.</w:t>
      </w:r>
      <w:r w:rsidR="00D46DBD" w:rsidRPr="00843214">
        <w:rPr>
          <w:color w:val="auto"/>
          <w:lang w:val="en-AU"/>
        </w:rPr>
        <w:t xml:space="preserve"> In 2020, the UN Women Executive Board encouraged all Member States to increase their voluntary contributions to UN-Women, especially to its regular resources (core) and to prioriti</w:t>
      </w:r>
      <w:r w:rsidR="00F8713A" w:rsidRPr="00843214">
        <w:rPr>
          <w:color w:val="auto"/>
          <w:lang w:val="en-AU"/>
        </w:rPr>
        <w:t>s</w:t>
      </w:r>
      <w:r w:rsidR="00D46DBD" w:rsidRPr="00843214">
        <w:rPr>
          <w:color w:val="auto"/>
          <w:lang w:val="en-AU"/>
        </w:rPr>
        <w:t xml:space="preserve">e flexible and timely resources aligned with the Strategic Plan, 2018 –2021, and, if possible, through multi-year commitments, </w:t>
      </w:r>
      <w:r w:rsidR="00ED5290" w:rsidRPr="00843214">
        <w:rPr>
          <w:color w:val="auto"/>
          <w:lang w:val="en-AU"/>
        </w:rPr>
        <w:t>so that</w:t>
      </w:r>
      <w:r w:rsidR="00D46DBD" w:rsidRPr="00843214">
        <w:rPr>
          <w:color w:val="auto"/>
          <w:lang w:val="en-AU"/>
        </w:rPr>
        <w:t xml:space="preserve"> UN-Women preserve</w:t>
      </w:r>
      <w:r w:rsidR="00ED5290" w:rsidRPr="00843214">
        <w:rPr>
          <w:color w:val="auto"/>
          <w:lang w:val="en-AU"/>
        </w:rPr>
        <w:t>s</w:t>
      </w:r>
      <w:r w:rsidR="00D46DBD" w:rsidRPr="00843214">
        <w:rPr>
          <w:color w:val="auto"/>
          <w:lang w:val="en-AU"/>
        </w:rPr>
        <w:t xml:space="preserve"> the capacity to carry out its mandate.</w:t>
      </w:r>
      <w:r w:rsidR="00653BAE" w:rsidRPr="00843214">
        <w:rPr>
          <w:rStyle w:val="FootnoteReference"/>
          <w:color w:val="auto"/>
          <w:lang w:val="en-AU"/>
        </w:rPr>
        <w:footnoteReference w:id="7"/>
      </w:r>
    </w:p>
    <w:p w14:paraId="7F9754C9" w14:textId="3C89A37D" w:rsidR="001C5D1E" w:rsidRPr="00843214" w:rsidRDefault="00140665" w:rsidP="006811D4">
      <w:pPr>
        <w:rPr>
          <w:color w:val="auto"/>
          <w:lang w:val="en-AU" w:eastAsia="en-GB"/>
        </w:rPr>
      </w:pPr>
      <w:r w:rsidRPr="00843214">
        <w:rPr>
          <w:color w:val="auto"/>
          <w:lang w:val="en-AU" w:eastAsia="en-GB"/>
        </w:rPr>
        <w:lastRenderedPageBreak/>
        <w:t xml:space="preserve">Each partner fulfils a specific role. </w:t>
      </w:r>
      <w:r w:rsidR="00C17F93" w:rsidRPr="00843214">
        <w:rPr>
          <w:color w:val="auto"/>
          <w:lang w:val="en-AU" w:eastAsia="en-GB"/>
        </w:rPr>
        <w:t>DFAT’s role in the partnership is</w:t>
      </w:r>
      <w:r w:rsidR="003A0B5B" w:rsidRPr="00843214">
        <w:rPr>
          <w:color w:val="auto"/>
          <w:lang w:val="en-AU" w:eastAsia="en-GB"/>
        </w:rPr>
        <w:t xml:space="preserve"> </w:t>
      </w:r>
      <w:r w:rsidR="00C206A8" w:rsidRPr="00843214">
        <w:rPr>
          <w:color w:val="auto"/>
          <w:lang w:val="en-AU" w:eastAsia="en-GB"/>
        </w:rPr>
        <w:t>to provide funding</w:t>
      </w:r>
      <w:r w:rsidR="009F6DEA" w:rsidRPr="00843214">
        <w:rPr>
          <w:color w:val="auto"/>
          <w:lang w:val="en-AU" w:eastAsia="en-GB"/>
        </w:rPr>
        <w:t xml:space="preserve"> </w:t>
      </w:r>
      <w:r w:rsidR="008A6E91" w:rsidRPr="00843214">
        <w:rPr>
          <w:color w:val="auto"/>
          <w:lang w:val="en-AU" w:eastAsia="en-GB"/>
        </w:rPr>
        <w:t xml:space="preserve">in support of UN Women’s triple mandate through core support </w:t>
      </w:r>
      <w:r w:rsidR="009F6DEA" w:rsidRPr="00843214">
        <w:rPr>
          <w:color w:val="auto"/>
          <w:lang w:val="en-AU" w:eastAsia="en-GB"/>
        </w:rPr>
        <w:t xml:space="preserve">and for specific activities within the Indo-Pacific. </w:t>
      </w:r>
      <w:r w:rsidR="00C17F93" w:rsidRPr="00843214">
        <w:rPr>
          <w:color w:val="auto"/>
          <w:lang w:val="en-AU" w:eastAsia="en-GB"/>
        </w:rPr>
        <w:t xml:space="preserve">UN Women’s role in the partnership is </w:t>
      </w:r>
      <w:r w:rsidR="00C206A8" w:rsidRPr="00843214">
        <w:rPr>
          <w:color w:val="auto"/>
          <w:lang w:val="en-AU" w:eastAsia="en-GB"/>
        </w:rPr>
        <w:t xml:space="preserve">to </w:t>
      </w:r>
      <w:r w:rsidR="008A6E91" w:rsidRPr="00843214">
        <w:rPr>
          <w:color w:val="auto"/>
          <w:lang w:val="en-AU" w:eastAsia="en-GB"/>
        </w:rPr>
        <w:t>deliver</w:t>
      </w:r>
      <w:r w:rsidR="00C206A8" w:rsidRPr="00843214">
        <w:rPr>
          <w:color w:val="auto"/>
          <w:lang w:val="en-AU" w:eastAsia="en-GB"/>
        </w:rPr>
        <w:t xml:space="preserve"> </w:t>
      </w:r>
      <w:r w:rsidR="00503E8D" w:rsidRPr="00843214">
        <w:rPr>
          <w:color w:val="auto"/>
          <w:lang w:val="en-AU" w:eastAsia="en-GB"/>
        </w:rPr>
        <w:t>program</w:t>
      </w:r>
      <w:r w:rsidR="008A6E91" w:rsidRPr="00843214">
        <w:rPr>
          <w:color w:val="auto"/>
          <w:lang w:val="en-AU" w:eastAsia="en-GB"/>
        </w:rPr>
        <w:t>s and activities as per UN Women’s mandate, role within the UN System, Strategic Plan, and 2030 Agenda</w:t>
      </w:r>
      <w:r w:rsidR="001979E7" w:rsidRPr="00843214">
        <w:rPr>
          <w:color w:val="auto"/>
          <w:lang w:val="en-AU" w:eastAsia="en-GB"/>
        </w:rPr>
        <w:t xml:space="preserve"> that are</w:t>
      </w:r>
      <w:r w:rsidR="008A6E91" w:rsidRPr="00843214">
        <w:rPr>
          <w:color w:val="auto"/>
          <w:lang w:val="en-AU" w:eastAsia="en-GB"/>
        </w:rPr>
        <w:t xml:space="preserve"> aligned to Australia’s aid </w:t>
      </w:r>
      <w:r w:rsidR="00503E8D" w:rsidRPr="00843214">
        <w:rPr>
          <w:color w:val="auto"/>
          <w:lang w:val="en-AU" w:eastAsia="en-GB"/>
        </w:rPr>
        <w:t>program</w:t>
      </w:r>
      <w:r w:rsidR="008A6E91" w:rsidRPr="00843214">
        <w:rPr>
          <w:color w:val="auto"/>
          <w:lang w:val="en-AU" w:eastAsia="en-GB"/>
        </w:rPr>
        <w:t xml:space="preserve"> and investment priorities. </w:t>
      </w:r>
    </w:p>
    <w:p w14:paraId="11147CC4" w14:textId="2BCEEDE8" w:rsidR="00256DAA" w:rsidRPr="00843214" w:rsidRDefault="00531456" w:rsidP="006811D4">
      <w:pPr>
        <w:rPr>
          <w:color w:val="auto"/>
          <w:lang w:val="en-AU" w:eastAsia="en-GB"/>
        </w:rPr>
      </w:pPr>
      <w:r w:rsidRPr="00843214">
        <w:rPr>
          <w:b/>
          <w:bCs/>
          <w:color w:val="auto"/>
          <w:lang w:val="en-AU"/>
        </w:rPr>
        <w:t>The critical backdrop to this review is the</w:t>
      </w:r>
      <w:r w:rsidR="005E045A" w:rsidRPr="00843214">
        <w:rPr>
          <w:b/>
          <w:bCs/>
          <w:color w:val="auto"/>
          <w:lang w:val="en-AU"/>
        </w:rPr>
        <w:t xml:space="preserve"> change in the global context since the development of the SPF, particularly due to COVID-19,</w:t>
      </w:r>
      <w:r w:rsidR="005E045A" w:rsidRPr="00843214">
        <w:rPr>
          <w:color w:val="auto"/>
          <w:lang w:val="en-AU"/>
        </w:rPr>
        <w:t xml:space="preserve"> and more specifically how the changing context </w:t>
      </w:r>
      <w:r w:rsidRPr="00843214">
        <w:rPr>
          <w:color w:val="auto"/>
          <w:lang w:val="en-AU"/>
        </w:rPr>
        <w:t>is</w:t>
      </w:r>
      <w:r w:rsidR="005E045A" w:rsidRPr="00843214">
        <w:rPr>
          <w:color w:val="auto"/>
          <w:lang w:val="en-AU"/>
        </w:rPr>
        <w:t xml:space="preserve"> creating differentiated and exacerbated impacts on women that may decrease or block gender equality gains. </w:t>
      </w:r>
      <w:r w:rsidR="005858D4" w:rsidRPr="00843214">
        <w:rPr>
          <w:color w:val="auto"/>
          <w:lang w:val="en-AU"/>
        </w:rPr>
        <w:t>T</w:t>
      </w:r>
      <w:r w:rsidR="00256DAA" w:rsidRPr="00843214">
        <w:rPr>
          <w:color w:val="auto"/>
          <w:lang w:val="en-AU"/>
        </w:rPr>
        <w:t>herefore</w:t>
      </w:r>
      <w:r w:rsidR="003F23F9" w:rsidRPr="00843214">
        <w:rPr>
          <w:color w:val="auto"/>
          <w:lang w:val="en-AU"/>
        </w:rPr>
        <w:t>,</w:t>
      </w:r>
      <w:r w:rsidR="00256DAA" w:rsidRPr="00843214">
        <w:rPr>
          <w:color w:val="auto"/>
          <w:lang w:val="en-AU"/>
        </w:rPr>
        <w:t xml:space="preserve"> the </w:t>
      </w:r>
      <w:r w:rsidR="005858D4" w:rsidRPr="00843214">
        <w:rPr>
          <w:color w:val="auto"/>
          <w:lang w:val="en-AU"/>
        </w:rPr>
        <w:t xml:space="preserve">Partnership’s </w:t>
      </w:r>
      <w:r w:rsidR="00256DAA" w:rsidRPr="00843214">
        <w:rPr>
          <w:color w:val="auto"/>
          <w:lang w:val="en-AU"/>
        </w:rPr>
        <w:t xml:space="preserve">next SPF </w:t>
      </w:r>
      <w:r w:rsidR="005858D4" w:rsidRPr="00843214">
        <w:rPr>
          <w:color w:val="auto"/>
          <w:lang w:val="en-AU"/>
        </w:rPr>
        <w:t xml:space="preserve">will draw </w:t>
      </w:r>
      <w:r w:rsidR="00256DAA" w:rsidRPr="00843214">
        <w:rPr>
          <w:color w:val="auto"/>
          <w:lang w:val="en-AU"/>
        </w:rPr>
        <w:t xml:space="preserve">on </w:t>
      </w:r>
      <w:r w:rsidR="00BB1C5A" w:rsidRPr="00843214">
        <w:rPr>
          <w:color w:val="auto"/>
          <w:lang w:val="en-AU"/>
        </w:rPr>
        <w:t xml:space="preserve">the </w:t>
      </w:r>
      <w:r w:rsidR="005E045A" w:rsidRPr="00843214">
        <w:rPr>
          <w:color w:val="auto"/>
          <w:lang w:val="en-AU"/>
        </w:rPr>
        <w:t>agencies</w:t>
      </w:r>
      <w:r w:rsidR="005858D4" w:rsidRPr="00843214">
        <w:rPr>
          <w:color w:val="auto"/>
          <w:lang w:val="en-AU"/>
        </w:rPr>
        <w:t>’</w:t>
      </w:r>
      <w:r w:rsidR="005E045A" w:rsidRPr="00843214">
        <w:rPr>
          <w:color w:val="auto"/>
          <w:lang w:val="en-AU"/>
        </w:rPr>
        <w:t xml:space="preserve"> strategic </w:t>
      </w:r>
      <w:r w:rsidR="00256DAA" w:rsidRPr="00843214">
        <w:rPr>
          <w:color w:val="auto"/>
          <w:lang w:val="en-AU"/>
        </w:rPr>
        <w:t xml:space="preserve">responses to COVID-19 including DFAT’s Partnerships for Recovery, </w:t>
      </w:r>
      <w:r w:rsidR="00C92301" w:rsidRPr="00843214">
        <w:rPr>
          <w:color w:val="auto"/>
          <w:lang w:val="en-AU"/>
        </w:rPr>
        <w:t xml:space="preserve">any </w:t>
      </w:r>
      <w:r w:rsidR="00256DAA" w:rsidRPr="00843214">
        <w:rPr>
          <w:color w:val="auto"/>
          <w:lang w:val="en-AU"/>
        </w:rPr>
        <w:t>new DFAT gender strategies and UN Women</w:t>
      </w:r>
      <w:r w:rsidR="001F23FB" w:rsidRPr="00843214">
        <w:rPr>
          <w:color w:val="auto"/>
          <w:lang w:val="en-AU"/>
        </w:rPr>
        <w:t>’s</w:t>
      </w:r>
      <w:r w:rsidR="00256DAA" w:rsidRPr="00843214">
        <w:rPr>
          <w:color w:val="auto"/>
          <w:lang w:val="en-AU"/>
        </w:rPr>
        <w:t xml:space="preserve"> </w:t>
      </w:r>
      <w:r w:rsidR="001F23FB" w:rsidRPr="00843214">
        <w:rPr>
          <w:color w:val="auto"/>
          <w:lang w:val="en-AU"/>
        </w:rPr>
        <w:t>S</w:t>
      </w:r>
      <w:r w:rsidR="00256DAA" w:rsidRPr="00843214">
        <w:rPr>
          <w:color w:val="auto"/>
          <w:lang w:val="en-AU"/>
        </w:rPr>
        <w:t xml:space="preserve">trategic </w:t>
      </w:r>
      <w:r w:rsidR="001F23FB" w:rsidRPr="00843214">
        <w:rPr>
          <w:color w:val="auto"/>
          <w:lang w:val="en-AU"/>
        </w:rPr>
        <w:t>P</w:t>
      </w:r>
      <w:r w:rsidR="00256DAA" w:rsidRPr="00843214">
        <w:rPr>
          <w:color w:val="auto"/>
          <w:lang w:val="en-AU"/>
        </w:rPr>
        <w:t>lan</w:t>
      </w:r>
      <w:r w:rsidR="00201201" w:rsidRPr="00843214">
        <w:rPr>
          <w:color w:val="auto"/>
          <w:lang w:val="en-AU"/>
        </w:rPr>
        <w:t xml:space="preserve"> 2022-2025</w:t>
      </w:r>
      <w:r w:rsidR="00256DAA" w:rsidRPr="00843214">
        <w:rPr>
          <w:color w:val="auto"/>
          <w:lang w:val="en-AU"/>
        </w:rPr>
        <w:t xml:space="preserve">, and </w:t>
      </w:r>
      <w:r w:rsidR="008F1F1F" w:rsidRPr="00843214">
        <w:rPr>
          <w:color w:val="auto"/>
          <w:lang w:val="en-AU"/>
        </w:rPr>
        <w:t>results and lessons</w:t>
      </w:r>
      <w:r w:rsidR="00256DAA" w:rsidRPr="00843214">
        <w:rPr>
          <w:color w:val="auto"/>
          <w:lang w:val="en-AU"/>
        </w:rPr>
        <w:t xml:space="preserve"> from the current partnership phase.</w:t>
      </w:r>
      <w:r w:rsidR="00256DAA" w:rsidRPr="00843214">
        <w:rPr>
          <w:color w:val="auto"/>
          <w:lang w:val="en-AU" w:eastAsia="en-GB"/>
        </w:rPr>
        <w:t xml:space="preserve"> </w:t>
      </w:r>
    </w:p>
    <w:p w14:paraId="2F6FC8B8" w14:textId="38B774BD" w:rsidR="00670BBD" w:rsidRPr="00843214" w:rsidRDefault="00437C2B" w:rsidP="00843214">
      <w:pPr>
        <w:pStyle w:val="Heading1"/>
      </w:pPr>
      <w:bookmarkStart w:id="27" w:name="_Toc8998715"/>
      <w:bookmarkStart w:id="28" w:name="_Toc11767282"/>
      <w:bookmarkStart w:id="29" w:name="_Toc17958718"/>
      <w:bookmarkStart w:id="30" w:name="_Toc17959390"/>
      <w:bookmarkStart w:id="31" w:name="_Toc69376655"/>
      <w:r w:rsidRPr="00843214">
        <w:t>Methodology</w:t>
      </w:r>
      <w:bookmarkEnd w:id="27"/>
      <w:bookmarkEnd w:id="28"/>
      <w:bookmarkEnd w:id="29"/>
      <w:bookmarkEnd w:id="30"/>
      <w:bookmarkEnd w:id="31"/>
    </w:p>
    <w:p w14:paraId="469CC143" w14:textId="6F8ABCCB" w:rsidR="00D66A29" w:rsidRPr="00843214" w:rsidRDefault="00D66A29" w:rsidP="00CA0D1D">
      <w:pPr>
        <w:spacing w:after="0"/>
        <w:rPr>
          <w:color w:val="auto"/>
          <w:lang w:eastAsia="en-GB"/>
        </w:rPr>
      </w:pPr>
      <w:r w:rsidRPr="00843214">
        <w:rPr>
          <w:b/>
          <w:bCs/>
          <w:color w:val="auto"/>
          <w:lang w:eastAsia="en-GB"/>
        </w:rPr>
        <w:t>T</w:t>
      </w:r>
      <w:r w:rsidR="0049734F" w:rsidRPr="00843214">
        <w:rPr>
          <w:b/>
          <w:bCs/>
          <w:color w:val="auto"/>
          <w:lang w:eastAsia="en-GB"/>
        </w:rPr>
        <w:t>o assess the</w:t>
      </w:r>
      <w:r w:rsidRPr="00843214">
        <w:rPr>
          <w:b/>
          <w:bCs/>
          <w:color w:val="auto"/>
          <w:lang w:eastAsia="en-GB"/>
        </w:rPr>
        <w:t xml:space="preserve"> </w:t>
      </w:r>
      <w:r w:rsidR="00461888" w:rsidRPr="00843214">
        <w:rPr>
          <w:b/>
          <w:bCs/>
          <w:color w:val="auto"/>
          <w:lang w:eastAsia="en-GB"/>
        </w:rPr>
        <w:t xml:space="preserve">Partnership's value, </w:t>
      </w:r>
      <w:proofErr w:type="gramStart"/>
      <w:r w:rsidR="00461888" w:rsidRPr="00843214">
        <w:rPr>
          <w:b/>
          <w:bCs/>
          <w:color w:val="auto"/>
          <w:lang w:eastAsia="en-GB"/>
        </w:rPr>
        <w:t>effectiveness</w:t>
      </w:r>
      <w:proofErr w:type="gramEnd"/>
      <w:r w:rsidR="00461888" w:rsidRPr="00843214">
        <w:rPr>
          <w:b/>
          <w:bCs/>
          <w:color w:val="auto"/>
          <w:lang w:eastAsia="en-GB"/>
        </w:rPr>
        <w:t xml:space="preserve"> and impact; and to consider how UN Women and DFAT c</w:t>
      </w:r>
      <w:r w:rsidR="0000408D" w:rsidRPr="00843214">
        <w:rPr>
          <w:b/>
          <w:bCs/>
          <w:color w:val="auto"/>
          <w:lang w:eastAsia="en-GB"/>
        </w:rPr>
        <w:t>ould</w:t>
      </w:r>
      <w:r w:rsidR="00461888" w:rsidRPr="00843214">
        <w:rPr>
          <w:b/>
          <w:bCs/>
          <w:color w:val="auto"/>
          <w:lang w:eastAsia="en-GB"/>
        </w:rPr>
        <w:t xml:space="preserve"> maximise the effectiveness of their collaboration for the new S</w:t>
      </w:r>
      <w:r w:rsidR="003F23F9" w:rsidRPr="00843214">
        <w:rPr>
          <w:b/>
          <w:bCs/>
          <w:color w:val="auto"/>
          <w:lang w:eastAsia="en-GB"/>
        </w:rPr>
        <w:t>PF</w:t>
      </w:r>
      <w:r w:rsidR="0049734F" w:rsidRPr="00843214">
        <w:rPr>
          <w:b/>
          <w:bCs/>
          <w:color w:val="auto"/>
          <w:lang w:eastAsia="en-GB"/>
        </w:rPr>
        <w:t xml:space="preserve"> t</w:t>
      </w:r>
      <w:r w:rsidR="00461888" w:rsidRPr="00843214">
        <w:rPr>
          <w:b/>
          <w:bCs/>
          <w:color w:val="auto"/>
          <w:lang w:eastAsia="en-GB"/>
        </w:rPr>
        <w:t>he review focused on four key evaluation questions within four areas of enquiry</w:t>
      </w:r>
      <w:r w:rsidRPr="00843214">
        <w:rPr>
          <w:color w:val="auto"/>
          <w:lang w:eastAsia="en-GB"/>
        </w:rPr>
        <w:t xml:space="preserve"> (</w:t>
      </w:r>
      <w:r w:rsidR="0049734F" w:rsidRPr="00843214">
        <w:rPr>
          <w:color w:val="auto"/>
          <w:lang w:eastAsia="en-GB"/>
        </w:rPr>
        <w:t xml:space="preserve">detailed in the Review Matrix in </w:t>
      </w:r>
      <w:r w:rsidR="0049734F" w:rsidRPr="00843214">
        <w:rPr>
          <w:b/>
          <w:bCs/>
          <w:color w:val="auto"/>
          <w:lang w:eastAsia="en-GB"/>
        </w:rPr>
        <w:t>Annex 1</w:t>
      </w:r>
      <w:r w:rsidR="00FD3ED9" w:rsidRPr="00843214">
        <w:rPr>
          <w:b/>
          <w:bCs/>
          <w:color w:val="auto"/>
          <w:lang w:eastAsia="en-GB"/>
        </w:rPr>
        <w:t xml:space="preserve"> </w:t>
      </w:r>
      <w:r w:rsidR="00FD3ED9" w:rsidRPr="00843214">
        <w:rPr>
          <w:color w:val="auto"/>
          <w:lang w:eastAsia="en-GB"/>
        </w:rPr>
        <w:t>along with alignment of review questions to the report sections</w:t>
      </w:r>
      <w:r w:rsidR="0049734F" w:rsidRPr="00843214">
        <w:rPr>
          <w:color w:val="auto"/>
          <w:lang w:eastAsia="en-GB"/>
        </w:rPr>
        <w:t>)</w:t>
      </w:r>
      <w:r w:rsidR="0049734F" w:rsidRPr="00843214">
        <w:rPr>
          <w:rStyle w:val="FootnoteReference"/>
          <w:color w:val="auto"/>
          <w:lang w:eastAsia="en-GB"/>
        </w:rPr>
        <w:footnoteReference w:id="8"/>
      </w:r>
      <w:r w:rsidR="0049734F" w:rsidRPr="00843214">
        <w:rPr>
          <w:color w:val="auto"/>
          <w:lang w:eastAsia="en-GB"/>
        </w:rPr>
        <w:t>.</w:t>
      </w:r>
      <w:r w:rsidRPr="00843214">
        <w:rPr>
          <w:color w:val="auto"/>
          <w:lang w:eastAsia="en-GB"/>
        </w:rPr>
        <w:t xml:space="preserve"> Four overarching questions guided the review:</w:t>
      </w:r>
    </w:p>
    <w:p w14:paraId="7D035AA6" w14:textId="3B0D2B3E" w:rsidR="00D66A29" w:rsidRPr="00843214" w:rsidRDefault="00D66A29" w:rsidP="00CA0D1D">
      <w:pPr>
        <w:pStyle w:val="IODPARCbullets"/>
        <w:spacing w:before="0" w:after="0"/>
        <w:ind w:left="576" w:hanging="288"/>
        <w:rPr>
          <w:color w:val="auto"/>
        </w:rPr>
      </w:pPr>
      <w:r w:rsidRPr="00843214">
        <w:rPr>
          <w:color w:val="auto"/>
        </w:rPr>
        <w:t>What is the value of the Partnership?</w:t>
      </w:r>
    </w:p>
    <w:p w14:paraId="0340B43B" w14:textId="7A9FAFA8" w:rsidR="00D66A29" w:rsidRPr="00843214" w:rsidRDefault="00D66A29" w:rsidP="00CA0D1D">
      <w:pPr>
        <w:pStyle w:val="IODPARCbullets"/>
        <w:spacing w:before="0" w:after="0"/>
        <w:ind w:left="576" w:hanging="288"/>
        <w:rPr>
          <w:color w:val="auto"/>
        </w:rPr>
      </w:pPr>
      <w:r w:rsidRPr="00843214">
        <w:rPr>
          <w:color w:val="auto"/>
        </w:rPr>
        <w:t>What are the key features of the current and future context for gender equality objectives in the Indo-Pacific</w:t>
      </w:r>
      <w:r w:rsidR="0049734F" w:rsidRPr="00843214">
        <w:rPr>
          <w:color w:val="auto"/>
        </w:rPr>
        <w:t>?</w:t>
      </w:r>
    </w:p>
    <w:p w14:paraId="6078A78C" w14:textId="77777777" w:rsidR="00D66A29" w:rsidRPr="00843214" w:rsidRDefault="00D66A29" w:rsidP="00CA0D1D">
      <w:pPr>
        <w:pStyle w:val="IODPARCbullets"/>
        <w:spacing w:before="0" w:after="0"/>
        <w:ind w:left="576" w:hanging="288"/>
        <w:rPr>
          <w:color w:val="auto"/>
        </w:rPr>
      </w:pPr>
      <w:r w:rsidRPr="00843214">
        <w:rPr>
          <w:color w:val="auto"/>
        </w:rPr>
        <w:t>What are the priorities, strengths, and weaknesses of the Partnership and how can it be improved?</w:t>
      </w:r>
    </w:p>
    <w:p w14:paraId="72BD9086" w14:textId="5C83AE95" w:rsidR="00461888" w:rsidRPr="00843214" w:rsidRDefault="00D66A29" w:rsidP="00CA0D1D">
      <w:pPr>
        <w:pStyle w:val="IODPARCbullets"/>
        <w:spacing w:before="0" w:after="0"/>
        <w:ind w:left="576" w:hanging="288"/>
        <w:rPr>
          <w:color w:val="auto"/>
        </w:rPr>
      </w:pPr>
      <w:r w:rsidRPr="00843214">
        <w:rPr>
          <w:color w:val="auto"/>
        </w:rPr>
        <w:t>To what extent has UN Women progressed implementation of areas identified for strengthened performance, and what are the organisational obstacles to progress</w:t>
      </w:r>
      <w:r w:rsidR="0049734F" w:rsidRPr="00843214">
        <w:rPr>
          <w:color w:val="auto"/>
        </w:rPr>
        <w:t>?</w:t>
      </w:r>
    </w:p>
    <w:p w14:paraId="39808BCD" w14:textId="093757D2" w:rsidR="00461888" w:rsidRPr="00843214" w:rsidRDefault="006842BA" w:rsidP="001C5D1E">
      <w:pPr>
        <w:spacing w:before="240"/>
        <w:rPr>
          <w:color w:val="auto"/>
          <w:lang w:val="en-AU"/>
        </w:rPr>
      </w:pPr>
      <w:r w:rsidRPr="00843214">
        <w:rPr>
          <w:color w:val="auto"/>
          <w:lang w:eastAsia="en-GB"/>
        </w:rPr>
        <w:t xml:space="preserve">The review </w:t>
      </w:r>
      <w:r w:rsidR="00461888" w:rsidRPr="00843214">
        <w:rPr>
          <w:color w:val="auto"/>
          <w:lang w:eastAsia="en-GB"/>
        </w:rPr>
        <w:t xml:space="preserve">used a positive enquiry approach </w:t>
      </w:r>
      <w:r w:rsidR="001C5D1E" w:rsidRPr="00843214">
        <w:rPr>
          <w:color w:val="auto"/>
          <w:lang w:eastAsia="en-GB"/>
        </w:rPr>
        <w:t>based on</w:t>
      </w:r>
      <w:r w:rsidR="00461888" w:rsidRPr="00843214">
        <w:rPr>
          <w:color w:val="auto"/>
          <w:lang w:eastAsia="en-GB"/>
        </w:rPr>
        <w:t xml:space="preserve"> qualitative data. </w:t>
      </w:r>
      <w:r w:rsidR="00461888" w:rsidRPr="00843214">
        <w:rPr>
          <w:color w:val="auto"/>
          <w:lang w:val="en-AU"/>
        </w:rPr>
        <w:t xml:space="preserve">The review </w:t>
      </w:r>
      <w:r w:rsidR="001C5D1E" w:rsidRPr="00843214">
        <w:rPr>
          <w:color w:val="auto"/>
          <w:lang w:val="en-AU"/>
        </w:rPr>
        <w:t xml:space="preserve">findings are </w:t>
      </w:r>
      <w:r w:rsidR="00461888" w:rsidRPr="00843214">
        <w:rPr>
          <w:color w:val="auto"/>
          <w:lang w:val="en-AU"/>
        </w:rPr>
        <w:t>based on 7</w:t>
      </w:r>
      <w:r w:rsidR="00DA31DA" w:rsidRPr="00843214">
        <w:rPr>
          <w:color w:val="auto"/>
          <w:lang w:val="en-AU"/>
        </w:rPr>
        <w:t>5</w:t>
      </w:r>
      <w:r w:rsidR="00461888" w:rsidRPr="00843214">
        <w:rPr>
          <w:color w:val="auto"/>
          <w:lang w:val="en-AU"/>
        </w:rPr>
        <w:t xml:space="preserve"> reviewed documents (Annex 2) and the input of 8</w:t>
      </w:r>
      <w:r w:rsidR="00931533" w:rsidRPr="00843214">
        <w:rPr>
          <w:color w:val="auto"/>
          <w:lang w:val="en-AU"/>
        </w:rPr>
        <w:t>5</w:t>
      </w:r>
      <w:r w:rsidR="00461888" w:rsidRPr="00843214">
        <w:rPr>
          <w:color w:val="auto"/>
          <w:lang w:val="en-AU"/>
        </w:rPr>
        <w:t xml:space="preserve"> stakeholders </w:t>
      </w:r>
      <w:r w:rsidR="006C7587" w:rsidRPr="00843214">
        <w:rPr>
          <w:color w:val="auto"/>
          <w:lang w:val="en-AU"/>
        </w:rPr>
        <w:t xml:space="preserve">from DFAT, UN Women, </w:t>
      </w:r>
      <w:r w:rsidR="001F23FB" w:rsidRPr="00843214">
        <w:rPr>
          <w:color w:val="auto"/>
          <w:lang w:val="en-AU"/>
        </w:rPr>
        <w:t>other</w:t>
      </w:r>
      <w:r w:rsidR="006C7587" w:rsidRPr="00843214">
        <w:rPr>
          <w:color w:val="auto"/>
          <w:lang w:val="en-AU"/>
        </w:rPr>
        <w:t xml:space="preserve"> UN agencies</w:t>
      </w:r>
      <w:r w:rsidR="001F23FB" w:rsidRPr="00843214">
        <w:rPr>
          <w:color w:val="auto"/>
          <w:lang w:val="en-AU"/>
        </w:rPr>
        <w:t>,</w:t>
      </w:r>
      <w:r w:rsidR="006C7587" w:rsidRPr="00843214">
        <w:rPr>
          <w:color w:val="auto"/>
          <w:lang w:val="en-AU"/>
        </w:rPr>
        <w:t xml:space="preserve"> and implementing partners (</w:t>
      </w:r>
      <w:r w:rsidR="00526970" w:rsidRPr="00843214">
        <w:rPr>
          <w:color w:val="auto"/>
          <w:lang w:val="en-AU"/>
        </w:rPr>
        <w:t>c</w:t>
      </w:r>
      <w:r w:rsidR="00746380" w:rsidRPr="00843214">
        <w:rPr>
          <w:color w:val="auto"/>
          <w:lang w:val="en-AU"/>
        </w:rPr>
        <w:t xml:space="preserve">ivil </w:t>
      </w:r>
      <w:r w:rsidR="00526970" w:rsidRPr="00843214">
        <w:rPr>
          <w:color w:val="auto"/>
          <w:lang w:val="en-AU"/>
        </w:rPr>
        <w:t>s</w:t>
      </w:r>
      <w:r w:rsidR="00746380" w:rsidRPr="00843214">
        <w:rPr>
          <w:color w:val="auto"/>
          <w:lang w:val="en-AU"/>
        </w:rPr>
        <w:t xml:space="preserve">ociety </w:t>
      </w:r>
      <w:r w:rsidR="00526970" w:rsidRPr="00843214">
        <w:rPr>
          <w:color w:val="auto"/>
          <w:lang w:val="en-AU"/>
        </w:rPr>
        <w:t>o</w:t>
      </w:r>
      <w:r w:rsidR="00746380" w:rsidRPr="00843214">
        <w:rPr>
          <w:color w:val="auto"/>
          <w:lang w:val="en-AU"/>
        </w:rPr>
        <w:t>rganisations</w:t>
      </w:r>
      <w:r w:rsidR="00526970" w:rsidRPr="00843214">
        <w:rPr>
          <w:color w:val="auto"/>
          <w:lang w:val="en-AU"/>
        </w:rPr>
        <w:t xml:space="preserve"> (CSO)</w:t>
      </w:r>
      <w:r w:rsidR="006C7587" w:rsidRPr="00843214">
        <w:rPr>
          <w:color w:val="auto"/>
          <w:lang w:val="en-AU"/>
        </w:rPr>
        <w:t>/</w:t>
      </w:r>
      <w:r w:rsidR="00526970" w:rsidRPr="00843214">
        <w:rPr>
          <w:color w:val="auto"/>
          <w:lang w:val="en-AU"/>
        </w:rPr>
        <w:t>Non-government organisations (</w:t>
      </w:r>
      <w:r w:rsidR="006C7587" w:rsidRPr="00843214">
        <w:rPr>
          <w:color w:val="auto"/>
          <w:lang w:val="en-AU"/>
        </w:rPr>
        <w:t>NGO</w:t>
      </w:r>
      <w:r w:rsidR="00526970" w:rsidRPr="00843214">
        <w:rPr>
          <w:color w:val="auto"/>
          <w:lang w:val="en-AU"/>
        </w:rPr>
        <w:t>)</w:t>
      </w:r>
      <w:r w:rsidR="006C7587" w:rsidRPr="00843214">
        <w:rPr>
          <w:color w:val="auto"/>
          <w:lang w:val="en-AU"/>
        </w:rPr>
        <w:t>/</w:t>
      </w:r>
      <w:proofErr w:type="gramStart"/>
      <w:r w:rsidR="00526970" w:rsidRPr="00843214">
        <w:rPr>
          <w:color w:val="auto"/>
          <w:lang w:val="en-AU"/>
        </w:rPr>
        <w:t>f</w:t>
      </w:r>
      <w:r w:rsidR="006C7587" w:rsidRPr="00843214">
        <w:rPr>
          <w:color w:val="auto"/>
          <w:lang w:val="en-AU"/>
        </w:rPr>
        <w:t xml:space="preserve">aith </w:t>
      </w:r>
      <w:r w:rsidR="00526970" w:rsidRPr="00843214">
        <w:rPr>
          <w:color w:val="auto"/>
          <w:lang w:val="en-AU"/>
        </w:rPr>
        <w:t>b</w:t>
      </w:r>
      <w:r w:rsidR="006C7587" w:rsidRPr="00843214">
        <w:rPr>
          <w:color w:val="auto"/>
          <w:lang w:val="en-AU"/>
        </w:rPr>
        <w:t>ased</w:t>
      </w:r>
      <w:proofErr w:type="gramEnd"/>
      <w:r w:rsidR="006C7587" w:rsidRPr="00843214">
        <w:rPr>
          <w:color w:val="auto"/>
          <w:lang w:val="en-AU"/>
        </w:rPr>
        <w:t xml:space="preserve"> </w:t>
      </w:r>
      <w:r w:rsidR="00526970" w:rsidRPr="00843214">
        <w:rPr>
          <w:color w:val="auto"/>
          <w:lang w:val="en-AU"/>
        </w:rPr>
        <w:t>o</w:t>
      </w:r>
      <w:r w:rsidR="006C7587" w:rsidRPr="00843214">
        <w:rPr>
          <w:color w:val="auto"/>
          <w:lang w:val="en-AU"/>
        </w:rPr>
        <w:t xml:space="preserve">rganisations </w:t>
      </w:r>
      <w:r w:rsidR="008B412A" w:rsidRPr="00843214">
        <w:rPr>
          <w:color w:val="auto"/>
          <w:lang w:val="en-AU"/>
        </w:rPr>
        <w:t>(FBO)</w:t>
      </w:r>
      <w:r w:rsidR="004C2FD0" w:rsidRPr="00843214">
        <w:rPr>
          <w:color w:val="auto"/>
          <w:lang w:val="en-AU"/>
        </w:rPr>
        <w:t>, managing contractor</w:t>
      </w:r>
      <w:r w:rsidR="008B412A" w:rsidRPr="00843214">
        <w:rPr>
          <w:color w:val="auto"/>
          <w:lang w:val="en-AU"/>
        </w:rPr>
        <w:t xml:space="preserve"> </w:t>
      </w:r>
      <w:r w:rsidR="006C7587" w:rsidRPr="00843214">
        <w:rPr>
          <w:color w:val="auto"/>
          <w:lang w:val="en-AU"/>
        </w:rPr>
        <w:t xml:space="preserve">and academia) </w:t>
      </w:r>
      <w:r w:rsidR="00461888" w:rsidRPr="00843214">
        <w:rPr>
          <w:color w:val="auto"/>
          <w:lang w:val="en-AU"/>
        </w:rPr>
        <w:t>across 19 roundtable interviews (Annex 3).</w:t>
      </w:r>
      <w:r w:rsidR="00256DAA" w:rsidRPr="00843214">
        <w:rPr>
          <w:color w:val="auto"/>
          <w:lang w:val="en-AU"/>
        </w:rPr>
        <w:t xml:space="preserve"> </w:t>
      </w:r>
      <w:r w:rsidR="006C7587" w:rsidRPr="00843214">
        <w:rPr>
          <w:color w:val="auto"/>
          <w:lang w:val="en-AU"/>
        </w:rPr>
        <w:t>Stakeholder interviews and focus group discussions were semi-structured and based on four set</w:t>
      </w:r>
      <w:r w:rsidR="006E1905" w:rsidRPr="00843214">
        <w:rPr>
          <w:color w:val="auto"/>
          <w:lang w:val="en-AU"/>
        </w:rPr>
        <w:t xml:space="preserve"> key </w:t>
      </w:r>
      <w:r w:rsidR="006C7587" w:rsidRPr="00843214">
        <w:rPr>
          <w:color w:val="auto"/>
          <w:lang w:val="en-AU"/>
        </w:rPr>
        <w:t xml:space="preserve">of questions </w:t>
      </w:r>
      <w:r w:rsidR="006E1905" w:rsidRPr="00843214">
        <w:rPr>
          <w:color w:val="auto"/>
          <w:lang w:val="en-AU"/>
        </w:rPr>
        <w:t>stakeholder groups</w:t>
      </w:r>
      <w:r w:rsidR="006C7587" w:rsidRPr="00843214">
        <w:rPr>
          <w:color w:val="auto"/>
          <w:lang w:val="en-AU"/>
        </w:rPr>
        <w:t xml:space="preserve">. </w:t>
      </w:r>
      <w:r w:rsidR="006E40BE" w:rsidRPr="00843214">
        <w:rPr>
          <w:color w:val="auto"/>
          <w:lang w:val="en-AU"/>
        </w:rPr>
        <w:t xml:space="preserve">In assessing </w:t>
      </w:r>
      <w:r w:rsidR="0000408D" w:rsidRPr="00843214">
        <w:rPr>
          <w:color w:val="auto"/>
          <w:lang w:val="en-AU"/>
        </w:rPr>
        <w:t xml:space="preserve">the effectiveness of </w:t>
      </w:r>
      <w:r w:rsidR="006E40BE" w:rsidRPr="00843214">
        <w:rPr>
          <w:color w:val="auto"/>
          <w:lang w:val="en-AU"/>
        </w:rPr>
        <w:t>non-core funding, t</w:t>
      </w:r>
      <w:r w:rsidR="00256DAA" w:rsidRPr="00843214">
        <w:rPr>
          <w:color w:val="auto"/>
          <w:lang w:val="en-AU"/>
        </w:rPr>
        <w:t xml:space="preserve">he review focused a purposive sample of </w:t>
      </w:r>
      <w:r w:rsidR="006E40BE" w:rsidRPr="00843214">
        <w:rPr>
          <w:color w:val="auto"/>
          <w:lang w:val="en-AU"/>
        </w:rPr>
        <w:t xml:space="preserve">four of </w:t>
      </w:r>
      <w:r w:rsidR="00256DAA" w:rsidRPr="00843214">
        <w:rPr>
          <w:color w:val="auto"/>
          <w:lang w:val="en-AU"/>
        </w:rPr>
        <w:t>Australia’s largest non-core funded programs</w:t>
      </w:r>
      <w:r w:rsidR="00256DAA" w:rsidRPr="00843214">
        <w:rPr>
          <w:rStyle w:val="FootnoteReference"/>
          <w:color w:val="auto"/>
          <w:lang w:val="en-AU"/>
        </w:rPr>
        <w:footnoteReference w:id="9"/>
      </w:r>
      <w:r w:rsidR="0000408D" w:rsidRPr="00843214">
        <w:rPr>
          <w:color w:val="auto"/>
          <w:lang w:val="en-AU"/>
        </w:rPr>
        <w:t xml:space="preserve"> while also considering </w:t>
      </w:r>
      <w:r w:rsidR="006273AB" w:rsidRPr="00843214">
        <w:rPr>
          <w:color w:val="auto"/>
          <w:lang w:val="en-AU"/>
        </w:rPr>
        <w:t xml:space="preserve">progress and results from </w:t>
      </w:r>
      <w:r w:rsidR="0000408D" w:rsidRPr="00843214">
        <w:rPr>
          <w:color w:val="auto"/>
          <w:lang w:val="en-AU"/>
        </w:rPr>
        <w:t>other non-core funded programs.</w:t>
      </w:r>
    </w:p>
    <w:p w14:paraId="03B3E691" w14:textId="5E073B69" w:rsidR="00AC3BD0" w:rsidRPr="00843214" w:rsidRDefault="001C5D1E" w:rsidP="00AC3BD0">
      <w:pPr>
        <w:rPr>
          <w:color w:val="auto"/>
          <w:lang w:val="en-AU"/>
        </w:rPr>
      </w:pPr>
      <w:r w:rsidRPr="00843214">
        <w:rPr>
          <w:color w:val="auto"/>
          <w:lang w:val="en-AU"/>
        </w:rPr>
        <w:t>The review used an open and consultative approach with the DFAT-UN Women review reference group</w:t>
      </w:r>
      <w:r w:rsidR="00661B3D" w:rsidRPr="00843214">
        <w:rPr>
          <w:color w:val="auto"/>
          <w:lang w:val="en-AU"/>
        </w:rPr>
        <w:t xml:space="preserve">, engaging with them throughout the review process while retaining independence. </w:t>
      </w:r>
      <w:r w:rsidR="00AC3BD0" w:rsidRPr="00843214">
        <w:rPr>
          <w:color w:val="auto"/>
          <w:lang w:val="en-AU"/>
        </w:rPr>
        <w:t>Following data collection</w:t>
      </w:r>
      <w:r w:rsidR="00BB1C5A" w:rsidRPr="00843214">
        <w:rPr>
          <w:color w:val="auto"/>
          <w:lang w:val="en-AU"/>
        </w:rPr>
        <w:t xml:space="preserve"> and analysis,</w:t>
      </w:r>
      <w:r w:rsidR="00AC3BD0" w:rsidRPr="00843214">
        <w:rPr>
          <w:color w:val="auto"/>
          <w:lang w:val="en-AU"/>
        </w:rPr>
        <w:t xml:space="preserve"> </w:t>
      </w:r>
      <w:r w:rsidR="00FE2723" w:rsidRPr="00843214">
        <w:rPr>
          <w:color w:val="auto"/>
          <w:lang w:val="en-AU"/>
        </w:rPr>
        <w:t>key internal UN Women and DFAT stakeholders review</w:t>
      </w:r>
      <w:r w:rsidR="00754F71" w:rsidRPr="00843214">
        <w:rPr>
          <w:color w:val="auto"/>
          <w:lang w:val="en-AU"/>
        </w:rPr>
        <w:t>ed</w:t>
      </w:r>
      <w:r w:rsidR="00FE2723" w:rsidRPr="00843214">
        <w:rPr>
          <w:color w:val="auto"/>
          <w:lang w:val="en-AU"/>
        </w:rPr>
        <w:t xml:space="preserve"> and respond</w:t>
      </w:r>
      <w:r w:rsidR="00754F71" w:rsidRPr="00843214">
        <w:rPr>
          <w:color w:val="auto"/>
          <w:lang w:val="en-AU"/>
        </w:rPr>
        <w:t>ed</w:t>
      </w:r>
      <w:r w:rsidR="00FE2723" w:rsidRPr="00843214">
        <w:rPr>
          <w:color w:val="auto"/>
          <w:lang w:val="en-AU"/>
        </w:rPr>
        <w:t xml:space="preserve"> to </w:t>
      </w:r>
      <w:r w:rsidR="00AC3BD0" w:rsidRPr="00843214">
        <w:rPr>
          <w:color w:val="auto"/>
          <w:lang w:val="en-AU"/>
        </w:rPr>
        <w:t xml:space="preserve">a high-level summary of key findings (document and meeting) to ensure robustness of the findings and of the eventual conclusions and recommendations. </w:t>
      </w:r>
      <w:r w:rsidR="006811D4" w:rsidRPr="00843214">
        <w:rPr>
          <w:color w:val="auto"/>
          <w:lang w:val="en-AU"/>
        </w:rPr>
        <w:t>The draft report was then reviewed</w:t>
      </w:r>
      <w:r w:rsidR="00E45438" w:rsidRPr="00843214">
        <w:rPr>
          <w:color w:val="auto"/>
          <w:lang w:val="en-AU"/>
        </w:rPr>
        <w:t xml:space="preserve"> by key</w:t>
      </w:r>
      <w:r w:rsidR="006811D4" w:rsidRPr="00843214">
        <w:rPr>
          <w:color w:val="auto"/>
          <w:lang w:val="en-AU"/>
        </w:rPr>
        <w:t xml:space="preserve"> internal </w:t>
      </w:r>
      <w:r w:rsidR="00E45438" w:rsidRPr="00843214">
        <w:rPr>
          <w:color w:val="auto"/>
          <w:lang w:val="en-AU"/>
        </w:rPr>
        <w:t xml:space="preserve">UN Women and </w:t>
      </w:r>
      <w:r w:rsidR="006811D4" w:rsidRPr="00843214">
        <w:rPr>
          <w:color w:val="auto"/>
          <w:lang w:val="en-AU"/>
        </w:rPr>
        <w:t xml:space="preserve">DFAT stakeholders </w:t>
      </w:r>
      <w:r w:rsidR="00CE4F05" w:rsidRPr="00843214">
        <w:rPr>
          <w:color w:val="auto"/>
          <w:lang w:val="en-AU"/>
        </w:rPr>
        <w:t>bef</w:t>
      </w:r>
      <w:r w:rsidR="006811D4" w:rsidRPr="00843214">
        <w:rPr>
          <w:color w:val="auto"/>
          <w:lang w:val="en-AU"/>
        </w:rPr>
        <w:t xml:space="preserve">ore submission of the final report. </w:t>
      </w:r>
    </w:p>
    <w:p w14:paraId="7951E37B" w14:textId="141C48E5" w:rsidR="00543DB8" w:rsidRPr="00843214" w:rsidRDefault="00147C35" w:rsidP="00BD5384">
      <w:pPr>
        <w:pStyle w:val="Heading2"/>
        <w:numPr>
          <w:ilvl w:val="0"/>
          <w:numId w:val="0"/>
        </w:numPr>
        <w:ind w:left="576" w:hanging="576"/>
        <w:rPr>
          <w:color w:val="auto"/>
          <w:lang w:eastAsia="en-GB"/>
        </w:rPr>
      </w:pPr>
      <w:bookmarkStart w:id="32" w:name="_Toc69376656"/>
      <w:r w:rsidRPr="00843214">
        <w:rPr>
          <w:color w:val="auto"/>
          <w:lang w:eastAsia="en-GB"/>
        </w:rPr>
        <w:t>Limitations</w:t>
      </w:r>
      <w:bookmarkEnd w:id="32"/>
    </w:p>
    <w:p w14:paraId="41D6DAB6" w14:textId="5DD44940" w:rsidR="000612A7" w:rsidRPr="00843214" w:rsidRDefault="000612A7" w:rsidP="000612A7">
      <w:pPr>
        <w:rPr>
          <w:color w:val="auto"/>
          <w:lang w:eastAsia="en-GB"/>
        </w:rPr>
      </w:pPr>
      <w:r w:rsidRPr="00843214">
        <w:rPr>
          <w:color w:val="auto"/>
          <w:lang w:eastAsia="en-GB"/>
        </w:rPr>
        <w:t>The breadth and depth of the Review is limited by the number of input days (28) and relatively short duration (approximately 14 weeks including three review periods).</w:t>
      </w:r>
    </w:p>
    <w:p w14:paraId="41EB03D6" w14:textId="61FB1A01" w:rsidR="000612A7" w:rsidRPr="00843214" w:rsidRDefault="000612A7" w:rsidP="000612A7">
      <w:pPr>
        <w:rPr>
          <w:color w:val="auto"/>
        </w:rPr>
      </w:pPr>
      <w:r w:rsidRPr="00843214">
        <w:rPr>
          <w:color w:val="auto"/>
          <w:lang w:eastAsia="en-GB"/>
        </w:rPr>
        <w:t>The Review relies on performance data f</w:t>
      </w:r>
      <w:r w:rsidRPr="00843214">
        <w:rPr>
          <w:color w:val="auto"/>
        </w:rPr>
        <w:t xml:space="preserve">rom UN Women and DFAT, and </w:t>
      </w:r>
      <w:r w:rsidR="00661B3D" w:rsidRPr="00843214">
        <w:rPr>
          <w:color w:val="auto"/>
        </w:rPr>
        <w:t xml:space="preserve">a </w:t>
      </w:r>
      <w:r w:rsidRPr="00843214">
        <w:rPr>
          <w:color w:val="auto"/>
        </w:rPr>
        <w:t xml:space="preserve">purposive </w:t>
      </w:r>
      <w:r w:rsidR="00661B3D" w:rsidRPr="00843214">
        <w:rPr>
          <w:color w:val="auto"/>
        </w:rPr>
        <w:t xml:space="preserve">sample of </w:t>
      </w:r>
      <w:r w:rsidRPr="00843214">
        <w:rPr>
          <w:color w:val="auto"/>
        </w:rPr>
        <w:t xml:space="preserve">stakeholder interviews with DFAT and UN Women and a small number of associated agencies and external stakeholders. DFAT and UN Women staff supporting the Review joined internal </w:t>
      </w:r>
      <w:r w:rsidRPr="00843214">
        <w:rPr>
          <w:color w:val="auto"/>
        </w:rPr>
        <w:lastRenderedPageBreak/>
        <w:t>stakeholder meetings</w:t>
      </w:r>
      <w:r w:rsidR="00692EB5" w:rsidRPr="00843214">
        <w:rPr>
          <w:color w:val="auto"/>
        </w:rPr>
        <w:t xml:space="preserve"> for their respective agencies</w:t>
      </w:r>
      <w:r w:rsidRPr="00843214">
        <w:rPr>
          <w:color w:val="auto"/>
        </w:rPr>
        <w:t xml:space="preserve">. Where the Review sought the </w:t>
      </w:r>
      <w:r w:rsidR="00E972ED" w:rsidRPr="00843214">
        <w:rPr>
          <w:color w:val="auto"/>
        </w:rPr>
        <w:t>views</w:t>
      </w:r>
      <w:r w:rsidRPr="00843214">
        <w:rPr>
          <w:color w:val="auto"/>
        </w:rPr>
        <w:t xml:space="preserve"> of external stakeholders, with one ex</w:t>
      </w:r>
      <w:r w:rsidR="00E972ED" w:rsidRPr="00843214">
        <w:rPr>
          <w:color w:val="auto"/>
        </w:rPr>
        <w:t>ception (Partner Agencies for UN Women),</w:t>
      </w:r>
      <w:r w:rsidRPr="00843214">
        <w:rPr>
          <w:color w:val="auto"/>
        </w:rPr>
        <w:t xml:space="preserve"> DFAT and UN Women staff did not attend</w:t>
      </w:r>
      <w:r w:rsidR="00E972ED" w:rsidRPr="00843214">
        <w:rPr>
          <w:color w:val="auto"/>
        </w:rPr>
        <w:t xml:space="preserve"> to </w:t>
      </w:r>
      <w:r w:rsidR="006811D4" w:rsidRPr="00843214">
        <w:rPr>
          <w:color w:val="auto"/>
        </w:rPr>
        <w:t>facilitate</w:t>
      </w:r>
      <w:r w:rsidR="00E972ED" w:rsidRPr="00843214">
        <w:rPr>
          <w:color w:val="auto"/>
        </w:rPr>
        <w:t xml:space="preserve"> candid responses</w:t>
      </w:r>
      <w:r w:rsidRPr="00843214">
        <w:rPr>
          <w:color w:val="auto"/>
        </w:rPr>
        <w:t xml:space="preserve">. </w:t>
      </w:r>
    </w:p>
    <w:p w14:paraId="26ED2A77" w14:textId="581012E5" w:rsidR="000612A7" w:rsidRPr="00843214" w:rsidRDefault="000612A7" w:rsidP="000612A7">
      <w:pPr>
        <w:spacing w:after="0"/>
        <w:rPr>
          <w:rFonts w:eastAsia="Times New Roman"/>
          <w:color w:val="auto"/>
        </w:rPr>
      </w:pPr>
      <w:r w:rsidRPr="00843214">
        <w:rPr>
          <w:rFonts w:eastAsia="Times New Roman"/>
          <w:color w:val="auto"/>
        </w:rPr>
        <w:t>The T</w:t>
      </w:r>
      <w:r w:rsidR="006923FD" w:rsidRPr="00843214">
        <w:rPr>
          <w:rFonts w:eastAsia="Times New Roman"/>
          <w:color w:val="auto"/>
        </w:rPr>
        <w:t>erms of Reference</w:t>
      </w:r>
      <w:r w:rsidRPr="00843214">
        <w:rPr>
          <w:rFonts w:eastAsia="Times New Roman"/>
          <w:color w:val="auto"/>
        </w:rPr>
        <w:t xml:space="preserve"> refer to</w:t>
      </w:r>
      <w:r w:rsidR="00FA6109" w:rsidRPr="00843214">
        <w:rPr>
          <w:rFonts w:eastAsia="Times New Roman"/>
          <w:color w:val="auto"/>
        </w:rPr>
        <w:t xml:space="preserve"> m</w:t>
      </w:r>
      <w:r w:rsidRPr="00843214">
        <w:rPr>
          <w:rFonts w:eastAsia="Times New Roman"/>
          <w:color w:val="auto"/>
        </w:rPr>
        <w:t>easur</w:t>
      </w:r>
      <w:r w:rsidR="00FA6109" w:rsidRPr="00843214">
        <w:rPr>
          <w:rFonts w:eastAsia="Times New Roman"/>
          <w:color w:val="auto"/>
        </w:rPr>
        <w:t>ing</w:t>
      </w:r>
      <w:r w:rsidRPr="00843214">
        <w:rPr>
          <w:rFonts w:eastAsia="Times New Roman"/>
          <w:color w:val="auto"/>
        </w:rPr>
        <w:t xml:space="preserve"> </w:t>
      </w:r>
      <w:r w:rsidR="00FA6109" w:rsidRPr="00843214">
        <w:rPr>
          <w:rFonts w:eastAsia="Times New Roman"/>
          <w:color w:val="auto"/>
        </w:rPr>
        <w:t xml:space="preserve">partnership </w:t>
      </w:r>
      <w:r w:rsidRPr="00843214">
        <w:rPr>
          <w:rFonts w:eastAsia="Times New Roman"/>
          <w:color w:val="auto"/>
        </w:rPr>
        <w:t>result</w:t>
      </w:r>
      <w:r w:rsidR="00FA6109" w:rsidRPr="00843214">
        <w:rPr>
          <w:rFonts w:eastAsia="Times New Roman"/>
          <w:color w:val="auto"/>
        </w:rPr>
        <w:t>s</w:t>
      </w:r>
      <w:r w:rsidRPr="00843214">
        <w:rPr>
          <w:rFonts w:eastAsia="Times New Roman"/>
          <w:color w:val="auto"/>
        </w:rPr>
        <w:t>, its effectiveness and impact</w:t>
      </w:r>
      <w:r w:rsidR="00140665" w:rsidRPr="00843214">
        <w:rPr>
          <w:rFonts w:eastAsia="Times New Roman"/>
          <w:color w:val="auto"/>
        </w:rPr>
        <w:t>, whereas t</w:t>
      </w:r>
      <w:r w:rsidR="00E972ED" w:rsidRPr="00843214">
        <w:rPr>
          <w:rFonts w:eastAsia="Times New Roman"/>
          <w:color w:val="auto"/>
        </w:rPr>
        <w:t>he Review focused on effectivenes</w:t>
      </w:r>
      <w:r w:rsidR="006923FD" w:rsidRPr="00843214">
        <w:rPr>
          <w:rFonts w:eastAsia="Times New Roman"/>
          <w:color w:val="auto"/>
        </w:rPr>
        <w:t>s. Any r</w:t>
      </w:r>
      <w:r w:rsidR="00E972ED" w:rsidRPr="00843214">
        <w:rPr>
          <w:rFonts w:eastAsia="Times New Roman"/>
          <w:color w:val="auto"/>
        </w:rPr>
        <w:t xml:space="preserve">eporting of </w:t>
      </w:r>
      <w:r w:rsidRPr="00843214">
        <w:rPr>
          <w:rFonts w:eastAsia="Times New Roman"/>
          <w:color w:val="auto"/>
        </w:rPr>
        <w:t>impa</w:t>
      </w:r>
      <w:r w:rsidR="00E972ED" w:rsidRPr="00843214">
        <w:rPr>
          <w:rFonts w:eastAsia="Times New Roman"/>
          <w:color w:val="auto"/>
        </w:rPr>
        <w:t>ct is</w:t>
      </w:r>
      <w:r w:rsidRPr="00843214">
        <w:rPr>
          <w:rFonts w:eastAsia="Times New Roman"/>
          <w:color w:val="auto"/>
        </w:rPr>
        <w:t xml:space="preserve"> based upon UN</w:t>
      </w:r>
      <w:r w:rsidR="00D44E73" w:rsidRPr="00843214">
        <w:rPr>
          <w:rFonts w:eastAsia="Times New Roman"/>
          <w:color w:val="auto"/>
        </w:rPr>
        <w:t xml:space="preserve"> </w:t>
      </w:r>
      <w:r w:rsidRPr="00843214">
        <w:rPr>
          <w:rFonts w:eastAsia="Times New Roman"/>
          <w:color w:val="auto"/>
        </w:rPr>
        <w:t>W</w:t>
      </w:r>
      <w:r w:rsidR="00D44E73" w:rsidRPr="00843214">
        <w:rPr>
          <w:rFonts w:eastAsia="Times New Roman"/>
          <w:color w:val="auto"/>
        </w:rPr>
        <w:t>omen</w:t>
      </w:r>
      <w:r w:rsidRPr="00843214">
        <w:rPr>
          <w:rFonts w:eastAsia="Times New Roman"/>
          <w:color w:val="auto"/>
        </w:rPr>
        <w:t xml:space="preserve"> and DFAT reporting. Where possible, the review identif</w:t>
      </w:r>
      <w:r w:rsidR="003660CA" w:rsidRPr="00843214">
        <w:rPr>
          <w:rFonts w:eastAsia="Times New Roman"/>
          <w:color w:val="auto"/>
        </w:rPr>
        <w:t>ies</w:t>
      </w:r>
      <w:r w:rsidRPr="00843214">
        <w:rPr>
          <w:rFonts w:eastAsia="Times New Roman"/>
          <w:color w:val="auto"/>
        </w:rPr>
        <w:t xml:space="preserve"> the Partnership’s contribution to sustainable programmatic and normative results. </w:t>
      </w:r>
    </w:p>
    <w:p w14:paraId="3D378C7D" w14:textId="3DA12DF4" w:rsidR="00AC3BD0" w:rsidRPr="00843214" w:rsidRDefault="00BA1D03" w:rsidP="00843214">
      <w:pPr>
        <w:pStyle w:val="Heading1"/>
      </w:pPr>
      <w:bookmarkStart w:id="33" w:name="_Toc69376657"/>
      <w:r w:rsidRPr="00843214">
        <w:t>Findings</w:t>
      </w:r>
      <w:bookmarkEnd w:id="33"/>
    </w:p>
    <w:p w14:paraId="67953BD2" w14:textId="5A95DD0B" w:rsidR="00AC3BD0" w:rsidRPr="00843214" w:rsidRDefault="00AC3BD0" w:rsidP="00AC3BD0">
      <w:pPr>
        <w:pStyle w:val="Heading2"/>
        <w:rPr>
          <w:color w:val="auto"/>
          <w:lang w:val="en-AU"/>
        </w:rPr>
      </w:pPr>
      <w:bookmarkStart w:id="34" w:name="_Toc69376658"/>
      <w:r w:rsidRPr="00843214">
        <w:rPr>
          <w:color w:val="auto"/>
          <w:lang w:val="en-AU"/>
        </w:rPr>
        <w:t>Effectiveness of the Partnership 2016-2021</w:t>
      </w:r>
      <w:bookmarkEnd w:id="34"/>
    </w:p>
    <w:p w14:paraId="6324E4A4" w14:textId="16447C2A" w:rsidR="00AC3BD0" w:rsidRPr="00843214" w:rsidRDefault="00AC3BD0" w:rsidP="00AC3BD0">
      <w:pPr>
        <w:pStyle w:val="Heading3"/>
        <w:rPr>
          <w:color w:val="auto"/>
          <w:lang w:val="en-AU"/>
        </w:rPr>
      </w:pPr>
      <w:bookmarkStart w:id="35" w:name="_Ref66555579"/>
      <w:bookmarkStart w:id="36" w:name="_Ref66612289"/>
      <w:bookmarkStart w:id="37" w:name="_Ref66612318"/>
      <w:bookmarkStart w:id="38" w:name="_Ref66612493"/>
      <w:bookmarkStart w:id="39" w:name="_Ref66612693"/>
      <w:bookmarkStart w:id="40" w:name="_Toc69376659"/>
      <w:r w:rsidRPr="00843214">
        <w:rPr>
          <w:color w:val="auto"/>
          <w:lang w:val="en-AU"/>
        </w:rPr>
        <w:t>Progress against the nine shared objectives</w:t>
      </w:r>
      <w:bookmarkEnd w:id="35"/>
      <w:bookmarkEnd w:id="36"/>
      <w:bookmarkEnd w:id="37"/>
      <w:bookmarkEnd w:id="38"/>
      <w:bookmarkEnd w:id="39"/>
      <w:r w:rsidR="00405A1F" w:rsidRPr="00843214">
        <w:rPr>
          <w:color w:val="auto"/>
          <w:lang w:val="en-AU"/>
        </w:rPr>
        <w:t xml:space="preserve"> of the SPF</w:t>
      </w:r>
      <w:bookmarkEnd w:id="40"/>
    </w:p>
    <w:tbl>
      <w:tblPr>
        <w:tblStyle w:val="IODPARCblanktable1"/>
        <w:tblpPr w:leftFromText="180" w:rightFromText="180" w:vertAnchor="text" w:horzAnchor="margin" w:tblpXSpec="right" w:tblpY="672"/>
        <w:tblW w:w="0" w:type="auto"/>
        <w:tblBorders>
          <w:top w:val="single" w:sz="4" w:space="0" w:color="A50050" w:themeColor="accent3"/>
          <w:left w:val="single" w:sz="4" w:space="0" w:color="A50050" w:themeColor="accent3"/>
          <w:bottom w:val="single" w:sz="4" w:space="0" w:color="A50050" w:themeColor="accent3"/>
          <w:right w:val="single" w:sz="4" w:space="0" w:color="A50050" w:themeColor="accent3"/>
          <w:insideH w:val="single" w:sz="4" w:space="0" w:color="A50050" w:themeColor="accent3"/>
          <w:insideV w:val="single" w:sz="4" w:space="0" w:color="A50050" w:themeColor="accent3"/>
        </w:tblBorders>
        <w:tblLook w:val="04A0" w:firstRow="1" w:lastRow="0" w:firstColumn="1" w:lastColumn="0" w:noHBand="0" w:noVBand="1"/>
      </w:tblPr>
      <w:tblGrid>
        <w:gridCol w:w="222"/>
        <w:gridCol w:w="4314"/>
      </w:tblGrid>
      <w:tr w:rsidR="00843214" w:rsidRPr="00843214" w14:paraId="37B4A016" w14:textId="77777777" w:rsidTr="00DC33AA">
        <w:trPr>
          <w:trHeight w:hRule="exact" w:val="280"/>
        </w:trPr>
        <w:tc>
          <w:tcPr>
            <w:tcW w:w="4536" w:type="dxa"/>
            <w:gridSpan w:val="2"/>
            <w:shd w:val="clear" w:color="auto" w:fill="auto"/>
          </w:tcPr>
          <w:p w14:paraId="6E57C1D9" w14:textId="77777777" w:rsidR="00DC33AA" w:rsidRPr="00843214" w:rsidRDefault="00DC33AA" w:rsidP="00DC33AA">
            <w:pPr>
              <w:spacing w:after="200"/>
              <w:ind w:right="-80"/>
              <w:rPr>
                <w:b/>
                <w:bCs/>
                <w:i/>
                <w:iCs/>
                <w:sz w:val="18"/>
                <w:szCs w:val="18"/>
                <w:lang w:val="en-AU"/>
              </w:rPr>
            </w:pPr>
            <w:r w:rsidRPr="00843214">
              <w:rPr>
                <w:b/>
                <w:bCs/>
                <w:i/>
                <w:iCs/>
                <w:sz w:val="18"/>
                <w:szCs w:val="18"/>
                <w:lang w:val="en-AU"/>
              </w:rPr>
              <w:t>Rating Scale</w:t>
            </w:r>
          </w:p>
        </w:tc>
      </w:tr>
      <w:tr w:rsidR="00843214" w:rsidRPr="00843214" w14:paraId="1D3CB266" w14:textId="77777777" w:rsidTr="00DC33AA">
        <w:trPr>
          <w:trHeight w:hRule="exact" w:val="426"/>
        </w:trPr>
        <w:tc>
          <w:tcPr>
            <w:tcW w:w="0" w:type="auto"/>
            <w:shd w:val="clear" w:color="auto" w:fill="92D050"/>
          </w:tcPr>
          <w:p w14:paraId="276E4861" w14:textId="77777777" w:rsidR="00DC33AA" w:rsidRPr="00843214" w:rsidRDefault="00DC33AA" w:rsidP="00DC33AA">
            <w:pPr>
              <w:spacing w:after="200"/>
              <w:rPr>
                <w:i/>
                <w:iCs/>
                <w:sz w:val="18"/>
                <w:szCs w:val="18"/>
                <w:lang w:val="en-AU"/>
              </w:rPr>
            </w:pPr>
          </w:p>
        </w:tc>
        <w:tc>
          <w:tcPr>
            <w:tcW w:w="4314" w:type="dxa"/>
          </w:tcPr>
          <w:p w14:paraId="4CDB89A7" w14:textId="77777777" w:rsidR="00DC33AA" w:rsidRPr="00843214" w:rsidRDefault="00DC33AA" w:rsidP="00DC33AA">
            <w:pPr>
              <w:spacing w:after="200"/>
              <w:ind w:right="-80"/>
              <w:rPr>
                <w:i/>
                <w:iCs/>
                <w:sz w:val="18"/>
                <w:szCs w:val="18"/>
                <w:lang w:val="en-AU"/>
              </w:rPr>
            </w:pPr>
            <w:r w:rsidRPr="00843214">
              <w:rPr>
                <w:i/>
                <w:iCs/>
                <w:sz w:val="18"/>
                <w:szCs w:val="18"/>
                <w:lang w:val="en-AU"/>
              </w:rPr>
              <w:t>Progress as expected and likely that the objective will be achieve with current partnership practices</w:t>
            </w:r>
          </w:p>
        </w:tc>
      </w:tr>
      <w:tr w:rsidR="00843214" w:rsidRPr="00843214" w14:paraId="0315EA05" w14:textId="77777777" w:rsidTr="00DC33AA">
        <w:trPr>
          <w:trHeight w:hRule="exact" w:val="412"/>
        </w:trPr>
        <w:tc>
          <w:tcPr>
            <w:tcW w:w="0" w:type="auto"/>
            <w:shd w:val="clear" w:color="auto" w:fill="FFC000"/>
          </w:tcPr>
          <w:p w14:paraId="3C94A7A8" w14:textId="77777777" w:rsidR="00DC33AA" w:rsidRPr="00843214" w:rsidRDefault="00DC33AA" w:rsidP="00DC33AA">
            <w:pPr>
              <w:spacing w:after="200"/>
              <w:rPr>
                <w:i/>
                <w:iCs/>
                <w:sz w:val="18"/>
                <w:szCs w:val="18"/>
                <w:lang w:val="en-AU"/>
              </w:rPr>
            </w:pPr>
          </w:p>
        </w:tc>
        <w:tc>
          <w:tcPr>
            <w:tcW w:w="4314" w:type="dxa"/>
          </w:tcPr>
          <w:p w14:paraId="2DF09F24" w14:textId="77777777" w:rsidR="00DC33AA" w:rsidRPr="00843214" w:rsidRDefault="00DC33AA" w:rsidP="00DC33AA">
            <w:pPr>
              <w:spacing w:after="200"/>
              <w:rPr>
                <w:i/>
                <w:iCs/>
                <w:sz w:val="18"/>
                <w:szCs w:val="18"/>
                <w:lang w:val="en-AU"/>
              </w:rPr>
            </w:pPr>
            <w:r w:rsidRPr="00843214">
              <w:rPr>
                <w:i/>
                <w:iCs/>
                <w:sz w:val="18"/>
                <w:szCs w:val="18"/>
                <w:lang w:val="en-AU"/>
              </w:rPr>
              <w:t>Progress somewhat less than expected and actions are needed to achieve the objective</w:t>
            </w:r>
          </w:p>
        </w:tc>
      </w:tr>
      <w:tr w:rsidR="00843214" w:rsidRPr="00843214" w14:paraId="13B40397" w14:textId="77777777" w:rsidTr="00DC33AA">
        <w:trPr>
          <w:trHeight w:hRule="exact" w:val="449"/>
        </w:trPr>
        <w:tc>
          <w:tcPr>
            <w:tcW w:w="0" w:type="auto"/>
            <w:shd w:val="clear" w:color="auto" w:fill="FF0000"/>
          </w:tcPr>
          <w:p w14:paraId="7ABF6F4B" w14:textId="77777777" w:rsidR="00DC33AA" w:rsidRPr="00843214" w:rsidRDefault="00DC33AA" w:rsidP="00DC33AA">
            <w:pPr>
              <w:spacing w:after="200"/>
              <w:rPr>
                <w:i/>
                <w:iCs/>
                <w:sz w:val="18"/>
                <w:szCs w:val="18"/>
                <w:lang w:val="en-AU"/>
              </w:rPr>
            </w:pPr>
          </w:p>
        </w:tc>
        <w:tc>
          <w:tcPr>
            <w:tcW w:w="4314" w:type="dxa"/>
          </w:tcPr>
          <w:p w14:paraId="1D1D9A45" w14:textId="77777777" w:rsidR="00DC33AA" w:rsidRPr="00843214" w:rsidRDefault="00DC33AA" w:rsidP="00DC33AA">
            <w:pPr>
              <w:spacing w:after="200"/>
              <w:rPr>
                <w:i/>
                <w:iCs/>
                <w:sz w:val="18"/>
                <w:szCs w:val="18"/>
                <w:lang w:val="en-AU"/>
              </w:rPr>
            </w:pPr>
            <w:r w:rsidRPr="00843214">
              <w:rPr>
                <w:i/>
                <w:iCs/>
                <w:sz w:val="18"/>
                <w:szCs w:val="18"/>
                <w:lang w:val="en-AU"/>
              </w:rPr>
              <w:t xml:space="preserve">Progress significantly less than expected and the objective is not likely to be met. </w:t>
            </w:r>
          </w:p>
        </w:tc>
      </w:tr>
    </w:tbl>
    <w:p w14:paraId="0E30E07D" w14:textId="2CF95DAF" w:rsidR="00175366" w:rsidRPr="00843214" w:rsidRDefault="00AC3BD0" w:rsidP="00175366">
      <w:pPr>
        <w:rPr>
          <w:color w:val="auto"/>
          <w:lang w:val="en-AU"/>
        </w:rPr>
      </w:pPr>
      <w:r w:rsidRPr="00843214">
        <w:rPr>
          <w:rStyle w:val="IODPARCbulletsChar"/>
          <w:b/>
          <w:bCs/>
          <w:color w:val="auto"/>
          <w:lang w:val="en-AU"/>
        </w:rPr>
        <w:t xml:space="preserve">Overall, </w:t>
      </w:r>
      <w:bookmarkStart w:id="41" w:name="_Hlk67577005"/>
      <w:r w:rsidR="001C4F87" w:rsidRPr="00843214">
        <w:rPr>
          <w:rStyle w:val="IODPARCbulletsChar"/>
          <w:b/>
          <w:bCs/>
          <w:color w:val="auto"/>
          <w:lang w:val="en-AU"/>
        </w:rPr>
        <w:t>the Partnership</w:t>
      </w:r>
      <w:r w:rsidRPr="00843214">
        <w:rPr>
          <w:rStyle w:val="IODPARCbulletsChar"/>
          <w:b/>
          <w:bCs/>
          <w:color w:val="auto"/>
          <w:lang w:val="en-AU"/>
        </w:rPr>
        <w:t xml:space="preserve"> effectively supports UN Women’s triple mandate </w:t>
      </w:r>
      <w:r w:rsidR="006E14FE" w:rsidRPr="00843214">
        <w:rPr>
          <w:rStyle w:val="IODPARCbulletsChar"/>
          <w:b/>
          <w:bCs/>
          <w:color w:val="auto"/>
          <w:lang w:val="en-AU"/>
        </w:rPr>
        <w:t>and has achieved important gains for advancing gender equality, the empowerment of women globally and specifically in the Indo</w:t>
      </w:r>
      <w:r w:rsidR="009E1843" w:rsidRPr="00843214">
        <w:rPr>
          <w:rStyle w:val="IODPARCbulletsChar"/>
          <w:b/>
          <w:bCs/>
          <w:color w:val="auto"/>
          <w:lang w:val="en-AU"/>
        </w:rPr>
        <w:t>-</w:t>
      </w:r>
      <w:r w:rsidR="006E14FE" w:rsidRPr="00843214">
        <w:rPr>
          <w:rStyle w:val="IODPARCbulletsChar"/>
          <w:b/>
          <w:bCs/>
          <w:color w:val="auto"/>
          <w:lang w:val="en-AU"/>
        </w:rPr>
        <w:t>Pacific</w:t>
      </w:r>
      <w:r w:rsidRPr="00843214">
        <w:rPr>
          <w:rStyle w:val="IODPARCbulletsChar"/>
          <w:color w:val="auto"/>
          <w:lang w:val="en-AU"/>
        </w:rPr>
        <w:t>.</w:t>
      </w:r>
      <w:r w:rsidRPr="00843214">
        <w:rPr>
          <w:color w:val="auto"/>
          <w:lang w:val="en-AU"/>
        </w:rPr>
        <w:t xml:space="preserve"> </w:t>
      </w:r>
      <w:bookmarkEnd w:id="41"/>
      <w:r w:rsidR="00175366" w:rsidRPr="00843214">
        <w:rPr>
          <w:color w:val="auto"/>
          <w:lang w:val="en-AU"/>
        </w:rPr>
        <w:t>Progress against each of the nine SPF shared objectives and sub-objectives is summarised below with an indicative rating as described in the adjacent Rating Scale table.</w:t>
      </w:r>
    </w:p>
    <w:p w14:paraId="04ED7C72" w14:textId="011D9565" w:rsidR="00D645F9" w:rsidRPr="00843214" w:rsidRDefault="00DC33AA" w:rsidP="005D3221">
      <w:pPr>
        <w:rPr>
          <w:color w:val="auto"/>
          <w:lang w:val="en-AU"/>
        </w:rPr>
      </w:pPr>
      <w:r w:rsidRPr="00843214">
        <w:rPr>
          <w:color w:val="auto"/>
          <w:lang w:val="en-AU"/>
        </w:rPr>
        <w:t xml:space="preserve">DFAT’s core contribution to UN Women under the SPF has enabled UN Women to deliver its programmatic, normative and coordination function globally and at the regional level, however </w:t>
      </w:r>
      <w:r w:rsidRPr="00843214">
        <w:rPr>
          <w:color w:val="auto"/>
        </w:rPr>
        <w:t xml:space="preserve">to date is has been challenging to map out the many layers of results achieved through core funding (see Section 1.3.4 Funding) </w:t>
      </w:r>
      <w:r w:rsidRPr="00843214">
        <w:rPr>
          <w:color w:val="auto"/>
          <w:lang w:val="en-AU"/>
        </w:rPr>
        <w:t xml:space="preserve">DFAT’s project specific (non-core) support (see Annex 4 for </w:t>
      </w:r>
      <w:r w:rsidR="00FD71AA" w:rsidRPr="00843214">
        <w:rPr>
          <w:color w:val="auto"/>
          <w:lang w:val="en-AU"/>
        </w:rPr>
        <w:t xml:space="preserve">a </w:t>
      </w:r>
      <w:r w:rsidRPr="00843214">
        <w:rPr>
          <w:color w:val="auto"/>
          <w:lang w:val="en-AU"/>
        </w:rPr>
        <w:t>list of recent projects) has been foundational to supporting global funds managed by UN Women and has allowed UN Women and DFAT to focus on thematic issues and achieve visible project results for women and girls in the Indo-Pacific Region.</w:t>
      </w:r>
    </w:p>
    <w:p w14:paraId="4C44DFBD" w14:textId="621DC127" w:rsidR="00467D78" w:rsidRPr="00843214" w:rsidRDefault="00467D78" w:rsidP="00D645F9">
      <w:pPr>
        <w:pStyle w:val="Heading4"/>
        <w:rPr>
          <w:b/>
          <w:bCs/>
          <w:color w:val="auto"/>
          <w:sz w:val="25"/>
          <w:szCs w:val="32"/>
          <w:lang w:val="en-AU"/>
        </w:rPr>
      </w:pPr>
      <w:r w:rsidRPr="00843214">
        <w:rPr>
          <w:b/>
          <w:bCs/>
          <w:color w:val="auto"/>
          <w:sz w:val="25"/>
          <w:szCs w:val="32"/>
          <w:lang w:val="en-AU"/>
        </w:rPr>
        <w:t>Objective 1: Performance</w:t>
      </w:r>
    </w:p>
    <w:tbl>
      <w:tblPr>
        <w:tblStyle w:val="TableGridLight"/>
        <w:tblW w:w="5000" w:type="pct"/>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4776"/>
        <w:gridCol w:w="776"/>
        <w:gridCol w:w="3454"/>
      </w:tblGrid>
      <w:tr w:rsidR="00843214" w:rsidRPr="00843214" w14:paraId="7BD072A2" w14:textId="5EA4EF50" w:rsidTr="00C00F20">
        <w:trPr>
          <w:trHeight w:val="83"/>
        </w:trPr>
        <w:tc>
          <w:tcPr>
            <w:tcW w:w="2749" w:type="pct"/>
            <w:shd w:val="clear" w:color="auto" w:fill="auto"/>
          </w:tcPr>
          <w:p w14:paraId="527FA156" w14:textId="727A4291" w:rsidR="00053CFE" w:rsidRPr="00843214" w:rsidRDefault="00053CFE" w:rsidP="000B351A">
            <w:pPr>
              <w:spacing w:after="0"/>
              <w:rPr>
                <w:rFonts w:cstheme="minorHAnsi"/>
                <w:b/>
                <w:bCs/>
                <w:color w:val="auto"/>
                <w:sz w:val="18"/>
                <w:szCs w:val="18"/>
                <w:lang w:val="en-AU"/>
              </w:rPr>
            </w:pPr>
            <w:r w:rsidRPr="00843214">
              <w:rPr>
                <w:rFonts w:cstheme="minorHAnsi"/>
                <w:b/>
                <w:bCs/>
                <w:color w:val="auto"/>
                <w:sz w:val="18"/>
                <w:szCs w:val="18"/>
                <w:lang w:val="en-AU"/>
              </w:rPr>
              <w:t>SPF objective and sub-objectives</w:t>
            </w:r>
            <w:r w:rsidRPr="00843214" w:rsidDel="00053CFE">
              <w:rPr>
                <w:rFonts w:cstheme="minorHAnsi"/>
                <w:b/>
                <w:bCs/>
                <w:color w:val="auto"/>
                <w:sz w:val="18"/>
                <w:szCs w:val="18"/>
                <w:lang w:val="en-AU"/>
              </w:rPr>
              <w:t xml:space="preserve"> </w:t>
            </w:r>
          </w:p>
        </w:tc>
        <w:tc>
          <w:tcPr>
            <w:tcW w:w="236" w:type="pct"/>
            <w:shd w:val="clear" w:color="auto" w:fill="92D050"/>
          </w:tcPr>
          <w:p w14:paraId="67E582A1" w14:textId="38ED3D95" w:rsidR="00053CFE" w:rsidRPr="00843214" w:rsidRDefault="00053CFE" w:rsidP="00B31ABE">
            <w:pPr>
              <w:spacing w:after="0"/>
              <w:rPr>
                <w:b/>
                <w:bCs/>
                <w:color w:val="auto"/>
                <w:sz w:val="18"/>
                <w:szCs w:val="18"/>
                <w:lang w:val="en-AU"/>
              </w:rPr>
            </w:pPr>
            <w:r w:rsidRPr="00843214">
              <w:rPr>
                <w:b/>
                <w:bCs/>
                <w:color w:val="auto"/>
                <w:sz w:val="18"/>
                <w:szCs w:val="18"/>
                <w:lang w:val="en-AU"/>
              </w:rPr>
              <w:t>Rating</w:t>
            </w:r>
          </w:p>
        </w:tc>
        <w:tc>
          <w:tcPr>
            <w:tcW w:w="2015" w:type="pct"/>
            <w:shd w:val="clear" w:color="auto" w:fill="FFFFFF" w:themeFill="background2"/>
          </w:tcPr>
          <w:p w14:paraId="787DAA46" w14:textId="6DCE34BE" w:rsidR="00053CFE" w:rsidRPr="00843214" w:rsidRDefault="00053CFE" w:rsidP="00B31ABE">
            <w:pPr>
              <w:spacing w:after="0"/>
              <w:rPr>
                <w:b/>
                <w:bCs/>
                <w:color w:val="auto"/>
                <w:sz w:val="18"/>
                <w:szCs w:val="18"/>
                <w:lang w:val="en-AU"/>
              </w:rPr>
            </w:pPr>
            <w:r w:rsidRPr="00843214">
              <w:rPr>
                <w:b/>
                <w:bCs/>
                <w:color w:val="auto"/>
                <w:sz w:val="18"/>
                <w:szCs w:val="18"/>
                <w:lang w:val="en-AU"/>
              </w:rPr>
              <w:t>Summary rationale for rating</w:t>
            </w:r>
          </w:p>
        </w:tc>
      </w:tr>
      <w:tr w:rsidR="00843214" w:rsidRPr="00843214" w14:paraId="3EA3A9BF" w14:textId="07FA33F2" w:rsidTr="00C00F20">
        <w:trPr>
          <w:trHeight w:val="1753"/>
        </w:trPr>
        <w:tc>
          <w:tcPr>
            <w:tcW w:w="2749" w:type="pct"/>
          </w:tcPr>
          <w:p w14:paraId="2F55C963" w14:textId="333BF6EA" w:rsidR="00053CFE" w:rsidRPr="00843214" w:rsidRDefault="00053CFE" w:rsidP="00053CFE">
            <w:pPr>
              <w:spacing w:after="0"/>
              <w:rPr>
                <w:rFonts w:cstheme="minorHAnsi"/>
                <w:color w:val="auto"/>
                <w:sz w:val="16"/>
                <w:szCs w:val="16"/>
                <w:lang w:val="en-AU"/>
              </w:rPr>
            </w:pPr>
            <w:r w:rsidRPr="00843214">
              <w:rPr>
                <w:rFonts w:cstheme="minorHAnsi"/>
                <w:b/>
                <w:bCs/>
                <w:color w:val="auto"/>
                <w:sz w:val="16"/>
                <w:szCs w:val="16"/>
                <w:lang w:val="en-AU"/>
              </w:rPr>
              <w:t>Performance</w:t>
            </w:r>
          </w:p>
          <w:p w14:paraId="0DB0ECA8" w14:textId="23131D3F" w:rsidR="00053CFE" w:rsidRPr="00843214" w:rsidRDefault="00053CFE" w:rsidP="00B31ABE">
            <w:pPr>
              <w:pStyle w:val="ListParagraph"/>
              <w:numPr>
                <w:ilvl w:val="0"/>
                <w:numId w:val="7"/>
              </w:numPr>
              <w:spacing w:after="0"/>
              <w:ind w:left="240" w:hanging="90"/>
              <w:rPr>
                <w:rFonts w:cstheme="minorHAnsi"/>
                <w:color w:val="auto"/>
                <w:sz w:val="16"/>
                <w:szCs w:val="16"/>
                <w:lang w:val="en-AU"/>
              </w:rPr>
            </w:pPr>
            <w:r w:rsidRPr="00843214">
              <w:rPr>
                <w:rFonts w:cstheme="minorHAnsi"/>
                <w:color w:val="auto"/>
                <w:sz w:val="16"/>
                <w:szCs w:val="16"/>
                <w:lang w:val="en-AU"/>
              </w:rPr>
              <w:t>Delivering timely gender-responsive programming and technical assistance in the Indo-Pacific and globally.</w:t>
            </w:r>
          </w:p>
          <w:p w14:paraId="5773AC77" w14:textId="77777777" w:rsidR="00053CFE" w:rsidRPr="00843214" w:rsidRDefault="00053CFE" w:rsidP="00B31ABE">
            <w:pPr>
              <w:pStyle w:val="ListParagraph"/>
              <w:numPr>
                <w:ilvl w:val="0"/>
                <w:numId w:val="7"/>
              </w:numPr>
              <w:spacing w:after="0"/>
              <w:ind w:left="240" w:hanging="90"/>
              <w:rPr>
                <w:rFonts w:cstheme="minorHAnsi"/>
                <w:color w:val="auto"/>
                <w:sz w:val="16"/>
                <w:szCs w:val="16"/>
                <w:lang w:val="en-AU"/>
              </w:rPr>
            </w:pPr>
            <w:r w:rsidRPr="00843214">
              <w:rPr>
                <w:rFonts w:cstheme="minorHAnsi"/>
                <w:color w:val="auto"/>
                <w:sz w:val="16"/>
                <w:szCs w:val="16"/>
                <w:lang w:val="en-AU"/>
              </w:rPr>
              <w:t>Coordinating with other UN Agencies at the headquarters, regional and country levels to avoid duplication and increase impact and maximise transformative change.</w:t>
            </w:r>
          </w:p>
          <w:p w14:paraId="0BAC3D5B" w14:textId="77777777" w:rsidR="00053CFE" w:rsidRPr="00843214" w:rsidRDefault="00053CFE" w:rsidP="00B31ABE">
            <w:pPr>
              <w:pStyle w:val="ListParagraph"/>
              <w:numPr>
                <w:ilvl w:val="0"/>
                <w:numId w:val="7"/>
              </w:numPr>
              <w:spacing w:after="0"/>
              <w:ind w:left="240" w:hanging="90"/>
              <w:rPr>
                <w:rFonts w:cstheme="minorHAnsi"/>
                <w:color w:val="auto"/>
                <w:sz w:val="16"/>
                <w:szCs w:val="16"/>
                <w:lang w:val="en-AU"/>
              </w:rPr>
            </w:pPr>
            <w:r w:rsidRPr="00843214">
              <w:rPr>
                <w:rFonts w:cstheme="minorHAnsi"/>
                <w:color w:val="auto"/>
                <w:sz w:val="16"/>
                <w:szCs w:val="16"/>
                <w:lang w:val="en-AU"/>
              </w:rPr>
              <w:t>Taking a strong risk management approach including to fiduciary, staff welfare and security related matters.</w:t>
            </w:r>
          </w:p>
          <w:p w14:paraId="69BA83A7" w14:textId="77777777" w:rsidR="00053CFE" w:rsidRPr="00843214" w:rsidRDefault="00053CFE" w:rsidP="00B31ABE">
            <w:pPr>
              <w:pStyle w:val="ListParagraph"/>
              <w:numPr>
                <w:ilvl w:val="0"/>
                <w:numId w:val="7"/>
              </w:numPr>
              <w:spacing w:after="0"/>
              <w:ind w:left="240" w:hanging="90"/>
              <w:rPr>
                <w:rFonts w:cstheme="minorHAnsi"/>
                <w:color w:val="auto"/>
                <w:sz w:val="16"/>
                <w:szCs w:val="16"/>
                <w:lang w:val="en-AU"/>
              </w:rPr>
            </w:pPr>
            <w:r w:rsidRPr="00843214">
              <w:rPr>
                <w:rFonts w:cstheme="minorHAnsi"/>
                <w:color w:val="auto"/>
                <w:sz w:val="16"/>
                <w:szCs w:val="16"/>
                <w:lang w:val="en-AU"/>
              </w:rPr>
              <w:t xml:space="preserve">Ensuring the visibility of Australia’s contributions; and </w:t>
            </w:r>
          </w:p>
          <w:p w14:paraId="29C3EC55" w14:textId="33599554" w:rsidR="00053CFE" w:rsidRPr="00843214" w:rsidRDefault="00053CFE" w:rsidP="00B31ABE">
            <w:pPr>
              <w:pStyle w:val="ListParagraph"/>
              <w:numPr>
                <w:ilvl w:val="0"/>
                <w:numId w:val="7"/>
              </w:numPr>
              <w:spacing w:after="0"/>
              <w:ind w:left="240" w:hanging="90"/>
              <w:rPr>
                <w:rFonts w:cstheme="minorHAnsi"/>
                <w:color w:val="auto"/>
                <w:sz w:val="16"/>
                <w:szCs w:val="16"/>
                <w:lang w:val="en-AU"/>
              </w:rPr>
            </w:pPr>
            <w:r w:rsidRPr="00843214">
              <w:rPr>
                <w:rFonts w:cstheme="minorHAnsi"/>
                <w:color w:val="auto"/>
                <w:sz w:val="16"/>
                <w:szCs w:val="16"/>
                <w:lang w:val="en-AU"/>
              </w:rPr>
              <w:t xml:space="preserve">Prioritising results-based management supported by robust M&amp;E and reporting systems that demonstrate impact, disaggregating by sex, </w:t>
            </w:r>
            <w:proofErr w:type="gramStart"/>
            <w:r w:rsidRPr="00843214">
              <w:rPr>
                <w:rFonts w:cstheme="minorHAnsi"/>
                <w:color w:val="auto"/>
                <w:sz w:val="16"/>
                <w:szCs w:val="16"/>
                <w:lang w:val="en-AU"/>
              </w:rPr>
              <w:t>age</w:t>
            </w:r>
            <w:proofErr w:type="gramEnd"/>
            <w:r w:rsidRPr="00843214">
              <w:rPr>
                <w:rFonts w:cstheme="minorHAnsi"/>
                <w:color w:val="auto"/>
                <w:sz w:val="16"/>
                <w:szCs w:val="16"/>
                <w:lang w:val="en-AU"/>
              </w:rPr>
              <w:t xml:space="preserve"> and disability</w:t>
            </w:r>
          </w:p>
        </w:tc>
        <w:tc>
          <w:tcPr>
            <w:tcW w:w="236" w:type="pct"/>
            <w:shd w:val="clear" w:color="auto" w:fill="92D050"/>
          </w:tcPr>
          <w:p w14:paraId="5C4E3066" w14:textId="05C7C36D" w:rsidR="00053CFE" w:rsidRPr="00843214" w:rsidRDefault="00053CFE" w:rsidP="00B31ABE">
            <w:pPr>
              <w:spacing w:after="0"/>
              <w:rPr>
                <w:color w:val="auto"/>
                <w:sz w:val="16"/>
                <w:szCs w:val="16"/>
                <w:lang w:val="en-AU"/>
              </w:rPr>
            </w:pPr>
          </w:p>
        </w:tc>
        <w:tc>
          <w:tcPr>
            <w:tcW w:w="2015" w:type="pct"/>
            <w:shd w:val="clear" w:color="auto" w:fill="FFFFFF" w:themeFill="background2"/>
          </w:tcPr>
          <w:p w14:paraId="24A78FC6" w14:textId="62274E9E" w:rsidR="00053CFE" w:rsidRPr="00843214" w:rsidRDefault="00053CFE" w:rsidP="00575D84">
            <w:pPr>
              <w:spacing w:after="0"/>
              <w:rPr>
                <w:color w:val="auto"/>
                <w:sz w:val="16"/>
                <w:szCs w:val="16"/>
                <w:lang w:val="en-AU"/>
              </w:rPr>
            </w:pPr>
            <w:r w:rsidRPr="00843214">
              <w:rPr>
                <w:color w:val="auto"/>
                <w:sz w:val="16"/>
                <w:szCs w:val="16"/>
                <w:lang w:val="en-AU"/>
              </w:rPr>
              <w:t xml:space="preserve">Generally good progress toward programme indicators with examples of effective programming in the Indo-Pacific. Examples of partnerships at </w:t>
            </w:r>
            <w:r w:rsidR="0073396E" w:rsidRPr="00843214">
              <w:rPr>
                <w:color w:val="auto"/>
                <w:sz w:val="16"/>
                <w:szCs w:val="16"/>
                <w:lang w:val="en-AU"/>
              </w:rPr>
              <w:t xml:space="preserve">UN Women New York </w:t>
            </w:r>
            <w:r w:rsidR="002517EF" w:rsidRPr="00843214">
              <w:rPr>
                <w:color w:val="auto"/>
                <w:sz w:val="16"/>
                <w:szCs w:val="16"/>
                <w:lang w:val="en-AU"/>
              </w:rPr>
              <w:t>HQ</w:t>
            </w:r>
            <w:r w:rsidRPr="00843214">
              <w:rPr>
                <w:color w:val="auto"/>
                <w:sz w:val="16"/>
                <w:szCs w:val="16"/>
                <w:lang w:val="en-AU"/>
              </w:rPr>
              <w:t xml:space="preserve"> and regional level with UN agencies which should be continued and expanded. Strong fiduciary, personnel, and security management. </w:t>
            </w:r>
            <w:r w:rsidR="00575D84" w:rsidRPr="00843214">
              <w:rPr>
                <w:color w:val="auto"/>
                <w:sz w:val="16"/>
                <w:szCs w:val="16"/>
                <w:lang w:val="en-AU"/>
              </w:rPr>
              <w:t>Though t</w:t>
            </w:r>
            <w:r w:rsidRPr="00843214">
              <w:rPr>
                <w:color w:val="auto"/>
                <w:sz w:val="16"/>
                <w:szCs w:val="16"/>
                <w:lang w:val="en-AU"/>
              </w:rPr>
              <w:t xml:space="preserve">here is a need for greater visibility of DFAT </w:t>
            </w:r>
            <w:r w:rsidR="00575D84" w:rsidRPr="00843214">
              <w:rPr>
                <w:color w:val="auto"/>
                <w:sz w:val="16"/>
                <w:szCs w:val="16"/>
                <w:lang w:val="en-AU"/>
              </w:rPr>
              <w:t xml:space="preserve">contributions under the SPF. </w:t>
            </w:r>
            <w:r w:rsidRPr="00843214">
              <w:rPr>
                <w:color w:val="auto"/>
                <w:sz w:val="16"/>
                <w:szCs w:val="16"/>
                <w:lang w:val="en-AU"/>
              </w:rPr>
              <w:t>R</w:t>
            </w:r>
            <w:r w:rsidR="004200F4" w:rsidRPr="00843214">
              <w:rPr>
                <w:color w:val="auto"/>
                <w:sz w:val="16"/>
                <w:szCs w:val="16"/>
                <w:lang w:val="en-AU"/>
              </w:rPr>
              <w:t>esults-based management</w:t>
            </w:r>
            <w:r w:rsidRPr="00843214">
              <w:rPr>
                <w:color w:val="auto"/>
                <w:sz w:val="16"/>
                <w:szCs w:val="16"/>
                <w:lang w:val="en-AU"/>
              </w:rPr>
              <w:t xml:space="preserve"> has continued to improve</w:t>
            </w:r>
            <w:r w:rsidR="00936B3A" w:rsidRPr="00843214">
              <w:rPr>
                <w:color w:val="auto"/>
                <w:sz w:val="16"/>
                <w:szCs w:val="16"/>
                <w:lang w:val="en-AU"/>
              </w:rPr>
              <w:t xml:space="preserve"> </w:t>
            </w:r>
            <w:r w:rsidRPr="00843214">
              <w:rPr>
                <w:color w:val="auto"/>
                <w:sz w:val="16"/>
                <w:szCs w:val="16"/>
                <w:lang w:val="en-AU"/>
              </w:rPr>
              <w:t>and although variable, is on track.</w:t>
            </w:r>
          </w:p>
        </w:tc>
      </w:tr>
    </w:tbl>
    <w:p w14:paraId="5521DB3B" w14:textId="2B7B0BE9" w:rsidR="00BD0467" w:rsidRPr="00843214" w:rsidRDefault="005B7B43" w:rsidP="004776FA">
      <w:pPr>
        <w:spacing w:before="240"/>
        <w:rPr>
          <w:color w:val="auto"/>
          <w:lang w:val="en-AU"/>
        </w:rPr>
      </w:pPr>
      <w:r w:rsidRPr="00843214">
        <w:rPr>
          <w:b/>
          <w:bCs/>
          <w:color w:val="auto"/>
          <w:lang w:val="en-AU"/>
        </w:rPr>
        <w:t>T</w:t>
      </w:r>
      <w:r w:rsidR="00467D78" w:rsidRPr="00843214">
        <w:rPr>
          <w:b/>
          <w:bCs/>
          <w:color w:val="auto"/>
          <w:lang w:val="en-AU"/>
        </w:rPr>
        <w:t xml:space="preserve">he Partnership has </w:t>
      </w:r>
      <w:r w:rsidR="009D2364" w:rsidRPr="00843214">
        <w:rPr>
          <w:b/>
          <w:bCs/>
          <w:color w:val="auto"/>
          <w:lang w:val="en-AU"/>
        </w:rPr>
        <w:t>made good progress</w:t>
      </w:r>
      <w:r w:rsidR="00467D78" w:rsidRPr="00843214">
        <w:rPr>
          <w:b/>
          <w:bCs/>
          <w:color w:val="auto"/>
          <w:lang w:val="en-AU"/>
        </w:rPr>
        <w:t xml:space="preserve"> toward </w:t>
      </w:r>
      <w:r w:rsidR="00E43E5D" w:rsidRPr="00843214">
        <w:rPr>
          <w:b/>
          <w:bCs/>
          <w:color w:val="auto"/>
          <w:lang w:val="en-AU"/>
        </w:rPr>
        <w:t>performance</w:t>
      </w:r>
      <w:r w:rsidR="008C10ED" w:rsidRPr="00843214">
        <w:rPr>
          <w:b/>
          <w:bCs/>
          <w:color w:val="auto"/>
          <w:lang w:val="en-AU"/>
        </w:rPr>
        <w:t xml:space="preserve"> </w:t>
      </w:r>
      <w:r w:rsidR="00467D78" w:rsidRPr="00843214">
        <w:rPr>
          <w:b/>
          <w:bCs/>
          <w:color w:val="auto"/>
          <w:lang w:val="en-AU"/>
        </w:rPr>
        <w:t>objectives</w:t>
      </w:r>
      <w:r w:rsidR="009D2364" w:rsidRPr="00843214">
        <w:rPr>
          <w:b/>
          <w:bCs/>
          <w:color w:val="auto"/>
          <w:lang w:val="en-AU"/>
        </w:rPr>
        <w:t>.</w:t>
      </w:r>
      <w:r w:rsidR="000777D8" w:rsidRPr="00843214">
        <w:rPr>
          <w:color w:val="auto"/>
          <w:lang w:val="en-AU"/>
        </w:rPr>
        <w:t xml:space="preserve"> </w:t>
      </w:r>
      <w:r w:rsidR="00467D78" w:rsidRPr="00843214">
        <w:rPr>
          <w:color w:val="auto"/>
          <w:lang w:val="en-AU"/>
        </w:rPr>
        <w:t>According to the M</w:t>
      </w:r>
      <w:r w:rsidR="0000798A" w:rsidRPr="00843214">
        <w:rPr>
          <w:color w:val="auto"/>
          <w:lang w:val="en-AU"/>
        </w:rPr>
        <w:t>id-</w:t>
      </w:r>
      <w:r w:rsidR="00467D78" w:rsidRPr="00843214">
        <w:rPr>
          <w:color w:val="auto"/>
          <w:lang w:val="en-AU"/>
        </w:rPr>
        <w:t>T</w:t>
      </w:r>
      <w:r w:rsidR="0000798A" w:rsidRPr="00843214">
        <w:rPr>
          <w:color w:val="auto"/>
          <w:lang w:val="en-AU"/>
        </w:rPr>
        <w:t xml:space="preserve">erm </w:t>
      </w:r>
      <w:r w:rsidR="00467D78" w:rsidRPr="00843214">
        <w:rPr>
          <w:color w:val="auto"/>
          <w:lang w:val="en-AU"/>
        </w:rPr>
        <w:t>R</w:t>
      </w:r>
      <w:r w:rsidR="0000798A" w:rsidRPr="00843214">
        <w:rPr>
          <w:color w:val="auto"/>
          <w:lang w:val="en-AU"/>
        </w:rPr>
        <w:t>eview</w:t>
      </w:r>
      <w:r w:rsidR="00936B3A" w:rsidRPr="00843214">
        <w:rPr>
          <w:color w:val="auto"/>
          <w:lang w:val="en-AU"/>
        </w:rPr>
        <w:t xml:space="preserve"> </w:t>
      </w:r>
      <w:r w:rsidR="00467D78" w:rsidRPr="00843214">
        <w:rPr>
          <w:color w:val="auto"/>
          <w:lang w:val="en-AU"/>
        </w:rPr>
        <w:t>of UN Women’s Strategic Plan, UN Women achieved good performance for 72 per cent of all assessable Strategic Plan indicators, including 74 per cent of development results milestones at the output level.</w:t>
      </w:r>
      <w:r w:rsidR="00B81453" w:rsidRPr="00843214">
        <w:rPr>
          <w:rStyle w:val="FootnoteReference"/>
          <w:color w:val="auto"/>
          <w:lang w:val="en-AU"/>
        </w:rPr>
        <w:footnoteReference w:id="10"/>
      </w:r>
      <w:r w:rsidR="007277AA" w:rsidRPr="00843214">
        <w:rPr>
          <w:color w:val="auto"/>
          <w:lang w:val="en-AU"/>
        </w:rPr>
        <w:t xml:space="preserve"> </w:t>
      </w:r>
      <w:r w:rsidR="00575D84" w:rsidRPr="00843214">
        <w:rPr>
          <w:color w:val="auto"/>
          <w:lang w:val="en-AU"/>
        </w:rPr>
        <w:t>UN Women’s Executive Board</w:t>
      </w:r>
      <w:r w:rsidR="00306ECA" w:rsidRPr="00843214">
        <w:rPr>
          <w:color w:val="auto"/>
          <w:lang w:val="en-AU"/>
        </w:rPr>
        <w:t xml:space="preserve"> has</w:t>
      </w:r>
      <w:r w:rsidR="00575D84" w:rsidRPr="00843214">
        <w:rPr>
          <w:color w:val="auto"/>
          <w:lang w:val="en-AU"/>
        </w:rPr>
        <w:t xml:space="preserve"> encouraged UN Women to consider lessons learned from two years of the implementation of their Strategic Plan 2018-21</w:t>
      </w:r>
      <w:r w:rsidR="00306ECA" w:rsidRPr="00843214">
        <w:rPr>
          <w:color w:val="auto"/>
          <w:lang w:val="en-AU"/>
        </w:rPr>
        <w:t xml:space="preserve">, </w:t>
      </w:r>
      <w:r w:rsidR="00575D84" w:rsidRPr="00843214">
        <w:rPr>
          <w:color w:val="auto"/>
          <w:lang w:val="en-AU"/>
        </w:rPr>
        <w:t xml:space="preserve">to improve progress towards achieving the partially met </w:t>
      </w:r>
      <w:r w:rsidR="00306ECA" w:rsidRPr="00843214">
        <w:rPr>
          <w:color w:val="auto"/>
          <w:lang w:val="en-AU"/>
        </w:rPr>
        <w:t xml:space="preserve">Strategic Plan </w:t>
      </w:r>
      <w:r w:rsidR="00575D84" w:rsidRPr="00843214">
        <w:rPr>
          <w:color w:val="auto"/>
          <w:lang w:val="en-AU"/>
        </w:rPr>
        <w:t>outputs and analyse targets that have been overachieved</w:t>
      </w:r>
      <w:r w:rsidR="00575D84" w:rsidRPr="00843214">
        <w:rPr>
          <w:rStyle w:val="FootnoteReference"/>
          <w:color w:val="auto"/>
          <w:lang w:val="en-AU"/>
        </w:rPr>
        <w:footnoteReference w:id="11"/>
      </w:r>
      <w:r w:rsidR="00575D84" w:rsidRPr="00843214">
        <w:rPr>
          <w:color w:val="auto"/>
          <w:lang w:val="en-AU"/>
        </w:rPr>
        <w:t>.</w:t>
      </w:r>
      <w:r w:rsidR="00832762" w:rsidRPr="00843214">
        <w:rPr>
          <w:color w:val="auto"/>
          <w:lang w:val="en-AU"/>
        </w:rPr>
        <w:t xml:space="preserve">DFAT </w:t>
      </w:r>
      <w:r w:rsidR="00DB6E6C" w:rsidRPr="00843214">
        <w:rPr>
          <w:color w:val="auto"/>
          <w:lang w:val="en-AU"/>
        </w:rPr>
        <w:t>Partner Performance Assessment (</w:t>
      </w:r>
      <w:r w:rsidR="00467D78" w:rsidRPr="00843214">
        <w:rPr>
          <w:color w:val="auto"/>
          <w:lang w:val="en-AU"/>
        </w:rPr>
        <w:t>PPA</w:t>
      </w:r>
      <w:r w:rsidR="00DB6E6C" w:rsidRPr="00843214">
        <w:rPr>
          <w:color w:val="auto"/>
          <w:lang w:val="en-AU"/>
        </w:rPr>
        <w:t>)</w:t>
      </w:r>
      <w:r w:rsidR="00467D78" w:rsidRPr="00843214">
        <w:rPr>
          <w:color w:val="auto"/>
          <w:lang w:val="en-AU"/>
        </w:rPr>
        <w:t xml:space="preserve"> ratings for </w:t>
      </w:r>
      <w:r w:rsidR="00832762" w:rsidRPr="00843214">
        <w:rPr>
          <w:color w:val="auto"/>
          <w:lang w:val="en-AU"/>
        </w:rPr>
        <w:t xml:space="preserve">key </w:t>
      </w:r>
      <w:r w:rsidR="00DB6E6C" w:rsidRPr="00843214">
        <w:rPr>
          <w:color w:val="auto"/>
          <w:lang w:val="en-AU"/>
        </w:rPr>
        <w:t xml:space="preserve">SPF </w:t>
      </w:r>
      <w:r w:rsidR="00467D78" w:rsidRPr="00843214">
        <w:rPr>
          <w:color w:val="auto"/>
          <w:lang w:val="en-AU"/>
        </w:rPr>
        <w:t xml:space="preserve">projects </w:t>
      </w:r>
      <w:r w:rsidR="000253F5" w:rsidRPr="00843214">
        <w:rPr>
          <w:color w:val="auto"/>
          <w:lang w:val="en-AU"/>
        </w:rPr>
        <w:t>are</w:t>
      </w:r>
      <w:r w:rsidR="00467D78" w:rsidRPr="00843214">
        <w:rPr>
          <w:color w:val="auto"/>
          <w:lang w:val="en-AU"/>
        </w:rPr>
        <w:t xml:space="preserve"> generally high (</w:t>
      </w:r>
      <w:r w:rsidR="00306ECA" w:rsidRPr="00843214">
        <w:rPr>
          <w:color w:val="auto"/>
          <w:lang w:val="en-AU"/>
        </w:rPr>
        <w:t xml:space="preserve">maintaining </w:t>
      </w:r>
      <w:r w:rsidR="00467D78" w:rsidRPr="00843214">
        <w:rPr>
          <w:color w:val="auto"/>
          <w:lang w:val="en-AU"/>
        </w:rPr>
        <w:t xml:space="preserve">average ratings of </w:t>
      </w:r>
      <w:r w:rsidR="00FD3ED9" w:rsidRPr="00843214">
        <w:rPr>
          <w:color w:val="auto"/>
          <w:lang w:val="en-AU"/>
        </w:rPr>
        <w:t>five</w:t>
      </w:r>
      <w:r w:rsidR="00306ECA" w:rsidRPr="00843214">
        <w:rPr>
          <w:color w:val="auto"/>
          <w:lang w:val="en-AU"/>
        </w:rPr>
        <w:t xml:space="preserve"> out of </w:t>
      </w:r>
      <w:r w:rsidR="00FD3ED9" w:rsidRPr="00843214">
        <w:rPr>
          <w:color w:val="auto"/>
          <w:szCs w:val="21"/>
          <w:lang w:val="en-AU"/>
        </w:rPr>
        <w:t>six</w:t>
      </w:r>
      <w:r w:rsidR="00467D78" w:rsidRPr="00843214">
        <w:rPr>
          <w:color w:val="auto"/>
          <w:lang w:val="en-AU"/>
        </w:rPr>
        <w:t xml:space="preserve">). </w:t>
      </w:r>
    </w:p>
    <w:p w14:paraId="408F3F30" w14:textId="158736DB" w:rsidR="00224469" w:rsidRPr="00843214" w:rsidRDefault="00140665" w:rsidP="004A2B0D">
      <w:pPr>
        <w:rPr>
          <w:color w:val="auto"/>
          <w:lang w:val="en-AU"/>
        </w:rPr>
      </w:pPr>
      <w:r w:rsidRPr="00843214">
        <w:rPr>
          <w:b/>
          <w:bCs/>
          <w:color w:val="auto"/>
          <w:lang w:val="en-AU"/>
        </w:rPr>
        <w:t>A</w:t>
      </w:r>
      <w:r w:rsidR="00467D78" w:rsidRPr="00843214">
        <w:rPr>
          <w:b/>
          <w:bCs/>
          <w:color w:val="auto"/>
          <w:lang w:val="en-AU"/>
        </w:rPr>
        <w:t>lthough the Indo-Pacific</w:t>
      </w:r>
      <w:r w:rsidR="00D872C6" w:rsidRPr="00843214">
        <w:rPr>
          <w:b/>
          <w:bCs/>
          <w:color w:val="auto"/>
          <w:lang w:val="en-AU"/>
        </w:rPr>
        <w:t xml:space="preserve"> </w:t>
      </w:r>
      <w:r w:rsidR="00467D78" w:rsidRPr="00843214">
        <w:rPr>
          <w:b/>
          <w:bCs/>
          <w:color w:val="auto"/>
          <w:lang w:val="en-AU"/>
        </w:rPr>
        <w:t>is recognised as a priority for the Partnership</w:t>
      </w:r>
      <w:r w:rsidR="00224469" w:rsidRPr="00843214">
        <w:rPr>
          <w:b/>
          <w:bCs/>
          <w:color w:val="auto"/>
          <w:lang w:val="en-AU"/>
        </w:rPr>
        <w:t xml:space="preserve"> given</w:t>
      </w:r>
      <w:r w:rsidR="00917A87" w:rsidRPr="00843214">
        <w:rPr>
          <w:b/>
          <w:bCs/>
          <w:color w:val="auto"/>
          <w:lang w:val="en-AU"/>
        </w:rPr>
        <w:t xml:space="preserve"> DFAT’s Indo-Pacific agenda</w:t>
      </w:r>
      <w:r w:rsidR="00467D78" w:rsidRPr="00843214">
        <w:rPr>
          <w:b/>
          <w:bCs/>
          <w:color w:val="auto"/>
          <w:lang w:val="en-AU"/>
        </w:rPr>
        <w:t xml:space="preserve"> there is an ongoing tension</w:t>
      </w:r>
      <w:r w:rsidR="006965E5" w:rsidRPr="00843214">
        <w:rPr>
          <w:b/>
          <w:bCs/>
          <w:color w:val="auto"/>
          <w:lang w:val="en-AU"/>
        </w:rPr>
        <w:t xml:space="preserve"> between the two agencies</w:t>
      </w:r>
      <w:r w:rsidRPr="00843214">
        <w:rPr>
          <w:b/>
          <w:bCs/>
          <w:color w:val="auto"/>
          <w:lang w:val="en-AU"/>
        </w:rPr>
        <w:t xml:space="preserve"> </w:t>
      </w:r>
      <w:r w:rsidR="00467D78" w:rsidRPr="00843214">
        <w:rPr>
          <w:b/>
          <w:bCs/>
          <w:color w:val="auto"/>
          <w:lang w:val="en-AU"/>
        </w:rPr>
        <w:t xml:space="preserve">in achieving </w:t>
      </w:r>
      <w:r w:rsidR="007277AA" w:rsidRPr="00843214">
        <w:rPr>
          <w:b/>
          <w:bCs/>
          <w:color w:val="auto"/>
          <w:lang w:val="en-AU"/>
        </w:rPr>
        <w:t xml:space="preserve">a </w:t>
      </w:r>
      <w:r w:rsidR="00467D78" w:rsidRPr="00843214">
        <w:rPr>
          <w:b/>
          <w:bCs/>
          <w:color w:val="auto"/>
          <w:lang w:val="en-AU"/>
        </w:rPr>
        <w:t>balance between global and regional priorities</w:t>
      </w:r>
      <w:r w:rsidR="00E01EEA" w:rsidRPr="00843214">
        <w:rPr>
          <w:color w:val="auto"/>
          <w:lang w:val="en-AU"/>
        </w:rPr>
        <w:t>,</w:t>
      </w:r>
      <w:r w:rsidR="00467D78" w:rsidRPr="00843214">
        <w:rPr>
          <w:color w:val="auto"/>
          <w:lang w:val="en-AU"/>
        </w:rPr>
        <w:t xml:space="preserve"> </w:t>
      </w:r>
      <w:r w:rsidR="006965E5" w:rsidRPr="00843214">
        <w:rPr>
          <w:color w:val="auto"/>
          <w:lang w:val="en-AU"/>
        </w:rPr>
        <w:t xml:space="preserve">which gives the impression </w:t>
      </w:r>
      <w:r w:rsidR="00575D84" w:rsidRPr="00843214">
        <w:rPr>
          <w:color w:val="auto"/>
          <w:lang w:val="en-AU"/>
        </w:rPr>
        <w:t xml:space="preserve">to DFAT </w:t>
      </w:r>
      <w:r w:rsidR="006965E5" w:rsidRPr="00843214">
        <w:rPr>
          <w:color w:val="auto"/>
          <w:lang w:val="en-AU"/>
        </w:rPr>
        <w:t>that the</w:t>
      </w:r>
      <w:r w:rsidR="00467D78" w:rsidRPr="00843214">
        <w:rPr>
          <w:color w:val="auto"/>
          <w:lang w:val="en-AU"/>
        </w:rPr>
        <w:t xml:space="preserve"> Indo-Pacific is not</w:t>
      </w:r>
      <w:r w:rsidR="006965E5" w:rsidRPr="00843214">
        <w:rPr>
          <w:color w:val="auto"/>
          <w:lang w:val="en-AU"/>
        </w:rPr>
        <w:t xml:space="preserve"> sufficiently or</w:t>
      </w:r>
      <w:r w:rsidR="00467D78" w:rsidRPr="00843214">
        <w:rPr>
          <w:color w:val="auto"/>
          <w:lang w:val="en-AU"/>
        </w:rPr>
        <w:t xml:space="preserve"> consistently prioritised</w:t>
      </w:r>
      <w:r w:rsidR="007277AA" w:rsidRPr="00843214">
        <w:rPr>
          <w:color w:val="auto"/>
          <w:lang w:val="en-AU"/>
        </w:rPr>
        <w:t>.</w:t>
      </w:r>
      <w:r w:rsidR="00B81453" w:rsidRPr="00843214">
        <w:rPr>
          <w:rStyle w:val="FootnoteReference"/>
          <w:color w:val="auto"/>
          <w:lang w:val="en-AU"/>
        </w:rPr>
        <w:footnoteReference w:id="12"/>
      </w:r>
      <w:r w:rsidR="007277AA" w:rsidRPr="00843214">
        <w:rPr>
          <w:color w:val="auto"/>
          <w:lang w:val="en-AU"/>
        </w:rPr>
        <w:t xml:space="preserve"> Several </w:t>
      </w:r>
      <w:r w:rsidR="00DB6E6C" w:rsidRPr="00843214">
        <w:rPr>
          <w:color w:val="auto"/>
          <w:lang w:val="en-AU"/>
        </w:rPr>
        <w:t xml:space="preserve">global </w:t>
      </w:r>
      <w:r w:rsidR="007277AA" w:rsidRPr="00843214">
        <w:rPr>
          <w:color w:val="auto"/>
          <w:lang w:val="en-AU"/>
        </w:rPr>
        <w:t xml:space="preserve">projects have </w:t>
      </w:r>
      <w:r w:rsidR="006965E5" w:rsidRPr="00843214">
        <w:rPr>
          <w:color w:val="auto"/>
          <w:lang w:val="en-AU"/>
        </w:rPr>
        <w:t xml:space="preserve">focused </w:t>
      </w:r>
      <w:r w:rsidR="006965E5" w:rsidRPr="00843214">
        <w:rPr>
          <w:color w:val="auto"/>
          <w:lang w:val="en-AU"/>
        </w:rPr>
        <w:lastRenderedPageBreak/>
        <w:t>on countries in the</w:t>
      </w:r>
      <w:r w:rsidR="007277AA" w:rsidRPr="00843214">
        <w:rPr>
          <w:color w:val="auto"/>
          <w:lang w:val="en-AU"/>
        </w:rPr>
        <w:t xml:space="preserve"> Indo-Pacific </w:t>
      </w:r>
      <w:r w:rsidR="006965E5" w:rsidRPr="00843214">
        <w:rPr>
          <w:color w:val="auto"/>
          <w:lang w:val="en-AU"/>
        </w:rPr>
        <w:t>region</w:t>
      </w:r>
      <w:r w:rsidR="007277AA" w:rsidRPr="00843214">
        <w:rPr>
          <w:color w:val="auto"/>
          <w:lang w:val="en-AU"/>
        </w:rPr>
        <w:t>. This includes the</w:t>
      </w:r>
      <w:r w:rsidR="00702BBA" w:rsidRPr="00843214">
        <w:rPr>
          <w:color w:val="auto"/>
          <w:lang w:val="en-AU"/>
        </w:rPr>
        <w:t xml:space="preserve"> Global Joint </w:t>
      </w:r>
      <w:r w:rsidR="00503E8D" w:rsidRPr="00843214">
        <w:rPr>
          <w:color w:val="auto"/>
          <w:lang w:val="en-AU"/>
        </w:rPr>
        <w:t>Program</w:t>
      </w:r>
      <w:r w:rsidR="00702BBA" w:rsidRPr="00843214">
        <w:rPr>
          <w:color w:val="auto"/>
          <w:lang w:val="en-AU"/>
        </w:rPr>
        <w:t xml:space="preserve"> on Essential Services</w:t>
      </w:r>
      <w:r w:rsidR="00BD0467" w:rsidRPr="00843214">
        <w:rPr>
          <w:color w:val="auto"/>
          <w:lang w:val="en-AU"/>
        </w:rPr>
        <w:t xml:space="preserve"> </w:t>
      </w:r>
      <w:r w:rsidR="0034548F" w:rsidRPr="00843214">
        <w:rPr>
          <w:color w:val="auto"/>
          <w:lang w:val="en-AU"/>
        </w:rPr>
        <w:t>for Women and Girls Subject to Violence</w:t>
      </w:r>
      <w:r w:rsidR="0079766A" w:rsidRPr="00843214">
        <w:rPr>
          <w:rStyle w:val="FootnoteReference"/>
          <w:color w:val="auto"/>
          <w:lang w:val="en-AU"/>
        </w:rPr>
        <w:footnoteReference w:id="13"/>
      </w:r>
      <w:r w:rsidR="0034548F" w:rsidRPr="00843214">
        <w:rPr>
          <w:color w:val="auto"/>
          <w:lang w:val="en-AU"/>
        </w:rPr>
        <w:t xml:space="preserve"> </w:t>
      </w:r>
      <w:r w:rsidR="007277AA" w:rsidRPr="00843214">
        <w:rPr>
          <w:color w:val="auto"/>
          <w:lang w:val="en-AU"/>
        </w:rPr>
        <w:t>which supported EVAW</w:t>
      </w:r>
      <w:r w:rsidR="00C44EF3" w:rsidRPr="00843214">
        <w:rPr>
          <w:color w:val="auto"/>
          <w:lang w:val="en-AU"/>
        </w:rPr>
        <w:t>G</w:t>
      </w:r>
      <w:r w:rsidR="007277AA" w:rsidRPr="00843214">
        <w:rPr>
          <w:color w:val="auto"/>
          <w:lang w:val="en-AU"/>
        </w:rPr>
        <w:t xml:space="preserve"> </w:t>
      </w:r>
      <w:r w:rsidR="00F555B3" w:rsidRPr="00843214">
        <w:rPr>
          <w:color w:val="auto"/>
          <w:lang w:val="en-AU"/>
        </w:rPr>
        <w:t xml:space="preserve">piloting </w:t>
      </w:r>
      <w:r w:rsidR="007277AA" w:rsidRPr="00843214">
        <w:rPr>
          <w:color w:val="auto"/>
          <w:lang w:val="en-AU"/>
        </w:rPr>
        <w:t xml:space="preserve">initiatives in </w:t>
      </w:r>
      <w:r w:rsidR="00BD0467" w:rsidRPr="00843214">
        <w:rPr>
          <w:color w:val="auto"/>
          <w:lang w:val="en-AU"/>
        </w:rPr>
        <w:t>five</w:t>
      </w:r>
      <w:r w:rsidR="00702BBA" w:rsidRPr="00843214">
        <w:rPr>
          <w:color w:val="auto"/>
          <w:lang w:val="en-AU"/>
        </w:rPr>
        <w:t xml:space="preserve"> countries</w:t>
      </w:r>
      <w:r w:rsidR="00575D84" w:rsidRPr="00843214">
        <w:rPr>
          <w:color w:val="auto"/>
          <w:lang w:val="en-AU"/>
        </w:rPr>
        <w:t xml:space="preserve"> </w:t>
      </w:r>
      <w:r w:rsidR="00702BBA" w:rsidRPr="00843214">
        <w:rPr>
          <w:color w:val="auto"/>
          <w:lang w:val="en-AU"/>
        </w:rPr>
        <w:t xml:space="preserve">in the </w:t>
      </w:r>
      <w:r w:rsidR="007277AA" w:rsidRPr="00843214">
        <w:rPr>
          <w:color w:val="auto"/>
          <w:lang w:val="en-AU"/>
        </w:rPr>
        <w:t xml:space="preserve">Asia-Pacific </w:t>
      </w:r>
      <w:r w:rsidR="00702BBA" w:rsidRPr="00843214">
        <w:rPr>
          <w:color w:val="auto"/>
          <w:lang w:val="en-AU"/>
        </w:rPr>
        <w:t>region</w:t>
      </w:r>
      <w:r w:rsidR="007277AA" w:rsidRPr="00843214">
        <w:rPr>
          <w:color w:val="auto"/>
          <w:lang w:val="en-AU"/>
        </w:rPr>
        <w:t xml:space="preserve">, </w:t>
      </w:r>
      <w:r w:rsidR="00702BBA" w:rsidRPr="00843214">
        <w:rPr>
          <w:color w:val="auto"/>
          <w:lang w:val="en-AU"/>
        </w:rPr>
        <w:t xml:space="preserve">of which </w:t>
      </w:r>
      <w:r w:rsidR="00BD0467" w:rsidRPr="00843214">
        <w:rPr>
          <w:color w:val="auto"/>
          <w:lang w:val="en-AU"/>
        </w:rPr>
        <w:t>two</w:t>
      </w:r>
      <w:r w:rsidR="00702BBA" w:rsidRPr="00843214">
        <w:rPr>
          <w:color w:val="auto"/>
          <w:lang w:val="en-AU"/>
        </w:rPr>
        <w:t xml:space="preserve"> are in the Pacific</w:t>
      </w:r>
      <w:r w:rsidR="007277AA" w:rsidRPr="00843214">
        <w:rPr>
          <w:color w:val="auto"/>
          <w:lang w:val="en-AU"/>
        </w:rPr>
        <w:t xml:space="preserve">. </w:t>
      </w:r>
      <w:r w:rsidR="00DB6E6C" w:rsidRPr="00843214">
        <w:rPr>
          <w:color w:val="auto"/>
          <w:lang w:val="en-AU"/>
        </w:rPr>
        <w:t xml:space="preserve">The Gender Inequality of Risk and </w:t>
      </w:r>
      <w:r w:rsidR="003761EE" w:rsidRPr="00843214">
        <w:rPr>
          <w:color w:val="auto"/>
          <w:lang w:val="en-AU"/>
        </w:rPr>
        <w:t xml:space="preserve">the </w:t>
      </w:r>
      <w:r w:rsidR="00DB6E6C" w:rsidRPr="00843214">
        <w:rPr>
          <w:color w:val="auto"/>
          <w:lang w:val="en-AU"/>
        </w:rPr>
        <w:t>Inception of Women's Resilience to Disaster programs spearhead</w:t>
      </w:r>
      <w:r w:rsidR="0000798A" w:rsidRPr="00843214">
        <w:rPr>
          <w:color w:val="auto"/>
          <w:lang w:val="en-AU"/>
        </w:rPr>
        <w:t>ed</w:t>
      </w:r>
      <w:r w:rsidR="00702BBA" w:rsidRPr="00843214">
        <w:rPr>
          <w:color w:val="auto"/>
          <w:lang w:val="en-AU"/>
        </w:rPr>
        <w:t xml:space="preserve"> </w:t>
      </w:r>
      <w:r w:rsidR="005D06AE" w:rsidRPr="00843214">
        <w:rPr>
          <w:color w:val="auto"/>
          <w:lang w:val="en-AU"/>
        </w:rPr>
        <w:t>disaster risk reduction (</w:t>
      </w:r>
      <w:r w:rsidR="00702BBA" w:rsidRPr="00843214">
        <w:rPr>
          <w:color w:val="auto"/>
          <w:lang w:val="en-AU"/>
        </w:rPr>
        <w:t>DRR</w:t>
      </w:r>
      <w:r w:rsidR="005D06AE" w:rsidRPr="00843214">
        <w:rPr>
          <w:color w:val="auto"/>
          <w:lang w:val="en-AU"/>
        </w:rPr>
        <w:t>)</w:t>
      </w:r>
      <w:r w:rsidR="00702BBA" w:rsidRPr="00843214">
        <w:rPr>
          <w:color w:val="auto"/>
          <w:lang w:val="en-AU"/>
        </w:rPr>
        <w:t>/</w:t>
      </w:r>
      <w:r w:rsidR="005D06AE" w:rsidRPr="00843214">
        <w:rPr>
          <w:color w:val="auto"/>
          <w:lang w:val="en-AU"/>
        </w:rPr>
        <w:t>h</w:t>
      </w:r>
      <w:r w:rsidR="00702BBA" w:rsidRPr="00843214">
        <w:rPr>
          <w:color w:val="auto"/>
          <w:lang w:val="en-AU"/>
        </w:rPr>
        <w:t>um</w:t>
      </w:r>
      <w:r w:rsidR="00BD0467" w:rsidRPr="00843214">
        <w:rPr>
          <w:color w:val="auto"/>
          <w:lang w:val="en-AU"/>
        </w:rPr>
        <w:t>anitarian</w:t>
      </w:r>
      <w:r w:rsidR="00702BBA" w:rsidRPr="00843214">
        <w:rPr>
          <w:color w:val="auto"/>
          <w:lang w:val="en-AU"/>
        </w:rPr>
        <w:t xml:space="preserve"> </w:t>
      </w:r>
      <w:r w:rsidR="007277AA" w:rsidRPr="00843214">
        <w:rPr>
          <w:color w:val="auto"/>
          <w:lang w:val="en-AU"/>
        </w:rPr>
        <w:t>in the Pacific</w:t>
      </w:r>
      <w:r w:rsidR="00702BBA" w:rsidRPr="00843214">
        <w:rPr>
          <w:color w:val="auto"/>
          <w:lang w:val="en-AU"/>
        </w:rPr>
        <w:t xml:space="preserve">, and </w:t>
      </w:r>
      <w:r w:rsidR="00BD0467" w:rsidRPr="00843214">
        <w:rPr>
          <w:color w:val="auto"/>
          <w:lang w:val="en-AU"/>
        </w:rPr>
        <w:t>the</w:t>
      </w:r>
      <w:r w:rsidR="007277AA" w:rsidRPr="00843214">
        <w:rPr>
          <w:color w:val="auto"/>
          <w:lang w:val="en-AU"/>
        </w:rPr>
        <w:t xml:space="preserve"> successful</w:t>
      </w:r>
      <w:r w:rsidR="00CE1BE7" w:rsidRPr="00843214">
        <w:rPr>
          <w:color w:val="auto"/>
          <w:lang w:val="en-AU"/>
        </w:rPr>
        <w:t xml:space="preserve"> </w:t>
      </w:r>
      <w:r w:rsidR="00702BBA" w:rsidRPr="00843214">
        <w:rPr>
          <w:color w:val="auto"/>
          <w:lang w:val="en-AU"/>
        </w:rPr>
        <w:t xml:space="preserve">Women Count </w:t>
      </w:r>
      <w:r w:rsidR="00744274" w:rsidRPr="00843214">
        <w:rPr>
          <w:color w:val="auto"/>
          <w:lang w:val="en-AU"/>
        </w:rPr>
        <w:t>gender statistics programme</w:t>
      </w:r>
      <w:r w:rsidR="007277AA" w:rsidRPr="00843214">
        <w:rPr>
          <w:color w:val="auto"/>
          <w:lang w:val="en-AU"/>
        </w:rPr>
        <w:t xml:space="preserve"> focuses on the Asia-Pacific region</w:t>
      </w:r>
      <w:r w:rsidR="00CE1BE7" w:rsidRPr="00843214">
        <w:rPr>
          <w:color w:val="auto"/>
          <w:lang w:val="en-AU"/>
        </w:rPr>
        <w:t>.</w:t>
      </w:r>
    </w:p>
    <w:p w14:paraId="50CFD3FD" w14:textId="4D048FB0" w:rsidR="00F90B9A" w:rsidRPr="00843214" w:rsidRDefault="00467D78" w:rsidP="004A2B0D">
      <w:pPr>
        <w:rPr>
          <w:rFonts w:cstheme="minorHAnsi"/>
          <w:color w:val="auto"/>
          <w:lang w:val="en-AU"/>
        </w:rPr>
      </w:pPr>
      <w:r w:rsidRPr="00843214">
        <w:rPr>
          <w:b/>
          <w:bCs/>
          <w:color w:val="auto"/>
          <w:lang w:val="en-AU"/>
        </w:rPr>
        <w:t xml:space="preserve">UN Women </w:t>
      </w:r>
      <w:r w:rsidR="004776FA" w:rsidRPr="00843214">
        <w:rPr>
          <w:b/>
          <w:bCs/>
          <w:color w:val="auto"/>
          <w:lang w:val="en-AU"/>
        </w:rPr>
        <w:t xml:space="preserve">is </w:t>
      </w:r>
      <w:r w:rsidRPr="00843214">
        <w:rPr>
          <w:b/>
          <w:bCs/>
          <w:color w:val="auto"/>
          <w:lang w:val="en-AU"/>
        </w:rPr>
        <w:t>undertak</w:t>
      </w:r>
      <w:r w:rsidR="004776FA" w:rsidRPr="00843214">
        <w:rPr>
          <w:b/>
          <w:bCs/>
          <w:color w:val="auto"/>
          <w:lang w:val="en-AU"/>
        </w:rPr>
        <w:t>ing</w:t>
      </w:r>
      <w:r w:rsidRPr="00843214">
        <w:rPr>
          <w:b/>
          <w:bCs/>
          <w:color w:val="auto"/>
          <w:lang w:val="en-AU"/>
        </w:rPr>
        <w:t xml:space="preserve"> joint work and pursu</w:t>
      </w:r>
      <w:r w:rsidR="004776FA" w:rsidRPr="00843214">
        <w:rPr>
          <w:b/>
          <w:bCs/>
          <w:color w:val="auto"/>
          <w:lang w:val="en-AU"/>
        </w:rPr>
        <w:t>ing</w:t>
      </w:r>
      <w:r w:rsidRPr="00843214">
        <w:rPr>
          <w:b/>
          <w:bCs/>
          <w:color w:val="auto"/>
          <w:lang w:val="en-AU"/>
        </w:rPr>
        <w:t xml:space="preserve"> partnerships with other UN </w:t>
      </w:r>
      <w:r w:rsidR="0000798A" w:rsidRPr="00843214">
        <w:rPr>
          <w:b/>
          <w:bCs/>
          <w:color w:val="auto"/>
          <w:lang w:val="en-AU"/>
        </w:rPr>
        <w:t>a</w:t>
      </w:r>
      <w:r w:rsidRPr="00843214">
        <w:rPr>
          <w:b/>
          <w:bCs/>
          <w:color w:val="auto"/>
          <w:lang w:val="en-AU"/>
        </w:rPr>
        <w:t>gencies to amplify and leverage its work.</w:t>
      </w:r>
      <w:r w:rsidRPr="00843214">
        <w:rPr>
          <w:color w:val="auto"/>
          <w:lang w:val="en-AU"/>
        </w:rPr>
        <w:t xml:space="preserve"> UN Women has numerous joint </w:t>
      </w:r>
      <w:r w:rsidR="00503E8D" w:rsidRPr="00843214">
        <w:rPr>
          <w:color w:val="auto"/>
          <w:lang w:val="en-AU"/>
        </w:rPr>
        <w:t>program</w:t>
      </w:r>
      <w:r w:rsidRPr="00843214">
        <w:rPr>
          <w:color w:val="auto"/>
          <w:lang w:val="en-AU"/>
        </w:rPr>
        <w:t xml:space="preserve">s with other UN </w:t>
      </w:r>
      <w:r w:rsidR="0000798A" w:rsidRPr="00843214">
        <w:rPr>
          <w:color w:val="auto"/>
          <w:lang w:val="en-AU"/>
        </w:rPr>
        <w:t>a</w:t>
      </w:r>
      <w:r w:rsidRPr="00843214">
        <w:rPr>
          <w:color w:val="auto"/>
          <w:lang w:val="en-AU"/>
        </w:rPr>
        <w:t>gencies</w:t>
      </w:r>
      <w:r w:rsidR="007277AA" w:rsidRPr="00843214">
        <w:rPr>
          <w:color w:val="auto"/>
          <w:lang w:val="en-AU"/>
        </w:rPr>
        <w:t xml:space="preserve"> </w:t>
      </w:r>
      <w:r w:rsidR="00E43E5D" w:rsidRPr="00843214">
        <w:rPr>
          <w:color w:val="auto"/>
          <w:lang w:val="en-AU"/>
        </w:rPr>
        <w:t>that</w:t>
      </w:r>
      <w:r w:rsidR="007277AA" w:rsidRPr="00843214">
        <w:rPr>
          <w:color w:val="auto"/>
          <w:lang w:val="en-AU"/>
        </w:rPr>
        <w:t xml:space="preserve"> have seen positive results</w:t>
      </w:r>
      <w:r w:rsidR="00B81453" w:rsidRPr="00843214">
        <w:rPr>
          <w:rStyle w:val="FootnoteReference"/>
          <w:color w:val="auto"/>
          <w:lang w:val="en-AU"/>
        </w:rPr>
        <w:footnoteReference w:id="14"/>
      </w:r>
      <w:r w:rsidR="004A2B0D" w:rsidRPr="00843214">
        <w:rPr>
          <w:color w:val="auto"/>
          <w:lang w:val="en-AU"/>
        </w:rPr>
        <w:t xml:space="preserve">. </w:t>
      </w:r>
      <w:r w:rsidR="007277AA" w:rsidRPr="00843214">
        <w:rPr>
          <w:color w:val="auto"/>
          <w:lang w:val="en-AU"/>
        </w:rPr>
        <w:t>Joint work</w:t>
      </w:r>
      <w:r w:rsidR="006965E5" w:rsidRPr="00843214">
        <w:rPr>
          <w:color w:val="auto"/>
          <w:lang w:val="en-AU"/>
        </w:rPr>
        <w:t xml:space="preserve"> a</w:t>
      </w:r>
      <w:r w:rsidR="00A135C8" w:rsidRPr="00843214">
        <w:rPr>
          <w:color w:val="auto"/>
          <w:lang w:val="en-AU"/>
        </w:rPr>
        <w:t xml:space="preserve">t the </w:t>
      </w:r>
      <w:r w:rsidR="006965E5" w:rsidRPr="00843214">
        <w:rPr>
          <w:color w:val="auto"/>
          <w:lang w:val="en-AU"/>
        </w:rPr>
        <w:t>global</w:t>
      </w:r>
      <w:r w:rsidR="007277AA" w:rsidRPr="00843214">
        <w:rPr>
          <w:color w:val="auto"/>
          <w:lang w:val="en-AU"/>
        </w:rPr>
        <w:t xml:space="preserve"> </w:t>
      </w:r>
      <w:r w:rsidR="00A135C8" w:rsidRPr="00843214">
        <w:rPr>
          <w:color w:val="auto"/>
          <w:lang w:val="en-AU"/>
        </w:rPr>
        <w:t xml:space="preserve">level </w:t>
      </w:r>
      <w:r w:rsidR="007277AA" w:rsidRPr="00843214">
        <w:rPr>
          <w:color w:val="auto"/>
          <w:lang w:val="en-AU"/>
        </w:rPr>
        <w:t xml:space="preserve">includes </w:t>
      </w:r>
      <w:r w:rsidR="004A2B0D" w:rsidRPr="00843214">
        <w:rPr>
          <w:color w:val="auto"/>
          <w:lang w:val="en-AU"/>
        </w:rPr>
        <w:t>p</w:t>
      </w:r>
      <w:r w:rsidR="00F90B9A" w:rsidRPr="00843214">
        <w:rPr>
          <w:color w:val="auto"/>
          <w:lang w:val="en-AU"/>
        </w:rPr>
        <w:t>articipation in Inter-Agency mechanisms for electoral assistance, financing for development, effective development cooperation, and gender responsive strategy and budgets</w:t>
      </w:r>
      <w:r w:rsidR="00A135C8" w:rsidRPr="00843214">
        <w:rPr>
          <w:color w:val="auto"/>
          <w:lang w:val="en-AU"/>
        </w:rPr>
        <w:t xml:space="preserve"> which have translated into targeted partnerships in the </w:t>
      </w:r>
      <w:r w:rsidR="003249F1" w:rsidRPr="00843214">
        <w:rPr>
          <w:color w:val="auto"/>
          <w:lang w:val="en-AU"/>
        </w:rPr>
        <w:t>Indo</w:t>
      </w:r>
      <w:r w:rsidR="00A135C8" w:rsidRPr="00843214">
        <w:rPr>
          <w:color w:val="auto"/>
          <w:lang w:val="en-AU"/>
        </w:rPr>
        <w:t xml:space="preserve"> Pacific</w:t>
      </w:r>
      <w:r w:rsidR="007A1D72" w:rsidRPr="00843214">
        <w:rPr>
          <w:rStyle w:val="FootnoteReference"/>
          <w:color w:val="auto"/>
          <w:lang w:val="en-AU"/>
        </w:rPr>
        <w:footnoteReference w:id="15"/>
      </w:r>
      <w:r w:rsidR="00F90B9A" w:rsidRPr="00843214">
        <w:rPr>
          <w:rStyle w:val="FootnoteReference"/>
          <w:color w:val="auto"/>
          <w:lang w:val="en-AU"/>
        </w:rPr>
        <w:footnoteReference w:id="16"/>
      </w:r>
      <w:r w:rsidR="004A2B0D" w:rsidRPr="00843214">
        <w:rPr>
          <w:color w:val="auto"/>
          <w:lang w:val="en-AU"/>
        </w:rPr>
        <w:t xml:space="preserve">. </w:t>
      </w:r>
    </w:p>
    <w:p w14:paraId="50B835FA" w14:textId="38A8750E" w:rsidR="00467D78" w:rsidRPr="00843214" w:rsidRDefault="00E442C4" w:rsidP="008864FA">
      <w:pPr>
        <w:rPr>
          <w:color w:val="auto"/>
          <w:lang w:val="en-AU"/>
        </w:rPr>
      </w:pPr>
      <w:bookmarkStart w:id="42" w:name="_Hlk67576954"/>
      <w:r w:rsidRPr="00843214">
        <w:rPr>
          <w:b/>
          <w:bCs/>
          <w:color w:val="auto"/>
          <w:lang w:val="en-AU"/>
        </w:rPr>
        <w:t>A</w:t>
      </w:r>
      <w:r w:rsidR="00F94E98" w:rsidRPr="00843214">
        <w:rPr>
          <w:b/>
          <w:bCs/>
          <w:color w:val="auto"/>
          <w:lang w:val="en-AU"/>
        </w:rPr>
        <w:t>ccording to multiple stakeholder interviews</w:t>
      </w:r>
      <w:r w:rsidRPr="00843214">
        <w:rPr>
          <w:b/>
          <w:bCs/>
          <w:color w:val="auto"/>
          <w:lang w:val="en-AU"/>
        </w:rPr>
        <w:t xml:space="preserve"> there is</w:t>
      </w:r>
      <w:r w:rsidR="00F94E98" w:rsidRPr="00843214">
        <w:rPr>
          <w:b/>
          <w:bCs/>
          <w:color w:val="auto"/>
          <w:lang w:val="en-AU"/>
        </w:rPr>
        <w:t xml:space="preserve"> </w:t>
      </w:r>
      <w:r w:rsidR="00467D78" w:rsidRPr="00843214">
        <w:rPr>
          <w:b/>
          <w:bCs/>
          <w:color w:val="auto"/>
          <w:lang w:val="en-AU"/>
        </w:rPr>
        <w:t>variability in the coherence and complementarity of partnerships and</w:t>
      </w:r>
      <w:r w:rsidR="00140665" w:rsidRPr="00843214">
        <w:rPr>
          <w:b/>
          <w:bCs/>
          <w:color w:val="auto"/>
          <w:lang w:val="en-AU"/>
        </w:rPr>
        <w:t xml:space="preserve"> a</w:t>
      </w:r>
      <w:r w:rsidR="00467D78" w:rsidRPr="00843214">
        <w:rPr>
          <w:b/>
          <w:bCs/>
          <w:color w:val="auto"/>
          <w:lang w:val="en-AU"/>
        </w:rPr>
        <w:t xml:space="preserve"> perception of blurry lines between UN Women’s role and mandate and those of other UN agencies</w:t>
      </w:r>
      <w:r w:rsidR="00467D78" w:rsidRPr="00843214">
        <w:rPr>
          <w:color w:val="auto"/>
          <w:lang w:val="en-AU"/>
        </w:rPr>
        <w:t xml:space="preserve">. </w:t>
      </w:r>
      <w:bookmarkEnd w:id="42"/>
      <w:r w:rsidR="005B7B43" w:rsidRPr="00843214">
        <w:rPr>
          <w:color w:val="auto"/>
          <w:lang w:val="en-AU"/>
        </w:rPr>
        <w:t xml:space="preserve">While there are reports of strong working relationships and coherence, </w:t>
      </w:r>
      <w:r w:rsidRPr="00843214">
        <w:rPr>
          <w:color w:val="auto"/>
          <w:lang w:val="en-AU"/>
        </w:rPr>
        <w:t xml:space="preserve">there is </w:t>
      </w:r>
      <w:r w:rsidR="005B7B43" w:rsidRPr="00843214">
        <w:rPr>
          <w:color w:val="auto"/>
          <w:lang w:val="en-AU"/>
        </w:rPr>
        <w:t>a lack of coordination and</w:t>
      </w:r>
      <w:r w:rsidRPr="00843214">
        <w:rPr>
          <w:color w:val="auto"/>
          <w:lang w:val="en-AU"/>
        </w:rPr>
        <w:t xml:space="preserve"> of </w:t>
      </w:r>
      <w:r w:rsidR="005B7B43" w:rsidRPr="00843214">
        <w:rPr>
          <w:color w:val="auto"/>
          <w:lang w:val="en-AU"/>
        </w:rPr>
        <w:t xml:space="preserve">alignment with competitive advantage. </w:t>
      </w:r>
      <w:r w:rsidR="00E43E5D" w:rsidRPr="00843214">
        <w:rPr>
          <w:color w:val="auto"/>
          <w:lang w:val="en-AU"/>
        </w:rPr>
        <w:t>T</w:t>
      </w:r>
      <w:r w:rsidR="00616371" w:rsidRPr="00843214">
        <w:rPr>
          <w:color w:val="auto"/>
          <w:lang w:val="en-AU"/>
        </w:rPr>
        <w:t xml:space="preserve">his </w:t>
      </w:r>
      <w:r w:rsidR="00E43E5D" w:rsidRPr="00843214">
        <w:rPr>
          <w:color w:val="auto"/>
          <w:lang w:val="en-AU"/>
        </w:rPr>
        <w:t xml:space="preserve">can </w:t>
      </w:r>
      <w:r w:rsidR="00616371" w:rsidRPr="00843214">
        <w:rPr>
          <w:color w:val="auto"/>
          <w:lang w:val="en-AU"/>
        </w:rPr>
        <w:t>cause confusion for beneficiaries and other (non-UN) partners</w:t>
      </w:r>
      <w:r w:rsidR="00E43E5D" w:rsidRPr="00843214">
        <w:rPr>
          <w:color w:val="auto"/>
          <w:lang w:val="en-AU"/>
        </w:rPr>
        <w:t>,</w:t>
      </w:r>
      <w:r w:rsidR="00616371" w:rsidRPr="00843214">
        <w:rPr>
          <w:color w:val="auto"/>
          <w:lang w:val="en-AU"/>
        </w:rPr>
        <w:t xml:space="preserve"> and over-engagement with beneficiaries. </w:t>
      </w:r>
      <w:r w:rsidR="005B7B43" w:rsidRPr="00843214">
        <w:rPr>
          <w:color w:val="auto"/>
          <w:lang w:val="en-AU"/>
        </w:rPr>
        <w:t xml:space="preserve">This has been particularly noted in UN Women’s move into </w:t>
      </w:r>
      <w:r w:rsidR="00616371" w:rsidRPr="00843214">
        <w:rPr>
          <w:color w:val="auto"/>
          <w:lang w:val="en-AU"/>
        </w:rPr>
        <w:t>implementation in</w:t>
      </w:r>
      <w:r w:rsidR="005B7B43" w:rsidRPr="00843214">
        <w:rPr>
          <w:color w:val="auto"/>
          <w:lang w:val="en-AU"/>
        </w:rPr>
        <w:t xml:space="preserve"> the humanitarian space</w:t>
      </w:r>
      <w:r w:rsidR="00360DC7" w:rsidRPr="00843214">
        <w:rPr>
          <w:color w:val="auto"/>
          <w:lang w:val="en-AU"/>
        </w:rPr>
        <w:t xml:space="preserve">. </w:t>
      </w:r>
      <w:r w:rsidR="00E43E5D" w:rsidRPr="00843214">
        <w:rPr>
          <w:color w:val="auto"/>
          <w:lang w:val="en-AU"/>
        </w:rPr>
        <w:t xml:space="preserve">While program coordination is not the sole responsibility of UN Women, </w:t>
      </w:r>
      <w:r w:rsidR="00936B3A" w:rsidRPr="00843214">
        <w:rPr>
          <w:color w:val="auto"/>
          <w:lang w:val="en-AU"/>
        </w:rPr>
        <w:t>their</w:t>
      </w:r>
      <w:r w:rsidR="00E43E5D" w:rsidRPr="00843214">
        <w:rPr>
          <w:color w:val="auto"/>
          <w:lang w:val="en-AU"/>
        </w:rPr>
        <w:t xml:space="preserve"> coordination role </w:t>
      </w:r>
      <w:r w:rsidR="00936B3A" w:rsidRPr="00843214">
        <w:rPr>
          <w:color w:val="auto"/>
          <w:lang w:val="en-AU"/>
        </w:rPr>
        <w:t>requires</w:t>
      </w:r>
      <w:r w:rsidR="00E43E5D" w:rsidRPr="00843214">
        <w:rPr>
          <w:color w:val="auto"/>
          <w:lang w:val="en-AU"/>
        </w:rPr>
        <w:t xml:space="preserve"> that they demonstrate </w:t>
      </w:r>
      <w:r w:rsidR="009C0637" w:rsidRPr="00843214">
        <w:rPr>
          <w:color w:val="auto"/>
          <w:lang w:val="en-AU"/>
        </w:rPr>
        <w:t>their complementarity with others</w:t>
      </w:r>
      <w:r w:rsidR="00E43E5D" w:rsidRPr="00843214">
        <w:rPr>
          <w:color w:val="auto"/>
          <w:lang w:val="en-AU"/>
        </w:rPr>
        <w:t xml:space="preserve">. To some extent, this may be addressed by the </w:t>
      </w:r>
      <w:r w:rsidR="009D7690" w:rsidRPr="00843214">
        <w:rPr>
          <w:color w:val="auto"/>
          <w:lang w:val="en-AU"/>
        </w:rPr>
        <w:t>United Nations Development System (</w:t>
      </w:r>
      <w:r w:rsidR="00E43E5D" w:rsidRPr="00843214">
        <w:rPr>
          <w:color w:val="auto"/>
          <w:lang w:val="en-AU"/>
        </w:rPr>
        <w:t>UNDS</w:t>
      </w:r>
      <w:r w:rsidR="009D7690" w:rsidRPr="00843214">
        <w:rPr>
          <w:color w:val="auto"/>
          <w:lang w:val="en-AU"/>
        </w:rPr>
        <w:t>)</w:t>
      </w:r>
      <w:r w:rsidR="00E43E5D" w:rsidRPr="00843214">
        <w:rPr>
          <w:color w:val="auto"/>
          <w:lang w:val="en-AU"/>
        </w:rPr>
        <w:t xml:space="preserve"> reform.</w:t>
      </w:r>
      <w:r w:rsidR="00E43E5D" w:rsidRPr="00843214">
        <w:rPr>
          <w:color w:val="auto"/>
        </w:rPr>
        <w:t xml:space="preserve"> </w:t>
      </w:r>
      <w:r w:rsidR="00467D78" w:rsidRPr="00843214">
        <w:rPr>
          <w:color w:val="auto"/>
        </w:rPr>
        <w:t>Across the Pacific, there is an observed discrepancy in the seniority</w:t>
      </w:r>
      <w:r w:rsidR="00467D78" w:rsidRPr="00843214">
        <w:rPr>
          <w:color w:val="auto"/>
          <w:lang w:val="en-AU"/>
        </w:rPr>
        <w:t xml:space="preserve"> of UN Women representatives in comparison with other UN agency representatives. This impacts on relations with other UN agencies and shaping responses to gender equality</w:t>
      </w:r>
      <w:r w:rsidR="00BB6FEB" w:rsidRPr="00843214">
        <w:rPr>
          <w:color w:val="auto"/>
          <w:lang w:val="en-AU"/>
        </w:rPr>
        <w:t>.</w:t>
      </w:r>
      <w:r w:rsidR="004776FA" w:rsidRPr="00843214">
        <w:rPr>
          <w:color w:val="auto"/>
        </w:rPr>
        <w:t xml:space="preserve"> </w:t>
      </w:r>
    </w:p>
    <w:p w14:paraId="1F3742C3" w14:textId="113C79EA" w:rsidR="00467D78" w:rsidRPr="00843214" w:rsidRDefault="00140665" w:rsidP="00467C4F">
      <w:pPr>
        <w:rPr>
          <w:color w:val="auto"/>
          <w:lang w:val="en-AU"/>
        </w:rPr>
      </w:pPr>
      <w:r w:rsidRPr="00843214">
        <w:rPr>
          <w:b/>
          <w:bCs/>
          <w:color w:val="auto"/>
          <w:lang w:val="en-AU"/>
        </w:rPr>
        <w:t xml:space="preserve">UN Women has sound financial management practices and strong systems for risk management. </w:t>
      </w:r>
      <w:r w:rsidR="00467D78" w:rsidRPr="00843214">
        <w:rPr>
          <w:color w:val="auto"/>
          <w:lang w:val="en-AU"/>
        </w:rPr>
        <w:t xml:space="preserve">UN Women has secured nine unqualified financial audits, though some scope for improvement identified in 2019 includes for field procurement, programs and operations and compliance with rules, </w:t>
      </w:r>
      <w:proofErr w:type="gramStart"/>
      <w:r w:rsidR="00467D78" w:rsidRPr="00843214">
        <w:rPr>
          <w:color w:val="auto"/>
          <w:lang w:val="en-AU"/>
        </w:rPr>
        <w:t>regulations</w:t>
      </w:r>
      <w:proofErr w:type="gramEnd"/>
      <w:r w:rsidR="00467D78" w:rsidRPr="00843214">
        <w:rPr>
          <w:color w:val="auto"/>
          <w:lang w:val="en-AU"/>
        </w:rPr>
        <w:t xml:space="preserve"> and instructions at </w:t>
      </w:r>
      <w:r w:rsidR="00D110B0" w:rsidRPr="00843214">
        <w:rPr>
          <w:color w:val="auto"/>
          <w:lang w:val="en-AU"/>
        </w:rPr>
        <w:t xml:space="preserve">UN Women New York </w:t>
      </w:r>
      <w:r w:rsidR="00610C0E" w:rsidRPr="00843214">
        <w:rPr>
          <w:color w:val="auto"/>
          <w:lang w:val="en-AU"/>
        </w:rPr>
        <w:t>headquarters</w:t>
      </w:r>
      <w:r w:rsidR="00D110B0" w:rsidRPr="00843214">
        <w:rPr>
          <w:color w:val="auto"/>
          <w:lang w:val="en-AU"/>
        </w:rPr>
        <w:t xml:space="preserve"> (</w:t>
      </w:r>
      <w:r w:rsidR="00467D78" w:rsidRPr="00843214">
        <w:rPr>
          <w:color w:val="auto"/>
          <w:lang w:val="en-AU"/>
        </w:rPr>
        <w:t>HQ</w:t>
      </w:r>
      <w:r w:rsidR="00D110B0" w:rsidRPr="00843214">
        <w:rPr>
          <w:color w:val="auto"/>
          <w:lang w:val="en-AU"/>
        </w:rPr>
        <w:t>)</w:t>
      </w:r>
      <w:r w:rsidR="00467D78" w:rsidRPr="00843214">
        <w:rPr>
          <w:color w:val="auto"/>
          <w:lang w:val="en-AU"/>
        </w:rPr>
        <w:t xml:space="preserve"> and field offices.</w:t>
      </w:r>
      <w:r w:rsidR="00467D78" w:rsidRPr="00843214">
        <w:rPr>
          <w:rStyle w:val="FootnoteReference"/>
          <w:rFonts w:cstheme="minorBidi"/>
          <w:color w:val="auto"/>
          <w:lang w:val="en-AU"/>
        </w:rPr>
        <w:footnoteReference w:id="17"/>
      </w:r>
      <w:r w:rsidR="008C10ED" w:rsidRPr="00843214">
        <w:rPr>
          <w:color w:val="auto"/>
          <w:lang w:val="en-AU"/>
        </w:rPr>
        <w:t xml:space="preserve"> </w:t>
      </w:r>
      <w:r w:rsidR="001C1E33" w:rsidRPr="00843214">
        <w:rPr>
          <w:color w:val="auto"/>
          <w:lang w:val="en-AU"/>
        </w:rPr>
        <w:t xml:space="preserve">One </w:t>
      </w:r>
      <w:r w:rsidR="00467D78" w:rsidRPr="00843214">
        <w:rPr>
          <w:color w:val="auto"/>
          <w:lang w:val="en-AU"/>
        </w:rPr>
        <w:t xml:space="preserve">DFAT PPA </w:t>
      </w:r>
      <w:r w:rsidR="009B1311" w:rsidRPr="00843214">
        <w:rPr>
          <w:color w:val="auto"/>
          <w:lang w:val="en-AU"/>
        </w:rPr>
        <w:t xml:space="preserve">noted </w:t>
      </w:r>
      <w:r w:rsidR="002B1B68" w:rsidRPr="00843214">
        <w:rPr>
          <w:color w:val="auto"/>
          <w:lang w:val="en-AU"/>
        </w:rPr>
        <w:t>inadequate</w:t>
      </w:r>
      <w:r w:rsidR="009B1311" w:rsidRPr="00843214">
        <w:rPr>
          <w:color w:val="auto"/>
          <w:lang w:val="en-AU"/>
        </w:rPr>
        <w:t xml:space="preserve"> performance in project-level budget management</w:t>
      </w:r>
      <w:r w:rsidR="009B2E4C" w:rsidRPr="00843214">
        <w:rPr>
          <w:color w:val="auto"/>
          <w:lang w:val="en-AU"/>
        </w:rPr>
        <w:t xml:space="preserve">. </w:t>
      </w:r>
      <w:r w:rsidR="00087347" w:rsidRPr="00843214">
        <w:rPr>
          <w:color w:val="auto"/>
          <w:lang w:val="en-AU"/>
        </w:rPr>
        <w:t>G</w:t>
      </w:r>
      <w:r w:rsidR="00641950" w:rsidRPr="00843214">
        <w:rPr>
          <w:color w:val="auto"/>
          <w:lang w:val="en-AU"/>
        </w:rPr>
        <w:t>enerally</w:t>
      </w:r>
      <w:r w:rsidR="000B7EF0" w:rsidRPr="00843214">
        <w:rPr>
          <w:color w:val="auto"/>
          <w:lang w:val="en-AU"/>
        </w:rPr>
        <w:t>,</w:t>
      </w:r>
      <w:r w:rsidR="00641950" w:rsidRPr="00843214">
        <w:rPr>
          <w:color w:val="auto"/>
          <w:lang w:val="en-AU"/>
        </w:rPr>
        <w:t xml:space="preserve"> </w:t>
      </w:r>
      <w:r w:rsidR="00366E9D" w:rsidRPr="00843214">
        <w:rPr>
          <w:color w:val="auto"/>
          <w:lang w:val="en-AU"/>
        </w:rPr>
        <w:t xml:space="preserve">DFAT </w:t>
      </w:r>
      <w:r w:rsidR="00CB6E51" w:rsidRPr="00843214">
        <w:rPr>
          <w:color w:val="auto"/>
          <w:lang w:val="en-AU"/>
        </w:rPr>
        <w:t>PPAs</w:t>
      </w:r>
      <w:r w:rsidR="009B1311" w:rsidRPr="00843214">
        <w:rPr>
          <w:color w:val="auto"/>
          <w:lang w:val="en-AU"/>
        </w:rPr>
        <w:t xml:space="preserve"> </w:t>
      </w:r>
      <w:r w:rsidR="00467D78" w:rsidRPr="00843214">
        <w:rPr>
          <w:color w:val="auto"/>
          <w:lang w:val="en-AU"/>
        </w:rPr>
        <w:t>note that UN Women has strong systems for assessing risk, risk management systems, and implementing mitigation strategies relevant to context as well as proactively sharing program-level risks.</w:t>
      </w:r>
      <w:r w:rsidR="00776CE1" w:rsidRPr="00843214">
        <w:rPr>
          <w:color w:val="auto"/>
          <w:lang w:val="en-AU"/>
        </w:rPr>
        <w:t xml:space="preserve"> </w:t>
      </w:r>
      <w:r w:rsidR="00467D78" w:rsidRPr="00843214">
        <w:rPr>
          <w:color w:val="auto"/>
          <w:lang w:val="en-AU"/>
        </w:rPr>
        <w:t xml:space="preserve">Where there have been shortfalls in program-level risk assessments, </w:t>
      </w:r>
      <w:r w:rsidR="00E43E5D" w:rsidRPr="00843214">
        <w:rPr>
          <w:color w:val="auto"/>
          <w:lang w:val="en-AU"/>
        </w:rPr>
        <w:t>UN Women has</w:t>
      </w:r>
      <w:r w:rsidR="00467D78" w:rsidRPr="00843214">
        <w:rPr>
          <w:color w:val="auto"/>
          <w:lang w:val="en-AU"/>
        </w:rPr>
        <w:t xml:space="preserve"> addressed </w:t>
      </w:r>
      <w:r w:rsidR="00E43E5D" w:rsidRPr="00843214">
        <w:rPr>
          <w:color w:val="auto"/>
          <w:lang w:val="en-AU"/>
        </w:rPr>
        <w:t>them</w:t>
      </w:r>
      <w:r w:rsidR="00467D78" w:rsidRPr="00843214">
        <w:rPr>
          <w:color w:val="auto"/>
          <w:lang w:val="en-AU"/>
        </w:rPr>
        <w:t>.</w:t>
      </w:r>
      <w:r w:rsidR="00467D78" w:rsidRPr="00843214">
        <w:rPr>
          <w:rStyle w:val="FootnoteReference"/>
          <w:rFonts w:cstheme="minorHAnsi"/>
          <w:color w:val="auto"/>
          <w:lang w:val="en-AU"/>
        </w:rPr>
        <w:footnoteReference w:id="18"/>
      </w:r>
    </w:p>
    <w:p w14:paraId="05F8AAC9" w14:textId="2EF9D71E" w:rsidR="00601E22" w:rsidRPr="00843214" w:rsidRDefault="00610C0E" w:rsidP="00601E22">
      <w:pPr>
        <w:rPr>
          <w:rFonts w:cstheme="minorHAnsi"/>
          <w:color w:val="auto"/>
          <w:lang w:val="en-AU"/>
        </w:rPr>
      </w:pPr>
      <w:bookmarkStart w:id="43" w:name="_Hlk67576971"/>
      <w:r w:rsidRPr="00843214">
        <w:rPr>
          <w:rFonts w:cstheme="minorHAnsi"/>
          <w:b/>
          <w:bCs/>
          <w:color w:val="auto"/>
          <w:lang w:val="en-AU"/>
        </w:rPr>
        <w:t>UN Women’s approach to</w:t>
      </w:r>
      <w:r w:rsidR="00C92301" w:rsidRPr="00843214">
        <w:rPr>
          <w:rFonts w:cstheme="minorHAnsi"/>
          <w:b/>
          <w:bCs/>
          <w:color w:val="auto"/>
          <w:lang w:val="en-AU"/>
        </w:rPr>
        <w:t xml:space="preserve"> </w:t>
      </w:r>
      <w:r w:rsidRPr="00843214">
        <w:rPr>
          <w:rFonts w:cstheme="minorHAnsi"/>
          <w:b/>
          <w:bCs/>
          <w:color w:val="auto"/>
          <w:lang w:val="en-AU"/>
        </w:rPr>
        <w:t xml:space="preserve">public </w:t>
      </w:r>
      <w:r w:rsidR="00601E22" w:rsidRPr="00843214">
        <w:rPr>
          <w:b/>
          <w:color w:val="auto"/>
          <w:lang w:val="en-AU"/>
        </w:rPr>
        <w:t xml:space="preserve">visibility </w:t>
      </w:r>
      <w:r w:rsidRPr="00843214">
        <w:rPr>
          <w:b/>
          <w:color w:val="auto"/>
          <w:lang w:val="en-AU"/>
        </w:rPr>
        <w:t>of</w:t>
      </w:r>
      <w:r w:rsidR="00601E22" w:rsidRPr="00843214">
        <w:rPr>
          <w:b/>
          <w:color w:val="auto"/>
          <w:lang w:val="en-AU"/>
        </w:rPr>
        <w:t xml:space="preserve"> Australia’s contributions and the</w:t>
      </w:r>
      <w:r w:rsidRPr="00843214">
        <w:rPr>
          <w:b/>
          <w:color w:val="auto"/>
          <w:lang w:val="en-AU"/>
        </w:rPr>
        <w:t>ir</w:t>
      </w:r>
      <w:r w:rsidR="00C92301" w:rsidRPr="00843214">
        <w:rPr>
          <w:b/>
          <w:color w:val="auto"/>
          <w:lang w:val="en-AU"/>
        </w:rPr>
        <w:t xml:space="preserve"> </w:t>
      </w:r>
      <w:r w:rsidR="004713BE" w:rsidRPr="00843214">
        <w:rPr>
          <w:b/>
          <w:color w:val="auto"/>
          <w:lang w:val="en-AU"/>
        </w:rPr>
        <w:t xml:space="preserve">low </w:t>
      </w:r>
      <w:r w:rsidR="00601E22" w:rsidRPr="00843214">
        <w:rPr>
          <w:b/>
          <w:color w:val="auto"/>
          <w:lang w:val="en-AU"/>
        </w:rPr>
        <w:t>use of DFAT’s branding</w:t>
      </w:r>
      <w:r w:rsidR="00601E22" w:rsidRPr="00843214">
        <w:rPr>
          <w:rFonts w:cstheme="minorHAnsi"/>
          <w:b/>
          <w:bCs/>
          <w:color w:val="auto"/>
          <w:lang w:val="en-AU"/>
        </w:rPr>
        <w:t xml:space="preserve"> ha</w:t>
      </w:r>
      <w:r w:rsidRPr="00843214">
        <w:rPr>
          <w:rFonts w:cstheme="minorHAnsi"/>
          <w:b/>
          <w:bCs/>
          <w:color w:val="auto"/>
          <w:lang w:val="en-AU"/>
        </w:rPr>
        <w:t>ve</w:t>
      </w:r>
      <w:r w:rsidR="00601E22" w:rsidRPr="00843214">
        <w:rPr>
          <w:rFonts w:cstheme="minorHAnsi"/>
          <w:b/>
          <w:bCs/>
          <w:color w:val="auto"/>
          <w:lang w:val="en-AU"/>
        </w:rPr>
        <w:t xml:space="preserve"> raised</w:t>
      </w:r>
      <w:r w:rsidRPr="00843214">
        <w:rPr>
          <w:rFonts w:cstheme="minorHAnsi"/>
          <w:b/>
          <w:bCs/>
          <w:color w:val="auto"/>
          <w:lang w:val="en-AU"/>
        </w:rPr>
        <w:t xml:space="preserve"> more</w:t>
      </w:r>
      <w:r w:rsidR="00601E22" w:rsidRPr="00843214">
        <w:rPr>
          <w:rFonts w:cstheme="minorHAnsi"/>
          <w:b/>
          <w:bCs/>
          <w:color w:val="auto"/>
          <w:lang w:val="en-AU"/>
        </w:rPr>
        <w:t xml:space="preserve"> concerns than praise during stakeholder interviews</w:t>
      </w:r>
      <w:r w:rsidR="00495CC2" w:rsidRPr="00843214">
        <w:rPr>
          <w:rFonts w:cstheme="minorHAnsi"/>
          <w:b/>
          <w:bCs/>
          <w:color w:val="auto"/>
          <w:lang w:val="en-AU"/>
        </w:rPr>
        <w:t>.</w:t>
      </w:r>
      <w:r w:rsidR="009526EE" w:rsidRPr="00843214">
        <w:rPr>
          <w:rFonts w:cstheme="minorHAnsi"/>
          <w:color w:val="auto"/>
          <w:lang w:val="en-AU"/>
        </w:rPr>
        <w:t xml:space="preserve"> </w:t>
      </w:r>
      <w:r w:rsidR="00D625ED" w:rsidRPr="00843214">
        <w:rPr>
          <w:rFonts w:cstheme="minorHAnsi"/>
          <w:color w:val="auto"/>
          <w:lang w:val="en-AU"/>
        </w:rPr>
        <w:t>A</w:t>
      </w:r>
      <w:r w:rsidR="00601E22" w:rsidRPr="00843214">
        <w:rPr>
          <w:rFonts w:cstheme="minorHAnsi"/>
          <w:color w:val="auto"/>
          <w:lang w:val="en-AU"/>
        </w:rPr>
        <w:t xml:space="preserve"> lack of </w:t>
      </w:r>
      <w:r w:rsidR="00D625ED" w:rsidRPr="00843214">
        <w:rPr>
          <w:rFonts w:cstheme="minorHAnsi"/>
          <w:color w:val="auto"/>
          <w:lang w:val="en-AU"/>
        </w:rPr>
        <w:t xml:space="preserve">public </w:t>
      </w:r>
      <w:r w:rsidR="00601E22" w:rsidRPr="00843214">
        <w:rPr>
          <w:rFonts w:cstheme="minorHAnsi"/>
          <w:color w:val="auto"/>
          <w:lang w:val="en-AU"/>
        </w:rPr>
        <w:t xml:space="preserve">visibility has led to </w:t>
      </w:r>
      <w:r w:rsidR="000B5588" w:rsidRPr="00843214">
        <w:rPr>
          <w:rFonts w:cstheme="minorHAnsi"/>
          <w:color w:val="auto"/>
          <w:lang w:val="en-AU"/>
        </w:rPr>
        <w:t xml:space="preserve">multiple instances of </w:t>
      </w:r>
      <w:r w:rsidR="00601E22" w:rsidRPr="00843214">
        <w:rPr>
          <w:rFonts w:cstheme="minorHAnsi"/>
          <w:color w:val="auto"/>
          <w:lang w:val="en-AU"/>
        </w:rPr>
        <w:t xml:space="preserve">awkwardness with political stakeholders who </w:t>
      </w:r>
      <w:r w:rsidR="00B71CA9" w:rsidRPr="00843214">
        <w:rPr>
          <w:rFonts w:cstheme="minorHAnsi"/>
          <w:color w:val="auto"/>
          <w:lang w:val="en-AU"/>
        </w:rPr>
        <w:t>are not aware of</w:t>
      </w:r>
      <w:r w:rsidR="00601E22" w:rsidRPr="00843214">
        <w:rPr>
          <w:rFonts w:cstheme="minorHAnsi"/>
          <w:color w:val="auto"/>
          <w:lang w:val="en-AU"/>
        </w:rPr>
        <w:t xml:space="preserve"> Australia’s contribution. </w:t>
      </w:r>
      <w:bookmarkEnd w:id="43"/>
      <w:r w:rsidR="00C543F0" w:rsidRPr="00843214">
        <w:rPr>
          <w:color w:val="auto"/>
          <w:lang w:val="en-AU"/>
        </w:rPr>
        <w:t>Three</w:t>
      </w:r>
      <w:r w:rsidR="00601E22" w:rsidRPr="00843214">
        <w:rPr>
          <w:color w:val="auto"/>
          <w:lang w:val="en-AU"/>
        </w:rPr>
        <w:t xml:space="preserve"> DFAT country programs suggested that this is an area that could be improved,</w:t>
      </w:r>
      <w:r w:rsidR="00601E22" w:rsidRPr="00843214">
        <w:rPr>
          <w:rFonts w:cstheme="minorHAnsi"/>
          <w:color w:val="auto"/>
          <w:lang w:val="en-AU"/>
        </w:rPr>
        <w:t xml:space="preserve"> and one noted that application of DFAT branding can vary between programs within the same country. The Pacific Partnership for EVAW branding guidelines are highlighted as a useful and robust approach. </w:t>
      </w:r>
    </w:p>
    <w:p w14:paraId="3F3A4EC7" w14:textId="26C05072" w:rsidR="00467D78" w:rsidRPr="00843214" w:rsidRDefault="00467D78" w:rsidP="0051133D">
      <w:pPr>
        <w:rPr>
          <w:color w:val="auto"/>
          <w:lang w:val="en-AU"/>
        </w:rPr>
      </w:pPr>
      <w:r w:rsidRPr="00843214">
        <w:rPr>
          <w:b/>
          <w:bCs/>
          <w:color w:val="auto"/>
          <w:lang w:val="en-AU"/>
        </w:rPr>
        <w:t xml:space="preserve">UN Women is committed to results-based management (RBM) and has </w:t>
      </w:r>
      <w:r w:rsidR="00F94E98" w:rsidRPr="00843214">
        <w:rPr>
          <w:b/>
          <w:bCs/>
          <w:color w:val="auto"/>
          <w:lang w:val="en-AU"/>
        </w:rPr>
        <w:t>updated and improved its RBM system</w:t>
      </w:r>
      <w:r w:rsidRPr="00843214">
        <w:rPr>
          <w:color w:val="auto"/>
          <w:lang w:val="en-AU"/>
        </w:rPr>
        <w:t xml:space="preserve">. UN Women is </w:t>
      </w:r>
      <w:r w:rsidR="00F94E98" w:rsidRPr="00843214">
        <w:rPr>
          <w:color w:val="auto"/>
          <w:lang w:val="en-AU"/>
        </w:rPr>
        <w:t>also committed to</w:t>
      </w:r>
      <w:r w:rsidRPr="00843214">
        <w:rPr>
          <w:color w:val="auto"/>
          <w:lang w:val="en-AU"/>
        </w:rPr>
        <w:t xml:space="preserve"> improving capacities on gender, age, and disability responsive RBM of its partners. </w:t>
      </w:r>
      <w:r w:rsidR="00E43E5D" w:rsidRPr="00843214">
        <w:rPr>
          <w:color w:val="auto"/>
          <w:lang w:val="en-AU"/>
        </w:rPr>
        <w:t>S</w:t>
      </w:r>
      <w:r w:rsidRPr="00843214">
        <w:rPr>
          <w:color w:val="auto"/>
          <w:lang w:val="en-AU"/>
        </w:rPr>
        <w:t>everal evaluations report a strengthening of UN-Women RBM systems over time with continued room for improvement.</w:t>
      </w:r>
      <w:r w:rsidR="00C44394" w:rsidRPr="00843214">
        <w:rPr>
          <w:color w:val="auto"/>
          <w:lang w:val="en-AU"/>
        </w:rPr>
        <w:t xml:space="preserve"> DFAT’s PPAs assess UN Women program M&amp;E as generally positive though variable, ranging from excellent to adequate</w:t>
      </w:r>
      <w:r w:rsidR="00936B3A" w:rsidRPr="00843214">
        <w:rPr>
          <w:color w:val="auto"/>
          <w:lang w:val="en-AU"/>
        </w:rPr>
        <w:t>. The PPAs call for improvement in</w:t>
      </w:r>
      <w:r w:rsidR="00C44394" w:rsidRPr="00843214">
        <w:rPr>
          <w:color w:val="auto"/>
          <w:lang w:val="en-AU"/>
        </w:rPr>
        <w:t xml:space="preserve"> UN Women’s understanding of performance</w:t>
      </w:r>
      <w:r w:rsidR="00E97BE2" w:rsidRPr="00843214">
        <w:rPr>
          <w:color w:val="auto"/>
          <w:lang w:val="en-AU"/>
        </w:rPr>
        <w:t xml:space="preserve"> at outcome level</w:t>
      </w:r>
      <w:r w:rsidR="00C44394" w:rsidRPr="00843214">
        <w:rPr>
          <w:color w:val="auto"/>
          <w:lang w:val="en-AU"/>
        </w:rPr>
        <w:t>.</w:t>
      </w:r>
      <w:r w:rsidR="0051133D" w:rsidRPr="00843214">
        <w:rPr>
          <w:color w:val="auto"/>
          <w:lang w:val="en-AU"/>
        </w:rPr>
        <w:t xml:space="preserve"> The </w:t>
      </w:r>
      <w:r w:rsidR="005D1629" w:rsidRPr="00843214">
        <w:rPr>
          <w:color w:val="auto"/>
          <w:lang w:val="en-AU"/>
        </w:rPr>
        <w:t xml:space="preserve">2019 </w:t>
      </w:r>
      <w:r w:rsidR="00936B3A" w:rsidRPr="00843214">
        <w:rPr>
          <w:color w:val="auto"/>
          <w:lang w:val="en-AU"/>
        </w:rPr>
        <w:t>M</w:t>
      </w:r>
      <w:r w:rsidR="001B293B" w:rsidRPr="00843214">
        <w:rPr>
          <w:color w:val="auto"/>
          <w:lang w:val="en-AU"/>
        </w:rPr>
        <w:t xml:space="preserve">id-Term Review </w:t>
      </w:r>
      <w:r w:rsidR="0051133D" w:rsidRPr="00843214">
        <w:rPr>
          <w:color w:val="auto"/>
          <w:lang w:val="en-AU"/>
        </w:rPr>
        <w:t xml:space="preserve">of the </w:t>
      </w:r>
      <w:r w:rsidR="005D1629" w:rsidRPr="00843214">
        <w:rPr>
          <w:color w:val="auto"/>
          <w:lang w:val="en-AU"/>
        </w:rPr>
        <w:t xml:space="preserve">UN Women’s </w:t>
      </w:r>
      <w:r w:rsidR="0051133D" w:rsidRPr="00843214">
        <w:rPr>
          <w:color w:val="auto"/>
          <w:lang w:val="en-AU"/>
        </w:rPr>
        <w:t xml:space="preserve">Strategic Plan </w:t>
      </w:r>
      <w:r w:rsidR="00A03BB2" w:rsidRPr="00843214">
        <w:rPr>
          <w:color w:val="auto"/>
          <w:lang w:val="en-AU"/>
        </w:rPr>
        <w:t>identifies</w:t>
      </w:r>
      <w:r w:rsidR="0051133D" w:rsidRPr="00843214">
        <w:rPr>
          <w:color w:val="auto"/>
          <w:lang w:val="en-AU"/>
        </w:rPr>
        <w:t xml:space="preserve"> quality </w:t>
      </w:r>
      <w:r w:rsidR="0051133D" w:rsidRPr="00843214">
        <w:rPr>
          <w:color w:val="auto"/>
          <w:lang w:val="en-AU"/>
        </w:rPr>
        <w:lastRenderedPageBreak/>
        <w:t>improvement in UN Women’s Strategic Notes</w:t>
      </w:r>
      <w:r w:rsidR="0051133D" w:rsidRPr="00843214">
        <w:rPr>
          <w:rStyle w:val="FootnoteReference"/>
          <w:color w:val="auto"/>
          <w:lang w:val="en-AU"/>
        </w:rPr>
        <w:footnoteReference w:id="19"/>
      </w:r>
      <w:r w:rsidR="00B15DC3" w:rsidRPr="00843214">
        <w:rPr>
          <w:color w:val="auto"/>
          <w:lang w:val="en-AU"/>
        </w:rPr>
        <w:t>;</w:t>
      </w:r>
      <w:r w:rsidR="0051133D" w:rsidRPr="00843214">
        <w:rPr>
          <w:color w:val="auto"/>
          <w:lang w:val="en-AU"/>
        </w:rPr>
        <w:t xml:space="preserve"> </w:t>
      </w:r>
      <w:r w:rsidR="00B15DC3" w:rsidRPr="00843214">
        <w:rPr>
          <w:color w:val="auto"/>
          <w:lang w:val="en-AU"/>
        </w:rPr>
        <w:t>h</w:t>
      </w:r>
      <w:r w:rsidR="0051133D" w:rsidRPr="00843214">
        <w:rPr>
          <w:color w:val="auto"/>
          <w:lang w:val="en-AU"/>
        </w:rPr>
        <w:t xml:space="preserve">owever, </w:t>
      </w:r>
      <w:r w:rsidR="00AF1E48" w:rsidRPr="00843214">
        <w:rPr>
          <w:color w:val="auto"/>
          <w:lang w:val="en-AU"/>
        </w:rPr>
        <w:t xml:space="preserve">more alignment is needed </w:t>
      </w:r>
      <w:r w:rsidR="0051133D" w:rsidRPr="00843214">
        <w:rPr>
          <w:color w:val="auto"/>
          <w:lang w:val="en-AU"/>
        </w:rPr>
        <w:t xml:space="preserve">to allow donors to engage and understand </w:t>
      </w:r>
      <w:r w:rsidR="00AF1E48" w:rsidRPr="00843214">
        <w:rPr>
          <w:color w:val="auto"/>
          <w:lang w:val="en-AU"/>
        </w:rPr>
        <w:t>results</w:t>
      </w:r>
      <w:r w:rsidR="0051133D" w:rsidRPr="00843214">
        <w:rPr>
          <w:color w:val="auto"/>
          <w:lang w:val="en-AU"/>
        </w:rPr>
        <w:t xml:space="preserve"> across investments</w:t>
      </w:r>
      <w:r w:rsidR="0051133D" w:rsidRPr="00843214">
        <w:rPr>
          <w:rStyle w:val="FootnoteReference"/>
          <w:color w:val="auto"/>
          <w:lang w:val="en-AU"/>
        </w:rPr>
        <w:footnoteReference w:id="20"/>
      </w:r>
      <w:r w:rsidR="0051133D" w:rsidRPr="00843214">
        <w:rPr>
          <w:color w:val="auto"/>
          <w:lang w:val="en-AU"/>
        </w:rPr>
        <w:t>.</w:t>
      </w:r>
      <w:r w:rsidR="002F13C9" w:rsidRPr="00843214">
        <w:rPr>
          <w:color w:val="auto"/>
          <w:lang w:val="en-AU"/>
        </w:rPr>
        <w:t xml:space="preserve"> </w:t>
      </w:r>
    </w:p>
    <w:p w14:paraId="3A5027E1" w14:textId="13A59B7B" w:rsidR="00467D78" w:rsidRPr="00843214" w:rsidRDefault="00467D78" w:rsidP="00467D78">
      <w:pPr>
        <w:pStyle w:val="Heading4"/>
        <w:rPr>
          <w:b/>
          <w:bCs/>
          <w:color w:val="auto"/>
          <w:sz w:val="25"/>
          <w:szCs w:val="32"/>
          <w:lang w:val="en-AU"/>
        </w:rPr>
      </w:pPr>
      <w:r w:rsidRPr="00843214">
        <w:rPr>
          <w:b/>
          <w:bCs/>
          <w:color w:val="auto"/>
          <w:sz w:val="25"/>
          <w:szCs w:val="32"/>
          <w:lang w:val="en-AU"/>
        </w:rPr>
        <w:t>Objective 2: Normative</w:t>
      </w:r>
    </w:p>
    <w:tbl>
      <w:tblPr>
        <w:tblStyle w:val="TableGridLight"/>
        <w:tblW w:w="5131" w:type="pct"/>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5194"/>
        <w:gridCol w:w="776"/>
        <w:gridCol w:w="3272"/>
      </w:tblGrid>
      <w:tr w:rsidR="00843214" w:rsidRPr="00843214" w14:paraId="04BDF988" w14:textId="77777777" w:rsidTr="00C00F20">
        <w:trPr>
          <w:trHeight w:val="246"/>
        </w:trPr>
        <w:tc>
          <w:tcPr>
            <w:tcW w:w="2815" w:type="pct"/>
            <w:shd w:val="clear" w:color="auto" w:fill="auto"/>
          </w:tcPr>
          <w:p w14:paraId="51F942BC" w14:textId="11DB56B6" w:rsidR="008224BF" w:rsidRPr="00843214" w:rsidRDefault="008224BF" w:rsidP="008224BF">
            <w:pPr>
              <w:spacing w:after="0"/>
              <w:rPr>
                <w:rFonts w:cstheme="minorHAnsi"/>
                <w:color w:val="auto"/>
                <w:sz w:val="16"/>
                <w:szCs w:val="16"/>
                <w:lang w:val="en-AU"/>
              </w:rPr>
            </w:pPr>
            <w:r w:rsidRPr="00843214">
              <w:rPr>
                <w:rFonts w:cstheme="minorHAnsi"/>
                <w:b/>
                <w:bCs/>
                <w:color w:val="auto"/>
                <w:sz w:val="18"/>
                <w:szCs w:val="18"/>
                <w:lang w:val="en-AU"/>
              </w:rPr>
              <w:t>SPF objective and sub-objectives</w:t>
            </w:r>
          </w:p>
        </w:tc>
        <w:tc>
          <w:tcPr>
            <w:tcW w:w="410" w:type="pct"/>
            <w:shd w:val="clear" w:color="auto" w:fill="92D050"/>
          </w:tcPr>
          <w:p w14:paraId="628202C2" w14:textId="269A3366" w:rsidR="008224BF" w:rsidRPr="00843214" w:rsidRDefault="008224BF" w:rsidP="008224BF">
            <w:pPr>
              <w:spacing w:after="0"/>
              <w:rPr>
                <w:color w:val="auto"/>
                <w:sz w:val="16"/>
                <w:szCs w:val="16"/>
                <w:lang w:val="en-AU"/>
              </w:rPr>
            </w:pPr>
            <w:r w:rsidRPr="00843214">
              <w:rPr>
                <w:b/>
                <w:bCs/>
                <w:color w:val="auto"/>
                <w:sz w:val="18"/>
                <w:szCs w:val="18"/>
                <w:lang w:val="en-AU"/>
              </w:rPr>
              <w:t>Rating</w:t>
            </w:r>
          </w:p>
        </w:tc>
        <w:tc>
          <w:tcPr>
            <w:tcW w:w="1775" w:type="pct"/>
          </w:tcPr>
          <w:p w14:paraId="30B0ABDD" w14:textId="71EC9595" w:rsidR="008224BF" w:rsidRPr="00843214" w:rsidRDefault="008224BF" w:rsidP="008224BF">
            <w:pPr>
              <w:spacing w:after="0"/>
              <w:rPr>
                <w:color w:val="auto"/>
                <w:sz w:val="16"/>
                <w:szCs w:val="16"/>
                <w:lang w:val="en-AU"/>
              </w:rPr>
            </w:pPr>
            <w:r w:rsidRPr="00843214">
              <w:rPr>
                <w:b/>
                <w:bCs/>
                <w:color w:val="auto"/>
                <w:sz w:val="18"/>
                <w:szCs w:val="18"/>
                <w:lang w:val="en-AU"/>
              </w:rPr>
              <w:t>Summary rationale for rating</w:t>
            </w:r>
          </w:p>
        </w:tc>
      </w:tr>
      <w:tr w:rsidR="00843214" w:rsidRPr="00843214" w14:paraId="3893EF84" w14:textId="77777777" w:rsidTr="00C00F20">
        <w:trPr>
          <w:trHeight w:val="246"/>
        </w:trPr>
        <w:tc>
          <w:tcPr>
            <w:tcW w:w="2815" w:type="pct"/>
            <w:shd w:val="clear" w:color="auto" w:fill="auto"/>
          </w:tcPr>
          <w:p w14:paraId="34460A03" w14:textId="77777777" w:rsidR="008224BF" w:rsidRPr="00843214" w:rsidRDefault="008224BF" w:rsidP="008224BF">
            <w:pPr>
              <w:spacing w:after="0"/>
              <w:rPr>
                <w:rFonts w:cstheme="minorHAnsi"/>
                <w:color w:val="auto"/>
                <w:sz w:val="16"/>
                <w:szCs w:val="16"/>
                <w:lang w:val="en-AU"/>
              </w:rPr>
            </w:pPr>
            <w:r w:rsidRPr="00843214">
              <w:rPr>
                <w:rFonts w:cstheme="minorHAnsi"/>
                <w:color w:val="auto"/>
                <w:sz w:val="16"/>
                <w:szCs w:val="16"/>
                <w:lang w:val="en-AU"/>
              </w:rPr>
              <w:t>Agenda-setting, implementation and promotion of global agreements, norms, policies and standards on gender equality and women’s empowerment (GEWE).</w:t>
            </w:r>
          </w:p>
          <w:p w14:paraId="7DFADBBE" w14:textId="77777777" w:rsidR="008224BF" w:rsidRPr="00843214" w:rsidRDefault="008224BF" w:rsidP="008224BF">
            <w:pPr>
              <w:pStyle w:val="ListParagraph"/>
              <w:numPr>
                <w:ilvl w:val="0"/>
                <w:numId w:val="15"/>
              </w:numPr>
              <w:spacing w:after="0"/>
              <w:ind w:left="240" w:hanging="90"/>
              <w:rPr>
                <w:rFonts w:cstheme="minorHAnsi"/>
                <w:color w:val="auto"/>
                <w:sz w:val="16"/>
                <w:szCs w:val="16"/>
                <w:lang w:val="en-AU"/>
              </w:rPr>
            </w:pPr>
            <w:r w:rsidRPr="00843214">
              <w:rPr>
                <w:rFonts w:cstheme="minorHAnsi"/>
                <w:color w:val="auto"/>
                <w:sz w:val="16"/>
                <w:szCs w:val="16"/>
                <w:lang w:val="en-AU"/>
              </w:rPr>
              <w:t>Putting gender equality at the centre of the global agenda</w:t>
            </w:r>
          </w:p>
          <w:p w14:paraId="1BCD133E" w14:textId="78780B91" w:rsidR="008224BF" w:rsidRPr="00843214" w:rsidRDefault="008224BF" w:rsidP="008224BF">
            <w:pPr>
              <w:pStyle w:val="ListParagraph"/>
              <w:numPr>
                <w:ilvl w:val="0"/>
                <w:numId w:val="15"/>
              </w:numPr>
              <w:spacing w:after="0"/>
              <w:ind w:left="240" w:hanging="90"/>
              <w:rPr>
                <w:rFonts w:cstheme="minorHAnsi"/>
                <w:color w:val="auto"/>
                <w:sz w:val="16"/>
                <w:szCs w:val="16"/>
                <w:lang w:val="en-AU"/>
              </w:rPr>
            </w:pPr>
            <w:r w:rsidRPr="00843214">
              <w:rPr>
                <w:rFonts w:cstheme="minorHAnsi"/>
                <w:color w:val="auto"/>
                <w:sz w:val="16"/>
                <w:szCs w:val="16"/>
                <w:lang w:val="en-AU"/>
              </w:rPr>
              <w:t>Supporting and promoting research that informs and supports strategies to improve GEWE</w:t>
            </w:r>
            <w:r w:rsidR="0071156A" w:rsidRPr="00843214">
              <w:rPr>
                <w:rFonts w:cstheme="minorHAnsi"/>
                <w:color w:val="auto"/>
                <w:sz w:val="16"/>
                <w:szCs w:val="16"/>
                <w:lang w:val="en-AU"/>
              </w:rPr>
              <w:t>.</w:t>
            </w:r>
          </w:p>
          <w:p w14:paraId="2567F7E2" w14:textId="743150EC" w:rsidR="008224BF" w:rsidRPr="00843214" w:rsidRDefault="008224BF" w:rsidP="008224BF">
            <w:pPr>
              <w:pStyle w:val="ListParagraph"/>
              <w:numPr>
                <w:ilvl w:val="0"/>
                <w:numId w:val="15"/>
              </w:numPr>
              <w:spacing w:after="0"/>
              <w:ind w:left="240" w:hanging="90"/>
              <w:rPr>
                <w:rFonts w:cstheme="minorHAnsi"/>
                <w:color w:val="auto"/>
                <w:sz w:val="16"/>
                <w:szCs w:val="16"/>
                <w:lang w:val="en-AU"/>
              </w:rPr>
            </w:pPr>
            <w:r w:rsidRPr="00843214">
              <w:rPr>
                <w:rFonts w:cstheme="minorHAnsi"/>
                <w:color w:val="auto"/>
                <w:sz w:val="16"/>
                <w:szCs w:val="16"/>
                <w:lang w:val="en-AU"/>
              </w:rPr>
              <w:t>Raising public awareness about the importance of GEWE and how it can be achieved</w:t>
            </w:r>
            <w:r w:rsidR="0071156A" w:rsidRPr="00843214">
              <w:rPr>
                <w:rFonts w:cstheme="minorHAnsi"/>
                <w:color w:val="auto"/>
                <w:sz w:val="16"/>
                <w:szCs w:val="16"/>
                <w:lang w:val="en-AU"/>
              </w:rPr>
              <w:t>.</w:t>
            </w:r>
          </w:p>
          <w:p w14:paraId="209D6215" w14:textId="5E758C2B" w:rsidR="008224BF" w:rsidRPr="00843214" w:rsidRDefault="008224BF" w:rsidP="008224BF">
            <w:pPr>
              <w:pStyle w:val="ListParagraph"/>
              <w:numPr>
                <w:ilvl w:val="0"/>
                <w:numId w:val="15"/>
              </w:numPr>
              <w:spacing w:after="0"/>
              <w:ind w:left="240" w:hanging="90"/>
              <w:rPr>
                <w:rFonts w:cstheme="minorHAnsi"/>
                <w:color w:val="auto"/>
                <w:sz w:val="16"/>
                <w:szCs w:val="16"/>
                <w:lang w:val="en-AU"/>
              </w:rPr>
            </w:pPr>
            <w:r w:rsidRPr="00843214">
              <w:rPr>
                <w:rFonts w:cstheme="minorHAnsi"/>
                <w:color w:val="auto"/>
                <w:sz w:val="16"/>
                <w:szCs w:val="16"/>
                <w:lang w:val="en-AU"/>
              </w:rPr>
              <w:t>Developing, supporting, and promoting mechanisms that monitor and evaluate how gender equality is successfully and effectively incorporated in the implementation of global agreements including the SDGs and Addis Ababa Action Agenda</w:t>
            </w:r>
          </w:p>
          <w:p w14:paraId="1728CDB8" w14:textId="09F44E1C" w:rsidR="008224BF" w:rsidRPr="00843214" w:rsidRDefault="008224BF" w:rsidP="008224BF">
            <w:pPr>
              <w:pStyle w:val="ListParagraph"/>
              <w:numPr>
                <w:ilvl w:val="0"/>
                <w:numId w:val="15"/>
              </w:numPr>
              <w:spacing w:after="0"/>
              <w:ind w:left="240" w:hanging="90"/>
              <w:rPr>
                <w:rFonts w:cstheme="minorHAnsi"/>
                <w:color w:val="auto"/>
                <w:sz w:val="16"/>
                <w:szCs w:val="16"/>
                <w:lang w:val="en-AU"/>
              </w:rPr>
            </w:pPr>
            <w:r w:rsidRPr="00843214">
              <w:rPr>
                <w:rFonts w:cstheme="minorHAnsi"/>
                <w:color w:val="auto"/>
                <w:sz w:val="16"/>
                <w:szCs w:val="16"/>
                <w:lang w:val="en-AU"/>
              </w:rPr>
              <w:t>GEWE are explicitly and routinely built into national and global monitoring, evaluation and learning processes</w:t>
            </w:r>
          </w:p>
        </w:tc>
        <w:tc>
          <w:tcPr>
            <w:tcW w:w="410" w:type="pct"/>
            <w:shd w:val="clear" w:color="auto" w:fill="92D050"/>
          </w:tcPr>
          <w:p w14:paraId="1D5B77F1" w14:textId="77777777" w:rsidR="008224BF" w:rsidRPr="00843214" w:rsidRDefault="008224BF" w:rsidP="008224BF">
            <w:pPr>
              <w:spacing w:after="0"/>
              <w:rPr>
                <w:color w:val="auto"/>
                <w:sz w:val="16"/>
                <w:szCs w:val="16"/>
                <w:lang w:val="en-AU"/>
              </w:rPr>
            </w:pPr>
          </w:p>
        </w:tc>
        <w:tc>
          <w:tcPr>
            <w:tcW w:w="1775" w:type="pct"/>
          </w:tcPr>
          <w:p w14:paraId="1368DA86" w14:textId="59FB93D3" w:rsidR="008224BF" w:rsidRPr="00843214" w:rsidRDefault="008224BF" w:rsidP="008224BF">
            <w:pPr>
              <w:spacing w:after="0"/>
              <w:rPr>
                <w:color w:val="auto"/>
                <w:sz w:val="16"/>
                <w:szCs w:val="16"/>
                <w:lang w:val="en-AU"/>
              </w:rPr>
            </w:pPr>
            <w:r w:rsidRPr="00843214">
              <w:rPr>
                <w:color w:val="auto"/>
                <w:sz w:val="16"/>
                <w:szCs w:val="16"/>
                <w:lang w:val="en-AU"/>
              </w:rPr>
              <w:t>Through critical core resourcing</w:t>
            </w:r>
            <w:r w:rsidR="00B15DC3" w:rsidRPr="00843214">
              <w:rPr>
                <w:color w:val="auto"/>
                <w:sz w:val="16"/>
                <w:szCs w:val="16"/>
                <w:lang w:val="en-AU"/>
              </w:rPr>
              <w:t xml:space="preserve"> support</w:t>
            </w:r>
            <w:r w:rsidRPr="00843214">
              <w:rPr>
                <w:color w:val="auto"/>
                <w:sz w:val="16"/>
                <w:szCs w:val="16"/>
                <w:lang w:val="en-AU"/>
              </w:rPr>
              <w:t xml:space="preserve">, UN Women has made significant progress in global normative work and contributed through research that informs policy making. The work at the global level has allowed UN Women to support public awareness raising of GEWE globally and within </w:t>
            </w:r>
            <w:r w:rsidR="00B15DC3" w:rsidRPr="00843214">
              <w:rPr>
                <w:color w:val="auto"/>
                <w:sz w:val="16"/>
                <w:szCs w:val="16"/>
                <w:lang w:val="en-AU"/>
              </w:rPr>
              <w:t xml:space="preserve">the </w:t>
            </w:r>
            <w:r w:rsidRPr="00843214">
              <w:rPr>
                <w:color w:val="auto"/>
                <w:sz w:val="16"/>
                <w:szCs w:val="16"/>
                <w:lang w:val="en-AU"/>
              </w:rPr>
              <w:t xml:space="preserve">Indo-Pacific region which is enhanced by clear alignment and political support from DFAT. Core resourcing supports UN Women’s leadership in UN System integration of </w:t>
            </w:r>
            <w:r w:rsidR="00B15DC3" w:rsidRPr="00843214">
              <w:rPr>
                <w:color w:val="auto"/>
                <w:sz w:val="16"/>
                <w:szCs w:val="16"/>
                <w:lang w:val="en-AU"/>
              </w:rPr>
              <w:t xml:space="preserve">a </w:t>
            </w:r>
            <w:r w:rsidRPr="00843214">
              <w:rPr>
                <w:color w:val="auto"/>
                <w:sz w:val="16"/>
                <w:szCs w:val="16"/>
                <w:lang w:val="en-AU"/>
              </w:rPr>
              <w:t>gender lens on SDGs and leadership in supporting monitoring on GEWE</w:t>
            </w:r>
          </w:p>
        </w:tc>
      </w:tr>
    </w:tbl>
    <w:p w14:paraId="664FF679" w14:textId="2362FA9E" w:rsidR="00467D78" w:rsidRPr="00843214" w:rsidRDefault="00467D78" w:rsidP="000E0192">
      <w:pPr>
        <w:spacing w:before="240"/>
        <w:rPr>
          <w:rFonts w:cstheme="minorBidi"/>
          <w:color w:val="auto"/>
          <w:lang w:val="en-AU"/>
        </w:rPr>
      </w:pPr>
      <w:r w:rsidRPr="00843214">
        <w:rPr>
          <w:b/>
          <w:bCs/>
          <w:color w:val="auto"/>
          <w:lang w:val="en-AU"/>
        </w:rPr>
        <w:t xml:space="preserve">During the </w:t>
      </w:r>
      <w:r w:rsidR="00F56718" w:rsidRPr="00843214">
        <w:rPr>
          <w:b/>
          <w:bCs/>
          <w:color w:val="auto"/>
          <w:lang w:val="en-AU"/>
        </w:rPr>
        <w:t>SPF</w:t>
      </w:r>
      <w:r w:rsidRPr="00843214">
        <w:rPr>
          <w:b/>
          <w:bCs/>
          <w:color w:val="auto"/>
          <w:lang w:val="en-AU"/>
        </w:rPr>
        <w:t xml:space="preserve"> period there have been significant gains in improving norms, </w:t>
      </w:r>
      <w:proofErr w:type="gramStart"/>
      <w:r w:rsidRPr="00843214">
        <w:rPr>
          <w:b/>
          <w:bCs/>
          <w:color w:val="auto"/>
          <w:lang w:val="en-AU"/>
        </w:rPr>
        <w:t>policies</w:t>
      </w:r>
      <w:proofErr w:type="gramEnd"/>
      <w:r w:rsidRPr="00843214">
        <w:rPr>
          <w:b/>
          <w:bCs/>
          <w:color w:val="auto"/>
          <w:lang w:val="en-AU"/>
        </w:rPr>
        <w:t xml:space="preserve"> and standards on </w:t>
      </w:r>
      <w:r w:rsidR="00704B72" w:rsidRPr="00843214">
        <w:rPr>
          <w:b/>
          <w:bCs/>
          <w:color w:val="auto"/>
          <w:lang w:val="en-AU"/>
        </w:rPr>
        <w:t>GEWE</w:t>
      </w:r>
      <w:r w:rsidRPr="00843214">
        <w:rPr>
          <w:b/>
          <w:bCs/>
          <w:color w:val="auto"/>
          <w:lang w:val="en-AU"/>
        </w:rPr>
        <w:t xml:space="preserve"> at the global level.</w:t>
      </w:r>
      <w:r w:rsidRPr="00843214">
        <w:rPr>
          <w:color w:val="auto"/>
          <w:lang w:val="en-AU"/>
        </w:rPr>
        <w:t xml:space="preserve"> </w:t>
      </w:r>
      <w:r w:rsidR="00765C76" w:rsidRPr="00843214">
        <w:rPr>
          <w:color w:val="auto"/>
          <w:lang w:val="en-AU"/>
        </w:rPr>
        <w:t xml:space="preserve">DFAT’s core </w:t>
      </w:r>
      <w:r w:rsidRPr="00843214">
        <w:rPr>
          <w:color w:val="auto"/>
          <w:lang w:val="en-AU"/>
        </w:rPr>
        <w:t xml:space="preserve">support enables UN Women to take a leadership and advocacy role </w:t>
      </w:r>
      <w:r w:rsidR="00385001" w:rsidRPr="00843214">
        <w:rPr>
          <w:color w:val="auto"/>
          <w:lang w:val="en-AU"/>
        </w:rPr>
        <w:t xml:space="preserve">that </w:t>
      </w:r>
      <w:r w:rsidRPr="00843214">
        <w:rPr>
          <w:color w:val="auto"/>
          <w:lang w:val="en-AU"/>
        </w:rPr>
        <w:t>put</w:t>
      </w:r>
      <w:r w:rsidR="00F61CAF" w:rsidRPr="00843214">
        <w:rPr>
          <w:color w:val="auto"/>
          <w:lang w:val="en-AU"/>
        </w:rPr>
        <w:t>s</w:t>
      </w:r>
      <w:r w:rsidRPr="00843214">
        <w:rPr>
          <w:color w:val="auto"/>
          <w:lang w:val="en-AU"/>
        </w:rPr>
        <w:t xml:space="preserve"> gender at the centre of the global</w:t>
      </w:r>
      <w:r w:rsidRPr="00843214">
        <w:rPr>
          <w:rFonts w:cstheme="minorBidi"/>
          <w:color w:val="auto"/>
          <w:lang w:val="en-AU"/>
        </w:rPr>
        <w:t xml:space="preserve"> agenda. In UN Women’s EVAW</w:t>
      </w:r>
      <w:r w:rsidR="00F61CAF" w:rsidRPr="00843214">
        <w:rPr>
          <w:rFonts w:cstheme="minorBidi"/>
          <w:color w:val="auto"/>
          <w:lang w:val="en-AU"/>
        </w:rPr>
        <w:t>G</w:t>
      </w:r>
      <w:r w:rsidRPr="00843214">
        <w:rPr>
          <w:rFonts w:cstheme="minorBidi"/>
          <w:color w:val="auto"/>
          <w:lang w:val="en-AU"/>
        </w:rPr>
        <w:t xml:space="preserve"> and </w:t>
      </w:r>
      <w:r w:rsidR="00691633" w:rsidRPr="00843214">
        <w:rPr>
          <w:rFonts w:cstheme="minorBidi"/>
          <w:color w:val="auto"/>
          <w:lang w:val="en-AU"/>
        </w:rPr>
        <w:t>Women, Peace and Security (</w:t>
      </w:r>
      <w:r w:rsidRPr="00843214">
        <w:rPr>
          <w:rFonts w:cstheme="minorBidi"/>
          <w:color w:val="auto"/>
          <w:lang w:val="en-AU"/>
        </w:rPr>
        <w:t>WPS</w:t>
      </w:r>
      <w:r w:rsidR="00691633" w:rsidRPr="00843214">
        <w:rPr>
          <w:rFonts w:cstheme="minorBidi"/>
          <w:color w:val="auto"/>
          <w:lang w:val="en-AU"/>
        </w:rPr>
        <w:t>)</w:t>
      </w:r>
      <w:r w:rsidRPr="00843214">
        <w:rPr>
          <w:rFonts w:cstheme="minorBidi"/>
          <w:color w:val="auto"/>
          <w:lang w:val="en-AU"/>
        </w:rPr>
        <w:t xml:space="preserve"> </w:t>
      </w:r>
      <w:r w:rsidR="00F94E98" w:rsidRPr="00843214">
        <w:rPr>
          <w:rFonts w:cstheme="minorBidi"/>
          <w:color w:val="auto"/>
          <w:lang w:val="en-AU"/>
        </w:rPr>
        <w:t>initiatives,</w:t>
      </w:r>
      <w:r w:rsidRPr="00843214">
        <w:rPr>
          <w:rFonts w:cstheme="minorBidi"/>
          <w:color w:val="auto"/>
          <w:lang w:val="en-AU"/>
        </w:rPr>
        <w:t xml:space="preserve"> policy work forms</w:t>
      </w:r>
      <w:r w:rsidR="00E55B82" w:rsidRPr="00843214">
        <w:rPr>
          <w:rFonts w:cstheme="minorBidi"/>
          <w:color w:val="auto"/>
          <w:lang w:val="en-AU"/>
        </w:rPr>
        <w:t xml:space="preserve"> a</w:t>
      </w:r>
      <w:r w:rsidRPr="00843214">
        <w:rPr>
          <w:rFonts w:cstheme="minorBidi"/>
          <w:color w:val="auto"/>
          <w:lang w:val="en-AU"/>
        </w:rPr>
        <w:t xml:space="preserve"> strong basis for count</w:t>
      </w:r>
      <w:r w:rsidR="000E0192" w:rsidRPr="00843214">
        <w:rPr>
          <w:rFonts w:cstheme="minorBidi"/>
          <w:color w:val="auto"/>
          <w:lang w:val="en-AU"/>
        </w:rPr>
        <w:t>r</w:t>
      </w:r>
      <w:r w:rsidRPr="00843214">
        <w:rPr>
          <w:rFonts w:cstheme="minorBidi"/>
          <w:color w:val="auto"/>
          <w:lang w:val="en-AU"/>
        </w:rPr>
        <w:t xml:space="preserve">y and regional level programming. </w:t>
      </w:r>
      <w:r w:rsidR="000E0192" w:rsidRPr="00843214">
        <w:rPr>
          <w:rFonts w:cstheme="minorBidi"/>
          <w:color w:val="auto"/>
          <w:lang w:val="en-AU"/>
        </w:rPr>
        <w:t>UN Women has overachieved its output indicators on setting global norms on GEWE</w:t>
      </w:r>
      <w:r w:rsidR="009869B9" w:rsidRPr="00843214">
        <w:rPr>
          <w:rFonts w:cstheme="minorBidi"/>
          <w:color w:val="auto"/>
          <w:lang w:val="en-AU"/>
        </w:rPr>
        <w:t>,</w:t>
      </w:r>
      <w:r w:rsidR="000E0192" w:rsidRPr="00843214">
        <w:rPr>
          <w:color w:val="auto"/>
        </w:rPr>
        <w:t xml:space="preserve"> driven by </w:t>
      </w:r>
      <w:r w:rsidR="000E0192" w:rsidRPr="00843214">
        <w:rPr>
          <w:rFonts w:cstheme="minorBidi"/>
          <w:color w:val="auto"/>
          <w:lang w:val="en-AU"/>
        </w:rPr>
        <w:t>UN-Women’s technical expertise, partnerships</w:t>
      </w:r>
      <w:r w:rsidR="00B15DC3" w:rsidRPr="00843214">
        <w:rPr>
          <w:rFonts w:cstheme="minorBidi"/>
          <w:color w:val="auto"/>
          <w:lang w:val="en-AU"/>
        </w:rPr>
        <w:t>,</w:t>
      </w:r>
      <w:r w:rsidR="000E0192" w:rsidRPr="00843214">
        <w:rPr>
          <w:rFonts w:cstheme="minorBidi"/>
          <w:color w:val="auto"/>
          <w:lang w:val="en-AU"/>
        </w:rPr>
        <w:t xml:space="preserve"> and influence on intergovernmental processes.</w:t>
      </w:r>
      <w:r w:rsidR="000E0192" w:rsidRPr="00843214">
        <w:rPr>
          <w:rStyle w:val="FootnoteReference"/>
          <w:rFonts w:cstheme="minorBidi"/>
          <w:color w:val="auto"/>
          <w:lang w:val="en-AU"/>
        </w:rPr>
        <w:footnoteReference w:id="21"/>
      </w:r>
      <w:r w:rsidR="000E0192" w:rsidRPr="00843214">
        <w:rPr>
          <w:rFonts w:cstheme="minorBidi"/>
          <w:color w:val="auto"/>
          <w:lang w:val="en-AU"/>
        </w:rPr>
        <w:t xml:space="preserve"> </w:t>
      </w:r>
    </w:p>
    <w:p w14:paraId="7B83FA2F" w14:textId="5963D8F6" w:rsidR="00467D78" w:rsidRPr="00843214" w:rsidRDefault="00467D78" w:rsidP="00FD3ED9">
      <w:pPr>
        <w:rPr>
          <w:color w:val="auto"/>
          <w:lang w:val="en-AU"/>
        </w:rPr>
      </w:pPr>
      <w:r w:rsidRPr="00843214">
        <w:rPr>
          <w:b/>
          <w:bCs/>
          <w:color w:val="auto"/>
          <w:lang w:val="en-AU"/>
        </w:rPr>
        <w:t>UN Women has a clear, recognised contribution for its normative function.</w:t>
      </w:r>
      <w:r w:rsidRPr="00843214">
        <w:rPr>
          <w:color w:val="auto"/>
          <w:lang w:val="en-AU"/>
        </w:rPr>
        <w:t xml:space="preserve"> At global, national, and multilateral levels, UN Women’s contribution to agenda-setting, implementation and promotion of norms, standards, and policies on </w:t>
      </w:r>
      <w:r w:rsidR="00704B72" w:rsidRPr="00843214">
        <w:rPr>
          <w:color w:val="auto"/>
          <w:lang w:val="en-AU"/>
        </w:rPr>
        <w:t>GEWE</w:t>
      </w:r>
      <w:r w:rsidRPr="00843214">
        <w:rPr>
          <w:color w:val="auto"/>
          <w:lang w:val="en-AU"/>
        </w:rPr>
        <w:t xml:space="preserve"> is supported by UN Women’s </w:t>
      </w:r>
      <w:r w:rsidR="00383AB2" w:rsidRPr="00843214">
        <w:rPr>
          <w:color w:val="auto"/>
          <w:lang w:val="en-AU"/>
        </w:rPr>
        <w:t>expert knowledge</w:t>
      </w:r>
      <w:r w:rsidRPr="00843214">
        <w:rPr>
          <w:color w:val="auto"/>
          <w:lang w:val="en-AU"/>
        </w:rPr>
        <w:t xml:space="preserve">, activism, and evidence-based advocacy. </w:t>
      </w:r>
      <w:r w:rsidR="00E30B17" w:rsidRPr="00843214">
        <w:rPr>
          <w:color w:val="auto"/>
          <w:lang w:val="en-AU"/>
        </w:rPr>
        <w:t>For example, UN Women has achieved normative results in WP</w:t>
      </w:r>
      <w:r w:rsidR="004D2C8C" w:rsidRPr="00843214">
        <w:rPr>
          <w:color w:val="auto"/>
          <w:lang w:val="en-AU"/>
        </w:rPr>
        <w:t>S</w:t>
      </w:r>
      <w:r w:rsidR="00E30B17" w:rsidRPr="00843214">
        <w:rPr>
          <w:color w:val="auto"/>
          <w:lang w:val="en-AU"/>
        </w:rPr>
        <w:t xml:space="preserve"> in th</w:t>
      </w:r>
      <w:r w:rsidR="00E43E5D" w:rsidRPr="00843214">
        <w:rPr>
          <w:color w:val="auto"/>
          <w:lang w:val="en-AU"/>
        </w:rPr>
        <w:t>e</w:t>
      </w:r>
      <w:r w:rsidR="00E30B17" w:rsidRPr="00843214">
        <w:rPr>
          <w:color w:val="auto"/>
          <w:lang w:val="en-AU"/>
        </w:rPr>
        <w:t xml:space="preserve"> adoption of intergovernmental norms</w:t>
      </w:r>
      <w:r w:rsidR="00AE505F" w:rsidRPr="00843214">
        <w:rPr>
          <w:color w:val="auto"/>
          <w:lang w:val="en-AU"/>
        </w:rPr>
        <w:t xml:space="preserve"> and has supported the development of the UN Peacebuilding Commission’s Gender Strategy</w:t>
      </w:r>
      <w:r w:rsidR="00E30B17" w:rsidRPr="00843214">
        <w:rPr>
          <w:rStyle w:val="FootnoteReference"/>
          <w:color w:val="auto"/>
          <w:lang w:val="en-AU"/>
        </w:rPr>
        <w:footnoteReference w:id="22"/>
      </w:r>
      <w:r w:rsidR="00E30B17" w:rsidRPr="00843214">
        <w:rPr>
          <w:color w:val="auto"/>
          <w:lang w:val="en-AU"/>
        </w:rPr>
        <w:t xml:space="preserve">. </w:t>
      </w:r>
    </w:p>
    <w:p w14:paraId="01D09CA4" w14:textId="5EBB33DF" w:rsidR="00552D3A" w:rsidRPr="00843214" w:rsidRDefault="00933B0E" w:rsidP="00FD3ED9">
      <w:pPr>
        <w:rPr>
          <w:color w:val="auto"/>
          <w:lang w:val="en-AU"/>
        </w:rPr>
      </w:pPr>
      <w:r w:rsidRPr="00843214">
        <w:rPr>
          <w:b/>
          <w:bCs/>
          <w:color w:val="auto"/>
          <w:lang w:val="en-AU"/>
        </w:rPr>
        <w:t>UN Women has developed high quality evidence-based research and there are examples of highly effective</w:t>
      </w:r>
      <w:r w:rsidR="00B15DC3" w:rsidRPr="00843214">
        <w:rPr>
          <w:b/>
          <w:bCs/>
          <w:color w:val="auto"/>
          <w:lang w:val="en-AU"/>
        </w:rPr>
        <w:t xml:space="preserve"> translation of</w:t>
      </w:r>
      <w:r w:rsidRPr="00843214">
        <w:rPr>
          <w:b/>
          <w:bCs/>
          <w:color w:val="auto"/>
          <w:lang w:val="en-AU"/>
        </w:rPr>
        <w:t xml:space="preserve"> research into use, particularly with respect to EVAW</w:t>
      </w:r>
      <w:r w:rsidR="00891CBB" w:rsidRPr="00843214">
        <w:rPr>
          <w:b/>
          <w:bCs/>
          <w:color w:val="auto"/>
          <w:lang w:val="en-AU"/>
        </w:rPr>
        <w:t>G</w:t>
      </w:r>
      <w:r w:rsidRPr="00843214">
        <w:rPr>
          <w:color w:val="auto"/>
          <w:lang w:val="en-AU"/>
        </w:rPr>
        <w:t xml:space="preserve">. </w:t>
      </w:r>
      <w:r w:rsidRPr="00843214">
        <w:rPr>
          <w:rStyle w:val="FootnoteReference"/>
          <w:color w:val="auto"/>
          <w:lang w:val="en-AU"/>
        </w:rPr>
        <w:footnoteReference w:id="23"/>
      </w:r>
      <w:r w:rsidRPr="00843214">
        <w:rPr>
          <w:color w:val="auto"/>
          <w:lang w:val="en-AU"/>
        </w:rPr>
        <w:t xml:space="preserve"> </w:t>
      </w:r>
      <w:r w:rsidR="00552D3A" w:rsidRPr="00843214">
        <w:rPr>
          <w:color w:val="auto"/>
          <w:lang w:val="en-AU"/>
        </w:rPr>
        <w:t xml:space="preserve">In </w:t>
      </w:r>
      <w:r w:rsidR="00E93CFF" w:rsidRPr="00843214">
        <w:rPr>
          <w:color w:val="auto"/>
          <w:lang w:val="en-AU"/>
        </w:rPr>
        <w:t xml:space="preserve">the </w:t>
      </w:r>
      <w:r w:rsidR="00B15DC3" w:rsidRPr="00843214">
        <w:rPr>
          <w:color w:val="auto"/>
          <w:lang w:val="en-AU"/>
        </w:rPr>
        <w:t>Indo</w:t>
      </w:r>
      <w:r w:rsidR="00E93CFF" w:rsidRPr="00843214">
        <w:rPr>
          <w:color w:val="auto"/>
          <w:lang w:val="en-AU"/>
        </w:rPr>
        <w:t>-</w:t>
      </w:r>
      <w:r w:rsidR="00552D3A" w:rsidRPr="00843214">
        <w:rPr>
          <w:color w:val="auto"/>
          <w:lang w:val="en-AU"/>
        </w:rPr>
        <w:t xml:space="preserve">Pacific, UN Women played a critical role at </w:t>
      </w:r>
      <w:r w:rsidR="00E93CFF" w:rsidRPr="00843214">
        <w:rPr>
          <w:color w:val="auto"/>
          <w:lang w:val="en-AU"/>
        </w:rPr>
        <w:t xml:space="preserve">the </w:t>
      </w:r>
      <w:r w:rsidR="00552D3A" w:rsidRPr="00843214">
        <w:rPr>
          <w:color w:val="auto"/>
          <w:lang w:val="en-AU"/>
        </w:rPr>
        <w:t xml:space="preserve">regional and country level to transform research and evidence, </w:t>
      </w:r>
      <w:r w:rsidR="007217A6" w:rsidRPr="00843214">
        <w:rPr>
          <w:color w:val="auto"/>
          <w:lang w:val="en-AU"/>
        </w:rPr>
        <w:t>such as</w:t>
      </w:r>
      <w:r w:rsidR="00552D3A" w:rsidRPr="00843214">
        <w:rPr>
          <w:color w:val="auto"/>
          <w:lang w:val="en-AU"/>
        </w:rPr>
        <w:t xml:space="preserve"> evidence </w:t>
      </w:r>
      <w:r w:rsidR="003860F8" w:rsidRPr="00843214">
        <w:rPr>
          <w:color w:val="auto"/>
          <w:lang w:val="en-AU"/>
        </w:rPr>
        <w:t>from</w:t>
      </w:r>
      <w:r w:rsidR="00552D3A" w:rsidRPr="00843214">
        <w:rPr>
          <w:color w:val="auto"/>
          <w:lang w:val="en-AU"/>
        </w:rPr>
        <w:t xml:space="preserve"> the </w:t>
      </w:r>
      <w:r w:rsidR="003745E4" w:rsidRPr="00843214">
        <w:rPr>
          <w:color w:val="auto"/>
          <w:lang w:val="en-AU"/>
        </w:rPr>
        <w:t>United Nations Trust Fund for the Elimination of Violence against Women (</w:t>
      </w:r>
      <w:r w:rsidR="00552D3A" w:rsidRPr="00843214">
        <w:rPr>
          <w:color w:val="auto"/>
          <w:lang w:val="en-AU"/>
        </w:rPr>
        <w:t>UN</w:t>
      </w:r>
      <w:r w:rsidR="00C82AF0" w:rsidRPr="00843214">
        <w:rPr>
          <w:color w:val="auto"/>
          <w:lang w:val="en-AU"/>
        </w:rPr>
        <w:t>TF</w:t>
      </w:r>
      <w:r w:rsidR="00E30B17" w:rsidRPr="00843214">
        <w:rPr>
          <w:color w:val="auto"/>
          <w:lang w:val="en-AU"/>
        </w:rPr>
        <w:t xml:space="preserve"> for EVAW</w:t>
      </w:r>
      <w:r w:rsidR="003745E4" w:rsidRPr="00843214">
        <w:rPr>
          <w:color w:val="auto"/>
          <w:lang w:val="en-AU"/>
        </w:rPr>
        <w:t>)</w:t>
      </w:r>
      <w:r w:rsidR="00552D3A" w:rsidRPr="00843214">
        <w:rPr>
          <w:color w:val="auto"/>
          <w:lang w:val="en-AU"/>
        </w:rPr>
        <w:t>, into concrete policy, advocacy</w:t>
      </w:r>
      <w:r w:rsidR="00B15DC3" w:rsidRPr="00843214">
        <w:rPr>
          <w:color w:val="auto"/>
          <w:lang w:val="en-AU"/>
        </w:rPr>
        <w:t>,</w:t>
      </w:r>
      <w:r w:rsidR="00552D3A" w:rsidRPr="00843214">
        <w:rPr>
          <w:color w:val="auto"/>
          <w:lang w:val="en-AU"/>
        </w:rPr>
        <w:t xml:space="preserve"> and programming by supporting policymakers to understand and use research and data.</w:t>
      </w:r>
    </w:p>
    <w:p w14:paraId="6558C7C1" w14:textId="2F8E135C" w:rsidR="00E072E8" w:rsidRPr="00843214" w:rsidRDefault="00E072E8" w:rsidP="00E072E8">
      <w:pPr>
        <w:rPr>
          <w:color w:val="auto"/>
          <w:lang w:val="en-AU"/>
        </w:rPr>
      </w:pPr>
      <w:bookmarkStart w:id="44" w:name="_Hlk67577140"/>
      <w:r w:rsidRPr="00843214">
        <w:rPr>
          <w:b/>
          <w:bCs/>
          <w:color w:val="auto"/>
          <w:lang w:val="en-AU"/>
        </w:rPr>
        <w:t xml:space="preserve">The </w:t>
      </w:r>
      <w:r w:rsidR="00917A87" w:rsidRPr="00843214">
        <w:rPr>
          <w:b/>
          <w:bCs/>
          <w:color w:val="auto"/>
          <w:lang w:val="en-AU"/>
        </w:rPr>
        <w:t>P</w:t>
      </w:r>
      <w:r w:rsidRPr="00843214">
        <w:rPr>
          <w:b/>
          <w:bCs/>
          <w:color w:val="auto"/>
          <w:lang w:val="en-AU"/>
        </w:rPr>
        <w:t>artnership has invested in improving gender statistics and disaggregation of data</w:t>
      </w:r>
      <w:r w:rsidR="00B15DC3" w:rsidRPr="00843214">
        <w:rPr>
          <w:b/>
          <w:bCs/>
          <w:color w:val="auto"/>
          <w:lang w:val="en-AU"/>
        </w:rPr>
        <w:t>. It</w:t>
      </w:r>
      <w:r w:rsidR="007A6783" w:rsidRPr="00843214">
        <w:rPr>
          <w:b/>
          <w:bCs/>
          <w:color w:val="auto"/>
          <w:lang w:val="en-AU"/>
        </w:rPr>
        <w:t xml:space="preserve"> has an opportunity to ensure that programmatic support includes a policy and research component</w:t>
      </w:r>
      <w:r w:rsidRPr="00843214">
        <w:rPr>
          <w:b/>
          <w:bCs/>
          <w:color w:val="auto"/>
          <w:lang w:val="en-AU"/>
        </w:rPr>
        <w:t>.</w:t>
      </w:r>
      <w:r w:rsidRPr="00843214">
        <w:rPr>
          <w:color w:val="auto"/>
          <w:lang w:val="en-AU"/>
        </w:rPr>
        <w:t xml:space="preserve"> </w:t>
      </w:r>
      <w:bookmarkEnd w:id="44"/>
      <w:r w:rsidRPr="00843214">
        <w:rPr>
          <w:color w:val="auto"/>
          <w:lang w:val="en-AU"/>
        </w:rPr>
        <w:t xml:space="preserve">The global Women Count </w:t>
      </w:r>
      <w:r w:rsidR="000E0192" w:rsidRPr="00843214">
        <w:rPr>
          <w:color w:val="auto"/>
          <w:lang w:val="en-AU"/>
        </w:rPr>
        <w:t>Programme</w:t>
      </w:r>
      <w:r w:rsidRPr="00843214">
        <w:rPr>
          <w:color w:val="auto"/>
          <w:lang w:val="en-AU"/>
        </w:rPr>
        <w:t xml:space="preserve"> has </w:t>
      </w:r>
      <w:r w:rsidR="00933B0E" w:rsidRPr="00843214">
        <w:rPr>
          <w:color w:val="auto"/>
          <w:lang w:val="en-AU"/>
        </w:rPr>
        <w:t>improved</w:t>
      </w:r>
      <w:r w:rsidR="000E0192" w:rsidRPr="00843214">
        <w:rPr>
          <w:color w:val="auto"/>
          <w:lang w:val="en-AU"/>
        </w:rPr>
        <w:t xml:space="preserve"> gender statistics and has, for example</w:t>
      </w:r>
      <w:r w:rsidR="00B15DC3" w:rsidRPr="00843214">
        <w:rPr>
          <w:color w:val="auto"/>
          <w:lang w:val="en-AU"/>
        </w:rPr>
        <w:t>,</w:t>
      </w:r>
      <w:r w:rsidR="000E0192" w:rsidRPr="00843214">
        <w:rPr>
          <w:color w:val="auto"/>
          <w:lang w:val="en-AU"/>
        </w:rPr>
        <w:t xml:space="preserve"> provided </w:t>
      </w:r>
      <w:r w:rsidRPr="00843214">
        <w:rPr>
          <w:color w:val="auto"/>
          <w:lang w:val="en-AU"/>
        </w:rPr>
        <w:t>a resource for real-time sex-disaggregated data throughout the COVID-19 response. Data produced has enabled UN Women to track</w:t>
      </w:r>
      <w:r w:rsidR="009869B9" w:rsidRPr="00843214">
        <w:rPr>
          <w:color w:val="auto"/>
          <w:lang w:val="en-AU"/>
        </w:rPr>
        <w:t>, understand</w:t>
      </w:r>
      <w:r w:rsidRPr="00843214">
        <w:rPr>
          <w:color w:val="auto"/>
          <w:lang w:val="en-AU"/>
        </w:rPr>
        <w:t xml:space="preserve"> and respond to women’s needs, including</w:t>
      </w:r>
      <w:r w:rsidR="009869B9" w:rsidRPr="00843214">
        <w:rPr>
          <w:color w:val="auto"/>
          <w:lang w:val="en-AU"/>
        </w:rPr>
        <w:t xml:space="preserve"> their changing economic situation and</w:t>
      </w:r>
      <w:r w:rsidRPr="00843214">
        <w:rPr>
          <w:color w:val="auto"/>
          <w:lang w:val="en-AU"/>
        </w:rPr>
        <w:t xml:space="preserve"> </w:t>
      </w:r>
      <w:r w:rsidR="00DC3EDF" w:rsidRPr="00843214">
        <w:rPr>
          <w:color w:val="auto"/>
          <w:lang w:val="en-AU"/>
        </w:rPr>
        <w:t>(where possible</w:t>
      </w:r>
      <w:r w:rsidR="00102DAB" w:rsidRPr="00843214">
        <w:rPr>
          <w:color w:val="auto"/>
          <w:lang w:val="en-AU"/>
        </w:rPr>
        <w:t xml:space="preserve"> given lockdown conditions</w:t>
      </w:r>
      <w:r w:rsidR="00DC3EDF" w:rsidRPr="00843214">
        <w:rPr>
          <w:color w:val="auto"/>
          <w:lang w:val="en-AU"/>
        </w:rPr>
        <w:t xml:space="preserve">) </w:t>
      </w:r>
      <w:r w:rsidRPr="00843214">
        <w:rPr>
          <w:color w:val="auto"/>
          <w:lang w:val="en-AU"/>
        </w:rPr>
        <w:t xml:space="preserve">risks surrounding </w:t>
      </w:r>
      <w:r w:rsidR="00ED2C78" w:rsidRPr="00843214">
        <w:rPr>
          <w:color w:val="auto"/>
          <w:lang w:val="en-AU"/>
        </w:rPr>
        <w:t>gender-based violence (</w:t>
      </w:r>
      <w:r w:rsidRPr="00843214">
        <w:rPr>
          <w:color w:val="auto"/>
          <w:lang w:val="en-AU"/>
        </w:rPr>
        <w:t>GBV</w:t>
      </w:r>
      <w:r w:rsidR="00ED2C78" w:rsidRPr="00843214">
        <w:rPr>
          <w:color w:val="auto"/>
          <w:lang w:val="en-AU"/>
        </w:rPr>
        <w:t>)</w:t>
      </w:r>
      <w:r w:rsidR="00C86ED0" w:rsidRPr="00843214">
        <w:rPr>
          <w:color w:val="auto"/>
          <w:lang w:val="en-AU"/>
        </w:rPr>
        <w:t>.</w:t>
      </w:r>
      <w:r w:rsidR="00933B0E" w:rsidRPr="00843214">
        <w:rPr>
          <w:color w:val="auto"/>
          <w:lang w:val="en-AU"/>
        </w:rPr>
        <w:t xml:space="preserve"> The </w:t>
      </w:r>
      <w:r w:rsidR="00917A87" w:rsidRPr="00843214">
        <w:rPr>
          <w:b/>
          <w:bCs/>
          <w:color w:val="auto"/>
          <w:lang w:val="en-AU"/>
        </w:rPr>
        <w:t>strength of UN Women’s research and contribution to gender sensitive data</w:t>
      </w:r>
      <w:r w:rsidR="006364E1" w:rsidRPr="00843214">
        <w:rPr>
          <w:b/>
          <w:bCs/>
          <w:color w:val="auto"/>
          <w:lang w:val="en-AU"/>
        </w:rPr>
        <w:t xml:space="preserve"> </w:t>
      </w:r>
      <w:bookmarkStart w:id="45" w:name="_Hlk67577146"/>
      <w:r w:rsidR="00B331B6" w:rsidRPr="00843214">
        <w:rPr>
          <w:b/>
          <w:bCs/>
          <w:color w:val="auto"/>
          <w:lang w:val="en-AU"/>
        </w:rPr>
        <w:t>generated through the partnership has</w:t>
      </w:r>
      <w:r w:rsidR="00B15DC3" w:rsidRPr="00843214">
        <w:rPr>
          <w:b/>
          <w:bCs/>
          <w:color w:val="auto"/>
          <w:lang w:val="en-AU"/>
        </w:rPr>
        <w:t xml:space="preserve"> great</w:t>
      </w:r>
      <w:r w:rsidR="00B331B6" w:rsidRPr="00843214">
        <w:rPr>
          <w:b/>
          <w:bCs/>
          <w:color w:val="auto"/>
          <w:lang w:val="en-AU"/>
        </w:rPr>
        <w:t xml:space="preserve"> value for the Partnership’s policy making and programme design.</w:t>
      </w:r>
      <w:r w:rsidR="00B331B6" w:rsidRPr="00843214">
        <w:rPr>
          <w:color w:val="auto"/>
          <w:lang w:val="en-AU"/>
        </w:rPr>
        <w:t xml:space="preserve"> </w:t>
      </w:r>
      <w:bookmarkEnd w:id="45"/>
      <w:r w:rsidR="00945065" w:rsidRPr="00843214">
        <w:rPr>
          <w:color w:val="auto"/>
          <w:lang w:val="en-AU"/>
        </w:rPr>
        <w:t>UN Women is currently developing a Data Evidence Knowledge Strategy, which aims to ensure all programming is evidence-based and therefore better align</w:t>
      </w:r>
      <w:r w:rsidR="00B15DC3" w:rsidRPr="00843214">
        <w:rPr>
          <w:color w:val="auto"/>
          <w:lang w:val="en-AU"/>
        </w:rPr>
        <w:t>ed</w:t>
      </w:r>
      <w:r w:rsidR="00945065" w:rsidRPr="00843214">
        <w:rPr>
          <w:color w:val="auto"/>
          <w:lang w:val="en-AU"/>
        </w:rPr>
        <w:t xml:space="preserve"> with actual needs on the ground.</w:t>
      </w:r>
    </w:p>
    <w:p w14:paraId="3DE8CF79" w14:textId="7A0076CF" w:rsidR="00467D78" w:rsidRPr="00843214" w:rsidRDefault="003938D2" w:rsidP="00FD3ED9">
      <w:pPr>
        <w:rPr>
          <w:color w:val="auto"/>
          <w:lang w:val="en-AU"/>
        </w:rPr>
      </w:pPr>
      <w:r w:rsidRPr="00843214">
        <w:rPr>
          <w:b/>
          <w:bCs/>
          <w:color w:val="auto"/>
          <w:lang w:val="en-AU"/>
        </w:rPr>
        <w:t>UN Women is the leader on the WPS agenda in the UN system</w:t>
      </w:r>
      <w:r w:rsidR="00AB6ACE" w:rsidRPr="00843214">
        <w:rPr>
          <w:b/>
          <w:bCs/>
          <w:color w:val="auto"/>
          <w:lang w:val="en-AU"/>
        </w:rPr>
        <w:t>, to which</w:t>
      </w:r>
      <w:r w:rsidR="00700C39" w:rsidRPr="00843214">
        <w:rPr>
          <w:b/>
          <w:bCs/>
          <w:color w:val="auto"/>
          <w:lang w:val="en-AU"/>
        </w:rPr>
        <w:t xml:space="preserve"> </w:t>
      </w:r>
      <w:r w:rsidR="00917A87" w:rsidRPr="00843214">
        <w:rPr>
          <w:b/>
          <w:bCs/>
          <w:color w:val="auto"/>
          <w:lang w:val="en-AU"/>
        </w:rPr>
        <w:t>DFAT</w:t>
      </w:r>
      <w:r w:rsidR="00AB6ACE" w:rsidRPr="00843214">
        <w:rPr>
          <w:b/>
          <w:bCs/>
          <w:color w:val="auto"/>
          <w:lang w:val="en-AU"/>
        </w:rPr>
        <w:t xml:space="preserve"> has contributed to</w:t>
      </w:r>
      <w:r w:rsidR="001D7B4D" w:rsidRPr="00843214">
        <w:rPr>
          <w:b/>
          <w:bCs/>
          <w:color w:val="auto"/>
          <w:lang w:val="en-AU"/>
        </w:rPr>
        <w:t xml:space="preserve"> the</w:t>
      </w:r>
      <w:r w:rsidR="00700C39" w:rsidRPr="00843214">
        <w:rPr>
          <w:b/>
          <w:bCs/>
          <w:color w:val="auto"/>
          <w:lang w:val="en-AU"/>
        </w:rPr>
        <w:t xml:space="preserve"> </w:t>
      </w:r>
      <w:r w:rsidR="00467D78" w:rsidRPr="00843214">
        <w:rPr>
          <w:b/>
          <w:bCs/>
          <w:color w:val="auto"/>
          <w:lang w:val="en-AU"/>
        </w:rPr>
        <w:t xml:space="preserve">strengthening of </w:t>
      </w:r>
      <w:r w:rsidR="001D7B4D" w:rsidRPr="00843214">
        <w:rPr>
          <w:b/>
          <w:bCs/>
          <w:color w:val="auto"/>
          <w:lang w:val="en-AU"/>
        </w:rPr>
        <w:t xml:space="preserve">related </w:t>
      </w:r>
      <w:r w:rsidR="00467D78" w:rsidRPr="00843214">
        <w:rPr>
          <w:b/>
          <w:bCs/>
          <w:color w:val="auto"/>
          <w:lang w:val="en-AU"/>
        </w:rPr>
        <w:t xml:space="preserve">normative and policy </w:t>
      </w:r>
      <w:r w:rsidR="00C92301" w:rsidRPr="00843214">
        <w:rPr>
          <w:b/>
          <w:bCs/>
          <w:color w:val="auto"/>
          <w:lang w:val="en-AU"/>
        </w:rPr>
        <w:t>work</w:t>
      </w:r>
      <w:r w:rsidR="008569FF" w:rsidRPr="00843214">
        <w:rPr>
          <w:color w:val="auto"/>
          <w:lang w:val="en-AU"/>
        </w:rPr>
        <w:t xml:space="preserve">. </w:t>
      </w:r>
      <w:r w:rsidR="00B331B6" w:rsidRPr="00843214">
        <w:rPr>
          <w:color w:val="auto"/>
          <w:lang w:val="en-AU"/>
        </w:rPr>
        <w:t>This has led to</w:t>
      </w:r>
      <w:r w:rsidR="00290773" w:rsidRPr="00843214">
        <w:rPr>
          <w:color w:val="auto"/>
          <w:lang w:val="en-AU"/>
        </w:rPr>
        <w:t xml:space="preserve"> </w:t>
      </w:r>
      <w:r w:rsidR="00467D78" w:rsidRPr="00843214">
        <w:rPr>
          <w:color w:val="auto"/>
          <w:lang w:val="en-AU"/>
        </w:rPr>
        <w:lastRenderedPageBreak/>
        <w:t xml:space="preserve">increased coordination within the UN and with Member States, </w:t>
      </w:r>
      <w:r w:rsidR="008569FF" w:rsidRPr="00843214">
        <w:rPr>
          <w:color w:val="auto"/>
          <w:lang w:val="en-AU"/>
        </w:rPr>
        <w:t>action as a</w:t>
      </w:r>
      <w:r w:rsidR="00467D78" w:rsidRPr="00843214">
        <w:rPr>
          <w:color w:val="auto"/>
          <w:lang w:val="en-AU"/>
        </w:rPr>
        <w:t xml:space="preserve"> secretariat of the W</w:t>
      </w:r>
      <w:r w:rsidR="008569FF" w:rsidRPr="00843214">
        <w:rPr>
          <w:color w:val="auto"/>
          <w:lang w:val="en-AU"/>
        </w:rPr>
        <w:t>omen’s Peace and Humanitarian Fund (W</w:t>
      </w:r>
      <w:r w:rsidR="00467D78" w:rsidRPr="00843214">
        <w:rPr>
          <w:color w:val="auto"/>
          <w:lang w:val="en-AU"/>
        </w:rPr>
        <w:t>PHF</w:t>
      </w:r>
      <w:r w:rsidR="008569FF" w:rsidRPr="00843214">
        <w:rPr>
          <w:color w:val="auto"/>
          <w:lang w:val="en-AU"/>
        </w:rPr>
        <w:t>)</w:t>
      </w:r>
      <w:r w:rsidR="00467D78" w:rsidRPr="00843214">
        <w:rPr>
          <w:color w:val="auto"/>
          <w:lang w:val="en-AU"/>
        </w:rPr>
        <w:t xml:space="preserve"> </w:t>
      </w:r>
      <w:r w:rsidR="000E19B6" w:rsidRPr="00843214">
        <w:rPr>
          <w:color w:val="auto"/>
          <w:lang w:val="en-AU"/>
        </w:rPr>
        <w:t xml:space="preserve">and </w:t>
      </w:r>
      <w:r w:rsidR="00B15DC3" w:rsidRPr="00843214">
        <w:rPr>
          <w:color w:val="auto"/>
          <w:lang w:val="en-AU"/>
        </w:rPr>
        <w:t>UN Women’s</w:t>
      </w:r>
      <w:r w:rsidR="000E19B6" w:rsidRPr="00843214">
        <w:rPr>
          <w:color w:val="auto"/>
          <w:lang w:val="en-AU"/>
        </w:rPr>
        <w:t xml:space="preserve"> secretariat role for the </w:t>
      </w:r>
      <w:r w:rsidR="00467D78" w:rsidRPr="00843214">
        <w:rPr>
          <w:color w:val="auto"/>
          <w:lang w:val="en-AU"/>
        </w:rPr>
        <w:t>I</w:t>
      </w:r>
      <w:r w:rsidR="000E19B6" w:rsidRPr="00843214">
        <w:rPr>
          <w:color w:val="auto"/>
          <w:lang w:val="en-AU"/>
        </w:rPr>
        <w:t xml:space="preserve">nformal Experts Group </w:t>
      </w:r>
      <w:r w:rsidR="00BE4CB2" w:rsidRPr="00843214">
        <w:rPr>
          <w:color w:val="auto"/>
          <w:lang w:val="en-AU"/>
        </w:rPr>
        <w:t xml:space="preserve">on </w:t>
      </w:r>
      <w:r w:rsidR="000E19B6" w:rsidRPr="00843214">
        <w:rPr>
          <w:color w:val="auto"/>
          <w:lang w:val="en-AU"/>
        </w:rPr>
        <w:t xml:space="preserve">WPS that reports to the UN </w:t>
      </w:r>
      <w:r w:rsidR="00BE4CB2" w:rsidRPr="00843214">
        <w:rPr>
          <w:color w:val="auto"/>
          <w:lang w:val="en-AU"/>
        </w:rPr>
        <w:t>S</w:t>
      </w:r>
      <w:r w:rsidR="000E19B6" w:rsidRPr="00843214">
        <w:rPr>
          <w:color w:val="auto"/>
          <w:lang w:val="en-AU"/>
        </w:rPr>
        <w:t>ecurity Council</w:t>
      </w:r>
      <w:r w:rsidR="00B15DC3" w:rsidRPr="00843214">
        <w:rPr>
          <w:color w:val="auto"/>
          <w:lang w:val="en-AU"/>
        </w:rPr>
        <w:t xml:space="preserve"> and</w:t>
      </w:r>
      <w:r w:rsidR="000E19B6" w:rsidRPr="00843214">
        <w:rPr>
          <w:color w:val="auto"/>
          <w:lang w:val="en-AU"/>
        </w:rPr>
        <w:t xml:space="preserve"> allow</w:t>
      </w:r>
      <w:r w:rsidR="00B15DC3" w:rsidRPr="00843214">
        <w:rPr>
          <w:color w:val="auto"/>
          <w:lang w:val="en-AU"/>
        </w:rPr>
        <w:t>s</w:t>
      </w:r>
      <w:r w:rsidR="000E19B6" w:rsidRPr="00843214">
        <w:rPr>
          <w:color w:val="auto"/>
          <w:lang w:val="en-AU"/>
        </w:rPr>
        <w:t xml:space="preserve"> </w:t>
      </w:r>
      <w:r w:rsidR="00BE4CB2" w:rsidRPr="00843214">
        <w:rPr>
          <w:color w:val="auto"/>
          <w:lang w:val="en-AU"/>
        </w:rPr>
        <w:t>greater advocacy for WPS within the Security Council</w:t>
      </w:r>
      <w:r w:rsidR="000E19B6" w:rsidRPr="00843214">
        <w:rPr>
          <w:rStyle w:val="FootnoteReference"/>
          <w:color w:val="auto"/>
          <w:lang w:val="en-AU"/>
        </w:rPr>
        <w:footnoteReference w:id="24"/>
      </w:r>
      <w:r w:rsidR="000E19B6" w:rsidRPr="00843214">
        <w:rPr>
          <w:color w:val="auto"/>
          <w:lang w:val="en-AU"/>
        </w:rPr>
        <w:t xml:space="preserve">. UN </w:t>
      </w:r>
      <w:r w:rsidR="00BE4CB2" w:rsidRPr="00843214">
        <w:rPr>
          <w:color w:val="auto"/>
          <w:lang w:val="en-AU"/>
        </w:rPr>
        <w:t xml:space="preserve">Women </w:t>
      </w:r>
      <w:r w:rsidR="00C92301" w:rsidRPr="00843214">
        <w:rPr>
          <w:color w:val="auto"/>
          <w:lang w:val="en-AU"/>
        </w:rPr>
        <w:t xml:space="preserve">manages a suite of WPS programs </w:t>
      </w:r>
      <w:r w:rsidR="002B3B2E" w:rsidRPr="00843214">
        <w:rPr>
          <w:color w:val="auto"/>
          <w:lang w:val="en-AU"/>
        </w:rPr>
        <w:t>in</w:t>
      </w:r>
      <w:r w:rsidR="00C92301" w:rsidRPr="00843214">
        <w:rPr>
          <w:color w:val="auto"/>
          <w:lang w:val="en-AU"/>
        </w:rPr>
        <w:t xml:space="preserve"> its WPS Global Facility</w:t>
      </w:r>
      <w:r w:rsidR="009E6D36" w:rsidRPr="00843214">
        <w:rPr>
          <w:color w:val="auto"/>
          <w:lang w:val="en-AU"/>
        </w:rPr>
        <w:t>,</w:t>
      </w:r>
      <w:r w:rsidR="00C92301" w:rsidRPr="00843214">
        <w:rPr>
          <w:color w:val="auto"/>
          <w:lang w:val="en-AU"/>
        </w:rPr>
        <w:t xml:space="preserve"> </w:t>
      </w:r>
      <w:r w:rsidR="00B331B6" w:rsidRPr="00843214">
        <w:rPr>
          <w:color w:val="auto"/>
          <w:lang w:val="en-AU"/>
        </w:rPr>
        <w:t>which it leads w</w:t>
      </w:r>
      <w:r w:rsidR="00467D78" w:rsidRPr="00843214">
        <w:rPr>
          <w:color w:val="auto"/>
          <w:lang w:val="en-AU"/>
        </w:rPr>
        <w:t>ith</w:t>
      </w:r>
      <w:r w:rsidR="007A2FF4" w:rsidRPr="00843214">
        <w:rPr>
          <w:color w:val="auto"/>
        </w:rPr>
        <w:t xml:space="preserve"> </w:t>
      </w:r>
      <w:r w:rsidR="005D3D33" w:rsidRPr="00843214">
        <w:rPr>
          <w:color w:val="auto"/>
          <w:lang w:val="en-AU"/>
        </w:rPr>
        <w:t>the UN</w:t>
      </w:r>
      <w:r w:rsidR="007A2FF4" w:rsidRPr="00843214">
        <w:rPr>
          <w:color w:val="auto"/>
          <w:lang w:val="en-AU"/>
        </w:rPr>
        <w:t xml:space="preserve"> Peacebuilding Support Office</w:t>
      </w:r>
      <w:r w:rsidR="00467D78" w:rsidRPr="00843214">
        <w:rPr>
          <w:color w:val="auto"/>
          <w:lang w:val="en-AU"/>
        </w:rPr>
        <w:t xml:space="preserve"> </w:t>
      </w:r>
      <w:r w:rsidR="00BE4CB2" w:rsidRPr="00843214">
        <w:rPr>
          <w:color w:val="auto"/>
          <w:lang w:val="en-AU"/>
        </w:rPr>
        <w:t>o</w:t>
      </w:r>
      <w:r w:rsidR="00467D78" w:rsidRPr="00843214">
        <w:rPr>
          <w:color w:val="auto"/>
          <w:lang w:val="en-AU"/>
        </w:rPr>
        <w:t>n the</w:t>
      </w:r>
      <w:r w:rsidR="009E6D36" w:rsidRPr="00843214">
        <w:rPr>
          <w:color w:val="auto"/>
        </w:rPr>
        <w:t xml:space="preserve"> </w:t>
      </w:r>
      <w:r w:rsidR="009E6D36" w:rsidRPr="00843214">
        <w:rPr>
          <w:color w:val="auto"/>
          <w:lang w:val="en-AU"/>
        </w:rPr>
        <w:t>Secretary-General of the United Nation’s</w:t>
      </w:r>
      <w:r w:rsidR="00467D78" w:rsidRPr="00843214">
        <w:rPr>
          <w:color w:val="auto"/>
          <w:lang w:val="en-AU"/>
        </w:rPr>
        <w:t xml:space="preserve"> </w:t>
      </w:r>
      <w:r w:rsidR="009E6D36" w:rsidRPr="00843214">
        <w:rPr>
          <w:color w:val="auto"/>
          <w:lang w:val="en-AU"/>
        </w:rPr>
        <w:t>(</w:t>
      </w:r>
      <w:r w:rsidR="00467D78" w:rsidRPr="00843214">
        <w:rPr>
          <w:color w:val="auto"/>
          <w:lang w:val="en-AU"/>
        </w:rPr>
        <w:t>SG</w:t>
      </w:r>
      <w:r w:rsidR="009E6D36" w:rsidRPr="00843214">
        <w:rPr>
          <w:color w:val="auto"/>
          <w:lang w:val="en-AU"/>
        </w:rPr>
        <w:t>)</w:t>
      </w:r>
      <w:r w:rsidR="00467D78" w:rsidRPr="00843214">
        <w:rPr>
          <w:color w:val="auto"/>
          <w:lang w:val="en-AU"/>
        </w:rPr>
        <w:t xml:space="preserve"> Seven Point Action Plan on Gender-Responsive Peacebuilding</w:t>
      </w:r>
      <w:r w:rsidR="008569FF" w:rsidRPr="00843214">
        <w:rPr>
          <w:color w:val="auto"/>
          <w:lang w:val="en-AU"/>
        </w:rPr>
        <w:t>.</w:t>
      </w:r>
    </w:p>
    <w:p w14:paraId="08AE043A" w14:textId="2A2EED69" w:rsidR="00467D78" w:rsidRPr="00843214" w:rsidRDefault="00467D78" w:rsidP="00467D78">
      <w:pPr>
        <w:pStyle w:val="Heading4"/>
        <w:rPr>
          <w:b/>
          <w:bCs/>
          <w:color w:val="auto"/>
          <w:sz w:val="25"/>
          <w:szCs w:val="32"/>
          <w:lang w:val="en-AU"/>
        </w:rPr>
      </w:pPr>
      <w:r w:rsidRPr="00843214">
        <w:rPr>
          <w:b/>
          <w:bCs/>
          <w:color w:val="auto"/>
          <w:sz w:val="25"/>
          <w:szCs w:val="32"/>
          <w:lang w:val="en-AU"/>
        </w:rPr>
        <w:t>Objective 3: Coordination</w:t>
      </w:r>
    </w:p>
    <w:tbl>
      <w:tblPr>
        <w:tblStyle w:val="TableGridLight"/>
        <w:tblW w:w="5000" w:type="pct"/>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5486"/>
        <w:gridCol w:w="776"/>
        <w:gridCol w:w="2744"/>
      </w:tblGrid>
      <w:tr w:rsidR="00843214" w:rsidRPr="00843214" w14:paraId="33284D77" w14:textId="65C80961" w:rsidTr="00B3308F">
        <w:trPr>
          <w:trHeight w:val="225"/>
        </w:trPr>
        <w:tc>
          <w:tcPr>
            <w:tcW w:w="3065" w:type="pct"/>
            <w:shd w:val="clear" w:color="auto" w:fill="auto"/>
          </w:tcPr>
          <w:p w14:paraId="7314FBE9" w14:textId="2AFF8D3D" w:rsidR="003F50D6" w:rsidRPr="00843214" w:rsidRDefault="003F50D6" w:rsidP="004E3482">
            <w:pPr>
              <w:spacing w:after="0"/>
              <w:contextualSpacing/>
              <w:rPr>
                <w:rFonts w:cstheme="minorHAnsi"/>
                <w:b/>
                <w:bCs/>
                <w:color w:val="auto"/>
                <w:sz w:val="18"/>
                <w:szCs w:val="18"/>
                <w:lang w:val="en-AU"/>
              </w:rPr>
            </w:pPr>
            <w:r w:rsidRPr="00843214">
              <w:rPr>
                <w:rFonts w:cstheme="minorHAnsi"/>
                <w:b/>
                <w:bCs/>
                <w:color w:val="auto"/>
                <w:sz w:val="18"/>
                <w:szCs w:val="18"/>
                <w:lang w:val="en-AU"/>
              </w:rPr>
              <w:t>SPF objective and sub-objectives</w:t>
            </w:r>
          </w:p>
        </w:tc>
        <w:tc>
          <w:tcPr>
            <w:tcW w:w="392" w:type="pct"/>
            <w:shd w:val="clear" w:color="auto" w:fill="92D050"/>
          </w:tcPr>
          <w:p w14:paraId="62BBC77A" w14:textId="52AB79C0" w:rsidR="003F50D6" w:rsidRPr="00843214" w:rsidRDefault="003F50D6" w:rsidP="004E3482">
            <w:pPr>
              <w:rPr>
                <w:b/>
                <w:bCs/>
                <w:color w:val="auto"/>
                <w:sz w:val="18"/>
                <w:szCs w:val="18"/>
                <w:lang w:val="en-AU"/>
              </w:rPr>
            </w:pPr>
            <w:r w:rsidRPr="00843214">
              <w:rPr>
                <w:b/>
                <w:bCs/>
                <w:color w:val="auto"/>
                <w:sz w:val="18"/>
                <w:szCs w:val="18"/>
                <w:lang w:val="en-AU"/>
              </w:rPr>
              <w:t>Rating</w:t>
            </w:r>
          </w:p>
        </w:tc>
        <w:tc>
          <w:tcPr>
            <w:tcW w:w="1543" w:type="pct"/>
            <w:shd w:val="clear" w:color="auto" w:fill="FFFFFF" w:themeFill="background1"/>
          </w:tcPr>
          <w:p w14:paraId="461CB5F0" w14:textId="12563FF3" w:rsidR="003F50D6" w:rsidRPr="00843214" w:rsidRDefault="003F50D6" w:rsidP="004E3482">
            <w:pPr>
              <w:rPr>
                <w:b/>
                <w:bCs/>
                <w:color w:val="auto"/>
                <w:sz w:val="18"/>
                <w:szCs w:val="18"/>
                <w:lang w:val="en-AU"/>
              </w:rPr>
            </w:pPr>
            <w:r w:rsidRPr="00843214">
              <w:rPr>
                <w:b/>
                <w:bCs/>
                <w:color w:val="auto"/>
                <w:sz w:val="18"/>
                <w:szCs w:val="18"/>
                <w:lang w:val="en-AU"/>
              </w:rPr>
              <w:t>Summary rationale for rating</w:t>
            </w:r>
            <w:r w:rsidRPr="00843214" w:rsidDel="003F50D6">
              <w:rPr>
                <w:b/>
                <w:bCs/>
                <w:color w:val="auto"/>
                <w:sz w:val="18"/>
                <w:szCs w:val="18"/>
                <w:lang w:val="en-AU"/>
              </w:rPr>
              <w:t xml:space="preserve"> </w:t>
            </w:r>
          </w:p>
        </w:tc>
      </w:tr>
      <w:tr w:rsidR="00843214" w:rsidRPr="00843214" w14:paraId="01009D63" w14:textId="72AE1980" w:rsidTr="00B3308F">
        <w:trPr>
          <w:trHeight w:val="2663"/>
        </w:trPr>
        <w:tc>
          <w:tcPr>
            <w:tcW w:w="3065" w:type="pct"/>
          </w:tcPr>
          <w:p w14:paraId="05105E89" w14:textId="77777777" w:rsidR="003F50D6" w:rsidRPr="00843214" w:rsidRDefault="003F50D6" w:rsidP="00025F3C">
            <w:pPr>
              <w:spacing w:after="0"/>
              <w:contextualSpacing/>
              <w:rPr>
                <w:rFonts w:cstheme="minorHAnsi"/>
                <w:color w:val="auto"/>
                <w:sz w:val="16"/>
                <w:szCs w:val="16"/>
                <w:lang w:val="en-AU"/>
              </w:rPr>
            </w:pPr>
            <w:r w:rsidRPr="00843214">
              <w:rPr>
                <w:rFonts w:cstheme="minorHAnsi"/>
                <w:color w:val="auto"/>
                <w:sz w:val="16"/>
                <w:szCs w:val="16"/>
                <w:lang w:val="en-AU"/>
              </w:rPr>
              <w:t xml:space="preserve">Strengthening the United Nations System’s coordinated promotion and support of gender equality and the full realisation of women’s rights and opportunities at global, </w:t>
            </w:r>
            <w:proofErr w:type="gramStart"/>
            <w:r w:rsidRPr="00843214">
              <w:rPr>
                <w:rFonts w:cstheme="minorHAnsi"/>
                <w:color w:val="auto"/>
                <w:sz w:val="16"/>
                <w:szCs w:val="16"/>
                <w:lang w:val="en-AU"/>
              </w:rPr>
              <w:t>regional</w:t>
            </w:r>
            <w:proofErr w:type="gramEnd"/>
            <w:r w:rsidRPr="00843214">
              <w:rPr>
                <w:rFonts w:cstheme="minorHAnsi"/>
                <w:color w:val="auto"/>
                <w:sz w:val="16"/>
                <w:szCs w:val="16"/>
                <w:lang w:val="en-AU"/>
              </w:rPr>
              <w:t xml:space="preserve"> and national levels, including through:</w:t>
            </w:r>
          </w:p>
          <w:p w14:paraId="60076284" w14:textId="77777777" w:rsidR="003F50D6" w:rsidRPr="00843214" w:rsidRDefault="003F50D6" w:rsidP="00025F3C">
            <w:pPr>
              <w:pStyle w:val="ListParagraph"/>
              <w:numPr>
                <w:ilvl w:val="0"/>
                <w:numId w:val="16"/>
              </w:numPr>
              <w:ind w:left="240" w:hanging="90"/>
              <w:rPr>
                <w:color w:val="auto"/>
                <w:sz w:val="16"/>
                <w:szCs w:val="16"/>
                <w:lang w:val="en-AU"/>
              </w:rPr>
            </w:pPr>
            <w:r w:rsidRPr="00843214">
              <w:rPr>
                <w:color w:val="auto"/>
                <w:sz w:val="16"/>
                <w:szCs w:val="16"/>
                <w:lang w:val="en-AU"/>
              </w:rPr>
              <w:t>Advocating for broader resourcing for activities and policies that promote GEWE.</w:t>
            </w:r>
          </w:p>
          <w:p w14:paraId="165B5D5D" w14:textId="77777777" w:rsidR="003F50D6" w:rsidRPr="00843214" w:rsidRDefault="003F50D6" w:rsidP="00025F3C">
            <w:pPr>
              <w:pStyle w:val="ListParagraph"/>
              <w:numPr>
                <w:ilvl w:val="0"/>
                <w:numId w:val="16"/>
              </w:numPr>
              <w:ind w:left="240" w:hanging="90"/>
              <w:rPr>
                <w:color w:val="auto"/>
                <w:sz w:val="16"/>
                <w:szCs w:val="16"/>
                <w:lang w:val="en-AU"/>
              </w:rPr>
            </w:pPr>
            <w:r w:rsidRPr="00843214">
              <w:rPr>
                <w:color w:val="auto"/>
                <w:sz w:val="16"/>
                <w:szCs w:val="16"/>
                <w:lang w:val="en-AU"/>
              </w:rPr>
              <w:t xml:space="preserve">Guiding, </w:t>
            </w:r>
            <w:proofErr w:type="gramStart"/>
            <w:r w:rsidRPr="00843214">
              <w:rPr>
                <w:color w:val="auto"/>
                <w:sz w:val="16"/>
                <w:szCs w:val="16"/>
                <w:lang w:val="en-AU"/>
              </w:rPr>
              <w:t>supporting</w:t>
            </w:r>
            <w:proofErr w:type="gramEnd"/>
            <w:r w:rsidRPr="00843214">
              <w:rPr>
                <w:color w:val="auto"/>
                <w:sz w:val="16"/>
                <w:szCs w:val="16"/>
                <w:lang w:val="en-AU"/>
              </w:rPr>
              <w:t xml:space="preserve"> and implementing joint development programs</w:t>
            </w:r>
          </w:p>
          <w:p w14:paraId="4A19727B" w14:textId="77777777" w:rsidR="003F50D6" w:rsidRPr="00843214" w:rsidRDefault="003F50D6" w:rsidP="00025F3C">
            <w:pPr>
              <w:pStyle w:val="ListParagraph"/>
              <w:numPr>
                <w:ilvl w:val="0"/>
                <w:numId w:val="16"/>
              </w:numPr>
              <w:ind w:left="240" w:hanging="90"/>
              <w:rPr>
                <w:color w:val="auto"/>
                <w:sz w:val="16"/>
                <w:szCs w:val="16"/>
                <w:lang w:val="en-AU"/>
              </w:rPr>
            </w:pPr>
            <w:r w:rsidRPr="00843214">
              <w:rPr>
                <w:color w:val="auto"/>
                <w:sz w:val="16"/>
                <w:szCs w:val="16"/>
                <w:lang w:val="en-AU"/>
              </w:rPr>
              <w:t>Collaboration and capacity sharing, particularly in the Pacific region</w:t>
            </w:r>
          </w:p>
          <w:p w14:paraId="4D49AD47" w14:textId="77777777" w:rsidR="003F50D6" w:rsidRPr="00843214" w:rsidRDefault="003F50D6" w:rsidP="00025F3C">
            <w:pPr>
              <w:pStyle w:val="ListParagraph"/>
              <w:numPr>
                <w:ilvl w:val="0"/>
                <w:numId w:val="16"/>
              </w:numPr>
              <w:ind w:left="240" w:hanging="90"/>
              <w:rPr>
                <w:color w:val="auto"/>
                <w:sz w:val="16"/>
                <w:szCs w:val="16"/>
                <w:lang w:val="en-AU"/>
              </w:rPr>
            </w:pPr>
            <w:r w:rsidRPr="00843214">
              <w:rPr>
                <w:color w:val="auto"/>
                <w:sz w:val="16"/>
                <w:szCs w:val="16"/>
                <w:lang w:val="en-AU"/>
              </w:rPr>
              <w:t>Supporting and promoting the UN System-wide Action Plan on Gender Equality and the Empowerment of Women (UN-SWAP) and accountability on gender equality and the empowerment of women across the UN system</w:t>
            </w:r>
          </w:p>
          <w:p w14:paraId="1E895968" w14:textId="77777777" w:rsidR="003F50D6" w:rsidRPr="00843214" w:rsidRDefault="003F50D6" w:rsidP="00025F3C">
            <w:pPr>
              <w:pStyle w:val="ListParagraph"/>
              <w:numPr>
                <w:ilvl w:val="0"/>
                <w:numId w:val="16"/>
              </w:numPr>
              <w:ind w:left="240" w:hanging="90"/>
              <w:rPr>
                <w:color w:val="auto"/>
                <w:sz w:val="16"/>
                <w:szCs w:val="16"/>
                <w:lang w:val="en-AU"/>
              </w:rPr>
            </w:pPr>
            <w:r w:rsidRPr="00843214">
              <w:rPr>
                <w:color w:val="auto"/>
                <w:sz w:val="16"/>
                <w:szCs w:val="16"/>
                <w:lang w:val="en-AU"/>
              </w:rPr>
              <w:t>Enhancing the role and outcomes of the United Nations Commission on the Status of Women.</w:t>
            </w:r>
          </w:p>
          <w:p w14:paraId="2C308DC5" w14:textId="1637B1BE" w:rsidR="003F50D6" w:rsidRPr="00843214" w:rsidRDefault="003F50D6" w:rsidP="00025F3C">
            <w:pPr>
              <w:pStyle w:val="ListParagraph"/>
              <w:numPr>
                <w:ilvl w:val="0"/>
                <w:numId w:val="16"/>
              </w:numPr>
              <w:ind w:left="240" w:hanging="90"/>
              <w:rPr>
                <w:rFonts w:cstheme="minorHAnsi"/>
                <w:color w:val="auto"/>
                <w:sz w:val="16"/>
                <w:szCs w:val="16"/>
                <w:lang w:val="en-AU"/>
              </w:rPr>
            </w:pPr>
            <w:r w:rsidRPr="00843214">
              <w:rPr>
                <w:color w:val="auto"/>
                <w:sz w:val="16"/>
                <w:szCs w:val="16"/>
                <w:lang w:val="en-AU"/>
              </w:rPr>
              <w:t>Advocating for broader resourcing for activities and policies that promote GEWE.</w:t>
            </w:r>
          </w:p>
        </w:tc>
        <w:tc>
          <w:tcPr>
            <w:tcW w:w="392" w:type="pct"/>
            <w:shd w:val="clear" w:color="auto" w:fill="92D050"/>
          </w:tcPr>
          <w:p w14:paraId="36CDF84A" w14:textId="77777777" w:rsidR="003F50D6" w:rsidRPr="00843214" w:rsidRDefault="003F50D6" w:rsidP="00025F3C">
            <w:pPr>
              <w:rPr>
                <w:color w:val="auto"/>
                <w:sz w:val="16"/>
                <w:szCs w:val="16"/>
                <w:lang w:val="en-AU"/>
              </w:rPr>
            </w:pPr>
          </w:p>
        </w:tc>
        <w:tc>
          <w:tcPr>
            <w:tcW w:w="1543" w:type="pct"/>
            <w:shd w:val="clear" w:color="auto" w:fill="FFFFFF" w:themeFill="background1"/>
          </w:tcPr>
          <w:p w14:paraId="1C15364B" w14:textId="53D39500" w:rsidR="003F50D6" w:rsidRPr="00843214" w:rsidRDefault="003F50D6" w:rsidP="00025F3C">
            <w:pPr>
              <w:rPr>
                <w:color w:val="auto"/>
                <w:sz w:val="16"/>
                <w:szCs w:val="16"/>
                <w:lang w:val="en-AU"/>
              </w:rPr>
            </w:pPr>
            <w:r w:rsidRPr="00843214">
              <w:rPr>
                <w:color w:val="auto"/>
                <w:sz w:val="16"/>
                <w:szCs w:val="16"/>
                <w:lang w:val="en-AU"/>
              </w:rPr>
              <w:t xml:space="preserve">Through core resourcing, UN Women has strengthened its coordination mandate and has expanded its ability to promote GEWE across the system. There are examples of good work in the Pacific region although the </w:t>
            </w:r>
            <w:r w:rsidR="00190FC5" w:rsidRPr="00843214">
              <w:rPr>
                <w:color w:val="auto"/>
                <w:sz w:val="16"/>
                <w:szCs w:val="16"/>
                <w:lang w:val="en-AU"/>
              </w:rPr>
              <w:t>resourcing</w:t>
            </w:r>
            <w:r w:rsidRPr="00843214">
              <w:rPr>
                <w:color w:val="auto"/>
                <w:sz w:val="16"/>
                <w:szCs w:val="16"/>
                <w:lang w:val="en-AU"/>
              </w:rPr>
              <w:t xml:space="preserve"> is lean. UN Women plays a strong advocacy role across the UN system and has elevated the UN SWAP, and increased outcomes on the UN C</w:t>
            </w:r>
            <w:r w:rsidR="00B15DC3" w:rsidRPr="00843214">
              <w:rPr>
                <w:color w:val="auto"/>
                <w:sz w:val="16"/>
                <w:szCs w:val="16"/>
                <w:lang w:val="en-AU"/>
              </w:rPr>
              <w:t>ommission on the Status of Women</w:t>
            </w:r>
            <w:r w:rsidRPr="00843214">
              <w:rPr>
                <w:color w:val="auto"/>
                <w:sz w:val="16"/>
                <w:szCs w:val="16"/>
                <w:lang w:val="en-AU"/>
              </w:rPr>
              <w:t xml:space="preserve">. </w:t>
            </w:r>
          </w:p>
        </w:tc>
      </w:tr>
    </w:tbl>
    <w:p w14:paraId="7DCB705D" w14:textId="6D8A1E96" w:rsidR="00DB270A" w:rsidRPr="00843214" w:rsidRDefault="00467D78" w:rsidP="00053CFE">
      <w:pPr>
        <w:spacing w:before="240"/>
        <w:rPr>
          <w:color w:val="auto"/>
          <w:lang w:val="en-AU"/>
        </w:rPr>
      </w:pPr>
      <w:r w:rsidRPr="00843214">
        <w:rPr>
          <w:b/>
          <w:bCs/>
          <w:color w:val="auto"/>
          <w:szCs w:val="20"/>
          <w:lang w:val="en-AU"/>
        </w:rPr>
        <w:t xml:space="preserve">DFAT’s support to core resourcing through </w:t>
      </w:r>
      <w:r w:rsidR="003E44F6" w:rsidRPr="00843214">
        <w:rPr>
          <w:b/>
          <w:bCs/>
          <w:color w:val="auto"/>
          <w:szCs w:val="20"/>
          <w:lang w:val="en-AU"/>
        </w:rPr>
        <w:t xml:space="preserve">the </w:t>
      </w:r>
      <w:r w:rsidR="005D28F3" w:rsidRPr="00843214">
        <w:rPr>
          <w:b/>
          <w:bCs/>
          <w:color w:val="auto"/>
          <w:szCs w:val="20"/>
          <w:lang w:val="en-AU"/>
        </w:rPr>
        <w:t>P</w:t>
      </w:r>
      <w:r w:rsidRPr="00843214">
        <w:rPr>
          <w:b/>
          <w:bCs/>
          <w:color w:val="auto"/>
          <w:szCs w:val="20"/>
          <w:lang w:val="en-AU"/>
        </w:rPr>
        <w:t>artnership contributes to UN Women’s role within the UN System as the only entity exclusively dedicated to achieving gender equality and empowering women and girls</w:t>
      </w:r>
      <w:r w:rsidR="009E6D36" w:rsidRPr="00843214">
        <w:rPr>
          <w:b/>
          <w:bCs/>
          <w:color w:val="auto"/>
          <w:szCs w:val="20"/>
          <w:lang w:val="en-AU"/>
        </w:rPr>
        <w:t>,</w:t>
      </w:r>
      <w:r w:rsidR="00B331B6" w:rsidRPr="00843214">
        <w:rPr>
          <w:b/>
          <w:bCs/>
          <w:color w:val="auto"/>
          <w:szCs w:val="20"/>
          <w:lang w:val="en-AU"/>
        </w:rPr>
        <w:t xml:space="preserve"> and </w:t>
      </w:r>
      <w:r w:rsidR="009E6D36" w:rsidRPr="00843214">
        <w:rPr>
          <w:b/>
          <w:bCs/>
          <w:color w:val="auto"/>
          <w:szCs w:val="20"/>
          <w:lang w:val="en-AU"/>
        </w:rPr>
        <w:t xml:space="preserve">its </w:t>
      </w:r>
      <w:r w:rsidR="00B331B6" w:rsidRPr="00843214">
        <w:rPr>
          <w:b/>
          <w:bCs/>
          <w:color w:val="auto"/>
          <w:szCs w:val="20"/>
          <w:lang w:val="en-AU"/>
        </w:rPr>
        <w:t>coordination of GEWE across the UN system</w:t>
      </w:r>
      <w:r w:rsidR="00DD34CF" w:rsidRPr="00843214">
        <w:rPr>
          <w:b/>
          <w:bCs/>
          <w:color w:val="auto"/>
          <w:szCs w:val="20"/>
          <w:lang w:val="en-AU"/>
        </w:rPr>
        <w:t>.</w:t>
      </w:r>
      <w:r w:rsidRPr="00843214">
        <w:rPr>
          <w:color w:val="auto"/>
          <w:szCs w:val="20"/>
          <w:lang w:val="en-AU"/>
        </w:rPr>
        <w:t xml:space="preserve"> </w:t>
      </w:r>
      <w:r w:rsidR="00BD5B20" w:rsidRPr="00843214">
        <w:rPr>
          <w:color w:val="auto"/>
          <w:szCs w:val="20"/>
          <w:lang w:val="en-AU"/>
        </w:rPr>
        <w:t xml:space="preserve">Through </w:t>
      </w:r>
      <w:r w:rsidR="001C4F87" w:rsidRPr="00843214">
        <w:rPr>
          <w:color w:val="auto"/>
          <w:szCs w:val="20"/>
          <w:lang w:val="en-AU"/>
        </w:rPr>
        <w:t>the Partnership</w:t>
      </w:r>
      <w:r w:rsidR="00BD5B20" w:rsidRPr="00843214">
        <w:rPr>
          <w:color w:val="auto"/>
          <w:szCs w:val="20"/>
          <w:lang w:val="en-AU"/>
        </w:rPr>
        <w:t>, UN Women contributed to gains in the prioriti</w:t>
      </w:r>
      <w:r w:rsidR="002B3B4B" w:rsidRPr="00843214">
        <w:rPr>
          <w:color w:val="auto"/>
          <w:szCs w:val="20"/>
          <w:lang w:val="en-AU"/>
        </w:rPr>
        <w:t>s</w:t>
      </w:r>
      <w:r w:rsidR="00BD5B20" w:rsidRPr="00843214">
        <w:rPr>
          <w:color w:val="auto"/>
          <w:szCs w:val="20"/>
          <w:lang w:val="en-AU"/>
        </w:rPr>
        <w:t>ation and coordination of GEWE-related issues in specific UN Agencies and across the U</w:t>
      </w:r>
      <w:r w:rsidR="005D3D33" w:rsidRPr="00843214">
        <w:rPr>
          <w:color w:val="auto"/>
          <w:szCs w:val="20"/>
          <w:lang w:val="en-AU"/>
        </w:rPr>
        <w:t>N</w:t>
      </w:r>
      <w:r w:rsidR="00BD5B20" w:rsidRPr="00843214">
        <w:rPr>
          <w:color w:val="auto"/>
          <w:szCs w:val="20"/>
          <w:lang w:val="en-AU"/>
        </w:rPr>
        <w:t xml:space="preserve"> </w:t>
      </w:r>
      <w:r w:rsidR="002B3B4B" w:rsidRPr="00843214">
        <w:rPr>
          <w:color w:val="auto"/>
          <w:szCs w:val="20"/>
          <w:lang w:val="en-AU"/>
        </w:rPr>
        <w:t>s</w:t>
      </w:r>
      <w:r w:rsidR="00BD5B20" w:rsidRPr="00843214">
        <w:rPr>
          <w:color w:val="auto"/>
          <w:szCs w:val="20"/>
          <w:lang w:val="en-AU"/>
        </w:rPr>
        <w:t>ystem</w:t>
      </w:r>
      <w:r w:rsidR="00BD5B20" w:rsidRPr="00843214">
        <w:rPr>
          <w:rStyle w:val="FootnoteReference"/>
          <w:color w:val="auto"/>
          <w:szCs w:val="20"/>
          <w:lang w:val="en-AU"/>
        </w:rPr>
        <w:footnoteReference w:id="25"/>
      </w:r>
      <w:r w:rsidR="00DB270A" w:rsidRPr="00843214">
        <w:rPr>
          <w:color w:val="auto"/>
          <w:szCs w:val="20"/>
          <w:lang w:val="en-AU"/>
        </w:rPr>
        <w:t>.</w:t>
      </w:r>
      <w:r w:rsidR="009E6D36" w:rsidRPr="00843214">
        <w:rPr>
          <w:color w:val="auto"/>
          <w:szCs w:val="20"/>
          <w:lang w:val="en-AU"/>
        </w:rPr>
        <w:t xml:space="preserve"> </w:t>
      </w:r>
      <w:r w:rsidRPr="00843214">
        <w:rPr>
          <w:color w:val="auto"/>
          <w:lang w:val="en-AU"/>
        </w:rPr>
        <w:t xml:space="preserve">In its coordination role, UN Women works to support coherence on gender mainstreaming, gender parity with the UN system, support to the </w:t>
      </w:r>
      <w:r w:rsidR="00451EB6" w:rsidRPr="00843214">
        <w:rPr>
          <w:color w:val="auto"/>
          <w:szCs w:val="20"/>
        </w:rPr>
        <w:t>United Nations System-wide Action Plan on Gender Equality</w:t>
      </w:r>
      <w:r w:rsidR="00451EB6" w:rsidRPr="00843214">
        <w:rPr>
          <w:color w:val="auto"/>
          <w:lang w:val="en-AU"/>
        </w:rPr>
        <w:t xml:space="preserve"> (</w:t>
      </w:r>
      <w:r w:rsidRPr="00843214">
        <w:rPr>
          <w:color w:val="auto"/>
          <w:lang w:val="en-AU"/>
        </w:rPr>
        <w:t>UN-SWAP</w:t>
      </w:r>
      <w:proofErr w:type="gramStart"/>
      <w:r w:rsidR="00451EB6" w:rsidRPr="00843214">
        <w:rPr>
          <w:color w:val="auto"/>
          <w:lang w:val="en-AU"/>
        </w:rPr>
        <w:t>)</w:t>
      </w:r>
      <w:r w:rsidRPr="00843214">
        <w:rPr>
          <w:color w:val="auto"/>
          <w:lang w:val="en-AU"/>
        </w:rPr>
        <w:t>, and</w:t>
      </w:r>
      <w:proofErr w:type="gramEnd"/>
      <w:r w:rsidRPr="00843214">
        <w:rPr>
          <w:color w:val="auto"/>
          <w:lang w:val="en-AU"/>
        </w:rPr>
        <w:t xml:space="preserve"> supporting policy and standards on issues surrounding sexual</w:t>
      </w:r>
      <w:r w:rsidR="00454041" w:rsidRPr="00843214">
        <w:rPr>
          <w:color w:val="auto"/>
          <w:lang w:val="en-AU"/>
        </w:rPr>
        <w:t xml:space="preserve"> exploitation</w:t>
      </w:r>
      <w:r w:rsidR="001E5875" w:rsidRPr="00843214">
        <w:rPr>
          <w:color w:val="auto"/>
          <w:lang w:val="en-AU"/>
        </w:rPr>
        <w:t>,</w:t>
      </w:r>
      <w:r w:rsidR="00454041" w:rsidRPr="00843214">
        <w:rPr>
          <w:color w:val="auto"/>
          <w:lang w:val="en-AU"/>
        </w:rPr>
        <w:t xml:space="preserve"> abuse and </w:t>
      </w:r>
      <w:r w:rsidRPr="00843214">
        <w:rPr>
          <w:color w:val="auto"/>
          <w:lang w:val="en-AU"/>
        </w:rPr>
        <w:t>harassment</w:t>
      </w:r>
      <w:r w:rsidR="00454041" w:rsidRPr="00843214">
        <w:rPr>
          <w:color w:val="auto"/>
          <w:lang w:val="en-AU"/>
        </w:rPr>
        <w:t xml:space="preserve"> (SEAH)</w:t>
      </w:r>
      <w:r w:rsidRPr="00843214">
        <w:rPr>
          <w:color w:val="auto"/>
          <w:lang w:val="en-AU"/>
        </w:rPr>
        <w:t>.</w:t>
      </w:r>
      <w:r w:rsidR="00356297" w:rsidRPr="00843214">
        <w:rPr>
          <w:color w:val="auto"/>
          <w:lang w:val="en-AU"/>
        </w:rPr>
        <w:t xml:space="preserve"> UN Women has taken a leading advocacy role, publishing two key documents on prevention of and response to Sexual Harassment and Sexual Exploitation and Abuse</w:t>
      </w:r>
      <w:r w:rsidR="004A2E01" w:rsidRPr="00843214">
        <w:rPr>
          <w:rStyle w:val="FootnoteReference"/>
          <w:color w:val="auto"/>
          <w:lang w:val="en-AU"/>
        </w:rPr>
        <w:footnoteReference w:id="26"/>
      </w:r>
      <w:r w:rsidR="00356297" w:rsidRPr="00843214">
        <w:rPr>
          <w:color w:val="auto"/>
          <w:lang w:val="en-AU"/>
        </w:rPr>
        <w:t xml:space="preserve">. </w:t>
      </w:r>
      <w:r w:rsidR="5C59AFC0" w:rsidRPr="00843214">
        <w:rPr>
          <w:color w:val="auto"/>
          <w:lang w:val="en-AU"/>
        </w:rPr>
        <w:t>UN humanitarian coordination (i</w:t>
      </w:r>
      <w:r w:rsidR="00B331B6" w:rsidRPr="00843214">
        <w:rPr>
          <w:color w:val="auto"/>
          <w:lang w:val="en-AU"/>
        </w:rPr>
        <w:t>.</w:t>
      </w:r>
      <w:r w:rsidR="5C59AFC0" w:rsidRPr="00843214">
        <w:rPr>
          <w:color w:val="auto"/>
          <w:lang w:val="en-AU"/>
        </w:rPr>
        <w:t>e</w:t>
      </w:r>
      <w:r w:rsidR="00B331B6" w:rsidRPr="00843214">
        <w:rPr>
          <w:color w:val="auto"/>
          <w:lang w:val="en-AU"/>
        </w:rPr>
        <w:t>.</w:t>
      </w:r>
      <w:r w:rsidR="006A7ACD" w:rsidRPr="00843214">
        <w:rPr>
          <w:color w:val="auto"/>
          <w:lang w:val="en-AU"/>
        </w:rPr>
        <w:t>,</w:t>
      </w:r>
      <w:r w:rsidR="5C59AFC0" w:rsidRPr="00843214">
        <w:rPr>
          <w:color w:val="auto"/>
          <w:lang w:val="en-AU"/>
        </w:rPr>
        <w:t xml:space="preserve"> coordination of Gender in Humanitarian Action</w:t>
      </w:r>
      <w:r w:rsidR="5BDCADFC" w:rsidRPr="00843214">
        <w:rPr>
          <w:color w:val="auto"/>
          <w:lang w:val="en-AU"/>
        </w:rPr>
        <w:t>)</w:t>
      </w:r>
      <w:r w:rsidR="5C59AFC0" w:rsidRPr="00843214">
        <w:rPr>
          <w:color w:val="auto"/>
          <w:lang w:val="en-AU"/>
        </w:rPr>
        <w:t xml:space="preserve"> at regional and national level</w:t>
      </w:r>
      <w:r w:rsidR="57D90EF4" w:rsidRPr="00843214">
        <w:rPr>
          <w:color w:val="auto"/>
          <w:lang w:val="en-AU"/>
        </w:rPr>
        <w:t>, while</w:t>
      </w:r>
      <w:r w:rsidR="5C59AFC0" w:rsidRPr="00843214">
        <w:rPr>
          <w:color w:val="auto"/>
          <w:lang w:val="en-AU"/>
        </w:rPr>
        <w:t xml:space="preserve"> not necessarily funded</w:t>
      </w:r>
      <w:r w:rsidR="40438736" w:rsidRPr="00843214">
        <w:rPr>
          <w:color w:val="auto"/>
          <w:lang w:val="en-AU"/>
        </w:rPr>
        <w:t xml:space="preserve"> by core</w:t>
      </w:r>
      <w:r w:rsidR="5C59AFC0" w:rsidRPr="00843214">
        <w:rPr>
          <w:color w:val="auto"/>
          <w:lang w:val="en-AU"/>
        </w:rPr>
        <w:t xml:space="preserve">, </w:t>
      </w:r>
      <w:r w:rsidR="00CD7707" w:rsidRPr="00843214">
        <w:rPr>
          <w:color w:val="auto"/>
          <w:lang w:val="en-AU"/>
        </w:rPr>
        <w:t>also</w:t>
      </w:r>
      <w:r w:rsidR="5C59AFC0" w:rsidRPr="00843214">
        <w:rPr>
          <w:color w:val="auto"/>
          <w:lang w:val="en-AU"/>
        </w:rPr>
        <w:t xml:space="preserve"> represent</w:t>
      </w:r>
      <w:r w:rsidR="6D129842" w:rsidRPr="00843214">
        <w:rPr>
          <w:color w:val="auto"/>
          <w:lang w:val="en-AU"/>
        </w:rPr>
        <w:t>s</w:t>
      </w:r>
      <w:r w:rsidR="5C59AFC0" w:rsidRPr="00843214">
        <w:rPr>
          <w:color w:val="auto"/>
          <w:lang w:val="en-AU"/>
        </w:rPr>
        <w:t xml:space="preserve"> </w:t>
      </w:r>
      <w:r w:rsidR="10A40A8D" w:rsidRPr="00843214">
        <w:rPr>
          <w:color w:val="auto"/>
          <w:lang w:val="en-AU"/>
        </w:rPr>
        <w:t>UN</w:t>
      </w:r>
      <w:r w:rsidR="49A4FDC0" w:rsidRPr="00843214">
        <w:rPr>
          <w:color w:val="auto"/>
          <w:lang w:val="en-AU"/>
        </w:rPr>
        <w:t xml:space="preserve"> Women’s</w:t>
      </w:r>
      <w:r w:rsidR="5C59AFC0" w:rsidRPr="00843214">
        <w:rPr>
          <w:color w:val="auto"/>
          <w:lang w:val="en-AU"/>
        </w:rPr>
        <w:t xml:space="preserve"> coordination mandate. </w:t>
      </w:r>
    </w:p>
    <w:p w14:paraId="6D0A9233" w14:textId="6E345A07" w:rsidR="00966C64" w:rsidRPr="00843214" w:rsidRDefault="00467D78" w:rsidP="00FD3ED9">
      <w:pPr>
        <w:rPr>
          <w:color w:val="auto"/>
          <w:lang w:val="en-AU"/>
        </w:rPr>
      </w:pPr>
      <w:bookmarkStart w:id="46" w:name="_Hlk67577226"/>
      <w:r w:rsidRPr="00843214">
        <w:rPr>
          <w:b/>
          <w:bCs/>
          <w:color w:val="auto"/>
          <w:lang w:val="en-AU"/>
        </w:rPr>
        <w:t>The coordination role is critical but lean</w:t>
      </w:r>
      <w:r w:rsidR="00B331B6" w:rsidRPr="00843214">
        <w:rPr>
          <w:b/>
          <w:bCs/>
          <w:color w:val="auto"/>
          <w:lang w:val="en-AU"/>
        </w:rPr>
        <w:t xml:space="preserve"> across the UN system and </w:t>
      </w:r>
      <w:r w:rsidR="0044038D" w:rsidRPr="00843214">
        <w:rPr>
          <w:b/>
          <w:bCs/>
          <w:color w:val="auto"/>
          <w:lang w:val="en-AU"/>
        </w:rPr>
        <w:t>at regional and country levels</w:t>
      </w:r>
      <w:r w:rsidR="00F21621" w:rsidRPr="00843214">
        <w:rPr>
          <w:b/>
          <w:bCs/>
          <w:color w:val="auto"/>
          <w:lang w:val="en-AU"/>
        </w:rPr>
        <w:t xml:space="preserve"> and resourcing </w:t>
      </w:r>
      <w:r w:rsidR="000C1B75" w:rsidRPr="00843214">
        <w:rPr>
          <w:b/>
          <w:bCs/>
          <w:color w:val="auto"/>
          <w:lang w:val="en-AU"/>
        </w:rPr>
        <w:t xml:space="preserve">to </w:t>
      </w:r>
      <w:r w:rsidR="00736931" w:rsidRPr="00843214">
        <w:rPr>
          <w:b/>
          <w:bCs/>
          <w:color w:val="auto"/>
        </w:rPr>
        <w:t>support accountability and improved performance</w:t>
      </w:r>
      <w:r w:rsidR="001859AC" w:rsidRPr="00843214">
        <w:rPr>
          <w:b/>
          <w:bCs/>
          <w:color w:val="auto"/>
        </w:rPr>
        <w:t xml:space="preserve"> through coordination</w:t>
      </w:r>
      <w:r w:rsidR="000C1B75" w:rsidRPr="00843214">
        <w:rPr>
          <w:b/>
          <w:bCs/>
          <w:color w:val="auto"/>
        </w:rPr>
        <w:t xml:space="preserve"> </w:t>
      </w:r>
      <w:r w:rsidR="00933B0E" w:rsidRPr="00843214">
        <w:rPr>
          <w:b/>
          <w:bCs/>
          <w:color w:val="auto"/>
        </w:rPr>
        <w:t>i</w:t>
      </w:r>
      <w:r w:rsidR="000C1B75" w:rsidRPr="00843214">
        <w:rPr>
          <w:b/>
          <w:bCs/>
          <w:color w:val="auto"/>
        </w:rPr>
        <w:t>s stretched</w:t>
      </w:r>
      <w:r w:rsidR="001859AC" w:rsidRPr="00843214">
        <w:rPr>
          <w:b/>
          <w:bCs/>
          <w:color w:val="auto"/>
        </w:rPr>
        <w:t>.</w:t>
      </w:r>
      <w:r w:rsidRPr="00843214">
        <w:rPr>
          <w:b/>
          <w:bCs/>
          <w:color w:val="auto"/>
          <w:lang w:val="en-AU"/>
        </w:rPr>
        <w:t xml:space="preserve"> </w:t>
      </w:r>
      <w:bookmarkEnd w:id="46"/>
      <w:r w:rsidR="000C1B75" w:rsidRPr="00843214">
        <w:rPr>
          <w:color w:val="auto"/>
          <w:lang w:val="en-AU"/>
        </w:rPr>
        <w:t>The resourcing of UN Women’s</w:t>
      </w:r>
      <w:r w:rsidRPr="00843214">
        <w:rPr>
          <w:color w:val="auto"/>
          <w:lang w:val="en-AU"/>
        </w:rPr>
        <w:t xml:space="preserve"> coordination function has implications for UN Women’s evolving role </w:t>
      </w:r>
      <w:r w:rsidR="00377BDA" w:rsidRPr="00843214">
        <w:rPr>
          <w:color w:val="auto"/>
          <w:lang w:val="en-AU"/>
        </w:rPr>
        <w:t xml:space="preserve">within </w:t>
      </w:r>
      <w:r w:rsidRPr="00843214">
        <w:rPr>
          <w:color w:val="auto"/>
          <w:lang w:val="en-AU"/>
        </w:rPr>
        <w:t xml:space="preserve">UNDS reform and the extent to which </w:t>
      </w:r>
      <w:r w:rsidR="000C1B75" w:rsidRPr="00843214">
        <w:rPr>
          <w:color w:val="auto"/>
          <w:lang w:val="en-AU"/>
        </w:rPr>
        <w:t xml:space="preserve">it </w:t>
      </w:r>
      <w:r w:rsidRPr="00843214">
        <w:rPr>
          <w:color w:val="auto"/>
          <w:lang w:val="en-AU"/>
        </w:rPr>
        <w:t xml:space="preserve">can leverage </w:t>
      </w:r>
      <w:r w:rsidR="001859AC" w:rsidRPr="00843214">
        <w:rPr>
          <w:color w:val="auto"/>
          <w:lang w:val="en-AU"/>
        </w:rPr>
        <w:t>its position to</w:t>
      </w:r>
      <w:r w:rsidRPr="00843214">
        <w:rPr>
          <w:color w:val="auto"/>
          <w:lang w:val="en-AU"/>
        </w:rPr>
        <w:t xml:space="preserve"> influence agencies</w:t>
      </w:r>
      <w:r w:rsidR="001859AC" w:rsidRPr="00843214">
        <w:rPr>
          <w:color w:val="auto"/>
          <w:lang w:val="en-AU"/>
        </w:rPr>
        <w:t>’</w:t>
      </w:r>
      <w:r w:rsidRPr="00843214">
        <w:rPr>
          <w:color w:val="auto"/>
          <w:lang w:val="en-AU"/>
        </w:rPr>
        <w:t xml:space="preserve"> consideration of gender issues on all fronts, from humanitarian, to peacekeeping, to transformative impacts for women and girls. UN Women serves as a secretariat for the UN WPS Standing Committee, effectively convening UN and CSO members for monitoring progress and reporting on the implementation of WPS, especially in preparation of the annual SG’s reports on WPS.</w:t>
      </w:r>
      <w:r w:rsidR="00966C64" w:rsidRPr="00843214">
        <w:rPr>
          <w:color w:val="auto"/>
          <w:lang w:val="en-AU"/>
        </w:rPr>
        <w:t xml:space="preserve"> UN-Women has enhanced the role and outcomes of the UN Commission on the Status of Women</w:t>
      </w:r>
      <w:r w:rsidR="00DB270A" w:rsidRPr="00843214">
        <w:rPr>
          <w:rStyle w:val="FootnoteReference"/>
          <w:color w:val="auto"/>
          <w:lang w:val="en-AU"/>
        </w:rPr>
        <w:footnoteReference w:id="27"/>
      </w:r>
      <w:r w:rsidR="00966C64" w:rsidRPr="00843214">
        <w:rPr>
          <w:color w:val="auto"/>
          <w:lang w:val="en-AU"/>
        </w:rPr>
        <w:t xml:space="preserve"> by convening dialogues with Member States and technical experts and provided substantive inputs</w:t>
      </w:r>
      <w:r w:rsidR="0034693D" w:rsidRPr="00843214">
        <w:rPr>
          <w:color w:val="auto"/>
          <w:lang w:val="en-AU"/>
        </w:rPr>
        <w:t>.</w:t>
      </w:r>
      <w:r w:rsidR="0034693D" w:rsidRPr="00843214">
        <w:rPr>
          <w:rStyle w:val="FootnoteReference"/>
          <w:color w:val="auto"/>
          <w:lang w:val="en-AU"/>
        </w:rPr>
        <w:footnoteReference w:id="28"/>
      </w:r>
    </w:p>
    <w:p w14:paraId="51DFBC4A" w14:textId="6EDCAC6A" w:rsidR="00467D78" w:rsidRPr="00843214" w:rsidRDefault="00467D78" w:rsidP="00467D78">
      <w:pPr>
        <w:pStyle w:val="Heading4"/>
        <w:rPr>
          <w:b/>
          <w:bCs/>
          <w:color w:val="auto"/>
          <w:sz w:val="25"/>
          <w:szCs w:val="32"/>
          <w:lang w:val="en-AU"/>
        </w:rPr>
      </w:pPr>
      <w:r w:rsidRPr="00843214">
        <w:rPr>
          <w:b/>
          <w:bCs/>
          <w:color w:val="auto"/>
          <w:sz w:val="25"/>
          <w:szCs w:val="32"/>
          <w:lang w:val="en-AU"/>
        </w:rPr>
        <w:lastRenderedPageBreak/>
        <w:t xml:space="preserve">Objective 4: </w:t>
      </w:r>
      <w:r w:rsidR="00D75352" w:rsidRPr="00843214">
        <w:rPr>
          <w:b/>
          <w:bCs/>
          <w:color w:val="auto"/>
          <w:sz w:val="25"/>
          <w:szCs w:val="32"/>
          <w:lang w:val="en-AU"/>
        </w:rPr>
        <w:t>Enhancing w</w:t>
      </w:r>
      <w:r w:rsidRPr="00843214">
        <w:rPr>
          <w:b/>
          <w:bCs/>
          <w:color w:val="auto"/>
          <w:sz w:val="25"/>
          <w:szCs w:val="32"/>
          <w:lang w:val="en-AU"/>
        </w:rPr>
        <w:t xml:space="preserve">omen’s </w:t>
      </w:r>
      <w:r w:rsidR="00D75352" w:rsidRPr="00843214">
        <w:rPr>
          <w:b/>
          <w:bCs/>
          <w:color w:val="auto"/>
          <w:sz w:val="25"/>
          <w:szCs w:val="32"/>
          <w:lang w:val="en-AU"/>
        </w:rPr>
        <w:t>v</w:t>
      </w:r>
      <w:r w:rsidRPr="00843214">
        <w:rPr>
          <w:b/>
          <w:bCs/>
          <w:color w:val="auto"/>
          <w:sz w:val="25"/>
          <w:szCs w:val="32"/>
          <w:lang w:val="en-AU"/>
        </w:rPr>
        <w:t>oice</w:t>
      </w:r>
      <w:r w:rsidR="00DB270A" w:rsidRPr="00843214">
        <w:rPr>
          <w:b/>
          <w:bCs/>
          <w:color w:val="auto"/>
          <w:sz w:val="25"/>
          <w:szCs w:val="32"/>
          <w:lang w:val="en-AU"/>
        </w:rPr>
        <w:t>s</w:t>
      </w:r>
      <w:r w:rsidRPr="00843214">
        <w:rPr>
          <w:b/>
          <w:bCs/>
          <w:color w:val="auto"/>
          <w:sz w:val="25"/>
          <w:szCs w:val="32"/>
          <w:lang w:val="en-AU"/>
        </w:rPr>
        <w:t xml:space="preserve"> </w:t>
      </w:r>
      <w:r w:rsidR="004E3482" w:rsidRPr="00843214">
        <w:rPr>
          <w:b/>
          <w:bCs/>
          <w:color w:val="auto"/>
          <w:sz w:val="25"/>
          <w:szCs w:val="32"/>
          <w:lang w:val="en-AU"/>
        </w:rPr>
        <w:t xml:space="preserve">in decision making, leadership and peacebuilding, </w:t>
      </w:r>
      <w:proofErr w:type="gramStart"/>
      <w:r w:rsidR="004E3482" w:rsidRPr="00843214">
        <w:rPr>
          <w:b/>
          <w:bCs/>
          <w:color w:val="auto"/>
          <w:sz w:val="25"/>
          <w:szCs w:val="32"/>
          <w:lang w:val="en-AU"/>
        </w:rPr>
        <w:t>security</w:t>
      </w:r>
      <w:proofErr w:type="gramEnd"/>
      <w:r w:rsidR="0051471F" w:rsidRPr="00843214">
        <w:rPr>
          <w:b/>
          <w:bCs/>
          <w:color w:val="auto"/>
          <w:sz w:val="25"/>
          <w:szCs w:val="32"/>
          <w:lang w:val="en-AU"/>
        </w:rPr>
        <w:t xml:space="preserve"> </w:t>
      </w:r>
      <w:r w:rsidR="004E3482" w:rsidRPr="00843214">
        <w:rPr>
          <w:b/>
          <w:bCs/>
          <w:color w:val="auto"/>
          <w:sz w:val="25"/>
          <w:szCs w:val="32"/>
          <w:lang w:val="en-AU"/>
        </w:rPr>
        <w:t>and humanitarian responses</w:t>
      </w:r>
    </w:p>
    <w:tbl>
      <w:tblPr>
        <w:tblStyle w:val="TableGridLight"/>
        <w:tblW w:w="0" w:type="auto"/>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4574"/>
        <w:gridCol w:w="870"/>
        <w:gridCol w:w="3562"/>
      </w:tblGrid>
      <w:tr w:rsidR="00843214" w:rsidRPr="00843214" w14:paraId="2B123AEB" w14:textId="7F81468D" w:rsidTr="00F702A4">
        <w:trPr>
          <w:trHeight w:val="573"/>
        </w:trPr>
        <w:tc>
          <w:tcPr>
            <w:tcW w:w="4668" w:type="dxa"/>
            <w:shd w:val="clear" w:color="auto" w:fill="auto"/>
          </w:tcPr>
          <w:p w14:paraId="040D3327" w14:textId="56770CEE" w:rsidR="003F50D6" w:rsidRPr="00843214" w:rsidRDefault="003F50D6" w:rsidP="004E3482">
            <w:pPr>
              <w:spacing w:after="0"/>
              <w:contextualSpacing/>
              <w:rPr>
                <w:rFonts w:cstheme="minorHAnsi"/>
                <w:b/>
                <w:bCs/>
                <w:color w:val="auto"/>
                <w:lang w:val="en-AU"/>
              </w:rPr>
            </w:pPr>
            <w:bookmarkStart w:id="47" w:name="_Hlk66370629"/>
            <w:r w:rsidRPr="00843214">
              <w:rPr>
                <w:rFonts w:cstheme="minorHAnsi"/>
                <w:b/>
                <w:bCs/>
                <w:color w:val="auto"/>
                <w:lang w:val="en-AU"/>
              </w:rPr>
              <w:t>SPF objective and sub-objectives</w:t>
            </w:r>
          </w:p>
        </w:tc>
        <w:tc>
          <w:tcPr>
            <w:tcW w:w="709" w:type="dxa"/>
            <w:shd w:val="clear" w:color="auto" w:fill="FFC000"/>
          </w:tcPr>
          <w:p w14:paraId="45890ADF" w14:textId="1E1234F4" w:rsidR="003F50D6" w:rsidRPr="00843214" w:rsidRDefault="003F50D6" w:rsidP="004E3482">
            <w:pPr>
              <w:rPr>
                <w:b/>
                <w:bCs/>
                <w:color w:val="auto"/>
                <w:lang w:val="en-AU"/>
              </w:rPr>
            </w:pPr>
            <w:r w:rsidRPr="00843214">
              <w:rPr>
                <w:b/>
                <w:bCs/>
                <w:color w:val="auto"/>
                <w:lang w:val="en-AU"/>
              </w:rPr>
              <w:t>Rating</w:t>
            </w:r>
          </w:p>
        </w:tc>
        <w:tc>
          <w:tcPr>
            <w:tcW w:w="3629" w:type="dxa"/>
            <w:shd w:val="clear" w:color="auto" w:fill="auto"/>
          </w:tcPr>
          <w:p w14:paraId="1D7C890F" w14:textId="241E8D18" w:rsidR="003F50D6" w:rsidRPr="00843214" w:rsidRDefault="003F50D6" w:rsidP="004E3482">
            <w:pPr>
              <w:rPr>
                <w:b/>
                <w:bCs/>
                <w:color w:val="auto"/>
                <w:lang w:val="en-AU"/>
              </w:rPr>
            </w:pPr>
            <w:r w:rsidRPr="00843214">
              <w:rPr>
                <w:b/>
                <w:bCs/>
                <w:color w:val="auto"/>
                <w:lang w:val="en-AU"/>
              </w:rPr>
              <w:t>Summary rationale for rating</w:t>
            </w:r>
          </w:p>
        </w:tc>
      </w:tr>
      <w:tr w:rsidR="00843214" w:rsidRPr="00843214" w14:paraId="60968C77" w14:textId="50B66346" w:rsidTr="00F702A4">
        <w:trPr>
          <w:trHeight w:val="1925"/>
        </w:trPr>
        <w:tc>
          <w:tcPr>
            <w:tcW w:w="4668" w:type="dxa"/>
          </w:tcPr>
          <w:p w14:paraId="11B6307C" w14:textId="16F0175A" w:rsidR="003F50D6" w:rsidRPr="00843214" w:rsidRDefault="003F50D6" w:rsidP="00B62061">
            <w:pPr>
              <w:rPr>
                <w:rFonts w:cstheme="minorBidi"/>
                <w:color w:val="auto"/>
                <w:sz w:val="16"/>
                <w:szCs w:val="16"/>
                <w:lang w:val="en-AU"/>
              </w:rPr>
            </w:pPr>
            <w:r w:rsidRPr="00843214">
              <w:rPr>
                <w:rFonts w:cstheme="minorBidi"/>
                <w:color w:val="auto"/>
                <w:sz w:val="16"/>
                <w:szCs w:val="16"/>
                <w:lang w:val="en-AU"/>
              </w:rPr>
              <w:t>Enhancing women’s voices in decision making, leadership</w:t>
            </w:r>
            <w:r w:rsidR="003F02C3" w:rsidRPr="00843214">
              <w:rPr>
                <w:rFonts w:cstheme="minorBidi"/>
                <w:color w:val="auto"/>
                <w:sz w:val="16"/>
                <w:szCs w:val="16"/>
                <w:lang w:val="en-AU"/>
              </w:rPr>
              <w:t xml:space="preserve"> and</w:t>
            </w:r>
            <w:r w:rsidRPr="00843214">
              <w:rPr>
                <w:rFonts w:cstheme="minorBidi"/>
                <w:color w:val="auto"/>
                <w:sz w:val="16"/>
                <w:szCs w:val="16"/>
                <w:lang w:val="en-AU"/>
              </w:rPr>
              <w:t xml:space="preserve"> peacebuilding, </w:t>
            </w:r>
            <w:proofErr w:type="gramStart"/>
            <w:r w:rsidRPr="00843214">
              <w:rPr>
                <w:rFonts w:cstheme="minorBidi"/>
                <w:color w:val="auto"/>
                <w:sz w:val="16"/>
                <w:szCs w:val="16"/>
                <w:lang w:val="en-AU"/>
              </w:rPr>
              <w:t>security</w:t>
            </w:r>
            <w:proofErr w:type="gramEnd"/>
            <w:r w:rsidRPr="00843214">
              <w:rPr>
                <w:rFonts w:cstheme="minorBidi"/>
                <w:color w:val="auto"/>
                <w:sz w:val="16"/>
                <w:szCs w:val="16"/>
                <w:lang w:val="en-AU"/>
              </w:rPr>
              <w:t xml:space="preserve"> and humanitarian responses.</w:t>
            </w:r>
          </w:p>
          <w:p w14:paraId="156EBC59" w14:textId="77777777" w:rsidR="003F50D6" w:rsidRPr="00843214" w:rsidRDefault="003F50D6" w:rsidP="00B62061">
            <w:pPr>
              <w:pStyle w:val="ListParagraph"/>
              <w:numPr>
                <w:ilvl w:val="0"/>
                <w:numId w:val="8"/>
              </w:numPr>
              <w:ind w:left="150" w:hanging="90"/>
              <w:rPr>
                <w:color w:val="auto"/>
                <w:sz w:val="16"/>
                <w:szCs w:val="16"/>
                <w:lang w:val="en-AU"/>
              </w:rPr>
            </w:pPr>
            <w:r w:rsidRPr="00843214">
              <w:rPr>
                <w:color w:val="auto"/>
                <w:sz w:val="16"/>
                <w:szCs w:val="16"/>
                <w:lang w:val="en-AU"/>
              </w:rPr>
              <w:t>Taking action to ensure women’s full participation at all levels of decision making.</w:t>
            </w:r>
          </w:p>
          <w:p w14:paraId="26B4A883" w14:textId="543C57C1" w:rsidR="003F50D6" w:rsidRPr="00843214" w:rsidRDefault="003F50D6" w:rsidP="00B62061">
            <w:pPr>
              <w:pStyle w:val="ListParagraph"/>
              <w:numPr>
                <w:ilvl w:val="0"/>
                <w:numId w:val="8"/>
              </w:numPr>
              <w:ind w:left="150" w:hanging="90"/>
              <w:rPr>
                <w:rFonts w:cstheme="minorBidi"/>
                <w:color w:val="auto"/>
                <w:sz w:val="16"/>
                <w:szCs w:val="16"/>
                <w:lang w:val="en-AU"/>
              </w:rPr>
            </w:pPr>
            <w:r w:rsidRPr="00843214">
              <w:rPr>
                <w:color w:val="auto"/>
                <w:sz w:val="16"/>
                <w:szCs w:val="16"/>
                <w:lang w:val="en-AU"/>
              </w:rPr>
              <w:t xml:space="preserve">Supporting women’s leadership and participation in conflict prevention, peace processes, security and humanitarian action and strengthening the support for women’s agency, </w:t>
            </w:r>
            <w:proofErr w:type="gramStart"/>
            <w:r w:rsidRPr="00843214">
              <w:rPr>
                <w:color w:val="auto"/>
                <w:sz w:val="16"/>
                <w:szCs w:val="16"/>
                <w:lang w:val="en-AU"/>
              </w:rPr>
              <w:t>leadership</w:t>
            </w:r>
            <w:proofErr w:type="gramEnd"/>
            <w:r w:rsidRPr="00843214">
              <w:rPr>
                <w:color w:val="auto"/>
                <w:sz w:val="16"/>
                <w:szCs w:val="16"/>
                <w:lang w:val="en-AU"/>
              </w:rPr>
              <w:t xml:space="preserve"> and participation in rebuilding their lives in situations of crisis, conflict and disaster.</w:t>
            </w:r>
          </w:p>
        </w:tc>
        <w:tc>
          <w:tcPr>
            <w:tcW w:w="709" w:type="dxa"/>
            <w:shd w:val="clear" w:color="auto" w:fill="FFC000"/>
          </w:tcPr>
          <w:p w14:paraId="16D7EACC" w14:textId="77777777" w:rsidR="003F50D6" w:rsidRPr="00843214" w:rsidRDefault="003F50D6" w:rsidP="00B62061">
            <w:pPr>
              <w:rPr>
                <w:color w:val="auto"/>
                <w:sz w:val="16"/>
                <w:szCs w:val="16"/>
                <w:lang w:val="en-AU"/>
              </w:rPr>
            </w:pPr>
          </w:p>
        </w:tc>
        <w:tc>
          <w:tcPr>
            <w:tcW w:w="3629" w:type="dxa"/>
            <w:shd w:val="clear" w:color="auto" w:fill="FFFFFF" w:themeFill="background1"/>
          </w:tcPr>
          <w:p w14:paraId="000B5FCE" w14:textId="66A5EDB7" w:rsidR="003F50D6" w:rsidRPr="00843214" w:rsidRDefault="003F50D6" w:rsidP="00B62061">
            <w:pPr>
              <w:rPr>
                <w:color w:val="auto"/>
                <w:lang w:val="en-AU"/>
              </w:rPr>
            </w:pPr>
            <w:r w:rsidRPr="00843214">
              <w:rPr>
                <w:color w:val="auto"/>
                <w:sz w:val="16"/>
                <w:szCs w:val="16"/>
                <w:lang w:val="en-AU"/>
              </w:rPr>
              <w:t xml:space="preserve">Work in peacebuilding, security, and humanitarian processes has achieved important progress and seen gains globally </w:t>
            </w:r>
            <w:proofErr w:type="gramStart"/>
            <w:r w:rsidRPr="00843214">
              <w:rPr>
                <w:color w:val="auto"/>
                <w:sz w:val="16"/>
                <w:szCs w:val="16"/>
                <w:lang w:val="en-AU"/>
              </w:rPr>
              <w:t>and in the Indo</w:t>
            </w:r>
            <w:proofErr w:type="gramEnd"/>
            <w:r w:rsidRPr="00843214">
              <w:rPr>
                <w:color w:val="auto"/>
                <w:sz w:val="16"/>
                <w:szCs w:val="16"/>
                <w:lang w:val="en-AU"/>
              </w:rPr>
              <w:t xml:space="preserve">-Pacific region. DFAT has provided critical support for UN women to lead WPS. However, UN Women’s role in humanitarian interventions needs to be sharpened which will be supported through UN Women’s forthcoming humanitarian strategy.   </w:t>
            </w:r>
          </w:p>
        </w:tc>
      </w:tr>
    </w:tbl>
    <w:bookmarkEnd w:id="47"/>
    <w:p w14:paraId="27BD218A" w14:textId="3EFDAA64" w:rsidR="003860F8" w:rsidRPr="00843214" w:rsidRDefault="00467D78" w:rsidP="009E6D36">
      <w:pPr>
        <w:spacing w:before="240"/>
        <w:rPr>
          <w:color w:val="auto"/>
          <w:lang w:val="en-AU"/>
        </w:rPr>
      </w:pPr>
      <w:r w:rsidRPr="00843214">
        <w:rPr>
          <w:color w:val="auto"/>
          <w:lang w:val="en-AU"/>
        </w:rPr>
        <w:t>The Partnership contributes to strengthening women’s voices in leadership, peace and</w:t>
      </w:r>
      <w:r w:rsidR="0051471F" w:rsidRPr="00843214">
        <w:rPr>
          <w:color w:val="auto"/>
          <w:lang w:val="en-AU"/>
        </w:rPr>
        <w:t xml:space="preserve"> security processes, and</w:t>
      </w:r>
      <w:r w:rsidRPr="00843214">
        <w:rPr>
          <w:color w:val="auto"/>
          <w:lang w:val="en-AU"/>
        </w:rPr>
        <w:t xml:space="preserve"> humanitarian responses through several initiatives</w:t>
      </w:r>
      <w:r w:rsidR="005C5136" w:rsidRPr="00843214">
        <w:rPr>
          <w:color w:val="auto"/>
          <w:lang w:val="en-AU"/>
        </w:rPr>
        <w:t>.</w:t>
      </w:r>
      <w:r w:rsidR="009E6D36" w:rsidRPr="00843214">
        <w:rPr>
          <w:color w:val="auto"/>
          <w:lang w:val="en-AU"/>
        </w:rPr>
        <w:t xml:space="preserve"> </w:t>
      </w:r>
      <w:r w:rsidR="00851D2D" w:rsidRPr="00843214">
        <w:rPr>
          <w:b/>
          <w:bCs/>
          <w:color w:val="auto"/>
          <w:lang w:val="en-AU"/>
        </w:rPr>
        <w:t xml:space="preserve">Within the humanitarian and peacebuilding area, </w:t>
      </w:r>
      <w:r w:rsidR="009E6D36" w:rsidRPr="00843214">
        <w:rPr>
          <w:b/>
          <w:bCs/>
          <w:color w:val="auto"/>
          <w:lang w:val="en-AU"/>
        </w:rPr>
        <w:t xml:space="preserve">both a corporate </w:t>
      </w:r>
      <w:r w:rsidR="00851D2D" w:rsidRPr="00843214">
        <w:rPr>
          <w:b/>
          <w:bCs/>
          <w:color w:val="auto"/>
          <w:lang w:val="en-AU"/>
        </w:rPr>
        <w:t>evaluation</w:t>
      </w:r>
      <w:r w:rsidR="00B45C0A" w:rsidRPr="00843214">
        <w:rPr>
          <w:rStyle w:val="FootnoteReference"/>
          <w:b/>
          <w:bCs/>
          <w:color w:val="auto"/>
          <w:lang w:val="en-AU"/>
        </w:rPr>
        <w:footnoteReference w:id="29"/>
      </w:r>
      <w:r w:rsidR="00851D2D" w:rsidRPr="00843214">
        <w:rPr>
          <w:b/>
          <w:bCs/>
          <w:color w:val="auto"/>
          <w:lang w:val="en-AU"/>
        </w:rPr>
        <w:t xml:space="preserve"> and stakeholder interviews </w:t>
      </w:r>
      <w:r w:rsidR="009E6D36" w:rsidRPr="00843214">
        <w:rPr>
          <w:b/>
          <w:bCs/>
          <w:color w:val="auto"/>
          <w:lang w:val="en-AU"/>
        </w:rPr>
        <w:t>suggest</w:t>
      </w:r>
      <w:r w:rsidR="00B45C0A" w:rsidRPr="00843214">
        <w:rPr>
          <w:b/>
          <w:bCs/>
          <w:color w:val="auto"/>
          <w:lang w:val="en-AU"/>
        </w:rPr>
        <w:t xml:space="preserve"> contribution </w:t>
      </w:r>
      <w:r w:rsidR="005D28F3" w:rsidRPr="00843214">
        <w:rPr>
          <w:b/>
          <w:bCs/>
          <w:color w:val="auto"/>
          <w:lang w:val="en-AU"/>
        </w:rPr>
        <w:t xml:space="preserve">to </w:t>
      </w:r>
      <w:r w:rsidR="00B45C0A" w:rsidRPr="00843214">
        <w:rPr>
          <w:b/>
          <w:bCs/>
          <w:color w:val="auto"/>
          <w:lang w:val="en-AU"/>
        </w:rPr>
        <w:t>results for women’s</w:t>
      </w:r>
      <w:r w:rsidR="0051471F" w:rsidRPr="00843214">
        <w:rPr>
          <w:b/>
          <w:bCs/>
          <w:color w:val="auto"/>
          <w:lang w:val="en-AU"/>
        </w:rPr>
        <w:t xml:space="preserve"> meaningful</w:t>
      </w:r>
      <w:r w:rsidR="00B45C0A" w:rsidRPr="00843214">
        <w:rPr>
          <w:b/>
          <w:bCs/>
          <w:color w:val="auto"/>
          <w:lang w:val="en-AU"/>
        </w:rPr>
        <w:t xml:space="preserve"> participation and leadership through partnerships and across a broad geographic scope on W</w:t>
      </w:r>
      <w:r w:rsidR="00360A70" w:rsidRPr="00843214">
        <w:rPr>
          <w:b/>
          <w:bCs/>
          <w:color w:val="auto"/>
          <w:lang w:val="en-AU"/>
        </w:rPr>
        <w:t xml:space="preserve">omen’s </w:t>
      </w:r>
      <w:r w:rsidR="00B45C0A" w:rsidRPr="00843214">
        <w:rPr>
          <w:b/>
          <w:bCs/>
          <w:color w:val="auto"/>
          <w:lang w:val="en-AU"/>
        </w:rPr>
        <w:t>P</w:t>
      </w:r>
      <w:r w:rsidR="00360A70" w:rsidRPr="00843214">
        <w:rPr>
          <w:b/>
          <w:bCs/>
          <w:color w:val="auto"/>
          <w:lang w:val="en-AU"/>
        </w:rPr>
        <w:t xml:space="preserve">olitical </w:t>
      </w:r>
      <w:r w:rsidR="00B45C0A" w:rsidRPr="00843214">
        <w:rPr>
          <w:b/>
          <w:bCs/>
          <w:color w:val="auto"/>
          <w:lang w:val="en-AU"/>
        </w:rPr>
        <w:t>P</w:t>
      </w:r>
      <w:r w:rsidR="00360A70" w:rsidRPr="00843214">
        <w:rPr>
          <w:b/>
          <w:bCs/>
          <w:color w:val="auto"/>
          <w:lang w:val="en-AU"/>
        </w:rPr>
        <w:t>articipation</w:t>
      </w:r>
      <w:r w:rsidR="00BB6E91" w:rsidRPr="00843214">
        <w:rPr>
          <w:b/>
          <w:bCs/>
          <w:color w:val="auto"/>
          <w:lang w:val="en-AU"/>
        </w:rPr>
        <w:t xml:space="preserve"> </w:t>
      </w:r>
      <w:r w:rsidR="007437A9" w:rsidRPr="00843214">
        <w:rPr>
          <w:b/>
          <w:bCs/>
          <w:color w:val="auto"/>
          <w:lang w:val="en-AU"/>
        </w:rPr>
        <w:t xml:space="preserve">and Leadership </w:t>
      </w:r>
      <w:r w:rsidR="00BB6E91" w:rsidRPr="00843214">
        <w:rPr>
          <w:b/>
          <w:bCs/>
          <w:color w:val="auto"/>
          <w:lang w:val="en-AU"/>
        </w:rPr>
        <w:t>(WPP)</w:t>
      </w:r>
      <w:r w:rsidR="00B45C0A" w:rsidRPr="00843214">
        <w:rPr>
          <w:b/>
          <w:bCs/>
          <w:color w:val="auto"/>
          <w:lang w:val="en-AU"/>
        </w:rPr>
        <w:t>.</w:t>
      </w:r>
      <w:r w:rsidR="00B45C0A" w:rsidRPr="00843214">
        <w:rPr>
          <w:color w:val="auto"/>
          <w:lang w:val="en-AU"/>
        </w:rPr>
        <w:t xml:space="preserve"> </w:t>
      </w:r>
      <w:r w:rsidR="00E6438E" w:rsidRPr="00843214">
        <w:rPr>
          <w:color w:val="auto"/>
          <w:lang w:val="en-AU"/>
        </w:rPr>
        <w:t>Although</w:t>
      </w:r>
      <w:r w:rsidR="001C2E95" w:rsidRPr="00843214">
        <w:rPr>
          <w:color w:val="auto"/>
          <w:lang w:val="en-AU"/>
        </w:rPr>
        <w:t xml:space="preserve"> UN Women has exceeded the ambitions of its output areas</w:t>
      </w:r>
      <w:r w:rsidR="001C2E95" w:rsidRPr="00843214">
        <w:rPr>
          <w:rStyle w:val="FootnoteReference"/>
          <w:color w:val="auto"/>
          <w:lang w:val="en-AU"/>
        </w:rPr>
        <w:footnoteReference w:id="30"/>
      </w:r>
      <w:r w:rsidR="001C2E95" w:rsidRPr="00843214">
        <w:rPr>
          <w:color w:val="auto"/>
          <w:lang w:val="en-AU"/>
        </w:rPr>
        <w:t>, evidence from stakeholders</w:t>
      </w:r>
      <w:r w:rsidR="00B45C0A" w:rsidRPr="00843214">
        <w:rPr>
          <w:color w:val="auto"/>
          <w:lang w:val="en-AU"/>
        </w:rPr>
        <w:t xml:space="preserve"> suggests</w:t>
      </w:r>
      <w:r w:rsidR="005D28F3" w:rsidRPr="00843214">
        <w:rPr>
          <w:color w:val="auto"/>
          <w:lang w:val="en-AU"/>
        </w:rPr>
        <w:t xml:space="preserve"> that</w:t>
      </w:r>
      <w:r w:rsidR="00B45C0A" w:rsidRPr="00843214">
        <w:rPr>
          <w:color w:val="auto"/>
          <w:lang w:val="en-AU"/>
        </w:rPr>
        <w:t xml:space="preserve"> UN Women has not yet </w:t>
      </w:r>
      <w:r w:rsidR="00933B0E" w:rsidRPr="00843214">
        <w:rPr>
          <w:color w:val="auto"/>
          <w:lang w:val="en-AU"/>
        </w:rPr>
        <w:t xml:space="preserve">demonstrated </w:t>
      </w:r>
      <w:r w:rsidR="00B45C0A" w:rsidRPr="00843214">
        <w:rPr>
          <w:color w:val="auto"/>
          <w:lang w:val="en-AU"/>
        </w:rPr>
        <w:t xml:space="preserve">that it has achieved the necessary </w:t>
      </w:r>
      <w:r w:rsidR="005D28F3" w:rsidRPr="00843214">
        <w:rPr>
          <w:color w:val="auto"/>
          <w:lang w:val="en-AU"/>
        </w:rPr>
        <w:t>gains</w:t>
      </w:r>
      <w:r w:rsidR="00B45C0A" w:rsidRPr="00843214">
        <w:rPr>
          <w:color w:val="auto"/>
          <w:lang w:val="en-AU"/>
        </w:rPr>
        <w:t xml:space="preserve"> on WPP to drive improvements in GEWE.</w:t>
      </w:r>
      <w:r w:rsidR="005D28F3" w:rsidRPr="00843214">
        <w:rPr>
          <w:color w:val="auto"/>
          <w:lang w:val="en-AU"/>
        </w:rPr>
        <w:t xml:space="preserve"> </w:t>
      </w:r>
      <w:r w:rsidR="009E6D36" w:rsidRPr="00843214">
        <w:rPr>
          <w:color w:val="auto"/>
          <w:lang w:val="en-AU"/>
        </w:rPr>
        <w:t>The</w:t>
      </w:r>
      <w:r w:rsidR="00B7404F" w:rsidRPr="00843214">
        <w:rPr>
          <w:color w:val="auto"/>
          <w:lang w:val="en-AU"/>
        </w:rPr>
        <w:t xml:space="preserve"> corporate e</w:t>
      </w:r>
      <w:r w:rsidR="005D28F3" w:rsidRPr="00843214">
        <w:rPr>
          <w:color w:val="auto"/>
          <w:lang w:val="en-AU"/>
        </w:rPr>
        <w:t xml:space="preserve">valuation </w:t>
      </w:r>
      <w:r w:rsidR="00BB6E91" w:rsidRPr="00843214">
        <w:rPr>
          <w:color w:val="auto"/>
          <w:lang w:val="en-AU"/>
        </w:rPr>
        <w:t>identified</w:t>
      </w:r>
      <w:r w:rsidR="005D28F3" w:rsidRPr="00843214">
        <w:rPr>
          <w:color w:val="auto"/>
          <w:lang w:val="en-AU"/>
        </w:rPr>
        <w:t xml:space="preserve"> the need to</w:t>
      </w:r>
      <w:r w:rsidR="00D12F8E" w:rsidRPr="00843214">
        <w:rPr>
          <w:color w:val="auto"/>
          <w:lang w:val="en-AU"/>
        </w:rPr>
        <w:t xml:space="preserve"> </w:t>
      </w:r>
      <w:r w:rsidR="005D28F3" w:rsidRPr="00843214">
        <w:rPr>
          <w:color w:val="auto"/>
          <w:lang w:val="en-AU"/>
        </w:rPr>
        <w:t>prioritise</w:t>
      </w:r>
      <w:r w:rsidR="00D12F8E" w:rsidRPr="00843214">
        <w:rPr>
          <w:color w:val="auto"/>
          <w:lang w:val="en-AU"/>
        </w:rPr>
        <w:t xml:space="preserve"> WPP at country level, </w:t>
      </w:r>
      <w:r w:rsidR="005D28F3" w:rsidRPr="00843214">
        <w:rPr>
          <w:color w:val="auto"/>
          <w:lang w:val="en-AU"/>
        </w:rPr>
        <w:t xml:space="preserve">and strengthen </w:t>
      </w:r>
      <w:r w:rsidR="00D12F8E" w:rsidRPr="00843214">
        <w:rPr>
          <w:color w:val="auto"/>
          <w:lang w:val="en-AU"/>
        </w:rPr>
        <w:t xml:space="preserve">UN Women’s </w:t>
      </w:r>
      <w:r w:rsidR="005D28F3" w:rsidRPr="00843214">
        <w:rPr>
          <w:color w:val="auto"/>
          <w:lang w:val="en-AU"/>
        </w:rPr>
        <w:t xml:space="preserve">internal capacity, </w:t>
      </w:r>
      <w:r w:rsidR="00D12F8E" w:rsidRPr="00843214">
        <w:rPr>
          <w:color w:val="auto"/>
          <w:lang w:val="en-AU"/>
        </w:rPr>
        <w:t>resource mobilisation, inclusion, evidence base for use in normative work</w:t>
      </w:r>
      <w:r w:rsidR="002B3B4B" w:rsidRPr="00843214">
        <w:rPr>
          <w:color w:val="auto"/>
          <w:lang w:val="en-AU"/>
        </w:rPr>
        <w:t>,</w:t>
      </w:r>
      <w:r w:rsidR="00D12F8E" w:rsidRPr="00843214">
        <w:rPr>
          <w:color w:val="auto"/>
          <w:lang w:val="en-AU"/>
        </w:rPr>
        <w:t xml:space="preserve"> </w:t>
      </w:r>
      <w:r w:rsidR="005D28F3" w:rsidRPr="00843214">
        <w:rPr>
          <w:color w:val="auto"/>
          <w:lang w:val="en-AU"/>
        </w:rPr>
        <w:t>coordination role (including operational guidance at country and regional level) and coherence with other UN agencies</w:t>
      </w:r>
      <w:r w:rsidR="002B3B4B" w:rsidRPr="00843214">
        <w:rPr>
          <w:color w:val="auto"/>
          <w:lang w:val="en-AU"/>
        </w:rPr>
        <w:t>.</w:t>
      </w:r>
    </w:p>
    <w:p w14:paraId="09A4B980" w14:textId="4AF569C8" w:rsidR="00CE25C4" w:rsidRPr="00843214" w:rsidRDefault="00B45C0A" w:rsidP="0043108F">
      <w:pPr>
        <w:widowControl w:val="0"/>
        <w:rPr>
          <w:color w:val="auto"/>
          <w:lang w:val="en-AU"/>
        </w:rPr>
      </w:pPr>
      <w:r w:rsidRPr="00843214">
        <w:rPr>
          <w:b/>
          <w:bCs/>
          <w:color w:val="auto"/>
          <w:lang w:val="en-AU"/>
        </w:rPr>
        <w:t xml:space="preserve">To date, </w:t>
      </w:r>
      <w:r w:rsidR="001A6C4A" w:rsidRPr="00843214">
        <w:rPr>
          <w:b/>
          <w:bCs/>
          <w:color w:val="auto"/>
          <w:lang w:val="en-AU"/>
        </w:rPr>
        <w:t xml:space="preserve">UN Women has </w:t>
      </w:r>
      <w:r w:rsidR="00851D2D" w:rsidRPr="00843214">
        <w:rPr>
          <w:b/>
          <w:bCs/>
          <w:color w:val="auto"/>
          <w:lang w:val="en-AU"/>
        </w:rPr>
        <w:t xml:space="preserve">strengthened its work and leadership on WPS including </w:t>
      </w:r>
      <w:r w:rsidR="001A6C4A" w:rsidRPr="00843214">
        <w:rPr>
          <w:b/>
          <w:bCs/>
          <w:color w:val="auto"/>
          <w:lang w:val="en-AU"/>
        </w:rPr>
        <w:t>gender-responsive conflict analysis, planning and prioriti</w:t>
      </w:r>
      <w:r w:rsidR="00864137" w:rsidRPr="00843214">
        <w:rPr>
          <w:b/>
          <w:bCs/>
          <w:color w:val="auto"/>
          <w:lang w:val="en-AU"/>
        </w:rPr>
        <w:t>s</w:t>
      </w:r>
      <w:r w:rsidR="001A6C4A" w:rsidRPr="00843214">
        <w:rPr>
          <w:b/>
          <w:bCs/>
          <w:color w:val="auto"/>
          <w:lang w:val="en-AU"/>
        </w:rPr>
        <w:t xml:space="preserve">ation of </w:t>
      </w:r>
      <w:r w:rsidR="0051471F" w:rsidRPr="00843214">
        <w:rPr>
          <w:b/>
          <w:bCs/>
          <w:color w:val="auto"/>
          <w:lang w:val="en-AU"/>
        </w:rPr>
        <w:t xml:space="preserve">the </w:t>
      </w:r>
      <w:r w:rsidR="001A6C4A" w:rsidRPr="00843214">
        <w:rPr>
          <w:b/>
          <w:bCs/>
          <w:color w:val="auto"/>
          <w:lang w:val="en-AU"/>
        </w:rPr>
        <w:t>UN’s presence in peace and security contexts</w:t>
      </w:r>
      <w:r w:rsidR="00851D2D" w:rsidRPr="00843214">
        <w:rPr>
          <w:color w:val="auto"/>
          <w:lang w:val="en-AU"/>
        </w:rPr>
        <w:t>. UN Women supports local women’s organi</w:t>
      </w:r>
      <w:r w:rsidR="002B3B4B" w:rsidRPr="00843214">
        <w:rPr>
          <w:color w:val="auto"/>
          <w:lang w:val="en-AU"/>
        </w:rPr>
        <w:t>s</w:t>
      </w:r>
      <w:r w:rsidR="00851D2D" w:rsidRPr="00843214">
        <w:rPr>
          <w:color w:val="auto"/>
          <w:lang w:val="en-AU"/>
        </w:rPr>
        <w:t>ations across multiple country contexts, connecting local practice</w:t>
      </w:r>
      <w:r w:rsidR="001A6C4A" w:rsidRPr="00843214">
        <w:rPr>
          <w:color w:val="auto"/>
          <w:lang w:val="en-AU"/>
        </w:rPr>
        <w:t xml:space="preserve"> with global policy making processes.</w:t>
      </w:r>
      <w:r w:rsidR="0034693D" w:rsidRPr="00843214">
        <w:rPr>
          <w:rStyle w:val="FootnoteReference"/>
          <w:color w:val="auto"/>
          <w:lang w:val="en-AU"/>
        </w:rPr>
        <w:footnoteReference w:id="31"/>
      </w:r>
      <w:r w:rsidR="001A6C4A" w:rsidRPr="00843214">
        <w:rPr>
          <w:color w:val="auto"/>
          <w:lang w:val="en-AU"/>
        </w:rPr>
        <w:t xml:space="preserve"> </w:t>
      </w:r>
    </w:p>
    <w:p w14:paraId="4560728A" w14:textId="2609CC9B" w:rsidR="00CE25C4" w:rsidRPr="00843214" w:rsidRDefault="002F13C9" w:rsidP="00CE25C4">
      <w:pPr>
        <w:rPr>
          <w:color w:val="auto"/>
          <w:lang w:val="en-AU"/>
        </w:rPr>
      </w:pPr>
      <w:r w:rsidRPr="00843214">
        <w:rPr>
          <w:b/>
          <w:bCs/>
          <w:color w:val="auto"/>
          <w:lang w:val="en-AU"/>
        </w:rPr>
        <w:t>Australia</w:t>
      </w:r>
      <w:r w:rsidR="00CE25C4" w:rsidRPr="00843214">
        <w:rPr>
          <w:b/>
          <w:bCs/>
          <w:color w:val="auto"/>
          <w:lang w:val="en-AU"/>
        </w:rPr>
        <w:t xml:space="preserve">’s largest non-core funding commitment </w:t>
      </w:r>
      <w:r w:rsidRPr="00843214">
        <w:rPr>
          <w:b/>
          <w:bCs/>
          <w:color w:val="auto"/>
          <w:lang w:val="en-AU"/>
        </w:rPr>
        <w:t>to the WPS agenda</w:t>
      </w:r>
      <w:r w:rsidR="00467D78" w:rsidRPr="00843214">
        <w:rPr>
          <w:b/>
          <w:bCs/>
          <w:color w:val="auto"/>
          <w:lang w:val="en-AU"/>
        </w:rPr>
        <w:t xml:space="preserve"> </w:t>
      </w:r>
      <w:r w:rsidR="00CE25C4" w:rsidRPr="00843214">
        <w:rPr>
          <w:b/>
          <w:bCs/>
          <w:color w:val="auto"/>
          <w:lang w:val="en-AU"/>
        </w:rPr>
        <w:t>is through</w:t>
      </w:r>
      <w:r w:rsidRPr="00843214">
        <w:rPr>
          <w:b/>
          <w:bCs/>
          <w:color w:val="auto"/>
          <w:lang w:val="en-AU"/>
        </w:rPr>
        <w:t xml:space="preserve"> </w:t>
      </w:r>
      <w:r w:rsidR="00467D78" w:rsidRPr="00843214">
        <w:rPr>
          <w:b/>
          <w:bCs/>
          <w:color w:val="auto"/>
          <w:lang w:val="en-AU"/>
        </w:rPr>
        <w:t>the W</w:t>
      </w:r>
      <w:r w:rsidR="009453D3" w:rsidRPr="00843214">
        <w:rPr>
          <w:b/>
          <w:bCs/>
          <w:color w:val="auto"/>
          <w:lang w:val="en-AU"/>
        </w:rPr>
        <w:t>PS</w:t>
      </w:r>
      <w:r w:rsidR="00467D78" w:rsidRPr="00843214">
        <w:rPr>
          <w:b/>
          <w:bCs/>
          <w:color w:val="auto"/>
          <w:lang w:val="en-AU"/>
        </w:rPr>
        <w:t xml:space="preserve"> Global Facility</w:t>
      </w:r>
      <w:r w:rsidR="004E2CBA" w:rsidRPr="00843214">
        <w:rPr>
          <w:b/>
          <w:bCs/>
          <w:color w:val="auto"/>
          <w:lang w:val="en-AU"/>
        </w:rPr>
        <w:t xml:space="preserve"> and Australia</w:t>
      </w:r>
      <w:r w:rsidR="009A31E6" w:rsidRPr="00843214">
        <w:rPr>
          <w:b/>
          <w:bCs/>
          <w:color w:val="auto"/>
          <w:lang w:val="en-AU"/>
        </w:rPr>
        <w:t xml:space="preserve"> contributes </w:t>
      </w:r>
      <w:r w:rsidR="004E2CBA" w:rsidRPr="00843214">
        <w:rPr>
          <w:b/>
          <w:bCs/>
          <w:color w:val="auto"/>
          <w:lang w:val="en-AU"/>
        </w:rPr>
        <w:t>not only a donor, but a</w:t>
      </w:r>
      <w:r w:rsidR="009A31E6" w:rsidRPr="00843214">
        <w:rPr>
          <w:b/>
          <w:bCs/>
          <w:color w:val="auto"/>
          <w:lang w:val="en-AU"/>
        </w:rPr>
        <w:t>s</w:t>
      </w:r>
      <w:r w:rsidR="004E2CBA" w:rsidRPr="00843214">
        <w:rPr>
          <w:b/>
          <w:bCs/>
          <w:color w:val="auto"/>
          <w:lang w:val="en-AU"/>
        </w:rPr>
        <w:t xml:space="preserve"> a champion of WPS agenda in the region and globally</w:t>
      </w:r>
      <w:r w:rsidR="00B7404F" w:rsidRPr="00843214">
        <w:rPr>
          <w:color w:val="auto"/>
          <w:lang w:val="en-AU"/>
        </w:rPr>
        <w:t>.</w:t>
      </w:r>
      <w:r w:rsidR="00467D78" w:rsidRPr="00843214">
        <w:rPr>
          <w:color w:val="auto"/>
          <w:szCs w:val="20"/>
          <w:lang w:val="en-AU"/>
        </w:rPr>
        <w:t xml:space="preserve"> </w:t>
      </w:r>
      <w:r w:rsidR="00F005D7" w:rsidRPr="00843214">
        <w:rPr>
          <w:color w:val="auto"/>
          <w:lang w:val="en-AU"/>
        </w:rPr>
        <w:t>DFAT</w:t>
      </w:r>
      <w:r w:rsidR="5D24AFCC" w:rsidRPr="00843214">
        <w:rPr>
          <w:color w:val="auto"/>
          <w:lang w:val="en-AU"/>
        </w:rPr>
        <w:t>’s</w:t>
      </w:r>
      <w:r w:rsidR="004E2CBA" w:rsidRPr="00843214">
        <w:rPr>
          <w:color w:val="auto"/>
          <w:lang w:val="en-AU"/>
        </w:rPr>
        <w:t xml:space="preserve"> </w:t>
      </w:r>
      <w:r w:rsidR="00BA3A4F" w:rsidRPr="00843214">
        <w:rPr>
          <w:color w:val="auto"/>
          <w:lang w:val="en-AU"/>
        </w:rPr>
        <w:t>thought leadership</w:t>
      </w:r>
      <w:r w:rsidR="0017499C" w:rsidRPr="00843214">
        <w:rPr>
          <w:color w:val="auto"/>
          <w:lang w:val="en-AU"/>
        </w:rPr>
        <w:t>,</w:t>
      </w:r>
      <w:r w:rsidR="003C4CD1" w:rsidRPr="00843214">
        <w:rPr>
          <w:color w:val="auto"/>
          <w:lang w:val="en-AU"/>
        </w:rPr>
        <w:t xml:space="preserve"> support for innovation and</w:t>
      </w:r>
      <w:r w:rsidR="0017499C" w:rsidRPr="00843214">
        <w:rPr>
          <w:color w:val="auto"/>
          <w:lang w:val="en-AU"/>
        </w:rPr>
        <w:t xml:space="preserve"> </w:t>
      </w:r>
      <w:r w:rsidR="00EA2A00" w:rsidRPr="00843214">
        <w:rPr>
          <w:color w:val="auto"/>
          <w:lang w:val="en-AU"/>
        </w:rPr>
        <w:t>learning</w:t>
      </w:r>
      <w:r w:rsidR="0069082B" w:rsidRPr="00843214">
        <w:rPr>
          <w:color w:val="auto"/>
          <w:lang w:val="en-AU"/>
        </w:rPr>
        <w:t xml:space="preserve">, and </w:t>
      </w:r>
      <w:r w:rsidR="00C84EE5" w:rsidRPr="00843214">
        <w:rPr>
          <w:color w:val="auto"/>
          <w:lang w:val="en-AU"/>
        </w:rPr>
        <w:t>non-earmarked funding</w:t>
      </w:r>
      <w:r w:rsidR="003C4CD1" w:rsidRPr="00843214">
        <w:rPr>
          <w:rStyle w:val="FootnoteReference"/>
          <w:color w:val="auto"/>
          <w:lang w:val="en-AU"/>
        </w:rPr>
        <w:footnoteReference w:id="32"/>
      </w:r>
      <w:r w:rsidR="00EA2A00" w:rsidRPr="00843214">
        <w:rPr>
          <w:color w:val="auto"/>
          <w:lang w:val="en-AU"/>
        </w:rPr>
        <w:t>,</w:t>
      </w:r>
      <w:r w:rsidR="004E2CBA" w:rsidRPr="00843214">
        <w:rPr>
          <w:color w:val="auto"/>
          <w:lang w:val="en-AU"/>
        </w:rPr>
        <w:t xml:space="preserve"> has</w:t>
      </w:r>
      <w:r w:rsidR="00F005D7" w:rsidRPr="00843214">
        <w:rPr>
          <w:color w:val="auto"/>
          <w:lang w:val="en-AU"/>
        </w:rPr>
        <w:t xml:space="preserve"> </w:t>
      </w:r>
      <w:r w:rsidR="00C84EE5" w:rsidRPr="00843214">
        <w:rPr>
          <w:color w:val="auto"/>
          <w:lang w:val="en-AU"/>
        </w:rPr>
        <w:t>supported</w:t>
      </w:r>
      <w:r w:rsidR="00F005D7" w:rsidRPr="00843214">
        <w:rPr>
          <w:color w:val="auto"/>
          <w:lang w:val="en-AU"/>
        </w:rPr>
        <w:t xml:space="preserve"> UN Women to build up the strategic </w:t>
      </w:r>
      <w:r w:rsidR="00BC767A" w:rsidRPr="00843214">
        <w:rPr>
          <w:color w:val="auto"/>
          <w:lang w:val="en-AU"/>
        </w:rPr>
        <w:t xml:space="preserve">WPS </w:t>
      </w:r>
      <w:r w:rsidR="00F005D7" w:rsidRPr="00843214">
        <w:rPr>
          <w:color w:val="auto"/>
          <w:lang w:val="en-AU"/>
        </w:rPr>
        <w:t xml:space="preserve">Global </w:t>
      </w:r>
      <w:r w:rsidR="00BC767A" w:rsidRPr="00843214">
        <w:rPr>
          <w:color w:val="auto"/>
          <w:lang w:val="en-AU"/>
        </w:rPr>
        <w:t>Facility</w:t>
      </w:r>
      <w:r w:rsidR="00F005D7" w:rsidRPr="00843214">
        <w:rPr>
          <w:color w:val="auto"/>
          <w:lang w:val="en-AU"/>
        </w:rPr>
        <w:t xml:space="preserve">, as well as build the basis of </w:t>
      </w:r>
      <w:r w:rsidR="0051471F" w:rsidRPr="00843214">
        <w:rPr>
          <w:color w:val="auto"/>
          <w:lang w:val="en-AU"/>
        </w:rPr>
        <w:t xml:space="preserve">the </w:t>
      </w:r>
      <w:r w:rsidR="00F005D7" w:rsidRPr="00843214">
        <w:rPr>
          <w:color w:val="auto"/>
          <w:lang w:val="en-AU"/>
        </w:rPr>
        <w:t>WPHF</w:t>
      </w:r>
      <w:r w:rsidR="00FC4C09" w:rsidRPr="00843214">
        <w:rPr>
          <w:color w:val="auto"/>
          <w:lang w:val="en-AU"/>
        </w:rPr>
        <w:t>, moving t</w:t>
      </w:r>
      <w:r w:rsidR="000E770E" w:rsidRPr="00843214">
        <w:rPr>
          <w:color w:val="auto"/>
          <w:lang w:val="en-AU"/>
        </w:rPr>
        <w:t>hese initiatives forward</w:t>
      </w:r>
      <w:r w:rsidR="00F005D7" w:rsidRPr="00843214">
        <w:rPr>
          <w:color w:val="auto"/>
          <w:lang w:val="en-AU"/>
        </w:rPr>
        <w:t xml:space="preserve">. </w:t>
      </w:r>
      <w:r w:rsidR="008C16CA" w:rsidRPr="00843214">
        <w:rPr>
          <w:color w:val="auto"/>
          <w:lang w:val="en-AU"/>
        </w:rPr>
        <w:t>N</w:t>
      </w:r>
      <w:r w:rsidR="0051471F" w:rsidRPr="00843214">
        <w:rPr>
          <w:color w:val="auto"/>
          <w:lang w:val="en-AU"/>
        </w:rPr>
        <w:t>ot all WPS initiatives supported by Australia fall under the DFAT funding commitment to the WPS Global Facility, which brings challenges to visibility of Australia’s suite of contributions in this space, as well as an understanding of UN Women’s results.</w:t>
      </w:r>
    </w:p>
    <w:p w14:paraId="4CB2C11E" w14:textId="617A6AF9" w:rsidR="00467D78" w:rsidRPr="00843214" w:rsidRDefault="00AF6ABD" w:rsidP="00FD3ED9">
      <w:pPr>
        <w:rPr>
          <w:rFonts w:cstheme="minorBidi"/>
          <w:color w:val="auto"/>
          <w:lang w:val="en-AU"/>
        </w:rPr>
      </w:pPr>
      <w:r w:rsidRPr="00843214">
        <w:rPr>
          <w:b/>
          <w:bCs/>
          <w:color w:val="auto"/>
          <w:lang w:val="en-AU"/>
        </w:rPr>
        <w:t>A recurring challenge is articulating UN Women’s role and contribution through its humanitarian action</w:t>
      </w:r>
      <w:r w:rsidR="00D37CAA" w:rsidRPr="00843214">
        <w:rPr>
          <w:b/>
          <w:bCs/>
          <w:color w:val="auto"/>
          <w:lang w:val="en-AU"/>
        </w:rPr>
        <w:t>.</w:t>
      </w:r>
      <w:r w:rsidR="00B45C0A" w:rsidRPr="00843214">
        <w:rPr>
          <w:color w:val="auto"/>
        </w:rPr>
        <w:t xml:space="preserve"> </w:t>
      </w:r>
      <w:r w:rsidR="00467D78" w:rsidRPr="00843214">
        <w:rPr>
          <w:color w:val="auto"/>
          <w:lang w:val="en-AU"/>
        </w:rPr>
        <w:t>There are several</w:t>
      </w:r>
      <w:r w:rsidR="001A6C4A" w:rsidRPr="00843214">
        <w:rPr>
          <w:color w:val="auto"/>
          <w:lang w:val="en-AU"/>
        </w:rPr>
        <w:t xml:space="preserve"> non-core funded</w:t>
      </w:r>
      <w:r w:rsidRPr="00843214">
        <w:rPr>
          <w:color w:val="auto"/>
          <w:lang w:val="en-AU"/>
        </w:rPr>
        <w:t xml:space="preserve"> SPF</w:t>
      </w:r>
      <w:r w:rsidR="00467D78" w:rsidRPr="00843214">
        <w:rPr>
          <w:color w:val="auto"/>
          <w:lang w:val="en-AU"/>
        </w:rPr>
        <w:t xml:space="preserve"> initiatives (</w:t>
      </w:r>
      <w:r w:rsidR="0051471F" w:rsidRPr="00843214">
        <w:rPr>
          <w:color w:val="auto"/>
          <w:lang w:val="en-AU"/>
        </w:rPr>
        <w:t xml:space="preserve">including the </w:t>
      </w:r>
      <w:r w:rsidRPr="00843214">
        <w:rPr>
          <w:color w:val="auto"/>
          <w:lang w:val="en-AU"/>
        </w:rPr>
        <w:t>Syria</w:t>
      </w:r>
      <w:r w:rsidR="00E44E14" w:rsidRPr="00843214">
        <w:rPr>
          <w:color w:val="auto"/>
          <w:lang w:val="en-AU"/>
        </w:rPr>
        <w:t xml:space="preserve"> </w:t>
      </w:r>
      <w:r w:rsidRPr="00843214">
        <w:rPr>
          <w:color w:val="auto"/>
          <w:lang w:val="en-AU"/>
        </w:rPr>
        <w:t>Package and Rohingya Response</w:t>
      </w:r>
      <w:r w:rsidR="00467D78" w:rsidRPr="00843214">
        <w:rPr>
          <w:color w:val="auto"/>
          <w:lang w:val="en-AU"/>
        </w:rPr>
        <w:t xml:space="preserve">) where </w:t>
      </w:r>
      <w:r w:rsidR="005C5136" w:rsidRPr="00843214">
        <w:rPr>
          <w:color w:val="auto"/>
          <w:lang w:val="en-AU"/>
        </w:rPr>
        <w:t xml:space="preserve">UN Women’s role and contribution are clear. </w:t>
      </w:r>
      <w:r w:rsidRPr="00843214">
        <w:rPr>
          <w:color w:val="auto"/>
          <w:lang w:val="en-AU"/>
        </w:rPr>
        <w:t>As recognised by DFAT</w:t>
      </w:r>
      <w:r w:rsidRPr="00843214">
        <w:rPr>
          <w:rStyle w:val="FootnoteReference"/>
          <w:color w:val="auto"/>
          <w:lang w:val="en-AU"/>
        </w:rPr>
        <w:footnoteReference w:id="33"/>
      </w:r>
      <w:r w:rsidRPr="00843214">
        <w:rPr>
          <w:color w:val="auto"/>
          <w:lang w:val="en-AU"/>
        </w:rPr>
        <w:t>, this</w:t>
      </w:r>
      <w:r w:rsidR="001A6C4A" w:rsidRPr="00843214">
        <w:rPr>
          <w:color w:val="auto"/>
          <w:lang w:val="en-AU"/>
        </w:rPr>
        <w:t xml:space="preserve"> </w:t>
      </w:r>
      <w:r w:rsidRPr="00843214">
        <w:rPr>
          <w:color w:val="auto"/>
          <w:lang w:val="en-AU"/>
        </w:rPr>
        <w:t xml:space="preserve">has enabled UN Women to capably work </w:t>
      </w:r>
      <w:r w:rsidR="00467D78" w:rsidRPr="00843214">
        <w:rPr>
          <w:color w:val="auto"/>
          <w:lang w:val="en-AU"/>
        </w:rPr>
        <w:t>in areas where it does</w:t>
      </w:r>
      <w:r w:rsidR="00B45C0A" w:rsidRPr="00843214">
        <w:rPr>
          <w:color w:val="auto"/>
          <w:lang w:val="en-AU"/>
        </w:rPr>
        <w:t xml:space="preserve"> </w:t>
      </w:r>
      <w:r w:rsidR="00467D78" w:rsidRPr="00843214">
        <w:rPr>
          <w:color w:val="auto"/>
          <w:lang w:val="en-AU"/>
        </w:rPr>
        <w:t>n</w:t>
      </w:r>
      <w:r w:rsidR="00B45C0A" w:rsidRPr="00843214">
        <w:rPr>
          <w:color w:val="auto"/>
          <w:lang w:val="en-AU"/>
        </w:rPr>
        <w:t>o</w:t>
      </w:r>
      <w:r w:rsidR="00467D78" w:rsidRPr="00843214">
        <w:rPr>
          <w:color w:val="auto"/>
          <w:lang w:val="en-AU"/>
        </w:rPr>
        <w:t>t traditionally wor</w:t>
      </w:r>
      <w:r w:rsidR="00B45C0A" w:rsidRPr="00843214">
        <w:rPr>
          <w:color w:val="auto"/>
          <w:lang w:val="en-AU"/>
        </w:rPr>
        <w:t>k</w:t>
      </w:r>
      <w:r w:rsidR="00467D78" w:rsidRPr="00843214">
        <w:rPr>
          <w:color w:val="auto"/>
          <w:lang w:val="en-AU"/>
        </w:rPr>
        <w:t xml:space="preserve"> </w:t>
      </w:r>
      <w:r w:rsidRPr="00843214">
        <w:rPr>
          <w:color w:val="auto"/>
          <w:lang w:val="en-AU"/>
        </w:rPr>
        <w:t xml:space="preserve">and </w:t>
      </w:r>
      <w:r w:rsidR="00467D78" w:rsidRPr="00843214">
        <w:rPr>
          <w:color w:val="auto"/>
          <w:lang w:val="en-AU"/>
        </w:rPr>
        <w:t>there</w:t>
      </w:r>
      <w:r w:rsidRPr="00843214">
        <w:rPr>
          <w:color w:val="auto"/>
          <w:lang w:val="en-AU"/>
        </w:rPr>
        <w:t xml:space="preserve"> have been</w:t>
      </w:r>
      <w:r w:rsidR="00467D78" w:rsidRPr="00843214">
        <w:rPr>
          <w:color w:val="auto"/>
          <w:lang w:val="en-AU"/>
        </w:rPr>
        <w:t xml:space="preserve"> important project level achievements</w:t>
      </w:r>
      <w:r w:rsidRPr="00843214">
        <w:rPr>
          <w:color w:val="auto"/>
          <w:lang w:val="en-AU"/>
        </w:rPr>
        <w:t>. Generally, though,</w:t>
      </w:r>
      <w:r w:rsidR="00467D78" w:rsidRPr="00843214">
        <w:rPr>
          <w:color w:val="auto"/>
          <w:lang w:val="en-AU"/>
        </w:rPr>
        <w:t xml:space="preserve"> it has been challenging to fully capture the overall contribution </w:t>
      </w:r>
      <w:r w:rsidR="00D64DD8" w:rsidRPr="00843214">
        <w:rPr>
          <w:color w:val="auto"/>
          <w:lang w:val="en-AU"/>
        </w:rPr>
        <w:t>and</w:t>
      </w:r>
      <w:r w:rsidR="00467D78" w:rsidRPr="00843214">
        <w:rPr>
          <w:color w:val="auto"/>
          <w:lang w:val="en-AU"/>
        </w:rPr>
        <w:t xml:space="preserve"> for UN Women to find its niche vis-à-vis other </w:t>
      </w:r>
      <w:r w:rsidR="00D64DD8" w:rsidRPr="00843214">
        <w:rPr>
          <w:color w:val="auto"/>
          <w:lang w:val="en-AU"/>
        </w:rPr>
        <w:t xml:space="preserve">humanitarian </w:t>
      </w:r>
      <w:r w:rsidR="00467D78" w:rsidRPr="00843214">
        <w:rPr>
          <w:color w:val="auto"/>
          <w:lang w:val="en-AU"/>
        </w:rPr>
        <w:t xml:space="preserve">actors given thin resourcing across a wide geographic area, and because of lack of clarity over UN Women’s role in fragile contexts and humanitarian settings. </w:t>
      </w:r>
      <w:r w:rsidR="0046468C" w:rsidRPr="00843214">
        <w:rPr>
          <w:color w:val="auto"/>
          <w:lang w:val="en-AU"/>
        </w:rPr>
        <w:t>UN Women is acting to address this through their upcoming humanitarian strategy and strategy on working at the nexus of humanitarian-</w:t>
      </w:r>
      <w:r w:rsidR="069E977B" w:rsidRPr="00843214">
        <w:rPr>
          <w:color w:val="auto"/>
          <w:lang w:val="en-AU"/>
        </w:rPr>
        <w:t>peace-</w:t>
      </w:r>
      <w:r w:rsidR="0046468C" w:rsidRPr="00843214">
        <w:rPr>
          <w:color w:val="auto"/>
          <w:lang w:val="en-AU"/>
        </w:rPr>
        <w:t>development on GBV/VAW</w:t>
      </w:r>
      <w:r w:rsidR="0026755A" w:rsidRPr="00843214">
        <w:rPr>
          <w:color w:val="auto"/>
          <w:lang w:val="en-AU"/>
        </w:rPr>
        <w:t>G</w:t>
      </w:r>
      <w:r w:rsidR="0046468C" w:rsidRPr="00843214">
        <w:rPr>
          <w:color w:val="auto"/>
          <w:lang w:val="en-AU"/>
        </w:rPr>
        <w:t>.</w:t>
      </w:r>
    </w:p>
    <w:p w14:paraId="39F6404B" w14:textId="51673B46" w:rsidR="00467D78" w:rsidRPr="00843214" w:rsidRDefault="00AF6ABD" w:rsidP="00467D78">
      <w:pPr>
        <w:rPr>
          <w:color w:val="auto"/>
          <w:lang w:val="en-AU"/>
        </w:rPr>
      </w:pPr>
      <w:r w:rsidRPr="00843214">
        <w:rPr>
          <w:b/>
          <w:bCs/>
          <w:color w:val="auto"/>
          <w:lang w:val="en-AU"/>
        </w:rPr>
        <w:t xml:space="preserve">Women’s voice and leadership in </w:t>
      </w:r>
      <w:r w:rsidR="00374FB9" w:rsidRPr="00843214">
        <w:rPr>
          <w:b/>
          <w:bCs/>
          <w:color w:val="auto"/>
          <w:lang w:val="en-AU"/>
        </w:rPr>
        <w:t>DRR</w:t>
      </w:r>
      <w:r w:rsidR="007144E1" w:rsidRPr="00843214">
        <w:rPr>
          <w:b/>
          <w:bCs/>
          <w:color w:val="auto"/>
          <w:lang w:val="en-AU"/>
        </w:rPr>
        <w:t xml:space="preserve"> is a</w:t>
      </w:r>
      <w:r w:rsidR="00467D78" w:rsidRPr="00843214">
        <w:rPr>
          <w:b/>
          <w:bCs/>
          <w:color w:val="auto"/>
          <w:lang w:val="en-AU"/>
        </w:rPr>
        <w:t xml:space="preserve"> growing and promising area</w:t>
      </w:r>
      <w:r w:rsidR="007144E1" w:rsidRPr="00843214">
        <w:rPr>
          <w:b/>
          <w:bCs/>
          <w:color w:val="auto"/>
          <w:lang w:val="en-AU"/>
        </w:rPr>
        <w:t xml:space="preserve">. </w:t>
      </w:r>
      <w:r w:rsidR="00D37CAA" w:rsidRPr="00843214">
        <w:rPr>
          <w:b/>
          <w:bCs/>
          <w:color w:val="auto"/>
          <w:lang w:val="en-AU"/>
        </w:rPr>
        <w:t xml:space="preserve">UN Women provides technical support to </w:t>
      </w:r>
      <w:r w:rsidR="00D37CAA" w:rsidRPr="00843214">
        <w:rPr>
          <w:b/>
          <w:bCs/>
          <w:color w:val="auto"/>
        </w:rPr>
        <w:t xml:space="preserve">the Gender Stakeholder Group advising on the application </w:t>
      </w:r>
      <w:r w:rsidR="00D37CAA" w:rsidRPr="00843214">
        <w:rPr>
          <w:b/>
          <w:bCs/>
          <w:color w:val="auto"/>
        </w:rPr>
        <w:lastRenderedPageBreak/>
        <w:t>of the Sendai Framework for D</w:t>
      </w:r>
      <w:r w:rsidR="00440855" w:rsidRPr="00843214">
        <w:rPr>
          <w:b/>
          <w:bCs/>
          <w:color w:val="auto"/>
        </w:rPr>
        <w:t>R</w:t>
      </w:r>
      <w:r w:rsidR="003161E2" w:rsidRPr="00843214">
        <w:rPr>
          <w:b/>
          <w:bCs/>
          <w:color w:val="auto"/>
        </w:rPr>
        <w:t>R</w:t>
      </w:r>
      <w:r w:rsidR="00D37CAA" w:rsidRPr="00843214">
        <w:rPr>
          <w:b/>
          <w:bCs/>
          <w:color w:val="auto"/>
        </w:rPr>
        <w:t xml:space="preserve"> 2015-2030 in Asia and the Pacific through the Asia</w:t>
      </w:r>
      <w:r w:rsidR="00217D65" w:rsidRPr="00843214">
        <w:rPr>
          <w:b/>
          <w:bCs/>
          <w:color w:val="auto"/>
        </w:rPr>
        <w:t>-</w:t>
      </w:r>
      <w:r w:rsidR="00D37CAA" w:rsidRPr="00843214">
        <w:rPr>
          <w:b/>
          <w:bCs/>
          <w:color w:val="auto"/>
        </w:rPr>
        <w:t>Pacific Sendai Action Plan</w:t>
      </w:r>
      <w:r w:rsidR="00D37CAA" w:rsidRPr="00843214">
        <w:rPr>
          <w:color w:val="auto"/>
        </w:rPr>
        <w:t xml:space="preserve">. </w:t>
      </w:r>
      <w:r w:rsidR="007144E1" w:rsidRPr="00843214">
        <w:rPr>
          <w:color w:val="auto"/>
          <w:lang w:val="en-AU"/>
        </w:rPr>
        <w:t xml:space="preserve">A </w:t>
      </w:r>
      <w:r w:rsidR="00467D78" w:rsidRPr="00843214">
        <w:rPr>
          <w:color w:val="auto"/>
          <w:lang w:val="en-AU"/>
        </w:rPr>
        <w:t>new flagship approach</w:t>
      </w:r>
      <w:r w:rsidR="00D64DD8" w:rsidRPr="00843214">
        <w:rPr>
          <w:color w:val="auto"/>
          <w:lang w:val="en-AU"/>
        </w:rPr>
        <w:t>,</w:t>
      </w:r>
      <w:r w:rsidR="00F25D30" w:rsidRPr="00843214">
        <w:rPr>
          <w:color w:val="auto"/>
          <w:lang w:val="en-AU"/>
        </w:rPr>
        <w:t xml:space="preserve"> </w:t>
      </w:r>
      <w:r w:rsidR="00467D78" w:rsidRPr="00843214">
        <w:rPr>
          <w:color w:val="auto"/>
          <w:lang w:val="en-AU"/>
        </w:rPr>
        <w:t>the</w:t>
      </w:r>
      <w:r w:rsidR="00CE25C4" w:rsidRPr="00843214">
        <w:rPr>
          <w:color w:val="auto"/>
          <w:lang w:val="en-AU"/>
        </w:rPr>
        <w:t xml:space="preserve"> non-core funded</w:t>
      </w:r>
      <w:r w:rsidR="00467D78" w:rsidRPr="00843214">
        <w:rPr>
          <w:color w:val="auto"/>
          <w:lang w:val="en-AU"/>
        </w:rPr>
        <w:t xml:space="preserve"> Women’s Resilience to Disasters</w:t>
      </w:r>
      <w:r w:rsidR="00CE25C4" w:rsidRPr="00843214">
        <w:rPr>
          <w:color w:val="auto"/>
          <w:lang w:val="en-AU"/>
        </w:rPr>
        <w:t xml:space="preserve"> </w:t>
      </w:r>
      <w:r w:rsidR="00895674" w:rsidRPr="00843214">
        <w:rPr>
          <w:color w:val="auto"/>
          <w:lang w:val="en-AU"/>
        </w:rPr>
        <w:t xml:space="preserve">(WRD) - </w:t>
      </w:r>
      <w:r w:rsidR="00CE25C4" w:rsidRPr="00843214">
        <w:rPr>
          <w:color w:val="auto"/>
          <w:lang w:val="en-AU"/>
        </w:rPr>
        <w:t>Inception</w:t>
      </w:r>
      <w:r w:rsidR="00467D78" w:rsidRPr="00843214">
        <w:rPr>
          <w:color w:val="auto"/>
          <w:lang w:val="en-AU"/>
        </w:rPr>
        <w:t xml:space="preserve"> program</w:t>
      </w:r>
      <w:r w:rsidR="00895674" w:rsidRPr="00843214">
        <w:rPr>
          <w:color w:val="auto"/>
          <w:lang w:val="en-AU"/>
        </w:rPr>
        <w:t xml:space="preserve"> </w:t>
      </w:r>
      <w:r w:rsidR="00D64DD8" w:rsidRPr="00843214">
        <w:rPr>
          <w:color w:val="auto"/>
          <w:lang w:val="en-AU"/>
        </w:rPr>
        <w:t xml:space="preserve">(2019) </w:t>
      </w:r>
      <w:r w:rsidR="00895674" w:rsidRPr="00843214">
        <w:rPr>
          <w:color w:val="auto"/>
          <w:lang w:val="en-AU"/>
        </w:rPr>
        <w:t>is</w:t>
      </w:r>
      <w:r w:rsidR="00467D78" w:rsidRPr="00843214">
        <w:rPr>
          <w:color w:val="auto"/>
          <w:lang w:val="en-AU"/>
        </w:rPr>
        <w:t xml:space="preserve"> planned to be rolled out in the Pacific and globall</w:t>
      </w:r>
      <w:r w:rsidR="00895674" w:rsidRPr="00843214">
        <w:rPr>
          <w:color w:val="auto"/>
          <w:lang w:val="en-AU"/>
        </w:rPr>
        <w:t>y</w:t>
      </w:r>
      <w:r w:rsidR="005B7B43" w:rsidRPr="00843214">
        <w:rPr>
          <w:color w:val="auto"/>
          <w:lang w:val="en-AU"/>
        </w:rPr>
        <w:t>.</w:t>
      </w:r>
      <w:r w:rsidR="00A125D6" w:rsidRPr="00843214">
        <w:rPr>
          <w:color w:val="auto"/>
          <w:lang w:val="en-AU"/>
        </w:rPr>
        <w:t xml:space="preserve"> The </w:t>
      </w:r>
      <w:r w:rsidR="00467D78" w:rsidRPr="00843214">
        <w:rPr>
          <w:color w:val="auto"/>
          <w:lang w:val="en-AU"/>
        </w:rPr>
        <w:t>return on investment of the WRD program is particularly high, given the substantial co-financing mobili</w:t>
      </w:r>
      <w:r w:rsidR="00864137" w:rsidRPr="00843214">
        <w:rPr>
          <w:color w:val="auto"/>
          <w:lang w:val="en-AU"/>
        </w:rPr>
        <w:t>s</w:t>
      </w:r>
      <w:r w:rsidR="00467D78" w:rsidRPr="00843214">
        <w:rPr>
          <w:color w:val="auto"/>
          <w:lang w:val="en-AU"/>
        </w:rPr>
        <w:t>ed and the important policy results already obtained</w:t>
      </w:r>
      <w:r w:rsidR="005B7B43" w:rsidRPr="00843214">
        <w:rPr>
          <w:color w:val="auto"/>
          <w:lang w:val="en-AU"/>
        </w:rPr>
        <w:t>.</w:t>
      </w:r>
      <w:r w:rsidR="00467D78" w:rsidRPr="00843214">
        <w:rPr>
          <w:color w:val="auto"/>
          <w:lang w:val="en-AU"/>
        </w:rPr>
        <w:t xml:space="preserve"> </w:t>
      </w:r>
      <w:r w:rsidR="0098382F" w:rsidRPr="00843214">
        <w:rPr>
          <w:color w:val="auto"/>
          <w:lang w:val="en-AU"/>
        </w:rPr>
        <w:t xml:space="preserve">It also supports </w:t>
      </w:r>
      <w:r w:rsidR="00467D78" w:rsidRPr="00843214">
        <w:rPr>
          <w:color w:val="auto"/>
          <w:lang w:val="en-AU"/>
        </w:rPr>
        <w:t>the articulation of the DRR work area in the</w:t>
      </w:r>
      <w:r w:rsidR="00B7404F" w:rsidRPr="00843214">
        <w:rPr>
          <w:color w:val="auto"/>
          <w:lang w:val="en-AU"/>
        </w:rPr>
        <w:t xml:space="preserve"> UN Women</w:t>
      </w:r>
      <w:r w:rsidR="00467D78" w:rsidRPr="00843214">
        <w:rPr>
          <w:color w:val="auto"/>
          <w:lang w:val="en-AU"/>
        </w:rPr>
        <w:t xml:space="preserve"> Strategic Plan 2022-2025.</w:t>
      </w:r>
    </w:p>
    <w:p w14:paraId="4E226E4D" w14:textId="7FBB7C9A" w:rsidR="00F8051E" w:rsidRPr="00843214" w:rsidRDefault="00F8051E" w:rsidP="00F8051E">
      <w:pPr>
        <w:pStyle w:val="Heading4"/>
        <w:rPr>
          <w:b/>
          <w:bCs/>
          <w:color w:val="auto"/>
          <w:sz w:val="25"/>
          <w:szCs w:val="32"/>
          <w:lang w:val="en-AU"/>
        </w:rPr>
      </w:pPr>
      <w:r w:rsidRPr="00843214">
        <w:rPr>
          <w:b/>
          <w:bCs/>
          <w:color w:val="auto"/>
          <w:sz w:val="25"/>
          <w:szCs w:val="32"/>
          <w:lang w:val="en-AU"/>
        </w:rPr>
        <w:t>Objective 5: Women’s Economic Empowerment</w:t>
      </w:r>
    </w:p>
    <w:tbl>
      <w:tblPr>
        <w:tblStyle w:val="TableGridLight"/>
        <w:tblW w:w="0" w:type="auto"/>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4092"/>
        <w:gridCol w:w="870"/>
        <w:gridCol w:w="4044"/>
      </w:tblGrid>
      <w:tr w:rsidR="00843214" w:rsidRPr="00843214" w14:paraId="0ED7D514" w14:textId="77777777" w:rsidTr="00F702A4">
        <w:tc>
          <w:tcPr>
            <w:tcW w:w="4101" w:type="dxa"/>
            <w:shd w:val="clear" w:color="auto" w:fill="auto"/>
          </w:tcPr>
          <w:p w14:paraId="1E030257" w14:textId="6BCFAE31" w:rsidR="004118FA" w:rsidRPr="00843214" w:rsidRDefault="004118FA" w:rsidP="004E3482">
            <w:pPr>
              <w:spacing w:after="0"/>
              <w:contextualSpacing/>
              <w:rPr>
                <w:rFonts w:cstheme="minorHAnsi"/>
                <w:b/>
                <w:bCs/>
                <w:color w:val="auto"/>
                <w:lang w:val="en-AU"/>
              </w:rPr>
            </w:pPr>
            <w:r w:rsidRPr="00843214">
              <w:rPr>
                <w:rFonts w:cstheme="minorHAnsi"/>
                <w:b/>
                <w:bCs/>
                <w:color w:val="auto"/>
                <w:lang w:val="en-AU"/>
              </w:rPr>
              <w:t>SPF objective and sub-objectives</w:t>
            </w:r>
          </w:p>
        </w:tc>
        <w:tc>
          <w:tcPr>
            <w:tcW w:w="851" w:type="dxa"/>
            <w:shd w:val="clear" w:color="auto" w:fill="92D050"/>
          </w:tcPr>
          <w:p w14:paraId="4D6B7A54" w14:textId="53111FA2" w:rsidR="004118FA" w:rsidRPr="00843214" w:rsidRDefault="004118FA" w:rsidP="004E3482">
            <w:pPr>
              <w:rPr>
                <w:b/>
                <w:bCs/>
                <w:color w:val="auto"/>
                <w:lang w:val="en-AU"/>
              </w:rPr>
            </w:pPr>
            <w:r w:rsidRPr="00843214">
              <w:rPr>
                <w:b/>
                <w:bCs/>
                <w:color w:val="auto"/>
                <w:lang w:val="en-AU"/>
              </w:rPr>
              <w:t>Rating</w:t>
            </w:r>
          </w:p>
        </w:tc>
        <w:tc>
          <w:tcPr>
            <w:tcW w:w="4054" w:type="dxa"/>
            <w:shd w:val="clear" w:color="auto" w:fill="FFFFFF" w:themeFill="background1"/>
          </w:tcPr>
          <w:p w14:paraId="747D8803" w14:textId="7CD4B21A" w:rsidR="004118FA" w:rsidRPr="00843214" w:rsidRDefault="004118FA" w:rsidP="004E3482">
            <w:pPr>
              <w:rPr>
                <w:b/>
                <w:bCs/>
                <w:color w:val="auto"/>
                <w:lang w:val="en-AU"/>
              </w:rPr>
            </w:pPr>
            <w:r w:rsidRPr="00843214">
              <w:rPr>
                <w:b/>
                <w:bCs/>
                <w:color w:val="auto"/>
                <w:lang w:val="en-AU"/>
              </w:rPr>
              <w:t xml:space="preserve">Summary </w:t>
            </w:r>
            <w:r w:rsidR="003F50D6" w:rsidRPr="00843214">
              <w:rPr>
                <w:b/>
                <w:bCs/>
                <w:color w:val="auto"/>
                <w:lang w:val="en-AU"/>
              </w:rPr>
              <w:t>r</w:t>
            </w:r>
            <w:r w:rsidRPr="00843214">
              <w:rPr>
                <w:b/>
                <w:bCs/>
                <w:color w:val="auto"/>
                <w:lang w:val="en-AU"/>
              </w:rPr>
              <w:t>ationale</w:t>
            </w:r>
            <w:r w:rsidR="003F50D6" w:rsidRPr="00843214">
              <w:rPr>
                <w:b/>
                <w:bCs/>
                <w:color w:val="auto"/>
                <w:lang w:val="en-AU"/>
              </w:rPr>
              <w:t xml:space="preserve"> for rating</w:t>
            </w:r>
          </w:p>
        </w:tc>
      </w:tr>
      <w:tr w:rsidR="00843214" w:rsidRPr="00843214" w14:paraId="74CA1B3C" w14:textId="77777777" w:rsidTr="00F702A4">
        <w:trPr>
          <w:trHeight w:val="1479"/>
        </w:trPr>
        <w:tc>
          <w:tcPr>
            <w:tcW w:w="4101" w:type="dxa"/>
          </w:tcPr>
          <w:p w14:paraId="32F3C6E0" w14:textId="77777777" w:rsidR="004118FA" w:rsidRPr="00843214" w:rsidRDefault="004118FA" w:rsidP="005E36E3">
            <w:pPr>
              <w:rPr>
                <w:rFonts w:cstheme="minorHAnsi"/>
                <w:color w:val="auto"/>
                <w:sz w:val="16"/>
                <w:szCs w:val="16"/>
                <w:lang w:val="en-AU"/>
              </w:rPr>
            </w:pPr>
            <w:r w:rsidRPr="00843214">
              <w:rPr>
                <w:rFonts w:cstheme="minorHAnsi"/>
                <w:color w:val="auto"/>
                <w:sz w:val="16"/>
                <w:szCs w:val="16"/>
                <w:lang w:val="en-AU"/>
              </w:rPr>
              <w:t>Promoting women’s economic empowerment</w:t>
            </w:r>
          </w:p>
          <w:p w14:paraId="4D214D3A" w14:textId="77777777" w:rsidR="004118FA" w:rsidRPr="00843214" w:rsidRDefault="004118FA" w:rsidP="005E36E3">
            <w:pPr>
              <w:pStyle w:val="ListParagraph"/>
              <w:numPr>
                <w:ilvl w:val="0"/>
                <w:numId w:val="9"/>
              </w:numPr>
              <w:ind w:left="240" w:hanging="180"/>
              <w:rPr>
                <w:rFonts w:cstheme="minorHAnsi"/>
                <w:color w:val="auto"/>
                <w:sz w:val="16"/>
                <w:szCs w:val="16"/>
                <w:lang w:val="en-AU"/>
              </w:rPr>
            </w:pPr>
            <w:r w:rsidRPr="00843214">
              <w:rPr>
                <w:rFonts w:cstheme="minorHAnsi"/>
                <w:color w:val="auto"/>
                <w:sz w:val="16"/>
                <w:szCs w:val="16"/>
                <w:lang w:val="en-AU"/>
              </w:rPr>
              <w:t>Eliminating policies, practices and social norms that restrict women’s access to decent employment, global and local markets, financing and resource ownership and control.</w:t>
            </w:r>
          </w:p>
          <w:p w14:paraId="091608A8" w14:textId="119C7959" w:rsidR="004118FA" w:rsidRPr="00843214" w:rsidRDefault="004118FA" w:rsidP="005E36E3">
            <w:pPr>
              <w:pStyle w:val="ListParagraph"/>
              <w:numPr>
                <w:ilvl w:val="0"/>
                <w:numId w:val="9"/>
              </w:numPr>
              <w:ind w:left="240" w:hanging="180"/>
              <w:rPr>
                <w:rFonts w:cstheme="minorHAnsi"/>
                <w:color w:val="auto"/>
                <w:sz w:val="16"/>
                <w:szCs w:val="16"/>
                <w:lang w:val="en-AU"/>
              </w:rPr>
            </w:pPr>
            <w:r w:rsidRPr="00843214">
              <w:rPr>
                <w:rFonts w:cstheme="minorHAnsi"/>
                <w:color w:val="auto"/>
                <w:sz w:val="16"/>
                <w:szCs w:val="16"/>
                <w:lang w:val="en-AU"/>
              </w:rPr>
              <w:t>Improving support for female entrepreneurs and economic opportunities for women.</w:t>
            </w:r>
          </w:p>
        </w:tc>
        <w:tc>
          <w:tcPr>
            <w:tcW w:w="851" w:type="dxa"/>
            <w:shd w:val="clear" w:color="auto" w:fill="92D050"/>
          </w:tcPr>
          <w:p w14:paraId="65D55784" w14:textId="77777777" w:rsidR="004118FA" w:rsidRPr="00843214" w:rsidRDefault="004118FA" w:rsidP="005E36E3">
            <w:pPr>
              <w:rPr>
                <w:color w:val="auto"/>
                <w:sz w:val="16"/>
                <w:szCs w:val="16"/>
                <w:lang w:val="en-AU"/>
              </w:rPr>
            </w:pPr>
          </w:p>
        </w:tc>
        <w:tc>
          <w:tcPr>
            <w:tcW w:w="4054" w:type="dxa"/>
            <w:shd w:val="clear" w:color="auto" w:fill="FFFFFF" w:themeFill="background1"/>
          </w:tcPr>
          <w:p w14:paraId="2D56C4D6" w14:textId="2B8433CC" w:rsidR="004118FA" w:rsidRPr="00843214" w:rsidRDefault="004118FA" w:rsidP="005E36E3">
            <w:pPr>
              <w:rPr>
                <w:color w:val="auto"/>
                <w:lang w:val="en-AU"/>
              </w:rPr>
            </w:pPr>
            <w:r w:rsidRPr="00843214">
              <w:rPr>
                <w:color w:val="auto"/>
                <w:sz w:val="16"/>
                <w:szCs w:val="16"/>
                <w:lang w:val="en-AU"/>
              </w:rPr>
              <w:t xml:space="preserve">The Partnership has taken an intersectional approach to supporting WEE through policies and </w:t>
            </w:r>
            <w:r w:rsidR="00933B0E" w:rsidRPr="00843214">
              <w:rPr>
                <w:color w:val="auto"/>
                <w:sz w:val="16"/>
                <w:szCs w:val="16"/>
                <w:lang w:val="en-AU"/>
              </w:rPr>
              <w:t>programmes</w:t>
            </w:r>
            <w:r w:rsidRPr="00843214">
              <w:rPr>
                <w:color w:val="auto"/>
                <w:sz w:val="16"/>
                <w:szCs w:val="16"/>
                <w:lang w:val="en-AU"/>
              </w:rPr>
              <w:t xml:space="preserve"> that aim to support WEE. The Partnership has supported WEE through strong programming across the Indo-Pacific region. This support has pivoted to respond to the challenges to women’s livelihoods presented by the COVID-19 pandemic </w:t>
            </w:r>
          </w:p>
        </w:tc>
      </w:tr>
    </w:tbl>
    <w:p w14:paraId="75719D90" w14:textId="3F43CE95" w:rsidR="00454041" w:rsidRPr="00843214" w:rsidRDefault="00F8051E" w:rsidP="00F3568E">
      <w:pPr>
        <w:spacing w:before="240"/>
        <w:rPr>
          <w:color w:val="auto"/>
          <w:lang w:val="en-AU"/>
        </w:rPr>
      </w:pPr>
      <w:r w:rsidRPr="00843214">
        <w:rPr>
          <w:b/>
          <w:bCs/>
          <w:color w:val="auto"/>
          <w:lang w:val="en-AU"/>
        </w:rPr>
        <w:t xml:space="preserve">The </w:t>
      </w:r>
      <w:r w:rsidR="00933B0E" w:rsidRPr="00843214">
        <w:rPr>
          <w:b/>
          <w:bCs/>
          <w:color w:val="auto"/>
          <w:lang w:val="en-AU"/>
        </w:rPr>
        <w:t>P</w:t>
      </w:r>
      <w:r w:rsidRPr="00843214">
        <w:rPr>
          <w:b/>
          <w:bCs/>
          <w:color w:val="auto"/>
          <w:lang w:val="en-AU"/>
        </w:rPr>
        <w:t>artnership</w:t>
      </w:r>
      <w:r w:rsidR="00D64DD8" w:rsidRPr="00843214">
        <w:rPr>
          <w:b/>
          <w:bCs/>
          <w:color w:val="auto"/>
          <w:lang w:val="en-AU"/>
        </w:rPr>
        <w:t xml:space="preserve"> has</w:t>
      </w:r>
      <w:r w:rsidR="00933B0E" w:rsidRPr="00843214">
        <w:rPr>
          <w:b/>
          <w:bCs/>
          <w:color w:val="auto"/>
          <w:lang w:val="en-AU"/>
        </w:rPr>
        <w:t xml:space="preserve"> effective</w:t>
      </w:r>
      <w:r w:rsidR="00D64DD8" w:rsidRPr="00843214">
        <w:rPr>
          <w:b/>
          <w:bCs/>
          <w:color w:val="auto"/>
          <w:lang w:val="en-AU"/>
        </w:rPr>
        <w:t>ly</w:t>
      </w:r>
      <w:r w:rsidRPr="00843214">
        <w:rPr>
          <w:b/>
          <w:bCs/>
          <w:color w:val="auto"/>
          <w:lang w:val="en-AU"/>
        </w:rPr>
        <w:t xml:space="preserve"> promot</w:t>
      </w:r>
      <w:r w:rsidR="00D64DD8" w:rsidRPr="00843214">
        <w:rPr>
          <w:b/>
          <w:bCs/>
          <w:color w:val="auto"/>
          <w:lang w:val="en-AU"/>
        </w:rPr>
        <w:t>ed</w:t>
      </w:r>
      <w:r w:rsidRPr="00843214">
        <w:rPr>
          <w:b/>
          <w:bCs/>
          <w:color w:val="auto"/>
          <w:lang w:val="en-AU"/>
        </w:rPr>
        <w:t xml:space="preserve"> </w:t>
      </w:r>
      <w:r w:rsidR="00A4700C" w:rsidRPr="00843214">
        <w:rPr>
          <w:b/>
          <w:bCs/>
          <w:color w:val="auto"/>
          <w:lang w:val="en-AU"/>
        </w:rPr>
        <w:t>WEE</w:t>
      </w:r>
      <w:r w:rsidRPr="00843214">
        <w:rPr>
          <w:b/>
          <w:bCs/>
          <w:color w:val="auto"/>
          <w:lang w:val="en-AU"/>
        </w:rPr>
        <w:t xml:space="preserve"> through </w:t>
      </w:r>
      <w:r w:rsidR="00454041" w:rsidRPr="00843214">
        <w:rPr>
          <w:b/>
          <w:bCs/>
          <w:color w:val="auto"/>
          <w:lang w:val="en-AU"/>
        </w:rPr>
        <w:t>advocacy to address prohibitive gender norms</w:t>
      </w:r>
      <w:r w:rsidR="00933B0E" w:rsidRPr="00843214">
        <w:rPr>
          <w:b/>
          <w:bCs/>
          <w:color w:val="auto"/>
          <w:lang w:val="en-AU"/>
        </w:rPr>
        <w:t>,</w:t>
      </w:r>
      <w:r w:rsidRPr="00843214">
        <w:rPr>
          <w:b/>
          <w:bCs/>
          <w:color w:val="auto"/>
          <w:lang w:val="en-AU"/>
        </w:rPr>
        <w:t xml:space="preserve"> and </w:t>
      </w:r>
      <w:r w:rsidR="00454041" w:rsidRPr="00843214">
        <w:rPr>
          <w:b/>
          <w:bCs/>
          <w:color w:val="auto"/>
          <w:lang w:val="en-AU"/>
        </w:rPr>
        <w:t xml:space="preserve">country and regional </w:t>
      </w:r>
      <w:r w:rsidR="00503E8D" w:rsidRPr="00843214">
        <w:rPr>
          <w:b/>
          <w:bCs/>
          <w:color w:val="auto"/>
          <w:lang w:val="en-AU"/>
        </w:rPr>
        <w:t>program</w:t>
      </w:r>
      <w:r w:rsidRPr="00843214">
        <w:rPr>
          <w:b/>
          <w:bCs/>
          <w:color w:val="auto"/>
          <w:lang w:val="en-AU"/>
        </w:rPr>
        <w:t>s directly supporting women’s economic autonomy</w:t>
      </w:r>
      <w:r w:rsidR="00F3568E" w:rsidRPr="00843214">
        <w:rPr>
          <w:b/>
          <w:bCs/>
          <w:color w:val="auto"/>
          <w:lang w:val="en-AU"/>
        </w:rPr>
        <w:t xml:space="preserve"> and leadership</w:t>
      </w:r>
      <w:r w:rsidR="001C2A72" w:rsidRPr="00843214">
        <w:rPr>
          <w:b/>
          <w:bCs/>
          <w:color w:val="auto"/>
          <w:lang w:val="en-AU"/>
        </w:rPr>
        <w:t>.</w:t>
      </w:r>
      <w:r w:rsidRPr="00843214">
        <w:rPr>
          <w:b/>
          <w:bCs/>
          <w:color w:val="auto"/>
          <w:lang w:val="en-AU"/>
        </w:rPr>
        <w:t xml:space="preserve"> </w:t>
      </w:r>
      <w:r w:rsidR="001C2E95" w:rsidRPr="00843214">
        <w:rPr>
          <w:color w:val="auto"/>
          <w:lang w:val="en-AU"/>
        </w:rPr>
        <w:t xml:space="preserve">Across </w:t>
      </w:r>
      <w:r w:rsidR="00454041" w:rsidRPr="00843214">
        <w:rPr>
          <w:color w:val="auto"/>
          <w:lang w:val="en-AU"/>
        </w:rPr>
        <w:t xml:space="preserve">the </w:t>
      </w:r>
      <w:r w:rsidR="00E93490" w:rsidRPr="00843214">
        <w:rPr>
          <w:color w:val="auto"/>
          <w:lang w:val="en-AU"/>
        </w:rPr>
        <w:t>Indo</w:t>
      </w:r>
      <w:r w:rsidR="00E65385" w:rsidRPr="00843214">
        <w:rPr>
          <w:color w:val="auto"/>
          <w:lang w:val="en-AU"/>
        </w:rPr>
        <w:t>-</w:t>
      </w:r>
      <w:r w:rsidR="00454041" w:rsidRPr="00843214">
        <w:rPr>
          <w:color w:val="auto"/>
          <w:lang w:val="en-AU"/>
        </w:rPr>
        <w:t xml:space="preserve">Pacific </w:t>
      </w:r>
      <w:r w:rsidR="004118FA" w:rsidRPr="00843214">
        <w:rPr>
          <w:color w:val="auto"/>
          <w:lang w:val="en-AU"/>
        </w:rPr>
        <w:t>r</w:t>
      </w:r>
      <w:r w:rsidR="00454041" w:rsidRPr="00843214">
        <w:rPr>
          <w:color w:val="auto"/>
          <w:lang w:val="en-AU"/>
        </w:rPr>
        <w:t>egion, the Markets for Change project in Fiji, Solomon Islands and Vanuatu supports women market vendors</w:t>
      </w:r>
      <w:r w:rsidR="00933B0E" w:rsidRPr="00843214">
        <w:rPr>
          <w:color w:val="auto"/>
          <w:lang w:val="en-AU"/>
        </w:rPr>
        <w:t>’</w:t>
      </w:r>
      <w:r w:rsidR="00454041" w:rsidRPr="00843214">
        <w:rPr>
          <w:color w:val="auto"/>
          <w:lang w:val="en-AU"/>
        </w:rPr>
        <w:t xml:space="preserve"> participation in decision making and their economic empowerment, making marketplaces safe, inclusive, and non-discriminatory. The Syria</w:t>
      </w:r>
      <w:r w:rsidR="00E44E14" w:rsidRPr="00843214">
        <w:rPr>
          <w:color w:val="auto"/>
          <w:lang w:val="en-AU"/>
        </w:rPr>
        <w:t xml:space="preserve"> </w:t>
      </w:r>
      <w:r w:rsidR="00454041" w:rsidRPr="00843214">
        <w:rPr>
          <w:color w:val="auto"/>
          <w:lang w:val="en-AU"/>
        </w:rPr>
        <w:t>Package’s Oasis model supports livelihoods through providing cash for work opportunities, addressing barriers to livelihoods</w:t>
      </w:r>
      <w:r w:rsidR="00D64DD8" w:rsidRPr="00843214">
        <w:rPr>
          <w:color w:val="auto"/>
          <w:lang w:val="en-AU"/>
        </w:rPr>
        <w:t>,</w:t>
      </w:r>
      <w:r w:rsidR="00454041" w:rsidRPr="00843214">
        <w:rPr>
          <w:color w:val="auto"/>
          <w:lang w:val="en-AU"/>
        </w:rPr>
        <w:t xml:space="preserve"> and working with the Ministry for Social Development to support women to develop business plans.</w:t>
      </w:r>
      <w:r w:rsidR="00D42CCB" w:rsidRPr="00843214">
        <w:rPr>
          <w:color w:val="auto"/>
          <w:lang w:val="en-AU"/>
        </w:rPr>
        <w:t xml:space="preserve"> </w:t>
      </w:r>
    </w:p>
    <w:p w14:paraId="4F4C399A" w14:textId="6B4716AF" w:rsidR="00F8051E" w:rsidRPr="00843214" w:rsidRDefault="00F8051E" w:rsidP="00FD3ED9">
      <w:pPr>
        <w:rPr>
          <w:color w:val="auto"/>
          <w:lang w:val="en-AU"/>
        </w:rPr>
      </w:pPr>
      <w:r w:rsidRPr="00843214">
        <w:rPr>
          <w:b/>
          <w:bCs/>
          <w:color w:val="auto"/>
          <w:lang w:val="en-AU"/>
        </w:rPr>
        <w:t>Normative gains include work to improve gender responsive policies on land rights, supporting gender responsive social protection systems, and working to make labour laws more equitable for women.</w:t>
      </w:r>
      <w:r w:rsidRPr="00843214">
        <w:rPr>
          <w:color w:val="auto"/>
          <w:lang w:val="en-AU"/>
        </w:rPr>
        <w:t xml:space="preserve"> Programmatically, the Partnership’s work on WEE includes women’s increased access to sustainable livelihoods, productive </w:t>
      </w:r>
      <w:proofErr w:type="gramStart"/>
      <w:r w:rsidRPr="00843214">
        <w:rPr>
          <w:color w:val="auto"/>
          <w:lang w:val="en-AU"/>
        </w:rPr>
        <w:t>assets</w:t>
      </w:r>
      <w:proofErr w:type="gramEnd"/>
      <w:r w:rsidRPr="00843214">
        <w:rPr>
          <w:color w:val="auto"/>
          <w:lang w:val="en-AU"/>
        </w:rPr>
        <w:t xml:space="preserve"> and decent work, </w:t>
      </w:r>
      <w:r w:rsidR="00A65DAA" w:rsidRPr="00843214">
        <w:rPr>
          <w:color w:val="auto"/>
          <w:lang w:val="en-AU"/>
        </w:rPr>
        <w:t>DRR</w:t>
      </w:r>
      <w:r w:rsidRPr="00843214">
        <w:rPr>
          <w:color w:val="auto"/>
          <w:lang w:val="en-AU"/>
        </w:rPr>
        <w:t xml:space="preserve"> and women’s participation and leadership in economic policy and decision-making. A 2017 UN Women evaluation</w:t>
      </w:r>
      <w:r w:rsidR="001C12D0" w:rsidRPr="00843214">
        <w:rPr>
          <w:rStyle w:val="FootnoteReference"/>
          <w:color w:val="auto"/>
          <w:lang w:val="en-AU"/>
        </w:rPr>
        <w:footnoteReference w:id="34"/>
      </w:r>
      <w:r w:rsidRPr="00843214">
        <w:rPr>
          <w:color w:val="auto"/>
          <w:lang w:val="en-AU"/>
        </w:rPr>
        <w:t xml:space="preserve"> found that WEE was the strongest programming area</w:t>
      </w:r>
      <w:r w:rsidR="004A72BA" w:rsidRPr="00843214">
        <w:rPr>
          <w:color w:val="auto"/>
          <w:lang w:val="en-AU"/>
        </w:rPr>
        <w:t xml:space="preserve"> for its</w:t>
      </w:r>
      <w:r w:rsidRPr="00843214">
        <w:rPr>
          <w:color w:val="auto"/>
          <w:lang w:val="en-AU"/>
        </w:rPr>
        <w:t xml:space="preserve"> quality, reach, contextual </w:t>
      </w:r>
      <w:proofErr w:type="gramStart"/>
      <w:r w:rsidRPr="00843214">
        <w:rPr>
          <w:color w:val="auto"/>
          <w:lang w:val="en-AU"/>
        </w:rPr>
        <w:t>adaptations</w:t>
      </w:r>
      <w:proofErr w:type="gramEnd"/>
      <w:r w:rsidRPr="00843214">
        <w:rPr>
          <w:color w:val="auto"/>
          <w:lang w:val="en-AU"/>
        </w:rPr>
        <w:t xml:space="preserve"> and results.</w:t>
      </w:r>
    </w:p>
    <w:p w14:paraId="3A4A97C5" w14:textId="704F0AED" w:rsidR="00F8051E" w:rsidRPr="00843214" w:rsidRDefault="001859AC" w:rsidP="00FD3ED9">
      <w:pPr>
        <w:rPr>
          <w:color w:val="auto"/>
          <w:lang w:val="en-AU"/>
        </w:rPr>
      </w:pPr>
      <w:r w:rsidRPr="00843214">
        <w:rPr>
          <w:b/>
          <w:bCs/>
          <w:color w:val="auto"/>
          <w:lang w:val="en-AU"/>
        </w:rPr>
        <w:t xml:space="preserve">Across its programming, and particularly </w:t>
      </w:r>
      <w:r w:rsidR="00BE167C" w:rsidRPr="00843214">
        <w:rPr>
          <w:b/>
          <w:bCs/>
          <w:color w:val="auto"/>
          <w:lang w:val="en-AU"/>
        </w:rPr>
        <w:t xml:space="preserve">with </w:t>
      </w:r>
      <w:r w:rsidRPr="00843214">
        <w:rPr>
          <w:b/>
          <w:bCs/>
          <w:color w:val="auto"/>
          <w:lang w:val="en-AU"/>
        </w:rPr>
        <w:t xml:space="preserve">respect to </w:t>
      </w:r>
      <w:r w:rsidR="004A72BA" w:rsidRPr="00843214">
        <w:rPr>
          <w:b/>
          <w:bCs/>
          <w:color w:val="auto"/>
          <w:lang w:val="en-AU"/>
        </w:rPr>
        <w:t>WEE</w:t>
      </w:r>
      <w:r w:rsidRPr="00843214">
        <w:rPr>
          <w:b/>
          <w:bCs/>
          <w:color w:val="auto"/>
          <w:lang w:val="en-AU"/>
        </w:rPr>
        <w:t>, the Partnership</w:t>
      </w:r>
      <w:r w:rsidR="00F04370" w:rsidRPr="00843214">
        <w:rPr>
          <w:b/>
          <w:bCs/>
          <w:color w:val="auto"/>
          <w:lang w:val="en-AU"/>
        </w:rPr>
        <w:t xml:space="preserve"> aims to</w:t>
      </w:r>
      <w:r w:rsidRPr="00843214">
        <w:rPr>
          <w:b/>
          <w:bCs/>
          <w:color w:val="auto"/>
          <w:lang w:val="en-AU"/>
        </w:rPr>
        <w:t xml:space="preserve"> address</w:t>
      </w:r>
      <w:r w:rsidR="00F8051E" w:rsidRPr="00843214">
        <w:rPr>
          <w:b/>
          <w:bCs/>
          <w:color w:val="auto"/>
          <w:lang w:val="en-AU"/>
        </w:rPr>
        <w:t xml:space="preserve"> intersecting issues of vulnerability</w:t>
      </w:r>
      <w:r w:rsidR="004A72BA" w:rsidRPr="00843214">
        <w:rPr>
          <w:b/>
          <w:bCs/>
          <w:color w:val="auto"/>
          <w:lang w:val="en-AU"/>
        </w:rPr>
        <w:t>.</w:t>
      </w:r>
      <w:r w:rsidRPr="00843214">
        <w:rPr>
          <w:color w:val="auto"/>
          <w:lang w:val="en-AU"/>
        </w:rPr>
        <w:t xml:space="preserve"> </w:t>
      </w:r>
      <w:r w:rsidR="00D64DD8" w:rsidRPr="00843214">
        <w:rPr>
          <w:color w:val="auto"/>
          <w:lang w:val="en-AU"/>
        </w:rPr>
        <w:t xml:space="preserve">To develop integrated solutions, </w:t>
      </w:r>
      <w:r w:rsidRPr="00843214">
        <w:rPr>
          <w:color w:val="auto"/>
          <w:lang w:val="en-AU"/>
        </w:rPr>
        <w:t>UN Women has taken a multi-dimensional approach to analysing gender sensitive data to understand the multiple burdens and challenges facing women. Overlapping issues include</w:t>
      </w:r>
      <w:r w:rsidR="00F8051E" w:rsidRPr="00843214">
        <w:rPr>
          <w:color w:val="auto"/>
          <w:lang w:val="en-AU"/>
        </w:rPr>
        <w:t xml:space="preserve"> women working in the informal economy, communities dealing with frequent climate disasters</w:t>
      </w:r>
      <w:r w:rsidR="004A72BA" w:rsidRPr="00843214">
        <w:rPr>
          <w:color w:val="auto"/>
          <w:lang w:val="en-AU"/>
        </w:rPr>
        <w:t>, and the stresses due to COVID-19</w:t>
      </w:r>
      <w:r w:rsidR="00F8051E" w:rsidRPr="00843214">
        <w:rPr>
          <w:color w:val="auto"/>
          <w:lang w:val="en-AU"/>
        </w:rPr>
        <w:t xml:space="preserve">. </w:t>
      </w:r>
      <w:r w:rsidRPr="00843214">
        <w:rPr>
          <w:color w:val="auto"/>
          <w:lang w:val="en-AU"/>
        </w:rPr>
        <w:t>As an example, t</w:t>
      </w:r>
      <w:r w:rsidR="00F8051E" w:rsidRPr="00843214">
        <w:rPr>
          <w:color w:val="auto"/>
          <w:lang w:val="en-AU"/>
        </w:rPr>
        <w:t xml:space="preserve">he </w:t>
      </w:r>
      <w:r w:rsidR="00F8051E" w:rsidRPr="00843214">
        <w:rPr>
          <w:color w:val="auto"/>
          <w:szCs w:val="20"/>
          <w:lang w:val="en-AU"/>
        </w:rPr>
        <w:t>proposed</w:t>
      </w:r>
      <w:r w:rsidR="00F8051E" w:rsidRPr="00843214">
        <w:rPr>
          <w:color w:val="auto"/>
          <w:lang w:val="en-AU"/>
        </w:rPr>
        <w:t xml:space="preserve"> DRR work through </w:t>
      </w:r>
      <w:r w:rsidR="001C4F87" w:rsidRPr="00843214">
        <w:rPr>
          <w:color w:val="auto"/>
          <w:lang w:val="en-AU"/>
        </w:rPr>
        <w:t>the Partnership</w:t>
      </w:r>
      <w:r w:rsidR="00F8051E" w:rsidRPr="00843214">
        <w:rPr>
          <w:color w:val="auto"/>
          <w:lang w:val="en-AU"/>
        </w:rPr>
        <w:t xml:space="preserve"> </w:t>
      </w:r>
      <w:r w:rsidRPr="00843214">
        <w:rPr>
          <w:color w:val="auto"/>
          <w:lang w:val="en-AU"/>
        </w:rPr>
        <w:t>addresses the multifaceted challenges facing women</w:t>
      </w:r>
      <w:r w:rsidR="00F8051E" w:rsidRPr="00843214">
        <w:rPr>
          <w:color w:val="auto"/>
          <w:lang w:val="en-AU"/>
        </w:rPr>
        <w:t>.</w:t>
      </w:r>
    </w:p>
    <w:p w14:paraId="16C08FA5" w14:textId="37ACD4D8" w:rsidR="00F8051E" w:rsidRPr="00843214" w:rsidRDefault="00F8051E" w:rsidP="00FD3ED9">
      <w:pPr>
        <w:rPr>
          <w:color w:val="auto"/>
          <w:lang w:val="en-AU"/>
        </w:rPr>
      </w:pPr>
      <w:r w:rsidRPr="00843214">
        <w:rPr>
          <w:b/>
          <w:bCs/>
          <w:color w:val="auto"/>
          <w:lang w:val="en-AU"/>
        </w:rPr>
        <w:t>In response to the COVID-19 pandemic</w:t>
      </w:r>
      <w:r w:rsidR="00D64DD8" w:rsidRPr="00843214">
        <w:rPr>
          <w:b/>
          <w:bCs/>
          <w:color w:val="auto"/>
          <w:lang w:val="en-AU"/>
        </w:rPr>
        <w:t xml:space="preserve"> and lockdown</w:t>
      </w:r>
      <w:r w:rsidRPr="00843214">
        <w:rPr>
          <w:b/>
          <w:bCs/>
          <w:color w:val="auto"/>
          <w:lang w:val="en-AU"/>
        </w:rPr>
        <w:t xml:space="preserve">, partnership initiatives </w:t>
      </w:r>
      <w:r w:rsidR="006516DB" w:rsidRPr="00843214">
        <w:rPr>
          <w:b/>
          <w:bCs/>
          <w:color w:val="auto"/>
          <w:lang w:val="en-AU"/>
        </w:rPr>
        <w:t xml:space="preserve">sought </w:t>
      </w:r>
      <w:r w:rsidRPr="00843214">
        <w:rPr>
          <w:b/>
          <w:bCs/>
          <w:color w:val="auto"/>
          <w:lang w:val="en-AU"/>
        </w:rPr>
        <w:t>to address the impact</w:t>
      </w:r>
      <w:r w:rsidR="00D64DD8" w:rsidRPr="00843214">
        <w:rPr>
          <w:b/>
          <w:bCs/>
          <w:color w:val="auto"/>
          <w:lang w:val="en-AU"/>
        </w:rPr>
        <w:t>s</w:t>
      </w:r>
      <w:r w:rsidRPr="00843214">
        <w:rPr>
          <w:b/>
          <w:bCs/>
          <w:color w:val="auto"/>
          <w:lang w:val="en-AU"/>
        </w:rPr>
        <w:t xml:space="preserve"> on </w:t>
      </w:r>
      <w:r w:rsidR="00082E2C" w:rsidRPr="00843214">
        <w:rPr>
          <w:b/>
          <w:bCs/>
          <w:color w:val="auto"/>
          <w:lang w:val="en-AU"/>
        </w:rPr>
        <w:t>women’s</w:t>
      </w:r>
      <w:r w:rsidRPr="00843214">
        <w:rPr>
          <w:b/>
          <w:bCs/>
          <w:color w:val="auto"/>
          <w:lang w:val="en-AU"/>
        </w:rPr>
        <w:t xml:space="preserve"> livelihoods</w:t>
      </w:r>
      <w:r w:rsidR="00B96FEE" w:rsidRPr="00843214">
        <w:rPr>
          <w:b/>
          <w:bCs/>
          <w:color w:val="auto"/>
          <w:lang w:val="en-AU"/>
        </w:rPr>
        <w:t xml:space="preserve">. </w:t>
      </w:r>
      <w:r w:rsidR="00B96FEE" w:rsidRPr="00843214">
        <w:rPr>
          <w:color w:val="auto"/>
          <w:lang w:val="en-AU"/>
        </w:rPr>
        <w:t>For example,</w:t>
      </w:r>
      <w:r w:rsidR="00082E2C" w:rsidRPr="00843214">
        <w:rPr>
          <w:color w:val="auto"/>
          <w:lang w:val="en-AU"/>
        </w:rPr>
        <w:t xml:space="preserve"> </w:t>
      </w:r>
      <w:r w:rsidR="00B96FEE" w:rsidRPr="00843214">
        <w:rPr>
          <w:color w:val="auto"/>
          <w:lang w:val="en-AU"/>
        </w:rPr>
        <w:t>the Markets for Change project supported women market vendors and</w:t>
      </w:r>
      <w:r w:rsidRPr="00843214">
        <w:rPr>
          <w:color w:val="auto"/>
          <w:lang w:val="en-AU"/>
        </w:rPr>
        <w:t xml:space="preserve"> the Women Count </w:t>
      </w:r>
      <w:r w:rsidR="00503E8D" w:rsidRPr="00843214">
        <w:rPr>
          <w:color w:val="auto"/>
          <w:lang w:val="en-AU"/>
        </w:rPr>
        <w:t>program</w:t>
      </w:r>
      <w:r w:rsidRPr="00843214">
        <w:rPr>
          <w:color w:val="auto"/>
          <w:lang w:val="en-AU"/>
        </w:rPr>
        <w:t xml:space="preserve"> supported the data </w:t>
      </w:r>
      <w:r w:rsidR="00B96FEE" w:rsidRPr="00843214">
        <w:rPr>
          <w:color w:val="auto"/>
          <w:lang w:val="en-AU"/>
        </w:rPr>
        <w:t xml:space="preserve">collection </w:t>
      </w:r>
      <w:r w:rsidRPr="00843214">
        <w:rPr>
          <w:color w:val="auto"/>
          <w:lang w:val="en-AU"/>
        </w:rPr>
        <w:t xml:space="preserve">on the impacts of the pandemic on women’s livelihoods, employment, </w:t>
      </w:r>
      <w:r w:rsidR="00F5258A" w:rsidRPr="00843214">
        <w:rPr>
          <w:color w:val="auto"/>
          <w:lang w:val="en-AU"/>
        </w:rPr>
        <w:t>and</w:t>
      </w:r>
      <w:r w:rsidRPr="00843214">
        <w:rPr>
          <w:color w:val="auto"/>
          <w:lang w:val="en-AU"/>
        </w:rPr>
        <w:t xml:space="preserve"> unpaid care and domestic workloads.</w:t>
      </w:r>
    </w:p>
    <w:p w14:paraId="03DCEF2C" w14:textId="1C72895F" w:rsidR="00F8051E" w:rsidRPr="00843214" w:rsidRDefault="00F8051E" w:rsidP="00F8051E">
      <w:pPr>
        <w:pStyle w:val="Heading4"/>
        <w:rPr>
          <w:b/>
          <w:bCs/>
          <w:color w:val="auto"/>
          <w:sz w:val="25"/>
          <w:szCs w:val="32"/>
          <w:lang w:val="en-AU"/>
        </w:rPr>
      </w:pPr>
      <w:r w:rsidRPr="00843214">
        <w:rPr>
          <w:b/>
          <w:bCs/>
          <w:color w:val="auto"/>
          <w:sz w:val="25"/>
          <w:szCs w:val="32"/>
          <w:lang w:val="en-AU"/>
        </w:rPr>
        <w:t>Objective 6: Ending violence against women</w:t>
      </w:r>
      <w:r w:rsidR="00CF1C69" w:rsidRPr="00843214">
        <w:rPr>
          <w:b/>
          <w:bCs/>
          <w:color w:val="auto"/>
          <w:sz w:val="25"/>
          <w:szCs w:val="32"/>
          <w:lang w:val="en-AU"/>
        </w:rPr>
        <w:t xml:space="preserve"> and girls</w:t>
      </w:r>
    </w:p>
    <w:tbl>
      <w:tblPr>
        <w:tblStyle w:val="TableGridLight"/>
        <w:tblW w:w="0" w:type="auto"/>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4023"/>
        <w:gridCol w:w="870"/>
        <w:gridCol w:w="4113"/>
      </w:tblGrid>
      <w:tr w:rsidR="00843214" w:rsidRPr="00843214" w14:paraId="570FE63B" w14:textId="77777777" w:rsidTr="00F702A4">
        <w:trPr>
          <w:trHeight w:val="490"/>
        </w:trPr>
        <w:tc>
          <w:tcPr>
            <w:tcW w:w="4101" w:type="dxa"/>
            <w:shd w:val="clear" w:color="auto" w:fill="auto"/>
          </w:tcPr>
          <w:p w14:paraId="2847697E" w14:textId="40F85A44" w:rsidR="004118FA" w:rsidRPr="00843214" w:rsidRDefault="004118FA" w:rsidP="004E3482">
            <w:pPr>
              <w:spacing w:after="0"/>
              <w:contextualSpacing/>
              <w:rPr>
                <w:rFonts w:cstheme="minorHAnsi"/>
                <w:b/>
                <w:bCs/>
                <w:color w:val="auto"/>
                <w:lang w:val="en-AU"/>
              </w:rPr>
            </w:pPr>
            <w:r w:rsidRPr="00843214">
              <w:rPr>
                <w:rFonts w:cstheme="minorHAnsi"/>
                <w:b/>
                <w:bCs/>
                <w:color w:val="auto"/>
                <w:lang w:val="en-AU"/>
              </w:rPr>
              <w:t>SPF objective and sub-objectives</w:t>
            </w:r>
          </w:p>
        </w:tc>
        <w:tc>
          <w:tcPr>
            <w:tcW w:w="709" w:type="dxa"/>
            <w:shd w:val="clear" w:color="auto" w:fill="92D050"/>
          </w:tcPr>
          <w:p w14:paraId="452CFBD2" w14:textId="64FE667F" w:rsidR="004118FA" w:rsidRPr="00843214" w:rsidRDefault="004118FA" w:rsidP="004E3482">
            <w:pPr>
              <w:rPr>
                <w:b/>
                <w:bCs/>
                <w:color w:val="auto"/>
                <w:lang w:val="en-AU"/>
              </w:rPr>
            </w:pPr>
            <w:r w:rsidRPr="00843214">
              <w:rPr>
                <w:b/>
                <w:bCs/>
                <w:color w:val="auto"/>
                <w:lang w:val="en-AU"/>
              </w:rPr>
              <w:t>Rating</w:t>
            </w:r>
          </w:p>
        </w:tc>
        <w:tc>
          <w:tcPr>
            <w:tcW w:w="4196" w:type="dxa"/>
            <w:shd w:val="clear" w:color="auto" w:fill="auto"/>
          </w:tcPr>
          <w:p w14:paraId="56A6C63D" w14:textId="7074003B" w:rsidR="004118FA" w:rsidRPr="00843214" w:rsidRDefault="004118FA" w:rsidP="004E3482">
            <w:pPr>
              <w:rPr>
                <w:b/>
                <w:bCs/>
                <w:color w:val="auto"/>
                <w:lang w:val="en-AU"/>
              </w:rPr>
            </w:pPr>
            <w:r w:rsidRPr="00843214">
              <w:rPr>
                <w:b/>
                <w:bCs/>
                <w:color w:val="auto"/>
                <w:lang w:val="en-AU"/>
              </w:rPr>
              <w:t>Summary rationale</w:t>
            </w:r>
            <w:r w:rsidR="00002382" w:rsidRPr="00843214">
              <w:rPr>
                <w:b/>
                <w:bCs/>
                <w:color w:val="auto"/>
                <w:lang w:val="en-AU"/>
              </w:rPr>
              <w:t xml:space="preserve"> for rating</w:t>
            </w:r>
          </w:p>
        </w:tc>
      </w:tr>
      <w:tr w:rsidR="00843214" w:rsidRPr="00843214" w14:paraId="7FE8B7FC" w14:textId="77777777" w:rsidTr="00F702A4">
        <w:trPr>
          <w:trHeight w:val="1503"/>
        </w:trPr>
        <w:tc>
          <w:tcPr>
            <w:tcW w:w="4101" w:type="dxa"/>
          </w:tcPr>
          <w:p w14:paraId="19833CDF" w14:textId="2F5C5F6A" w:rsidR="004118FA" w:rsidRPr="00843214" w:rsidRDefault="004118FA" w:rsidP="00A03679">
            <w:pPr>
              <w:rPr>
                <w:rFonts w:cstheme="minorHAnsi"/>
                <w:color w:val="auto"/>
                <w:sz w:val="16"/>
                <w:szCs w:val="16"/>
                <w:lang w:val="en-AU"/>
              </w:rPr>
            </w:pPr>
            <w:r w:rsidRPr="00843214">
              <w:rPr>
                <w:rFonts w:cstheme="minorHAnsi"/>
                <w:color w:val="auto"/>
                <w:sz w:val="16"/>
                <w:szCs w:val="16"/>
                <w:lang w:val="en-AU"/>
              </w:rPr>
              <w:t>Ending violence against women</w:t>
            </w:r>
            <w:r w:rsidR="00CF1C69" w:rsidRPr="00843214">
              <w:rPr>
                <w:rFonts w:cstheme="minorHAnsi"/>
                <w:color w:val="auto"/>
                <w:sz w:val="16"/>
                <w:szCs w:val="16"/>
                <w:lang w:val="en-AU"/>
              </w:rPr>
              <w:t xml:space="preserve"> and girls</w:t>
            </w:r>
          </w:p>
          <w:p w14:paraId="5AC303F6" w14:textId="77777777" w:rsidR="004118FA" w:rsidRPr="00843214" w:rsidRDefault="004118FA" w:rsidP="00A03679">
            <w:pPr>
              <w:pStyle w:val="ListParagraph"/>
              <w:numPr>
                <w:ilvl w:val="0"/>
                <w:numId w:val="10"/>
              </w:numPr>
              <w:ind w:left="240" w:hanging="90"/>
              <w:rPr>
                <w:rFonts w:cstheme="minorHAnsi"/>
                <w:color w:val="auto"/>
                <w:sz w:val="16"/>
                <w:szCs w:val="16"/>
                <w:lang w:val="en-AU"/>
              </w:rPr>
            </w:pPr>
            <w:r w:rsidRPr="00843214">
              <w:rPr>
                <w:rFonts w:cstheme="minorHAnsi"/>
                <w:color w:val="auto"/>
                <w:sz w:val="16"/>
                <w:szCs w:val="16"/>
                <w:lang w:val="en-AU"/>
              </w:rPr>
              <w:t>Improving the availability and quality of services for women who have been subject to violence.</w:t>
            </w:r>
          </w:p>
          <w:p w14:paraId="067BE31D" w14:textId="77777777" w:rsidR="004118FA" w:rsidRPr="00843214" w:rsidRDefault="004118FA" w:rsidP="00A03679">
            <w:pPr>
              <w:pStyle w:val="ListParagraph"/>
              <w:numPr>
                <w:ilvl w:val="0"/>
                <w:numId w:val="10"/>
              </w:numPr>
              <w:ind w:left="240" w:hanging="90"/>
              <w:rPr>
                <w:rFonts w:cstheme="minorHAnsi"/>
                <w:color w:val="auto"/>
                <w:sz w:val="16"/>
                <w:szCs w:val="16"/>
                <w:lang w:val="en-AU"/>
              </w:rPr>
            </w:pPr>
            <w:r w:rsidRPr="00843214">
              <w:rPr>
                <w:rFonts w:cstheme="minorHAnsi"/>
                <w:color w:val="auto"/>
                <w:sz w:val="16"/>
                <w:szCs w:val="16"/>
                <w:lang w:val="en-AU"/>
              </w:rPr>
              <w:t>Supporting justice systems and responses that aim to prevent and effectively prosecute violence against women.</w:t>
            </w:r>
          </w:p>
          <w:p w14:paraId="180037A2" w14:textId="59C494D8" w:rsidR="004118FA" w:rsidRPr="00843214" w:rsidRDefault="004118FA" w:rsidP="00A03679">
            <w:pPr>
              <w:pStyle w:val="ListParagraph"/>
              <w:numPr>
                <w:ilvl w:val="0"/>
                <w:numId w:val="10"/>
              </w:numPr>
              <w:ind w:left="240" w:hanging="90"/>
              <w:rPr>
                <w:rFonts w:cstheme="minorHAnsi"/>
                <w:color w:val="auto"/>
                <w:sz w:val="16"/>
                <w:szCs w:val="16"/>
                <w:lang w:val="en-AU"/>
              </w:rPr>
            </w:pPr>
            <w:r w:rsidRPr="00843214">
              <w:rPr>
                <w:rFonts w:cstheme="minorHAnsi"/>
                <w:color w:val="auto"/>
                <w:sz w:val="16"/>
                <w:szCs w:val="16"/>
                <w:lang w:val="en-AU"/>
              </w:rPr>
              <w:t>Supporting evidence-based activities and advocacy that prevent violence against women.</w:t>
            </w:r>
          </w:p>
        </w:tc>
        <w:tc>
          <w:tcPr>
            <w:tcW w:w="709" w:type="dxa"/>
            <w:shd w:val="clear" w:color="auto" w:fill="92D050"/>
          </w:tcPr>
          <w:p w14:paraId="5A4DB145" w14:textId="77777777" w:rsidR="004118FA" w:rsidRPr="00843214" w:rsidRDefault="004118FA" w:rsidP="00A03679">
            <w:pPr>
              <w:rPr>
                <w:color w:val="auto"/>
                <w:sz w:val="16"/>
                <w:szCs w:val="16"/>
                <w:lang w:val="en-AU"/>
              </w:rPr>
            </w:pPr>
          </w:p>
        </w:tc>
        <w:tc>
          <w:tcPr>
            <w:tcW w:w="4196" w:type="dxa"/>
            <w:shd w:val="clear" w:color="auto" w:fill="FFFFFF" w:themeFill="background1"/>
          </w:tcPr>
          <w:p w14:paraId="5B62FF4B" w14:textId="472AE6A3" w:rsidR="004118FA" w:rsidRPr="00843214" w:rsidRDefault="004118FA" w:rsidP="00A03679">
            <w:pPr>
              <w:rPr>
                <w:color w:val="auto"/>
                <w:lang w:val="en-AU"/>
              </w:rPr>
            </w:pPr>
            <w:r w:rsidRPr="00843214">
              <w:rPr>
                <w:color w:val="auto"/>
                <w:sz w:val="16"/>
                <w:szCs w:val="16"/>
                <w:lang w:val="en-AU"/>
              </w:rPr>
              <w:t>Progress in E</w:t>
            </w:r>
            <w:r w:rsidR="00D64DD8" w:rsidRPr="00843214">
              <w:rPr>
                <w:color w:val="auto"/>
                <w:sz w:val="16"/>
                <w:szCs w:val="16"/>
                <w:lang w:val="en-AU"/>
              </w:rPr>
              <w:t xml:space="preserve">VAWG </w:t>
            </w:r>
            <w:r w:rsidRPr="00843214">
              <w:rPr>
                <w:color w:val="auto"/>
                <w:sz w:val="16"/>
                <w:szCs w:val="16"/>
                <w:lang w:val="en-AU"/>
              </w:rPr>
              <w:t xml:space="preserve">has been supported through alignment within </w:t>
            </w:r>
            <w:r w:rsidR="001C4F87" w:rsidRPr="00843214">
              <w:rPr>
                <w:color w:val="auto"/>
                <w:sz w:val="16"/>
                <w:szCs w:val="16"/>
                <w:lang w:val="en-AU"/>
              </w:rPr>
              <w:t>the Partnership</w:t>
            </w:r>
            <w:r w:rsidRPr="00843214">
              <w:rPr>
                <w:color w:val="auto"/>
                <w:sz w:val="16"/>
                <w:szCs w:val="16"/>
                <w:lang w:val="en-AU"/>
              </w:rPr>
              <w:t xml:space="preserve"> and strong support from DFAT. Globally, this area has achieved variable progress at the global level in moving toward an intersectional prevention approach with relevant programming in the Indo-Pacific region. VAW</w:t>
            </w:r>
            <w:r w:rsidR="0026755A" w:rsidRPr="00843214">
              <w:rPr>
                <w:color w:val="auto"/>
                <w:sz w:val="16"/>
                <w:szCs w:val="16"/>
                <w:lang w:val="en-AU"/>
              </w:rPr>
              <w:t>G</w:t>
            </w:r>
            <w:r w:rsidRPr="00843214">
              <w:rPr>
                <w:color w:val="auto"/>
                <w:sz w:val="16"/>
                <w:szCs w:val="16"/>
                <w:lang w:val="en-AU"/>
              </w:rPr>
              <w:t xml:space="preserve"> remains a critical issue and require</w:t>
            </w:r>
            <w:r w:rsidR="00D64DD8" w:rsidRPr="00843214">
              <w:rPr>
                <w:color w:val="auto"/>
                <w:sz w:val="16"/>
                <w:szCs w:val="16"/>
                <w:lang w:val="en-AU"/>
              </w:rPr>
              <w:t xml:space="preserve">s </w:t>
            </w:r>
            <w:r w:rsidRPr="00843214">
              <w:rPr>
                <w:color w:val="auto"/>
                <w:sz w:val="16"/>
                <w:szCs w:val="16"/>
                <w:lang w:val="en-AU"/>
              </w:rPr>
              <w:t xml:space="preserve">increased attention from the Partnership. </w:t>
            </w:r>
          </w:p>
        </w:tc>
      </w:tr>
    </w:tbl>
    <w:p w14:paraId="15F541F5" w14:textId="0E1762E1" w:rsidR="00F8051E" w:rsidRPr="00843214" w:rsidRDefault="008209DA" w:rsidP="00FD3ED9">
      <w:pPr>
        <w:spacing w:before="240"/>
        <w:rPr>
          <w:color w:val="auto"/>
          <w:lang w:val="en-AU"/>
        </w:rPr>
      </w:pPr>
      <w:r w:rsidRPr="00843214">
        <w:rPr>
          <w:b/>
          <w:bCs/>
          <w:color w:val="auto"/>
          <w:lang w:val="en-AU"/>
        </w:rPr>
        <w:lastRenderedPageBreak/>
        <w:t>UN Women is well-placed to deliver activities that support</w:t>
      </w:r>
      <w:r w:rsidR="00483BF3" w:rsidRPr="00843214">
        <w:rPr>
          <w:b/>
          <w:bCs/>
          <w:color w:val="auto"/>
          <w:lang w:val="en-AU"/>
        </w:rPr>
        <w:t xml:space="preserve"> the SPF</w:t>
      </w:r>
      <w:r w:rsidRPr="00843214">
        <w:rPr>
          <w:b/>
          <w:bCs/>
          <w:color w:val="auto"/>
          <w:lang w:val="en-AU"/>
        </w:rPr>
        <w:t xml:space="preserve"> EVAWG objectives in the Indo-Pacific, having dedicated expertise at global, regional, sub</w:t>
      </w:r>
      <w:r w:rsidR="00E65385" w:rsidRPr="00843214">
        <w:rPr>
          <w:b/>
          <w:bCs/>
          <w:color w:val="auto"/>
          <w:lang w:val="en-AU"/>
        </w:rPr>
        <w:t>-</w:t>
      </w:r>
      <w:r w:rsidRPr="00843214">
        <w:rPr>
          <w:b/>
          <w:bCs/>
          <w:color w:val="auto"/>
          <w:lang w:val="en-AU"/>
        </w:rPr>
        <w:t xml:space="preserve">regional and country levels to address </w:t>
      </w:r>
      <w:r w:rsidR="001859AC" w:rsidRPr="00843214">
        <w:rPr>
          <w:b/>
          <w:bCs/>
          <w:color w:val="auto"/>
          <w:lang w:val="en-AU"/>
        </w:rPr>
        <w:t>E</w:t>
      </w:r>
      <w:r w:rsidRPr="00843214">
        <w:rPr>
          <w:b/>
          <w:bCs/>
          <w:color w:val="auto"/>
          <w:lang w:val="en-AU"/>
        </w:rPr>
        <w:t>VAWG in public and private settings.</w:t>
      </w:r>
      <w:r w:rsidRPr="00843214">
        <w:rPr>
          <w:color w:val="auto"/>
          <w:lang w:val="en-AU"/>
        </w:rPr>
        <w:t xml:space="preserve"> </w:t>
      </w:r>
      <w:r w:rsidR="00F8051E" w:rsidRPr="00843214">
        <w:rPr>
          <w:color w:val="auto"/>
          <w:lang w:val="en-AU"/>
        </w:rPr>
        <w:t>DFAT’s O</w:t>
      </w:r>
      <w:r w:rsidR="00295A5D" w:rsidRPr="00843214">
        <w:rPr>
          <w:color w:val="auto"/>
          <w:lang w:val="en-AU"/>
        </w:rPr>
        <w:t xml:space="preserve">ffice of </w:t>
      </w:r>
      <w:r w:rsidR="00F8051E" w:rsidRPr="00843214">
        <w:rPr>
          <w:color w:val="auto"/>
          <w:lang w:val="en-AU"/>
        </w:rPr>
        <w:t>D</w:t>
      </w:r>
      <w:r w:rsidR="00295A5D" w:rsidRPr="00843214">
        <w:rPr>
          <w:color w:val="auto"/>
          <w:lang w:val="en-AU"/>
        </w:rPr>
        <w:t xml:space="preserve">evelopment </w:t>
      </w:r>
      <w:r w:rsidR="00F8051E" w:rsidRPr="00843214">
        <w:rPr>
          <w:color w:val="auto"/>
          <w:lang w:val="en-AU"/>
        </w:rPr>
        <w:t>E</w:t>
      </w:r>
      <w:r w:rsidR="00295A5D" w:rsidRPr="00843214">
        <w:rPr>
          <w:color w:val="auto"/>
          <w:lang w:val="en-AU"/>
        </w:rPr>
        <w:t>ffectiveness</w:t>
      </w:r>
      <w:r w:rsidR="00F8051E" w:rsidRPr="00843214">
        <w:rPr>
          <w:color w:val="auto"/>
          <w:lang w:val="en-AU"/>
        </w:rPr>
        <w:t xml:space="preserve"> highlighted the importance and effectiveness of DFAT’s partnership with UN Women </w:t>
      </w:r>
      <w:r w:rsidR="00483BF3" w:rsidRPr="00843214">
        <w:rPr>
          <w:color w:val="auto"/>
          <w:lang w:val="en-AU"/>
        </w:rPr>
        <w:t>in</w:t>
      </w:r>
      <w:r w:rsidR="00F8051E" w:rsidRPr="00843214">
        <w:rPr>
          <w:color w:val="auto"/>
          <w:lang w:val="en-AU"/>
        </w:rPr>
        <w:t xml:space="preserve"> advancing Australia’s global leadership on EVAWG and addressing VAWG in the Indo-Pacific and beyond. DFAT provides </w:t>
      </w:r>
      <w:r w:rsidR="00933B0E" w:rsidRPr="00843214">
        <w:rPr>
          <w:color w:val="auto"/>
          <w:lang w:val="en-AU"/>
        </w:rPr>
        <w:t>crucial support for</w:t>
      </w:r>
      <w:r w:rsidR="00F8051E" w:rsidRPr="00843214">
        <w:rPr>
          <w:color w:val="auto"/>
          <w:lang w:val="en-AU"/>
        </w:rPr>
        <w:t xml:space="preserve"> EVAW</w:t>
      </w:r>
      <w:r w:rsidR="0079766A" w:rsidRPr="00843214">
        <w:rPr>
          <w:color w:val="auto"/>
          <w:lang w:val="en-AU"/>
        </w:rPr>
        <w:t>G</w:t>
      </w:r>
      <w:r w:rsidR="00F8051E" w:rsidRPr="00843214">
        <w:rPr>
          <w:color w:val="auto"/>
          <w:lang w:val="en-AU"/>
        </w:rPr>
        <w:t xml:space="preserve"> agenda. </w:t>
      </w:r>
      <w:r w:rsidR="00E33999" w:rsidRPr="00843214">
        <w:rPr>
          <w:color w:val="auto"/>
          <w:lang w:val="en-AU"/>
        </w:rPr>
        <w:t xml:space="preserve">Per </w:t>
      </w:r>
      <w:r w:rsidR="007A2FF4" w:rsidRPr="00843214">
        <w:rPr>
          <w:color w:val="auto"/>
          <w:lang w:val="en-AU"/>
        </w:rPr>
        <w:t>DFAT</w:t>
      </w:r>
      <w:r w:rsidR="00E33999" w:rsidRPr="00843214">
        <w:rPr>
          <w:color w:val="auto"/>
          <w:lang w:val="en-AU"/>
        </w:rPr>
        <w:t xml:space="preserve">, </w:t>
      </w:r>
      <w:r w:rsidR="003C43F8" w:rsidRPr="00843214">
        <w:rPr>
          <w:color w:val="auto"/>
          <w:lang w:val="en-AU"/>
        </w:rPr>
        <w:t>UN Women demonstrates continued leadership in the Indo-Pacific region on VAWG prevention, essential service delivery for violence survivors (across social, justice, legal and health services), and the evidence base on addressing and prevent</w:t>
      </w:r>
      <w:r w:rsidR="005526FC" w:rsidRPr="00843214">
        <w:rPr>
          <w:color w:val="auto"/>
          <w:lang w:val="en-AU"/>
        </w:rPr>
        <w:t>ing</w:t>
      </w:r>
      <w:r w:rsidR="003C43F8" w:rsidRPr="00843214">
        <w:rPr>
          <w:color w:val="auto"/>
          <w:lang w:val="en-AU"/>
        </w:rPr>
        <w:t xml:space="preserve"> VAWG</w:t>
      </w:r>
      <w:r w:rsidR="007A2FF4" w:rsidRPr="00843214">
        <w:rPr>
          <w:rStyle w:val="FootnoteReference"/>
          <w:color w:val="auto"/>
          <w:lang w:val="en-AU"/>
        </w:rPr>
        <w:footnoteReference w:id="35"/>
      </w:r>
      <w:r w:rsidR="003C43F8" w:rsidRPr="00843214">
        <w:rPr>
          <w:color w:val="auto"/>
          <w:lang w:val="en-AU"/>
        </w:rPr>
        <w:t xml:space="preserve">. </w:t>
      </w:r>
    </w:p>
    <w:p w14:paraId="20D73A49" w14:textId="53793029" w:rsidR="00F8051E" w:rsidRPr="00843214" w:rsidRDefault="00F8051E" w:rsidP="009869B9">
      <w:pPr>
        <w:rPr>
          <w:color w:val="auto"/>
          <w:lang w:val="en-AU"/>
        </w:rPr>
      </w:pPr>
      <w:r w:rsidRPr="00843214">
        <w:rPr>
          <w:b/>
          <w:bCs/>
          <w:color w:val="auto"/>
          <w:lang w:val="en-AU"/>
        </w:rPr>
        <w:t xml:space="preserve">The Partnership has supported key achievements in changing norms and standards towards ending </w:t>
      </w:r>
      <w:r w:rsidR="00ED2C78" w:rsidRPr="00843214">
        <w:rPr>
          <w:b/>
          <w:bCs/>
          <w:color w:val="auto"/>
          <w:lang w:val="en-AU"/>
        </w:rPr>
        <w:t>GBV</w:t>
      </w:r>
      <w:r w:rsidR="004A72BA" w:rsidRPr="00843214">
        <w:rPr>
          <w:b/>
          <w:bCs/>
          <w:color w:val="auto"/>
          <w:lang w:val="en-AU"/>
        </w:rPr>
        <w:t xml:space="preserve"> and</w:t>
      </w:r>
      <w:r w:rsidRPr="00843214">
        <w:rPr>
          <w:b/>
          <w:bCs/>
          <w:color w:val="auto"/>
          <w:lang w:val="en-AU"/>
        </w:rPr>
        <w:t xml:space="preserve"> harmful practices during the strategic period</w:t>
      </w:r>
      <w:r w:rsidR="001C2E95" w:rsidRPr="00843214">
        <w:rPr>
          <w:b/>
          <w:bCs/>
          <w:color w:val="auto"/>
          <w:lang w:val="en-AU"/>
        </w:rPr>
        <w:t xml:space="preserve"> although UN Women’s results at the outcome level were mixed in 2019</w:t>
      </w:r>
      <w:r w:rsidRPr="00843214">
        <w:rPr>
          <w:b/>
          <w:bCs/>
          <w:color w:val="auto"/>
          <w:lang w:val="en-AU"/>
        </w:rPr>
        <w:t>.</w:t>
      </w:r>
      <w:r w:rsidR="001C2E95" w:rsidRPr="00843214">
        <w:rPr>
          <w:rStyle w:val="FootnoteReference"/>
          <w:b/>
          <w:bCs/>
          <w:color w:val="auto"/>
          <w:lang w:val="en-AU"/>
        </w:rPr>
        <w:footnoteReference w:id="36"/>
      </w:r>
      <w:r w:rsidR="004A72BA" w:rsidRPr="00843214">
        <w:rPr>
          <w:color w:val="auto"/>
          <w:lang w:val="en-AU"/>
        </w:rPr>
        <w:t xml:space="preserve"> DFAT has been a </w:t>
      </w:r>
      <w:r w:rsidR="00933B0E" w:rsidRPr="00843214">
        <w:rPr>
          <w:color w:val="auto"/>
          <w:lang w:val="en-AU"/>
        </w:rPr>
        <w:t>leading</w:t>
      </w:r>
      <w:r w:rsidR="004A72BA" w:rsidRPr="00843214">
        <w:rPr>
          <w:color w:val="auto"/>
          <w:lang w:val="en-AU"/>
        </w:rPr>
        <w:t xml:space="preserve"> advocate of UN Women’s work to highlight, prevent, and respond to SEAH globally and within the UN System.</w:t>
      </w:r>
      <w:r w:rsidRPr="00843214">
        <w:rPr>
          <w:color w:val="auto"/>
          <w:lang w:val="en-AU"/>
        </w:rPr>
        <w:t xml:space="preserve">, </w:t>
      </w:r>
      <w:r w:rsidR="00E06DB2" w:rsidRPr="00843214">
        <w:rPr>
          <w:color w:val="auto"/>
          <w:lang w:val="en-AU"/>
        </w:rPr>
        <w:t>Via communications channels and programmatically, t</w:t>
      </w:r>
      <w:r w:rsidRPr="00843214">
        <w:rPr>
          <w:color w:val="auto"/>
          <w:lang w:val="en-AU"/>
        </w:rPr>
        <w:t>he EVAW</w:t>
      </w:r>
      <w:r w:rsidR="0079766A" w:rsidRPr="00843214">
        <w:rPr>
          <w:color w:val="auto"/>
          <w:lang w:val="en-AU"/>
        </w:rPr>
        <w:t>G</w:t>
      </w:r>
      <w:r w:rsidRPr="00843214">
        <w:rPr>
          <w:color w:val="auto"/>
          <w:lang w:val="en-AU"/>
        </w:rPr>
        <w:t xml:space="preserve"> lens is </w:t>
      </w:r>
      <w:r w:rsidR="00D64DD8" w:rsidRPr="00843214">
        <w:rPr>
          <w:color w:val="auto"/>
          <w:lang w:val="en-AU"/>
        </w:rPr>
        <w:t>used</w:t>
      </w:r>
      <w:r w:rsidR="00E06DB2" w:rsidRPr="00843214">
        <w:rPr>
          <w:color w:val="auto"/>
          <w:lang w:val="en-AU"/>
        </w:rPr>
        <w:t xml:space="preserve"> </w:t>
      </w:r>
      <w:r w:rsidRPr="00843214">
        <w:rPr>
          <w:color w:val="auto"/>
          <w:lang w:val="en-AU"/>
        </w:rPr>
        <w:t>across Partnership initiatives</w:t>
      </w:r>
      <w:r w:rsidR="00D64DD8" w:rsidRPr="00843214">
        <w:rPr>
          <w:color w:val="auto"/>
          <w:lang w:val="en-AU"/>
        </w:rPr>
        <w:t>. P</w:t>
      </w:r>
      <w:r w:rsidRPr="00843214">
        <w:rPr>
          <w:color w:val="auto"/>
          <w:lang w:val="en-AU"/>
        </w:rPr>
        <w:t xml:space="preserve">rojects that focus on women’s empowerment have the underlying objective of reducing risks of GBV. The Partnership has provided important contributions through women’s protection and family guidance centres, and GBV crisis lines. </w:t>
      </w:r>
    </w:p>
    <w:p w14:paraId="02585D77" w14:textId="20F387AC" w:rsidR="00F8051E" w:rsidRPr="00843214" w:rsidRDefault="00CE5AC3" w:rsidP="00FD3ED9">
      <w:pPr>
        <w:rPr>
          <w:color w:val="auto"/>
          <w:lang w:val="en-AU"/>
        </w:rPr>
      </w:pPr>
      <w:r w:rsidRPr="00843214">
        <w:rPr>
          <w:b/>
          <w:bCs/>
          <w:color w:val="auto"/>
          <w:lang w:val="en-AU"/>
        </w:rPr>
        <w:t xml:space="preserve">Many of the </w:t>
      </w:r>
      <w:r w:rsidR="00B7404F" w:rsidRPr="00843214">
        <w:rPr>
          <w:b/>
          <w:bCs/>
          <w:color w:val="auto"/>
          <w:lang w:val="en-AU"/>
        </w:rPr>
        <w:t xml:space="preserve">Partnership </w:t>
      </w:r>
      <w:r w:rsidRPr="00843214">
        <w:rPr>
          <w:b/>
          <w:bCs/>
          <w:color w:val="auto"/>
          <w:lang w:val="en-AU"/>
        </w:rPr>
        <w:t>initiatives contribute, directly or indirectly, to identifying and responding to women’s needs in the face of violence against women and girls.</w:t>
      </w:r>
      <w:r w:rsidRPr="00843214">
        <w:rPr>
          <w:color w:val="auto"/>
          <w:lang w:val="en-AU"/>
        </w:rPr>
        <w:t xml:space="preserve"> </w:t>
      </w:r>
      <w:r w:rsidR="002854F2" w:rsidRPr="00843214">
        <w:rPr>
          <w:color w:val="auto"/>
          <w:lang w:val="en-AU"/>
        </w:rPr>
        <w:t>UN</w:t>
      </w:r>
      <w:r w:rsidR="004A72BA" w:rsidRPr="00843214">
        <w:rPr>
          <w:color w:val="auto"/>
          <w:lang w:val="en-AU"/>
        </w:rPr>
        <w:t xml:space="preserve"> Women</w:t>
      </w:r>
      <w:r w:rsidR="002854F2" w:rsidRPr="00843214">
        <w:rPr>
          <w:color w:val="auto"/>
          <w:lang w:val="en-AU"/>
        </w:rPr>
        <w:t xml:space="preserve"> and the</w:t>
      </w:r>
      <w:r w:rsidR="00F8051E" w:rsidRPr="00843214">
        <w:rPr>
          <w:color w:val="auto"/>
          <w:lang w:val="en-AU"/>
        </w:rPr>
        <w:t xml:space="preserve"> Partnership </w:t>
      </w:r>
      <w:r w:rsidR="002854F2" w:rsidRPr="00843214">
        <w:rPr>
          <w:color w:val="auto"/>
          <w:lang w:val="en-AU"/>
        </w:rPr>
        <w:t>ha</w:t>
      </w:r>
      <w:r w:rsidR="0026745C" w:rsidRPr="00843214">
        <w:rPr>
          <w:color w:val="auto"/>
          <w:lang w:val="en-AU"/>
        </w:rPr>
        <w:t xml:space="preserve">ve </w:t>
      </w:r>
      <w:r w:rsidR="002854F2" w:rsidRPr="00843214">
        <w:rPr>
          <w:color w:val="auto"/>
          <w:lang w:val="en-AU"/>
        </w:rPr>
        <w:t xml:space="preserve">an ongoing focus on </w:t>
      </w:r>
      <w:r w:rsidR="00193DBD" w:rsidRPr="00843214">
        <w:rPr>
          <w:color w:val="auto"/>
          <w:lang w:val="en-AU"/>
        </w:rPr>
        <w:t>providing</w:t>
      </w:r>
      <w:r w:rsidR="00C65242" w:rsidRPr="00843214">
        <w:rPr>
          <w:color w:val="auto"/>
          <w:lang w:val="en-AU"/>
        </w:rPr>
        <w:t xml:space="preserve"> </w:t>
      </w:r>
      <w:r w:rsidR="00E367B3" w:rsidRPr="00843214">
        <w:rPr>
          <w:color w:val="auto"/>
          <w:lang w:val="en-AU"/>
        </w:rPr>
        <w:t>VAWG</w:t>
      </w:r>
      <w:r w:rsidR="002854F2" w:rsidRPr="00843214">
        <w:rPr>
          <w:color w:val="auto"/>
          <w:lang w:val="en-AU"/>
        </w:rPr>
        <w:t xml:space="preserve"> response</w:t>
      </w:r>
      <w:r w:rsidR="00193DBD" w:rsidRPr="00843214">
        <w:rPr>
          <w:color w:val="auto"/>
          <w:lang w:val="en-AU"/>
        </w:rPr>
        <w:t xml:space="preserve"> and</w:t>
      </w:r>
      <w:r w:rsidR="002854F2" w:rsidRPr="00843214">
        <w:rPr>
          <w:color w:val="auto"/>
          <w:lang w:val="en-AU"/>
        </w:rPr>
        <w:t xml:space="preserve"> </w:t>
      </w:r>
      <w:r w:rsidR="00193DBD" w:rsidRPr="00843214">
        <w:rPr>
          <w:color w:val="auto"/>
          <w:lang w:val="en-AU"/>
        </w:rPr>
        <w:t xml:space="preserve">is </w:t>
      </w:r>
      <w:r w:rsidR="0026745C" w:rsidRPr="00843214">
        <w:rPr>
          <w:color w:val="auto"/>
          <w:lang w:val="en-AU"/>
        </w:rPr>
        <w:t xml:space="preserve">taking a more integrated approach </w:t>
      </w:r>
      <w:r w:rsidR="00E06DB2" w:rsidRPr="00843214">
        <w:rPr>
          <w:color w:val="auto"/>
          <w:lang w:val="en-AU"/>
        </w:rPr>
        <w:t>that</w:t>
      </w:r>
      <w:r w:rsidR="0026745C" w:rsidRPr="00843214">
        <w:rPr>
          <w:color w:val="auto"/>
          <w:lang w:val="en-AU"/>
        </w:rPr>
        <w:t xml:space="preserve"> strengthens work on prevention</w:t>
      </w:r>
      <w:r w:rsidR="00272BBF" w:rsidRPr="00843214">
        <w:rPr>
          <w:rStyle w:val="FootnoteReference"/>
          <w:color w:val="auto"/>
          <w:lang w:val="en-AU"/>
        </w:rPr>
        <w:footnoteReference w:id="37"/>
      </w:r>
      <w:r w:rsidR="00193DBD" w:rsidRPr="00843214">
        <w:rPr>
          <w:color w:val="auto"/>
          <w:lang w:val="en-AU"/>
        </w:rPr>
        <w:t xml:space="preserve">. </w:t>
      </w:r>
      <w:r w:rsidR="0026745C" w:rsidRPr="00843214">
        <w:rPr>
          <w:color w:val="auto"/>
          <w:lang w:val="en-AU"/>
        </w:rPr>
        <w:t>This shift</w:t>
      </w:r>
      <w:r w:rsidR="00C65242" w:rsidRPr="00843214">
        <w:rPr>
          <w:color w:val="auto"/>
          <w:lang w:val="en-AU"/>
        </w:rPr>
        <w:t xml:space="preserve"> is welcomed and encouraged by CSO and NGO stakeholders. </w:t>
      </w:r>
      <w:r w:rsidR="006804C0" w:rsidRPr="00843214">
        <w:rPr>
          <w:color w:val="auto"/>
          <w:lang w:val="en-AU"/>
        </w:rPr>
        <w:t>The Pacific Partnership</w:t>
      </w:r>
      <w:r w:rsidR="00BE4114" w:rsidRPr="00843214">
        <w:rPr>
          <w:color w:val="auto"/>
          <w:lang w:val="en-AU"/>
        </w:rPr>
        <w:t xml:space="preserve"> for</w:t>
      </w:r>
      <w:r w:rsidR="006804C0" w:rsidRPr="00843214">
        <w:rPr>
          <w:color w:val="auto"/>
          <w:lang w:val="en-AU"/>
        </w:rPr>
        <w:t xml:space="preserve"> EVAW has supported the first national action plan on prevention in Fiji an</w:t>
      </w:r>
      <w:r w:rsidR="009F6048" w:rsidRPr="00843214">
        <w:rPr>
          <w:color w:val="auto"/>
          <w:lang w:val="en-AU"/>
        </w:rPr>
        <w:t>d</w:t>
      </w:r>
      <w:r w:rsidR="006804C0" w:rsidRPr="00843214">
        <w:rPr>
          <w:color w:val="auto"/>
          <w:lang w:val="en-AU"/>
        </w:rPr>
        <w:t xml:space="preserve"> </w:t>
      </w:r>
      <w:r w:rsidR="00193DBD" w:rsidRPr="00843214">
        <w:rPr>
          <w:color w:val="auto"/>
        </w:rPr>
        <w:t>the Global Flagship Program</w:t>
      </w:r>
      <w:r w:rsidR="00B10F6C" w:rsidRPr="00843214">
        <w:rPr>
          <w:color w:val="auto"/>
        </w:rPr>
        <w:t>’</w:t>
      </w:r>
      <w:r w:rsidR="009F6048" w:rsidRPr="00843214">
        <w:rPr>
          <w:color w:val="auto"/>
        </w:rPr>
        <w:t>s</w:t>
      </w:r>
      <w:r w:rsidR="00193DBD" w:rsidRPr="00843214">
        <w:rPr>
          <w:color w:val="auto"/>
        </w:rPr>
        <w:t xml:space="preserve"> Safe Cities and Safe Transport have also supported prevention through creating safer environments </w:t>
      </w:r>
      <w:r w:rsidR="009F6048" w:rsidRPr="00843214">
        <w:rPr>
          <w:color w:val="auto"/>
        </w:rPr>
        <w:t xml:space="preserve">in </w:t>
      </w:r>
      <w:r w:rsidR="00BC4554" w:rsidRPr="00843214">
        <w:rPr>
          <w:color w:val="auto"/>
        </w:rPr>
        <w:t>Papua New Guinea (</w:t>
      </w:r>
      <w:r w:rsidR="009F6048" w:rsidRPr="00843214">
        <w:rPr>
          <w:color w:val="auto"/>
        </w:rPr>
        <w:t>PNG</w:t>
      </w:r>
      <w:r w:rsidR="00BC4554" w:rsidRPr="00843214">
        <w:rPr>
          <w:color w:val="auto"/>
        </w:rPr>
        <w:t>)</w:t>
      </w:r>
      <w:r w:rsidR="009F6048" w:rsidRPr="00843214">
        <w:rPr>
          <w:color w:val="auto"/>
        </w:rPr>
        <w:t xml:space="preserve"> </w:t>
      </w:r>
      <w:r w:rsidR="00193DBD" w:rsidRPr="00843214">
        <w:rPr>
          <w:color w:val="auto"/>
        </w:rPr>
        <w:t>for women</w:t>
      </w:r>
      <w:r w:rsidR="00F36AD8" w:rsidRPr="00843214">
        <w:rPr>
          <w:color w:val="auto"/>
        </w:rPr>
        <w:t xml:space="preserve"> market vendors and commuters</w:t>
      </w:r>
      <w:r w:rsidR="00193DBD" w:rsidRPr="00843214">
        <w:rPr>
          <w:color w:val="auto"/>
        </w:rPr>
        <w:t xml:space="preserve">. </w:t>
      </w:r>
      <w:r w:rsidR="009F6048" w:rsidRPr="00843214">
        <w:rPr>
          <w:color w:val="auto"/>
        </w:rPr>
        <w:t xml:space="preserve">The </w:t>
      </w:r>
      <w:r w:rsidR="009F6048" w:rsidRPr="00843214">
        <w:rPr>
          <w:color w:val="auto"/>
          <w:lang w:val="en-AU"/>
        </w:rPr>
        <w:t>Afghanistan EVAW program has demonstrated leadership in supporting a significantly high number of complicated VAW cases</w:t>
      </w:r>
      <w:r w:rsidR="00E06DB2" w:rsidRPr="00843214">
        <w:rPr>
          <w:color w:val="auto"/>
          <w:lang w:val="en-AU"/>
        </w:rPr>
        <w:t>,</w:t>
      </w:r>
      <w:r w:rsidR="009F6048" w:rsidRPr="00843214">
        <w:rPr>
          <w:color w:val="auto"/>
          <w:lang w:val="en-AU"/>
        </w:rPr>
        <w:t xml:space="preserve"> and improved </w:t>
      </w:r>
      <w:r w:rsidR="00E06DB2" w:rsidRPr="00843214">
        <w:rPr>
          <w:color w:val="auto"/>
          <w:lang w:val="en-AU"/>
        </w:rPr>
        <w:t>local</w:t>
      </w:r>
      <w:r w:rsidR="009F6048" w:rsidRPr="00843214">
        <w:rPr>
          <w:color w:val="auto"/>
          <w:lang w:val="en-AU"/>
        </w:rPr>
        <w:t xml:space="preserve"> capacity to handle such cases</w:t>
      </w:r>
      <w:r w:rsidR="00E06DB2" w:rsidRPr="00843214">
        <w:rPr>
          <w:color w:val="auto"/>
          <w:lang w:val="en-AU"/>
        </w:rPr>
        <w:t xml:space="preserve"> now</w:t>
      </w:r>
      <w:r w:rsidR="009F6048" w:rsidRPr="00843214">
        <w:rPr>
          <w:color w:val="auto"/>
          <w:lang w:val="en-AU"/>
        </w:rPr>
        <w:t xml:space="preserve"> allow</w:t>
      </w:r>
      <w:r w:rsidR="00E06DB2" w:rsidRPr="00843214">
        <w:rPr>
          <w:color w:val="auto"/>
          <w:lang w:val="en-AU"/>
        </w:rPr>
        <w:t>s</w:t>
      </w:r>
      <w:r w:rsidR="009F6048" w:rsidRPr="00843214">
        <w:rPr>
          <w:color w:val="auto"/>
          <w:lang w:val="en-AU"/>
        </w:rPr>
        <w:t xml:space="preserve"> UN Women to refocus engagement with the provincial commissions towards prevention</w:t>
      </w:r>
      <w:r w:rsidR="009F6048" w:rsidRPr="00843214">
        <w:rPr>
          <w:rStyle w:val="FootnoteReference"/>
          <w:color w:val="auto"/>
          <w:lang w:val="en-AU"/>
        </w:rPr>
        <w:footnoteReference w:id="38"/>
      </w:r>
      <w:r w:rsidR="009F6048" w:rsidRPr="00843214">
        <w:rPr>
          <w:color w:val="auto"/>
          <w:lang w:val="en-AU"/>
        </w:rPr>
        <w:t xml:space="preserve">. The Oasis model under the Syria Package also focuses on GBV prevention. </w:t>
      </w:r>
      <w:r w:rsidR="00710C2C" w:rsidRPr="00843214">
        <w:rPr>
          <w:color w:val="auto"/>
          <w:lang w:val="en-AU"/>
        </w:rPr>
        <w:t>T</w:t>
      </w:r>
      <w:r w:rsidRPr="00843214">
        <w:rPr>
          <w:color w:val="auto"/>
          <w:lang w:val="en-AU"/>
        </w:rPr>
        <w:t xml:space="preserve">he Women Count </w:t>
      </w:r>
      <w:r w:rsidR="00710C2C" w:rsidRPr="00843214">
        <w:rPr>
          <w:color w:val="auto"/>
          <w:lang w:val="en-AU"/>
        </w:rPr>
        <w:t>programme</w:t>
      </w:r>
      <w:r w:rsidRPr="00843214">
        <w:rPr>
          <w:color w:val="auto"/>
          <w:lang w:val="en-AU"/>
        </w:rPr>
        <w:t xml:space="preserve"> has provide</w:t>
      </w:r>
      <w:r w:rsidR="00E06DB2" w:rsidRPr="00843214">
        <w:rPr>
          <w:color w:val="auto"/>
          <w:lang w:val="en-AU"/>
        </w:rPr>
        <w:t>d</w:t>
      </w:r>
      <w:r w:rsidRPr="00843214">
        <w:rPr>
          <w:color w:val="auto"/>
          <w:lang w:val="en-AU"/>
        </w:rPr>
        <w:t xml:space="preserve"> data to support immediate identif</w:t>
      </w:r>
      <w:r w:rsidR="00E06DB2" w:rsidRPr="00843214">
        <w:rPr>
          <w:color w:val="auto"/>
          <w:lang w:val="en-AU"/>
        </w:rPr>
        <w:t>ication</w:t>
      </w:r>
      <w:r w:rsidRPr="00843214">
        <w:rPr>
          <w:color w:val="auto"/>
          <w:lang w:val="en-AU"/>
        </w:rPr>
        <w:t xml:space="preserve"> and respon</w:t>
      </w:r>
      <w:r w:rsidR="00E06DB2" w:rsidRPr="00843214">
        <w:rPr>
          <w:color w:val="auto"/>
          <w:lang w:val="en-AU"/>
        </w:rPr>
        <w:t>se</w:t>
      </w:r>
      <w:r w:rsidRPr="00843214">
        <w:rPr>
          <w:color w:val="auto"/>
          <w:lang w:val="en-AU"/>
        </w:rPr>
        <w:t xml:space="preserve"> to women in GBV situations, including by performing innovative big data analysis in multiple countries in </w:t>
      </w:r>
      <w:r w:rsidR="00E06DB2" w:rsidRPr="00843214">
        <w:rPr>
          <w:color w:val="auto"/>
          <w:lang w:val="en-AU"/>
        </w:rPr>
        <w:t>the Indo-Pacific</w:t>
      </w:r>
      <w:r w:rsidR="009F6048" w:rsidRPr="00843214">
        <w:rPr>
          <w:color w:val="auto"/>
          <w:lang w:val="en-AU"/>
        </w:rPr>
        <w:t xml:space="preserve">. </w:t>
      </w:r>
      <w:r w:rsidR="001C2E95" w:rsidRPr="00843214">
        <w:rPr>
          <w:color w:val="auto"/>
          <w:lang w:val="en-AU"/>
        </w:rPr>
        <w:t>In the Philippines, UN-Women successfully supported adoption of the Safe Spaces Act which it defines sexual harassment against women in public spaces as violence and a violation of their human rights.</w:t>
      </w:r>
      <w:r w:rsidR="001C2E95" w:rsidRPr="00843214">
        <w:rPr>
          <w:rStyle w:val="FootnoteReference"/>
          <w:color w:val="auto"/>
          <w:lang w:val="en-AU"/>
        </w:rPr>
        <w:footnoteReference w:id="39"/>
      </w:r>
      <w:r w:rsidR="00F8051E" w:rsidRPr="00843214">
        <w:rPr>
          <w:b/>
          <w:bCs/>
          <w:color w:val="auto"/>
          <w:lang w:val="en-AU"/>
        </w:rPr>
        <w:t xml:space="preserve">In its COVID-19 response, UN Women </w:t>
      </w:r>
      <w:r w:rsidR="003809D3" w:rsidRPr="00843214">
        <w:rPr>
          <w:b/>
          <w:bCs/>
          <w:color w:val="auto"/>
          <w:lang w:val="en-AU"/>
        </w:rPr>
        <w:t>identified t</w:t>
      </w:r>
      <w:r w:rsidR="00F8051E" w:rsidRPr="00843214">
        <w:rPr>
          <w:b/>
          <w:bCs/>
          <w:color w:val="auto"/>
          <w:lang w:val="en-AU"/>
        </w:rPr>
        <w:t xml:space="preserve">he ‘Shadow Pandemic’ of domestic violence </w:t>
      </w:r>
      <w:r w:rsidR="00F61595" w:rsidRPr="00843214">
        <w:rPr>
          <w:b/>
          <w:bCs/>
          <w:color w:val="auto"/>
          <w:lang w:val="en-AU"/>
        </w:rPr>
        <w:t>due to</w:t>
      </w:r>
      <w:r w:rsidR="00F8051E" w:rsidRPr="00843214">
        <w:rPr>
          <w:b/>
          <w:bCs/>
          <w:color w:val="auto"/>
          <w:lang w:val="en-AU"/>
        </w:rPr>
        <w:t xml:space="preserve"> decreased mobility due to pandemic restrictions.</w:t>
      </w:r>
      <w:r w:rsidR="00F8051E" w:rsidRPr="00843214">
        <w:rPr>
          <w:color w:val="auto"/>
          <w:lang w:val="en-AU"/>
        </w:rPr>
        <w:t xml:space="preserve"> Its programming has pivoted to address women’s vulnerability to GBV within the context of COVID-19.</w:t>
      </w:r>
    </w:p>
    <w:p w14:paraId="39A89EE3" w14:textId="77777777" w:rsidR="008E5C1D" w:rsidRPr="00843214" w:rsidRDefault="008E5C1D" w:rsidP="00FD3ED9">
      <w:pPr>
        <w:rPr>
          <w:color w:val="auto"/>
          <w:lang w:val="en-AU"/>
        </w:rPr>
      </w:pPr>
    </w:p>
    <w:p w14:paraId="718D6A44" w14:textId="3EE07C5B" w:rsidR="00F8051E" w:rsidRPr="00843214" w:rsidRDefault="00F8051E" w:rsidP="00467C4F">
      <w:pPr>
        <w:pStyle w:val="Heading4"/>
        <w:rPr>
          <w:b/>
          <w:bCs/>
          <w:color w:val="auto"/>
          <w:sz w:val="25"/>
          <w:szCs w:val="32"/>
          <w:lang w:val="en-AU"/>
        </w:rPr>
      </w:pPr>
      <w:r w:rsidRPr="00843214">
        <w:rPr>
          <w:b/>
          <w:bCs/>
          <w:color w:val="auto"/>
          <w:sz w:val="25"/>
          <w:szCs w:val="32"/>
          <w:lang w:val="en-AU"/>
        </w:rPr>
        <w:t>Objective 7: Engagement with Women’s Organisations</w:t>
      </w:r>
    </w:p>
    <w:tbl>
      <w:tblPr>
        <w:tblStyle w:val="TableGridLight"/>
        <w:tblW w:w="0" w:type="auto"/>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5138"/>
        <w:gridCol w:w="870"/>
        <w:gridCol w:w="2998"/>
      </w:tblGrid>
      <w:tr w:rsidR="00843214" w:rsidRPr="00843214" w14:paraId="65C2B79B" w14:textId="77777777" w:rsidTr="00F702A4">
        <w:tc>
          <w:tcPr>
            <w:tcW w:w="5519" w:type="dxa"/>
            <w:shd w:val="clear" w:color="auto" w:fill="auto"/>
          </w:tcPr>
          <w:p w14:paraId="16C8E9F6" w14:textId="62F6C073" w:rsidR="00002382" w:rsidRPr="00843214" w:rsidRDefault="00002382" w:rsidP="004E3482">
            <w:pPr>
              <w:spacing w:after="0"/>
              <w:contextualSpacing/>
              <w:rPr>
                <w:rFonts w:cstheme="minorHAnsi"/>
                <w:b/>
                <w:bCs/>
                <w:color w:val="auto"/>
                <w:lang w:val="en-AU"/>
              </w:rPr>
            </w:pPr>
            <w:r w:rsidRPr="00843214">
              <w:rPr>
                <w:rFonts w:cstheme="minorHAnsi"/>
                <w:b/>
                <w:bCs/>
                <w:color w:val="auto"/>
                <w:lang w:val="en-AU"/>
              </w:rPr>
              <w:t>SPF objective and sub-objectives</w:t>
            </w:r>
          </w:p>
        </w:tc>
        <w:tc>
          <w:tcPr>
            <w:tcW w:w="306" w:type="dxa"/>
            <w:shd w:val="clear" w:color="auto" w:fill="92D050"/>
          </w:tcPr>
          <w:p w14:paraId="28A826D4" w14:textId="5EEA9390" w:rsidR="00002382" w:rsidRPr="00843214" w:rsidRDefault="00002382" w:rsidP="004E3482">
            <w:pPr>
              <w:rPr>
                <w:b/>
                <w:bCs/>
                <w:color w:val="auto"/>
                <w:lang w:val="en-AU"/>
              </w:rPr>
            </w:pPr>
            <w:r w:rsidRPr="00843214">
              <w:rPr>
                <w:b/>
                <w:bCs/>
                <w:color w:val="auto"/>
                <w:lang w:val="en-AU"/>
              </w:rPr>
              <w:t>Rating</w:t>
            </w:r>
          </w:p>
        </w:tc>
        <w:tc>
          <w:tcPr>
            <w:tcW w:w="3181" w:type="dxa"/>
            <w:shd w:val="clear" w:color="auto" w:fill="auto"/>
          </w:tcPr>
          <w:p w14:paraId="34C43219" w14:textId="58F97129" w:rsidR="00002382" w:rsidRPr="00843214" w:rsidRDefault="00002382" w:rsidP="004E3482">
            <w:pPr>
              <w:rPr>
                <w:b/>
                <w:bCs/>
                <w:color w:val="auto"/>
                <w:lang w:val="en-AU"/>
              </w:rPr>
            </w:pPr>
            <w:r w:rsidRPr="00843214">
              <w:rPr>
                <w:b/>
                <w:bCs/>
                <w:color w:val="auto"/>
                <w:lang w:val="en-AU"/>
              </w:rPr>
              <w:t>Summary rationale for rating</w:t>
            </w:r>
          </w:p>
        </w:tc>
      </w:tr>
      <w:tr w:rsidR="00843214" w:rsidRPr="00843214" w14:paraId="41C41BBE" w14:textId="77777777" w:rsidTr="00F702A4">
        <w:trPr>
          <w:trHeight w:val="548"/>
        </w:trPr>
        <w:tc>
          <w:tcPr>
            <w:tcW w:w="5519" w:type="dxa"/>
          </w:tcPr>
          <w:p w14:paraId="0ADFECF0" w14:textId="77777777" w:rsidR="00002382" w:rsidRPr="00843214" w:rsidRDefault="00002382" w:rsidP="00FD2C8A">
            <w:pPr>
              <w:rPr>
                <w:rFonts w:cstheme="minorHAnsi"/>
                <w:color w:val="auto"/>
                <w:sz w:val="16"/>
                <w:szCs w:val="16"/>
                <w:lang w:val="en-AU"/>
              </w:rPr>
            </w:pPr>
            <w:r w:rsidRPr="00843214">
              <w:rPr>
                <w:rFonts w:cstheme="minorHAnsi"/>
                <w:color w:val="auto"/>
                <w:sz w:val="16"/>
                <w:szCs w:val="16"/>
                <w:lang w:val="en-AU"/>
              </w:rPr>
              <w:t>Engagement with women’s organisation and coalitions, non-government organisations to promote GEWE.</w:t>
            </w:r>
          </w:p>
          <w:p w14:paraId="7FEA9F6A" w14:textId="77777777" w:rsidR="00002382" w:rsidRPr="00843214" w:rsidRDefault="00002382" w:rsidP="00FD2C8A">
            <w:pPr>
              <w:pStyle w:val="ListParagraph"/>
              <w:numPr>
                <w:ilvl w:val="0"/>
                <w:numId w:val="11"/>
              </w:numPr>
              <w:ind w:left="150" w:hanging="90"/>
              <w:rPr>
                <w:rFonts w:cstheme="minorHAnsi"/>
                <w:color w:val="auto"/>
                <w:sz w:val="16"/>
                <w:szCs w:val="16"/>
                <w:lang w:val="en-AU"/>
              </w:rPr>
            </w:pPr>
            <w:r w:rsidRPr="00843214">
              <w:rPr>
                <w:color w:val="auto"/>
                <w:sz w:val="16"/>
                <w:szCs w:val="16"/>
                <w:lang w:val="en-AU"/>
              </w:rPr>
              <w:t>Supporting and engagement with the National Committee for UN Women in Australia.</w:t>
            </w:r>
          </w:p>
          <w:p w14:paraId="597702D5" w14:textId="77777777" w:rsidR="00002382" w:rsidRPr="00843214" w:rsidRDefault="00002382" w:rsidP="00FD2C8A">
            <w:pPr>
              <w:pStyle w:val="ListParagraph"/>
              <w:numPr>
                <w:ilvl w:val="0"/>
                <w:numId w:val="11"/>
              </w:numPr>
              <w:ind w:left="150" w:hanging="90"/>
              <w:rPr>
                <w:rFonts w:cstheme="minorHAnsi"/>
                <w:color w:val="auto"/>
                <w:sz w:val="16"/>
                <w:szCs w:val="16"/>
                <w:lang w:val="en-AU"/>
              </w:rPr>
            </w:pPr>
            <w:r w:rsidRPr="00843214">
              <w:rPr>
                <w:color w:val="auto"/>
                <w:sz w:val="16"/>
                <w:szCs w:val="16"/>
                <w:lang w:val="en-AU"/>
              </w:rPr>
              <w:t>Promoting intersectional links with women’s networks and organisations in Australia, and with partner countries and building solidarity in the global civil society movement.</w:t>
            </w:r>
          </w:p>
          <w:p w14:paraId="64B278ED" w14:textId="77777777" w:rsidR="00002382" w:rsidRPr="00843214" w:rsidRDefault="00002382" w:rsidP="00002382">
            <w:pPr>
              <w:pStyle w:val="ListParagraph"/>
              <w:numPr>
                <w:ilvl w:val="0"/>
                <w:numId w:val="11"/>
              </w:numPr>
              <w:ind w:left="150" w:hanging="90"/>
              <w:rPr>
                <w:color w:val="auto"/>
                <w:sz w:val="16"/>
                <w:szCs w:val="16"/>
                <w:lang w:val="en-AU"/>
              </w:rPr>
            </w:pPr>
            <w:r w:rsidRPr="00843214">
              <w:rPr>
                <w:color w:val="auto"/>
                <w:sz w:val="16"/>
                <w:szCs w:val="16"/>
                <w:lang w:val="en-AU"/>
              </w:rPr>
              <w:t xml:space="preserve">Supporting women’s organisations and coalitions, including women entrepreneurs, </w:t>
            </w:r>
            <w:proofErr w:type="gramStart"/>
            <w:r w:rsidRPr="00843214">
              <w:rPr>
                <w:color w:val="auto"/>
                <w:sz w:val="16"/>
                <w:szCs w:val="16"/>
                <w:lang w:val="en-AU"/>
              </w:rPr>
              <w:t>associations</w:t>
            </w:r>
            <w:proofErr w:type="gramEnd"/>
            <w:r w:rsidRPr="00843214">
              <w:rPr>
                <w:color w:val="auto"/>
                <w:sz w:val="16"/>
                <w:szCs w:val="16"/>
                <w:lang w:val="en-AU"/>
              </w:rPr>
              <w:t xml:space="preserve"> and service providers for women, to deliver services for women, particularly disadvantaged and difficult to reach women, and</w:t>
            </w:r>
          </w:p>
          <w:p w14:paraId="7A0A9CEE" w14:textId="2DD5F9AF" w:rsidR="00002382" w:rsidRPr="00843214" w:rsidRDefault="00002382" w:rsidP="00002382">
            <w:pPr>
              <w:pStyle w:val="ListParagraph"/>
              <w:numPr>
                <w:ilvl w:val="0"/>
                <w:numId w:val="11"/>
              </w:numPr>
              <w:ind w:left="150" w:hanging="90"/>
              <w:rPr>
                <w:rFonts w:cstheme="minorHAnsi"/>
                <w:color w:val="auto"/>
                <w:sz w:val="16"/>
                <w:szCs w:val="16"/>
                <w:lang w:val="en-AU"/>
              </w:rPr>
            </w:pPr>
            <w:r w:rsidRPr="00843214">
              <w:rPr>
                <w:color w:val="auto"/>
                <w:sz w:val="16"/>
                <w:szCs w:val="16"/>
                <w:lang w:val="en-AU"/>
              </w:rPr>
              <w:lastRenderedPageBreak/>
              <w:t>Supporting their role in helping women access and influence government and raise community awareness of gender equality</w:t>
            </w:r>
          </w:p>
        </w:tc>
        <w:tc>
          <w:tcPr>
            <w:tcW w:w="306" w:type="dxa"/>
            <w:shd w:val="clear" w:color="auto" w:fill="92D050"/>
          </w:tcPr>
          <w:p w14:paraId="02109493" w14:textId="77777777" w:rsidR="00002382" w:rsidRPr="00843214" w:rsidRDefault="00002382" w:rsidP="00FD2C8A">
            <w:pPr>
              <w:rPr>
                <w:color w:val="auto"/>
                <w:sz w:val="16"/>
                <w:szCs w:val="16"/>
                <w:lang w:val="en-AU"/>
              </w:rPr>
            </w:pPr>
          </w:p>
        </w:tc>
        <w:tc>
          <w:tcPr>
            <w:tcW w:w="3181" w:type="dxa"/>
            <w:shd w:val="clear" w:color="auto" w:fill="FFFFFF" w:themeFill="background1"/>
          </w:tcPr>
          <w:p w14:paraId="04335EAF" w14:textId="61A3ECB9" w:rsidR="00002382" w:rsidRPr="00843214" w:rsidRDefault="00002382" w:rsidP="00FD2C8A">
            <w:pPr>
              <w:rPr>
                <w:color w:val="auto"/>
                <w:lang w:val="en-AU"/>
              </w:rPr>
            </w:pPr>
            <w:r w:rsidRPr="00843214">
              <w:rPr>
                <w:color w:val="auto"/>
                <w:sz w:val="16"/>
                <w:szCs w:val="16"/>
                <w:lang w:val="en-AU"/>
              </w:rPr>
              <w:t xml:space="preserve">Significant progress has been achieved in engagement with Women’s </w:t>
            </w:r>
            <w:r w:rsidR="00E06DB2" w:rsidRPr="00843214">
              <w:rPr>
                <w:color w:val="auto"/>
                <w:sz w:val="16"/>
                <w:szCs w:val="16"/>
                <w:lang w:val="en-AU"/>
              </w:rPr>
              <w:t>o</w:t>
            </w:r>
            <w:r w:rsidRPr="00843214">
              <w:rPr>
                <w:color w:val="auto"/>
                <w:sz w:val="16"/>
                <w:szCs w:val="16"/>
                <w:lang w:val="en-AU"/>
              </w:rPr>
              <w:t>rgani</w:t>
            </w:r>
            <w:r w:rsidR="00F8713A" w:rsidRPr="00843214">
              <w:rPr>
                <w:color w:val="auto"/>
                <w:sz w:val="16"/>
                <w:szCs w:val="16"/>
                <w:lang w:val="en-AU"/>
              </w:rPr>
              <w:t>s</w:t>
            </w:r>
            <w:r w:rsidRPr="00843214">
              <w:rPr>
                <w:color w:val="auto"/>
                <w:sz w:val="16"/>
                <w:szCs w:val="16"/>
                <w:lang w:val="en-AU"/>
              </w:rPr>
              <w:t>ations. The Partnership’s work with grassroots organi</w:t>
            </w:r>
            <w:r w:rsidR="00F8713A" w:rsidRPr="00843214">
              <w:rPr>
                <w:color w:val="auto"/>
                <w:sz w:val="16"/>
                <w:szCs w:val="16"/>
                <w:lang w:val="en-AU"/>
              </w:rPr>
              <w:t>s</w:t>
            </w:r>
            <w:r w:rsidRPr="00843214">
              <w:rPr>
                <w:color w:val="auto"/>
                <w:sz w:val="16"/>
                <w:szCs w:val="16"/>
                <w:lang w:val="en-AU"/>
              </w:rPr>
              <w:t xml:space="preserve">ations, diverse NGOs, CSOs, </w:t>
            </w:r>
            <w:r w:rsidR="00E06DB2" w:rsidRPr="00843214">
              <w:rPr>
                <w:color w:val="auto"/>
                <w:sz w:val="16"/>
                <w:szCs w:val="16"/>
                <w:lang w:val="en-AU"/>
              </w:rPr>
              <w:t xml:space="preserve">FBOs </w:t>
            </w:r>
            <w:r w:rsidRPr="00843214">
              <w:rPr>
                <w:color w:val="auto"/>
                <w:sz w:val="16"/>
                <w:szCs w:val="16"/>
                <w:lang w:val="en-AU"/>
              </w:rPr>
              <w:t xml:space="preserve">and with support and engagement with the National Committee in Australia has helped to drive promotion of GEWE in the Indo-Pacific region. </w:t>
            </w:r>
          </w:p>
        </w:tc>
      </w:tr>
    </w:tbl>
    <w:p w14:paraId="03A03A95" w14:textId="005E3F69" w:rsidR="00503C4B" w:rsidRPr="00843214" w:rsidRDefault="00483BF3" w:rsidP="00FD3ED9">
      <w:pPr>
        <w:spacing w:before="240"/>
        <w:rPr>
          <w:color w:val="auto"/>
          <w:lang w:val="en-AU"/>
        </w:rPr>
      </w:pPr>
      <w:r w:rsidRPr="00843214">
        <w:rPr>
          <w:b/>
          <w:bCs/>
          <w:color w:val="auto"/>
          <w:lang w:val="en-AU"/>
        </w:rPr>
        <w:t xml:space="preserve">Engagement with </w:t>
      </w:r>
      <w:r w:rsidR="0051471F" w:rsidRPr="00843214">
        <w:rPr>
          <w:b/>
          <w:bCs/>
          <w:color w:val="auto"/>
          <w:lang w:val="en-AU"/>
        </w:rPr>
        <w:t xml:space="preserve">diverse </w:t>
      </w:r>
      <w:r w:rsidR="00F8051E" w:rsidRPr="00843214">
        <w:rPr>
          <w:b/>
          <w:bCs/>
          <w:color w:val="auto"/>
          <w:lang w:val="en-AU"/>
        </w:rPr>
        <w:t>women’s organisations</w:t>
      </w:r>
      <w:r w:rsidR="0051471F" w:rsidRPr="00843214">
        <w:rPr>
          <w:b/>
          <w:bCs/>
          <w:color w:val="auto"/>
          <w:lang w:val="en-AU"/>
        </w:rPr>
        <w:t>, including at the grassroots level,</w:t>
      </w:r>
      <w:r w:rsidR="00F61595" w:rsidRPr="00843214">
        <w:rPr>
          <w:b/>
          <w:bCs/>
          <w:color w:val="auto"/>
          <w:lang w:val="en-AU"/>
        </w:rPr>
        <w:t xml:space="preserve"> and women’s ministries</w:t>
      </w:r>
      <w:r w:rsidR="00F8051E" w:rsidRPr="00843214">
        <w:rPr>
          <w:b/>
          <w:bCs/>
          <w:color w:val="auto"/>
          <w:lang w:val="en-AU"/>
        </w:rPr>
        <w:t xml:space="preserve"> is a bedrock of </w:t>
      </w:r>
      <w:r w:rsidR="001C4F87" w:rsidRPr="00843214">
        <w:rPr>
          <w:b/>
          <w:bCs/>
          <w:color w:val="auto"/>
          <w:lang w:val="en-AU"/>
        </w:rPr>
        <w:t>the Partnership</w:t>
      </w:r>
      <w:r w:rsidRPr="00843214">
        <w:rPr>
          <w:b/>
          <w:bCs/>
          <w:color w:val="auto"/>
          <w:lang w:val="en-AU"/>
        </w:rPr>
        <w:t xml:space="preserve"> and of UN Women’s delivery model.</w:t>
      </w:r>
      <w:r w:rsidRPr="00843214">
        <w:rPr>
          <w:color w:val="auto"/>
          <w:lang w:val="en-AU"/>
        </w:rPr>
        <w:t xml:space="preserve"> It</w:t>
      </w:r>
      <w:r w:rsidR="00736931" w:rsidRPr="00843214">
        <w:rPr>
          <w:color w:val="auto"/>
          <w:lang w:val="en-AU"/>
        </w:rPr>
        <w:t xml:space="preserve"> enables UN Women to deliver on the ground and leverages the advantages of </w:t>
      </w:r>
      <w:r w:rsidR="002B3B2E" w:rsidRPr="00843214">
        <w:rPr>
          <w:color w:val="auto"/>
          <w:lang w:val="en-AU"/>
        </w:rPr>
        <w:t>multiple</w:t>
      </w:r>
      <w:r w:rsidR="00736931" w:rsidRPr="00843214">
        <w:rPr>
          <w:color w:val="auto"/>
          <w:lang w:val="en-AU"/>
        </w:rPr>
        <w:t xml:space="preserve"> parties. These relationships are developed over time and require effort to sustain. </w:t>
      </w:r>
      <w:r w:rsidR="00F8051E" w:rsidRPr="00843214">
        <w:rPr>
          <w:color w:val="auto"/>
          <w:lang w:val="en-AU"/>
        </w:rPr>
        <w:t xml:space="preserve">Both DFAT and UN Women have </w:t>
      </w:r>
      <w:r w:rsidR="007B5093" w:rsidRPr="00843214">
        <w:rPr>
          <w:color w:val="auto"/>
          <w:lang w:val="en-AU"/>
        </w:rPr>
        <w:t>demonstrate</w:t>
      </w:r>
      <w:r w:rsidR="00D3337C" w:rsidRPr="00843214">
        <w:rPr>
          <w:color w:val="auto"/>
          <w:lang w:val="en-AU"/>
        </w:rPr>
        <w:t>d</w:t>
      </w:r>
      <w:r w:rsidR="00F8051E" w:rsidRPr="00843214">
        <w:rPr>
          <w:color w:val="auto"/>
          <w:lang w:val="en-AU"/>
        </w:rPr>
        <w:t xml:space="preserve"> effective support </w:t>
      </w:r>
      <w:r w:rsidR="007B5093" w:rsidRPr="00843214">
        <w:rPr>
          <w:color w:val="auto"/>
          <w:lang w:val="en-AU"/>
        </w:rPr>
        <w:t xml:space="preserve">to </w:t>
      </w:r>
      <w:r w:rsidR="00F8051E" w:rsidRPr="00843214">
        <w:rPr>
          <w:color w:val="auto"/>
          <w:lang w:val="en-AU"/>
        </w:rPr>
        <w:t xml:space="preserve">women’s CSOs, </w:t>
      </w:r>
      <w:r w:rsidR="001E643F" w:rsidRPr="00843214">
        <w:rPr>
          <w:color w:val="auto"/>
          <w:lang w:val="en-AU"/>
        </w:rPr>
        <w:t>based on</w:t>
      </w:r>
      <w:r w:rsidR="00F8051E" w:rsidRPr="00843214">
        <w:rPr>
          <w:color w:val="auto"/>
          <w:lang w:val="en-AU"/>
        </w:rPr>
        <w:t xml:space="preserve"> the premise that strengthening women’s organisations will </w:t>
      </w:r>
      <w:r w:rsidR="007E030D" w:rsidRPr="00843214">
        <w:rPr>
          <w:color w:val="auto"/>
          <w:lang w:val="en-AU"/>
        </w:rPr>
        <w:t xml:space="preserve">sustainably </w:t>
      </w:r>
      <w:r w:rsidR="00F8051E" w:rsidRPr="00843214">
        <w:rPr>
          <w:color w:val="auto"/>
          <w:lang w:val="en-AU"/>
        </w:rPr>
        <w:t xml:space="preserve">help to promote </w:t>
      </w:r>
      <w:r w:rsidR="00704B72" w:rsidRPr="00843214">
        <w:rPr>
          <w:color w:val="auto"/>
          <w:lang w:val="en-AU"/>
        </w:rPr>
        <w:t>GEWE</w:t>
      </w:r>
      <w:r w:rsidR="00F8051E" w:rsidRPr="00843214">
        <w:rPr>
          <w:color w:val="auto"/>
          <w:lang w:val="en-AU"/>
        </w:rPr>
        <w:t xml:space="preserve">, </w:t>
      </w:r>
      <w:r w:rsidR="0051471F" w:rsidRPr="00843214">
        <w:rPr>
          <w:color w:val="auto"/>
          <w:lang w:val="en-AU"/>
        </w:rPr>
        <w:t xml:space="preserve">advance the WPS agenda, </w:t>
      </w:r>
      <w:r w:rsidR="00F8051E" w:rsidRPr="00843214">
        <w:rPr>
          <w:color w:val="auto"/>
          <w:lang w:val="en-AU"/>
        </w:rPr>
        <w:t xml:space="preserve">and </w:t>
      </w:r>
      <w:r w:rsidR="002D7C24" w:rsidRPr="00843214">
        <w:rPr>
          <w:color w:val="auto"/>
          <w:lang w:val="en-AU"/>
        </w:rPr>
        <w:t xml:space="preserve">end </w:t>
      </w:r>
      <w:r w:rsidR="00E06DB2" w:rsidRPr="00843214">
        <w:rPr>
          <w:color w:val="auto"/>
          <w:lang w:val="en-AU"/>
        </w:rPr>
        <w:t>VAW</w:t>
      </w:r>
      <w:r w:rsidR="00F8051E" w:rsidRPr="00843214">
        <w:rPr>
          <w:color w:val="auto"/>
          <w:lang w:val="en-AU"/>
        </w:rPr>
        <w:t xml:space="preserve">. UN Women works </w:t>
      </w:r>
      <w:r w:rsidR="00140665" w:rsidRPr="00843214">
        <w:rPr>
          <w:color w:val="auto"/>
          <w:lang w:val="en-AU"/>
        </w:rPr>
        <w:t>to ensure</w:t>
      </w:r>
      <w:r w:rsidR="00F8051E" w:rsidRPr="00843214">
        <w:rPr>
          <w:color w:val="auto"/>
          <w:lang w:val="en-AU"/>
        </w:rPr>
        <w:t xml:space="preserve"> </w:t>
      </w:r>
      <w:r w:rsidR="00140665" w:rsidRPr="00843214">
        <w:rPr>
          <w:color w:val="auto"/>
          <w:lang w:val="en-AU"/>
        </w:rPr>
        <w:t>women’s organisations</w:t>
      </w:r>
      <w:r w:rsidR="00F8051E" w:rsidRPr="00843214">
        <w:rPr>
          <w:color w:val="auto"/>
          <w:lang w:val="en-AU"/>
        </w:rPr>
        <w:t xml:space="preserve"> </w:t>
      </w:r>
      <w:r w:rsidR="0051471F" w:rsidRPr="00843214">
        <w:rPr>
          <w:color w:val="auto"/>
          <w:lang w:val="en-AU"/>
        </w:rPr>
        <w:t xml:space="preserve">meaningful </w:t>
      </w:r>
      <w:r w:rsidR="00F8051E" w:rsidRPr="00843214">
        <w:rPr>
          <w:color w:val="auto"/>
          <w:lang w:val="en-AU"/>
        </w:rPr>
        <w:t>participation and representation in multilateral fora and provides funding</w:t>
      </w:r>
      <w:r w:rsidR="00140665" w:rsidRPr="00843214">
        <w:rPr>
          <w:color w:val="auto"/>
          <w:lang w:val="en-AU"/>
        </w:rPr>
        <w:t xml:space="preserve"> </w:t>
      </w:r>
      <w:r w:rsidR="00F8051E" w:rsidRPr="00843214">
        <w:rPr>
          <w:color w:val="auto"/>
          <w:lang w:val="en-AU"/>
        </w:rPr>
        <w:t xml:space="preserve">to bolster their work across multiple domains. </w:t>
      </w:r>
      <w:r w:rsidR="00055F97" w:rsidRPr="00843214">
        <w:rPr>
          <w:b/>
          <w:bCs/>
          <w:color w:val="auto"/>
          <w:lang w:val="en-AU"/>
        </w:rPr>
        <w:t xml:space="preserve">CSOs were invaluable as first responders during </w:t>
      </w:r>
      <w:r w:rsidR="00B30C2E" w:rsidRPr="00843214">
        <w:rPr>
          <w:b/>
          <w:bCs/>
          <w:color w:val="auto"/>
          <w:lang w:val="en-AU"/>
        </w:rPr>
        <w:t xml:space="preserve">the </w:t>
      </w:r>
      <w:r w:rsidR="00055F97" w:rsidRPr="00843214">
        <w:rPr>
          <w:b/>
          <w:bCs/>
          <w:color w:val="auto"/>
          <w:lang w:val="en-AU"/>
        </w:rPr>
        <w:t>COVID-19 crisis and allowed UN Women to continue to reach women and girls</w:t>
      </w:r>
      <w:r w:rsidR="00055F97" w:rsidRPr="00843214">
        <w:rPr>
          <w:rStyle w:val="FootnoteReference"/>
          <w:b/>
          <w:bCs/>
          <w:color w:val="auto"/>
          <w:sz w:val="20"/>
          <w:szCs w:val="20"/>
          <w:lang w:val="en-AU" w:eastAsia="en-GB"/>
        </w:rPr>
        <w:footnoteReference w:id="40"/>
      </w:r>
      <w:r w:rsidR="00055F97" w:rsidRPr="00843214">
        <w:rPr>
          <w:b/>
          <w:bCs/>
          <w:color w:val="auto"/>
          <w:sz w:val="20"/>
          <w:szCs w:val="20"/>
          <w:lang w:val="en-AU" w:eastAsia="en-GB"/>
        </w:rPr>
        <w:t>.</w:t>
      </w:r>
    </w:p>
    <w:p w14:paraId="19BEC6EE" w14:textId="72609200" w:rsidR="009640B2" w:rsidRPr="00843214" w:rsidRDefault="009640B2" w:rsidP="00FD3ED9">
      <w:pPr>
        <w:rPr>
          <w:color w:val="auto"/>
          <w:lang w:val="en-AU"/>
        </w:rPr>
      </w:pPr>
      <w:r w:rsidRPr="00843214">
        <w:rPr>
          <w:b/>
          <w:bCs/>
          <w:color w:val="auto"/>
          <w:lang w:val="en-AU"/>
        </w:rPr>
        <w:t>The National Committee for UN Women in Australia</w:t>
      </w:r>
      <w:r w:rsidR="007144E1" w:rsidRPr="00843214">
        <w:rPr>
          <w:b/>
          <w:bCs/>
          <w:color w:val="auto"/>
          <w:lang w:val="en-AU"/>
        </w:rPr>
        <w:t xml:space="preserve"> works closely </w:t>
      </w:r>
      <w:r w:rsidR="001C2A72" w:rsidRPr="00843214">
        <w:rPr>
          <w:b/>
          <w:bCs/>
          <w:color w:val="auto"/>
          <w:lang w:val="en-AU"/>
        </w:rPr>
        <w:t xml:space="preserve">and effectively </w:t>
      </w:r>
      <w:r w:rsidR="007144E1" w:rsidRPr="00843214">
        <w:rPr>
          <w:b/>
          <w:bCs/>
          <w:color w:val="auto"/>
          <w:lang w:val="en-AU"/>
        </w:rPr>
        <w:t>with the Australian government to support fundraising, and to provide communications and data.</w:t>
      </w:r>
      <w:r w:rsidR="007144E1" w:rsidRPr="00843214">
        <w:rPr>
          <w:color w:val="auto"/>
          <w:lang w:val="en-AU"/>
        </w:rPr>
        <w:t xml:space="preserve"> Multiple DFAT stakeholders</w:t>
      </w:r>
      <w:r w:rsidR="001C2A72" w:rsidRPr="00843214">
        <w:rPr>
          <w:rStyle w:val="FootnoteReference"/>
          <w:color w:val="auto"/>
          <w:lang w:val="en-AU"/>
        </w:rPr>
        <w:footnoteReference w:id="41"/>
      </w:r>
      <w:r w:rsidR="007144E1" w:rsidRPr="00843214">
        <w:rPr>
          <w:color w:val="auto"/>
          <w:lang w:val="en-AU"/>
        </w:rPr>
        <w:t xml:space="preserve"> praised the responsiveness and competence of this agency</w:t>
      </w:r>
      <w:r w:rsidR="006B24DE" w:rsidRPr="00843214">
        <w:rPr>
          <w:color w:val="auto"/>
          <w:lang w:val="en-AU"/>
        </w:rPr>
        <w:t xml:space="preserve"> as well as the support it offered as an avenue to UN Women HQ.</w:t>
      </w:r>
    </w:p>
    <w:p w14:paraId="3ECA1B68" w14:textId="7A43F044" w:rsidR="00F8051E" w:rsidRPr="00843214" w:rsidRDefault="00F8051E" w:rsidP="00FD3ED9">
      <w:pPr>
        <w:rPr>
          <w:color w:val="auto"/>
          <w:lang w:val="en-AU"/>
        </w:rPr>
      </w:pPr>
      <w:r w:rsidRPr="00843214">
        <w:rPr>
          <w:b/>
          <w:bCs/>
          <w:color w:val="auto"/>
          <w:lang w:val="en-AU"/>
        </w:rPr>
        <w:t>The UN</w:t>
      </w:r>
      <w:r w:rsidR="00C82AF0" w:rsidRPr="00843214">
        <w:rPr>
          <w:b/>
          <w:bCs/>
          <w:color w:val="auto"/>
          <w:lang w:val="en-AU"/>
        </w:rPr>
        <w:t>TF for</w:t>
      </w:r>
      <w:r w:rsidRPr="00843214">
        <w:rPr>
          <w:b/>
          <w:bCs/>
          <w:color w:val="auto"/>
          <w:lang w:val="en-AU"/>
        </w:rPr>
        <w:t xml:space="preserve"> EVAW</w:t>
      </w:r>
      <w:r w:rsidR="00154D3B" w:rsidRPr="00843214">
        <w:rPr>
          <w:b/>
          <w:bCs/>
          <w:color w:val="auto"/>
          <w:lang w:val="en-AU"/>
        </w:rPr>
        <w:t xml:space="preserve">, and the WPHF have </w:t>
      </w:r>
      <w:r w:rsidRPr="00843214">
        <w:rPr>
          <w:b/>
          <w:bCs/>
          <w:color w:val="auto"/>
          <w:lang w:val="en-AU"/>
        </w:rPr>
        <w:t>been efficient mechanism</w:t>
      </w:r>
      <w:r w:rsidR="00154D3B" w:rsidRPr="00843214">
        <w:rPr>
          <w:b/>
          <w:bCs/>
          <w:color w:val="auto"/>
          <w:lang w:val="en-AU"/>
        </w:rPr>
        <w:t>s</w:t>
      </w:r>
      <w:r w:rsidRPr="00843214">
        <w:rPr>
          <w:b/>
          <w:bCs/>
          <w:color w:val="auto"/>
          <w:lang w:val="en-AU"/>
        </w:rPr>
        <w:t xml:space="preserve"> for delivering </w:t>
      </w:r>
      <w:r w:rsidR="00503E8D" w:rsidRPr="00843214">
        <w:rPr>
          <w:b/>
          <w:bCs/>
          <w:color w:val="auto"/>
          <w:lang w:val="en-AU"/>
        </w:rPr>
        <w:t>program</w:t>
      </w:r>
      <w:r w:rsidRPr="00843214">
        <w:rPr>
          <w:b/>
          <w:bCs/>
          <w:color w:val="auto"/>
          <w:lang w:val="en-AU"/>
        </w:rPr>
        <w:t xml:space="preserve">s to </w:t>
      </w:r>
      <w:r w:rsidR="00417197" w:rsidRPr="00843214">
        <w:rPr>
          <w:b/>
          <w:bCs/>
          <w:color w:val="auto"/>
          <w:lang w:val="en-AU"/>
        </w:rPr>
        <w:t>CSO</w:t>
      </w:r>
      <w:r w:rsidRPr="00843214">
        <w:rPr>
          <w:color w:val="auto"/>
          <w:lang w:val="en-AU"/>
        </w:rPr>
        <w:t>, including small, women-led and women’s rights organisations</w:t>
      </w:r>
      <w:r w:rsidR="003809D3" w:rsidRPr="00843214">
        <w:rPr>
          <w:color w:val="auto"/>
          <w:lang w:val="en-AU"/>
        </w:rPr>
        <w:t xml:space="preserve"> </w:t>
      </w:r>
      <w:r w:rsidR="00101B9A" w:rsidRPr="00843214">
        <w:rPr>
          <w:color w:val="auto"/>
          <w:lang w:val="en-AU"/>
        </w:rPr>
        <w:t xml:space="preserve">and </w:t>
      </w:r>
      <w:r w:rsidR="00E06DB2" w:rsidRPr="00843214">
        <w:rPr>
          <w:color w:val="auto"/>
          <w:lang w:val="en-AU"/>
        </w:rPr>
        <w:t>lesbian, gay, bisexual, transexual, intersex and queer (</w:t>
      </w:r>
      <w:r w:rsidR="00101B9A" w:rsidRPr="00843214">
        <w:rPr>
          <w:color w:val="auto"/>
        </w:rPr>
        <w:t>LGBTIQ</w:t>
      </w:r>
      <w:r w:rsidR="00E06DB2" w:rsidRPr="00843214">
        <w:rPr>
          <w:color w:val="auto"/>
        </w:rPr>
        <w:t>)</w:t>
      </w:r>
      <w:r w:rsidR="00101B9A" w:rsidRPr="00843214">
        <w:rPr>
          <w:color w:val="auto"/>
        </w:rPr>
        <w:t xml:space="preserve"> rights organisations</w:t>
      </w:r>
      <w:r w:rsidRPr="00843214">
        <w:rPr>
          <w:color w:val="auto"/>
          <w:lang w:val="en-AU"/>
        </w:rPr>
        <w:t>, across countries and territories including in fragile or humanitarian contexts and with targeted approach to reaching out to those at risk of being left behind, such as women and girls living with disabilities</w:t>
      </w:r>
      <w:r w:rsidR="00101B9A" w:rsidRPr="00843214">
        <w:rPr>
          <w:color w:val="auto"/>
          <w:lang w:val="en-AU"/>
        </w:rPr>
        <w:t>,</w:t>
      </w:r>
      <w:r w:rsidRPr="00843214">
        <w:rPr>
          <w:color w:val="auto"/>
          <w:lang w:val="en-AU"/>
        </w:rPr>
        <w:t xml:space="preserve"> refugees</w:t>
      </w:r>
      <w:r w:rsidR="00577C18" w:rsidRPr="00843214">
        <w:rPr>
          <w:color w:val="auto"/>
          <w:lang w:val="en-AU"/>
        </w:rPr>
        <w:t>,</w:t>
      </w:r>
      <w:r w:rsidR="00101B9A" w:rsidRPr="00843214">
        <w:rPr>
          <w:color w:val="auto"/>
          <w:lang w:val="en-AU"/>
        </w:rPr>
        <w:t xml:space="preserve"> and</w:t>
      </w:r>
      <w:r w:rsidR="00101B9A" w:rsidRPr="00843214">
        <w:rPr>
          <w:color w:val="auto"/>
        </w:rPr>
        <w:t xml:space="preserve"> </w:t>
      </w:r>
      <w:r w:rsidR="00C715AC" w:rsidRPr="00843214">
        <w:rPr>
          <w:color w:val="auto"/>
        </w:rPr>
        <w:t xml:space="preserve">the </w:t>
      </w:r>
      <w:r w:rsidR="00B24FF8" w:rsidRPr="00843214">
        <w:rPr>
          <w:color w:val="auto"/>
        </w:rPr>
        <w:t>LGBI</w:t>
      </w:r>
      <w:r w:rsidR="004137FA" w:rsidRPr="00843214">
        <w:rPr>
          <w:color w:val="auto"/>
        </w:rPr>
        <w:t>TQ</w:t>
      </w:r>
      <w:r w:rsidR="00C715AC" w:rsidRPr="00843214">
        <w:rPr>
          <w:color w:val="auto"/>
        </w:rPr>
        <w:t xml:space="preserve"> population</w:t>
      </w:r>
      <w:r w:rsidRPr="00843214">
        <w:rPr>
          <w:color w:val="auto"/>
          <w:lang w:val="en-AU"/>
        </w:rPr>
        <w:t xml:space="preserve">. </w:t>
      </w:r>
    </w:p>
    <w:p w14:paraId="47A1D812" w14:textId="0C159DA0" w:rsidR="00230317" w:rsidRPr="00843214" w:rsidRDefault="00F8051E" w:rsidP="00FD3ED9">
      <w:pPr>
        <w:rPr>
          <w:color w:val="auto"/>
          <w:lang w:val="en-AU"/>
        </w:rPr>
      </w:pPr>
      <w:r w:rsidRPr="00843214">
        <w:rPr>
          <w:b/>
          <w:bCs/>
          <w:color w:val="auto"/>
          <w:lang w:val="en-AU"/>
        </w:rPr>
        <w:t>Implementation through women’s organisations, CSO</w:t>
      </w:r>
      <w:r w:rsidR="00417197" w:rsidRPr="00843214">
        <w:rPr>
          <w:b/>
          <w:bCs/>
          <w:color w:val="auto"/>
          <w:lang w:val="en-AU"/>
        </w:rPr>
        <w:t xml:space="preserve">, </w:t>
      </w:r>
      <w:r w:rsidRPr="00843214">
        <w:rPr>
          <w:b/>
          <w:bCs/>
          <w:color w:val="auto"/>
          <w:lang w:val="en-AU"/>
        </w:rPr>
        <w:t>NGO</w:t>
      </w:r>
      <w:r w:rsidR="00417197" w:rsidRPr="00843214">
        <w:rPr>
          <w:b/>
          <w:bCs/>
          <w:color w:val="auto"/>
          <w:lang w:val="en-AU"/>
        </w:rPr>
        <w:t>,</w:t>
      </w:r>
      <w:r w:rsidRPr="00843214">
        <w:rPr>
          <w:b/>
          <w:bCs/>
          <w:color w:val="auto"/>
          <w:lang w:val="en-AU"/>
        </w:rPr>
        <w:t xml:space="preserve"> and FBO in the Indo-Pacific, and across UN </w:t>
      </w:r>
      <w:r w:rsidRPr="00843214">
        <w:rPr>
          <w:b/>
          <w:bCs/>
          <w:color w:val="auto"/>
          <w:szCs w:val="20"/>
          <w:lang w:val="en-AU"/>
        </w:rPr>
        <w:t>Women’s</w:t>
      </w:r>
      <w:r w:rsidRPr="00843214">
        <w:rPr>
          <w:b/>
          <w:bCs/>
          <w:color w:val="auto"/>
          <w:lang w:val="en-AU"/>
        </w:rPr>
        <w:t xml:space="preserve"> work, contributes to the efficiency and relevance of UN Women supported </w:t>
      </w:r>
      <w:r w:rsidR="00503E8D" w:rsidRPr="00843214">
        <w:rPr>
          <w:b/>
          <w:bCs/>
          <w:color w:val="auto"/>
          <w:lang w:val="en-AU"/>
        </w:rPr>
        <w:t>program</w:t>
      </w:r>
      <w:r w:rsidRPr="00843214">
        <w:rPr>
          <w:b/>
          <w:bCs/>
          <w:color w:val="auto"/>
          <w:lang w:val="en-AU"/>
        </w:rPr>
        <w:t>s</w:t>
      </w:r>
      <w:r w:rsidRPr="00843214">
        <w:rPr>
          <w:color w:val="auto"/>
          <w:lang w:val="en-AU"/>
        </w:rPr>
        <w:t>.</w:t>
      </w:r>
      <w:r w:rsidR="00D3337C" w:rsidRPr="00843214">
        <w:rPr>
          <w:color w:val="auto"/>
          <w:lang w:val="en-AU"/>
        </w:rPr>
        <w:t xml:space="preserve"> </w:t>
      </w:r>
      <w:r w:rsidR="008209DA" w:rsidRPr="00843214">
        <w:rPr>
          <w:color w:val="auto"/>
          <w:lang w:val="en-AU"/>
        </w:rPr>
        <w:t>For example, the Pacific Partnership for EVAW engages with over 90 national government, CSO, EVAWG networks, faith-based, and sporting partners across the region</w:t>
      </w:r>
      <w:r w:rsidR="008209DA" w:rsidRPr="00843214">
        <w:rPr>
          <w:rStyle w:val="FootnoteReference"/>
          <w:color w:val="auto"/>
          <w:lang w:val="en-AU"/>
        </w:rPr>
        <w:footnoteReference w:id="42"/>
      </w:r>
      <w:r w:rsidR="008209DA" w:rsidRPr="00843214">
        <w:rPr>
          <w:color w:val="auto"/>
          <w:lang w:val="en-AU"/>
        </w:rPr>
        <w:t xml:space="preserve">. Further, the Pacific-based Markets for Change program partners with 17 active, representative marketplace groups in three countries as well as </w:t>
      </w:r>
      <w:r w:rsidR="00563127" w:rsidRPr="00843214">
        <w:rPr>
          <w:color w:val="auto"/>
          <w:lang w:val="en-AU"/>
        </w:rPr>
        <w:t>the UN Development Programme (</w:t>
      </w:r>
      <w:r w:rsidR="008209DA" w:rsidRPr="00843214">
        <w:rPr>
          <w:color w:val="auto"/>
          <w:lang w:val="en-AU"/>
        </w:rPr>
        <w:t>UNDP</w:t>
      </w:r>
      <w:r w:rsidR="00563127" w:rsidRPr="00843214">
        <w:rPr>
          <w:color w:val="auto"/>
          <w:lang w:val="en-AU"/>
        </w:rPr>
        <w:t>)</w:t>
      </w:r>
      <w:r w:rsidR="008209DA" w:rsidRPr="00843214">
        <w:rPr>
          <w:color w:val="auto"/>
          <w:lang w:val="en-AU"/>
        </w:rPr>
        <w:t xml:space="preserve"> as a delivery partner</w:t>
      </w:r>
      <w:r w:rsidR="008209DA" w:rsidRPr="00843214">
        <w:rPr>
          <w:rStyle w:val="FootnoteReference"/>
          <w:color w:val="auto"/>
          <w:lang w:val="en-AU"/>
        </w:rPr>
        <w:footnoteReference w:id="43"/>
      </w:r>
      <w:r w:rsidR="008209DA" w:rsidRPr="00843214">
        <w:rPr>
          <w:color w:val="auto"/>
          <w:lang w:val="en-AU"/>
        </w:rPr>
        <w:t xml:space="preserve">. </w:t>
      </w:r>
      <w:r w:rsidR="00736931" w:rsidRPr="00843214">
        <w:rPr>
          <w:color w:val="auto"/>
          <w:lang w:val="en-AU"/>
        </w:rPr>
        <w:t>DFAT and UN Women’s</w:t>
      </w:r>
      <w:r w:rsidR="00483BF3" w:rsidRPr="00843214">
        <w:rPr>
          <w:color w:val="auto"/>
          <w:lang w:val="en-AU"/>
        </w:rPr>
        <w:t xml:space="preserve"> support of FBO</w:t>
      </w:r>
      <w:r w:rsidR="00102D89" w:rsidRPr="00843214">
        <w:rPr>
          <w:color w:val="auto"/>
          <w:lang w:val="en-AU"/>
        </w:rPr>
        <w:t>s</w:t>
      </w:r>
      <w:r w:rsidR="00483BF3" w:rsidRPr="00843214">
        <w:rPr>
          <w:color w:val="auto"/>
          <w:lang w:val="en-AU"/>
        </w:rPr>
        <w:t xml:space="preserve"> in the Indo-Pacific is an important recognition of the effectiveness of local social structures. </w:t>
      </w:r>
      <w:r w:rsidR="00230317" w:rsidRPr="00843214">
        <w:rPr>
          <w:color w:val="auto"/>
          <w:lang w:val="en-AU"/>
        </w:rPr>
        <w:t>UN Women</w:t>
      </w:r>
      <w:r w:rsidR="00306ECA" w:rsidRPr="00843214">
        <w:rPr>
          <w:color w:val="auto"/>
          <w:lang w:val="en-AU"/>
        </w:rPr>
        <w:t xml:space="preserve"> also has valuable</w:t>
      </w:r>
      <w:r w:rsidR="006B3A35" w:rsidRPr="00843214">
        <w:rPr>
          <w:color w:val="auto"/>
          <w:lang w:val="en-AU"/>
        </w:rPr>
        <w:t xml:space="preserve"> </w:t>
      </w:r>
      <w:r w:rsidR="00230317" w:rsidRPr="00843214">
        <w:rPr>
          <w:color w:val="auto"/>
          <w:lang w:val="en-AU"/>
        </w:rPr>
        <w:t>relationships with National Women’s Machineries</w:t>
      </w:r>
      <w:r w:rsidR="00306ECA" w:rsidRPr="00843214">
        <w:rPr>
          <w:color w:val="auto"/>
          <w:lang w:val="en-AU"/>
        </w:rPr>
        <w:t xml:space="preserve">, especially </w:t>
      </w:r>
      <w:r w:rsidR="00230317" w:rsidRPr="00843214">
        <w:rPr>
          <w:color w:val="auto"/>
          <w:lang w:val="en-AU"/>
        </w:rPr>
        <w:t xml:space="preserve">Women’s Ministries. These </w:t>
      </w:r>
      <w:r w:rsidR="00306ECA" w:rsidRPr="00843214">
        <w:rPr>
          <w:color w:val="auto"/>
          <w:lang w:val="en-AU"/>
        </w:rPr>
        <w:t>position</w:t>
      </w:r>
      <w:r w:rsidR="006B3A35" w:rsidRPr="00843214">
        <w:rPr>
          <w:color w:val="auto"/>
          <w:lang w:val="en-AU"/>
        </w:rPr>
        <w:t xml:space="preserve"> </w:t>
      </w:r>
      <w:r w:rsidR="00230317" w:rsidRPr="00843214">
        <w:rPr>
          <w:color w:val="auto"/>
          <w:lang w:val="en-AU"/>
        </w:rPr>
        <w:t xml:space="preserve">UN Women </w:t>
      </w:r>
      <w:r w:rsidR="006B3A35" w:rsidRPr="00843214">
        <w:rPr>
          <w:color w:val="auto"/>
          <w:lang w:val="en-AU"/>
        </w:rPr>
        <w:t>as a</w:t>
      </w:r>
      <w:r w:rsidR="00230317" w:rsidRPr="00843214">
        <w:rPr>
          <w:color w:val="auto"/>
          <w:lang w:val="en-AU"/>
        </w:rPr>
        <w:t xml:space="preserve"> partner of choice (especially for technical support) </w:t>
      </w:r>
      <w:r w:rsidR="00E06DB2" w:rsidRPr="00843214">
        <w:rPr>
          <w:color w:val="auto"/>
          <w:lang w:val="en-AU"/>
        </w:rPr>
        <w:t>of</w:t>
      </w:r>
      <w:r w:rsidR="00230317" w:rsidRPr="00843214">
        <w:rPr>
          <w:color w:val="auto"/>
          <w:lang w:val="en-AU"/>
        </w:rPr>
        <w:t xml:space="preserve"> Women’s Ministries, such </w:t>
      </w:r>
      <w:r w:rsidR="006B3A35" w:rsidRPr="00843214">
        <w:rPr>
          <w:color w:val="auto"/>
          <w:lang w:val="en-AU"/>
        </w:rPr>
        <w:t xml:space="preserve">the </w:t>
      </w:r>
      <w:r w:rsidR="00306ECA" w:rsidRPr="00843214">
        <w:rPr>
          <w:color w:val="auto"/>
          <w:lang w:val="en-AU"/>
        </w:rPr>
        <w:t>WPP project</w:t>
      </w:r>
      <w:r w:rsidR="006B3A35" w:rsidRPr="00843214">
        <w:rPr>
          <w:color w:val="auto"/>
          <w:lang w:val="en-AU"/>
        </w:rPr>
        <w:t xml:space="preserve"> Women Make the Change in P</w:t>
      </w:r>
      <w:r w:rsidR="000C7645" w:rsidRPr="00843214">
        <w:rPr>
          <w:color w:val="auto"/>
          <w:lang w:val="en-AU"/>
        </w:rPr>
        <w:t>NG</w:t>
      </w:r>
      <w:r w:rsidR="006B3A35" w:rsidRPr="00843214">
        <w:rPr>
          <w:color w:val="auto"/>
          <w:lang w:val="en-AU"/>
        </w:rPr>
        <w:t xml:space="preserve">. </w:t>
      </w:r>
    </w:p>
    <w:p w14:paraId="37D3B6EE" w14:textId="2E0F663A" w:rsidR="00F63BA6" w:rsidRPr="00843214" w:rsidRDefault="00F8051E" w:rsidP="00FD3ED9">
      <w:pPr>
        <w:rPr>
          <w:color w:val="auto"/>
          <w:lang w:val="en-AU"/>
        </w:rPr>
      </w:pPr>
      <w:r w:rsidRPr="00843214">
        <w:rPr>
          <w:b/>
          <w:bCs/>
          <w:color w:val="auto"/>
          <w:lang w:val="en-AU"/>
        </w:rPr>
        <w:t xml:space="preserve">Nonetheless, </w:t>
      </w:r>
      <w:r w:rsidR="00500AF3" w:rsidRPr="00843214">
        <w:rPr>
          <w:b/>
          <w:bCs/>
          <w:color w:val="auto"/>
          <w:lang w:val="en-AU"/>
        </w:rPr>
        <w:t xml:space="preserve">women’s organisation </w:t>
      </w:r>
      <w:r w:rsidRPr="00843214">
        <w:rPr>
          <w:b/>
          <w:bCs/>
          <w:color w:val="auto"/>
          <w:lang w:val="en-AU"/>
        </w:rPr>
        <w:t xml:space="preserve">partners require investment to build capacity, particularly for </w:t>
      </w:r>
      <w:r w:rsidR="00503E8D" w:rsidRPr="00843214">
        <w:rPr>
          <w:b/>
          <w:bCs/>
          <w:color w:val="auto"/>
          <w:lang w:val="en-AU"/>
        </w:rPr>
        <w:t>program</w:t>
      </w:r>
      <w:r w:rsidRPr="00843214">
        <w:rPr>
          <w:b/>
          <w:bCs/>
          <w:color w:val="auto"/>
          <w:lang w:val="en-AU"/>
        </w:rPr>
        <w:t xml:space="preserve"> management and M&amp;E.</w:t>
      </w:r>
      <w:r w:rsidRPr="00843214">
        <w:rPr>
          <w:color w:val="auto"/>
          <w:lang w:val="en-AU"/>
        </w:rPr>
        <w:t xml:space="preserve"> </w:t>
      </w:r>
      <w:r w:rsidR="008209DA" w:rsidRPr="00843214">
        <w:rPr>
          <w:color w:val="auto"/>
          <w:lang w:val="en-AU"/>
        </w:rPr>
        <w:t>CSO and NGO partners note constraints to working with UN Women including onerous procurement processes and reporting requirements</w:t>
      </w:r>
      <w:r w:rsidR="00154D3B" w:rsidRPr="00843214">
        <w:rPr>
          <w:color w:val="auto"/>
          <w:lang w:val="en-AU"/>
        </w:rPr>
        <w:t xml:space="preserve"> to meet UNW’s reporting needs</w:t>
      </w:r>
      <w:r w:rsidR="00F63BA6" w:rsidRPr="00843214">
        <w:rPr>
          <w:rStyle w:val="FootnoteReference"/>
          <w:color w:val="auto"/>
          <w:lang w:val="en-AU"/>
        </w:rPr>
        <w:footnoteReference w:id="44"/>
      </w:r>
      <w:r w:rsidR="008209DA" w:rsidRPr="00843214">
        <w:rPr>
          <w:color w:val="auto"/>
          <w:lang w:val="en-AU"/>
        </w:rPr>
        <w:t xml:space="preserve">. </w:t>
      </w:r>
      <w:r w:rsidR="002A1174" w:rsidRPr="00843214">
        <w:rPr>
          <w:color w:val="auto"/>
          <w:lang w:val="en-AU"/>
        </w:rPr>
        <w:t xml:space="preserve">CSOs </w:t>
      </w:r>
      <w:r w:rsidR="009903E0" w:rsidRPr="00843214">
        <w:rPr>
          <w:color w:val="auto"/>
          <w:lang w:val="en-AU"/>
        </w:rPr>
        <w:t>note th</w:t>
      </w:r>
      <w:r w:rsidR="00582801" w:rsidRPr="00843214">
        <w:rPr>
          <w:color w:val="auto"/>
          <w:lang w:val="en-AU"/>
        </w:rPr>
        <w:t>at</w:t>
      </w:r>
      <w:r w:rsidR="008209DA" w:rsidRPr="00843214">
        <w:rPr>
          <w:color w:val="auto"/>
          <w:lang w:val="en-AU"/>
        </w:rPr>
        <w:t xml:space="preserve"> </w:t>
      </w:r>
      <w:r w:rsidR="00500AF3" w:rsidRPr="00843214">
        <w:rPr>
          <w:color w:val="auto"/>
          <w:lang w:val="en-AU"/>
        </w:rPr>
        <w:t xml:space="preserve">the </w:t>
      </w:r>
      <w:proofErr w:type="gramStart"/>
      <w:r w:rsidR="00500AF3" w:rsidRPr="00843214">
        <w:rPr>
          <w:color w:val="auto"/>
          <w:lang w:val="en-AU"/>
        </w:rPr>
        <w:t>often short-term</w:t>
      </w:r>
      <w:proofErr w:type="gramEnd"/>
      <w:r w:rsidR="008209DA" w:rsidRPr="00843214">
        <w:rPr>
          <w:color w:val="auto"/>
          <w:lang w:val="en-AU"/>
        </w:rPr>
        <w:t xml:space="preserve"> funding </w:t>
      </w:r>
      <w:r w:rsidR="00582801" w:rsidRPr="00843214">
        <w:rPr>
          <w:color w:val="auto"/>
          <w:lang w:val="en-AU"/>
        </w:rPr>
        <w:t>limits</w:t>
      </w:r>
      <w:r w:rsidR="008209DA" w:rsidRPr="00843214">
        <w:rPr>
          <w:color w:val="auto"/>
          <w:lang w:val="en-AU"/>
        </w:rPr>
        <w:t xml:space="preserve"> sustainability</w:t>
      </w:r>
      <w:r w:rsidR="00FC4C09" w:rsidRPr="00843214">
        <w:rPr>
          <w:color w:val="auto"/>
          <w:lang w:val="en-AU"/>
        </w:rPr>
        <w:t>,</w:t>
      </w:r>
      <w:r w:rsidR="008209DA" w:rsidRPr="00843214">
        <w:rPr>
          <w:color w:val="auto"/>
          <w:lang w:val="en-AU"/>
        </w:rPr>
        <w:t xml:space="preserve"> and the administrative</w:t>
      </w:r>
      <w:r w:rsidR="00FC4C09" w:rsidRPr="00843214">
        <w:rPr>
          <w:color w:val="auto"/>
          <w:lang w:val="en-AU"/>
        </w:rPr>
        <w:t xml:space="preserve"> and cost</w:t>
      </w:r>
      <w:r w:rsidR="008209DA" w:rsidRPr="00843214">
        <w:rPr>
          <w:color w:val="auto"/>
          <w:lang w:val="en-AU"/>
        </w:rPr>
        <w:t xml:space="preserve"> inefficiency of indirect engagement with UN Women (i.e., through an intermediary NGO).</w:t>
      </w:r>
      <w:r w:rsidR="003A003B" w:rsidRPr="00843214">
        <w:rPr>
          <w:color w:val="auto"/>
          <w:lang w:val="en-AU"/>
        </w:rPr>
        <w:t xml:space="preserve"> </w:t>
      </w:r>
    </w:p>
    <w:p w14:paraId="450F9569" w14:textId="0F463FB7" w:rsidR="00F8051E" w:rsidRPr="00843214" w:rsidRDefault="00D3337C" w:rsidP="00FD3ED9">
      <w:pPr>
        <w:rPr>
          <w:color w:val="auto"/>
          <w:lang w:val="en-AU"/>
        </w:rPr>
      </w:pPr>
      <w:r w:rsidRPr="00843214">
        <w:rPr>
          <w:b/>
          <w:bCs/>
          <w:color w:val="auto"/>
          <w:lang w:val="en-AU"/>
        </w:rPr>
        <w:t>There are mixed perceptions from stakeholders about UN Women and DFAT as partners.</w:t>
      </w:r>
      <w:r w:rsidRPr="00843214">
        <w:rPr>
          <w:color w:val="auto"/>
          <w:lang w:val="en-AU"/>
        </w:rPr>
        <w:t xml:space="preserve"> </w:t>
      </w:r>
      <w:r w:rsidR="00CF7FA9" w:rsidRPr="00843214">
        <w:rPr>
          <w:color w:val="auto"/>
          <w:lang w:val="en-AU"/>
        </w:rPr>
        <w:t>Stakeholders</w:t>
      </w:r>
      <w:r w:rsidRPr="00843214">
        <w:rPr>
          <w:color w:val="auto"/>
          <w:lang w:val="en-AU"/>
        </w:rPr>
        <w:t xml:space="preserve"> appreciate the willingness of UN Women and DFAT to receive feedback. </w:t>
      </w:r>
      <w:r w:rsidR="00CF7FA9" w:rsidRPr="00843214">
        <w:rPr>
          <w:color w:val="auto"/>
          <w:lang w:val="en-AU"/>
        </w:rPr>
        <w:t xml:space="preserve">Conversely, </w:t>
      </w:r>
      <w:r w:rsidRPr="00843214">
        <w:rPr>
          <w:color w:val="auto"/>
          <w:lang w:val="en-AU"/>
        </w:rPr>
        <w:t>s</w:t>
      </w:r>
      <w:r w:rsidR="007E030D" w:rsidRPr="00843214">
        <w:rPr>
          <w:color w:val="auto"/>
          <w:lang w:val="en-AU"/>
        </w:rPr>
        <w:t xml:space="preserve">ome stakeholders </w:t>
      </w:r>
      <w:r w:rsidR="00362354" w:rsidRPr="00843214">
        <w:rPr>
          <w:color w:val="auto"/>
          <w:lang w:val="en-AU"/>
        </w:rPr>
        <w:t>find</w:t>
      </w:r>
      <w:r w:rsidRPr="00843214">
        <w:rPr>
          <w:color w:val="auto"/>
          <w:lang w:val="en-AU"/>
        </w:rPr>
        <w:t xml:space="preserve"> that</w:t>
      </w:r>
      <w:r w:rsidR="007E030D" w:rsidRPr="00843214">
        <w:rPr>
          <w:color w:val="auto"/>
          <w:lang w:val="en-AU"/>
        </w:rPr>
        <w:t xml:space="preserve"> </w:t>
      </w:r>
      <w:r w:rsidR="0080752E" w:rsidRPr="00843214">
        <w:rPr>
          <w:color w:val="auto"/>
          <w:lang w:val="en-AU"/>
        </w:rPr>
        <w:t>UN Women</w:t>
      </w:r>
      <w:r w:rsidRPr="00843214">
        <w:rPr>
          <w:color w:val="auto"/>
          <w:lang w:val="en-AU"/>
        </w:rPr>
        <w:t xml:space="preserve"> and DFAT</w:t>
      </w:r>
      <w:r w:rsidR="0080752E" w:rsidRPr="00843214">
        <w:rPr>
          <w:color w:val="auto"/>
          <w:lang w:val="en-AU"/>
        </w:rPr>
        <w:t xml:space="preserve"> </w:t>
      </w:r>
      <w:r w:rsidR="00362354" w:rsidRPr="00843214">
        <w:rPr>
          <w:color w:val="auto"/>
          <w:lang w:val="en-AU"/>
        </w:rPr>
        <w:t>take</w:t>
      </w:r>
      <w:r w:rsidRPr="00843214">
        <w:rPr>
          <w:color w:val="auto"/>
          <w:lang w:val="en-AU"/>
        </w:rPr>
        <w:t xml:space="preserve"> a</w:t>
      </w:r>
      <w:r w:rsidR="0080752E" w:rsidRPr="00843214">
        <w:rPr>
          <w:color w:val="auto"/>
          <w:lang w:val="en-AU"/>
        </w:rPr>
        <w:t xml:space="preserve"> top-down approach </w:t>
      </w:r>
      <w:r w:rsidR="007E030D" w:rsidRPr="00843214">
        <w:rPr>
          <w:color w:val="auto"/>
          <w:lang w:val="en-AU"/>
        </w:rPr>
        <w:t>from their</w:t>
      </w:r>
      <w:r w:rsidR="0080752E" w:rsidRPr="00843214">
        <w:rPr>
          <w:color w:val="auto"/>
          <w:lang w:val="en-AU"/>
        </w:rPr>
        <w:t xml:space="preserve"> global and regional programs that does not always recognise and harmonise with </w:t>
      </w:r>
      <w:r w:rsidR="00350FA6" w:rsidRPr="00843214">
        <w:rPr>
          <w:color w:val="auto"/>
          <w:lang w:val="en-AU"/>
        </w:rPr>
        <w:t xml:space="preserve">existing local </w:t>
      </w:r>
      <w:r w:rsidR="0080752E" w:rsidRPr="00843214">
        <w:rPr>
          <w:color w:val="auto"/>
          <w:lang w:val="en-AU"/>
        </w:rPr>
        <w:t>CSO or bilateral work to leverage overall limited resourcing.</w:t>
      </w:r>
      <w:r w:rsidR="00017383" w:rsidRPr="00843214">
        <w:rPr>
          <w:color w:val="auto"/>
          <w:lang w:val="en-AU"/>
        </w:rPr>
        <w:t xml:space="preserve"> </w:t>
      </w:r>
      <w:r w:rsidR="007574E3" w:rsidRPr="00843214">
        <w:rPr>
          <w:b/>
          <w:bCs/>
          <w:color w:val="auto"/>
          <w:lang w:val="en-AU"/>
        </w:rPr>
        <w:t>Care is needed to ensure v</w:t>
      </w:r>
      <w:r w:rsidR="00F8051E" w:rsidRPr="00843214">
        <w:rPr>
          <w:b/>
          <w:bCs/>
          <w:color w:val="auto"/>
          <w:lang w:val="en-AU"/>
        </w:rPr>
        <w:t xml:space="preserve">isibility of CSO </w:t>
      </w:r>
      <w:r w:rsidR="00017383" w:rsidRPr="00843214">
        <w:rPr>
          <w:b/>
          <w:bCs/>
          <w:color w:val="auto"/>
          <w:lang w:val="en-AU"/>
        </w:rPr>
        <w:t xml:space="preserve">and women’s agency </w:t>
      </w:r>
      <w:r w:rsidR="00F8051E" w:rsidRPr="00843214">
        <w:rPr>
          <w:b/>
          <w:bCs/>
          <w:color w:val="auto"/>
          <w:lang w:val="en-AU"/>
        </w:rPr>
        <w:t xml:space="preserve">work and </w:t>
      </w:r>
      <w:r w:rsidR="001C2A72" w:rsidRPr="00843214">
        <w:rPr>
          <w:b/>
          <w:bCs/>
          <w:color w:val="auto"/>
          <w:lang w:val="en-AU"/>
        </w:rPr>
        <w:t xml:space="preserve">public </w:t>
      </w:r>
      <w:r w:rsidR="009F6048" w:rsidRPr="00843214">
        <w:rPr>
          <w:b/>
          <w:bCs/>
          <w:color w:val="auto"/>
          <w:lang w:val="en-AU"/>
        </w:rPr>
        <w:t xml:space="preserve">acknowledgement of </w:t>
      </w:r>
      <w:r w:rsidR="00230317" w:rsidRPr="00843214">
        <w:rPr>
          <w:b/>
          <w:bCs/>
          <w:color w:val="auto"/>
          <w:lang w:val="en-AU"/>
        </w:rPr>
        <w:t xml:space="preserve">their </w:t>
      </w:r>
      <w:r w:rsidR="009F6048" w:rsidRPr="00843214">
        <w:rPr>
          <w:b/>
          <w:bCs/>
          <w:color w:val="auto"/>
          <w:lang w:val="en-AU"/>
        </w:rPr>
        <w:t>contribution</w:t>
      </w:r>
      <w:r w:rsidR="00017383" w:rsidRPr="00843214">
        <w:rPr>
          <w:b/>
          <w:bCs/>
          <w:color w:val="auto"/>
          <w:lang w:val="en-AU"/>
        </w:rPr>
        <w:t xml:space="preserve"> </w:t>
      </w:r>
      <w:r w:rsidR="001C2A72" w:rsidRPr="00843214">
        <w:rPr>
          <w:b/>
          <w:bCs/>
          <w:color w:val="auto"/>
          <w:lang w:val="en-AU"/>
        </w:rPr>
        <w:t>to UN Women and DFAT objectives and programs</w:t>
      </w:r>
      <w:r w:rsidR="001C2A72" w:rsidRPr="00843214">
        <w:rPr>
          <w:rStyle w:val="FootnoteReference"/>
          <w:color w:val="auto"/>
          <w:lang w:val="en-AU"/>
        </w:rPr>
        <w:footnoteReference w:id="45"/>
      </w:r>
      <w:r w:rsidR="001C2A72" w:rsidRPr="00843214">
        <w:rPr>
          <w:color w:val="auto"/>
          <w:lang w:val="en-AU"/>
        </w:rPr>
        <w:t>.</w:t>
      </w:r>
      <w:r w:rsidR="00F8051E" w:rsidRPr="00843214">
        <w:rPr>
          <w:color w:val="auto"/>
          <w:lang w:val="en-AU"/>
        </w:rPr>
        <w:t xml:space="preserve"> </w:t>
      </w:r>
      <w:r w:rsidR="00736931" w:rsidRPr="00843214">
        <w:rPr>
          <w:color w:val="auto"/>
          <w:lang w:val="en-AU"/>
        </w:rPr>
        <w:t>While there are spaces where UN Women showcases the achievements of CSOs (such as the UN</w:t>
      </w:r>
      <w:r w:rsidR="00C82AF0" w:rsidRPr="00843214">
        <w:rPr>
          <w:color w:val="auto"/>
          <w:lang w:val="en-AU"/>
        </w:rPr>
        <w:t>TF for</w:t>
      </w:r>
      <w:r w:rsidR="00736931" w:rsidRPr="00843214">
        <w:rPr>
          <w:color w:val="auto"/>
          <w:lang w:val="en-AU"/>
        </w:rPr>
        <w:t xml:space="preserve"> EVAW</w:t>
      </w:r>
      <w:r w:rsidR="00154D3B" w:rsidRPr="00843214">
        <w:rPr>
          <w:color w:val="auto"/>
          <w:lang w:val="en-AU"/>
        </w:rPr>
        <w:t xml:space="preserve">, the </w:t>
      </w:r>
      <w:r w:rsidR="00154D3B" w:rsidRPr="00843214">
        <w:rPr>
          <w:color w:val="auto"/>
          <w:lang w:val="en-AU"/>
        </w:rPr>
        <w:lastRenderedPageBreak/>
        <w:t>WPHF</w:t>
      </w:r>
      <w:r w:rsidR="00F10EDA" w:rsidRPr="00843214">
        <w:rPr>
          <w:color w:val="auto"/>
          <w:lang w:val="en-AU"/>
        </w:rPr>
        <w:t>,</w:t>
      </w:r>
      <w:r w:rsidR="00D645F9" w:rsidRPr="00843214">
        <w:rPr>
          <w:color w:val="auto"/>
          <w:lang w:val="en-AU"/>
        </w:rPr>
        <w:t xml:space="preserve"> </w:t>
      </w:r>
      <w:r w:rsidR="00736931" w:rsidRPr="00843214">
        <w:rPr>
          <w:color w:val="auto"/>
          <w:lang w:val="en-AU"/>
        </w:rPr>
        <w:t xml:space="preserve">and in UN Women corporate communications and advocacy as reflected in their website and social media) </w:t>
      </w:r>
      <w:r w:rsidR="00F935FF" w:rsidRPr="00843214">
        <w:rPr>
          <w:color w:val="auto"/>
          <w:lang w:val="en-AU"/>
        </w:rPr>
        <w:t xml:space="preserve">tangible and accessible </w:t>
      </w:r>
      <w:r w:rsidR="00017383" w:rsidRPr="00843214">
        <w:rPr>
          <w:color w:val="auto"/>
          <w:lang w:val="en-AU"/>
        </w:rPr>
        <w:t xml:space="preserve">visibility is also </w:t>
      </w:r>
      <w:r w:rsidR="00275583" w:rsidRPr="00843214">
        <w:rPr>
          <w:color w:val="auto"/>
          <w:lang w:val="en-AU"/>
        </w:rPr>
        <w:t>needed</w:t>
      </w:r>
      <w:r w:rsidR="00017383" w:rsidRPr="00843214">
        <w:rPr>
          <w:color w:val="auto"/>
          <w:lang w:val="en-AU"/>
        </w:rPr>
        <w:t xml:space="preserve"> at the grassroots. </w:t>
      </w:r>
    </w:p>
    <w:p w14:paraId="2B96137F" w14:textId="292AA329" w:rsidR="00F8051E" w:rsidRPr="00843214" w:rsidRDefault="00F8051E" w:rsidP="00F8051E">
      <w:pPr>
        <w:pStyle w:val="Heading4"/>
        <w:rPr>
          <w:b/>
          <w:bCs/>
          <w:color w:val="auto"/>
          <w:sz w:val="25"/>
          <w:szCs w:val="32"/>
          <w:lang w:val="en-AU"/>
        </w:rPr>
      </w:pPr>
      <w:r w:rsidRPr="00843214">
        <w:rPr>
          <w:b/>
          <w:bCs/>
          <w:color w:val="auto"/>
          <w:sz w:val="25"/>
          <w:szCs w:val="32"/>
          <w:lang w:val="en-AU"/>
        </w:rPr>
        <w:t>Objective 8: Disability Inclusive Development</w:t>
      </w:r>
    </w:p>
    <w:tbl>
      <w:tblPr>
        <w:tblStyle w:val="TableGridLight"/>
        <w:tblW w:w="0" w:type="auto"/>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5267"/>
        <w:gridCol w:w="870"/>
        <w:gridCol w:w="2869"/>
      </w:tblGrid>
      <w:tr w:rsidR="00843214" w:rsidRPr="00843214" w14:paraId="17FB1661" w14:textId="77777777" w:rsidTr="00DA0920">
        <w:trPr>
          <w:trHeight w:val="616"/>
        </w:trPr>
        <w:tc>
          <w:tcPr>
            <w:tcW w:w="5377" w:type="dxa"/>
            <w:shd w:val="clear" w:color="auto" w:fill="auto"/>
          </w:tcPr>
          <w:p w14:paraId="1F78370C" w14:textId="4CC1CC2C" w:rsidR="000E26C6" w:rsidRPr="00843214" w:rsidRDefault="000E26C6" w:rsidP="004E3482">
            <w:pPr>
              <w:spacing w:after="0"/>
              <w:contextualSpacing/>
              <w:rPr>
                <w:rFonts w:cstheme="minorHAnsi"/>
                <w:b/>
                <w:bCs/>
                <w:color w:val="auto"/>
                <w:lang w:val="en-AU"/>
              </w:rPr>
            </w:pPr>
            <w:r w:rsidRPr="00843214">
              <w:rPr>
                <w:rFonts w:cstheme="minorHAnsi"/>
                <w:b/>
                <w:bCs/>
                <w:color w:val="auto"/>
                <w:lang w:val="en-AU"/>
              </w:rPr>
              <w:t>SPF objective and sub-objectives</w:t>
            </w:r>
          </w:p>
        </w:tc>
        <w:tc>
          <w:tcPr>
            <w:tcW w:w="709" w:type="dxa"/>
            <w:shd w:val="clear" w:color="auto" w:fill="FFC000"/>
          </w:tcPr>
          <w:p w14:paraId="101C643E" w14:textId="1E11C217" w:rsidR="000E26C6" w:rsidRPr="00843214" w:rsidRDefault="000E26C6" w:rsidP="004E3482">
            <w:pPr>
              <w:rPr>
                <w:b/>
                <w:bCs/>
                <w:color w:val="auto"/>
                <w:lang w:val="en-AU"/>
              </w:rPr>
            </w:pPr>
            <w:r w:rsidRPr="00843214">
              <w:rPr>
                <w:b/>
                <w:bCs/>
                <w:color w:val="auto"/>
                <w:lang w:val="en-AU"/>
              </w:rPr>
              <w:t>Rating</w:t>
            </w:r>
          </w:p>
        </w:tc>
        <w:tc>
          <w:tcPr>
            <w:tcW w:w="2920" w:type="dxa"/>
            <w:shd w:val="clear" w:color="auto" w:fill="auto"/>
          </w:tcPr>
          <w:p w14:paraId="61E48CD1" w14:textId="79C0268B" w:rsidR="000E26C6" w:rsidRPr="00843214" w:rsidRDefault="000E26C6" w:rsidP="004E3482">
            <w:pPr>
              <w:rPr>
                <w:b/>
                <w:bCs/>
                <w:color w:val="auto"/>
                <w:lang w:val="en-AU"/>
              </w:rPr>
            </w:pPr>
            <w:r w:rsidRPr="00843214">
              <w:rPr>
                <w:b/>
                <w:bCs/>
                <w:color w:val="auto"/>
                <w:lang w:val="en-AU"/>
              </w:rPr>
              <w:t>Summary rationale for rating</w:t>
            </w:r>
          </w:p>
        </w:tc>
      </w:tr>
      <w:tr w:rsidR="00843214" w:rsidRPr="00843214" w14:paraId="05D299F9" w14:textId="77777777" w:rsidTr="00DA0920">
        <w:trPr>
          <w:trHeight w:val="406"/>
        </w:trPr>
        <w:tc>
          <w:tcPr>
            <w:tcW w:w="5377" w:type="dxa"/>
          </w:tcPr>
          <w:p w14:paraId="40EA3055" w14:textId="77777777" w:rsidR="000E26C6" w:rsidRPr="00843214" w:rsidRDefault="000E26C6" w:rsidP="00970215">
            <w:pPr>
              <w:rPr>
                <w:rFonts w:cstheme="minorHAnsi"/>
                <w:color w:val="auto"/>
                <w:sz w:val="16"/>
                <w:szCs w:val="16"/>
                <w:lang w:val="en-AU"/>
              </w:rPr>
            </w:pPr>
            <w:r w:rsidRPr="00843214">
              <w:rPr>
                <w:rFonts w:cstheme="minorHAnsi"/>
                <w:color w:val="auto"/>
                <w:sz w:val="16"/>
                <w:szCs w:val="16"/>
                <w:lang w:val="en-AU"/>
              </w:rPr>
              <w:t>Disability inclusive development</w:t>
            </w:r>
          </w:p>
          <w:p w14:paraId="734D127B" w14:textId="77777777" w:rsidR="000E26C6" w:rsidRPr="00843214" w:rsidRDefault="000E26C6" w:rsidP="00970215">
            <w:pPr>
              <w:pStyle w:val="ListParagraph"/>
              <w:numPr>
                <w:ilvl w:val="0"/>
                <w:numId w:val="12"/>
              </w:numPr>
              <w:ind w:left="330" w:hanging="270"/>
              <w:rPr>
                <w:rFonts w:cstheme="minorHAnsi"/>
                <w:color w:val="auto"/>
                <w:sz w:val="16"/>
                <w:szCs w:val="16"/>
                <w:lang w:val="en-AU"/>
              </w:rPr>
            </w:pPr>
            <w:r w:rsidRPr="00843214">
              <w:rPr>
                <w:rFonts w:cstheme="minorHAnsi"/>
                <w:color w:val="auto"/>
                <w:sz w:val="16"/>
                <w:szCs w:val="16"/>
                <w:lang w:val="en-AU"/>
              </w:rPr>
              <w:t>Adopting disability sensitive programming practices as cross-cutting issues</w:t>
            </w:r>
          </w:p>
          <w:p w14:paraId="6ECADE35" w14:textId="77777777" w:rsidR="000E26C6" w:rsidRPr="00843214" w:rsidRDefault="000E26C6" w:rsidP="00970215">
            <w:pPr>
              <w:pStyle w:val="ListParagraph"/>
              <w:numPr>
                <w:ilvl w:val="0"/>
                <w:numId w:val="12"/>
              </w:numPr>
              <w:ind w:left="330" w:hanging="270"/>
              <w:rPr>
                <w:rFonts w:cstheme="minorHAnsi"/>
                <w:color w:val="auto"/>
                <w:sz w:val="16"/>
                <w:szCs w:val="16"/>
                <w:lang w:val="en-AU"/>
              </w:rPr>
            </w:pPr>
            <w:r w:rsidRPr="00843214">
              <w:rPr>
                <w:rFonts w:cstheme="minorHAnsi"/>
                <w:color w:val="auto"/>
                <w:sz w:val="16"/>
                <w:szCs w:val="16"/>
                <w:lang w:val="en-AU"/>
              </w:rPr>
              <w:t>Increasing the availability of sex and disability disaggregated data and the evidence and data for disability inclusion</w:t>
            </w:r>
          </w:p>
          <w:p w14:paraId="169642A9" w14:textId="77BB9C40" w:rsidR="000E26C6" w:rsidRPr="00843214" w:rsidRDefault="000E26C6" w:rsidP="00970215">
            <w:pPr>
              <w:pStyle w:val="ListParagraph"/>
              <w:numPr>
                <w:ilvl w:val="0"/>
                <w:numId w:val="12"/>
              </w:numPr>
              <w:ind w:left="330" w:hanging="270"/>
              <w:rPr>
                <w:rFonts w:cstheme="minorHAnsi"/>
                <w:color w:val="auto"/>
                <w:sz w:val="16"/>
                <w:szCs w:val="16"/>
                <w:lang w:val="en-AU"/>
              </w:rPr>
            </w:pPr>
            <w:r w:rsidRPr="00843214">
              <w:rPr>
                <w:rFonts w:cstheme="minorHAnsi"/>
                <w:color w:val="auto"/>
                <w:sz w:val="16"/>
                <w:szCs w:val="16"/>
                <w:lang w:val="en-AU"/>
              </w:rPr>
              <w:t>Promoting the rights of persons with disabilities, in line with the UN Convention on the Rights of Persons with Disabilities and the Convention on the Elimination of all forms of Discrimination against Women, the Convention on the Rights of the Child, and other human rights instruments</w:t>
            </w:r>
          </w:p>
        </w:tc>
        <w:tc>
          <w:tcPr>
            <w:tcW w:w="709" w:type="dxa"/>
            <w:shd w:val="clear" w:color="auto" w:fill="FFC000"/>
          </w:tcPr>
          <w:p w14:paraId="6CF0E646" w14:textId="77777777" w:rsidR="000E26C6" w:rsidRPr="00843214" w:rsidRDefault="000E26C6" w:rsidP="004C4E64">
            <w:pPr>
              <w:rPr>
                <w:color w:val="auto"/>
                <w:sz w:val="16"/>
                <w:szCs w:val="16"/>
                <w:lang w:val="en-AU"/>
              </w:rPr>
            </w:pPr>
          </w:p>
        </w:tc>
        <w:tc>
          <w:tcPr>
            <w:tcW w:w="2920" w:type="dxa"/>
            <w:shd w:val="clear" w:color="auto" w:fill="auto"/>
          </w:tcPr>
          <w:p w14:paraId="1D880272" w14:textId="6C64CD91" w:rsidR="000E26C6" w:rsidRPr="00843214" w:rsidRDefault="000E26C6" w:rsidP="004C4E64">
            <w:pPr>
              <w:rPr>
                <w:color w:val="auto"/>
                <w:lang w:val="en-AU"/>
              </w:rPr>
            </w:pPr>
            <w:r w:rsidRPr="00843214">
              <w:rPr>
                <w:color w:val="auto"/>
                <w:sz w:val="16"/>
                <w:szCs w:val="16"/>
                <w:lang w:val="en-AU"/>
              </w:rPr>
              <w:t xml:space="preserve">UN Women is increasing its work on disability. </w:t>
            </w:r>
            <w:r w:rsidR="006C57E5" w:rsidRPr="00843214">
              <w:rPr>
                <w:color w:val="auto"/>
                <w:sz w:val="16"/>
                <w:szCs w:val="16"/>
                <w:lang w:val="en-AU"/>
              </w:rPr>
              <w:t>P</w:t>
            </w:r>
            <w:r w:rsidRPr="00843214">
              <w:rPr>
                <w:color w:val="auto"/>
                <w:sz w:val="16"/>
                <w:szCs w:val="16"/>
                <w:lang w:val="en-AU"/>
              </w:rPr>
              <w:t xml:space="preserve">rogress reviews have noted the challenge of getting data </w:t>
            </w:r>
            <w:proofErr w:type="gramStart"/>
            <w:r w:rsidRPr="00843214">
              <w:rPr>
                <w:color w:val="auto"/>
                <w:sz w:val="16"/>
                <w:szCs w:val="16"/>
                <w:lang w:val="en-AU"/>
              </w:rPr>
              <w:t>in order to</w:t>
            </w:r>
            <w:proofErr w:type="gramEnd"/>
            <w:r w:rsidRPr="00843214">
              <w:rPr>
                <w:color w:val="auto"/>
                <w:sz w:val="16"/>
                <w:szCs w:val="16"/>
                <w:lang w:val="en-AU"/>
              </w:rPr>
              <w:t xml:space="preserve"> reach women living with disabilities</w:t>
            </w:r>
            <w:r w:rsidR="006C57E5" w:rsidRPr="00843214">
              <w:rPr>
                <w:color w:val="auto"/>
                <w:sz w:val="16"/>
                <w:szCs w:val="16"/>
                <w:lang w:val="en-AU"/>
              </w:rPr>
              <w:t xml:space="preserve"> and there is a perception that disability inclusive development needs improvement</w:t>
            </w:r>
            <w:r w:rsidR="00CB238C" w:rsidRPr="00843214">
              <w:rPr>
                <w:color w:val="auto"/>
                <w:sz w:val="16"/>
                <w:szCs w:val="16"/>
                <w:lang w:val="en-AU"/>
              </w:rPr>
              <w:t xml:space="preserve"> in programs</w:t>
            </w:r>
            <w:r w:rsidRPr="00843214">
              <w:rPr>
                <w:color w:val="auto"/>
                <w:sz w:val="16"/>
                <w:szCs w:val="16"/>
                <w:lang w:val="en-AU"/>
              </w:rPr>
              <w:t xml:space="preserve">.  </w:t>
            </w:r>
          </w:p>
        </w:tc>
      </w:tr>
    </w:tbl>
    <w:p w14:paraId="1509588A" w14:textId="1D0791D2" w:rsidR="00F8051E" w:rsidRPr="00843214" w:rsidRDefault="001F5E62" w:rsidP="00467C4F">
      <w:pPr>
        <w:spacing w:before="240"/>
        <w:rPr>
          <w:color w:val="auto"/>
          <w:szCs w:val="20"/>
          <w:lang w:val="en-AU"/>
        </w:rPr>
      </w:pPr>
      <w:r w:rsidRPr="00843214">
        <w:rPr>
          <w:b/>
          <w:bCs/>
          <w:color w:val="auto"/>
          <w:szCs w:val="20"/>
          <w:lang w:val="en-AU"/>
        </w:rPr>
        <w:t>The</w:t>
      </w:r>
      <w:r w:rsidR="00F8051E" w:rsidRPr="00843214">
        <w:rPr>
          <w:b/>
          <w:bCs/>
          <w:color w:val="auto"/>
          <w:szCs w:val="20"/>
          <w:lang w:val="en-AU"/>
        </w:rPr>
        <w:t xml:space="preserve"> Partnership</w:t>
      </w:r>
      <w:r w:rsidRPr="00843214">
        <w:rPr>
          <w:b/>
          <w:bCs/>
          <w:color w:val="auto"/>
          <w:szCs w:val="20"/>
          <w:lang w:val="en-AU"/>
        </w:rPr>
        <w:t xml:space="preserve"> address</w:t>
      </w:r>
      <w:r w:rsidR="0034411F" w:rsidRPr="00843214">
        <w:rPr>
          <w:b/>
          <w:bCs/>
          <w:color w:val="auto"/>
          <w:szCs w:val="20"/>
          <w:lang w:val="en-AU"/>
        </w:rPr>
        <w:t>es</w:t>
      </w:r>
      <w:r w:rsidR="0025484A" w:rsidRPr="00843214">
        <w:rPr>
          <w:b/>
          <w:bCs/>
          <w:color w:val="auto"/>
          <w:szCs w:val="20"/>
          <w:lang w:val="en-AU"/>
        </w:rPr>
        <w:t xml:space="preserve"> the</w:t>
      </w:r>
      <w:r w:rsidR="00B46A94" w:rsidRPr="00843214">
        <w:rPr>
          <w:b/>
          <w:bCs/>
          <w:color w:val="auto"/>
          <w:szCs w:val="20"/>
          <w:lang w:val="en-AU"/>
        </w:rPr>
        <w:t xml:space="preserve"> </w:t>
      </w:r>
      <w:r w:rsidR="0025484A" w:rsidRPr="00843214">
        <w:rPr>
          <w:b/>
          <w:bCs/>
          <w:color w:val="auto"/>
          <w:szCs w:val="20"/>
          <w:lang w:val="en-AU"/>
        </w:rPr>
        <w:t xml:space="preserve">mutual </w:t>
      </w:r>
      <w:r w:rsidR="00B46A94" w:rsidRPr="00843214">
        <w:rPr>
          <w:b/>
          <w:bCs/>
          <w:color w:val="auto"/>
          <w:szCs w:val="20"/>
          <w:lang w:val="en-AU"/>
        </w:rPr>
        <w:t>priority of</w:t>
      </w:r>
      <w:r w:rsidRPr="00843214">
        <w:rPr>
          <w:b/>
          <w:bCs/>
          <w:color w:val="auto"/>
          <w:szCs w:val="20"/>
          <w:lang w:val="en-AU"/>
        </w:rPr>
        <w:t xml:space="preserve"> </w:t>
      </w:r>
      <w:r w:rsidR="001D2C59" w:rsidRPr="00843214">
        <w:rPr>
          <w:b/>
          <w:bCs/>
          <w:color w:val="auto"/>
          <w:szCs w:val="20"/>
          <w:lang w:val="en-AU"/>
        </w:rPr>
        <w:t xml:space="preserve">disability </w:t>
      </w:r>
      <w:r w:rsidR="0034411F" w:rsidRPr="00843214">
        <w:rPr>
          <w:b/>
          <w:bCs/>
          <w:color w:val="auto"/>
          <w:szCs w:val="20"/>
          <w:lang w:val="en-AU"/>
        </w:rPr>
        <w:t>inclusive development</w:t>
      </w:r>
      <w:r w:rsidRPr="00843214">
        <w:rPr>
          <w:b/>
          <w:bCs/>
          <w:color w:val="auto"/>
          <w:szCs w:val="20"/>
          <w:lang w:val="en-AU"/>
        </w:rPr>
        <w:t xml:space="preserve"> </w:t>
      </w:r>
      <w:r w:rsidR="00F8051E" w:rsidRPr="00843214">
        <w:rPr>
          <w:b/>
          <w:bCs/>
          <w:color w:val="auto"/>
          <w:szCs w:val="20"/>
          <w:lang w:val="en-AU"/>
        </w:rPr>
        <w:t>normatively and programmatically</w:t>
      </w:r>
      <w:r w:rsidR="00CF7FA9" w:rsidRPr="00843214">
        <w:rPr>
          <w:b/>
          <w:bCs/>
          <w:color w:val="auto"/>
          <w:szCs w:val="20"/>
          <w:lang w:val="en-AU"/>
        </w:rPr>
        <w:t>, which to date has contributed to mixed results against this SPF objective</w:t>
      </w:r>
      <w:r w:rsidR="00CF7FA9" w:rsidRPr="00843214">
        <w:rPr>
          <w:color w:val="auto"/>
          <w:szCs w:val="20"/>
          <w:lang w:val="en-AU"/>
        </w:rPr>
        <w:t>.</w:t>
      </w:r>
      <w:r w:rsidR="00FE7D12" w:rsidRPr="00843214">
        <w:rPr>
          <w:b/>
          <w:bCs/>
          <w:color w:val="auto"/>
          <w:szCs w:val="20"/>
          <w:lang w:val="en-AU"/>
        </w:rPr>
        <w:t xml:space="preserve"> </w:t>
      </w:r>
      <w:r w:rsidR="00C1788C" w:rsidRPr="00843214">
        <w:rPr>
          <w:color w:val="auto"/>
          <w:szCs w:val="20"/>
          <w:lang w:val="en-AU"/>
        </w:rPr>
        <w:t>UN Women</w:t>
      </w:r>
      <w:r w:rsidR="00A05FB2" w:rsidRPr="00843214">
        <w:rPr>
          <w:color w:val="auto"/>
          <w:szCs w:val="20"/>
          <w:lang w:val="en-AU"/>
        </w:rPr>
        <w:t xml:space="preserve">’s reflection on the first two years of their strategic plan implementation indicates </w:t>
      </w:r>
      <w:r w:rsidR="004C4E64" w:rsidRPr="00843214">
        <w:rPr>
          <w:color w:val="auto"/>
          <w:szCs w:val="20"/>
          <w:lang w:val="en-AU"/>
        </w:rPr>
        <w:t xml:space="preserve">challenges gathering and effectively </w:t>
      </w:r>
      <w:r w:rsidR="00A05FB2" w:rsidRPr="00843214">
        <w:rPr>
          <w:color w:val="auto"/>
          <w:szCs w:val="20"/>
          <w:lang w:val="en-AU"/>
        </w:rPr>
        <w:t>disaggregating</w:t>
      </w:r>
      <w:r w:rsidR="00C1788C" w:rsidRPr="00843214">
        <w:rPr>
          <w:color w:val="auto"/>
          <w:szCs w:val="20"/>
          <w:lang w:val="en-AU"/>
        </w:rPr>
        <w:t xml:space="preserve"> data on women living with disabilities </w:t>
      </w:r>
      <w:r w:rsidR="004C4E64" w:rsidRPr="00843214">
        <w:rPr>
          <w:color w:val="auto"/>
          <w:szCs w:val="20"/>
          <w:lang w:val="en-AU"/>
        </w:rPr>
        <w:t xml:space="preserve">which </w:t>
      </w:r>
      <w:r w:rsidR="00C1788C" w:rsidRPr="00843214">
        <w:rPr>
          <w:color w:val="auto"/>
          <w:szCs w:val="20"/>
          <w:lang w:val="en-AU"/>
        </w:rPr>
        <w:t>constrains the ability to report on this objective</w:t>
      </w:r>
      <w:r w:rsidR="007A5348" w:rsidRPr="00843214">
        <w:rPr>
          <w:color w:val="auto"/>
          <w:szCs w:val="20"/>
          <w:lang w:val="en-AU"/>
        </w:rPr>
        <w:t xml:space="preserve">, </w:t>
      </w:r>
      <w:r w:rsidR="0000502B" w:rsidRPr="00843214">
        <w:rPr>
          <w:color w:val="auto"/>
          <w:szCs w:val="20"/>
          <w:lang w:val="en-AU"/>
        </w:rPr>
        <w:t>al</w:t>
      </w:r>
      <w:r w:rsidR="007A5348" w:rsidRPr="00843214">
        <w:rPr>
          <w:color w:val="auto"/>
          <w:szCs w:val="20"/>
          <w:lang w:val="en-AU"/>
        </w:rPr>
        <w:t xml:space="preserve">though this is </w:t>
      </w:r>
      <w:r w:rsidR="00205632" w:rsidRPr="00843214">
        <w:rPr>
          <w:color w:val="auto"/>
          <w:szCs w:val="20"/>
          <w:lang w:val="en-AU"/>
        </w:rPr>
        <w:t xml:space="preserve">also </w:t>
      </w:r>
      <w:r w:rsidR="007A5348" w:rsidRPr="00843214">
        <w:rPr>
          <w:color w:val="auto"/>
          <w:szCs w:val="20"/>
          <w:lang w:val="en-AU"/>
        </w:rPr>
        <w:t xml:space="preserve">an area where UN Women </w:t>
      </w:r>
      <w:r w:rsidR="00205632" w:rsidRPr="00843214">
        <w:rPr>
          <w:color w:val="auto"/>
          <w:szCs w:val="20"/>
          <w:lang w:val="en-AU"/>
        </w:rPr>
        <w:t>has more recently advocated for improvement</w:t>
      </w:r>
      <w:r w:rsidR="007A5348" w:rsidRPr="00843214">
        <w:rPr>
          <w:rStyle w:val="FootnoteReference"/>
          <w:color w:val="auto"/>
          <w:szCs w:val="20"/>
          <w:lang w:val="en-AU"/>
        </w:rPr>
        <w:footnoteReference w:id="46"/>
      </w:r>
      <w:r w:rsidR="00C1788C" w:rsidRPr="00843214">
        <w:rPr>
          <w:color w:val="auto"/>
          <w:szCs w:val="20"/>
          <w:lang w:val="en-AU"/>
        </w:rPr>
        <w:t xml:space="preserve">. </w:t>
      </w:r>
      <w:r w:rsidR="00595BF7" w:rsidRPr="00843214">
        <w:rPr>
          <w:color w:val="auto"/>
          <w:szCs w:val="20"/>
          <w:lang w:val="en-AU"/>
        </w:rPr>
        <w:t>DFAT</w:t>
      </w:r>
      <w:r w:rsidR="00A05FB2" w:rsidRPr="00843214">
        <w:rPr>
          <w:color w:val="auto"/>
          <w:szCs w:val="20"/>
          <w:lang w:val="en-AU"/>
        </w:rPr>
        <w:t xml:space="preserve">’s </w:t>
      </w:r>
      <w:r w:rsidR="0000502B" w:rsidRPr="00843214">
        <w:rPr>
          <w:color w:val="auto"/>
          <w:szCs w:val="20"/>
          <w:lang w:val="en-AU"/>
        </w:rPr>
        <w:t xml:space="preserve">2016 </w:t>
      </w:r>
      <w:r w:rsidR="00964D1C" w:rsidRPr="00843214">
        <w:rPr>
          <w:color w:val="auto"/>
          <w:lang w:val="en-AU"/>
        </w:rPr>
        <w:t>Annual Multilateral Performance Report (</w:t>
      </w:r>
      <w:r w:rsidR="0000502B" w:rsidRPr="00843214">
        <w:rPr>
          <w:color w:val="auto"/>
          <w:szCs w:val="20"/>
          <w:lang w:val="en-AU"/>
        </w:rPr>
        <w:t>AMPR</w:t>
      </w:r>
      <w:r w:rsidR="00964D1C" w:rsidRPr="00843214">
        <w:rPr>
          <w:color w:val="auto"/>
          <w:szCs w:val="20"/>
          <w:lang w:val="en-AU"/>
        </w:rPr>
        <w:t>)</w:t>
      </w:r>
      <w:r w:rsidR="0000502B" w:rsidRPr="00843214">
        <w:rPr>
          <w:color w:val="auto"/>
          <w:szCs w:val="20"/>
          <w:lang w:val="en-AU"/>
        </w:rPr>
        <w:t xml:space="preserve"> noted that UN Women needed to improve visibility of their extensive disability inclusive development efforts that included advocacy with government and integration into policy, the </w:t>
      </w:r>
      <w:r w:rsidR="00A05FB2" w:rsidRPr="00843214">
        <w:rPr>
          <w:color w:val="auto"/>
          <w:szCs w:val="20"/>
          <w:lang w:val="en-AU"/>
        </w:rPr>
        <w:t>2019</w:t>
      </w:r>
      <w:r w:rsidR="00595BF7" w:rsidRPr="00843214">
        <w:rPr>
          <w:color w:val="auto"/>
          <w:szCs w:val="20"/>
          <w:lang w:val="en-AU"/>
        </w:rPr>
        <w:t xml:space="preserve"> AMPR note</w:t>
      </w:r>
      <w:r w:rsidR="00A05FB2" w:rsidRPr="00843214">
        <w:rPr>
          <w:color w:val="auto"/>
          <w:szCs w:val="20"/>
          <w:lang w:val="en-AU"/>
        </w:rPr>
        <w:t>s</w:t>
      </w:r>
      <w:r w:rsidR="006C57E5" w:rsidRPr="00843214">
        <w:rPr>
          <w:color w:val="auto"/>
          <w:szCs w:val="20"/>
          <w:lang w:val="en-AU"/>
        </w:rPr>
        <w:t xml:space="preserve"> </w:t>
      </w:r>
      <w:r w:rsidR="00A05FB2" w:rsidRPr="00843214">
        <w:rPr>
          <w:color w:val="auto"/>
          <w:szCs w:val="20"/>
          <w:lang w:val="en-AU"/>
        </w:rPr>
        <w:t>‘</w:t>
      </w:r>
      <w:r w:rsidR="006C57E5" w:rsidRPr="00843214">
        <w:rPr>
          <w:color w:val="auto"/>
          <w:szCs w:val="20"/>
          <w:lang w:val="en-AU"/>
        </w:rPr>
        <w:t xml:space="preserve">Although some UN Women programs are addressing disability inclusion, UN Women </w:t>
      </w:r>
      <w:r w:rsidR="00A05FB2" w:rsidRPr="00843214">
        <w:rPr>
          <w:color w:val="auto"/>
          <w:szCs w:val="20"/>
          <w:lang w:val="en-AU"/>
        </w:rPr>
        <w:t>could do more to prioritise disability inclusion in their programs’</w:t>
      </w:r>
      <w:r w:rsidR="0000502B" w:rsidRPr="00843214">
        <w:rPr>
          <w:color w:val="auto"/>
          <w:szCs w:val="20"/>
          <w:lang w:val="en-AU"/>
        </w:rPr>
        <w:t>, while the 2020 AMPR ‘encourage[s] UN Women to initiate more targeted and strategic change’</w:t>
      </w:r>
      <w:r w:rsidR="00A05FB2" w:rsidRPr="00843214">
        <w:rPr>
          <w:rStyle w:val="FootnoteReference"/>
          <w:color w:val="auto"/>
          <w:szCs w:val="20"/>
          <w:lang w:val="en-AU"/>
        </w:rPr>
        <w:footnoteReference w:id="47"/>
      </w:r>
      <w:r w:rsidR="00A05FB2" w:rsidRPr="00843214">
        <w:rPr>
          <w:color w:val="auto"/>
          <w:szCs w:val="20"/>
          <w:lang w:val="en-AU"/>
        </w:rPr>
        <w:t xml:space="preserve">. </w:t>
      </w:r>
    </w:p>
    <w:p w14:paraId="60C1D2EB" w14:textId="77777777" w:rsidR="005E0D88" w:rsidRPr="00843214" w:rsidRDefault="005E0D88" w:rsidP="005E0D88">
      <w:pPr>
        <w:rPr>
          <w:color w:val="auto"/>
          <w:lang w:val="en-AU"/>
        </w:rPr>
      </w:pPr>
      <w:r w:rsidRPr="00843214">
        <w:rPr>
          <w:b/>
          <w:bCs/>
          <w:color w:val="auto"/>
          <w:lang w:val="en-AU"/>
        </w:rPr>
        <w:t>The Partnership contributed to the UN flagship report on disability (2018), which supported reporting on international normative frameworks on disability and gender and the situation of women and girls with disabilities</w:t>
      </w:r>
      <w:r w:rsidRPr="00843214">
        <w:rPr>
          <w:color w:val="auto"/>
          <w:lang w:val="en-AU"/>
        </w:rPr>
        <w:t xml:space="preserve">. The footprint of Australia and of UN </w:t>
      </w:r>
      <w:r w:rsidRPr="00843214">
        <w:rPr>
          <w:color w:val="auto"/>
          <w:szCs w:val="20"/>
          <w:lang w:val="en-AU"/>
        </w:rPr>
        <w:t>Women</w:t>
      </w:r>
      <w:r w:rsidRPr="00843214">
        <w:rPr>
          <w:color w:val="auto"/>
          <w:lang w:val="en-AU"/>
        </w:rPr>
        <w:t xml:space="preserve"> is evident in the data reported and the gender lens that is brought to the analysis. </w:t>
      </w:r>
    </w:p>
    <w:p w14:paraId="412E6F32" w14:textId="10899BBC" w:rsidR="001F5E62" w:rsidRPr="00843214" w:rsidRDefault="00F8051E" w:rsidP="001F5E62">
      <w:pPr>
        <w:rPr>
          <w:color w:val="auto"/>
          <w:lang w:val="en-AU"/>
        </w:rPr>
      </w:pPr>
      <w:bookmarkStart w:id="48" w:name="_Hlk67577338"/>
      <w:r w:rsidRPr="00843214">
        <w:rPr>
          <w:b/>
          <w:bCs/>
          <w:color w:val="auto"/>
          <w:lang w:val="en-AU"/>
        </w:rPr>
        <w:t>UN Women has led advocacy initiatives and has expanded its work with CSOs to include disability rights groups.</w:t>
      </w:r>
      <w:r w:rsidRPr="00843214">
        <w:rPr>
          <w:color w:val="auto"/>
          <w:lang w:val="en-AU"/>
        </w:rPr>
        <w:t xml:space="preserve"> </w:t>
      </w:r>
      <w:bookmarkEnd w:id="48"/>
      <w:r w:rsidRPr="00843214">
        <w:rPr>
          <w:color w:val="auto"/>
          <w:lang w:val="en-AU"/>
        </w:rPr>
        <w:t>Through the UN</w:t>
      </w:r>
      <w:r w:rsidR="00C82AF0" w:rsidRPr="00843214">
        <w:rPr>
          <w:color w:val="auto"/>
          <w:lang w:val="en-AU"/>
        </w:rPr>
        <w:t>TF for</w:t>
      </w:r>
      <w:r w:rsidRPr="00843214">
        <w:rPr>
          <w:color w:val="auto"/>
          <w:lang w:val="en-AU"/>
        </w:rPr>
        <w:t xml:space="preserve"> EVAW, UN Women has opened the first special thematic funding window on violence against women and girls living with disabilities</w:t>
      </w:r>
      <w:r w:rsidR="00500AF3" w:rsidRPr="00843214">
        <w:rPr>
          <w:color w:val="auto"/>
          <w:lang w:val="en-AU"/>
        </w:rPr>
        <w:t>,</w:t>
      </w:r>
      <w:r w:rsidRPr="00843214">
        <w:rPr>
          <w:color w:val="auto"/>
          <w:lang w:val="en-AU"/>
        </w:rPr>
        <w:t xml:space="preserve"> which has so far awarded and managed 20 projects targeting women with disabilities in 19 countries and territories</w:t>
      </w:r>
      <w:r w:rsidR="001F5E62" w:rsidRPr="00843214">
        <w:rPr>
          <w:color w:val="auto"/>
          <w:lang w:val="en-AU"/>
        </w:rPr>
        <w:t>. Further, the Essential Services Package to EVAW</w:t>
      </w:r>
      <w:r w:rsidR="0079766A" w:rsidRPr="00843214">
        <w:rPr>
          <w:color w:val="auto"/>
          <w:lang w:val="en-AU"/>
        </w:rPr>
        <w:t>G</w:t>
      </w:r>
      <w:r w:rsidR="001F5E62" w:rsidRPr="00843214">
        <w:rPr>
          <w:color w:val="auto"/>
          <w:lang w:val="en-AU"/>
        </w:rPr>
        <w:t xml:space="preserve"> has a strong intersectional orientation and is inclusive of women </w:t>
      </w:r>
      <w:r w:rsidR="00500AF3" w:rsidRPr="00843214">
        <w:rPr>
          <w:color w:val="auto"/>
          <w:lang w:val="en-AU"/>
        </w:rPr>
        <w:t xml:space="preserve">and girls </w:t>
      </w:r>
      <w:r w:rsidR="001F5E62" w:rsidRPr="00843214">
        <w:rPr>
          <w:color w:val="auto"/>
          <w:lang w:val="en-AU"/>
        </w:rPr>
        <w:t xml:space="preserve">with disabilities. In </w:t>
      </w:r>
      <w:r w:rsidR="00D90D0E" w:rsidRPr="00843214">
        <w:rPr>
          <w:color w:val="auto"/>
          <w:lang w:val="en-AU"/>
        </w:rPr>
        <w:t xml:space="preserve">the </w:t>
      </w:r>
      <w:r w:rsidR="001F5E62" w:rsidRPr="00843214">
        <w:rPr>
          <w:color w:val="auto"/>
          <w:lang w:val="en-AU"/>
        </w:rPr>
        <w:t>Asia</w:t>
      </w:r>
      <w:r w:rsidR="00D90D0E" w:rsidRPr="00843214">
        <w:rPr>
          <w:color w:val="auto"/>
          <w:lang w:val="en-AU"/>
        </w:rPr>
        <w:t>-</w:t>
      </w:r>
      <w:r w:rsidR="001F5E62" w:rsidRPr="00843214">
        <w:rPr>
          <w:color w:val="auto"/>
          <w:lang w:val="en-AU"/>
        </w:rPr>
        <w:t>Pacific, initiatives to bring attention to violence against women with disabilities have been used and replicated across the region.</w:t>
      </w:r>
      <w:r w:rsidR="00FC59A6" w:rsidRPr="00843214">
        <w:rPr>
          <w:color w:val="auto"/>
        </w:rPr>
        <w:t xml:space="preserve"> </w:t>
      </w:r>
      <w:r w:rsidR="00FC59A6" w:rsidRPr="00843214">
        <w:rPr>
          <w:color w:val="auto"/>
          <w:lang w:val="en-AU"/>
        </w:rPr>
        <w:t>WPHF has also recently initiated tracking projects focused on integrating women and girls with disabilities (together with other women and girls facing intersectional forms of discrimination) as one of the scoring criteria in proposals for projects.</w:t>
      </w:r>
    </w:p>
    <w:p w14:paraId="57D5AB79" w14:textId="5F5E5108" w:rsidR="00F8051E" w:rsidRPr="00843214" w:rsidRDefault="00CF7FA9" w:rsidP="00F8051E">
      <w:pPr>
        <w:rPr>
          <w:color w:val="auto"/>
          <w:lang w:val="en-AU"/>
        </w:rPr>
      </w:pPr>
      <w:r w:rsidRPr="00843214">
        <w:rPr>
          <w:b/>
          <w:bCs/>
          <w:color w:val="auto"/>
          <w:lang w:val="en-AU"/>
        </w:rPr>
        <w:t>With</w:t>
      </w:r>
      <w:r w:rsidR="00F8051E" w:rsidRPr="00843214">
        <w:rPr>
          <w:b/>
          <w:bCs/>
          <w:color w:val="auto"/>
          <w:lang w:val="en-AU"/>
        </w:rPr>
        <w:t xml:space="preserve"> DFAT’s support, disability has become a key consideration in UN Women’s </w:t>
      </w:r>
      <w:r w:rsidR="007A2FF4" w:rsidRPr="00843214">
        <w:rPr>
          <w:b/>
          <w:bCs/>
          <w:color w:val="auto"/>
          <w:lang w:val="en-AU"/>
        </w:rPr>
        <w:t>DRR</w:t>
      </w:r>
      <w:r w:rsidR="00F8051E" w:rsidRPr="00843214">
        <w:rPr>
          <w:b/>
          <w:bCs/>
          <w:color w:val="auto"/>
          <w:lang w:val="en-AU"/>
        </w:rPr>
        <w:t xml:space="preserve"> work.</w:t>
      </w:r>
      <w:r w:rsidR="00F8051E" w:rsidRPr="00843214">
        <w:rPr>
          <w:color w:val="auto"/>
          <w:lang w:val="en-AU"/>
        </w:rPr>
        <w:t xml:space="preserve"> The</w:t>
      </w:r>
      <w:r w:rsidR="0061198A" w:rsidRPr="00843214">
        <w:rPr>
          <w:color w:val="auto"/>
          <w:lang w:val="en-AU"/>
        </w:rPr>
        <w:t xml:space="preserve"> Inception</w:t>
      </w:r>
      <w:r w:rsidR="00F8051E" w:rsidRPr="00843214">
        <w:rPr>
          <w:color w:val="auto"/>
          <w:lang w:val="en-AU"/>
        </w:rPr>
        <w:t xml:space="preserve"> W</w:t>
      </w:r>
      <w:r w:rsidR="005715D5" w:rsidRPr="00843214">
        <w:rPr>
          <w:color w:val="auto"/>
          <w:lang w:val="en-AU"/>
        </w:rPr>
        <w:t>RD</w:t>
      </w:r>
      <w:r w:rsidR="00F8051E" w:rsidRPr="00843214">
        <w:rPr>
          <w:color w:val="auto"/>
          <w:lang w:val="en-AU"/>
        </w:rPr>
        <w:t xml:space="preserve"> program</w:t>
      </w:r>
      <w:r w:rsidR="0061198A" w:rsidRPr="00843214">
        <w:rPr>
          <w:rStyle w:val="FootnoteReference"/>
          <w:color w:val="auto"/>
          <w:lang w:val="en-AU"/>
        </w:rPr>
        <w:footnoteReference w:id="48"/>
      </w:r>
      <w:r w:rsidR="00F8051E" w:rsidRPr="00843214">
        <w:rPr>
          <w:color w:val="auto"/>
          <w:lang w:val="en-AU"/>
        </w:rPr>
        <w:t xml:space="preserve"> was </w:t>
      </w:r>
      <w:r w:rsidR="00710C2C" w:rsidRPr="00843214">
        <w:rPr>
          <w:color w:val="auto"/>
          <w:lang w:val="en-AU"/>
        </w:rPr>
        <w:t xml:space="preserve">designed </w:t>
      </w:r>
      <w:r w:rsidR="00F8051E" w:rsidRPr="00843214">
        <w:rPr>
          <w:color w:val="auto"/>
          <w:lang w:val="en-AU"/>
        </w:rPr>
        <w:t xml:space="preserve">in a disability-inclusive manner and has a strong focus on sex, age and disability disaggregated data collection and reporting and gender, </w:t>
      </w:r>
      <w:proofErr w:type="gramStart"/>
      <w:r w:rsidR="00F8051E" w:rsidRPr="00843214">
        <w:rPr>
          <w:color w:val="auto"/>
          <w:lang w:val="en-AU"/>
        </w:rPr>
        <w:t>age</w:t>
      </w:r>
      <w:proofErr w:type="gramEnd"/>
      <w:r w:rsidR="00F8051E" w:rsidRPr="00843214">
        <w:rPr>
          <w:color w:val="auto"/>
          <w:lang w:val="en-AU"/>
        </w:rPr>
        <w:t xml:space="preserve"> and disability responsive service provision. The program also tracks gender and disability responsive policy progress in </w:t>
      </w:r>
      <w:r w:rsidR="007A2FF4" w:rsidRPr="00843214">
        <w:rPr>
          <w:color w:val="auto"/>
          <w:lang w:val="en-AU"/>
        </w:rPr>
        <w:t>DRR</w:t>
      </w:r>
      <w:r w:rsidR="00F8051E" w:rsidRPr="00843214">
        <w:rPr>
          <w:color w:val="auto"/>
          <w:lang w:val="en-AU"/>
        </w:rPr>
        <w:t xml:space="preserve"> on its </w:t>
      </w:r>
      <w:hyperlink r:id="rId20">
        <w:r w:rsidR="0DDDD63D" w:rsidRPr="00843214">
          <w:rPr>
            <w:rStyle w:val="Hyperlink"/>
            <w:color w:val="auto"/>
            <w:u w:val="none"/>
            <w:lang w:val="en-AU"/>
          </w:rPr>
          <w:t>WRD Knowledge Hub</w:t>
        </w:r>
      </w:hyperlink>
      <w:r w:rsidR="004C4E64" w:rsidRPr="00843214">
        <w:rPr>
          <w:rStyle w:val="FootnoteReference"/>
          <w:color w:val="auto"/>
          <w:lang w:val="en-AU"/>
        </w:rPr>
        <w:footnoteReference w:id="49"/>
      </w:r>
      <w:r w:rsidR="00F8051E" w:rsidRPr="00843214">
        <w:rPr>
          <w:color w:val="auto"/>
          <w:lang w:val="en-AU"/>
        </w:rPr>
        <w:t>.</w:t>
      </w:r>
      <w:r w:rsidR="001F5E62" w:rsidRPr="00843214">
        <w:rPr>
          <w:color w:val="auto"/>
          <w:lang w:val="en-AU"/>
        </w:rPr>
        <w:t xml:space="preserve"> Further, UN Women’s 2020 report </w:t>
      </w:r>
      <w:r w:rsidR="001F5E62" w:rsidRPr="00843214">
        <w:rPr>
          <w:i/>
          <w:color w:val="auto"/>
          <w:lang w:val="en-AU"/>
        </w:rPr>
        <w:t>Review of gender-responsiveness and disability-inclusion in disaster risk reduction in Asia and the Pacific</w:t>
      </w:r>
      <w:r w:rsidR="001F5E62" w:rsidRPr="00843214">
        <w:rPr>
          <w:color w:val="auto"/>
          <w:lang w:val="en-AU"/>
        </w:rPr>
        <w:t xml:space="preserve"> (partially funded by </w:t>
      </w:r>
      <w:r w:rsidR="03E9BC0C" w:rsidRPr="00843214">
        <w:rPr>
          <w:color w:val="auto"/>
          <w:lang w:val="en-AU"/>
        </w:rPr>
        <w:t>DF</w:t>
      </w:r>
      <w:r w:rsidR="00FF1A61" w:rsidRPr="00843214">
        <w:rPr>
          <w:color w:val="auto"/>
          <w:lang w:val="en-AU"/>
        </w:rPr>
        <w:t>AT</w:t>
      </w:r>
      <w:r w:rsidR="001F5E62" w:rsidRPr="00843214">
        <w:rPr>
          <w:color w:val="auto"/>
          <w:lang w:val="en-AU"/>
        </w:rPr>
        <w:t>) assess</w:t>
      </w:r>
      <w:r w:rsidR="00500AF3" w:rsidRPr="00843214">
        <w:rPr>
          <w:color w:val="auto"/>
          <w:lang w:val="en-AU"/>
        </w:rPr>
        <w:t>es</w:t>
      </w:r>
      <w:r w:rsidR="001F5E62" w:rsidRPr="00843214">
        <w:rPr>
          <w:color w:val="auto"/>
          <w:lang w:val="en-AU"/>
        </w:rPr>
        <w:t xml:space="preserve"> the extent </w:t>
      </w:r>
      <w:r w:rsidR="00500AF3" w:rsidRPr="00843214">
        <w:rPr>
          <w:color w:val="auto"/>
          <w:lang w:val="en-AU"/>
        </w:rPr>
        <w:t>to which</w:t>
      </w:r>
      <w:r w:rsidR="001F5E62" w:rsidRPr="00843214">
        <w:rPr>
          <w:color w:val="auto"/>
          <w:lang w:val="en-AU"/>
        </w:rPr>
        <w:t xml:space="preserve"> progress towards </w:t>
      </w:r>
      <w:r w:rsidR="00500AF3" w:rsidRPr="00843214">
        <w:rPr>
          <w:color w:val="auto"/>
          <w:lang w:val="en-AU"/>
        </w:rPr>
        <w:t xml:space="preserve">the Sendai Framework for DRR </w:t>
      </w:r>
      <w:r w:rsidR="001F5E62" w:rsidRPr="00843214">
        <w:rPr>
          <w:color w:val="auto"/>
          <w:lang w:val="en-AU"/>
        </w:rPr>
        <w:t xml:space="preserve">targets has been gender-responsive and disability-inclusive. </w:t>
      </w:r>
    </w:p>
    <w:p w14:paraId="68F1D107" w14:textId="3B6C8D27" w:rsidR="00F8051E" w:rsidRPr="00843214" w:rsidRDefault="00F8051E" w:rsidP="00467C4F">
      <w:pPr>
        <w:pStyle w:val="Heading4"/>
        <w:rPr>
          <w:b/>
          <w:bCs/>
          <w:color w:val="auto"/>
          <w:sz w:val="25"/>
          <w:szCs w:val="32"/>
          <w:lang w:val="en-AU"/>
        </w:rPr>
      </w:pPr>
      <w:r w:rsidRPr="00843214">
        <w:rPr>
          <w:b/>
          <w:bCs/>
          <w:color w:val="auto"/>
          <w:sz w:val="25"/>
          <w:szCs w:val="32"/>
          <w:lang w:val="en-AU"/>
        </w:rPr>
        <w:lastRenderedPageBreak/>
        <w:t>Objective 9: Private Sector and Innovation</w:t>
      </w:r>
    </w:p>
    <w:tbl>
      <w:tblPr>
        <w:tblStyle w:val="TableGridLight"/>
        <w:tblW w:w="5000" w:type="pct"/>
        <w:tblBorders>
          <w:top w:val="single" w:sz="8" w:space="0" w:color="A50050" w:themeColor="accent3"/>
          <w:left w:val="single" w:sz="8" w:space="0" w:color="A50050" w:themeColor="accent3"/>
          <w:bottom w:val="single" w:sz="8" w:space="0" w:color="A50050" w:themeColor="accent3"/>
          <w:right w:val="single" w:sz="8" w:space="0" w:color="A50050" w:themeColor="accent3"/>
          <w:insideH w:val="single" w:sz="8" w:space="0" w:color="A50050" w:themeColor="accent3"/>
          <w:insideV w:val="single" w:sz="8" w:space="0" w:color="A50050" w:themeColor="accent3"/>
        </w:tblBorders>
        <w:tblLook w:val="04A0" w:firstRow="1" w:lastRow="0" w:firstColumn="1" w:lastColumn="0" w:noHBand="0" w:noVBand="1"/>
      </w:tblPr>
      <w:tblGrid>
        <w:gridCol w:w="5224"/>
        <w:gridCol w:w="870"/>
        <w:gridCol w:w="2912"/>
      </w:tblGrid>
      <w:tr w:rsidR="00843214" w:rsidRPr="00843214" w14:paraId="74D7D315" w14:textId="77777777" w:rsidTr="00DA0920">
        <w:trPr>
          <w:trHeight w:val="454"/>
        </w:trPr>
        <w:tc>
          <w:tcPr>
            <w:tcW w:w="2915" w:type="pct"/>
          </w:tcPr>
          <w:p w14:paraId="3B1790B5" w14:textId="12BF036B" w:rsidR="000E26C6" w:rsidRPr="00843214" w:rsidRDefault="000E26C6" w:rsidP="000E26C6">
            <w:pPr>
              <w:rPr>
                <w:color w:val="auto"/>
                <w:sz w:val="16"/>
                <w:szCs w:val="16"/>
                <w:lang w:val="en-AU"/>
              </w:rPr>
            </w:pPr>
            <w:r w:rsidRPr="00843214">
              <w:rPr>
                <w:rFonts w:cstheme="minorHAnsi"/>
                <w:b/>
                <w:bCs/>
                <w:color w:val="auto"/>
                <w:lang w:val="en-AU"/>
              </w:rPr>
              <w:t>SPF objective and sub-objectives</w:t>
            </w:r>
          </w:p>
        </w:tc>
        <w:tc>
          <w:tcPr>
            <w:tcW w:w="454" w:type="pct"/>
            <w:shd w:val="clear" w:color="auto" w:fill="FFC000"/>
          </w:tcPr>
          <w:p w14:paraId="12173A9C" w14:textId="44F2E5B4" w:rsidR="000E26C6" w:rsidRPr="00843214" w:rsidRDefault="000E26C6" w:rsidP="000E26C6">
            <w:pPr>
              <w:rPr>
                <w:color w:val="auto"/>
                <w:sz w:val="16"/>
                <w:szCs w:val="16"/>
                <w:lang w:val="en-AU"/>
              </w:rPr>
            </w:pPr>
            <w:r w:rsidRPr="00843214">
              <w:rPr>
                <w:b/>
                <w:bCs/>
                <w:color w:val="auto"/>
                <w:lang w:val="en-AU"/>
              </w:rPr>
              <w:t>Rating</w:t>
            </w:r>
          </w:p>
        </w:tc>
        <w:tc>
          <w:tcPr>
            <w:tcW w:w="1631" w:type="pct"/>
            <w:shd w:val="clear" w:color="auto" w:fill="auto"/>
          </w:tcPr>
          <w:p w14:paraId="203037C2" w14:textId="35630F52" w:rsidR="000E26C6" w:rsidRPr="00843214" w:rsidRDefault="000E26C6" w:rsidP="000E26C6">
            <w:pPr>
              <w:rPr>
                <w:color w:val="auto"/>
                <w:sz w:val="16"/>
                <w:szCs w:val="16"/>
                <w:lang w:val="en-AU"/>
              </w:rPr>
            </w:pPr>
            <w:r w:rsidRPr="00843214">
              <w:rPr>
                <w:b/>
                <w:bCs/>
                <w:color w:val="auto"/>
                <w:lang w:val="en-AU"/>
              </w:rPr>
              <w:t>Summary rationale for rating</w:t>
            </w:r>
          </w:p>
        </w:tc>
      </w:tr>
      <w:tr w:rsidR="00843214" w:rsidRPr="00843214" w14:paraId="21129D1E" w14:textId="77777777" w:rsidTr="00DA0920">
        <w:trPr>
          <w:trHeight w:val="547"/>
        </w:trPr>
        <w:tc>
          <w:tcPr>
            <w:tcW w:w="2915" w:type="pct"/>
          </w:tcPr>
          <w:p w14:paraId="45519DEE" w14:textId="77777777" w:rsidR="000E26C6" w:rsidRPr="00843214" w:rsidRDefault="000E26C6" w:rsidP="000E26C6">
            <w:pPr>
              <w:rPr>
                <w:color w:val="auto"/>
                <w:sz w:val="16"/>
                <w:szCs w:val="16"/>
                <w:lang w:val="en-AU"/>
              </w:rPr>
            </w:pPr>
            <w:r w:rsidRPr="00843214">
              <w:rPr>
                <w:color w:val="auto"/>
                <w:sz w:val="16"/>
                <w:szCs w:val="16"/>
                <w:lang w:val="en-AU"/>
              </w:rPr>
              <w:t>Private sector and innovation, including</w:t>
            </w:r>
          </w:p>
          <w:p w14:paraId="67249A43" w14:textId="77777777" w:rsidR="000E26C6" w:rsidRPr="00843214" w:rsidRDefault="000E26C6" w:rsidP="000E26C6">
            <w:pPr>
              <w:pStyle w:val="ListParagraph"/>
              <w:numPr>
                <w:ilvl w:val="0"/>
                <w:numId w:val="13"/>
              </w:numPr>
              <w:ind w:left="330" w:hanging="180"/>
              <w:rPr>
                <w:color w:val="auto"/>
                <w:sz w:val="16"/>
                <w:szCs w:val="16"/>
                <w:lang w:val="en-AU"/>
              </w:rPr>
            </w:pPr>
            <w:r w:rsidRPr="00843214">
              <w:rPr>
                <w:color w:val="auto"/>
                <w:sz w:val="16"/>
                <w:szCs w:val="16"/>
                <w:lang w:val="en-AU"/>
              </w:rPr>
              <w:t xml:space="preserve">Engaging with the private sector to leverage technical expertise, resources, public </w:t>
            </w:r>
            <w:proofErr w:type="gramStart"/>
            <w:r w:rsidRPr="00843214">
              <w:rPr>
                <w:color w:val="auto"/>
                <w:sz w:val="16"/>
                <w:szCs w:val="16"/>
                <w:lang w:val="en-AU"/>
              </w:rPr>
              <w:t>awareness</w:t>
            </w:r>
            <w:proofErr w:type="gramEnd"/>
            <w:r w:rsidRPr="00843214">
              <w:rPr>
                <w:color w:val="auto"/>
                <w:sz w:val="16"/>
                <w:szCs w:val="16"/>
                <w:lang w:val="en-AU"/>
              </w:rPr>
              <w:t xml:space="preserve"> and innovation in support of better gender equality outcomes.</w:t>
            </w:r>
          </w:p>
          <w:p w14:paraId="023EDE46" w14:textId="77777777" w:rsidR="000E26C6" w:rsidRPr="00843214" w:rsidRDefault="000E26C6" w:rsidP="000E26C6">
            <w:pPr>
              <w:pStyle w:val="ListParagraph"/>
              <w:numPr>
                <w:ilvl w:val="0"/>
                <w:numId w:val="13"/>
              </w:numPr>
              <w:ind w:left="330" w:hanging="180"/>
              <w:rPr>
                <w:color w:val="auto"/>
                <w:sz w:val="16"/>
                <w:szCs w:val="16"/>
                <w:lang w:val="en-AU"/>
              </w:rPr>
            </w:pPr>
            <w:r w:rsidRPr="00843214">
              <w:rPr>
                <w:color w:val="auto"/>
                <w:sz w:val="16"/>
                <w:szCs w:val="16"/>
                <w:lang w:val="en-AU"/>
              </w:rPr>
              <w:t>Collaborating with DFAT to share lessons learned in mainstreaming innovation and to identify new approaches to the delivery of assistance and development programs, especially in the Pacific; and</w:t>
            </w:r>
          </w:p>
          <w:p w14:paraId="6FD5DB35" w14:textId="40E1E66A" w:rsidR="000E26C6" w:rsidRPr="00843214" w:rsidRDefault="000E26C6" w:rsidP="000E26C6">
            <w:pPr>
              <w:pStyle w:val="ListParagraph"/>
              <w:numPr>
                <w:ilvl w:val="0"/>
                <w:numId w:val="13"/>
              </w:numPr>
              <w:ind w:left="330" w:hanging="180"/>
              <w:rPr>
                <w:color w:val="auto"/>
                <w:sz w:val="16"/>
                <w:szCs w:val="16"/>
                <w:lang w:val="en-AU"/>
              </w:rPr>
            </w:pPr>
            <w:r w:rsidRPr="00843214">
              <w:rPr>
                <w:color w:val="auto"/>
                <w:sz w:val="16"/>
                <w:szCs w:val="16"/>
                <w:lang w:val="en-AU"/>
              </w:rPr>
              <w:t>Fostering a culture of innovation in development, and to develop and use new tools and processes that deliver better results.</w:t>
            </w:r>
          </w:p>
        </w:tc>
        <w:tc>
          <w:tcPr>
            <w:tcW w:w="454" w:type="pct"/>
            <w:shd w:val="clear" w:color="auto" w:fill="FFC000"/>
          </w:tcPr>
          <w:p w14:paraId="36E368A6" w14:textId="77777777" w:rsidR="000E26C6" w:rsidRPr="00843214" w:rsidRDefault="000E26C6" w:rsidP="000E26C6">
            <w:pPr>
              <w:rPr>
                <w:color w:val="auto"/>
                <w:sz w:val="16"/>
                <w:szCs w:val="16"/>
                <w:lang w:val="en-AU"/>
              </w:rPr>
            </w:pPr>
          </w:p>
        </w:tc>
        <w:tc>
          <w:tcPr>
            <w:tcW w:w="1631" w:type="pct"/>
            <w:shd w:val="clear" w:color="auto" w:fill="auto"/>
          </w:tcPr>
          <w:p w14:paraId="7A476C4C" w14:textId="7769F4DB" w:rsidR="000E26C6" w:rsidRPr="00843214" w:rsidRDefault="000E26C6" w:rsidP="000E26C6">
            <w:pPr>
              <w:rPr>
                <w:color w:val="auto"/>
                <w:sz w:val="16"/>
                <w:szCs w:val="16"/>
                <w:lang w:val="en-AU"/>
              </w:rPr>
            </w:pPr>
            <w:r w:rsidRPr="00843214">
              <w:rPr>
                <w:color w:val="auto"/>
                <w:sz w:val="16"/>
                <w:szCs w:val="16"/>
                <w:lang w:val="en-AU"/>
              </w:rPr>
              <w:t xml:space="preserve">The Partnership has </w:t>
            </w:r>
            <w:proofErr w:type="gramStart"/>
            <w:r w:rsidRPr="00843214">
              <w:rPr>
                <w:color w:val="auto"/>
                <w:sz w:val="16"/>
                <w:szCs w:val="16"/>
                <w:lang w:val="en-AU"/>
              </w:rPr>
              <w:t>a number of</w:t>
            </w:r>
            <w:proofErr w:type="gramEnd"/>
            <w:r w:rsidRPr="00843214">
              <w:rPr>
                <w:color w:val="auto"/>
                <w:sz w:val="16"/>
                <w:szCs w:val="16"/>
                <w:lang w:val="en-AU"/>
              </w:rPr>
              <w:t xml:space="preserve"> initiatives underway to support work with the private sector and innovation. UN Women’s ambitions on private sector work has been constrained by limited capacity on private sector expertise.</w:t>
            </w:r>
          </w:p>
        </w:tc>
      </w:tr>
    </w:tbl>
    <w:p w14:paraId="06DAF309" w14:textId="76D51CED" w:rsidR="00A34A5D" w:rsidRPr="00843214" w:rsidRDefault="00F8051E" w:rsidP="00467C4F">
      <w:pPr>
        <w:spacing w:before="240"/>
        <w:rPr>
          <w:color w:val="auto"/>
          <w:lang w:val="en-AU"/>
        </w:rPr>
      </w:pPr>
      <w:r w:rsidRPr="00843214">
        <w:rPr>
          <w:b/>
          <w:bCs/>
          <w:color w:val="auto"/>
          <w:lang w:val="en-AU"/>
        </w:rPr>
        <w:t>Working with the private sector on shared priorities is a common objective of DFAT and UN Women</w:t>
      </w:r>
      <w:r w:rsidR="00B7404F" w:rsidRPr="00843214">
        <w:rPr>
          <w:b/>
          <w:bCs/>
          <w:color w:val="auto"/>
          <w:lang w:val="en-AU"/>
        </w:rPr>
        <w:t xml:space="preserve"> that</w:t>
      </w:r>
      <w:r w:rsidRPr="00843214">
        <w:rPr>
          <w:b/>
          <w:bCs/>
          <w:color w:val="auto"/>
          <w:lang w:val="en-AU"/>
        </w:rPr>
        <w:t xml:space="preserve"> has started to produce results</w:t>
      </w:r>
      <w:r w:rsidRPr="00843214">
        <w:rPr>
          <w:color w:val="auto"/>
          <w:lang w:val="en-AU"/>
        </w:rPr>
        <w:t xml:space="preserve">. </w:t>
      </w:r>
      <w:r w:rsidR="009D28DA" w:rsidRPr="00843214">
        <w:rPr>
          <w:b/>
          <w:color w:val="auto"/>
          <w:lang w:val="en-AU"/>
        </w:rPr>
        <w:t xml:space="preserve">UN Women’s initiatives are effective but require additional capacity and expertise. </w:t>
      </w:r>
      <w:r w:rsidR="004E041A" w:rsidRPr="00843214">
        <w:rPr>
          <w:color w:val="auto"/>
          <w:lang w:val="en-AU"/>
        </w:rPr>
        <w:t>Across its programming, strategic partnerships and c</w:t>
      </w:r>
      <w:r w:rsidRPr="00843214">
        <w:rPr>
          <w:color w:val="auto"/>
          <w:lang w:val="en-AU"/>
        </w:rPr>
        <w:t xml:space="preserve">oordination with the private sector has supported advocacy on </w:t>
      </w:r>
      <w:r w:rsidR="00704B72" w:rsidRPr="00843214">
        <w:rPr>
          <w:color w:val="auto"/>
          <w:lang w:val="en-AU"/>
        </w:rPr>
        <w:t>GEWE</w:t>
      </w:r>
      <w:r w:rsidRPr="00843214">
        <w:rPr>
          <w:color w:val="auto"/>
          <w:lang w:val="en-AU"/>
        </w:rPr>
        <w:t>,</w:t>
      </w:r>
      <w:r w:rsidR="0013790C" w:rsidRPr="00843214">
        <w:rPr>
          <w:color w:val="auto"/>
          <w:lang w:val="en-AU"/>
        </w:rPr>
        <w:t xml:space="preserve"> WPS,</w:t>
      </w:r>
      <w:r w:rsidRPr="00843214">
        <w:rPr>
          <w:color w:val="auto"/>
          <w:lang w:val="en-AU"/>
        </w:rPr>
        <w:t xml:space="preserve"> women’s economic issues, and EVAW</w:t>
      </w:r>
      <w:r w:rsidR="00ED3F8B" w:rsidRPr="00843214">
        <w:rPr>
          <w:color w:val="auto"/>
          <w:lang w:val="en-AU"/>
        </w:rPr>
        <w:t>G</w:t>
      </w:r>
      <w:r w:rsidRPr="00843214">
        <w:rPr>
          <w:color w:val="auto"/>
          <w:lang w:val="en-AU"/>
        </w:rPr>
        <w:t>.</w:t>
      </w:r>
      <w:r w:rsidR="00C82691" w:rsidRPr="00843214">
        <w:rPr>
          <w:color w:val="auto"/>
          <w:lang w:val="en-AU"/>
        </w:rPr>
        <w:t xml:space="preserve"> </w:t>
      </w:r>
      <w:r w:rsidR="00F25D30" w:rsidRPr="00843214">
        <w:rPr>
          <w:color w:val="auto"/>
          <w:lang w:val="en-AU"/>
        </w:rPr>
        <w:t>UN Women has contributed to the S</w:t>
      </w:r>
      <w:r w:rsidR="007A2FF4" w:rsidRPr="00843214">
        <w:rPr>
          <w:color w:val="auto"/>
          <w:lang w:val="en-AU"/>
        </w:rPr>
        <w:t>G’s</w:t>
      </w:r>
      <w:r w:rsidR="00F25D30" w:rsidRPr="00843214">
        <w:rPr>
          <w:color w:val="auto"/>
          <w:lang w:val="en-AU"/>
        </w:rPr>
        <w:t xml:space="preserve"> Task Force on Digital Financing, which has prompted the office to explore innovations.</w:t>
      </w:r>
      <w:r w:rsidR="001F0F9D" w:rsidRPr="00843214">
        <w:rPr>
          <w:color w:val="auto"/>
          <w:lang w:val="en-AU"/>
        </w:rPr>
        <w:t xml:space="preserve"> </w:t>
      </w:r>
      <w:r w:rsidR="004A390B" w:rsidRPr="00843214">
        <w:rPr>
          <w:color w:val="auto"/>
          <w:lang w:val="en-AU"/>
        </w:rPr>
        <w:t>Further, the UN Women Regional Office for Asia-Pacific EVAW and WEE teams have undertaken research on EVAW and sexual harassment in the workplace. However, U</w:t>
      </w:r>
      <w:r w:rsidR="004E041A" w:rsidRPr="00843214">
        <w:rPr>
          <w:color w:val="auto"/>
          <w:lang w:val="en-AU"/>
        </w:rPr>
        <w:t>N Women’s ambitions on corporate partnerships has been constrained by limited expertise from private sector specialists.</w:t>
      </w:r>
      <w:r w:rsidR="004E041A" w:rsidRPr="00843214">
        <w:rPr>
          <w:rStyle w:val="FootnoteReference"/>
          <w:color w:val="auto"/>
          <w:lang w:val="en-AU"/>
        </w:rPr>
        <w:footnoteReference w:id="50"/>
      </w:r>
      <w:r w:rsidR="004E041A" w:rsidRPr="00843214">
        <w:rPr>
          <w:color w:val="auto"/>
          <w:lang w:val="en-AU"/>
        </w:rPr>
        <w:t xml:space="preserve"> </w:t>
      </w:r>
    </w:p>
    <w:p w14:paraId="2F5CFB65" w14:textId="634466B0" w:rsidR="001E4083" w:rsidRPr="00843214" w:rsidRDefault="00F8051E" w:rsidP="00D42CCB">
      <w:pPr>
        <w:rPr>
          <w:rFonts w:eastAsia="HelveticaNeueLT Std" w:cs="HelveticaNeueLT Std"/>
          <w:color w:val="auto"/>
          <w:szCs w:val="22"/>
          <w:lang w:val="en-AU"/>
        </w:rPr>
      </w:pPr>
      <w:r w:rsidRPr="00843214">
        <w:rPr>
          <w:b/>
          <w:bCs/>
          <w:color w:val="auto"/>
          <w:lang w:val="en-AU"/>
        </w:rPr>
        <w:t>Independently, and in partnership with other UN agencies (e.g.</w:t>
      </w:r>
      <w:r w:rsidR="001E4083" w:rsidRPr="00843214">
        <w:rPr>
          <w:b/>
          <w:bCs/>
          <w:color w:val="auto"/>
          <w:lang w:val="en-AU"/>
        </w:rPr>
        <w:t xml:space="preserve">, </w:t>
      </w:r>
      <w:r w:rsidR="002755BB" w:rsidRPr="00843214">
        <w:rPr>
          <w:b/>
          <w:bCs/>
          <w:color w:val="auto"/>
          <w:lang w:val="en-AU"/>
        </w:rPr>
        <w:t xml:space="preserve">the </w:t>
      </w:r>
      <w:r w:rsidR="000203A1" w:rsidRPr="00843214">
        <w:rPr>
          <w:b/>
          <w:bCs/>
          <w:color w:val="auto"/>
          <w:lang w:val="en-AU"/>
        </w:rPr>
        <w:t xml:space="preserve">International Labour </w:t>
      </w:r>
      <w:r w:rsidR="002755BB" w:rsidRPr="00843214">
        <w:rPr>
          <w:b/>
          <w:bCs/>
          <w:color w:val="auto"/>
          <w:lang w:val="en-AU"/>
        </w:rPr>
        <w:t>Organisation, ILO</w:t>
      </w:r>
      <w:r w:rsidRPr="00843214">
        <w:rPr>
          <w:b/>
          <w:bCs/>
          <w:color w:val="auto"/>
          <w:lang w:val="en-AU"/>
        </w:rPr>
        <w:t>) UN Women is working with the private sector toward common objectives and global campaigns</w:t>
      </w:r>
      <w:r w:rsidRPr="00843214">
        <w:rPr>
          <w:color w:val="auto"/>
          <w:lang w:val="en-AU"/>
        </w:rPr>
        <w:t xml:space="preserve"> such as UN Women’s HeForShe</w:t>
      </w:r>
      <w:r w:rsidR="00F3485C" w:rsidRPr="00843214">
        <w:rPr>
          <w:color w:val="auto"/>
          <w:lang w:val="en-AU"/>
        </w:rPr>
        <w:t>.</w:t>
      </w:r>
      <w:r w:rsidR="00D42CCB" w:rsidRPr="00843214">
        <w:rPr>
          <w:color w:val="auto"/>
          <w:lang w:val="en-AU"/>
        </w:rPr>
        <w:t xml:space="preserve"> </w:t>
      </w:r>
      <w:r w:rsidR="24F1676A" w:rsidRPr="00843214">
        <w:rPr>
          <w:rFonts w:eastAsia="HelveticaNeueLT Std" w:cs="HelveticaNeueLT Std"/>
          <w:color w:val="auto"/>
          <w:szCs w:val="22"/>
          <w:lang w:val="en-AU"/>
        </w:rPr>
        <w:t xml:space="preserve">The planned Australian National Chapter of the </w:t>
      </w:r>
      <w:hyperlink r:id="rId21" w:history="1">
        <w:r w:rsidR="24F1676A" w:rsidRPr="00843214">
          <w:rPr>
            <w:rFonts w:eastAsia="HelveticaNeueLT Std" w:cs="HelveticaNeueLT Std"/>
            <w:color w:val="auto"/>
            <w:szCs w:val="22"/>
          </w:rPr>
          <w:t>Unstereotype Alliance</w:t>
        </w:r>
      </w:hyperlink>
      <w:r w:rsidR="24F1676A" w:rsidRPr="00843214">
        <w:rPr>
          <w:rFonts w:eastAsia="HelveticaNeueLT Std" w:cs="HelveticaNeueLT Std"/>
          <w:color w:val="auto"/>
          <w:szCs w:val="22"/>
          <w:lang w:val="en-AU"/>
        </w:rPr>
        <w:t xml:space="preserve"> will engage the private sector in eradicating harmful stereotypes and discrimination from advertising and media, galvani</w:t>
      </w:r>
      <w:r w:rsidR="00F8713A" w:rsidRPr="00843214">
        <w:rPr>
          <w:rFonts w:eastAsia="HelveticaNeueLT Std" w:cs="HelveticaNeueLT Std"/>
          <w:color w:val="auto"/>
          <w:szCs w:val="22"/>
          <w:lang w:val="en-AU"/>
        </w:rPr>
        <w:t>s</w:t>
      </w:r>
      <w:r w:rsidR="24F1676A" w:rsidRPr="00843214">
        <w:rPr>
          <w:rFonts w:eastAsia="HelveticaNeueLT Std" w:cs="HelveticaNeueLT Std"/>
          <w:color w:val="auto"/>
          <w:szCs w:val="22"/>
          <w:lang w:val="en-AU"/>
        </w:rPr>
        <w:t>ing a collective effort in diversity, equity and inclusion initiatives.</w:t>
      </w:r>
      <w:r w:rsidR="00D42CCB" w:rsidRPr="00843214">
        <w:rPr>
          <w:rFonts w:eastAsia="HelveticaNeueLT Std" w:cs="HelveticaNeueLT Std"/>
          <w:color w:val="auto"/>
          <w:szCs w:val="22"/>
          <w:lang w:val="en-AU"/>
        </w:rPr>
        <w:t xml:space="preserve"> </w:t>
      </w:r>
    </w:p>
    <w:p w14:paraId="1565AFC1" w14:textId="21517272" w:rsidR="00A12EDF" w:rsidRPr="00843214" w:rsidRDefault="001E4083" w:rsidP="00F8051E">
      <w:pPr>
        <w:rPr>
          <w:color w:val="auto"/>
          <w:lang w:val="en-AU"/>
        </w:rPr>
      </w:pPr>
      <w:r w:rsidRPr="00843214">
        <w:rPr>
          <w:b/>
          <w:bCs/>
          <w:color w:val="auto"/>
          <w:lang w:val="en-AU"/>
        </w:rPr>
        <w:t xml:space="preserve">UN Women is </w:t>
      </w:r>
      <w:r w:rsidR="007B589A" w:rsidRPr="00843214">
        <w:rPr>
          <w:b/>
          <w:bCs/>
          <w:color w:val="auto"/>
          <w:lang w:val="en-AU"/>
        </w:rPr>
        <w:t xml:space="preserve">using private sector partnerships to </w:t>
      </w:r>
      <w:r w:rsidRPr="00843214">
        <w:rPr>
          <w:b/>
          <w:bCs/>
          <w:color w:val="auto"/>
          <w:lang w:val="en-AU"/>
        </w:rPr>
        <w:t>explor</w:t>
      </w:r>
      <w:r w:rsidR="007B589A" w:rsidRPr="00843214">
        <w:rPr>
          <w:b/>
          <w:bCs/>
          <w:color w:val="auto"/>
          <w:lang w:val="en-AU"/>
        </w:rPr>
        <w:t>e</w:t>
      </w:r>
      <w:r w:rsidRPr="00843214">
        <w:rPr>
          <w:b/>
          <w:bCs/>
          <w:color w:val="auto"/>
          <w:lang w:val="en-AU"/>
        </w:rPr>
        <w:t xml:space="preserve"> options </w:t>
      </w:r>
      <w:r w:rsidR="00500AF3" w:rsidRPr="00843214">
        <w:rPr>
          <w:b/>
          <w:bCs/>
          <w:color w:val="auto"/>
          <w:lang w:val="en-AU"/>
        </w:rPr>
        <w:t>for engaging with IFIs, the private sector and institutional investors as potential partners</w:t>
      </w:r>
      <w:r w:rsidR="00500AF3" w:rsidRPr="00843214">
        <w:rPr>
          <w:rStyle w:val="FootnoteReference"/>
          <w:b/>
          <w:bCs/>
          <w:color w:val="auto"/>
          <w:lang w:val="en-AU"/>
        </w:rPr>
        <w:footnoteReference w:id="51"/>
      </w:r>
      <w:r w:rsidR="00500AF3" w:rsidRPr="00843214">
        <w:rPr>
          <w:color w:val="auto"/>
          <w:lang w:val="en-AU"/>
        </w:rPr>
        <w:t xml:space="preserve"> </w:t>
      </w:r>
      <w:r w:rsidRPr="00843214">
        <w:rPr>
          <w:b/>
          <w:bCs/>
          <w:color w:val="auto"/>
          <w:lang w:val="en-AU"/>
        </w:rPr>
        <w:t xml:space="preserve">and grow their expertise in innovative financing </w:t>
      </w:r>
      <w:r w:rsidR="00B71136" w:rsidRPr="00843214">
        <w:rPr>
          <w:b/>
          <w:bCs/>
          <w:color w:val="auto"/>
          <w:lang w:val="en-AU"/>
        </w:rPr>
        <w:t xml:space="preserve">and delivery </w:t>
      </w:r>
      <w:r w:rsidRPr="00843214">
        <w:rPr>
          <w:b/>
          <w:bCs/>
          <w:color w:val="auto"/>
          <w:lang w:val="en-AU"/>
        </w:rPr>
        <w:t>approaches</w:t>
      </w:r>
      <w:r w:rsidRPr="00843214">
        <w:rPr>
          <w:color w:val="auto"/>
          <w:lang w:val="en-AU"/>
        </w:rPr>
        <w:t xml:space="preserve">, such as gender development bonds and </w:t>
      </w:r>
      <w:r w:rsidR="0033636F" w:rsidRPr="00843214">
        <w:rPr>
          <w:color w:val="auto"/>
          <w:lang w:val="en-AU"/>
        </w:rPr>
        <w:t>International Financial Institutions (</w:t>
      </w:r>
      <w:r w:rsidRPr="00843214">
        <w:rPr>
          <w:color w:val="auto"/>
          <w:lang w:val="en-AU"/>
        </w:rPr>
        <w:t>IFI</w:t>
      </w:r>
      <w:r w:rsidR="0033636F" w:rsidRPr="00843214">
        <w:rPr>
          <w:color w:val="auto"/>
          <w:lang w:val="en-AU"/>
        </w:rPr>
        <w:t>)</w:t>
      </w:r>
      <w:r w:rsidRPr="00843214">
        <w:rPr>
          <w:color w:val="auto"/>
          <w:lang w:val="en-AU"/>
        </w:rPr>
        <w:t xml:space="preserve"> stimulus packages</w:t>
      </w:r>
      <w:r w:rsidR="00500AF3" w:rsidRPr="00843214">
        <w:rPr>
          <w:color w:val="auto"/>
          <w:lang w:val="en-AU"/>
        </w:rPr>
        <w:t xml:space="preserve">. </w:t>
      </w:r>
      <w:r w:rsidRPr="00843214">
        <w:rPr>
          <w:b/>
          <w:bCs/>
          <w:color w:val="auto"/>
          <w:lang w:val="en-AU"/>
        </w:rPr>
        <w:t>UN Women has leveraged resourcing through private sector partnerships</w:t>
      </w:r>
      <w:r w:rsidRPr="00843214">
        <w:rPr>
          <w:color w:val="auto"/>
          <w:lang w:val="en-AU"/>
        </w:rPr>
        <w:t xml:space="preserve"> including the Bill and Melinda Gates Foundation, Netflix and with high-profile individuals. In response to COVID-19, UN Women Asia-Pacific partnered with 12 Mobile Network Operators and with Indonesia</w:t>
      </w:r>
      <w:r w:rsidR="00A003E2" w:rsidRPr="00843214">
        <w:rPr>
          <w:color w:val="auto"/>
          <w:lang w:val="en-AU"/>
        </w:rPr>
        <w:t xml:space="preserve">’s ride share </w:t>
      </w:r>
      <w:r w:rsidR="00920946" w:rsidRPr="00843214">
        <w:rPr>
          <w:color w:val="auto"/>
          <w:lang w:val="en-AU"/>
        </w:rPr>
        <w:t>company</w:t>
      </w:r>
      <w:r w:rsidRPr="00843214">
        <w:rPr>
          <w:color w:val="auto"/>
          <w:lang w:val="en-AU"/>
        </w:rPr>
        <w:t xml:space="preserve"> Gojek</w:t>
      </w:r>
      <w:r w:rsidR="005D4C8E" w:rsidRPr="00843214">
        <w:rPr>
          <w:rStyle w:val="FootnoteReference"/>
          <w:color w:val="auto"/>
          <w:lang w:val="en-AU"/>
        </w:rPr>
        <w:footnoteReference w:id="52"/>
      </w:r>
      <w:r w:rsidRPr="00843214">
        <w:rPr>
          <w:color w:val="auto"/>
          <w:lang w:val="en-AU"/>
        </w:rPr>
        <w:t xml:space="preserve"> to collect gender data </w:t>
      </w:r>
      <w:r w:rsidR="00DA2B48" w:rsidRPr="00843214">
        <w:rPr>
          <w:color w:val="auto"/>
          <w:lang w:val="en-AU"/>
        </w:rPr>
        <w:t>on the impacts</w:t>
      </w:r>
      <w:r w:rsidR="00B01282" w:rsidRPr="00843214">
        <w:rPr>
          <w:color w:val="auto"/>
          <w:lang w:val="en-AU"/>
        </w:rPr>
        <w:t xml:space="preserve"> of the pandemic</w:t>
      </w:r>
      <w:r w:rsidRPr="00843214">
        <w:rPr>
          <w:color w:val="auto"/>
          <w:lang w:val="en-AU"/>
        </w:rPr>
        <w:t xml:space="preserve">. </w:t>
      </w:r>
      <w:r w:rsidR="00C43FE7" w:rsidRPr="00843214">
        <w:rPr>
          <w:b/>
          <w:bCs/>
          <w:color w:val="auto"/>
          <w:lang w:val="en-AU"/>
        </w:rPr>
        <w:t>I</w:t>
      </w:r>
      <w:r w:rsidR="00F8051E" w:rsidRPr="00843214">
        <w:rPr>
          <w:b/>
          <w:bCs/>
          <w:color w:val="auto"/>
          <w:lang w:val="en-AU"/>
        </w:rPr>
        <w:t>nnovative practices</w:t>
      </w:r>
      <w:r w:rsidR="005F263A" w:rsidRPr="00843214">
        <w:rPr>
          <w:b/>
          <w:bCs/>
          <w:color w:val="auto"/>
          <w:lang w:val="en-AU"/>
        </w:rPr>
        <w:t xml:space="preserve"> </w:t>
      </w:r>
      <w:r w:rsidR="00F8051E" w:rsidRPr="00843214">
        <w:rPr>
          <w:b/>
          <w:bCs/>
          <w:color w:val="auto"/>
          <w:lang w:val="en-AU"/>
        </w:rPr>
        <w:t xml:space="preserve">and </w:t>
      </w:r>
      <w:r w:rsidR="00D9455D" w:rsidRPr="00843214">
        <w:rPr>
          <w:b/>
          <w:bCs/>
          <w:color w:val="auto"/>
          <w:lang w:val="en-AU"/>
        </w:rPr>
        <w:t xml:space="preserve">private sector </w:t>
      </w:r>
      <w:r w:rsidR="00F8051E" w:rsidRPr="00843214">
        <w:rPr>
          <w:b/>
          <w:bCs/>
          <w:color w:val="auto"/>
          <w:lang w:val="en-AU"/>
        </w:rPr>
        <w:t>partnership</w:t>
      </w:r>
      <w:r w:rsidR="005264F7" w:rsidRPr="00843214">
        <w:rPr>
          <w:b/>
          <w:bCs/>
          <w:color w:val="auto"/>
          <w:lang w:val="en-AU"/>
        </w:rPr>
        <w:t>s</w:t>
      </w:r>
      <w:r w:rsidR="00F8051E" w:rsidRPr="00843214">
        <w:rPr>
          <w:b/>
          <w:bCs/>
          <w:color w:val="auto"/>
          <w:lang w:val="en-AU"/>
        </w:rPr>
        <w:t xml:space="preserve"> are </w:t>
      </w:r>
      <w:r w:rsidRPr="00843214">
        <w:rPr>
          <w:b/>
          <w:bCs/>
          <w:color w:val="auto"/>
          <w:lang w:val="en-AU"/>
        </w:rPr>
        <w:t xml:space="preserve">also </w:t>
      </w:r>
      <w:r w:rsidR="00F8051E" w:rsidRPr="00843214">
        <w:rPr>
          <w:b/>
          <w:bCs/>
          <w:color w:val="auto"/>
          <w:lang w:val="en-AU"/>
        </w:rPr>
        <w:t>being introduced to</w:t>
      </w:r>
      <w:r w:rsidR="00F25D30" w:rsidRPr="00843214">
        <w:rPr>
          <w:b/>
          <w:bCs/>
          <w:color w:val="auto"/>
          <w:lang w:val="en-AU"/>
        </w:rPr>
        <w:t xml:space="preserve"> non-core funded</w:t>
      </w:r>
      <w:r w:rsidR="00F8051E" w:rsidRPr="00843214">
        <w:rPr>
          <w:b/>
          <w:bCs/>
          <w:color w:val="auto"/>
          <w:lang w:val="en-AU"/>
        </w:rPr>
        <w:t xml:space="preserve"> initiatives supported through the Partnership</w:t>
      </w:r>
      <w:r w:rsidR="00F8051E" w:rsidRPr="00843214">
        <w:rPr>
          <w:color w:val="auto"/>
          <w:lang w:val="en-AU"/>
        </w:rPr>
        <w:t xml:space="preserve"> </w:t>
      </w:r>
      <w:r w:rsidR="00D9455D" w:rsidRPr="00843214">
        <w:rPr>
          <w:color w:val="auto"/>
          <w:lang w:val="en-AU"/>
        </w:rPr>
        <w:t xml:space="preserve">such </w:t>
      </w:r>
      <w:r w:rsidR="00920946" w:rsidRPr="00843214">
        <w:rPr>
          <w:color w:val="auto"/>
          <w:lang w:val="en-AU"/>
        </w:rPr>
        <w:t xml:space="preserve">as </w:t>
      </w:r>
      <w:r w:rsidR="00D9455D" w:rsidRPr="00843214">
        <w:rPr>
          <w:color w:val="auto"/>
          <w:lang w:val="en-AU"/>
        </w:rPr>
        <w:t>the partnerships in the W</w:t>
      </w:r>
      <w:r w:rsidR="009A1E81" w:rsidRPr="00843214">
        <w:rPr>
          <w:color w:val="auto"/>
          <w:lang w:val="en-AU"/>
        </w:rPr>
        <w:t>PHF</w:t>
      </w:r>
      <w:r w:rsidR="005F263A" w:rsidRPr="00843214">
        <w:rPr>
          <w:color w:val="auto"/>
          <w:lang w:val="en-AU"/>
        </w:rPr>
        <w:t xml:space="preserve"> to support the WPS agenda,</w:t>
      </w:r>
      <w:r w:rsidR="00D9455D" w:rsidRPr="00843214">
        <w:rPr>
          <w:color w:val="auto"/>
          <w:lang w:val="en-AU"/>
        </w:rPr>
        <w:t xml:space="preserve"> and</w:t>
      </w:r>
      <w:r w:rsidR="00F8051E" w:rsidRPr="00843214">
        <w:rPr>
          <w:color w:val="auto"/>
          <w:lang w:val="en-AU"/>
        </w:rPr>
        <w:t xml:space="preserve"> the Syria Package’s Oasis </w:t>
      </w:r>
      <w:r w:rsidR="00503E8D" w:rsidRPr="00843214">
        <w:rPr>
          <w:color w:val="auto"/>
          <w:lang w:val="en-AU"/>
        </w:rPr>
        <w:t>program</w:t>
      </w:r>
      <w:r w:rsidR="00F8051E" w:rsidRPr="00843214">
        <w:rPr>
          <w:color w:val="auto"/>
          <w:lang w:val="en-AU"/>
        </w:rPr>
        <w:t>’s innovative use of blockchain technology.</w:t>
      </w:r>
      <w:r w:rsidR="00DB4325" w:rsidRPr="00843214">
        <w:rPr>
          <w:color w:val="auto"/>
          <w:lang w:val="en-AU"/>
        </w:rPr>
        <w:t xml:space="preserve"> </w:t>
      </w:r>
      <w:r w:rsidR="00920946" w:rsidRPr="00843214">
        <w:rPr>
          <w:color w:val="auto"/>
          <w:lang w:val="en-AU"/>
        </w:rPr>
        <w:t xml:space="preserve">Conversely, </w:t>
      </w:r>
      <w:r w:rsidR="00F25D30" w:rsidRPr="00843214">
        <w:rPr>
          <w:color w:val="auto"/>
          <w:lang w:val="en-AU"/>
        </w:rPr>
        <w:t xml:space="preserve">DFAT has encouraged UN Women to </w:t>
      </w:r>
      <w:r w:rsidR="00920946" w:rsidRPr="00843214">
        <w:rPr>
          <w:color w:val="auto"/>
          <w:lang w:val="en-AU"/>
        </w:rPr>
        <w:t xml:space="preserve">their </w:t>
      </w:r>
      <w:r w:rsidR="00F25D30" w:rsidRPr="00843214">
        <w:rPr>
          <w:color w:val="auto"/>
          <w:lang w:val="en-AU"/>
        </w:rPr>
        <w:t>increase engagement with the private sector in the Markets for Change program</w:t>
      </w:r>
      <w:r w:rsidR="00F25D30" w:rsidRPr="00843214">
        <w:rPr>
          <w:rStyle w:val="FootnoteReference"/>
          <w:color w:val="auto"/>
          <w:lang w:val="en-AU"/>
        </w:rPr>
        <w:footnoteReference w:id="53"/>
      </w:r>
      <w:r w:rsidR="00F25D30" w:rsidRPr="00843214">
        <w:rPr>
          <w:color w:val="auto"/>
          <w:lang w:val="en-AU"/>
        </w:rPr>
        <w:t>.</w:t>
      </w:r>
      <w:r w:rsidR="00D9455D" w:rsidRPr="00843214">
        <w:rPr>
          <w:color w:val="auto"/>
        </w:rPr>
        <w:t xml:space="preserve"> </w:t>
      </w:r>
    </w:p>
    <w:p w14:paraId="3711D274" w14:textId="0540050B" w:rsidR="00AC3BD0" w:rsidRPr="00843214" w:rsidRDefault="00483DCB" w:rsidP="00AC3BD0">
      <w:pPr>
        <w:pStyle w:val="Heading3"/>
        <w:rPr>
          <w:color w:val="auto"/>
          <w:lang w:val="en-AU"/>
        </w:rPr>
      </w:pPr>
      <w:bookmarkStart w:id="49" w:name="_Toc69376660"/>
      <w:r w:rsidRPr="00843214">
        <w:rPr>
          <w:color w:val="auto"/>
          <w:lang w:val="en-AU"/>
        </w:rPr>
        <w:t>Factors that s</w:t>
      </w:r>
      <w:r w:rsidR="00AC3BD0" w:rsidRPr="00843214">
        <w:rPr>
          <w:color w:val="auto"/>
          <w:lang w:val="en-AU"/>
        </w:rPr>
        <w:t>upport or constrain progress</w:t>
      </w:r>
      <w:bookmarkEnd w:id="49"/>
    </w:p>
    <w:p w14:paraId="24D66AAB" w14:textId="1839AD6F" w:rsidR="00D574F6" w:rsidRPr="00843214" w:rsidRDefault="004E3B47" w:rsidP="00DE5F0A">
      <w:pPr>
        <w:rPr>
          <w:color w:val="auto"/>
          <w:lang w:val="en-GB"/>
        </w:rPr>
      </w:pPr>
      <w:r w:rsidRPr="00843214">
        <w:rPr>
          <w:color w:val="auto"/>
          <w:lang w:val="en-GB"/>
        </w:rPr>
        <w:t xml:space="preserve">There are several factors that support or constrain </w:t>
      </w:r>
      <w:r w:rsidR="001133F8" w:rsidRPr="00843214">
        <w:rPr>
          <w:color w:val="auto"/>
          <w:lang w:val="en-GB"/>
        </w:rPr>
        <w:t xml:space="preserve">SPF </w:t>
      </w:r>
      <w:r w:rsidRPr="00843214">
        <w:rPr>
          <w:color w:val="auto"/>
          <w:lang w:val="en-GB"/>
        </w:rPr>
        <w:t xml:space="preserve">progress. </w:t>
      </w:r>
      <w:r w:rsidR="001133F8" w:rsidRPr="00843214">
        <w:rPr>
          <w:color w:val="auto"/>
          <w:lang w:val="en-GB"/>
        </w:rPr>
        <w:t xml:space="preserve">DFAT and UN Women’s strong strategic </w:t>
      </w:r>
      <w:r w:rsidR="00201201" w:rsidRPr="00843214">
        <w:rPr>
          <w:color w:val="auto"/>
          <w:lang w:val="en-GB"/>
        </w:rPr>
        <w:t xml:space="preserve">alignment is a fundamental support for the Partnership. </w:t>
      </w:r>
      <w:r w:rsidR="00980511" w:rsidRPr="00843214">
        <w:rPr>
          <w:color w:val="auto"/>
          <w:lang w:val="en-GB"/>
        </w:rPr>
        <w:t>Overwhelmingly,</w:t>
      </w:r>
      <w:r w:rsidR="00CE25C4" w:rsidRPr="00843214">
        <w:rPr>
          <w:color w:val="auto"/>
          <w:lang w:val="en-GB"/>
        </w:rPr>
        <w:t xml:space="preserve"> </w:t>
      </w:r>
      <w:r w:rsidR="00980511" w:rsidRPr="00843214">
        <w:rPr>
          <w:color w:val="auto"/>
          <w:lang w:val="en-GB"/>
        </w:rPr>
        <w:t>the nature of funding</w:t>
      </w:r>
      <w:r w:rsidR="00CE25C4" w:rsidRPr="00843214">
        <w:rPr>
          <w:color w:val="auto"/>
          <w:lang w:val="en-GB"/>
        </w:rPr>
        <w:t xml:space="preserve"> emerge</w:t>
      </w:r>
      <w:r w:rsidR="00920946" w:rsidRPr="00843214">
        <w:rPr>
          <w:color w:val="auto"/>
          <w:lang w:val="en-GB"/>
        </w:rPr>
        <w:t>s</w:t>
      </w:r>
      <w:r w:rsidR="00CE25C4" w:rsidRPr="00843214">
        <w:rPr>
          <w:color w:val="auto"/>
          <w:lang w:val="en-GB"/>
        </w:rPr>
        <w:t xml:space="preserve"> as a factor that</w:t>
      </w:r>
      <w:r w:rsidR="00980511" w:rsidRPr="00843214">
        <w:rPr>
          <w:color w:val="auto"/>
          <w:lang w:val="en-GB"/>
        </w:rPr>
        <w:t xml:space="preserve"> </w:t>
      </w:r>
      <w:r w:rsidR="00CE25C4" w:rsidRPr="00843214">
        <w:rPr>
          <w:color w:val="auto"/>
          <w:lang w:val="en-GB"/>
        </w:rPr>
        <w:t xml:space="preserve">can </w:t>
      </w:r>
      <w:r w:rsidR="00980511" w:rsidRPr="00843214">
        <w:rPr>
          <w:color w:val="auto"/>
          <w:lang w:val="en-GB"/>
        </w:rPr>
        <w:t>either support or constrain progress</w:t>
      </w:r>
      <w:r w:rsidR="00270AB8" w:rsidRPr="00843214">
        <w:rPr>
          <w:color w:val="auto"/>
          <w:lang w:val="en-GB"/>
        </w:rPr>
        <w:t xml:space="preserve"> against the SPF</w:t>
      </w:r>
      <w:r w:rsidR="000423D8" w:rsidRPr="00843214">
        <w:rPr>
          <w:color w:val="auto"/>
          <w:lang w:val="en-GB"/>
        </w:rPr>
        <w:t xml:space="preserve">. </w:t>
      </w:r>
      <w:r w:rsidR="00592752" w:rsidRPr="00843214">
        <w:rPr>
          <w:color w:val="auto"/>
          <w:lang w:val="en-AU"/>
        </w:rPr>
        <w:t xml:space="preserve">Core funding underpins UN Women’s ability to </w:t>
      </w:r>
      <w:r w:rsidR="00330938" w:rsidRPr="00843214">
        <w:rPr>
          <w:color w:val="auto"/>
          <w:lang w:val="en-AU"/>
        </w:rPr>
        <w:t xml:space="preserve">be strategic, </w:t>
      </w:r>
      <w:r w:rsidR="00592752" w:rsidRPr="00843214">
        <w:rPr>
          <w:color w:val="auto"/>
          <w:lang w:val="en-AU"/>
        </w:rPr>
        <w:t>deliver consistently, act flexibly and to be effective in sensitive political situations.</w:t>
      </w:r>
      <w:r w:rsidR="00592752" w:rsidRPr="00843214">
        <w:rPr>
          <w:color w:val="auto"/>
          <w:vertAlign w:val="superscript"/>
          <w:lang w:val="en-AU"/>
        </w:rPr>
        <w:footnoteReference w:id="54"/>
      </w:r>
      <w:r w:rsidR="00946F0E" w:rsidRPr="00843214">
        <w:rPr>
          <w:color w:val="auto"/>
          <w:lang w:val="en-AU"/>
        </w:rPr>
        <w:t xml:space="preserve"> </w:t>
      </w:r>
      <w:r w:rsidR="00270AB8" w:rsidRPr="00843214">
        <w:rPr>
          <w:color w:val="auto"/>
          <w:lang w:val="en-GB"/>
        </w:rPr>
        <w:t>DFAT</w:t>
      </w:r>
      <w:r w:rsidR="00946F0E" w:rsidRPr="00843214">
        <w:rPr>
          <w:color w:val="auto"/>
          <w:lang w:val="en-GB"/>
        </w:rPr>
        <w:t xml:space="preserve">’s set annual </w:t>
      </w:r>
      <w:r w:rsidR="000423D8" w:rsidRPr="00843214">
        <w:rPr>
          <w:color w:val="auto"/>
          <w:lang w:val="en-GB"/>
        </w:rPr>
        <w:t>core funding</w:t>
      </w:r>
      <w:r w:rsidR="00946F0E" w:rsidRPr="00843214">
        <w:rPr>
          <w:color w:val="auto"/>
          <w:lang w:val="en-GB"/>
        </w:rPr>
        <w:t xml:space="preserve"> allocation</w:t>
      </w:r>
      <w:r w:rsidR="000423D8" w:rsidRPr="00843214">
        <w:rPr>
          <w:color w:val="auto"/>
          <w:lang w:val="en-GB"/>
        </w:rPr>
        <w:t xml:space="preserve"> </w:t>
      </w:r>
      <w:r w:rsidR="005978A9" w:rsidRPr="00843214">
        <w:rPr>
          <w:color w:val="auto"/>
          <w:lang w:val="en-GB"/>
        </w:rPr>
        <w:t>for the term of the</w:t>
      </w:r>
      <w:r w:rsidR="000423D8" w:rsidRPr="00843214">
        <w:rPr>
          <w:color w:val="auto"/>
          <w:lang w:val="en-GB"/>
        </w:rPr>
        <w:t xml:space="preserve"> SPF</w:t>
      </w:r>
      <w:r w:rsidR="00B769C1" w:rsidRPr="00843214">
        <w:rPr>
          <w:color w:val="auto"/>
          <w:lang w:val="en-GB"/>
        </w:rPr>
        <w:t xml:space="preserve"> provides consistency. </w:t>
      </w:r>
      <w:r w:rsidR="000423D8" w:rsidRPr="00843214">
        <w:rPr>
          <w:color w:val="auto"/>
          <w:lang w:val="en-GB"/>
        </w:rPr>
        <w:t xml:space="preserve">DFAT </w:t>
      </w:r>
      <w:r w:rsidR="00946F0E" w:rsidRPr="00843214">
        <w:rPr>
          <w:color w:val="auto"/>
          <w:lang w:val="en-GB"/>
        </w:rPr>
        <w:t>has</w:t>
      </w:r>
      <w:r w:rsidR="00330938" w:rsidRPr="00843214">
        <w:rPr>
          <w:color w:val="auto"/>
          <w:lang w:val="en-GB"/>
        </w:rPr>
        <w:t xml:space="preserve"> also</w:t>
      </w:r>
      <w:r w:rsidR="00946F0E" w:rsidRPr="00843214">
        <w:rPr>
          <w:color w:val="auto"/>
          <w:lang w:val="en-GB"/>
        </w:rPr>
        <w:t xml:space="preserve"> </w:t>
      </w:r>
      <w:r w:rsidR="00FD6D90" w:rsidRPr="00843214">
        <w:rPr>
          <w:color w:val="auto"/>
          <w:lang w:val="en-GB"/>
        </w:rPr>
        <w:t>increased</w:t>
      </w:r>
      <w:r w:rsidR="00270AB8" w:rsidRPr="00843214">
        <w:rPr>
          <w:color w:val="auto"/>
          <w:lang w:val="en-GB"/>
        </w:rPr>
        <w:t xml:space="preserve"> </w:t>
      </w:r>
      <w:r w:rsidR="00B769C1" w:rsidRPr="00843214">
        <w:rPr>
          <w:color w:val="auto"/>
          <w:lang w:val="en-GB"/>
        </w:rPr>
        <w:t xml:space="preserve">annual </w:t>
      </w:r>
      <w:r w:rsidR="00270AB8" w:rsidRPr="00843214">
        <w:rPr>
          <w:color w:val="auto"/>
          <w:lang w:val="en-GB"/>
        </w:rPr>
        <w:t>non-core funding</w:t>
      </w:r>
      <w:r w:rsidR="000423D8" w:rsidRPr="00843214">
        <w:rPr>
          <w:color w:val="auto"/>
          <w:lang w:val="en-GB"/>
        </w:rPr>
        <w:t xml:space="preserve"> </w:t>
      </w:r>
      <w:r w:rsidR="00B769C1" w:rsidRPr="00843214">
        <w:rPr>
          <w:color w:val="auto"/>
          <w:lang w:val="en-GB"/>
        </w:rPr>
        <w:t xml:space="preserve">over the term of the SPF </w:t>
      </w:r>
      <w:r w:rsidR="000423D8" w:rsidRPr="00843214">
        <w:rPr>
          <w:color w:val="auto"/>
          <w:lang w:val="en-GB"/>
        </w:rPr>
        <w:t xml:space="preserve">and </w:t>
      </w:r>
      <w:r w:rsidR="00270AB8" w:rsidRPr="00843214">
        <w:rPr>
          <w:color w:val="auto"/>
          <w:lang w:val="en-GB"/>
        </w:rPr>
        <w:t>UN Women ha</w:t>
      </w:r>
      <w:r w:rsidR="001112DF" w:rsidRPr="00843214">
        <w:rPr>
          <w:color w:val="auto"/>
          <w:lang w:val="en-GB"/>
        </w:rPr>
        <w:t>s</w:t>
      </w:r>
      <w:r w:rsidR="00270AB8" w:rsidRPr="00843214">
        <w:rPr>
          <w:color w:val="auto"/>
          <w:lang w:val="en-GB"/>
        </w:rPr>
        <w:t xml:space="preserve"> valued </w:t>
      </w:r>
      <w:r w:rsidR="00B02F04" w:rsidRPr="00843214">
        <w:rPr>
          <w:color w:val="auto"/>
          <w:lang w:val="en-GB"/>
        </w:rPr>
        <w:t>the</w:t>
      </w:r>
      <w:r w:rsidR="00270AB8" w:rsidRPr="00843214">
        <w:rPr>
          <w:color w:val="auto"/>
          <w:lang w:val="en-GB"/>
        </w:rPr>
        <w:t xml:space="preserve"> </w:t>
      </w:r>
      <w:proofErr w:type="gramStart"/>
      <w:r w:rsidR="00270AB8" w:rsidRPr="00843214">
        <w:rPr>
          <w:color w:val="auto"/>
          <w:lang w:val="en-GB"/>
        </w:rPr>
        <w:t>often longer</w:t>
      </w:r>
      <w:proofErr w:type="gramEnd"/>
      <w:r w:rsidR="00270AB8" w:rsidRPr="00843214">
        <w:rPr>
          <w:color w:val="auto"/>
          <w:lang w:val="en-GB"/>
        </w:rPr>
        <w:t xml:space="preserve"> term and relatively flexible</w:t>
      </w:r>
      <w:r w:rsidR="00B02F04" w:rsidRPr="00843214">
        <w:rPr>
          <w:color w:val="auto"/>
          <w:lang w:val="en-GB"/>
        </w:rPr>
        <w:t xml:space="preserve"> allocations</w:t>
      </w:r>
      <w:r w:rsidR="001112DF" w:rsidRPr="00843214">
        <w:rPr>
          <w:color w:val="auto"/>
          <w:lang w:val="en-GB"/>
        </w:rPr>
        <w:t>,</w:t>
      </w:r>
      <w:r w:rsidR="000423D8" w:rsidRPr="00843214">
        <w:rPr>
          <w:color w:val="auto"/>
          <w:lang w:val="en-GB"/>
        </w:rPr>
        <w:t xml:space="preserve"> though allocations are often </w:t>
      </w:r>
      <w:r w:rsidR="001112DF" w:rsidRPr="00843214">
        <w:rPr>
          <w:color w:val="auto"/>
          <w:lang w:val="en-GB"/>
        </w:rPr>
        <w:t xml:space="preserve">relatively </w:t>
      </w:r>
      <w:r w:rsidR="000423D8" w:rsidRPr="00843214">
        <w:rPr>
          <w:color w:val="auto"/>
          <w:lang w:val="en-GB"/>
        </w:rPr>
        <w:t>small and can require a multi-donor approach to optimise results. Th</w:t>
      </w:r>
      <w:r w:rsidR="00920946" w:rsidRPr="00843214">
        <w:rPr>
          <w:color w:val="auto"/>
          <w:lang w:val="en-GB"/>
        </w:rPr>
        <w:t>ese smaller allocations</w:t>
      </w:r>
      <w:r w:rsidR="000423D8" w:rsidRPr="00843214">
        <w:rPr>
          <w:color w:val="auto"/>
          <w:lang w:val="en-GB"/>
        </w:rPr>
        <w:t xml:space="preserve"> can cause a degree of reporting burden for UN </w:t>
      </w:r>
      <w:r w:rsidR="000423D8" w:rsidRPr="00843214">
        <w:rPr>
          <w:color w:val="auto"/>
          <w:lang w:val="en-GB"/>
        </w:rPr>
        <w:lastRenderedPageBreak/>
        <w:t>Women</w:t>
      </w:r>
      <w:r w:rsidR="00920946" w:rsidRPr="00843214">
        <w:rPr>
          <w:color w:val="auto"/>
          <w:lang w:val="en-GB"/>
        </w:rPr>
        <w:t xml:space="preserve">, especially when multiplied across </w:t>
      </w:r>
      <w:proofErr w:type="gramStart"/>
      <w:r w:rsidR="00920946" w:rsidRPr="00843214">
        <w:rPr>
          <w:color w:val="auto"/>
          <w:lang w:val="en-GB"/>
        </w:rPr>
        <w:t>a number of</w:t>
      </w:r>
      <w:proofErr w:type="gramEnd"/>
      <w:r w:rsidR="00920946" w:rsidRPr="00843214">
        <w:rPr>
          <w:color w:val="auto"/>
          <w:lang w:val="en-GB"/>
        </w:rPr>
        <w:t xml:space="preserve"> small projects</w:t>
      </w:r>
      <w:r w:rsidR="00980511" w:rsidRPr="00843214">
        <w:rPr>
          <w:color w:val="auto"/>
          <w:lang w:val="en-GB"/>
        </w:rPr>
        <w:t xml:space="preserve">. </w:t>
      </w:r>
      <w:r w:rsidR="009603FE" w:rsidRPr="00843214">
        <w:rPr>
          <w:color w:val="auto"/>
          <w:lang w:val="en-GB"/>
        </w:rPr>
        <w:t xml:space="preserve">Limited core funding overall (beyond DFAT) constrains </w:t>
      </w:r>
      <w:r w:rsidR="00725775" w:rsidRPr="00843214">
        <w:rPr>
          <w:color w:val="auto"/>
          <w:lang w:val="en-GB"/>
        </w:rPr>
        <w:t xml:space="preserve">strategic response and </w:t>
      </w:r>
      <w:r w:rsidR="009603FE" w:rsidRPr="00843214">
        <w:rPr>
          <w:color w:val="auto"/>
          <w:lang w:val="en-GB"/>
        </w:rPr>
        <w:t>progress, through limiting the resources available to UN Women for staffing and normative and coordination functions.</w:t>
      </w:r>
      <w:r w:rsidR="00725775" w:rsidRPr="00843214">
        <w:rPr>
          <w:color w:val="auto"/>
          <w:lang w:val="en-GB"/>
        </w:rPr>
        <w:t xml:space="preserve"> </w:t>
      </w:r>
    </w:p>
    <w:p w14:paraId="4BC123FB" w14:textId="542EDCB8" w:rsidR="00FD6D90" w:rsidRPr="00843214" w:rsidRDefault="00270AB8" w:rsidP="00DE5F0A">
      <w:pPr>
        <w:rPr>
          <w:color w:val="auto"/>
          <w:lang w:val="en-GB"/>
        </w:rPr>
      </w:pPr>
      <w:r w:rsidRPr="00843214">
        <w:rPr>
          <w:color w:val="auto"/>
          <w:lang w:val="en-GB"/>
        </w:rPr>
        <w:t>S</w:t>
      </w:r>
      <w:r w:rsidR="00980511" w:rsidRPr="00843214">
        <w:rPr>
          <w:color w:val="auto"/>
          <w:lang w:val="en-GB"/>
        </w:rPr>
        <w:t xml:space="preserve">trong relationships enable achievement of objectives and in this </w:t>
      </w:r>
      <w:proofErr w:type="gramStart"/>
      <w:r w:rsidR="00980511" w:rsidRPr="00843214">
        <w:rPr>
          <w:color w:val="auto"/>
          <w:lang w:val="en-GB"/>
        </w:rPr>
        <w:t>UN</w:t>
      </w:r>
      <w:proofErr w:type="gramEnd"/>
      <w:r w:rsidR="00980511" w:rsidRPr="00843214">
        <w:rPr>
          <w:color w:val="auto"/>
          <w:lang w:val="en-GB"/>
        </w:rPr>
        <w:t xml:space="preserve"> </w:t>
      </w:r>
      <w:r w:rsidR="00665F95" w:rsidRPr="00843214">
        <w:rPr>
          <w:color w:val="auto"/>
          <w:lang w:val="en-GB"/>
        </w:rPr>
        <w:t>W</w:t>
      </w:r>
      <w:r w:rsidR="00980511" w:rsidRPr="00843214">
        <w:rPr>
          <w:color w:val="auto"/>
          <w:lang w:val="en-GB"/>
        </w:rPr>
        <w:t xml:space="preserve">omen has been quite successful, both in their relationship with DFAT and with women’s organisations and agencies. UN </w:t>
      </w:r>
      <w:r w:rsidR="00665F95" w:rsidRPr="00843214">
        <w:rPr>
          <w:color w:val="auto"/>
          <w:lang w:val="en-GB"/>
        </w:rPr>
        <w:t>W</w:t>
      </w:r>
      <w:r w:rsidR="00980511" w:rsidRPr="00843214">
        <w:rPr>
          <w:color w:val="auto"/>
          <w:lang w:val="en-GB"/>
        </w:rPr>
        <w:t>omen is somewhat constrained by their administration capacity and bureaucracy</w:t>
      </w:r>
      <w:r w:rsidR="00FD6D90" w:rsidRPr="00843214">
        <w:rPr>
          <w:color w:val="auto"/>
          <w:lang w:val="en-GB"/>
        </w:rPr>
        <w:t xml:space="preserve"> and concerns have been raised about </w:t>
      </w:r>
      <w:r w:rsidR="00980511" w:rsidRPr="00843214">
        <w:rPr>
          <w:color w:val="auto"/>
          <w:lang w:val="en-GB"/>
        </w:rPr>
        <w:t xml:space="preserve">their </w:t>
      </w:r>
      <w:r w:rsidR="00503E8D" w:rsidRPr="00843214">
        <w:rPr>
          <w:color w:val="auto"/>
          <w:lang w:val="en-GB"/>
        </w:rPr>
        <w:t>program</w:t>
      </w:r>
      <w:r w:rsidR="00980511" w:rsidRPr="00843214">
        <w:rPr>
          <w:color w:val="auto"/>
          <w:lang w:val="en-GB"/>
        </w:rPr>
        <w:t xml:space="preserve"> management capacity</w:t>
      </w:r>
      <w:r w:rsidRPr="00843214">
        <w:rPr>
          <w:color w:val="auto"/>
          <w:lang w:val="en-GB"/>
        </w:rPr>
        <w:t xml:space="preserve">, </w:t>
      </w:r>
      <w:r w:rsidR="00980511" w:rsidRPr="00843214">
        <w:rPr>
          <w:color w:val="auto"/>
          <w:lang w:val="en-GB"/>
        </w:rPr>
        <w:t>variable capacity in country offices</w:t>
      </w:r>
      <w:r w:rsidRPr="00843214">
        <w:rPr>
          <w:color w:val="auto"/>
          <w:lang w:val="en-GB"/>
        </w:rPr>
        <w:t xml:space="preserve"> and limited country office presence</w:t>
      </w:r>
      <w:r w:rsidR="00980511" w:rsidRPr="00843214">
        <w:rPr>
          <w:color w:val="auto"/>
          <w:lang w:val="en-GB"/>
        </w:rPr>
        <w:t>.</w:t>
      </w:r>
      <w:r w:rsidR="00665F95" w:rsidRPr="00843214">
        <w:rPr>
          <w:color w:val="auto"/>
          <w:lang w:val="en-GB"/>
        </w:rPr>
        <w:t xml:space="preserve"> </w:t>
      </w:r>
    </w:p>
    <w:p w14:paraId="00F91A7D" w14:textId="2598A73F" w:rsidR="001A7467" w:rsidRPr="00843214" w:rsidRDefault="00A742DB" w:rsidP="00DE5F0A">
      <w:pPr>
        <w:rPr>
          <w:color w:val="auto"/>
          <w:lang w:val="en-GB"/>
        </w:rPr>
      </w:pPr>
      <w:r w:rsidRPr="00843214">
        <w:rPr>
          <w:color w:val="auto"/>
          <w:lang w:val="en-GB"/>
        </w:rPr>
        <w:fldChar w:fldCharType="begin"/>
      </w:r>
      <w:r w:rsidRPr="00843214">
        <w:rPr>
          <w:color w:val="auto"/>
          <w:lang w:val="en-GB"/>
        </w:rPr>
        <w:instrText xml:space="preserve"> REF _Ref66691503 \h </w:instrText>
      </w:r>
      <w:r w:rsidRPr="00843214">
        <w:rPr>
          <w:color w:val="auto"/>
          <w:lang w:val="en-GB"/>
        </w:rPr>
      </w:r>
      <w:r w:rsidRPr="00843214">
        <w:rPr>
          <w:color w:val="auto"/>
          <w:lang w:val="en-GB"/>
        </w:rPr>
        <w:fldChar w:fldCharType="separate"/>
      </w:r>
      <w:r w:rsidR="00742005" w:rsidRPr="00843214">
        <w:rPr>
          <w:color w:val="auto"/>
        </w:rPr>
        <w:t xml:space="preserve">Table </w:t>
      </w:r>
      <w:r w:rsidR="00742005" w:rsidRPr="00843214">
        <w:rPr>
          <w:noProof/>
          <w:color w:val="auto"/>
        </w:rPr>
        <w:t>1</w:t>
      </w:r>
      <w:r w:rsidRPr="00843214">
        <w:rPr>
          <w:color w:val="auto"/>
          <w:lang w:val="en-GB"/>
        </w:rPr>
        <w:fldChar w:fldCharType="end"/>
      </w:r>
      <w:r w:rsidR="00E75131" w:rsidRPr="00843214">
        <w:rPr>
          <w:color w:val="auto"/>
          <w:lang w:val="en-GB"/>
        </w:rPr>
        <w:t xml:space="preserve"> </w:t>
      </w:r>
      <w:r w:rsidR="00C07D48" w:rsidRPr="00843214">
        <w:rPr>
          <w:color w:val="auto"/>
          <w:lang w:val="en-GB"/>
        </w:rPr>
        <w:t>summarises</w:t>
      </w:r>
      <w:r w:rsidR="00980511" w:rsidRPr="00843214">
        <w:rPr>
          <w:color w:val="auto"/>
          <w:lang w:val="en-GB"/>
        </w:rPr>
        <w:t xml:space="preserve"> factors that support or constrain progress</w:t>
      </w:r>
      <w:r w:rsidR="00665F95" w:rsidRPr="00843214">
        <w:rPr>
          <w:color w:val="auto"/>
          <w:lang w:val="en-GB"/>
        </w:rPr>
        <w:t>, identified through</w:t>
      </w:r>
      <w:r w:rsidR="00AB3E9B" w:rsidRPr="00843214">
        <w:rPr>
          <w:color w:val="auto"/>
          <w:lang w:val="en-GB"/>
        </w:rPr>
        <w:t>out</w:t>
      </w:r>
      <w:r w:rsidR="00665F95" w:rsidRPr="00843214">
        <w:rPr>
          <w:color w:val="auto"/>
          <w:lang w:val="en-GB"/>
        </w:rPr>
        <w:t xml:space="preserve"> the review. </w:t>
      </w:r>
      <w:r w:rsidRPr="00843214">
        <w:rPr>
          <w:color w:val="auto"/>
          <w:lang w:val="en-GB"/>
        </w:rPr>
        <w:t xml:space="preserve">A more detailed table that includes cross-references to findings is at </w:t>
      </w:r>
      <w:r w:rsidR="001A7467" w:rsidRPr="00843214">
        <w:rPr>
          <w:b/>
          <w:bCs/>
          <w:color w:val="auto"/>
          <w:lang w:val="en-GB"/>
        </w:rPr>
        <w:t xml:space="preserve">Annex </w:t>
      </w:r>
      <w:r w:rsidR="00BB1C5A" w:rsidRPr="00843214">
        <w:rPr>
          <w:b/>
          <w:bCs/>
          <w:color w:val="auto"/>
          <w:lang w:val="en-GB"/>
        </w:rPr>
        <w:t>5</w:t>
      </w:r>
      <w:r w:rsidR="00980511" w:rsidRPr="00843214">
        <w:rPr>
          <w:color w:val="auto"/>
          <w:lang w:val="en-GB"/>
        </w:rPr>
        <w:t xml:space="preserve">. </w:t>
      </w:r>
    </w:p>
    <w:p w14:paraId="64BF6C1D" w14:textId="008836DC" w:rsidR="00A742DB" w:rsidRPr="00843214" w:rsidRDefault="00A742DB" w:rsidP="00A742DB">
      <w:pPr>
        <w:pStyle w:val="Caption"/>
        <w:rPr>
          <w:color w:val="auto"/>
        </w:rPr>
      </w:pPr>
      <w:bookmarkStart w:id="50" w:name="_Ref66691503"/>
      <w:r w:rsidRPr="00843214">
        <w:rPr>
          <w:color w:val="auto"/>
        </w:rPr>
        <w:t xml:space="preserve">Table </w:t>
      </w:r>
      <w:r w:rsidRPr="00843214">
        <w:rPr>
          <w:color w:val="auto"/>
        </w:rPr>
        <w:fldChar w:fldCharType="begin"/>
      </w:r>
      <w:r w:rsidRPr="00843214">
        <w:rPr>
          <w:color w:val="auto"/>
        </w:rPr>
        <w:instrText xml:space="preserve"> SEQ Table \* ARABIC </w:instrText>
      </w:r>
      <w:r w:rsidRPr="00843214">
        <w:rPr>
          <w:color w:val="auto"/>
        </w:rPr>
        <w:fldChar w:fldCharType="separate"/>
      </w:r>
      <w:r w:rsidR="00742005" w:rsidRPr="00843214">
        <w:rPr>
          <w:noProof/>
          <w:color w:val="auto"/>
        </w:rPr>
        <w:t>1</w:t>
      </w:r>
      <w:r w:rsidRPr="00843214">
        <w:rPr>
          <w:color w:val="auto"/>
        </w:rPr>
        <w:fldChar w:fldCharType="end"/>
      </w:r>
      <w:bookmarkEnd w:id="50"/>
      <w:r w:rsidRPr="00843214">
        <w:rPr>
          <w:color w:val="auto"/>
        </w:rPr>
        <w:t xml:space="preserve"> Summary of </w:t>
      </w:r>
      <w:r w:rsidR="00520ED1" w:rsidRPr="00843214">
        <w:rPr>
          <w:color w:val="auto"/>
        </w:rPr>
        <w:t xml:space="preserve">factors supporting and constraining </w:t>
      </w:r>
      <w:r w:rsidRPr="00843214">
        <w:rPr>
          <w:color w:val="auto"/>
        </w:rPr>
        <w:t>progress</w:t>
      </w:r>
    </w:p>
    <w:tbl>
      <w:tblPr>
        <w:tblStyle w:val="IODPARCtable2"/>
        <w:tblW w:w="0" w:type="auto"/>
        <w:tblLook w:val="04A0" w:firstRow="1" w:lastRow="0" w:firstColumn="1" w:lastColumn="0" w:noHBand="0" w:noVBand="1"/>
      </w:tblPr>
      <w:tblGrid>
        <w:gridCol w:w="4243"/>
        <w:gridCol w:w="4763"/>
      </w:tblGrid>
      <w:tr w:rsidR="00843214" w:rsidRPr="00843214" w14:paraId="7C25EB68" w14:textId="77777777" w:rsidTr="00662DE0">
        <w:tc>
          <w:tcPr>
            <w:tcW w:w="4243" w:type="dxa"/>
            <w:vAlign w:val="top"/>
          </w:tcPr>
          <w:p w14:paraId="6393778E" w14:textId="77777777" w:rsidR="001A7467" w:rsidRPr="00843214" w:rsidRDefault="001A7467" w:rsidP="00662DE0">
            <w:pPr>
              <w:spacing w:after="0"/>
              <w:rPr>
                <w:b/>
                <w:bCs/>
                <w:color w:val="auto"/>
                <w:sz w:val="20"/>
                <w:szCs w:val="20"/>
              </w:rPr>
            </w:pPr>
            <w:r w:rsidRPr="00843214">
              <w:rPr>
                <w:b/>
                <w:bCs/>
                <w:color w:val="auto"/>
                <w:sz w:val="20"/>
                <w:szCs w:val="20"/>
              </w:rPr>
              <w:t>Supports:</w:t>
            </w:r>
          </w:p>
          <w:p w14:paraId="781C38C3" w14:textId="77777777" w:rsidR="00B7404F" w:rsidRPr="00843214" w:rsidRDefault="001A7467" w:rsidP="00812C1D">
            <w:pPr>
              <w:pStyle w:val="TableText"/>
              <w:numPr>
                <w:ilvl w:val="0"/>
                <w:numId w:val="18"/>
              </w:numPr>
              <w:rPr>
                <w:color w:val="auto"/>
                <w:sz w:val="20"/>
              </w:rPr>
            </w:pPr>
            <w:r w:rsidRPr="00843214">
              <w:rPr>
                <w:color w:val="auto"/>
                <w:sz w:val="20"/>
              </w:rPr>
              <w:t>Strong aligned partnership</w:t>
            </w:r>
          </w:p>
          <w:p w14:paraId="53870A0F" w14:textId="1A2427EC" w:rsidR="001A7467" w:rsidRPr="00843214" w:rsidRDefault="001A7467" w:rsidP="00812C1D">
            <w:pPr>
              <w:pStyle w:val="TableText"/>
              <w:numPr>
                <w:ilvl w:val="0"/>
                <w:numId w:val="18"/>
              </w:numPr>
              <w:rPr>
                <w:color w:val="auto"/>
                <w:sz w:val="20"/>
              </w:rPr>
            </w:pPr>
            <w:r w:rsidRPr="00843214">
              <w:rPr>
                <w:color w:val="auto"/>
                <w:sz w:val="20"/>
              </w:rPr>
              <w:t>Long-term, core and non-core support enables key functions</w:t>
            </w:r>
            <w:r w:rsidR="00A742DB" w:rsidRPr="00843214">
              <w:rPr>
                <w:color w:val="auto"/>
                <w:sz w:val="20"/>
              </w:rPr>
              <w:t xml:space="preserve">, </w:t>
            </w:r>
            <w:proofErr w:type="gramStart"/>
            <w:r w:rsidR="00A742DB" w:rsidRPr="00843214">
              <w:rPr>
                <w:color w:val="auto"/>
                <w:sz w:val="20"/>
              </w:rPr>
              <w:t>flexibility</w:t>
            </w:r>
            <w:proofErr w:type="gramEnd"/>
            <w:r w:rsidR="00A742DB" w:rsidRPr="00843214">
              <w:rPr>
                <w:color w:val="auto"/>
                <w:sz w:val="20"/>
              </w:rPr>
              <w:t xml:space="preserve"> and responsiveness</w:t>
            </w:r>
          </w:p>
          <w:p w14:paraId="0E24ECE3" w14:textId="5455597E" w:rsidR="001A7467" w:rsidRPr="00843214" w:rsidRDefault="00AB3E9B" w:rsidP="00812C1D">
            <w:pPr>
              <w:pStyle w:val="TableText"/>
              <w:numPr>
                <w:ilvl w:val="0"/>
                <w:numId w:val="18"/>
              </w:numPr>
              <w:rPr>
                <w:color w:val="auto"/>
                <w:sz w:val="20"/>
                <w:lang w:val="en-US"/>
              </w:rPr>
            </w:pPr>
            <w:bookmarkStart w:id="51" w:name="_Hlk66716414"/>
            <w:r w:rsidRPr="00843214">
              <w:rPr>
                <w:color w:val="auto"/>
                <w:sz w:val="20"/>
              </w:rPr>
              <w:t>Women’s agency/</w:t>
            </w:r>
            <w:r w:rsidR="00A72BF9" w:rsidRPr="00843214">
              <w:rPr>
                <w:color w:val="auto"/>
                <w:sz w:val="20"/>
              </w:rPr>
              <w:t>CSO delivery modality</w:t>
            </w:r>
            <w:r w:rsidR="001A7467" w:rsidRPr="00843214">
              <w:rPr>
                <w:color w:val="auto"/>
                <w:sz w:val="20"/>
              </w:rPr>
              <w:t xml:space="preserve"> and relationships</w:t>
            </w:r>
            <w:bookmarkEnd w:id="51"/>
          </w:p>
          <w:p w14:paraId="63143E49" w14:textId="065B1AC8" w:rsidR="00AB3E9B" w:rsidRPr="00843214" w:rsidRDefault="00AB3E9B" w:rsidP="00812C1D">
            <w:pPr>
              <w:pStyle w:val="TableText"/>
              <w:numPr>
                <w:ilvl w:val="0"/>
                <w:numId w:val="18"/>
              </w:numPr>
              <w:rPr>
                <w:color w:val="auto"/>
                <w:sz w:val="20"/>
                <w:lang w:val="en-US"/>
              </w:rPr>
            </w:pPr>
            <w:r w:rsidRPr="00843214">
              <w:rPr>
                <w:color w:val="auto"/>
                <w:sz w:val="20"/>
                <w:lang w:val="en-US"/>
              </w:rPr>
              <w:t>Strong DFAT-UN Women relationships</w:t>
            </w:r>
          </w:p>
        </w:tc>
        <w:tc>
          <w:tcPr>
            <w:tcW w:w="4763" w:type="dxa"/>
            <w:vAlign w:val="top"/>
          </w:tcPr>
          <w:p w14:paraId="32A9DC76" w14:textId="77777777" w:rsidR="001A7467" w:rsidRPr="00843214" w:rsidRDefault="001A7467" w:rsidP="00812C1D">
            <w:pPr>
              <w:spacing w:after="0"/>
              <w:rPr>
                <w:b/>
                <w:bCs/>
                <w:color w:val="auto"/>
                <w:sz w:val="20"/>
                <w:szCs w:val="20"/>
              </w:rPr>
            </w:pPr>
            <w:r w:rsidRPr="00843214">
              <w:rPr>
                <w:b/>
                <w:bCs/>
                <w:color w:val="auto"/>
                <w:sz w:val="20"/>
                <w:szCs w:val="20"/>
              </w:rPr>
              <w:t>Constraints:</w:t>
            </w:r>
          </w:p>
          <w:p w14:paraId="06174814" w14:textId="42A3CDC7" w:rsidR="001A7467" w:rsidRPr="00843214" w:rsidRDefault="001A7467" w:rsidP="00812C1D">
            <w:pPr>
              <w:pStyle w:val="TableText"/>
              <w:numPr>
                <w:ilvl w:val="0"/>
                <w:numId w:val="18"/>
              </w:numPr>
              <w:rPr>
                <w:color w:val="auto"/>
                <w:sz w:val="20"/>
              </w:rPr>
            </w:pPr>
            <w:r w:rsidRPr="00843214">
              <w:rPr>
                <w:color w:val="auto"/>
                <w:sz w:val="20"/>
              </w:rPr>
              <w:t>Resourcing and capacity limitations</w:t>
            </w:r>
          </w:p>
          <w:p w14:paraId="4634EA1A" w14:textId="4FC1A151" w:rsidR="001A7467" w:rsidRPr="00843214" w:rsidRDefault="001A7467" w:rsidP="00520ED1">
            <w:pPr>
              <w:pStyle w:val="TableText"/>
              <w:numPr>
                <w:ilvl w:val="0"/>
                <w:numId w:val="18"/>
              </w:numPr>
              <w:rPr>
                <w:color w:val="auto"/>
                <w:sz w:val="20"/>
              </w:rPr>
            </w:pPr>
            <w:r w:rsidRPr="00843214">
              <w:rPr>
                <w:color w:val="auto"/>
                <w:sz w:val="20"/>
              </w:rPr>
              <w:t>Organisational processes and requirements on both sides</w:t>
            </w:r>
          </w:p>
          <w:p w14:paraId="1AA662B8" w14:textId="7705C22E" w:rsidR="001A7467" w:rsidRPr="00843214" w:rsidRDefault="001A7467" w:rsidP="00812C1D">
            <w:pPr>
              <w:pStyle w:val="TableText"/>
              <w:numPr>
                <w:ilvl w:val="0"/>
                <w:numId w:val="18"/>
              </w:numPr>
              <w:rPr>
                <w:color w:val="auto"/>
                <w:sz w:val="20"/>
              </w:rPr>
            </w:pPr>
            <w:r w:rsidRPr="00843214">
              <w:rPr>
                <w:color w:val="auto"/>
                <w:sz w:val="20"/>
              </w:rPr>
              <w:t>UN Women position vis-à-vis other UN agencies</w:t>
            </w:r>
          </w:p>
        </w:tc>
      </w:tr>
    </w:tbl>
    <w:p w14:paraId="39A9CE15" w14:textId="39803982" w:rsidR="00AC3BD0" w:rsidRPr="00843214" w:rsidRDefault="00AC3BD0" w:rsidP="00147932">
      <w:pPr>
        <w:pStyle w:val="Heading2"/>
        <w:spacing w:before="240"/>
        <w:rPr>
          <w:color w:val="auto"/>
          <w:lang w:val="en-AU"/>
        </w:rPr>
      </w:pPr>
      <w:bookmarkStart w:id="52" w:name="_Toc69376661"/>
      <w:r w:rsidRPr="00843214">
        <w:rPr>
          <w:color w:val="auto"/>
          <w:lang w:val="en-AU"/>
        </w:rPr>
        <w:t>Changing landscape for gender equality</w:t>
      </w:r>
      <w:bookmarkEnd w:id="52"/>
    </w:p>
    <w:p w14:paraId="4253C330" w14:textId="77777777" w:rsidR="00AC3BD0" w:rsidRPr="00843214" w:rsidRDefault="00AC3BD0" w:rsidP="00AC3BD0">
      <w:pPr>
        <w:pStyle w:val="Heading3"/>
        <w:rPr>
          <w:color w:val="auto"/>
          <w:lang w:val="en-AU"/>
        </w:rPr>
      </w:pPr>
      <w:bookmarkStart w:id="53" w:name="_Toc69376662"/>
      <w:r w:rsidRPr="00843214">
        <w:rPr>
          <w:color w:val="auto"/>
          <w:lang w:val="en-AU"/>
        </w:rPr>
        <w:t>Current and emerging context for gender equality within the Indo-Pacific</w:t>
      </w:r>
      <w:bookmarkEnd w:id="53"/>
    </w:p>
    <w:p w14:paraId="2273CDD3" w14:textId="42788479" w:rsidR="00AC3BD0" w:rsidRPr="00843214" w:rsidRDefault="00AC3BD0" w:rsidP="002A51E1">
      <w:pPr>
        <w:rPr>
          <w:color w:val="auto"/>
          <w:lang w:val="en-AU"/>
        </w:rPr>
      </w:pPr>
      <w:r w:rsidRPr="00843214">
        <w:rPr>
          <w:b/>
          <w:bCs/>
          <w:color w:val="auto"/>
          <w:lang w:val="en-AU"/>
        </w:rPr>
        <w:t xml:space="preserve">UN Women and DFAT bring strong policy frameworks that support </w:t>
      </w:r>
      <w:r w:rsidR="00704B72" w:rsidRPr="00843214">
        <w:rPr>
          <w:b/>
          <w:bCs/>
          <w:color w:val="auto"/>
          <w:lang w:val="en-AU"/>
        </w:rPr>
        <w:t>GEWE</w:t>
      </w:r>
      <w:r w:rsidRPr="00843214">
        <w:rPr>
          <w:color w:val="auto"/>
          <w:lang w:val="en-AU"/>
        </w:rPr>
        <w:t>. As the UN’s lead agency for women’s empowerment and gender equality, UN Women aligns with the Beijing Platform for Action, the Convention on the Elimination of all Forms of Discrimination against Women (CEDAW), U</w:t>
      </w:r>
      <w:r w:rsidR="005D3D33" w:rsidRPr="00843214">
        <w:rPr>
          <w:color w:val="auto"/>
          <w:lang w:val="en-AU"/>
        </w:rPr>
        <w:t>N</w:t>
      </w:r>
      <w:r w:rsidRPr="00843214">
        <w:rPr>
          <w:color w:val="auto"/>
          <w:lang w:val="en-AU"/>
        </w:rPr>
        <w:t xml:space="preserve"> Security Council Resolutions on Women, Peace and Security (WPS), other normative frameworks for </w:t>
      </w:r>
      <w:r w:rsidR="00704B72" w:rsidRPr="00843214">
        <w:rPr>
          <w:color w:val="auto"/>
          <w:lang w:val="en-AU"/>
        </w:rPr>
        <w:t>GEWE</w:t>
      </w:r>
      <w:r w:rsidRPr="00843214">
        <w:rPr>
          <w:color w:val="auto"/>
          <w:lang w:val="en-AU"/>
        </w:rPr>
        <w:t>, as well as the gender-responsive implementation of the 2030 Agenda for Sustainable Development, and SDG 5 in particular</w:t>
      </w:r>
      <w:r w:rsidR="001C12D0" w:rsidRPr="00843214">
        <w:rPr>
          <w:rStyle w:val="FootnoteReference"/>
          <w:color w:val="auto"/>
          <w:lang w:val="en-AU"/>
        </w:rPr>
        <w:footnoteReference w:id="55"/>
      </w:r>
      <w:r w:rsidRPr="00843214">
        <w:rPr>
          <w:color w:val="auto"/>
          <w:lang w:val="en-AU"/>
        </w:rPr>
        <w:t>. UN Women also identify the nexus between SDG 5 and health, climate action, peace and security and ending poverty as a crucial focal point</w:t>
      </w:r>
      <w:r w:rsidR="001C12D0" w:rsidRPr="00843214">
        <w:rPr>
          <w:rStyle w:val="FootnoteReference"/>
          <w:color w:val="auto"/>
          <w:lang w:val="en-AU"/>
        </w:rPr>
        <w:footnoteReference w:id="56"/>
      </w:r>
      <w:r w:rsidRPr="00843214">
        <w:rPr>
          <w:color w:val="auto"/>
          <w:lang w:val="en-AU"/>
        </w:rPr>
        <w:t>. DFAT’s gender mandate aligns with the 2017 Foreign Policy White Paper</w:t>
      </w:r>
      <w:r w:rsidR="00503E8D" w:rsidRPr="00843214">
        <w:rPr>
          <w:color w:val="auto"/>
          <w:lang w:val="en-AU"/>
        </w:rPr>
        <w:t xml:space="preserve"> </w:t>
      </w:r>
      <w:r w:rsidRPr="00843214">
        <w:rPr>
          <w:color w:val="auto"/>
          <w:lang w:val="en-AU"/>
        </w:rPr>
        <w:t>and the 2016 Gender Equality and Women’s Empowerment Strategy.</w:t>
      </w:r>
      <w:r w:rsidR="005B4EDA" w:rsidRPr="00843214">
        <w:rPr>
          <w:color w:val="auto"/>
          <w:lang w:val="en-AU"/>
        </w:rPr>
        <w:t xml:space="preserve"> </w:t>
      </w:r>
    </w:p>
    <w:p w14:paraId="0DC1B579" w14:textId="43336242" w:rsidR="00AC3BD0" w:rsidRPr="00843214" w:rsidRDefault="00AC3BD0" w:rsidP="002A51E1">
      <w:pPr>
        <w:rPr>
          <w:b/>
          <w:bCs/>
          <w:color w:val="auto"/>
          <w:lang w:val="en-AU"/>
        </w:rPr>
      </w:pPr>
      <w:bookmarkStart w:id="54" w:name="_Hlk67577389"/>
      <w:r w:rsidRPr="00843214">
        <w:rPr>
          <w:b/>
          <w:bCs/>
          <w:color w:val="auto"/>
          <w:lang w:val="en-AU"/>
        </w:rPr>
        <w:t>UN Women’s Beijing+25 review (2020) reiterates that there are global persistent challenges to gender equality</w:t>
      </w:r>
      <w:r w:rsidRPr="00843214">
        <w:rPr>
          <w:color w:val="auto"/>
          <w:lang w:val="en-AU"/>
        </w:rPr>
        <w:t xml:space="preserve"> including structural and institutional barriers, discriminatory social norms and practices, slow legal and policy reform, regressive economic policies, insufficient and inflexible financing and erosion of gender equality institutions, violence against women, pushback against gender equality, de-prioritisation in times of crisis, and policies that undermine women’s sexual and reproductive health and rights</w:t>
      </w:r>
      <w:r w:rsidR="001C12D0" w:rsidRPr="00843214">
        <w:rPr>
          <w:rStyle w:val="FootnoteReference"/>
          <w:color w:val="auto"/>
          <w:lang w:val="en-AU"/>
        </w:rPr>
        <w:footnoteReference w:id="57"/>
      </w:r>
      <w:r w:rsidRPr="00843214">
        <w:rPr>
          <w:color w:val="auto"/>
          <w:lang w:val="en-AU"/>
        </w:rPr>
        <w:t xml:space="preserve">. There are </w:t>
      </w:r>
      <w:r w:rsidR="00D13E4D" w:rsidRPr="00843214">
        <w:rPr>
          <w:color w:val="auto"/>
          <w:lang w:val="en-AU"/>
        </w:rPr>
        <w:t>rising</w:t>
      </w:r>
      <w:r w:rsidRPr="00843214">
        <w:rPr>
          <w:color w:val="auto"/>
          <w:lang w:val="en-AU"/>
        </w:rPr>
        <w:t xml:space="preserve"> threats faced by women peace builders</w:t>
      </w:r>
      <w:r w:rsidR="0013790C" w:rsidRPr="00843214">
        <w:rPr>
          <w:color w:val="auto"/>
          <w:lang w:val="en-AU"/>
        </w:rPr>
        <w:t xml:space="preserve"> and human rights defenders</w:t>
      </w:r>
      <w:r w:rsidRPr="00843214">
        <w:rPr>
          <w:color w:val="auto"/>
          <w:lang w:val="en-AU"/>
        </w:rPr>
        <w:t xml:space="preserve"> within fragile and conflict affected states </w:t>
      </w:r>
      <w:r w:rsidRPr="00843214">
        <w:rPr>
          <w:b/>
          <w:bCs/>
          <w:color w:val="auto"/>
          <w:lang w:val="en-AU"/>
        </w:rPr>
        <w:t xml:space="preserve">and emerging </w:t>
      </w:r>
      <w:r w:rsidR="00AB5F05" w:rsidRPr="00843214">
        <w:rPr>
          <w:b/>
          <w:bCs/>
          <w:color w:val="auto"/>
          <w:lang w:val="en-AU"/>
        </w:rPr>
        <w:t>issues</w:t>
      </w:r>
      <w:r w:rsidRPr="00843214">
        <w:rPr>
          <w:color w:val="auto"/>
          <w:lang w:val="en-AU"/>
        </w:rPr>
        <w:t xml:space="preserve"> </w:t>
      </w:r>
      <w:r w:rsidRPr="00843214">
        <w:rPr>
          <w:b/>
          <w:bCs/>
          <w:color w:val="auto"/>
          <w:lang w:val="en-AU"/>
        </w:rPr>
        <w:t>relating to climate and environmental change, disasters, large-scale migration and displacement, protracted humanitarian crises and fragile states, growing economic equality and inequalities in access to social protection and technology</w:t>
      </w:r>
      <w:r w:rsidR="001C12D0" w:rsidRPr="00843214">
        <w:rPr>
          <w:rStyle w:val="FootnoteReference"/>
          <w:b/>
          <w:bCs/>
          <w:color w:val="auto"/>
          <w:lang w:val="en-AU"/>
        </w:rPr>
        <w:footnoteReference w:id="58"/>
      </w:r>
      <w:r w:rsidRPr="00843214">
        <w:rPr>
          <w:color w:val="auto"/>
          <w:lang w:val="en-AU"/>
        </w:rPr>
        <w:t xml:space="preserve">. </w:t>
      </w:r>
    </w:p>
    <w:bookmarkEnd w:id="54"/>
    <w:p w14:paraId="5B5B97A1" w14:textId="0FCCDEE4" w:rsidR="00AC3BD0" w:rsidRPr="00843214" w:rsidRDefault="00AC3BD0" w:rsidP="002A51E1">
      <w:pPr>
        <w:rPr>
          <w:color w:val="auto"/>
          <w:lang w:val="en-AU"/>
        </w:rPr>
      </w:pPr>
      <w:r w:rsidRPr="00843214">
        <w:rPr>
          <w:b/>
          <w:bCs/>
          <w:color w:val="auto"/>
          <w:lang w:val="en-AU"/>
        </w:rPr>
        <w:t>The COVID-19 pandemic exacerbates existing socio-economic vulnerabilities and inequalities that exist within the Indo-Pacific</w:t>
      </w:r>
      <w:r w:rsidR="001C12D0" w:rsidRPr="00843214">
        <w:rPr>
          <w:rStyle w:val="FootnoteReference"/>
          <w:b/>
          <w:bCs/>
          <w:color w:val="auto"/>
          <w:lang w:val="en-AU"/>
        </w:rPr>
        <w:footnoteReference w:id="59"/>
      </w:r>
      <w:r w:rsidRPr="00843214">
        <w:rPr>
          <w:color w:val="auto"/>
          <w:lang w:val="en-AU"/>
        </w:rPr>
        <w:t>. Women’s</w:t>
      </w:r>
      <w:r w:rsidR="0013790C" w:rsidRPr="00843214">
        <w:rPr>
          <w:color w:val="auto"/>
          <w:lang w:val="en-AU"/>
        </w:rPr>
        <w:t xml:space="preserve"> full, equal</w:t>
      </w:r>
      <w:r w:rsidR="00CF1C69" w:rsidRPr="00843214">
        <w:rPr>
          <w:color w:val="auto"/>
          <w:lang w:val="en-AU"/>
        </w:rPr>
        <w:t>,</w:t>
      </w:r>
      <w:r w:rsidR="0013790C" w:rsidRPr="00843214">
        <w:rPr>
          <w:color w:val="auto"/>
          <w:lang w:val="en-AU"/>
        </w:rPr>
        <w:t xml:space="preserve"> and</w:t>
      </w:r>
      <w:r w:rsidRPr="00843214">
        <w:rPr>
          <w:color w:val="auto"/>
          <w:lang w:val="en-AU"/>
        </w:rPr>
        <w:t xml:space="preserve"> meaningful participation</w:t>
      </w:r>
      <w:r w:rsidR="0013790C" w:rsidRPr="00843214">
        <w:rPr>
          <w:color w:val="auto"/>
          <w:lang w:val="en-AU"/>
        </w:rPr>
        <w:t xml:space="preserve"> across all levels of decision-making</w:t>
      </w:r>
      <w:r w:rsidRPr="00843214">
        <w:rPr>
          <w:color w:val="auto"/>
          <w:lang w:val="en-AU"/>
        </w:rPr>
        <w:t xml:space="preserve"> in peace and security matters, health, economic security, </w:t>
      </w:r>
      <w:proofErr w:type="gramStart"/>
      <w:r w:rsidRPr="00843214">
        <w:rPr>
          <w:color w:val="auto"/>
          <w:lang w:val="en-AU"/>
        </w:rPr>
        <w:t>safety</w:t>
      </w:r>
      <w:proofErr w:type="gramEnd"/>
      <w:r w:rsidRPr="00843214">
        <w:rPr>
          <w:color w:val="auto"/>
          <w:lang w:val="en-AU"/>
        </w:rPr>
        <w:t xml:space="preserve"> and social protection are disproportionately impacted by COVID-19</w:t>
      </w:r>
      <w:r w:rsidR="001C12D0" w:rsidRPr="00843214">
        <w:rPr>
          <w:rStyle w:val="FootnoteReference"/>
          <w:color w:val="auto"/>
          <w:lang w:val="en-AU"/>
        </w:rPr>
        <w:footnoteReference w:id="60"/>
      </w:r>
      <w:r w:rsidRPr="00843214">
        <w:rPr>
          <w:color w:val="auto"/>
          <w:lang w:val="en-AU"/>
        </w:rPr>
        <w:t xml:space="preserve"> and therefore responses need to address gender impacts</w:t>
      </w:r>
      <w:r w:rsidR="001C12D0" w:rsidRPr="00843214">
        <w:rPr>
          <w:rStyle w:val="FootnoteReference"/>
          <w:color w:val="auto"/>
          <w:lang w:val="en-AU"/>
        </w:rPr>
        <w:footnoteReference w:id="61"/>
      </w:r>
      <w:r w:rsidRPr="00843214">
        <w:rPr>
          <w:color w:val="auto"/>
          <w:lang w:val="en-AU"/>
        </w:rPr>
        <w:t xml:space="preserve">. Initially, there was the emergency and health response and going forward stability and economic empowerment will increase in </w:t>
      </w:r>
      <w:r w:rsidRPr="00843214">
        <w:rPr>
          <w:color w:val="auto"/>
          <w:lang w:val="en-AU"/>
        </w:rPr>
        <w:lastRenderedPageBreak/>
        <w:t>importance</w:t>
      </w:r>
      <w:r w:rsidR="001C12D0" w:rsidRPr="00843214">
        <w:rPr>
          <w:rStyle w:val="FootnoteReference"/>
          <w:color w:val="auto"/>
          <w:lang w:val="en-AU"/>
        </w:rPr>
        <w:footnoteReference w:id="62"/>
      </w:r>
      <w:r w:rsidRPr="00843214">
        <w:rPr>
          <w:color w:val="auto"/>
          <w:lang w:val="en-AU"/>
        </w:rPr>
        <w:t xml:space="preserve">. </w:t>
      </w:r>
      <w:r w:rsidR="003809D3" w:rsidRPr="00843214">
        <w:rPr>
          <w:b/>
          <w:bCs/>
          <w:color w:val="auto"/>
          <w:lang w:val="en-AU"/>
        </w:rPr>
        <w:t>Both UN Women and DFAT have developed COVID-19 Response Frameworks that consider the needs of women and girls.</w:t>
      </w:r>
    </w:p>
    <w:p w14:paraId="63D4EFED" w14:textId="386BCB95" w:rsidR="00AC3BD0" w:rsidRPr="00843214" w:rsidRDefault="00AC3BD0" w:rsidP="002A51E1">
      <w:pPr>
        <w:rPr>
          <w:color w:val="auto"/>
          <w:lang w:val="en-AU"/>
        </w:rPr>
      </w:pPr>
      <w:r w:rsidRPr="00843214">
        <w:rPr>
          <w:b/>
          <w:bCs/>
          <w:color w:val="auto"/>
          <w:lang w:val="en-AU"/>
        </w:rPr>
        <w:t xml:space="preserve">With </w:t>
      </w:r>
      <w:r w:rsidR="004D017B" w:rsidRPr="00843214">
        <w:rPr>
          <w:b/>
          <w:bCs/>
          <w:color w:val="auto"/>
          <w:lang w:val="en-AU"/>
        </w:rPr>
        <w:t xml:space="preserve">the risks of natural hazards or </w:t>
      </w:r>
      <w:r w:rsidRPr="00843214">
        <w:rPr>
          <w:b/>
          <w:bCs/>
          <w:color w:val="auto"/>
          <w:lang w:val="en-AU"/>
        </w:rPr>
        <w:t xml:space="preserve">disasters (especially in the Pacific), and protracted political conflicts, women’s resilience is undermined, they are at greater risk of violence, </w:t>
      </w:r>
      <w:r w:rsidR="0013790C" w:rsidRPr="00843214">
        <w:rPr>
          <w:b/>
          <w:bCs/>
          <w:color w:val="auto"/>
          <w:lang w:val="en-AU"/>
        </w:rPr>
        <w:t xml:space="preserve">are more likely to be excluded from decision-making processes, </w:t>
      </w:r>
      <w:r w:rsidRPr="00843214">
        <w:rPr>
          <w:b/>
          <w:bCs/>
          <w:color w:val="auto"/>
          <w:lang w:val="en-AU"/>
        </w:rPr>
        <w:t>have less opportunity for economic stability, and more domestic responsibilities, and less access to social safety nets</w:t>
      </w:r>
      <w:r w:rsidRPr="00843214">
        <w:rPr>
          <w:color w:val="auto"/>
          <w:lang w:val="en-AU"/>
        </w:rPr>
        <w:t xml:space="preserve">. Migration trends result in long-term consequences to refugee and host-communities. As part of the SDG emphasis on leaving no one behind, it is critical to strengthen </w:t>
      </w:r>
      <w:proofErr w:type="gramStart"/>
      <w:r w:rsidRPr="00843214">
        <w:rPr>
          <w:color w:val="auto"/>
          <w:lang w:val="en-AU"/>
        </w:rPr>
        <w:t>gender-responsive</w:t>
      </w:r>
      <w:proofErr w:type="gramEnd"/>
      <w:r w:rsidRPr="00843214">
        <w:rPr>
          <w:color w:val="auto"/>
          <w:lang w:val="en-AU"/>
        </w:rPr>
        <w:t xml:space="preserve"> </w:t>
      </w:r>
      <w:r w:rsidR="007A2FF4" w:rsidRPr="00843214">
        <w:rPr>
          <w:color w:val="auto"/>
          <w:lang w:val="en-AU"/>
        </w:rPr>
        <w:t>DRR</w:t>
      </w:r>
      <w:r w:rsidRPr="00843214">
        <w:rPr>
          <w:color w:val="auto"/>
          <w:lang w:val="en-AU"/>
        </w:rPr>
        <w:t xml:space="preserve"> and support women’s resilience to disasters and climate change, and to consider the wide and long-term impacts</w:t>
      </w:r>
      <w:r w:rsidR="00CE418C" w:rsidRPr="00843214">
        <w:rPr>
          <w:color w:val="auto"/>
          <w:lang w:val="en-AU"/>
        </w:rPr>
        <w:t xml:space="preserve"> </w:t>
      </w:r>
      <w:r w:rsidRPr="00843214">
        <w:rPr>
          <w:color w:val="auto"/>
          <w:lang w:val="en-AU"/>
        </w:rPr>
        <w:t xml:space="preserve">but also the leadership potential of humanitarian situations on women and conflict. </w:t>
      </w:r>
    </w:p>
    <w:p w14:paraId="7B053B46" w14:textId="0C7A71DD" w:rsidR="00AC3BD0" w:rsidRPr="00843214" w:rsidRDefault="00AC3BD0" w:rsidP="002A51E1">
      <w:pPr>
        <w:rPr>
          <w:color w:val="auto"/>
          <w:lang w:val="en-AU"/>
        </w:rPr>
      </w:pPr>
      <w:r w:rsidRPr="00843214">
        <w:rPr>
          <w:b/>
          <w:bCs/>
          <w:color w:val="auto"/>
          <w:lang w:val="en-AU"/>
        </w:rPr>
        <w:t xml:space="preserve">The health impacts of COVID-19 </w:t>
      </w:r>
      <w:r w:rsidR="003809D3" w:rsidRPr="00843214">
        <w:rPr>
          <w:b/>
          <w:bCs/>
          <w:color w:val="auto"/>
          <w:lang w:val="en-AU"/>
        </w:rPr>
        <w:t xml:space="preserve">for women </w:t>
      </w:r>
      <w:r w:rsidRPr="00843214">
        <w:rPr>
          <w:b/>
          <w:bCs/>
          <w:color w:val="auto"/>
          <w:lang w:val="en-AU"/>
        </w:rPr>
        <w:t>include</w:t>
      </w:r>
      <w:r w:rsidR="002A51E1" w:rsidRPr="00843214">
        <w:rPr>
          <w:b/>
          <w:bCs/>
          <w:color w:val="auto"/>
          <w:lang w:val="en-AU"/>
        </w:rPr>
        <w:t xml:space="preserve"> the</w:t>
      </w:r>
      <w:r w:rsidRPr="00843214">
        <w:rPr>
          <w:b/>
          <w:bCs/>
          <w:color w:val="auto"/>
          <w:lang w:val="en-AU"/>
        </w:rPr>
        <w:t xml:space="preserve"> potential for higher exposure</w:t>
      </w:r>
      <w:r w:rsidR="002A51E1" w:rsidRPr="00843214">
        <w:rPr>
          <w:b/>
          <w:bCs/>
          <w:color w:val="auto"/>
          <w:lang w:val="en-AU"/>
        </w:rPr>
        <w:t xml:space="preserve"> </w:t>
      </w:r>
      <w:r w:rsidRPr="00843214">
        <w:rPr>
          <w:b/>
          <w:bCs/>
          <w:color w:val="auto"/>
          <w:lang w:val="en-AU"/>
        </w:rPr>
        <w:t xml:space="preserve">and go beyond the virus. </w:t>
      </w:r>
      <w:r w:rsidRPr="00843214">
        <w:rPr>
          <w:color w:val="auto"/>
          <w:lang w:val="en-AU"/>
        </w:rPr>
        <w:t>Women may receive less information than men about how to protect themselves</w:t>
      </w:r>
      <w:r w:rsidR="00FC2361" w:rsidRPr="00843214">
        <w:rPr>
          <w:rStyle w:val="FootnoteReference"/>
          <w:color w:val="auto"/>
          <w:lang w:val="en-AU"/>
        </w:rPr>
        <w:footnoteReference w:id="63"/>
      </w:r>
      <w:r w:rsidRPr="00843214">
        <w:rPr>
          <w:color w:val="auto"/>
          <w:lang w:val="en-AU"/>
        </w:rPr>
        <w:t>. Health impacts may be felt due to reallocation of resources and priorities, including</w:t>
      </w:r>
      <w:r w:rsidR="002A51E1" w:rsidRPr="00843214">
        <w:rPr>
          <w:color w:val="auto"/>
          <w:lang w:val="en-AU"/>
        </w:rPr>
        <w:t xml:space="preserve"> from</w:t>
      </w:r>
      <w:r w:rsidRPr="00843214">
        <w:rPr>
          <w:color w:val="auto"/>
          <w:lang w:val="en-AU"/>
        </w:rPr>
        <w:t xml:space="preserve"> sexual and reproductive health</w:t>
      </w:r>
      <w:r w:rsidR="00FC2361" w:rsidRPr="00843214">
        <w:rPr>
          <w:rStyle w:val="FootnoteReference"/>
          <w:color w:val="auto"/>
          <w:lang w:val="en-AU"/>
        </w:rPr>
        <w:footnoteReference w:id="64"/>
      </w:r>
      <w:r w:rsidRPr="00843214">
        <w:rPr>
          <w:color w:val="auto"/>
          <w:lang w:val="en-AU"/>
        </w:rPr>
        <w:t xml:space="preserve"> and rights. </w:t>
      </w:r>
    </w:p>
    <w:p w14:paraId="670E3E39" w14:textId="2CBC7191" w:rsidR="00AC3BD0" w:rsidRPr="00843214" w:rsidRDefault="00AC3BD0" w:rsidP="000B576D">
      <w:pPr>
        <w:rPr>
          <w:color w:val="auto"/>
          <w:lang w:val="en-AU"/>
        </w:rPr>
      </w:pPr>
      <w:r w:rsidRPr="00843214">
        <w:rPr>
          <w:b/>
          <w:bCs/>
          <w:color w:val="auto"/>
          <w:lang w:val="en-AU"/>
        </w:rPr>
        <w:t>UN Women has described the increase in violence against women and girls as the shadow pandemic</w:t>
      </w:r>
      <w:r w:rsidRPr="00843214">
        <w:rPr>
          <w:color w:val="auto"/>
          <w:lang w:val="en-AU"/>
        </w:rPr>
        <w:t xml:space="preserve">. The combination of increasingly difficult socio-economic circumstances and restricted movement from COVID-19 lockdowns have exacerbated violence against women </w:t>
      </w:r>
      <w:r w:rsidR="00FB1EB3" w:rsidRPr="00843214">
        <w:rPr>
          <w:color w:val="auto"/>
          <w:lang w:val="en-AU"/>
        </w:rPr>
        <w:t xml:space="preserve">and girls </w:t>
      </w:r>
      <w:r w:rsidRPr="00843214">
        <w:rPr>
          <w:color w:val="auto"/>
          <w:lang w:val="en-AU"/>
        </w:rPr>
        <w:t>while lockdowns also limit women’s access to support services</w:t>
      </w:r>
      <w:r w:rsidR="00FC2361" w:rsidRPr="00843214">
        <w:rPr>
          <w:color w:val="auto"/>
          <w:vertAlign w:val="superscript"/>
        </w:rPr>
        <w:footnoteReference w:id="65"/>
      </w:r>
      <w:r w:rsidRPr="00843214">
        <w:rPr>
          <w:color w:val="auto"/>
          <w:lang w:val="en-AU"/>
        </w:rPr>
        <w:t>. Remote</w:t>
      </w:r>
      <w:r w:rsidR="00000C96" w:rsidRPr="00843214">
        <w:rPr>
          <w:color w:val="auto"/>
          <w:lang w:val="en-AU"/>
        </w:rPr>
        <w:t xml:space="preserve"> support</w:t>
      </w:r>
      <w:r w:rsidRPr="00843214">
        <w:rPr>
          <w:color w:val="auto"/>
          <w:lang w:val="en-AU"/>
        </w:rPr>
        <w:t xml:space="preserve"> services have </w:t>
      </w:r>
      <w:r w:rsidR="00D13E4D" w:rsidRPr="00843214">
        <w:rPr>
          <w:color w:val="auto"/>
          <w:lang w:val="en-AU"/>
        </w:rPr>
        <w:t>had</w:t>
      </w:r>
      <w:r w:rsidRPr="00843214">
        <w:rPr>
          <w:color w:val="auto"/>
          <w:lang w:val="en-AU"/>
        </w:rPr>
        <w:t xml:space="preserve"> significant increases in calls during lockdowns</w:t>
      </w:r>
      <w:r w:rsidR="00FC2361" w:rsidRPr="00843214">
        <w:rPr>
          <w:color w:val="auto"/>
          <w:vertAlign w:val="superscript"/>
        </w:rPr>
        <w:footnoteReference w:id="66"/>
      </w:r>
      <w:r w:rsidRPr="00843214">
        <w:rPr>
          <w:color w:val="auto"/>
          <w:vertAlign w:val="superscript"/>
        </w:rPr>
        <w:t xml:space="preserve">. </w:t>
      </w:r>
    </w:p>
    <w:p w14:paraId="41736053" w14:textId="772473FD" w:rsidR="00C11953" w:rsidRPr="00843214" w:rsidRDefault="00AC3BD0" w:rsidP="00C11953">
      <w:pPr>
        <w:rPr>
          <w:color w:val="auto"/>
          <w:lang w:val="en-AU"/>
        </w:rPr>
      </w:pPr>
      <w:r w:rsidRPr="00843214">
        <w:rPr>
          <w:b/>
          <w:bCs/>
          <w:color w:val="auto"/>
          <w:lang w:val="en-AU"/>
        </w:rPr>
        <w:t>Women’s rights organisations’ service delivery and advocacy, and women’s meaningful participation in peacebuilding, conflict prevention, humanitarian action, disaster prevention and preparedness, and recovery efforts within fragile and conflict-affected countries or context</w:t>
      </w:r>
      <w:r w:rsidR="0013790C" w:rsidRPr="00843214">
        <w:rPr>
          <w:b/>
          <w:bCs/>
          <w:color w:val="auto"/>
          <w:lang w:val="en-AU"/>
        </w:rPr>
        <w:t>s</w:t>
      </w:r>
      <w:r w:rsidRPr="00843214">
        <w:rPr>
          <w:b/>
          <w:bCs/>
          <w:color w:val="auto"/>
          <w:lang w:val="en-AU"/>
        </w:rPr>
        <w:t xml:space="preserve"> are hampered by COVID-19 conditions.</w:t>
      </w:r>
      <w:r w:rsidRPr="00843214">
        <w:rPr>
          <w:color w:val="auto"/>
          <w:lang w:val="en-AU"/>
        </w:rPr>
        <w:t xml:space="preserve"> Women’s rights organisations are experiencing rising </w:t>
      </w:r>
      <w:proofErr w:type="gramStart"/>
      <w:r w:rsidRPr="00843214">
        <w:rPr>
          <w:color w:val="auto"/>
          <w:lang w:val="en-AU"/>
        </w:rPr>
        <w:t>demand</w:t>
      </w:r>
      <w:proofErr w:type="gramEnd"/>
      <w:r w:rsidRPr="00843214">
        <w:rPr>
          <w:color w:val="auto"/>
          <w:lang w:val="en-AU"/>
        </w:rPr>
        <w:t xml:space="preserve"> but their work is hampered by diminishing funding and lockdown conditions. Further, exacerbated insecurity and community violence in fragile and conflict-affected countries or contexts impacts women and girls’ ongoing participation and leadership in peacebuilding and conflict prevention as well as resilience to disasters and climate change.</w:t>
      </w:r>
      <w:r w:rsidR="00C11953" w:rsidRPr="00843214">
        <w:rPr>
          <w:b/>
          <w:bCs/>
          <w:color w:val="auto"/>
          <w:lang w:val="en-AU"/>
        </w:rPr>
        <w:t xml:space="preserve"> An increased burden of care, including unpaid care and domestic work, will decrease women’s ability to participate in leadership, education, economic and livelihoods opportunities</w:t>
      </w:r>
      <w:r w:rsidR="00C11953" w:rsidRPr="00843214">
        <w:rPr>
          <w:rStyle w:val="FootnoteReference"/>
          <w:b/>
          <w:bCs/>
          <w:color w:val="auto"/>
          <w:lang w:val="en-AU"/>
        </w:rPr>
        <w:footnoteReference w:id="67"/>
      </w:r>
      <w:r w:rsidR="00C11953" w:rsidRPr="00843214">
        <w:rPr>
          <w:color w:val="auto"/>
          <w:lang w:val="en-AU"/>
        </w:rPr>
        <w:t xml:space="preserve">. </w:t>
      </w:r>
    </w:p>
    <w:p w14:paraId="4EF5EB8E" w14:textId="35CDEB2C" w:rsidR="00AC3BD0" w:rsidRPr="00843214" w:rsidRDefault="00AC3BD0" w:rsidP="000B576D">
      <w:pPr>
        <w:rPr>
          <w:color w:val="auto"/>
          <w:lang w:val="en-AU"/>
        </w:rPr>
      </w:pPr>
      <w:r w:rsidRPr="00843214">
        <w:rPr>
          <w:b/>
          <w:bCs/>
          <w:color w:val="auto"/>
          <w:lang w:val="en-AU"/>
        </w:rPr>
        <w:t>COVID-19 has caused significant economic impacts that disproportionately affect women</w:t>
      </w:r>
      <w:r w:rsidR="00FC2361" w:rsidRPr="00843214">
        <w:rPr>
          <w:rStyle w:val="FootnoteReference"/>
          <w:b/>
          <w:bCs/>
          <w:color w:val="auto"/>
          <w:lang w:val="en-AU"/>
        </w:rPr>
        <w:footnoteReference w:id="68"/>
      </w:r>
      <w:r w:rsidRPr="00843214">
        <w:rPr>
          <w:color w:val="auto"/>
          <w:lang w:val="en-AU"/>
        </w:rPr>
        <w:t xml:space="preserve">. Economic impacts on women are heightened by their over representation in the sectors and jobs that are hardest hit by COVID-19 including manufacturing, textile and garments, care services, </w:t>
      </w:r>
      <w:proofErr w:type="gramStart"/>
      <w:r w:rsidRPr="00843214">
        <w:rPr>
          <w:color w:val="auto"/>
          <w:lang w:val="en-AU"/>
        </w:rPr>
        <w:t>hospitality</w:t>
      </w:r>
      <w:proofErr w:type="gramEnd"/>
      <w:r w:rsidRPr="00843214">
        <w:rPr>
          <w:color w:val="auto"/>
          <w:lang w:val="en-AU"/>
        </w:rPr>
        <w:t xml:space="preserve"> and tourism as well as in jobs within global supply chains and as migrant workers</w:t>
      </w:r>
      <w:r w:rsidR="00FC2361" w:rsidRPr="00843214">
        <w:rPr>
          <w:color w:val="auto"/>
          <w:vertAlign w:val="superscript"/>
        </w:rPr>
        <w:footnoteReference w:id="69"/>
      </w:r>
      <w:r w:rsidRPr="00843214">
        <w:rPr>
          <w:color w:val="auto"/>
          <w:lang w:val="en-AU"/>
        </w:rPr>
        <w:t xml:space="preserve">. Further, women tend to earn less and have more insecure work such as daily wages, </w:t>
      </w:r>
      <w:proofErr w:type="gramStart"/>
      <w:r w:rsidRPr="00843214">
        <w:rPr>
          <w:color w:val="auto"/>
          <w:lang w:val="en-AU"/>
        </w:rPr>
        <w:t>self-employment</w:t>
      </w:r>
      <w:proofErr w:type="gramEnd"/>
      <w:r w:rsidRPr="00843214">
        <w:rPr>
          <w:color w:val="auto"/>
          <w:lang w:val="en-AU"/>
        </w:rPr>
        <w:t xml:space="preserve"> and </w:t>
      </w:r>
      <w:r w:rsidR="00D13E4D" w:rsidRPr="00843214">
        <w:rPr>
          <w:color w:val="auto"/>
          <w:lang w:val="en-AU"/>
        </w:rPr>
        <w:t xml:space="preserve">informal </w:t>
      </w:r>
      <w:r w:rsidRPr="00843214">
        <w:rPr>
          <w:color w:val="auto"/>
          <w:lang w:val="en-AU"/>
        </w:rPr>
        <w:t>employment</w:t>
      </w:r>
      <w:r w:rsidR="003809D3" w:rsidRPr="00843214">
        <w:rPr>
          <w:color w:val="auto"/>
          <w:lang w:val="en-AU"/>
        </w:rPr>
        <w:t xml:space="preserve"> (70 per cent in developing countries)</w:t>
      </w:r>
      <w:r w:rsidR="00FC2361" w:rsidRPr="00843214">
        <w:rPr>
          <w:color w:val="auto"/>
          <w:vertAlign w:val="superscript"/>
        </w:rPr>
        <w:footnoteReference w:id="70"/>
      </w:r>
      <w:r w:rsidR="00FC2361" w:rsidRPr="00843214">
        <w:rPr>
          <w:color w:val="auto"/>
          <w:vertAlign w:val="superscript"/>
        </w:rPr>
        <w:footnoteReference w:id="71"/>
      </w:r>
      <w:r w:rsidRPr="00843214">
        <w:rPr>
          <w:color w:val="auto"/>
          <w:vertAlign w:val="superscript"/>
          <w:lang w:val="en-AU"/>
        </w:rPr>
        <w:t>.</w:t>
      </w:r>
      <w:r w:rsidRPr="00843214">
        <w:rPr>
          <w:color w:val="auto"/>
          <w:lang w:val="en-AU"/>
        </w:rPr>
        <w:t xml:space="preserve"> </w:t>
      </w:r>
    </w:p>
    <w:p w14:paraId="4B5A9448" w14:textId="77777777" w:rsidR="00AC3BD0" w:rsidRPr="00843214" w:rsidRDefault="00AC3BD0" w:rsidP="00AC3BD0">
      <w:pPr>
        <w:pStyle w:val="Heading3"/>
        <w:rPr>
          <w:color w:val="auto"/>
          <w:lang w:val="en-AU"/>
        </w:rPr>
      </w:pPr>
      <w:bookmarkStart w:id="55" w:name="_Toc69376663"/>
      <w:r w:rsidRPr="00843214">
        <w:rPr>
          <w:color w:val="auto"/>
          <w:lang w:val="en-AU"/>
        </w:rPr>
        <w:t>UN Women’s Role in relation to COVID-19</w:t>
      </w:r>
      <w:bookmarkEnd w:id="55"/>
    </w:p>
    <w:p w14:paraId="69EA787B" w14:textId="4F10B0EE" w:rsidR="00AC3BD0" w:rsidRPr="00843214" w:rsidRDefault="00AC3BD0" w:rsidP="00233AEA">
      <w:pPr>
        <w:rPr>
          <w:color w:val="auto"/>
          <w:lang w:val="en-AU"/>
        </w:rPr>
      </w:pPr>
      <w:r w:rsidRPr="00843214">
        <w:rPr>
          <w:b/>
          <w:bCs/>
          <w:color w:val="auto"/>
          <w:lang w:val="en-AU"/>
        </w:rPr>
        <w:t xml:space="preserve">UN Women’s pre-COVID-19 strategic positioning and programming is still highly relevant because COVID-19 exacerbates </w:t>
      </w:r>
      <w:r w:rsidRPr="00843214">
        <w:rPr>
          <w:b/>
          <w:color w:val="auto"/>
          <w:lang w:val="en-AU"/>
        </w:rPr>
        <w:t>existing</w:t>
      </w:r>
      <w:r w:rsidRPr="00843214">
        <w:rPr>
          <w:b/>
          <w:bCs/>
          <w:color w:val="auto"/>
          <w:lang w:val="en-AU"/>
        </w:rPr>
        <w:t xml:space="preserve"> issues</w:t>
      </w:r>
      <w:r w:rsidR="00FC2361" w:rsidRPr="00843214">
        <w:rPr>
          <w:color w:val="auto"/>
          <w:vertAlign w:val="superscript"/>
        </w:rPr>
        <w:footnoteReference w:id="72"/>
      </w:r>
      <w:r w:rsidRPr="00843214">
        <w:rPr>
          <w:b/>
          <w:bCs/>
          <w:color w:val="auto"/>
          <w:lang w:val="en-AU"/>
        </w:rPr>
        <w:t>.</w:t>
      </w:r>
      <w:r w:rsidRPr="00843214">
        <w:rPr>
          <w:color w:val="auto"/>
          <w:lang w:val="en-AU"/>
        </w:rPr>
        <w:t xml:space="preserve"> </w:t>
      </w:r>
      <w:r w:rsidR="006B4D3F" w:rsidRPr="00843214">
        <w:rPr>
          <w:color w:val="auto"/>
          <w:lang w:val="en-AU"/>
        </w:rPr>
        <w:t>Many countries in the Indo-Pacific are disaster-prone</w:t>
      </w:r>
      <w:r w:rsidR="00C44394" w:rsidRPr="00843214">
        <w:rPr>
          <w:color w:val="auto"/>
          <w:lang w:val="en-AU"/>
        </w:rPr>
        <w:t xml:space="preserve"> and g</w:t>
      </w:r>
      <w:r w:rsidR="006B4D3F" w:rsidRPr="00843214">
        <w:rPr>
          <w:color w:val="auto"/>
          <w:lang w:val="en-AU"/>
        </w:rPr>
        <w:t>ender in DRR is already highly relevant</w:t>
      </w:r>
      <w:r w:rsidR="00C44394" w:rsidRPr="00843214">
        <w:rPr>
          <w:color w:val="auto"/>
          <w:lang w:val="en-AU"/>
        </w:rPr>
        <w:t xml:space="preserve">. To this end, UN Women Pacific </w:t>
      </w:r>
      <w:r w:rsidR="00294EB0" w:rsidRPr="00843214">
        <w:rPr>
          <w:color w:val="auto"/>
          <w:lang w:val="en-AU"/>
        </w:rPr>
        <w:t>Multi-Country Office (</w:t>
      </w:r>
      <w:r w:rsidR="00C44394" w:rsidRPr="00843214">
        <w:rPr>
          <w:color w:val="auto"/>
          <w:lang w:val="en-AU"/>
        </w:rPr>
        <w:t>MCO</w:t>
      </w:r>
      <w:r w:rsidR="00294EB0" w:rsidRPr="00843214">
        <w:rPr>
          <w:color w:val="auto"/>
          <w:lang w:val="en-AU"/>
        </w:rPr>
        <w:t>)</w:t>
      </w:r>
      <w:r w:rsidR="00C44394" w:rsidRPr="00843214">
        <w:rPr>
          <w:color w:val="auto"/>
          <w:lang w:val="en-AU"/>
        </w:rPr>
        <w:t xml:space="preserve"> see </w:t>
      </w:r>
      <w:r w:rsidR="006B4D3F" w:rsidRPr="00843214">
        <w:rPr>
          <w:color w:val="auto"/>
          <w:lang w:val="en-AU"/>
        </w:rPr>
        <w:t xml:space="preserve">COVID-19 as an extension of </w:t>
      </w:r>
      <w:r w:rsidR="003809D3" w:rsidRPr="00843214">
        <w:rPr>
          <w:color w:val="auto"/>
          <w:lang w:val="en-AU"/>
        </w:rPr>
        <w:t>their</w:t>
      </w:r>
      <w:r w:rsidR="006B4D3F" w:rsidRPr="00843214">
        <w:rPr>
          <w:color w:val="auto"/>
          <w:lang w:val="en-AU"/>
        </w:rPr>
        <w:t xml:space="preserve"> DRR work.</w:t>
      </w:r>
      <w:r w:rsidR="00434ED1" w:rsidRPr="00843214">
        <w:rPr>
          <w:color w:val="auto"/>
          <w:lang w:val="en-AU"/>
        </w:rPr>
        <w:t xml:space="preserve"> </w:t>
      </w:r>
      <w:r w:rsidRPr="00843214">
        <w:rPr>
          <w:b/>
          <w:bCs/>
          <w:color w:val="auto"/>
          <w:lang w:val="en-AU"/>
        </w:rPr>
        <w:t xml:space="preserve">UN Women advocates for a COVID-19 response that </w:t>
      </w:r>
      <w:r w:rsidR="00CA39ED" w:rsidRPr="00843214">
        <w:rPr>
          <w:b/>
          <w:bCs/>
          <w:color w:val="auto"/>
          <w:lang w:val="en-AU"/>
        </w:rPr>
        <w:t>aims</w:t>
      </w:r>
      <w:r w:rsidRPr="00843214">
        <w:rPr>
          <w:b/>
          <w:bCs/>
          <w:color w:val="auto"/>
          <w:lang w:val="en-AU"/>
        </w:rPr>
        <w:t xml:space="preserve"> to improve the lives of women and girls </w:t>
      </w:r>
      <w:r w:rsidRPr="00843214">
        <w:rPr>
          <w:b/>
          <w:bCs/>
          <w:color w:val="auto"/>
          <w:lang w:val="en-AU"/>
        </w:rPr>
        <w:lastRenderedPageBreak/>
        <w:t xml:space="preserve">post-COVID-19, </w:t>
      </w:r>
      <w:r w:rsidRPr="00843214">
        <w:rPr>
          <w:color w:val="auto"/>
          <w:lang w:val="en-AU"/>
        </w:rPr>
        <w:t>one that includes women’s organisations, transforms the inequities of unpaid care work into an inclusive care economy and w</w:t>
      </w:r>
      <w:r w:rsidR="004C5F0E" w:rsidRPr="00843214">
        <w:rPr>
          <w:color w:val="auto"/>
          <w:lang w:val="en-AU"/>
        </w:rPr>
        <w:t>omen-focused</w:t>
      </w:r>
      <w:r w:rsidRPr="00843214">
        <w:rPr>
          <w:color w:val="auto"/>
          <w:lang w:val="en-AU"/>
        </w:rPr>
        <w:t xml:space="preserve"> socio-economic plans</w:t>
      </w:r>
      <w:r w:rsidR="00FC2361" w:rsidRPr="00843214">
        <w:rPr>
          <w:rFonts w:ascii="Georgia" w:hAnsi="Georgia"/>
          <w:color w:val="auto"/>
          <w:sz w:val="15"/>
        </w:rPr>
        <w:footnoteReference w:id="73"/>
      </w:r>
      <w:r w:rsidRPr="00843214">
        <w:rPr>
          <w:color w:val="auto"/>
          <w:lang w:val="en-AU"/>
        </w:rPr>
        <w:t>.</w:t>
      </w:r>
      <w:r w:rsidRPr="00843214">
        <w:rPr>
          <w:b/>
          <w:color w:val="auto"/>
          <w:lang w:val="en-AU"/>
        </w:rPr>
        <w:t xml:space="preserve"> </w:t>
      </w:r>
    </w:p>
    <w:p w14:paraId="30A7211E" w14:textId="78C917B3" w:rsidR="00D718FD" w:rsidRPr="00843214" w:rsidRDefault="00AC3BD0" w:rsidP="00233AEA">
      <w:pPr>
        <w:rPr>
          <w:color w:val="auto"/>
          <w:lang w:val="en-AU"/>
        </w:rPr>
      </w:pPr>
      <w:r w:rsidRPr="00843214">
        <w:rPr>
          <w:b/>
          <w:bCs/>
          <w:color w:val="auto"/>
          <w:lang w:val="en-AU"/>
        </w:rPr>
        <w:t xml:space="preserve">UN Women has provided gender analysis, </w:t>
      </w:r>
      <w:proofErr w:type="gramStart"/>
      <w:r w:rsidRPr="00843214">
        <w:rPr>
          <w:b/>
          <w:bCs/>
          <w:color w:val="auto"/>
          <w:lang w:val="en-AU"/>
        </w:rPr>
        <w:t>data</w:t>
      </w:r>
      <w:proofErr w:type="gramEnd"/>
      <w:r w:rsidRPr="00843214">
        <w:rPr>
          <w:b/>
          <w:bCs/>
          <w:color w:val="auto"/>
          <w:lang w:val="en-AU"/>
        </w:rPr>
        <w:t xml:space="preserve"> and expertise to</w:t>
      </w:r>
      <w:r w:rsidR="00DD26AE" w:rsidRPr="00843214">
        <w:rPr>
          <w:b/>
          <w:bCs/>
          <w:color w:val="auto"/>
          <w:lang w:val="en-AU"/>
        </w:rPr>
        <w:t xml:space="preserve"> </w:t>
      </w:r>
      <w:r w:rsidRPr="00843214">
        <w:rPr>
          <w:b/>
          <w:bCs/>
          <w:color w:val="auto"/>
          <w:lang w:val="en-AU"/>
        </w:rPr>
        <w:t>inform regional</w:t>
      </w:r>
      <w:r w:rsidR="00D718FD" w:rsidRPr="00843214">
        <w:rPr>
          <w:b/>
          <w:bCs/>
          <w:color w:val="auto"/>
          <w:lang w:val="en-AU"/>
        </w:rPr>
        <w:t xml:space="preserve">, </w:t>
      </w:r>
      <w:r w:rsidRPr="00843214">
        <w:rPr>
          <w:b/>
          <w:bCs/>
          <w:color w:val="auto"/>
          <w:lang w:val="en-AU"/>
        </w:rPr>
        <w:t xml:space="preserve">national </w:t>
      </w:r>
      <w:r w:rsidR="00D718FD" w:rsidRPr="00843214">
        <w:rPr>
          <w:b/>
          <w:bCs/>
          <w:color w:val="auto"/>
          <w:lang w:val="en-AU"/>
        </w:rPr>
        <w:t xml:space="preserve">and global </w:t>
      </w:r>
      <w:r w:rsidRPr="00843214">
        <w:rPr>
          <w:b/>
          <w:bCs/>
          <w:color w:val="auto"/>
          <w:lang w:val="en-AU"/>
        </w:rPr>
        <w:t>preparedness and response</w:t>
      </w:r>
      <w:r w:rsidR="00FC2361" w:rsidRPr="00843214">
        <w:rPr>
          <w:rStyle w:val="FootnoteReference"/>
          <w:b/>
          <w:bCs/>
          <w:color w:val="auto"/>
          <w:lang w:val="en-AU"/>
        </w:rPr>
        <w:footnoteReference w:id="74"/>
      </w:r>
      <w:r w:rsidR="00FC2361" w:rsidRPr="00843214">
        <w:rPr>
          <w:b/>
          <w:bCs/>
          <w:color w:val="auto"/>
          <w:lang w:val="en-AU"/>
        </w:rPr>
        <w:t>.</w:t>
      </w:r>
      <w:r w:rsidRPr="00843214">
        <w:rPr>
          <w:color w:val="auto"/>
          <w:lang w:val="en-AU"/>
        </w:rPr>
        <w:t xml:space="preserve"> This includes their</w:t>
      </w:r>
      <w:r w:rsidR="00D718FD" w:rsidRPr="00843214">
        <w:rPr>
          <w:color w:val="auto"/>
          <w:lang w:val="en-AU"/>
        </w:rPr>
        <w:t xml:space="preserve"> contribution</w:t>
      </w:r>
      <w:r w:rsidR="00920946" w:rsidRPr="00843214">
        <w:rPr>
          <w:color w:val="auto"/>
          <w:lang w:val="en-AU"/>
        </w:rPr>
        <w:t xml:space="preserve"> to</w:t>
      </w:r>
      <w:r w:rsidR="00D718FD" w:rsidRPr="00843214">
        <w:rPr>
          <w:color w:val="auto"/>
          <w:lang w:val="en-AU"/>
        </w:rPr>
        <w:t xml:space="preserve"> the UN’s COVID-19 Socio-Economic Impact Assessments and Socio-Economic Response Plans at global, </w:t>
      </w:r>
      <w:proofErr w:type="gramStart"/>
      <w:r w:rsidR="00D718FD" w:rsidRPr="00843214">
        <w:rPr>
          <w:color w:val="auto"/>
          <w:lang w:val="en-AU"/>
        </w:rPr>
        <w:t>national</w:t>
      </w:r>
      <w:proofErr w:type="gramEnd"/>
      <w:r w:rsidR="00D718FD" w:rsidRPr="00843214">
        <w:rPr>
          <w:color w:val="auto"/>
          <w:lang w:val="en-AU"/>
        </w:rPr>
        <w:t xml:space="preserve"> and regional level and the</w:t>
      </w:r>
      <w:r w:rsidRPr="00843214">
        <w:rPr>
          <w:color w:val="auto"/>
          <w:lang w:val="en-AU"/>
        </w:rPr>
        <w:t xml:space="preserve"> report: </w:t>
      </w:r>
      <w:r w:rsidRPr="00843214">
        <w:rPr>
          <w:i/>
          <w:iCs/>
          <w:color w:val="auto"/>
          <w:lang w:val="en-AU"/>
        </w:rPr>
        <w:t xml:space="preserve">The First 100 Days of COVID-19 in Asia and the Pacific: A Gender Lens </w:t>
      </w:r>
      <w:r w:rsidR="00DD26AE" w:rsidRPr="00843214">
        <w:rPr>
          <w:color w:val="auto"/>
          <w:lang w:val="en-AU"/>
        </w:rPr>
        <w:t>and the follow-up report published in 2021</w:t>
      </w:r>
      <w:r w:rsidR="00DD26AE" w:rsidRPr="00843214">
        <w:rPr>
          <w:i/>
          <w:iCs/>
          <w:color w:val="auto"/>
          <w:lang w:val="en-AU"/>
        </w:rPr>
        <w:t xml:space="preserve"> Standing Up to the Challenge: Response to the COVID-19 Pandemic in Asia and the Pacific </w:t>
      </w:r>
      <w:r w:rsidRPr="00843214">
        <w:rPr>
          <w:color w:val="auto"/>
          <w:lang w:val="en-AU"/>
        </w:rPr>
        <w:t>as well as</w:t>
      </w:r>
      <w:r w:rsidRPr="00843214">
        <w:rPr>
          <w:i/>
          <w:iCs/>
          <w:color w:val="auto"/>
          <w:lang w:val="en-AU"/>
        </w:rPr>
        <w:t xml:space="preserve"> Unlocking the Lockdown: the gendered effects of COVID-19 on achieving the SDGs in Asia and the Pacific</w:t>
      </w:r>
      <w:r w:rsidR="00DD26AE" w:rsidRPr="00843214">
        <w:rPr>
          <w:i/>
          <w:iCs/>
          <w:color w:val="auto"/>
          <w:lang w:val="en-AU"/>
        </w:rPr>
        <w:t xml:space="preserve">. </w:t>
      </w:r>
      <w:r w:rsidRPr="00843214">
        <w:rPr>
          <w:color w:val="auto"/>
          <w:lang w:val="en-AU"/>
        </w:rPr>
        <w:t xml:space="preserve">In </w:t>
      </w:r>
      <w:r w:rsidR="00306ECA" w:rsidRPr="00843214">
        <w:rPr>
          <w:color w:val="auto"/>
          <w:lang w:val="en-AU"/>
        </w:rPr>
        <w:t xml:space="preserve">the </w:t>
      </w:r>
      <w:r w:rsidRPr="00843214">
        <w:rPr>
          <w:color w:val="auto"/>
          <w:lang w:val="en-AU"/>
        </w:rPr>
        <w:t>Asia</w:t>
      </w:r>
      <w:r w:rsidR="00306ECA" w:rsidRPr="00843214">
        <w:rPr>
          <w:color w:val="auto"/>
          <w:lang w:val="en-AU"/>
        </w:rPr>
        <w:t>-</w:t>
      </w:r>
      <w:r w:rsidRPr="00843214">
        <w:rPr>
          <w:color w:val="auto"/>
          <w:lang w:val="en-AU"/>
        </w:rPr>
        <w:t xml:space="preserve">Pacific, UN Women conducted the first surveys </w:t>
      </w:r>
      <w:r w:rsidR="002559B3" w:rsidRPr="00843214">
        <w:rPr>
          <w:color w:val="auto"/>
          <w:lang w:val="en-AU"/>
        </w:rPr>
        <w:t>of</w:t>
      </w:r>
      <w:r w:rsidRPr="00843214">
        <w:rPr>
          <w:color w:val="auto"/>
          <w:lang w:val="en-AU"/>
        </w:rPr>
        <w:t xml:space="preserve"> the gender</w:t>
      </w:r>
      <w:r w:rsidR="002559B3" w:rsidRPr="00843214">
        <w:rPr>
          <w:color w:val="auto"/>
          <w:lang w:val="en-AU"/>
        </w:rPr>
        <w:t>ed</w:t>
      </w:r>
      <w:r w:rsidRPr="00843214">
        <w:rPr>
          <w:color w:val="auto"/>
          <w:lang w:val="en-AU"/>
        </w:rPr>
        <w:t xml:space="preserve"> </w:t>
      </w:r>
      <w:r w:rsidR="00191307" w:rsidRPr="00843214">
        <w:rPr>
          <w:color w:val="auto"/>
          <w:lang w:val="en-AU"/>
        </w:rPr>
        <w:t>impacts</w:t>
      </w:r>
      <w:r w:rsidR="00FC2361" w:rsidRPr="00843214">
        <w:rPr>
          <w:rStyle w:val="FootnoteReference"/>
          <w:color w:val="auto"/>
          <w:lang w:val="en-AU"/>
        </w:rPr>
        <w:footnoteReference w:id="75"/>
      </w:r>
      <w:r w:rsidR="00191307" w:rsidRPr="00843214">
        <w:rPr>
          <w:color w:val="auto"/>
          <w:lang w:val="en-AU"/>
        </w:rPr>
        <w:t xml:space="preserve"> and</w:t>
      </w:r>
      <w:r w:rsidRPr="00843214">
        <w:rPr>
          <w:color w:val="auto"/>
          <w:lang w:val="en-AU"/>
        </w:rPr>
        <w:t xml:space="preserve"> </w:t>
      </w:r>
      <w:r w:rsidR="00306ECA" w:rsidRPr="00843214">
        <w:rPr>
          <w:color w:val="auto"/>
          <w:lang w:val="en-AU"/>
        </w:rPr>
        <w:t>agile</w:t>
      </w:r>
      <w:r w:rsidRPr="00843214">
        <w:rPr>
          <w:color w:val="auto"/>
          <w:lang w:val="en-AU"/>
        </w:rPr>
        <w:t xml:space="preserve"> advocacy and awareness raising </w:t>
      </w:r>
      <w:r w:rsidR="0084516B" w:rsidRPr="00843214">
        <w:rPr>
          <w:color w:val="auto"/>
          <w:lang w:val="en-AU"/>
        </w:rPr>
        <w:t>of</w:t>
      </w:r>
      <w:r w:rsidR="00606BE6" w:rsidRPr="00843214">
        <w:rPr>
          <w:color w:val="auto"/>
          <w:lang w:val="en-AU"/>
        </w:rPr>
        <w:t xml:space="preserve"> gendered</w:t>
      </w:r>
      <w:r w:rsidR="0084516B" w:rsidRPr="00843214">
        <w:rPr>
          <w:color w:val="auto"/>
          <w:lang w:val="en-AU"/>
        </w:rPr>
        <w:t xml:space="preserve"> </w:t>
      </w:r>
      <w:r w:rsidRPr="00843214">
        <w:rPr>
          <w:color w:val="auto"/>
          <w:lang w:val="en-AU"/>
        </w:rPr>
        <w:t>COVID-19</w:t>
      </w:r>
      <w:r w:rsidR="0084516B" w:rsidRPr="00843214">
        <w:rPr>
          <w:color w:val="auto"/>
          <w:lang w:val="en-AU"/>
        </w:rPr>
        <w:t xml:space="preserve"> impacts</w:t>
      </w:r>
      <w:r w:rsidR="00955B3F" w:rsidRPr="00843214">
        <w:rPr>
          <w:rStyle w:val="FootnoteReference"/>
          <w:color w:val="auto"/>
          <w:lang w:val="en-AU"/>
        </w:rPr>
        <w:footnoteReference w:id="76"/>
      </w:r>
      <w:r w:rsidR="00FC2361" w:rsidRPr="00843214">
        <w:rPr>
          <w:rStyle w:val="FootnoteReference"/>
          <w:color w:val="auto"/>
          <w:lang w:val="en-AU"/>
        </w:rPr>
        <w:footnoteReference w:id="77"/>
      </w:r>
      <w:r w:rsidR="009A7C06" w:rsidRPr="00843214">
        <w:rPr>
          <w:color w:val="auto"/>
          <w:lang w:val="en-AU"/>
        </w:rPr>
        <w:t>.</w:t>
      </w:r>
    </w:p>
    <w:p w14:paraId="631CEB9C" w14:textId="346562CC" w:rsidR="00AC3BD0" w:rsidRPr="00843214" w:rsidRDefault="00AC3BD0" w:rsidP="009B1344">
      <w:pPr>
        <w:rPr>
          <w:color w:val="auto"/>
          <w:lang w:val="en-AU"/>
        </w:rPr>
      </w:pPr>
      <w:r w:rsidRPr="00843214">
        <w:rPr>
          <w:b/>
          <w:bCs/>
          <w:color w:val="auto"/>
          <w:lang w:val="en-AU"/>
        </w:rPr>
        <w:t xml:space="preserve">UN Women was a prominent voice in urging action on the escalating rates of </w:t>
      </w:r>
      <w:r w:rsidR="00ED2C78" w:rsidRPr="00843214">
        <w:rPr>
          <w:b/>
          <w:bCs/>
          <w:color w:val="auto"/>
          <w:lang w:val="en-AU"/>
        </w:rPr>
        <w:t>GBV</w:t>
      </w:r>
      <w:r w:rsidRPr="00843214">
        <w:rPr>
          <w:b/>
          <w:bCs/>
          <w:color w:val="auto"/>
          <w:lang w:val="en-AU"/>
        </w:rPr>
        <w:t xml:space="preserve"> violence during lockdowns</w:t>
      </w:r>
      <w:r w:rsidR="00FC2361" w:rsidRPr="00843214">
        <w:rPr>
          <w:rStyle w:val="FootnoteReference"/>
          <w:b/>
          <w:bCs/>
          <w:color w:val="auto"/>
          <w:lang w:val="en-AU"/>
        </w:rPr>
        <w:footnoteReference w:id="78"/>
      </w:r>
      <w:r w:rsidR="009B1344" w:rsidRPr="00843214">
        <w:rPr>
          <w:b/>
          <w:bCs/>
          <w:color w:val="auto"/>
          <w:lang w:val="en-AU"/>
        </w:rPr>
        <w:t xml:space="preserve"> and engaging women’s organisations to support</w:t>
      </w:r>
      <w:r w:rsidRPr="00843214">
        <w:rPr>
          <w:b/>
          <w:bCs/>
          <w:color w:val="auto"/>
          <w:lang w:val="en-AU"/>
        </w:rPr>
        <w:t>.</w:t>
      </w:r>
      <w:r w:rsidR="00D718FD" w:rsidRPr="00843214">
        <w:rPr>
          <w:b/>
          <w:bCs/>
          <w:color w:val="auto"/>
          <w:lang w:val="en-AU"/>
        </w:rPr>
        <w:t xml:space="preserve"> </w:t>
      </w:r>
      <w:r w:rsidR="00A31ACC" w:rsidRPr="00843214">
        <w:rPr>
          <w:color w:val="auto"/>
          <w:lang w:val="en-AU"/>
        </w:rPr>
        <w:t>UN Women is at the nexus of development and emergencies on GBV/VAW</w:t>
      </w:r>
      <w:r w:rsidR="00FB1EB3" w:rsidRPr="00843214">
        <w:rPr>
          <w:color w:val="auto"/>
          <w:lang w:val="en-AU"/>
        </w:rPr>
        <w:t>G</w:t>
      </w:r>
      <w:r w:rsidR="00A31ACC" w:rsidRPr="00843214">
        <w:rPr>
          <w:color w:val="auto"/>
          <w:lang w:val="en-AU"/>
        </w:rPr>
        <w:t xml:space="preserve"> and is developing a strategy on this nexus, drawing upon latest </w:t>
      </w:r>
      <w:proofErr w:type="gramStart"/>
      <w:r w:rsidR="00A31ACC" w:rsidRPr="00843214">
        <w:rPr>
          <w:color w:val="auto"/>
          <w:lang w:val="en-AU"/>
        </w:rPr>
        <w:t>practice</w:t>
      </w:r>
      <w:proofErr w:type="gramEnd"/>
      <w:r w:rsidR="00A31ACC" w:rsidRPr="00843214">
        <w:rPr>
          <w:color w:val="auto"/>
          <w:lang w:val="en-AU"/>
        </w:rPr>
        <w:t xml:space="preserve"> and learning from COVID-19.</w:t>
      </w:r>
      <w:r w:rsidR="00C82AF0" w:rsidRPr="00843214">
        <w:rPr>
          <w:color w:val="auto"/>
          <w:lang w:val="en-AU"/>
        </w:rPr>
        <w:t xml:space="preserve"> </w:t>
      </w:r>
      <w:r w:rsidR="00D718FD" w:rsidRPr="00843214">
        <w:rPr>
          <w:color w:val="auto"/>
          <w:lang w:val="en-AU"/>
        </w:rPr>
        <w:t xml:space="preserve">The UN </w:t>
      </w:r>
      <w:r w:rsidR="007A2FF4" w:rsidRPr="00843214">
        <w:rPr>
          <w:color w:val="auto"/>
          <w:lang w:val="en-AU"/>
        </w:rPr>
        <w:t>SG</w:t>
      </w:r>
      <w:r w:rsidR="00D718FD" w:rsidRPr="00843214">
        <w:rPr>
          <w:color w:val="auto"/>
          <w:lang w:val="en-AU"/>
        </w:rPr>
        <w:t xml:space="preserve"> is working closely with UN</w:t>
      </w:r>
      <w:r w:rsidR="00C82AF0" w:rsidRPr="00843214">
        <w:rPr>
          <w:color w:val="auto"/>
          <w:lang w:val="en-AU"/>
        </w:rPr>
        <w:t xml:space="preserve"> Women</w:t>
      </w:r>
      <w:r w:rsidR="00D718FD" w:rsidRPr="00843214">
        <w:rPr>
          <w:color w:val="auto"/>
          <w:lang w:val="en-AU"/>
        </w:rPr>
        <w:t xml:space="preserve"> to advance his Political Engagement Strategy on GBV &amp; COVID</w:t>
      </w:r>
      <w:r w:rsidR="00294EB0" w:rsidRPr="00843214">
        <w:rPr>
          <w:color w:val="auto"/>
          <w:lang w:val="en-AU"/>
        </w:rPr>
        <w:t>-19</w:t>
      </w:r>
      <w:r w:rsidR="00D718FD" w:rsidRPr="00843214">
        <w:rPr>
          <w:color w:val="auto"/>
          <w:lang w:val="en-AU"/>
        </w:rPr>
        <w:t xml:space="preserve">. </w:t>
      </w:r>
      <w:r w:rsidR="009E72E7" w:rsidRPr="00843214">
        <w:rPr>
          <w:color w:val="auto"/>
          <w:lang w:val="en-AU"/>
        </w:rPr>
        <w:t>A</w:t>
      </w:r>
      <w:r w:rsidR="003809D3" w:rsidRPr="00843214">
        <w:rPr>
          <w:color w:val="auto"/>
          <w:lang w:val="en-AU"/>
        </w:rPr>
        <w:t xml:space="preserve"> key</w:t>
      </w:r>
      <w:r w:rsidR="009E72E7" w:rsidRPr="00843214">
        <w:rPr>
          <w:color w:val="auto"/>
          <w:lang w:val="en-AU"/>
        </w:rPr>
        <w:t xml:space="preserve"> element</w:t>
      </w:r>
      <w:r w:rsidR="00C82AF0" w:rsidRPr="00843214">
        <w:rPr>
          <w:color w:val="auto"/>
          <w:lang w:val="en-AU"/>
        </w:rPr>
        <w:t xml:space="preserve"> is </w:t>
      </w:r>
      <w:r w:rsidR="009E72E7" w:rsidRPr="00843214">
        <w:rPr>
          <w:color w:val="auto"/>
          <w:lang w:val="en-AU"/>
        </w:rPr>
        <w:t>the availability of</w:t>
      </w:r>
      <w:r w:rsidR="00A31ACC" w:rsidRPr="00843214">
        <w:rPr>
          <w:color w:val="auto"/>
          <w:lang w:val="en-AU"/>
        </w:rPr>
        <w:t xml:space="preserve"> flexible funding for women’s rights organi</w:t>
      </w:r>
      <w:r w:rsidR="00864137" w:rsidRPr="00843214">
        <w:rPr>
          <w:color w:val="auto"/>
          <w:lang w:val="en-AU"/>
        </w:rPr>
        <w:t>s</w:t>
      </w:r>
      <w:r w:rsidR="00A31ACC" w:rsidRPr="00843214">
        <w:rPr>
          <w:color w:val="auto"/>
          <w:lang w:val="en-AU"/>
        </w:rPr>
        <w:t xml:space="preserve">ations working at the nexus of COVID-19 and GBV, </w:t>
      </w:r>
      <w:r w:rsidR="00C44394" w:rsidRPr="00843214">
        <w:rPr>
          <w:color w:val="auto"/>
          <w:lang w:val="en-AU"/>
        </w:rPr>
        <w:t>to</w:t>
      </w:r>
      <w:r w:rsidR="00A31ACC" w:rsidRPr="00843214">
        <w:rPr>
          <w:color w:val="auto"/>
          <w:lang w:val="en-AU"/>
        </w:rPr>
        <w:t xml:space="preserve"> support these organi</w:t>
      </w:r>
      <w:r w:rsidR="00864137" w:rsidRPr="00843214">
        <w:rPr>
          <w:color w:val="auto"/>
          <w:lang w:val="en-AU"/>
        </w:rPr>
        <w:t>s</w:t>
      </w:r>
      <w:r w:rsidR="00A31ACC" w:rsidRPr="00843214">
        <w:rPr>
          <w:color w:val="auto"/>
          <w:lang w:val="en-AU"/>
        </w:rPr>
        <w:t>ations’ capacity to adapt their projects and efforts to the continuously evolving situation. In addition, UN Women provided extensive insights to the UN system and Member States on</w:t>
      </w:r>
      <w:r w:rsidR="009E72E7" w:rsidRPr="00843214">
        <w:rPr>
          <w:color w:val="auto"/>
          <w:lang w:val="en-AU"/>
        </w:rPr>
        <w:t xml:space="preserve"> the</w:t>
      </w:r>
      <w:r w:rsidR="00A31ACC" w:rsidRPr="00843214">
        <w:rPr>
          <w:color w:val="auto"/>
          <w:lang w:val="en-AU"/>
        </w:rPr>
        <w:t xml:space="preserve"> impact</w:t>
      </w:r>
      <w:r w:rsidR="009E72E7" w:rsidRPr="00843214">
        <w:rPr>
          <w:color w:val="auto"/>
          <w:lang w:val="en-AU"/>
        </w:rPr>
        <w:t>s</w:t>
      </w:r>
      <w:r w:rsidR="00A31ACC" w:rsidRPr="00843214">
        <w:rPr>
          <w:color w:val="auto"/>
          <w:lang w:val="en-AU"/>
        </w:rPr>
        <w:t xml:space="preserve"> of COVID-19</w:t>
      </w:r>
      <w:r w:rsidR="009E72E7" w:rsidRPr="00843214">
        <w:rPr>
          <w:color w:val="auto"/>
          <w:lang w:val="en-AU"/>
        </w:rPr>
        <w:t xml:space="preserve"> </w:t>
      </w:r>
      <w:r w:rsidR="00A31ACC" w:rsidRPr="00843214">
        <w:rPr>
          <w:color w:val="auto"/>
          <w:lang w:val="en-AU"/>
        </w:rPr>
        <w:t>and rise in VAWG, as well as impact</w:t>
      </w:r>
      <w:r w:rsidR="009E72E7" w:rsidRPr="00843214">
        <w:rPr>
          <w:color w:val="auto"/>
          <w:lang w:val="en-AU"/>
        </w:rPr>
        <w:t>s</w:t>
      </w:r>
      <w:r w:rsidR="00A31ACC" w:rsidRPr="00843214">
        <w:rPr>
          <w:color w:val="auto"/>
          <w:lang w:val="en-AU"/>
        </w:rPr>
        <w:t xml:space="preserve"> on CSOs and </w:t>
      </w:r>
      <w:r w:rsidR="009E72E7" w:rsidRPr="00843214">
        <w:rPr>
          <w:color w:val="auto"/>
          <w:lang w:val="en-AU"/>
        </w:rPr>
        <w:t>women’</w:t>
      </w:r>
      <w:r w:rsidR="00A31ACC" w:rsidRPr="00843214">
        <w:rPr>
          <w:color w:val="auto"/>
          <w:lang w:val="en-AU"/>
        </w:rPr>
        <w:t>s</w:t>
      </w:r>
      <w:r w:rsidR="009E72E7" w:rsidRPr="00843214">
        <w:rPr>
          <w:color w:val="auto"/>
          <w:lang w:val="en-AU"/>
        </w:rPr>
        <w:t xml:space="preserve"> rights organisations</w:t>
      </w:r>
      <w:r w:rsidRPr="00843214">
        <w:rPr>
          <w:rStyle w:val="FootnoteReference"/>
          <w:color w:val="auto"/>
          <w:lang w:val="en-AU"/>
        </w:rPr>
        <w:footnoteReference w:id="79"/>
      </w:r>
      <w:r w:rsidR="00A31ACC" w:rsidRPr="00843214">
        <w:rPr>
          <w:color w:val="auto"/>
          <w:lang w:val="en-AU"/>
        </w:rPr>
        <w:t xml:space="preserve">. </w:t>
      </w:r>
      <w:bookmarkStart w:id="56" w:name="_Hlk67577419"/>
      <w:r w:rsidR="00A31ACC" w:rsidRPr="00843214">
        <w:rPr>
          <w:color w:val="auto"/>
          <w:lang w:val="en-AU"/>
        </w:rPr>
        <w:t>T</w:t>
      </w:r>
      <w:r w:rsidR="009B1344" w:rsidRPr="00843214">
        <w:rPr>
          <w:color w:val="auto"/>
          <w:lang w:val="en-AU"/>
        </w:rPr>
        <w:t xml:space="preserve">he </w:t>
      </w:r>
      <w:r w:rsidR="009E72E7" w:rsidRPr="00843214">
        <w:rPr>
          <w:color w:val="auto"/>
          <w:lang w:val="en-AU"/>
        </w:rPr>
        <w:t>UN Women and UNTF</w:t>
      </w:r>
      <w:r w:rsidR="003745E4" w:rsidRPr="00843214">
        <w:rPr>
          <w:color w:val="auto"/>
          <w:lang w:val="en-AU"/>
        </w:rPr>
        <w:t xml:space="preserve"> for EVAW</w:t>
      </w:r>
      <w:r w:rsidR="009E72E7" w:rsidRPr="00843214">
        <w:rPr>
          <w:color w:val="auto"/>
          <w:lang w:val="en-AU"/>
        </w:rPr>
        <w:t xml:space="preserve">’s early responses to COVID-19 heavily informed the </w:t>
      </w:r>
      <w:r w:rsidR="009B1344" w:rsidRPr="00843214">
        <w:rPr>
          <w:color w:val="auto"/>
          <w:lang w:val="en-AU"/>
        </w:rPr>
        <w:t>UN Inter-agency Statement on V</w:t>
      </w:r>
      <w:r w:rsidR="009E72E7" w:rsidRPr="00843214">
        <w:rPr>
          <w:color w:val="auto"/>
          <w:lang w:val="en-AU"/>
        </w:rPr>
        <w:t>AWG</w:t>
      </w:r>
      <w:r w:rsidR="009B1344" w:rsidRPr="00843214">
        <w:rPr>
          <w:color w:val="auto"/>
          <w:lang w:val="en-AU"/>
        </w:rPr>
        <w:t xml:space="preserve"> in the context of COVID-19</w:t>
      </w:r>
      <w:r w:rsidR="005B6FBD" w:rsidRPr="00843214">
        <w:rPr>
          <w:color w:val="auto"/>
          <w:lang w:val="en-AU"/>
        </w:rPr>
        <w:t xml:space="preserve">, and </w:t>
      </w:r>
      <w:r w:rsidR="009B1344" w:rsidRPr="00843214">
        <w:rPr>
          <w:color w:val="auto"/>
          <w:lang w:val="en-AU"/>
        </w:rPr>
        <w:t>UN Women and</w:t>
      </w:r>
      <w:r w:rsidR="005B6FBD" w:rsidRPr="00843214">
        <w:rPr>
          <w:color w:val="auto"/>
          <w:lang w:val="en-AU"/>
        </w:rPr>
        <w:t xml:space="preserve"> the</w:t>
      </w:r>
      <w:r w:rsidR="009B1344" w:rsidRPr="00843214">
        <w:rPr>
          <w:color w:val="auto"/>
          <w:lang w:val="en-AU"/>
        </w:rPr>
        <w:t xml:space="preserve"> UN</w:t>
      </w:r>
      <w:r w:rsidR="00C82AF0" w:rsidRPr="00843214">
        <w:rPr>
          <w:color w:val="auto"/>
          <w:lang w:val="en-AU"/>
        </w:rPr>
        <w:t>TF for</w:t>
      </w:r>
      <w:r w:rsidR="009B1344" w:rsidRPr="00843214">
        <w:rPr>
          <w:color w:val="auto"/>
          <w:lang w:val="en-AU"/>
        </w:rPr>
        <w:t xml:space="preserve"> EVAW have </w:t>
      </w:r>
      <w:r w:rsidR="00BB5F90" w:rsidRPr="00843214">
        <w:rPr>
          <w:color w:val="auto"/>
          <w:lang w:val="en-AU"/>
        </w:rPr>
        <w:t xml:space="preserve">since </w:t>
      </w:r>
      <w:r w:rsidR="009B1344" w:rsidRPr="00843214">
        <w:rPr>
          <w:color w:val="auto"/>
          <w:lang w:val="en-AU"/>
        </w:rPr>
        <w:t>provided an immediate and medium to long term</w:t>
      </w:r>
      <w:r w:rsidR="00920946" w:rsidRPr="00843214">
        <w:rPr>
          <w:color w:val="auto"/>
          <w:lang w:val="en-AU"/>
        </w:rPr>
        <w:t xml:space="preserve"> plan</w:t>
      </w:r>
      <w:r w:rsidR="009B1344" w:rsidRPr="00843214">
        <w:rPr>
          <w:color w:val="auto"/>
          <w:lang w:val="en-AU"/>
        </w:rPr>
        <w:t xml:space="preserve"> </w:t>
      </w:r>
      <w:r w:rsidR="00C021C3" w:rsidRPr="00843214">
        <w:rPr>
          <w:color w:val="auto"/>
          <w:lang w:val="en-AU"/>
        </w:rPr>
        <w:t>to address this i</w:t>
      </w:r>
      <w:r w:rsidR="00DE690F" w:rsidRPr="00843214">
        <w:rPr>
          <w:color w:val="auto"/>
          <w:lang w:val="en-AU"/>
        </w:rPr>
        <w:t>mpact</w:t>
      </w:r>
      <w:r w:rsidR="009B1344" w:rsidRPr="00843214">
        <w:rPr>
          <w:color w:val="auto"/>
          <w:lang w:val="en-AU"/>
        </w:rPr>
        <w:t>.</w:t>
      </w:r>
    </w:p>
    <w:bookmarkEnd w:id="56"/>
    <w:p w14:paraId="16B9F08A" w14:textId="4F6A6C36" w:rsidR="006B4D3F" w:rsidRPr="00843214" w:rsidRDefault="006B4D3F" w:rsidP="006B4D3F">
      <w:pPr>
        <w:rPr>
          <w:color w:val="auto"/>
          <w:lang w:val="en-AU"/>
        </w:rPr>
      </w:pPr>
      <w:r w:rsidRPr="00843214">
        <w:rPr>
          <w:b/>
          <w:bCs/>
          <w:color w:val="auto"/>
          <w:lang w:val="en-AU"/>
        </w:rPr>
        <w:t xml:space="preserve">UN Women has successfully pivoted to adapt to COVID-19 in their </w:t>
      </w:r>
      <w:r w:rsidR="00503E8D" w:rsidRPr="00843214">
        <w:rPr>
          <w:b/>
          <w:bCs/>
          <w:color w:val="auto"/>
          <w:lang w:val="en-AU"/>
        </w:rPr>
        <w:t>program</w:t>
      </w:r>
      <w:r w:rsidRPr="00843214">
        <w:rPr>
          <w:b/>
          <w:bCs/>
          <w:color w:val="auto"/>
          <w:lang w:val="en-AU"/>
        </w:rPr>
        <w:t>s and are adapting to new delivery modalities.</w:t>
      </w:r>
      <w:r w:rsidRPr="00843214">
        <w:rPr>
          <w:color w:val="auto"/>
          <w:lang w:val="en-AU"/>
        </w:rPr>
        <w:t xml:space="preserve"> They have both protected their staff/contractors and been able to repurpose their work to be able to better serve </w:t>
      </w:r>
      <w:r w:rsidR="005379AE" w:rsidRPr="00843214">
        <w:rPr>
          <w:color w:val="auto"/>
          <w:lang w:val="en-AU"/>
        </w:rPr>
        <w:t>beneficiaries and stakeholders</w:t>
      </w:r>
      <w:r w:rsidR="00055F97" w:rsidRPr="00843214">
        <w:rPr>
          <w:color w:val="auto"/>
          <w:lang w:val="en-AU"/>
        </w:rPr>
        <w:t xml:space="preserve">. (See Section </w:t>
      </w:r>
      <w:r w:rsidR="00055F97" w:rsidRPr="00843214">
        <w:rPr>
          <w:color w:val="auto"/>
          <w:lang w:val="en-AU"/>
        </w:rPr>
        <w:fldChar w:fldCharType="begin"/>
      </w:r>
      <w:r w:rsidR="00055F97" w:rsidRPr="00843214">
        <w:rPr>
          <w:color w:val="auto"/>
          <w:lang w:val="en-AU"/>
        </w:rPr>
        <w:instrText xml:space="preserve"> REF _Ref66555579 \n \h </w:instrText>
      </w:r>
      <w:r w:rsidR="00055F97" w:rsidRPr="00843214">
        <w:rPr>
          <w:color w:val="auto"/>
          <w:lang w:val="en-AU"/>
        </w:rPr>
      </w:r>
      <w:r w:rsidR="00055F97" w:rsidRPr="00843214">
        <w:rPr>
          <w:color w:val="auto"/>
          <w:lang w:val="en-AU"/>
        </w:rPr>
        <w:fldChar w:fldCharType="separate"/>
      </w:r>
      <w:r w:rsidR="00742005" w:rsidRPr="00843214">
        <w:rPr>
          <w:color w:val="auto"/>
          <w:lang w:val="en-AU"/>
        </w:rPr>
        <w:t>1.1.1</w:t>
      </w:r>
      <w:r w:rsidR="00055F97" w:rsidRPr="00843214">
        <w:rPr>
          <w:color w:val="auto"/>
          <w:lang w:val="en-AU"/>
        </w:rPr>
        <w:fldChar w:fldCharType="end"/>
      </w:r>
      <w:r w:rsidR="00055F97" w:rsidRPr="00843214">
        <w:rPr>
          <w:color w:val="auto"/>
          <w:lang w:val="en-AU"/>
        </w:rPr>
        <w:t xml:space="preserve"> for examples). A</w:t>
      </w:r>
      <w:r w:rsidR="00001699" w:rsidRPr="00843214">
        <w:rPr>
          <w:color w:val="auto"/>
          <w:lang w:val="en-AU"/>
        </w:rPr>
        <w:t>nd, a</w:t>
      </w:r>
      <w:r w:rsidR="00055F97" w:rsidRPr="00843214">
        <w:rPr>
          <w:color w:val="auto"/>
          <w:lang w:val="en-AU"/>
        </w:rPr>
        <w:t xml:space="preserve">s noted, CSOs </w:t>
      </w:r>
      <w:r w:rsidR="00970ACA" w:rsidRPr="00843214">
        <w:rPr>
          <w:color w:val="auto"/>
          <w:lang w:val="en-AU"/>
        </w:rPr>
        <w:t>are</w:t>
      </w:r>
      <w:r w:rsidR="009770C5" w:rsidRPr="00843214">
        <w:rPr>
          <w:color w:val="auto"/>
          <w:lang w:val="en-AU"/>
        </w:rPr>
        <w:t xml:space="preserve"> </w:t>
      </w:r>
      <w:r w:rsidR="00055F97" w:rsidRPr="00843214">
        <w:rPr>
          <w:color w:val="auto"/>
          <w:lang w:val="en-AU"/>
        </w:rPr>
        <w:t>invaluable to the COVID-19 response efforts on the ground.</w:t>
      </w:r>
      <w:r w:rsidR="005379AE" w:rsidRPr="00843214">
        <w:rPr>
          <w:color w:val="auto"/>
          <w:lang w:val="en-AU"/>
        </w:rPr>
        <w:t xml:space="preserve"> </w:t>
      </w:r>
      <w:r w:rsidR="00200FEF" w:rsidRPr="00843214">
        <w:rPr>
          <w:color w:val="auto"/>
          <w:lang w:val="en-AU"/>
        </w:rPr>
        <w:t>The r</w:t>
      </w:r>
      <w:r w:rsidRPr="00843214">
        <w:rPr>
          <w:color w:val="auto"/>
          <w:lang w:val="en-AU"/>
        </w:rPr>
        <w:t xml:space="preserve">emote delivery </w:t>
      </w:r>
      <w:r w:rsidR="00C44661" w:rsidRPr="00843214">
        <w:rPr>
          <w:color w:val="auto"/>
          <w:lang w:val="en-AU"/>
        </w:rPr>
        <w:t xml:space="preserve">used during COVID-19 </w:t>
      </w:r>
      <w:r w:rsidR="00200FEF" w:rsidRPr="00843214">
        <w:rPr>
          <w:color w:val="auto"/>
          <w:lang w:val="en-AU"/>
        </w:rPr>
        <w:t xml:space="preserve">could be maintained </w:t>
      </w:r>
      <w:r w:rsidRPr="00843214">
        <w:rPr>
          <w:color w:val="auto"/>
          <w:lang w:val="en-AU"/>
        </w:rPr>
        <w:t>going forward</w:t>
      </w:r>
      <w:r w:rsidR="00964D83" w:rsidRPr="00843214">
        <w:rPr>
          <w:color w:val="auto"/>
          <w:lang w:val="en-AU"/>
        </w:rPr>
        <w:t xml:space="preserve">. </w:t>
      </w:r>
      <w:r w:rsidR="00294EB0" w:rsidRPr="00843214">
        <w:rPr>
          <w:color w:val="auto"/>
          <w:lang w:val="en-AU"/>
        </w:rPr>
        <w:t>W</w:t>
      </w:r>
      <w:r w:rsidR="00964D83" w:rsidRPr="00843214">
        <w:rPr>
          <w:color w:val="auto"/>
          <w:lang w:val="en-AU"/>
        </w:rPr>
        <w:t>hile not a replacement for country presence</w:t>
      </w:r>
      <w:r w:rsidR="00B71CA9" w:rsidRPr="00843214">
        <w:rPr>
          <w:color w:val="auto"/>
          <w:lang w:val="en-AU"/>
        </w:rPr>
        <w:t>,</w:t>
      </w:r>
      <w:r w:rsidR="00964D83" w:rsidRPr="00843214">
        <w:rPr>
          <w:color w:val="auto"/>
          <w:lang w:val="en-AU"/>
        </w:rPr>
        <w:t xml:space="preserve"> and</w:t>
      </w:r>
      <w:r w:rsidRPr="00843214">
        <w:rPr>
          <w:color w:val="auto"/>
          <w:lang w:val="en-AU"/>
        </w:rPr>
        <w:t xml:space="preserve"> where there is available infrastructure</w:t>
      </w:r>
      <w:r w:rsidR="00964D83" w:rsidRPr="00843214">
        <w:rPr>
          <w:color w:val="auto"/>
          <w:lang w:val="en-AU"/>
        </w:rPr>
        <w:t xml:space="preserve"> and opportunity to build digital capacity</w:t>
      </w:r>
      <w:r w:rsidR="00306ECA" w:rsidRPr="00843214">
        <w:rPr>
          <w:color w:val="auto"/>
          <w:lang w:val="en-AU"/>
        </w:rPr>
        <w:t xml:space="preserve"> (if lacking)</w:t>
      </w:r>
      <w:r w:rsidRPr="00843214">
        <w:rPr>
          <w:color w:val="auto"/>
          <w:lang w:val="en-AU"/>
        </w:rPr>
        <w:t xml:space="preserve">, </w:t>
      </w:r>
      <w:r w:rsidR="00294EB0" w:rsidRPr="00843214">
        <w:rPr>
          <w:color w:val="auto"/>
          <w:lang w:val="en-AU"/>
        </w:rPr>
        <w:t xml:space="preserve">UN Women </w:t>
      </w:r>
      <w:r w:rsidRPr="00843214">
        <w:rPr>
          <w:color w:val="auto"/>
          <w:lang w:val="en-AU"/>
        </w:rPr>
        <w:t xml:space="preserve">could add value to a post-COVID-19 landscape in the Pacific and other </w:t>
      </w:r>
      <w:r w:rsidR="00964D83" w:rsidRPr="00843214">
        <w:rPr>
          <w:color w:val="auto"/>
          <w:lang w:val="en-AU"/>
        </w:rPr>
        <w:t>locations</w:t>
      </w:r>
      <w:r w:rsidRPr="00843214">
        <w:rPr>
          <w:color w:val="auto"/>
          <w:lang w:val="en-AU"/>
        </w:rPr>
        <w:t xml:space="preserve"> where populations are </w:t>
      </w:r>
      <w:proofErr w:type="gramStart"/>
      <w:r w:rsidRPr="00843214">
        <w:rPr>
          <w:color w:val="auto"/>
          <w:lang w:val="en-AU"/>
        </w:rPr>
        <w:t>remote</w:t>
      </w:r>
      <w:proofErr w:type="gramEnd"/>
      <w:r w:rsidRPr="00843214">
        <w:rPr>
          <w:color w:val="auto"/>
          <w:lang w:val="en-AU"/>
        </w:rPr>
        <w:t xml:space="preserve"> and travel is difficult or costly</w:t>
      </w:r>
      <w:r w:rsidR="00FC2361" w:rsidRPr="00843214">
        <w:rPr>
          <w:rStyle w:val="FootnoteReference"/>
          <w:color w:val="auto"/>
          <w:lang w:val="en-AU"/>
        </w:rPr>
        <w:footnoteReference w:id="80"/>
      </w:r>
      <w:r w:rsidRPr="00843214">
        <w:rPr>
          <w:color w:val="auto"/>
          <w:lang w:val="en-AU"/>
        </w:rPr>
        <w:t>. While UN Women has been nimble in adapting programs, DFAT has highlighted the need for longer term planning to mitigate against risks in a protracted situation where there are health and travel challenges</w:t>
      </w:r>
      <w:r w:rsidR="00FC2361" w:rsidRPr="00843214">
        <w:rPr>
          <w:rStyle w:val="FootnoteReference"/>
          <w:color w:val="auto"/>
          <w:lang w:val="en-AU"/>
        </w:rPr>
        <w:footnoteReference w:id="81"/>
      </w:r>
      <w:r w:rsidRPr="00843214">
        <w:rPr>
          <w:color w:val="auto"/>
          <w:lang w:val="en-AU"/>
        </w:rPr>
        <w:t>.</w:t>
      </w:r>
    </w:p>
    <w:p w14:paraId="5BF2FBE7" w14:textId="53450D9D" w:rsidR="00AC3BD0" w:rsidRPr="00843214" w:rsidRDefault="00AC3BD0" w:rsidP="00AC3BD0">
      <w:pPr>
        <w:pStyle w:val="Heading3"/>
        <w:rPr>
          <w:color w:val="auto"/>
          <w:lang w:val="en-AU"/>
        </w:rPr>
      </w:pPr>
      <w:bookmarkStart w:id="57" w:name="_Ref66540547"/>
      <w:bookmarkStart w:id="58" w:name="_Toc69376664"/>
      <w:r w:rsidRPr="00843214">
        <w:rPr>
          <w:color w:val="auto"/>
          <w:lang w:val="en-AU"/>
        </w:rPr>
        <w:lastRenderedPageBreak/>
        <w:t xml:space="preserve">UN Women organisational positioning and </w:t>
      </w:r>
      <w:r w:rsidR="007966B9" w:rsidRPr="00843214">
        <w:rPr>
          <w:color w:val="auto"/>
          <w:lang w:val="en-AU"/>
        </w:rPr>
        <w:t xml:space="preserve">the </w:t>
      </w:r>
      <w:r w:rsidRPr="00843214">
        <w:rPr>
          <w:color w:val="auto"/>
          <w:lang w:val="en-AU"/>
        </w:rPr>
        <w:t>effects of U</w:t>
      </w:r>
      <w:r w:rsidR="007966B9" w:rsidRPr="00843214">
        <w:rPr>
          <w:color w:val="auto"/>
          <w:lang w:val="en-AU"/>
        </w:rPr>
        <w:t xml:space="preserve">nited </w:t>
      </w:r>
      <w:r w:rsidRPr="00843214">
        <w:rPr>
          <w:color w:val="auto"/>
          <w:lang w:val="en-AU"/>
        </w:rPr>
        <w:t>N</w:t>
      </w:r>
      <w:r w:rsidR="007966B9" w:rsidRPr="00843214">
        <w:rPr>
          <w:color w:val="auto"/>
          <w:lang w:val="en-AU"/>
        </w:rPr>
        <w:t xml:space="preserve">ations </w:t>
      </w:r>
      <w:r w:rsidRPr="00843214">
        <w:rPr>
          <w:color w:val="auto"/>
          <w:lang w:val="en-AU"/>
        </w:rPr>
        <w:t>D</w:t>
      </w:r>
      <w:r w:rsidR="007966B9" w:rsidRPr="00843214">
        <w:rPr>
          <w:color w:val="auto"/>
          <w:lang w:val="en-AU"/>
        </w:rPr>
        <w:t xml:space="preserve">evelopment </w:t>
      </w:r>
      <w:r w:rsidRPr="00843214">
        <w:rPr>
          <w:color w:val="auto"/>
          <w:lang w:val="en-AU"/>
        </w:rPr>
        <w:t>S</w:t>
      </w:r>
      <w:r w:rsidR="007966B9" w:rsidRPr="00843214">
        <w:rPr>
          <w:color w:val="auto"/>
          <w:lang w:val="en-AU"/>
        </w:rPr>
        <w:t>ystems</w:t>
      </w:r>
      <w:r w:rsidRPr="00843214">
        <w:rPr>
          <w:color w:val="auto"/>
          <w:lang w:val="en-AU"/>
        </w:rPr>
        <w:t xml:space="preserve"> reform</w:t>
      </w:r>
      <w:bookmarkEnd w:id="57"/>
      <w:bookmarkEnd w:id="58"/>
    </w:p>
    <w:p w14:paraId="13B6AC3B" w14:textId="08DEFC36" w:rsidR="00AC3BD0" w:rsidRPr="00843214" w:rsidRDefault="00A55DF0" w:rsidP="00AC3BD0">
      <w:pPr>
        <w:pStyle w:val="Heading4"/>
        <w:rPr>
          <w:color w:val="auto"/>
          <w:lang w:val="en-AU"/>
        </w:rPr>
      </w:pPr>
      <w:r w:rsidRPr="00843214">
        <w:rPr>
          <w:noProof/>
          <w:color w:val="auto"/>
          <w:lang w:val="en-AU"/>
        </w:rPr>
        <mc:AlternateContent>
          <mc:Choice Requires="wps">
            <w:drawing>
              <wp:anchor distT="45720" distB="45720" distL="114300" distR="114300" simplePos="0" relativeHeight="251658252" behindDoc="0" locked="0" layoutInCell="1" allowOverlap="1" wp14:anchorId="5F5B33DF" wp14:editId="4AF59B8D">
                <wp:simplePos x="0" y="0"/>
                <wp:positionH relativeFrom="column">
                  <wp:posOffset>3657600</wp:posOffset>
                </wp:positionH>
                <wp:positionV relativeFrom="paragraph">
                  <wp:posOffset>4445</wp:posOffset>
                </wp:positionV>
                <wp:extent cx="2327275" cy="2843530"/>
                <wp:effectExtent l="0" t="0" r="15875" b="13970"/>
                <wp:wrapSquare wrapText="bothSides"/>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43530"/>
                        </a:xfrm>
                        <a:prstGeom prst="rect">
                          <a:avLst/>
                        </a:prstGeom>
                        <a:solidFill>
                          <a:schemeClr val="tx2"/>
                        </a:solidFill>
                        <a:ln w="9525">
                          <a:solidFill>
                            <a:srgbClr val="000000"/>
                          </a:solidFill>
                          <a:miter lim="800000"/>
                          <a:headEnd/>
                          <a:tailEnd/>
                        </a:ln>
                      </wps:spPr>
                      <wps:txbx>
                        <w:txbxContent>
                          <w:p w14:paraId="63148AE3" w14:textId="3234036F" w:rsidR="00843214" w:rsidRPr="00843214" w:rsidRDefault="00843214" w:rsidP="00455AA4">
                            <w:pPr>
                              <w:rPr>
                                <w:color w:val="auto"/>
                                <w:sz w:val="20"/>
                                <w:szCs w:val="20"/>
                                <w:lang w:val="en-AU"/>
                              </w:rPr>
                            </w:pPr>
                            <w:r w:rsidRPr="00843214">
                              <w:rPr>
                                <w:color w:val="auto"/>
                                <w:sz w:val="20"/>
                                <w:szCs w:val="20"/>
                                <w:lang w:val="en-AU"/>
                              </w:rPr>
                              <w:t>UN Women’s Draft Strategic Framework for their Strategic Plan 2022-2025 nominates four key areas of comparative advantage.</w:t>
                            </w:r>
                          </w:p>
                          <w:p w14:paraId="26211B81" w14:textId="77777777"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is the largest source of gender expertise in the UN. </w:t>
                            </w:r>
                          </w:p>
                          <w:p w14:paraId="5F28F310" w14:textId="77777777"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can link global and national policy development for gender equality goals. </w:t>
                            </w:r>
                          </w:p>
                          <w:p w14:paraId="4101866D" w14:textId="0079E448"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UN Women brings a long-standing network of women’s agencies and CSOs to deliver on its mandate.</w:t>
                            </w:r>
                          </w:p>
                          <w:p w14:paraId="35E07E42" w14:textId="2475C758"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offers comprehensive and integrated contributions across the UN’s peace and security, human </w:t>
                            </w:r>
                            <w:proofErr w:type="gramStart"/>
                            <w:r w:rsidRPr="00843214">
                              <w:rPr>
                                <w:color w:val="auto"/>
                                <w:sz w:val="20"/>
                                <w:szCs w:val="20"/>
                                <w:lang w:val="en-AU"/>
                              </w:rPr>
                              <w:t>rights</w:t>
                            </w:r>
                            <w:proofErr w:type="gramEnd"/>
                            <w:r w:rsidRPr="00843214">
                              <w:rPr>
                                <w:color w:val="auto"/>
                                <w:sz w:val="20"/>
                                <w:szCs w:val="20"/>
                                <w:lang w:val="en-AU"/>
                              </w:rPr>
                              <w:t xml:space="preserve"> and sustainable development pillars.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B33DF" id="_x0000_s1029" type="#_x0000_t202" alt="&quot;&quot;" style="position:absolute;margin-left:4in;margin-top:.35pt;width:183.25pt;height:223.9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" fillcolor="#00a499 [3215]">
                <v:textbox>
                  <w:txbxContent>
                    <w:p w14:paraId="63148AE3" w14:textId="3234036F" w:rsidR="00843214" w:rsidRPr="00843214" w:rsidRDefault="00843214" w:rsidP="00455AA4">
                      <w:pPr>
                        <w:rPr>
                          <w:color w:val="auto"/>
                          <w:sz w:val="20"/>
                          <w:szCs w:val="20"/>
                          <w:lang w:val="en-AU"/>
                        </w:rPr>
                      </w:pPr>
                      <w:r w:rsidRPr="00843214">
                        <w:rPr>
                          <w:color w:val="auto"/>
                          <w:sz w:val="20"/>
                          <w:szCs w:val="20"/>
                          <w:lang w:val="en-AU"/>
                        </w:rPr>
                        <w:t>UN Women’s Draft Strategic Framework for their Strategic Plan 2022-2025 nominates four key areas of comparative advantage.</w:t>
                      </w:r>
                    </w:p>
                    <w:p w14:paraId="26211B81" w14:textId="77777777"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is the largest source of gender expertise in the UN. </w:t>
                      </w:r>
                    </w:p>
                    <w:p w14:paraId="5F28F310" w14:textId="77777777"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can link global and national policy development for gender equality goals. </w:t>
                      </w:r>
                    </w:p>
                    <w:p w14:paraId="4101866D" w14:textId="0079E448"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UN Women brings a long-standing network of women’s agencies and CSOs to deliver on its mandate.</w:t>
                      </w:r>
                    </w:p>
                    <w:p w14:paraId="35E07E42" w14:textId="2475C758" w:rsidR="00843214" w:rsidRPr="00843214" w:rsidRDefault="00843214" w:rsidP="00455AA4">
                      <w:pPr>
                        <w:pStyle w:val="ListParagraph"/>
                        <w:numPr>
                          <w:ilvl w:val="0"/>
                          <w:numId w:val="14"/>
                        </w:numPr>
                        <w:tabs>
                          <w:tab w:val="left" w:pos="360"/>
                        </w:tabs>
                        <w:ind w:left="360"/>
                        <w:rPr>
                          <w:color w:val="auto"/>
                          <w:sz w:val="20"/>
                          <w:szCs w:val="20"/>
                          <w:lang w:val="en-AU"/>
                        </w:rPr>
                      </w:pPr>
                      <w:r w:rsidRPr="00843214">
                        <w:rPr>
                          <w:color w:val="auto"/>
                          <w:sz w:val="20"/>
                          <w:szCs w:val="20"/>
                          <w:lang w:val="en-AU"/>
                        </w:rPr>
                        <w:t xml:space="preserve">UN Women offers comprehensive and integrated contributions across the UN’s peace and security, human </w:t>
                      </w:r>
                      <w:proofErr w:type="gramStart"/>
                      <w:r w:rsidRPr="00843214">
                        <w:rPr>
                          <w:color w:val="auto"/>
                          <w:sz w:val="20"/>
                          <w:szCs w:val="20"/>
                          <w:lang w:val="en-AU"/>
                        </w:rPr>
                        <w:t>rights</w:t>
                      </w:r>
                      <w:proofErr w:type="gramEnd"/>
                      <w:r w:rsidRPr="00843214">
                        <w:rPr>
                          <w:color w:val="auto"/>
                          <w:sz w:val="20"/>
                          <w:szCs w:val="20"/>
                          <w:lang w:val="en-AU"/>
                        </w:rPr>
                        <w:t xml:space="preserve"> and sustainable development pillars. </w:t>
                      </w:r>
                    </w:p>
                  </w:txbxContent>
                </v:textbox>
                <w10:wrap type="square"/>
              </v:shape>
            </w:pict>
          </mc:Fallback>
        </mc:AlternateContent>
      </w:r>
      <w:r w:rsidR="007966B9" w:rsidRPr="00843214">
        <w:rPr>
          <w:color w:val="auto"/>
          <w:lang w:val="en-AU"/>
        </w:rPr>
        <w:t>UN Women organisational c</w:t>
      </w:r>
      <w:r w:rsidR="00AC3BD0" w:rsidRPr="00843214">
        <w:rPr>
          <w:color w:val="auto"/>
          <w:lang w:val="en-AU"/>
        </w:rPr>
        <w:t>haracteristics and comparative advantage</w:t>
      </w:r>
    </w:p>
    <w:p w14:paraId="46A6943E" w14:textId="2C047ACA" w:rsidR="00455AA4" w:rsidRPr="00843214" w:rsidRDefault="00A832F7" w:rsidP="00A832F7">
      <w:pPr>
        <w:rPr>
          <w:color w:val="auto"/>
          <w:lang w:val="en-AU"/>
        </w:rPr>
      </w:pPr>
      <w:r w:rsidRPr="00843214">
        <w:rPr>
          <w:b/>
          <w:bCs/>
          <w:color w:val="auto"/>
          <w:lang w:val="en-AU"/>
        </w:rPr>
        <w:t xml:space="preserve">UN Women’s technical expertise on gender, networks with </w:t>
      </w:r>
      <w:r w:rsidR="00966F16" w:rsidRPr="00843214">
        <w:rPr>
          <w:b/>
          <w:bCs/>
          <w:color w:val="auto"/>
          <w:lang w:val="en-AU"/>
        </w:rPr>
        <w:t xml:space="preserve">women’s agencies and </w:t>
      </w:r>
      <w:r w:rsidRPr="00843214">
        <w:rPr>
          <w:b/>
          <w:bCs/>
          <w:color w:val="auto"/>
          <w:lang w:val="en-AU"/>
        </w:rPr>
        <w:t xml:space="preserve">CSOs, and its strong advocacy are where it shines. </w:t>
      </w:r>
      <w:r w:rsidRPr="00843214">
        <w:rPr>
          <w:color w:val="auto"/>
          <w:lang w:val="en-AU"/>
        </w:rPr>
        <w:t xml:space="preserve">Gender mainstreaming and rights approach is in UN Women’s DNA and is part of UN Women’s normative, coordination, and programmatic work. </w:t>
      </w:r>
      <w:r w:rsidR="00030EDB" w:rsidRPr="00843214">
        <w:rPr>
          <w:color w:val="auto"/>
          <w:lang w:val="en-AU"/>
        </w:rPr>
        <w:t xml:space="preserve">UN Women works with legally registered </w:t>
      </w:r>
      <w:r w:rsidR="00920946" w:rsidRPr="00843214">
        <w:rPr>
          <w:color w:val="auto"/>
          <w:lang w:val="en-AU"/>
        </w:rPr>
        <w:t xml:space="preserve">women’s organisations, </w:t>
      </w:r>
      <w:r w:rsidR="00030EDB" w:rsidRPr="00843214">
        <w:rPr>
          <w:color w:val="auto"/>
          <w:lang w:val="en-AU"/>
        </w:rPr>
        <w:t>NGOs</w:t>
      </w:r>
      <w:r w:rsidR="00920946" w:rsidRPr="00843214">
        <w:rPr>
          <w:color w:val="auto"/>
          <w:lang w:val="en-AU"/>
        </w:rPr>
        <w:t xml:space="preserve"> and </w:t>
      </w:r>
      <w:r w:rsidR="00030EDB" w:rsidRPr="00843214">
        <w:rPr>
          <w:color w:val="auto"/>
          <w:lang w:val="en-AU"/>
        </w:rPr>
        <w:t xml:space="preserve">CSOs that constitute the backbone and "infrastructure" of women's movements. </w:t>
      </w:r>
      <w:r w:rsidR="00966F16" w:rsidRPr="00843214">
        <w:rPr>
          <w:color w:val="auto"/>
          <w:lang w:val="en-AU"/>
        </w:rPr>
        <w:t xml:space="preserve">In acknowledging the value of their networks UN Women </w:t>
      </w:r>
      <w:r w:rsidR="00FA350B" w:rsidRPr="00843214">
        <w:rPr>
          <w:color w:val="auto"/>
          <w:lang w:val="en-AU"/>
        </w:rPr>
        <w:t>recognise that strengthen their impact requires ne</w:t>
      </w:r>
      <w:r w:rsidR="00966F16" w:rsidRPr="00843214">
        <w:rPr>
          <w:color w:val="auto"/>
          <w:lang w:val="en-AU"/>
        </w:rPr>
        <w:t xml:space="preserve">w and innovative ways of </w:t>
      </w:r>
      <w:r w:rsidR="00FA350B" w:rsidRPr="00843214">
        <w:rPr>
          <w:color w:val="auto"/>
          <w:lang w:val="en-AU"/>
        </w:rPr>
        <w:t>working</w:t>
      </w:r>
      <w:r w:rsidR="00966F16" w:rsidRPr="00843214">
        <w:rPr>
          <w:color w:val="auto"/>
          <w:lang w:val="en-AU"/>
        </w:rPr>
        <w:t xml:space="preserve"> with a broader range of actors, including other UN agencies</w:t>
      </w:r>
      <w:r w:rsidR="00FA350B" w:rsidRPr="00843214">
        <w:rPr>
          <w:color w:val="auto"/>
          <w:lang w:val="en-AU"/>
        </w:rPr>
        <w:t>.</w:t>
      </w:r>
    </w:p>
    <w:p w14:paraId="48ECBF05" w14:textId="3A3E736D" w:rsidR="00A832F7" w:rsidRPr="00843214" w:rsidRDefault="00A832F7" w:rsidP="00A832F7">
      <w:pPr>
        <w:rPr>
          <w:b/>
          <w:bCs/>
          <w:color w:val="auto"/>
          <w:lang w:val="en-AU"/>
        </w:rPr>
      </w:pPr>
      <w:r w:rsidRPr="00843214">
        <w:rPr>
          <w:b/>
          <w:bCs/>
          <w:color w:val="auto"/>
          <w:lang w:val="en-AU"/>
        </w:rPr>
        <w:t>UN Women is the only agency on the ground that holds a Security Council mandate through the WPS agenda</w:t>
      </w:r>
      <w:r w:rsidRPr="00843214">
        <w:rPr>
          <w:color w:val="auto"/>
          <w:lang w:val="en-AU"/>
        </w:rPr>
        <w:t>, and there are opportunities for greater UN Women’s role in strengthening focus on GEWE and WPS in UN’s analysis, planning, advice to the government, as well as working through the humanitarian-peace-development nexus.</w:t>
      </w:r>
    </w:p>
    <w:p w14:paraId="53DBBC78" w14:textId="73458012" w:rsidR="00AC3BD0" w:rsidRPr="00843214" w:rsidRDefault="00AC3BD0" w:rsidP="00FF5DE6">
      <w:pPr>
        <w:rPr>
          <w:color w:val="auto"/>
          <w:lang w:val="en-AU"/>
        </w:rPr>
      </w:pPr>
      <w:bookmarkStart w:id="59" w:name="_Hlk67577467"/>
      <w:r w:rsidRPr="00843214">
        <w:rPr>
          <w:b/>
          <w:bCs/>
          <w:color w:val="auto"/>
          <w:lang w:val="en-AU"/>
        </w:rPr>
        <w:t xml:space="preserve">UN Women is increasingly involved in humanitarian action and has markedly increased its humanitarian budget and engagement </w:t>
      </w:r>
      <w:r w:rsidRPr="00843214">
        <w:rPr>
          <w:color w:val="auto"/>
          <w:lang w:val="en-AU"/>
        </w:rPr>
        <w:t>(a 700% annual budget increase between 2011- 2017</w:t>
      </w:r>
      <w:r w:rsidR="00FC2361" w:rsidRPr="00843214">
        <w:rPr>
          <w:rStyle w:val="FootnoteReference"/>
          <w:color w:val="auto"/>
          <w:lang w:val="en-AU"/>
        </w:rPr>
        <w:footnoteReference w:id="82"/>
      </w:r>
      <w:r w:rsidRPr="00843214">
        <w:rPr>
          <w:color w:val="auto"/>
          <w:lang w:val="en-AU"/>
        </w:rPr>
        <w:t>). As an emerging contributor to humanitarian action, UN Women</w:t>
      </w:r>
      <w:r w:rsidR="0026745C" w:rsidRPr="00843214">
        <w:rPr>
          <w:color w:val="auto"/>
          <w:lang w:val="en-AU"/>
        </w:rPr>
        <w:t>’s strategic role in this area has not been fully defined.</w:t>
      </w:r>
      <w:bookmarkEnd w:id="59"/>
      <w:r w:rsidRPr="00843214">
        <w:rPr>
          <w:color w:val="auto"/>
          <w:lang w:val="en-AU"/>
        </w:rPr>
        <w:t xml:space="preserve"> </w:t>
      </w:r>
      <w:bookmarkStart w:id="60" w:name="_Hlk67577477"/>
      <w:r w:rsidRPr="00843214">
        <w:rPr>
          <w:color w:val="auto"/>
          <w:lang w:val="en-AU"/>
        </w:rPr>
        <w:t>A</w:t>
      </w:r>
      <w:r w:rsidR="000A6C1B" w:rsidRPr="00843214">
        <w:rPr>
          <w:color w:val="auto"/>
          <w:lang w:val="en-AU"/>
        </w:rPr>
        <w:t xml:space="preserve"> 2019 UN Women corporate</w:t>
      </w:r>
      <w:r w:rsidRPr="00843214">
        <w:rPr>
          <w:color w:val="auto"/>
          <w:lang w:val="en-AU"/>
        </w:rPr>
        <w:t xml:space="preserve"> </w:t>
      </w:r>
      <w:r w:rsidR="000A6C1B" w:rsidRPr="00843214">
        <w:rPr>
          <w:color w:val="auto"/>
          <w:lang w:val="en-AU"/>
        </w:rPr>
        <w:t>evaluation</w:t>
      </w:r>
      <w:r w:rsidRPr="00843214">
        <w:rPr>
          <w:color w:val="auto"/>
          <w:lang w:val="en-AU"/>
        </w:rPr>
        <w:t xml:space="preserve"> of UN Women’s contribution to humanitarian action noted that UN Women needed to increase humanitarian action effectiveness and impact by better linking its work to system-wide responses while </w:t>
      </w:r>
      <w:r w:rsidRPr="00843214">
        <w:rPr>
          <w:b/>
          <w:color w:val="auto"/>
          <w:lang w:val="en-AU"/>
        </w:rPr>
        <w:t>minimising programming not carried out in partnership or that does not have broader strategic importance</w:t>
      </w:r>
      <w:r w:rsidRPr="00843214">
        <w:rPr>
          <w:color w:val="auto"/>
          <w:lang w:val="en-AU"/>
        </w:rPr>
        <w:t xml:space="preserve"> </w:t>
      </w:r>
      <w:bookmarkEnd w:id="60"/>
      <w:r w:rsidRPr="00843214">
        <w:rPr>
          <w:color w:val="auto"/>
          <w:lang w:val="en-AU"/>
        </w:rPr>
        <w:t xml:space="preserve">and to focus on developing global partnership frameworks with </w:t>
      </w:r>
      <w:r w:rsidR="008F1CB5" w:rsidRPr="00843214">
        <w:rPr>
          <w:color w:val="auto"/>
          <w:lang w:val="en-AU"/>
        </w:rPr>
        <w:t>the U</w:t>
      </w:r>
      <w:r w:rsidR="00B421DF" w:rsidRPr="00843214">
        <w:rPr>
          <w:color w:val="auto"/>
          <w:lang w:val="en-AU"/>
        </w:rPr>
        <w:t>N</w:t>
      </w:r>
      <w:r w:rsidR="008F1CB5" w:rsidRPr="00843214">
        <w:rPr>
          <w:color w:val="auto"/>
          <w:lang w:val="en-AU"/>
        </w:rPr>
        <w:t xml:space="preserve"> Office for the Coordination of Humanitarian Affairs (</w:t>
      </w:r>
      <w:r w:rsidRPr="00843214">
        <w:rPr>
          <w:color w:val="auto"/>
          <w:lang w:val="en-AU"/>
        </w:rPr>
        <w:t>OCHA</w:t>
      </w:r>
      <w:r w:rsidR="00585BD7" w:rsidRPr="00843214">
        <w:rPr>
          <w:color w:val="auto"/>
          <w:lang w:val="en-AU"/>
        </w:rPr>
        <w:t>)</w:t>
      </w:r>
      <w:r w:rsidRPr="00843214">
        <w:rPr>
          <w:color w:val="auto"/>
          <w:lang w:val="en-AU"/>
        </w:rPr>
        <w:t xml:space="preserve">, </w:t>
      </w:r>
      <w:r w:rsidR="006044DF" w:rsidRPr="00843214">
        <w:rPr>
          <w:color w:val="auto"/>
          <w:lang w:val="en-AU"/>
        </w:rPr>
        <w:t xml:space="preserve">the </w:t>
      </w:r>
      <w:r w:rsidR="00EB3686" w:rsidRPr="00843214">
        <w:rPr>
          <w:color w:val="auto"/>
          <w:szCs w:val="20"/>
        </w:rPr>
        <w:t>U</w:t>
      </w:r>
      <w:r w:rsidR="00B421DF" w:rsidRPr="00843214">
        <w:rPr>
          <w:color w:val="auto"/>
          <w:szCs w:val="20"/>
        </w:rPr>
        <w:t>N</w:t>
      </w:r>
      <w:r w:rsidR="00EB3686" w:rsidRPr="00843214">
        <w:rPr>
          <w:color w:val="auto"/>
          <w:szCs w:val="20"/>
        </w:rPr>
        <w:t xml:space="preserve"> High Commissioner for Refugees</w:t>
      </w:r>
      <w:r w:rsidR="00EB3686" w:rsidRPr="00843214">
        <w:rPr>
          <w:color w:val="auto"/>
          <w:lang w:val="en-AU"/>
        </w:rPr>
        <w:t xml:space="preserve"> (</w:t>
      </w:r>
      <w:r w:rsidRPr="00843214">
        <w:rPr>
          <w:color w:val="auto"/>
          <w:lang w:val="en-AU"/>
        </w:rPr>
        <w:t>UNHCR</w:t>
      </w:r>
      <w:r w:rsidR="00EB3686" w:rsidRPr="00843214">
        <w:rPr>
          <w:color w:val="auto"/>
          <w:lang w:val="en-AU"/>
        </w:rPr>
        <w:t>)</w:t>
      </w:r>
      <w:r w:rsidRPr="00843214">
        <w:rPr>
          <w:color w:val="auto"/>
          <w:lang w:val="en-AU"/>
        </w:rPr>
        <w:t xml:space="preserve"> and</w:t>
      </w:r>
      <w:r w:rsidR="006044DF" w:rsidRPr="00843214">
        <w:rPr>
          <w:color w:val="auto"/>
          <w:lang w:val="en-AU"/>
        </w:rPr>
        <w:t xml:space="preserve"> the </w:t>
      </w:r>
      <w:r w:rsidR="006044DF" w:rsidRPr="00843214">
        <w:rPr>
          <w:color w:val="auto"/>
          <w:szCs w:val="20"/>
        </w:rPr>
        <w:t>U</w:t>
      </w:r>
      <w:r w:rsidR="00B421DF" w:rsidRPr="00843214">
        <w:rPr>
          <w:color w:val="auto"/>
          <w:szCs w:val="20"/>
        </w:rPr>
        <w:t>N</w:t>
      </w:r>
      <w:r w:rsidR="006044DF" w:rsidRPr="00843214">
        <w:rPr>
          <w:color w:val="auto"/>
          <w:szCs w:val="20"/>
        </w:rPr>
        <w:t xml:space="preserve"> Population Fund</w:t>
      </w:r>
      <w:r w:rsidRPr="00843214">
        <w:rPr>
          <w:color w:val="auto"/>
          <w:lang w:val="en-AU"/>
        </w:rPr>
        <w:t xml:space="preserve"> </w:t>
      </w:r>
      <w:r w:rsidR="00EB3686" w:rsidRPr="00843214">
        <w:rPr>
          <w:color w:val="auto"/>
          <w:lang w:val="en-AU"/>
        </w:rPr>
        <w:t>(</w:t>
      </w:r>
      <w:r w:rsidRPr="00843214">
        <w:rPr>
          <w:color w:val="auto"/>
          <w:lang w:val="en-AU"/>
        </w:rPr>
        <w:t>UNFPA</w:t>
      </w:r>
      <w:r w:rsidR="00EB3686" w:rsidRPr="00843214">
        <w:rPr>
          <w:color w:val="auto"/>
          <w:lang w:val="en-AU"/>
        </w:rPr>
        <w:t>)</w:t>
      </w:r>
      <w:r w:rsidR="00AC1E3F" w:rsidRPr="00843214">
        <w:rPr>
          <w:color w:val="auto"/>
          <w:lang w:val="en-AU"/>
        </w:rPr>
        <w:t xml:space="preserve"> </w:t>
      </w:r>
      <w:r w:rsidR="001B328E" w:rsidRPr="00843214">
        <w:rPr>
          <w:color w:val="auto"/>
          <w:lang w:val="en-AU"/>
        </w:rPr>
        <w:t xml:space="preserve">as the UN’s key humanitarian agencies </w:t>
      </w:r>
      <w:r w:rsidR="00AC1E3F" w:rsidRPr="00843214">
        <w:rPr>
          <w:color w:val="auto"/>
          <w:lang w:val="en-AU"/>
        </w:rPr>
        <w:t>(and where UNFPA’s operational mandate is GBV in humanitarian response)</w:t>
      </w:r>
      <w:r w:rsidRPr="00843214">
        <w:rPr>
          <w:color w:val="auto"/>
          <w:lang w:val="en-AU"/>
        </w:rPr>
        <w:t xml:space="preserve">. </w:t>
      </w:r>
      <w:r w:rsidR="00AC1E3F" w:rsidRPr="00843214">
        <w:rPr>
          <w:color w:val="auto"/>
          <w:lang w:val="en-AU"/>
        </w:rPr>
        <w:t>UN Women is progressing with related dialogues</w:t>
      </w:r>
      <w:r w:rsidR="0026745C" w:rsidRPr="00843214">
        <w:rPr>
          <w:rStyle w:val="FootnoteReference"/>
          <w:color w:val="auto"/>
          <w:lang w:val="en-AU"/>
        </w:rPr>
        <w:footnoteReference w:id="83"/>
      </w:r>
      <w:r w:rsidR="0026745C" w:rsidRPr="00843214">
        <w:rPr>
          <w:color w:val="auto"/>
          <w:lang w:val="en-AU"/>
        </w:rPr>
        <w:t xml:space="preserve"> and</w:t>
      </w:r>
      <w:r w:rsidR="006B037D" w:rsidRPr="00843214">
        <w:rPr>
          <w:color w:val="auto"/>
          <w:lang w:val="en-AU"/>
        </w:rPr>
        <w:t>, as noted in Section 1.1.1,</w:t>
      </w:r>
      <w:r w:rsidR="0046468C" w:rsidRPr="00843214">
        <w:rPr>
          <w:color w:val="auto"/>
          <w:lang w:val="en-AU"/>
        </w:rPr>
        <w:t xml:space="preserve"> address</w:t>
      </w:r>
      <w:r w:rsidR="0026745C" w:rsidRPr="00843214">
        <w:rPr>
          <w:color w:val="auto"/>
          <w:lang w:val="en-AU"/>
        </w:rPr>
        <w:t>ing</w:t>
      </w:r>
      <w:r w:rsidR="0046468C" w:rsidRPr="00843214">
        <w:rPr>
          <w:color w:val="auto"/>
          <w:lang w:val="en-AU"/>
        </w:rPr>
        <w:t xml:space="preserve"> th</w:t>
      </w:r>
      <w:r w:rsidR="000C7547" w:rsidRPr="00843214">
        <w:rPr>
          <w:color w:val="auto"/>
          <w:lang w:val="en-AU"/>
        </w:rPr>
        <w:t>e</w:t>
      </w:r>
      <w:r w:rsidR="0046468C" w:rsidRPr="00843214">
        <w:rPr>
          <w:color w:val="auto"/>
          <w:lang w:val="en-AU"/>
        </w:rPr>
        <w:t>s</w:t>
      </w:r>
      <w:r w:rsidR="000C7547" w:rsidRPr="00843214">
        <w:rPr>
          <w:color w:val="auto"/>
          <w:lang w:val="en-AU"/>
        </w:rPr>
        <w:t>e issues</w:t>
      </w:r>
      <w:r w:rsidR="0046468C" w:rsidRPr="00843214">
        <w:rPr>
          <w:color w:val="auto"/>
          <w:lang w:val="en-AU"/>
        </w:rPr>
        <w:t xml:space="preserve"> through their upcoming humanitarian strategy and strategy on working at the nexus of humanitarian-development on GBV/VAW</w:t>
      </w:r>
      <w:r w:rsidR="00E367B3" w:rsidRPr="00843214">
        <w:rPr>
          <w:color w:val="auto"/>
          <w:lang w:val="en-AU"/>
        </w:rPr>
        <w:t>G</w:t>
      </w:r>
      <w:r w:rsidR="0046468C" w:rsidRPr="00843214">
        <w:rPr>
          <w:color w:val="auto"/>
          <w:lang w:val="en-AU"/>
        </w:rPr>
        <w:t>.</w:t>
      </w:r>
    </w:p>
    <w:p w14:paraId="5693DC50" w14:textId="5895F2C9" w:rsidR="00747005" w:rsidRPr="00843214" w:rsidRDefault="00966F16" w:rsidP="00966F16">
      <w:pPr>
        <w:rPr>
          <w:color w:val="auto"/>
          <w:lang w:val="en-AU"/>
        </w:rPr>
      </w:pPr>
      <w:bookmarkStart w:id="61" w:name="_Hlk67577433"/>
      <w:r w:rsidRPr="00843214">
        <w:rPr>
          <w:b/>
          <w:bCs/>
          <w:color w:val="auto"/>
          <w:lang w:val="en-AU"/>
        </w:rPr>
        <w:t>UN Women is a small agency with a</w:t>
      </w:r>
      <w:r w:rsidR="0054618B" w:rsidRPr="00843214">
        <w:rPr>
          <w:b/>
          <w:bCs/>
          <w:color w:val="auto"/>
          <w:lang w:val="en-AU"/>
        </w:rPr>
        <w:t xml:space="preserve"> broad</w:t>
      </w:r>
      <w:r w:rsidRPr="00843214">
        <w:rPr>
          <w:b/>
          <w:bCs/>
          <w:color w:val="auto"/>
          <w:lang w:val="en-AU"/>
        </w:rPr>
        <w:t xml:space="preserve"> triple mandate which means that it is often thinly spread, this is compounded by the need to accept non-strategic programmatic work</w:t>
      </w:r>
      <w:r w:rsidRPr="00843214">
        <w:rPr>
          <w:color w:val="auto"/>
          <w:lang w:val="en-AU"/>
        </w:rPr>
        <w:t xml:space="preserve">. </w:t>
      </w:r>
      <w:bookmarkEnd w:id="61"/>
      <w:r w:rsidRPr="00843214">
        <w:rPr>
          <w:color w:val="auto"/>
          <w:lang w:val="en-AU"/>
        </w:rPr>
        <w:t xml:space="preserve">UN Women has seen its overall budget increase during the latter half of the strategic period. However, chronic resource constraints push UN Women toward a projectised approach encouraged by the needs of donors for ownership and visibility. </w:t>
      </w:r>
      <w:bookmarkStart w:id="62" w:name="_Hlk67577439"/>
      <w:r w:rsidRPr="00843214">
        <w:rPr>
          <w:color w:val="auto"/>
          <w:lang w:val="en-AU"/>
        </w:rPr>
        <w:t xml:space="preserve">UN Women has taken on many small projects that do not demonstrate strategic choices based upon UN Women’s comparative advantage or value within an operating context. </w:t>
      </w:r>
      <w:bookmarkEnd w:id="62"/>
      <w:r w:rsidRPr="00843214">
        <w:rPr>
          <w:color w:val="auto"/>
          <w:lang w:val="en-AU"/>
        </w:rPr>
        <w:t>UN Women’s own assessment of progress against their Strategic Plan 2018-2021</w:t>
      </w:r>
      <w:r w:rsidRPr="00843214">
        <w:rPr>
          <w:rStyle w:val="FootnoteReference"/>
          <w:color w:val="auto"/>
          <w:lang w:val="en-AU"/>
        </w:rPr>
        <w:footnoteReference w:id="84"/>
      </w:r>
      <w:r w:rsidRPr="00843214">
        <w:rPr>
          <w:color w:val="auto"/>
          <w:lang w:val="en-AU"/>
        </w:rPr>
        <w:t xml:space="preserve"> recognises these factors</w:t>
      </w:r>
      <w:r w:rsidR="007A78D0" w:rsidRPr="00843214">
        <w:rPr>
          <w:color w:val="auto"/>
          <w:lang w:val="en-AU"/>
        </w:rPr>
        <w:t>,</w:t>
      </w:r>
      <w:r w:rsidRPr="00843214">
        <w:rPr>
          <w:color w:val="auto"/>
          <w:lang w:val="en-AU"/>
        </w:rPr>
        <w:t xml:space="preserve"> and stresses that programmatic work must be focused on where UN Women can achieve the most effective and impactful results aligned with UN Women’s comparative advantage. </w:t>
      </w:r>
      <w:r w:rsidR="00747005" w:rsidRPr="00843214">
        <w:rPr>
          <w:color w:val="auto"/>
          <w:lang w:val="en-AU"/>
        </w:rPr>
        <w:br w:type="page"/>
      </w:r>
    </w:p>
    <w:p w14:paraId="0177CDFF" w14:textId="402EEE37" w:rsidR="00966F16" w:rsidRPr="00843214" w:rsidRDefault="00966F16" w:rsidP="00966F16">
      <w:pPr>
        <w:rPr>
          <w:color w:val="auto"/>
          <w:lang w:val="en-AU"/>
        </w:rPr>
      </w:pPr>
      <w:r w:rsidRPr="00843214">
        <w:rPr>
          <w:b/>
          <w:bCs/>
          <w:color w:val="auto"/>
          <w:lang w:val="en-AU"/>
        </w:rPr>
        <w:lastRenderedPageBreak/>
        <w:t xml:space="preserve">UN Women maintains regional representation and some country presence; </w:t>
      </w:r>
      <w:r w:rsidR="0054618B" w:rsidRPr="00843214">
        <w:rPr>
          <w:b/>
          <w:bCs/>
          <w:color w:val="auto"/>
          <w:lang w:val="en-AU"/>
        </w:rPr>
        <w:t xml:space="preserve">though their </w:t>
      </w:r>
      <w:r w:rsidRPr="00843214">
        <w:rPr>
          <w:b/>
          <w:bCs/>
          <w:color w:val="auto"/>
          <w:lang w:val="en-AU"/>
        </w:rPr>
        <w:t>lack of country presence inhibits UN Women’s ability to respond to government requests for support</w:t>
      </w:r>
      <w:r w:rsidRPr="00843214">
        <w:rPr>
          <w:rStyle w:val="FootnoteReference"/>
          <w:color w:val="auto"/>
          <w:lang w:val="en-AU"/>
        </w:rPr>
        <w:footnoteReference w:id="85"/>
      </w:r>
      <w:r w:rsidRPr="00843214">
        <w:rPr>
          <w:color w:val="auto"/>
          <w:lang w:val="en-AU"/>
        </w:rPr>
        <w:t>.</w:t>
      </w:r>
      <w:r w:rsidR="00A64B43" w:rsidRPr="00843214">
        <w:rPr>
          <w:color w:val="auto"/>
          <w:lang w:val="en-AU"/>
        </w:rPr>
        <w:t xml:space="preserve"> In the Pacific, there are logistic and relationship challenges due to non-presence in eight of the 14 countries within the Pacific mandate – where securing work requires presence</w:t>
      </w:r>
      <w:r w:rsidR="00A64B43" w:rsidRPr="00843214">
        <w:rPr>
          <w:color w:val="auto"/>
          <w:vertAlign w:val="superscript"/>
          <w:lang w:val="en-AU"/>
        </w:rPr>
        <w:footnoteReference w:id="86"/>
      </w:r>
      <w:r w:rsidR="00A64B43" w:rsidRPr="00843214">
        <w:rPr>
          <w:color w:val="auto"/>
          <w:lang w:val="en-AU"/>
        </w:rPr>
        <w:t xml:space="preserve">. </w:t>
      </w:r>
    </w:p>
    <w:p w14:paraId="5E0233D7" w14:textId="0B27144B" w:rsidR="00AC3BD0" w:rsidRPr="00843214" w:rsidRDefault="00AC3BD0" w:rsidP="00FF5DE6">
      <w:pPr>
        <w:rPr>
          <w:color w:val="auto"/>
          <w:lang w:val="en-AU"/>
        </w:rPr>
      </w:pPr>
      <w:r w:rsidRPr="00843214">
        <w:rPr>
          <w:b/>
          <w:bCs/>
          <w:color w:val="auto"/>
          <w:lang w:val="en-AU"/>
        </w:rPr>
        <w:t>UN Women is seen as a politically neutral advocate and implementer for sensitive GEWE thematic areas</w:t>
      </w:r>
      <w:r w:rsidRPr="00843214">
        <w:rPr>
          <w:color w:val="auto"/>
          <w:lang w:val="en-AU"/>
        </w:rPr>
        <w:t xml:space="preserve"> such as EVAW</w:t>
      </w:r>
      <w:r w:rsidR="00FB1EB3" w:rsidRPr="00843214">
        <w:rPr>
          <w:color w:val="auto"/>
          <w:lang w:val="en-AU"/>
        </w:rPr>
        <w:t>G</w:t>
      </w:r>
      <w:r w:rsidR="00FC2361" w:rsidRPr="00843214">
        <w:rPr>
          <w:rStyle w:val="FootnoteReference"/>
          <w:color w:val="auto"/>
          <w:lang w:val="en-AU"/>
        </w:rPr>
        <w:footnoteReference w:id="87"/>
      </w:r>
      <w:r w:rsidRPr="00843214">
        <w:rPr>
          <w:color w:val="auto"/>
          <w:lang w:val="en-AU"/>
        </w:rPr>
        <w:t xml:space="preserve">. UN Women’s global campaigns, and regional positioning enable UN Women to broach </w:t>
      </w:r>
      <w:r w:rsidR="00966F16" w:rsidRPr="00843214">
        <w:rPr>
          <w:color w:val="auto"/>
          <w:lang w:val="en-AU"/>
        </w:rPr>
        <w:t xml:space="preserve">challenging </w:t>
      </w:r>
      <w:r w:rsidRPr="00843214">
        <w:rPr>
          <w:color w:val="auto"/>
          <w:lang w:val="en-AU"/>
        </w:rPr>
        <w:t>topics at the country level.</w:t>
      </w:r>
    </w:p>
    <w:p w14:paraId="158BA66F" w14:textId="77777777" w:rsidR="00AC3BD0" w:rsidRPr="00843214" w:rsidRDefault="00AC3BD0" w:rsidP="00AC3BD0">
      <w:pPr>
        <w:pStyle w:val="Heading4"/>
        <w:rPr>
          <w:color w:val="auto"/>
          <w:lang w:val="en-AU"/>
        </w:rPr>
      </w:pPr>
      <w:r w:rsidRPr="00843214">
        <w:rPr>
          <w:color w:val="auto"/>
          <w:lang w:val="en-AU"/>
        </w:rPr>
        <w:t>UN Women operational arrangements</w:t>
      </w:r>
    </w:p>
    <w:p w14:paraId="25994876" w14:textId="1B96E3D7" w:rsidR="00FF5DE6" w:rsidRPr="00843214" w:rsidRDefault="00AC3BD0" w:rsidP="00FF5DE6">
      <w:pPr>
        <w:rPr>
          <w:color w:val="auto"/>
          <w:lang w:val="en-AU"/>
        </w:rPr>
      </w:pPr>
      <w:bookmarkStart w:id="63" w:name="_Hlk67577499"/>
      <w:r w:rsidRPr="00843214">
        <w:rPr>
          <w:b/>
          <w:color w:val="auto"/>
          <w:lang w:val="en-AU"/>
        </w:rPr>
        <w:t>Where UN Women has achieved strong partnerships and good results, has often been the result of a high-performing individual or small team, rather than a strategic decision or systematic change</w:t>
      </w:r>
      <w:r w:rsidRPr="00843214">
        <w:rPr>
          <w:b/>
          <w:bCs/>
          <w:color w:val="auto"/>
          <w:lang w:val="en-AU"/>
        </w:rPr>
        <w:t>.</w:t>
      </w:r>
      <w:r w:rsidRPr="00843214">
        <w:rPr>
          <w:color w:val="auto"/>
          <w:lang w:val="en-AU"/>
        </w:rPr>
        <w:t xml:space="preserve"> This is important as UN Women has experienced significant staff turnover across its offices</w:t>
      </w:r>
      <w:r w:rsidR="00BF734B" w:rsidRPr="00843214">
        <w:rPr>
          <w:color w:val="auto"/>
          <w:lang w:val="en-AU"/>
        </w:rPr>
        <w:t xml:space="preserve">, affecting </w:t>
      </w:r>
      <w:r w:rsidRPr="00843214">
        <w:rPr>
          <w:color w:val="auto"/>
          <w:lang w:val="en-AU"/>
        </w:rPr>
        <w:t xml:space="preserve">results at multiple levels and continuity at country level. </w:t>
      </w:r>
      <w:r w:rsidR="00CB550B" w:rsidRPr="00843214">
        <w:rPr>
          <w:color w:val="auto"/>
          <w:lang w:val="en-AU"/>
        </w:rPr>
        <w:t>UN Women is acting to improve cultural issues including allegations of bullying</w:t>
      </w:r>
      <w:r w:rsidR="000C7547" w:rsidRPr="00843214">
        <w:rPr>
          <w:color w:val="auto"/>
          <w:lang w:val="en-AU"/>
        </w:rPr>
        <w:t xml:space="preserve"> and </w:t>
      </w:r>
      <w:r w:rsidR="00CB550B" w:rsidRPr="00843214">
        <w:rPr>
          <w:color w:val="auto"/>
          <w:lang w:val="en-AU"/>
        </w:rPr>
        <w:t>abuse of authority that may have generated staff turnover</w:t>
      </w:r>
      <w:r w:rsidR="00CB550B" w:rsidRPr="00843214">
        <w:rPr>
          <w:rStyle w:val="FootnoteReference"/>
          <w:color w:val="auto"/>
          <w:lang w:val="en-AU"/>
        </w:rPr>
        <w:footnoteReference w:id="88"/>
      </w:r>
      <w:r w:rsidR="00CB550B" w:rsidRPr="00843214">
        <w:rPr>
          <w:color w:val="auto"/>
          <w:lang w:val="en-AU"/>
        </w:rPr>
        <w:t xml:space="preserve">. </w:t>
      </w:r>
      <w:r w:rsidR="00FF5DE6" w:rsidRPr="00843214">
        <w:rPr>
          <w:b/>
          <w:bCs/>
          <w:color w:val="auto"/>
          <w:lang w:val="en-AU"/>
        </w:rPr>
        <w:t xml:space="preserve">Due to </w:t>
      </w:r>
      <w:r w:rsidR="0054618B" w:rsidRPr="00843214">
        <w:rPr>
          <w:b/>
          <w:bCs/>
          <w:color w:val="auto"/>
          <w:lang w:val="en-AU"/>
        </w:rPr>
        <w:t>limited</w:t>
      </w:r>
      <w:r w:rsidR="00FF5DE6" w:rsidRPr="00843214">
        <w:rPr>
          <w:b/>
          <w:color w:val="auto"/>
          <w:lang w:val="en-AU"/>
        </w:rPr>
        <w:t xml:space="preserve"> core funding, UN Women has a high number of contractors rather than staff.</w:t>
      </w:r>
      <w:bookmarkEnd w:id="63"/>
      <w:r w:rsidR="00FF5DE6" w:rsidRPr="00843214">
        <w:rPr>
          <w:color w:val="auto"/>
          <w:lang w:val="en-AU"/>
        </w:rPr>
        <w:t xml:space="preserve"> UN Women is tied to an expedient approach to staffing that ultimately reduces cost effectiveness and contributes to increased staff turnover</w:t>
      </w:r>
      <w:r w:rsidR="0054618B" w:rsidRPr="00843214">
        <w:rPr>
          <w:color w:val="auto"/>
          <w:lang w:val="en-AU"/>
        </w:rPr>
        <w:t xml:space="preserve"> due to short-term contracts</w:t>
      </w:r>
      <w:r w:rsidR="00FF5DE6" w:rsidRPr="00843214">
        <w:rPr>
          <w:color w:val="auto"/>
          <w:lang w:val="en-AU"/>
        </w:rPr>
        <w:t>.</w:t>
      </w:r>
    </w:p>
    <w:p w14:paraId="08EF6943" w14:textId="74A13E32" w:rsidR="00CC4331" w:rsidRPr="00843214" w:rsidRDefault="00AC3BD0" w:rsidP="00233AEA">
      <w:pPr>
        <w:rPr>
          <w:color w:val="auto"/>
          <w:lang w:val="en-AU"/>
        </w:rPr>
      </w:pPr>
      <w:bookmarkStart w:id="64" w:name="_Hlk67577509"/>
      <w:r w:rsidRPr="00843214">
        <w:rPr>
          <w:b/>
          <w:bCs/>
          <w:color w:val="auto"/>
          <w:lang w:val="en-AU"/>
        </w:rPr>
        <w:t xml:space="preserve">UN Women’s capacity in </w:t>
      </w:r>
      <w:r w:rsidR="00503E8D" w:rsidRPr="00843214">
        <w:rPr>
          <w:b/>
          <w:bCs/>
          <w:color w:val="auto"/>
          <w:lang w:val="en-AU"/>
        </w:rPr>
        <w:t>program</w:t>
      </w:r>
      <w:r w:rsidRPr="00843214">
        <w:rPr>
          <w:b/>
          <w:bCs/>
          <w:color w:val="auto"/>
          <w:lang w:val="en-AU"/>
        </w:rPr>
        <w:t xml:space="preserve"> management </w:t>
      </w:r>
      <w:r w:rsidR="00435546" w:rsidRPr="00843214">
        <w:rPr>
          <w:b/>
          <w:bCs/>
          <w:color w:val="auto"/>
          <w:lang w:val="en-AU"/>
        </w:rPr>
        <w:t>and</w:t>
      </w:r>
      <w:bookmarkEnd w:id="64"/>
      <w:r w:rsidR="00435546" w:rsidRPr="00843214">
        <w:rPr>
          <w:b/>
          <w:bCs/>
          <w:color w:val="auto"/>
          <w:lang w:val="en-AU"/>
        </w:rPr>
        <w:t xml:space="preserve"> c</w:t>
      </w:r>
      <w:r w:rsidRPr="00843214">
        <w:rPr>
          <w:b/>
          <w:bCs/>
          <w:color w:val="auto"/>
          <w:lang w:val="en-AU"/>
        </w:rPr>
        <w:t>apacity across its bureaus, regional offices, and country offices is variable</w:t>
      </w:r>
      <w:r w:rsidRPr="00843214">
        <w:rPr>
          <w:color w:val="auto"/>
          <w:lang w:val="en-AU"/>
        </w:rPr>
        <w:t>. Notably the capacity of the Asia</w:t>
      </w:r>
      <w:r w:rsidR="009A44D9" w:rsidRPr="00843214">
        <w:rPr>
          <w:color w:val="auto"/>
          <w:lang w:val="en-AU"/>
        </w:rPr>
        <w:t>-</w:t>
      </w:r>
      <w:r w:rsidRPr="00843214">
        <w:rPr>
          <w:color w:val="auto"/>
          <w:lang w:val="en-AU"/>
        </w:rPr>
        <w:t>Pacific Regional office is strong</w:t>
      </w:r>
      <w:r w:rsidR="00FC2361" w:rsidRPr="00843214">
        <w:rPr>
          <w:color w:val="auto"/>
          <w:lang w:val="en-AU"/>
        </w:rPr>
        <w:t>.</w:t>
      </w:r>
      <w:r w:rsidR="00CC4331" w:rsidRPr="00843214">
        <w:rPr>
          <w:rStyle w:val="FootnoteReference"/>
          <w:color w:val="auto"/>
          <w:lang w:val="en-AU"/>
        </w:rPr>
        <w:footnoteReference w:id="89"/>
      </w:r>
      <w:r w:rsidR="006E5A94" w:rsidRPr="00843214">
        <w:rPr>
          <w:color w:val="auto"/>
        </w:rPr>
        <w:t xml:space="preserve"> </w:t>
      </w:r>
      <w:r w:rsidR="006E5A94" w:rsidRPr="00843214">
        <w:rPr>
          <w:color w:val="auto"/>
          <w:lang w:val="en-AU"/>
        </w:rPr>
        <w:t xml:space="preserve">UN Women </w:t>
      </w:r>
      <w:r w:rsidR="00CF24EB" w:rsidRPr="00843214">
        <w:rPr>
          <w:color w:val="auto"/>
          <w:lang w:val="en-AU"/>
        </w:rPr>
        <w:t>has just finali</w:t>
      </w:r>
      <w:r w:rsidR="00B1032C" w:rsidRPr="00843214">
        <w:rPr>
          <w:color w:val="auto"/>
          <w:lang w:val="en-AU"/>
        </w:rPr>
        <w:t>s</w:t>
      </w:r>
      <w:r w:rsidR="00CF24EB" w:rsidRPr="00843214">
        <w:rPr>
          <w:color w:val="auto"/>
          <w:lang w:val="en-AU"/>
        </w:rPr>
        <w:t>ed its country establishment policy</w:t>
      </w:r>
      <w:r w:rsidR="006E5A94" w:rsidRPr="00843214">
        <w:rPr>
          <w:color w:val="auto"/>
          <w:lang w:val="en-AU"/>
        </w:rPr>
        <w:t xml:space="preserve"> to ‘right-size’ its country and regional presence to ensure that the right personnel are in the right </w:t>
      </w:r>
      <w:r w:rsidR="00E14262" w:rsidRPr="00843214">
        <w:rPr>
          <w:color w:val="auto"/>
          <w:lang w:val="en-AU"/>
        </w:rPr>
        <w:t>places.</w:t>
      </w:r>
      <w:r w:rsidR="00E14262" w:rsidRPr="00843214">
        <w:rPr>
          <w:b/>
          <w:bCs/>
          <w:color w:val="auto"/>
          <w:lang w:val="en-AU"/>
        </w:rPr>
        <w:t xml:space="preserve"> UN</w:t>
      </w:r>
      <w:r w:rsidR="0070379B" w:rsidRPr="00843214">
        <w:rPr>
          <w:b/>
          <w:bCs/>
          <w:color w:val="auto"/>
          <w:lang w:val="en-AU"/>
        </w:rPr>
        <w:t xml:space="preserve"> Women’s management is concentrated at HQ which diffuses convening power at country level</w:t>
      </w:r>
      <w:r w:rsidR="009A44D9" w:rsidRPr="00843214">
        <w:rPr>
          <w:b/>
          <w:bCs/>
          <w:color w:val="auto"/>
          <w:lang w:val="en-AU"/>
        </w:rPr>
        <w:t>.</w:t>
      </w:r>
      <w:r w:rsidR="0070379B" w:rsidRPr="00843214">
        <w:rPr>
          <w:b/>
          <w:bCs/>
          <w:color w:val="auto"/>
          <w:lang w:val="en-AU"/>
        </w:rPr>
        <w:t xml:space="preserve"> </w:t>
      </w:r>
      <w:r w:rsidR="00966F16" w:rsidRPr="00843214">
        <w:rPr>
          <w:color w:val="auto"/>
          <w:lang w:val="en-AU"/>
        </w:rPr>
        <w:t>Country level s</w:t>
      </w:r>
      <w:r w:rsidR="009B1529" w:rsidRPr="00843214">
        <w:rPr>
          <w:color w:val="auto"/>
          <w:lang w:val="en-AU"/>
        </w:rPr>
        <w:t xml:space="preserve">taff are often </w:t>
      </w:r>
      <w:r w:rsidR="00503E8D" w:rsidRPr="00843214">
        <w:rPr>
          <w:color w:val="auto"/>
          <w:lang w:val="en-AU"/>
        </w:rPr>
        <w:t>program</w:t>
      </w:r>
      <w:r w:rsidR="009B1529" w:rsidRPr="00843214">
        <w:rPr>
          <w:color w:val="auto"/>
          <w:lang w:val="en-AU"/>
        </w:rPr>
        <w:t xml:space="preserve"> specialists rather than director level positions</w:t>
      </w:r>
      <w:r w:rsidR="0070379B" w:rsidRPr="00843214">
        <w:rPr>
          <w:color w:val="auto"/>
          <w:lang w:val="en-AU"/>
        </w:rPr>
        <w:t>. Th</w:t>
      </w:r>
      <w:r w:rsidR="00BE0366" w:rsidRPr="00843214">
        <w:rPr>
          <w:color w:val="auto"/>
          <w:lang w:val="en-AU"/>
        </w:rPr>
        <w:t>erefor</w:t>
      </w:r>
      <w:r w:rsidR="009A44D9" w:rsidRPr="00843214">
        <w:rPr>
          <w:color w:val="auto"/>
          <w:lang w:val="en-AU"/>
        </w:rPr>
        <w:t>e,</w:t>
      </w:r>
      <w:r w:rsidR="0070379B" w:rsidRPr="00843214">
        <w:rPr>
          <w:color w:val="auto"/>
          <w:lang w:val="en-AU"/>
        </w:rPr>
        <w:t xml:space="preserve"> </w:t>
      </w:r>
      <w:r w:rsidR="006F5711" w:rsidRPr="00843214">
        <w:rPr>
          <w:color w:val="auto"/>
          <w:lang w:val="en-AU"/>
        </w:rPr>
        <w:t>engaging in intra-agency dialogue</w:t>
      </w:r>
      <w:r w:rsidR="0070379B" w:rsidRPr="00843214">
        <w:rPr>
          <w:color w:val="auto"/>
          <w:lang w:val="en-AU"/>
        </w:rPr>
        <w:t xml:space="preserve"> can be challenging for UN country staff to have</w:t>
      </w:r>
      <w:r w:rsidR="00CC4331" w:rsidRPr="00843214">
        <w:rPr>
          <w:color w:val="auto"/>
          <w:lang w:val="en-AU"/>
        </w:rPr>
        <w:t xml:space="preserve"> seniority to lead discourse on UN Women’s role</w:t>
      </w:r>
      <w:r w:rsidR="00BE0366" w:rsidRPr="00843214">
        <w:rPr>
          <w:color w:val="auto"/>
          <w:lang w:val="en-AU"/>
        </w:rPr>
        <w:t xml:space="preserve"> in the context</w:t>
      </w:r>
      <w:r w:rsidR="00CC4331" w:rsidRPr="00843214">
        <w:rPr>
          <w:color w:val="auto"/>
          <w:lang w:val="en-AU"/>
        </w:rPr>
        <w:t>.</w:t>
      </w:r>
      <w:r w:rsidR="006F5711" w:rsidRPr="00843214">
        <w:rPr>
          <w:rStyle w:val="FootnoteReference"/>
          <w:color w:val="auto"/>
          <w:lang w:val="en-AU"/>
        </w:rPr>
        <w:footnoteReference w:id="90"/>
      </w:r>
      <w:r w:rsidR="00CC4331" w:rsidRPr="00843214">
        <w:rPr>
          <w:color w:val="auto"/>
          <w:lang w:val="en-AU"/>
        </w:rPr>
        <w:t xml:space="preserve"> </w:t>
      </w:r>
    </w:p>
    <w:p w14:paraId="27BEED1A" w14:textId="10C4C70C" w:rsidR="00E634CE" w:rsidRPr="00843214" w:rsidRDefault="003E0FDA" w:rsidP="00233AEA">
      <w:pPr>
        <w:rPr>
          <w:color w:val="auto"/>
          <w:lang w:val="en-AU"/>
        </w:rPr>
      </w:pPr>
      <w:bookmarkStart w:id="65" w:name="_Hlk67577522"/>
      <w:r w:rsidRPr="00843214">
        <w:rPr>
          <w:b/>
          <w:bCs/>
          <w:color w:val="auto"/>
          <w:lang w:val="en-AU"/>
        </w:rPr>
        <w:t>UN Women has</w:t>
      </w:r>
      <w:r w:rsidRPr="00843214">
        <w:rPr>
          <w:color w:val="auto"/>
          <w:lang w:val="en-AU"/>
        </w:rPr>
        <w:t xml:space="preserve"> </w:t>
      </w:r>
      <w:r w:rsidRPr="00843214">
        <w:rPr>
          <w:b/>
          <w:bCs/>
          <w:color w:val="auto"/>
          <w:lang w:val="en-AU"/>
        </w:rPr>
        <w:t>cumbersome administrative processes, particularly in relation to staff recruitment</w:t>
      </w:r>
      <w:r w:rsidR="001C12D0" w:rsidRPr="00843214">
        <w:rPr>
          <w:b/>
          <w:bCs/>
          <w:color w:val="auto"/>
          <w:lang w:val="en-AU"/>
        </w:rPr>
        <w:t xml:space="preserve">. </w:t>
      </w:r>
      <w:bookmarkEnd w:id="65"/>
      <w:r w:rsidR="001C12D0" w:rsidRPr="00843214">
        <w:rPr>
          <w:color w:val="auto"/>
          <w:lang w:val="en-AU"/>
        </w:rPr>
        <w:t>UN Women</w:t>
      </w:r>
      <w:r w:rsidR="0054618B" w:rsidRPr="00843214">
        <w:rPr>
          <w:color w:val="auto"/>
          <w:lang w:val="en-AU"/>
        </w:rPr>
        <w:t>,</w:t>
      </w:r>
      <w:r w:rsidR="001C12D0" w:rsidRPr="00843214">
        <w:rPr>
          <w:color w:val="auto"/>
          <w:lang w:val="en-AU"/>
        </w:rPr>
        <w:t xml:space="preserve"> DFAT</w:t>
      </w:r>
      <w:r w:rsidR="00526B26" w:rsidRPr="00843214">
        <w:rPr>
          <w:color w:val="auto"/>
          <w:lang w:val="en-AU"/>
        </w:rPr>
        <w:t xml:space="preserve"> and CSO</w:t>
      </w:r>
      <w:r w:rsidR="001C12D0" w:rsidRPr="00843214">
        <w:rPr>
          <w:color w:val="auto"/>
          <w:lang w:val="en-AU"/>
        </w:rPr>
        <w:t xml:space="preserve"> stakeholders note that</w:t>
      </w:r>
      <w:r w:rsidRPr="00843214">
        <w:rPr>
          <w:b/>
          <w:bCs/>
          <w:color w:val="auto"/>
          <w:lang w:val="en-AU"/>
        </w:rPr>
        <w:t xml:space="preserve"> </w:t>
      </w:r>
      <w:r w:rsidRPr="00843214">
        <w:rPr>
          <w:color w:val="auto"/>
          <w:lang w:val="en-AU"/>
        </w:rPr>
        <w:t xml:space="preserve">UN Women’s organisational pace and bureaucratic nature do not match its aspirations, nor do they take advantage of UN Women’s potential in being a smaller, and </w:t>
      </w:r>
      <w:r w:rsidR="00793021" w:rsidRPr="00843214">
        <w:rPr>
          <w:color w:val="auto"/>
          <w:lang w:val="en-AU"/>
        </w:rPr>
        <w:t>therefore</w:t>
      </w:r>
      <w:r w:rsidRPr="00843214">
        <w:rPr>
          <w:color w:val="auto"/>
          <w:lang w:val="en-AU"/>
        </w:rPr>
        <w:t xml:space="preserve"> more nimble entity. Many of UN Women’s functions are centralised which </w:t>
      </w:r>
      <w:r w:rsidR="4547EC06" w:rsidRPr="00843214">
        <w:rPr>
          <w:color w:val="auto"/>
          <w:lang w:val="en-AU"/>
        </w:rPr>
        <w:t>constrains</w:t>
      </w:r>
      <w:r w:rsidRPr="00843214">
        <w:rPr>
          <w:color w:val="auto"/>
          <w:lang w:val="en-AU"/>
        </w:rPr>
        <w:t xml:space="preserve"> efficiency</w:t>
      </w:r>
      <w:r w:rsidR="00CF24EB" w:rsidRPr="00843214">
        <w:rPr>
          <w:color w:val="auto"/>
          <w:lang w:val="en-AU"/>
        </w:rPr>
        <w:t xml:space="preserve"> and means that UN Women is not always able to respond efficiently to country needs</w:t>
      </w:r>
      <w:r w:rsidRPr="00843214">
        <w:rPr>
          <w:color w:val="auto"/>
          <w:lang w:val="en-AU"/>
        </w:rPr>
        <w:t>.</w:t>
      </w:r>
    </w:p>
    <w:p w14:paraId="52D3F5F2" w14:textId="31FDA1C8" w:rsidR="003E0FDA" w:rsidRPr="00843214" w:rsidRDefault="00E634CE" w:rsidP="00233AEA">
      <w:pPr>
        <w:rPr>
          <w:color w:val="auto"/>
          <w:lang w:val="en-AU"/>
        </w:rPr>
      </w:pPr>
      <w:r w:rsidRPr="00843214">
        <w:rPr>
          <w:b/>
          <w:bCs/>
          <w:color w:val="auto"/>
          <w:lang w:val="en-AU"/>
        </w:rPr>
        <w:t>However, as part of UN Women’s ongoing change management, and planning for the next Strategic Plan, UN Women continues to make improvements to its organisational model and its program delivery</w:t>
      </w:r>
      <w:r w:rsidR="0054618B" w:rsidRPr="00843214">
        <w:rPr>
          <w:b/>
          <w:bCs/>
          <w:color w:val="auto"/>
          <w:lang w:val="en-AU"/>
        </w:rPr>
        <w:t>.</w:t>
      </w:r>
      <w:r w:rsidRPr="00843214">
        <w:rPr>
          <w:color w:val="auto"/>
          <w:lang w:val="en-AU"/>
        </w:rPr>
        <w:t xml:space="preserve"> </w:t>
      </w:r>
      <w:r w:rsidR="008664D3" w:rsidRPr="00843214">
        <w:rPr>
          <w:color w:val="auto"/>
        </w:rPr>
        <w:t>UN Women is engaged in an ongoing change management process which includes reforms to better respond to programmatic needs at the country level, includ</w:t>
      </w:r>
      <w:r w:rsidR="0049148C" w:rsidRPr="00843214">
        <w:rPr>
          <w:color w:val="auto"/>
        </w:rPr>
        <w:t xml:space="preserve">ing </w:t>
      </w:r>
      <w:r w:rsidR="008664D3" w:rsidRPr="00843214">
        <w:rPr>
          <w:color w:val="auto"/>
        </w:rPr>
        <w:t>procurement and partner engagement processes.</w:t>
      </w:r>
      <w:r w:rsidR="008664D3" w:rsidRPr="00843214">
        <w:rPr>
          <w:color w:val="auto"/>
          <w:lang w:val="en-AU"/>
        </w:rPr>
        <w:t xml:space="preserve"> </w:t>
      </w:r>
      <w:r w:rsidRPr="00843214">
        <w:rPr>
          <w:color w:val="auto"/>
          <w:lang w:val="en-AU"/>
        </w:rPr>
        <w:t>Further, t</w:t>
      </w:r>
      <w:r w:rsidR="003E0FDA" w:rsidRPr="00843214">
        <w:rPr>
          <w:color w:val="auto"/>
          <w:lang w:val="en-AU"/>
        </w:rPr>
        <w:t>here is some indication of improvement</w:t>
      </w:r>
      <w:r w:rsidR="0054618B" w:rsidRPr="00843214">
        <w:rPr>
          <w:color w:val="auto"/>
          <w:lang w:val="en-AU"/>
        </w:rPr>
        <w:t xml:space="preserve"> due to </w:t>
      </w:r>
      <w:r w:rsidR="00CF24EB" w:rsidRPr="00843214">
        <w:rPr>
          <w:color w:val="auto"/>
          <w:lang w:val="en-AU"/>
        </w:rPr>
        <w:t xml:space="preserve">the new </w:t>
      </w:r>
      <w:r w:rsidRPr="00843214">
        <w:rPr>
          <w:color w:val="auto"/>
          <w:lang w:val="en-AU"/>
        </w:rPr>
        <w:t xml:space="preserve">Country </w:t>
      </w:r>
      <w:r w:rsidR="00CF24EB" w:rsidRPr="00843214">
        <w:rPr>
          <w:color w:val="auto"/>
          <w:lang w:val="en-AU"/>
        </w:rPr>
        <w:t>Presence Governance Framework approved in 2020</w:t>
      </w:r>
      <w:r w:rsidR="003E0FDA" w:rsidRPr="00843214">
        <w:rPr>
          <w:color w:val="auto"/>
          <w:lang w:val="en-AU"/>
        </w:rPr>
        <w:t xml:space="preserve">. </w:t>
      </w:r>
    </w:p>
    <w:p w14:paraId="043B29E0" w14:textId="54EC33A3" w:rsidR="00C91D2D" w:rsidRPr="00843214" w:rsidRDefault="000549FB" w:rsidP="001D1D9E">
      <w:pPr>
        <w:pStyle w:val="Heading4"/>
        <w:rPr>
          <w:color w:val="auto"/>
        </w:rPr>
      </w:pPr>
      <w:r w:rsidRPr="00843214">
        <w:rPr>
          <w:color w:val="auto"/>
        </w:rPr>
        <w:t xml:space="preserve">Effects of UNDS </w:t>
      </w:r>
      <w:r w:rsidRPr="00843214">
        <w:rPr>
          <w:color w:val="auto"/>
          <w:lang w:val="fr-FR"/>
        </w:rPr>
        <w:t xml:space="preserve">Reform </w:t>
      </w:r>
      <w:r w:rsidRPr="00843214">
        <w:rPr>
          <w:color w:val="auto"/>
        </w:rPr>
        <w:t>on UN Women</w:t>
      </w:r>
    </w:p>
    <w:p w14:paraId="349BFD6B" w14:textId="14E4364C" w:rsidR="00AC3BD0" w:rsidRPr="00843214" w:rsidRDefault="00AC3BD0" w:rsidP="00AC1E3F">
      <w:pPr>
        <w:rPr>
          <w:color w:val="auto"/>
          <w:lang w:val="en-AU"/>
        </w:rPr>
      </w:pPr>
      <w:r w:rsidRPr="00843214">
        <w:rPr>
          <w:b/>
          <w:bCs/>
          <w:color w:val="auto"/>
          <w:lang w:val="en-AU"/>
        </w:rPr>
        <w:t>UN</w:t>
      </w:r>
      <w:r w:rsidR="00FF5DE6" w:rsidRPr="00843214">
        <w:rPr>
          <w:b/>
          <w:bCs/>
          <w:color w:val="auto"/>
          <w:lang w:val="en-AU"/>
        </w:rPr>
        <w:t>DS</w:t>
      </w:r>
      <w:r w:rsidRPr="00843214">
        <w:rPr>
          <w:b/>
          <w:bCs/>
          <w:color w:val="auto"/>
          <w:lang w:val="en-AU"/>
        </w:rPr>
        <w:t xml:space="preserve"> Reform </w:t>
      </w:r>
      <w:r w:rsidR="00AA3FCE" w:rsidRPr="00843214">
        <w:rPr>
          <w:b/>
          <w:bCs/>
          <w:color w:val="auto"/>
          <w:lang w:val="en-AU"/>
        </w:rPr>
        <w:t>presents opportunities and challenges for UN Women</w:t>
      </w:r>
      <w:r w:rsidR="008B5AF8" w:rsidRPr="00843214">
        <w:rPr>
          <w:b/>
          <w:bCs/>
          <w:color w:val="auto"/>
          <w:lang w:val="en-AU"/>
        </w:rPr>
        <w:t>’s coordination role</w:t>
      </w:r>
      <w:r w:rsidRPr="00843214">
        <w:rPr>
          <w:color w:val="auto"/>
          <w:lang w:val="en-AU"/>
        </w:rPr>
        <w:t xml:space="preserve">. Country offices have found that the UN Reform and resident coordinator system, while welcome, is at times tripling the coordination requirements. This is particularly the case for the Pacific MCO, who currently reports to </w:t>
      </w:r>
      <w:r w:rsidR="00BE0366" w:rsidRPr="00843214">
        <w:rPr>
          <w:color w:val="auto"/>
          <w:lang w:val="en-AU"/>
        </w:rPr>
        <w:t>two</w:t>
      </w:r>
      <w:r w:rsidRPr="00843214">
        <w:rPr>
          <w:color w:val="auto"/>
          <w:lang w:val="en-AU"/>
        </w:rPr>
        <w:t xml:space="preserve">, soon increasing to </w:t>
      </w:r>
      <w:r w:rsidR="00BE0366" w:rsidRPr="00843214">
        <w:rPr>
          <w:color w:val="auto"/>
          <w:lang w:val="en-AU"/>
        </w:rPr>
        <w:t>three</w:t>
      </w:r>
      <w:r w:rsidRPr="00843214">
        <w:rPr>
          <w:color w:val="auto"/>
          <w:lang w:val="en-AU"/>
        </w:rPr>
        <w:t>, RCs.</w:t>
      </w:r>
      <w:r w:rsidR="008B5AF8" w:rsidRPr="00843214">
        <w:rPr>
          <w:color w:val="auto"/>
        </w:rPr>
        <w:t xml:space="preserve"> </w:t>
      </w:r>
      <w:r w:rsidR="00EB7CAE" w:rsidRPr="00843214">
        <w:rPr>
          <w:color w:val="auto"/>
          <w:lang w:val="en-AU"/>
        </w:rPr>
        <w:t>However</w:t>
      </w:r>
      <w:r w:rsidR="008B5AF8" w:rsidRPr="00843214">
        <w:rPr>
          <w:color w:val="auto"/>
          <w:lang w:val="en-AU"/>
        </w:rPr>
        <w:t>, UN Women m</w:t>
      </w:r>
      <w:r w:rsidR="004E3001" w:rsidRPr="00843214">
        <w:rPr>
          <w:color w:val="auto"/>
          <w:lang w:val="en-AU"/>
        </w:rPr>
        <w:t>ight</w:t>
      </w:r>
      <w:r w:rsidR="008B5AF8" w:rsidRPr="00843214">
        <w:rPr>
          <w:color w:val="auto"/>
          <w:lang w:val="en-AU"/>
        </w:rPr>
        <w:t xml:space="preserve"> achieve greater reach an impact in settings where it is non-resident</w:t>
      </w:r>
      <w:r w:rsidR="001A5F83" w:rsidRPr="00843214">
        <w:rPr>
          <w:color w:val="auto"/>
          <w:lang w:val="en-AU"/>
        </w:rPr>
        <w:t xml:space="preserve"> and there may be overall benefits for coherence across the UN agencies</w:t>
      </w:r>
      <w:r w:rsidR="00662DE0" w:rsidRPr="00843214">
        <w:rPr>
          <w:color w:val="auto"/>
          <w:lang w:val="en-AU"/>
        </w:rPr>
        <w:t xml:space="preserve"> and for beneficiaries. </w:t>
      </w:r>
    </w:p>
    <w:p w14:paraId="1203AE32" w14:textId="77777777" w:rsidR="008E5C1D" w:rsidRPr="00843214" w:rsidRDefault="008E5C1D" w:rsidP="00AC1E3F">
      <w:pPr>
        <w:rPr>
          <w:color w:val="auto"/>
          <w:lang w:val="en-AU"/>
        </w:rPr>
      </w:pPr>
    </w:p>
    <w:p w14:paraId="76897869" w14:textId="347AE135" w:rsidR="00AC3BD0" w:rsidRPr="00843214" w:rsidRDefault="00AC1E3F" w:rsidP="00C40F7F">
      <w:pPr>
        <w:rPr>
          <w:color w:val="auto"/>
          <w:lang w:val="en-AU"/>
        </w:rPr>
      </w:pPr>
      <w:r w:rsidRPr="00843214">
        <w:rPr>
          <w:b/>
          <w:bCs/>
          <w:color w:val="auto"/>
          <w:lang w:val="en-AU"/>
        </w:rPr>
        <w:lastRenderedPageBreak/>
        <w:t xml:space="preserve">While UN Women in the Pacific MCO </w:t>
      </w:r>
      <w:r w:rsidR="00C40F7F" w:rsidRPr="00843214">
        <w:rPr>
          <w:b/>
          <w:bCs/>
          <w:color w:val="auto"/>
          <w:lang w:val="en-AU"/>
        </w:rPr>
        <w:t xml:space="preserve">play a key administrative role to support the </w:t>
      </w:r>
      <w:r w:rsidR="00496846" w:rsidRPr="00843214">
        <w:rPr>
          <w:b/>
          <w:bCs/>
          <w:color w:val="auto"/>
          <w:lang w:val="en-AU"/>
        </w:rPr>
        <w:t>Resident Coordinator Office</w:t>
      </w:r>
      <w:r w:rsidR="00C40F7F" w:rsidRPr="00843214">
        <w:rPr>
          <w:b/>
          <w:bCs/>
          <w:color w:val="auto"/>
          <w:lang w:val="en-AU"/>
        </w:rPr>
        <w:t xml:space="preserve"> </w:t>
      </w:r>
      <w:r w:rsidR="00224EE4" w:rsidRPr="00843214">
        <w:rPr>
          <w:b/>
          <w:bCs/>
          <w:color w:val="auto"/>
          <w:lang w:val="en-AU"/>
        </w:rPr>
        <w:t xml:space="preserve">this </w:t>
      </w:r>
      <w:r w:rsidR="00C40F7F" w:rsidRPr="00843214">
        <w:rPr>
          <w:b/>
          <w:bCs/>
          <w:color w:val="auto"/>
          <w:lang w:val="en-AU"/>
        </w:rPr>
        <w:t>is not the best use of UN Women’s expertise or organisational capacity.</w:t>
      </w:r>
      <w:r w:rsidR="00C40F7F" w:rsidRPr="00843214">
        <w:rPr>
          <w:color w:val="auto"/>
          <w:lang w:val="en-AU"/>
        </w:rPr>
        <w:t xml:space="preserve"> UN Women’s Pacific MCO’s </w:t>
      </w:r>
      <w:r w:rsidRPr="00843214">
        <w:rPr>
          <w:color w:val="auto"/>
          <w:lang w:val="en-AU"/>
        </w:rPr>
        <w:t>effective lead</w:t>
      </w:r>
      <w:r w:rsidR="00C40F7F" w:rsidRPr="00843214">
        <w:rPr>
          <w:color w:val="auto"/>
          <w:lang w:val="en-AU"/>
        </w:rPr>
        <w:t>ership of</w:t>
      </w:r>
      <w:r w:rsidRPr="00843214">
        <w:rPr>
          <w:color w:val="auto"/>
          <w:lang w:val="en-AU"/>
        </w:rPr>
        <w:t xml:space="preserve"> the R</w:t>
      </w:r>
      <w:r w:rsidR="00496846" w:rsidRPr="00843214">
        <w:rPr>
          <w:color w:val="auto"/>
          <w:lang w:val="en-AU"/>
        </w:rPr>
        <w:t>esident Coordinator Office</w:t>
      </w:r>
      <w:r w:rsidRPr="00843214">
        <w:rPr>
          <w:color w:val="auto"/>
          <w:lang w:val="en-AU"/>
        </w:rPr>
        <w:t xml:space="preserve"> operations and management team and back-end streamlining of more efficient processes across UN agencies within the Pacific</w:t>
      </w:r>
      <w:r w:rsidR="00C40F7F" w:rsidRPr="00843214">
        <w:rPr>
          <w:color w:val="auto"/>
          <w:lang w:val="en-AU"/>
        </w:rPr>
        <w:t xml:space="preserve"> demonstrates their capabilities and reach but</w:t>
      </w:r>
      <w:r w:rsidRPr="00843214">
        <w:rPr>
          <w:color w:val="auto"/>
          <w:lang w:val="en-AU"/>
        </w:rPr>
        <w:t xml:space="preserve"> </w:t>
      </w:r>
      <w:r w:rsidR="00C40F7F" w:rsidRPr="00843214">
        <w:rPr>
          <w:color w:val="auto"/>
          <w:lang w:val="en-AU"/>
        </w:rPr>
        <w:t>should not set an example for other UN Women offices</w:t>
      </w:r>
      <w:r w:rsidR="00224EE4" w:rsidRPr="00843214">
        <w:rPr>
          <w:color w:val="auto"/>
          <w:lang w:val="en-AU"/>
        </w:rPr>
        <w:t xml:space="preserve"> to engage in a similar role</w:t>
      </w:r>
      <w:r w:rsidR="00526B26" w:rsidRPr="00843214">
        <w:rPr>
          <w:color w:val="auto"/>
          <w:lang w:val="en-AU"/>
        </w:rPr>
        <w:t xml:space="preserve"> because it is purely an administrative coordination function rather than gender mainstreaming/coordination</w:t>
      </w:r>
      <w:r w:rsidR="00C40F7F" w:rsidRPr="00843214">
        <w:rPr>
          <w:color w:val="auto"/>
          <w:lang w:val="en-AU"/>
        </w:rPr>
        <w:t xml:space="preserve">. </w:t>
      </w:r>
    </w:p>
    <w:p w14:paraId="12A50B08" w14:textId="28EA60CD" w:rsidR="00525C16" w:rsidRPr="00843214" w:rsidRDefault="00525C16" w:rsidP="00525C16">
      <w:pPr>
        <w:rPr>
          <w:color w:val="auto"/>
          <w:lang w:val="en-AU"/>
        </w:rPr>
      </w:pPr>
      <w:r w:rsidRPr="00843214">
        <w:rPr>
          <w:b/>
          <w:bCs/>
          <w:color w:val="auto"/>
          <w:lang w:val="en-AU"/>
        </w:rPr>
        <w:t>With the new roles of Resident Coordinators, GEWE issues in some countries may be de-prioritised due to political sensitivity</w:t>
      </w:r>
      <w:r w:rsidRPr="00843214">
        <w:rPr>
          <w:color w:val="auto"/>
          <w:lang w:val="en-AU"/>
        </w:rPr>
        <w:t xml:space="preserve">, thus posing challenges for UN Women and women’s rights activists to pursue the gender equality agenda and affecting the broader civic space. This is an important consideration given the value that UN Women </w:t>
      </w:r>
      <w:r w:rsidR="00B96EC8" w:rsidRPr="00843214">
        <w:rPr>
          <w:color w:val="auto"/>
          <w:lang w:val="en-AU"/>
        </w:rPr>
        <w:t>brings</w:t>
      </w:r>
      <w:r w:rsidRPr="00843214">
        <w:rPr>
          <w:color w:val="auto"/>
          <w:lang w:val="en-AU"/>
        </w:rPr>
        <w:t xml:space="preserve"> to the SPF as the non-political advocate for shared objectives. </w:t>
      </w:r>
    </w:p>
    <w:p w14:paraId="19403CE1" w14:textId="32EC2E94" w:rsidR="00AC1E3F" w:rsidRPr="00843214" w:rsidRDefault="00AC1E3F" w:rsidP="00C40F7F">
      <w:pPr>
        <w:rPr>
          <w:color w:val="auto"/>
          <w:lang w:val="en-AU"/>
        </w:rPr>
      </w:pPr>
      <w:r w:rsidRPr="00843214">
        <w:rPr>
          <w:b/>
          <w:bCs/>
          <w:color w:val="auto"/>
          <w:lang w:val="en-AU"/>
        </w:rPr>
        <w:t>There is power to the UN Women branding</w:t>
      </w:r>
      <w:r w:rsidR="00321280" w:rsidRPr="00843214">
        <w:rPr>
          <w:b/>
          <w:bCs/>
          <w:color w:val="auto"/>
          <w:lang w:val="en-AU"/>
        </w:rPr>
        <w:t xml:space="preserve"> </w:t>
      </w:r>
      <w:r w:rsidRPr="00843214">
        <w:rPr>
          <w:b/>
          <w:bCs/>
          <w:color w:val="auto"/>
          <w:lang w:val="en-AU"/>
        </w:rPr>
        <w:t>but visibility may be reduced by UN reform</w:t>
      </w:r>
      <w:r w:rsidR="00321280" w:rsidRPr="00843214">
        <w:rPr>
          <w:rStyle w:val="FootnoteReference"/>
          <w:b/>
          <w:bCs/>
          <w:color w:val="auto"/>
          <w:lang w:val="en-AU"/>
        </w:rPr>
        <w:footnoteReference w:id="91"/>
      </w:r>
      <w:r w:rsidRPr="00843214">
        <w:rPr>
          <w:b/>
          <w:bCs/>
          <w:color w:val="auto"/>
          <w:lang w:val="en-AU"/>
        </w:rPr>
        <w:t xml:space="preserve">. </w:t>
      </w:r>
      <w:r w:rsidRPr="00843214">
        <w:rPr>
          <w:color w:val="auto"/>
          <w:lang w:val="en-AU"/>
        </w:rPr>
        <w:t xml:space="preserve">UN Women’s visibility is vital for establishing and maintaining local networks and for UN Women fundraising. </w:t>
      </w:r>
      <w:r w:rsidR="001B7A46" w:rsidRPr="00843214">
        <w:rPr>
          <w:color w:val="auto"/>
          <w:lang w:val="en-AU"/>
        </w:rPr>
        <w:t xml:space="preserve">The </w:t>
      </w:r>
      <w:r w:rsidR="00525C16" w:rsidRPr="00843214">
        <w:rPr>
          <w:color w:val="auto"/>
          <w:lang w:val="en-AU"/>
        </w:rPr>
        <w:t xml:space="preserve">UN’s use </w:t>
      </w:r>
      <w:r w:rsidR="001B7A46" w:rsidRPr="00843214">
        <w:rPr>
          <w:color w:val="auto"/>
          <w:lang w:val="en-AU"/>
        </w:rPr>
        <w:t>of program</w:t>
      </w:r>
      <w:r w:rsidR="00525C16" w:rsidRPr="00843214">
        <w:rPr>
          <w:color w:val="auto"/>
          <w:lang w:val="en-AU"/>
        </w:rPr>
        <w:t>-specific</w:t>
      </w:r>
      <w:r w:rsidR="001B7A46" w:rsidRPr="00843214">
        <w:rPr>
          <w:color w:val="auto"/>
          <w:lang w:val="en-AU"/>
        </w:rPr>
        <w:t xml:space="preserve"> b</w:t>
      </w:r>
      <w:r w:rsidR="001B328E" w:rsidRPr="00843214">
        <w:rPr>
          <w:color w:val="auto"/>
          <w:lang w:val="en-AU"/>
        </w:rPr>
        <w:t>rand</w:t>
      </w:r>
      <w:r w:rsidR="00525C16" w:rsidRPr="00843214">
        <w:rPr>
          <w:color w:val="auto"/>
          <w:lang w:val="en-AU"/>
        </w:rPr>
        <w:t>s</w:t>
      </w:r>
      <w:r w:rsidR="001B7A46" w:rsidRPr="00843214">
        <w:rPr>
          <w:color w:val="auto"/>
          <w:lang w:val="en-AU"/>
        </w:rPr>
        <w:t xml:space="preserve"> for</w:t>
      </w:r>
      <w:r w:rsidRPr="00843214">
        <w:rPr>
          <w:color w:val="auto"/>
          <w:lang w:val="en-AU"/>
        </w:rPr>
        <w:t xml:space="preserve"> </w:t>
      </w:r>
      <w:r w:rsidR="001B328E" w:rsidRPr="00843214">
        <w:rPr>
          <w:color w:val="auto"/>
          <w:lang w:val="en-AU"/>
        </w:rPr>
        <w:t>‘</w:t>
      </w:r>
      <w:r w:rsidRPr="00843214">
        <w:rPr>
          <w:color w:val="auto"/>
          <w:lang w:val="en-AU"/>
        </w:rPr>
        <w:t>One UN</w:t>
      </w:r>
      <w:r w:rsidR="001B328E" w:rsidRPr="00843214">
        <w:rPr>
          <w:color w:val="auto"/>
          <w:lang w:val="en-AU"/>
        </w:rPr>
        <w:t>’ joint-delivery</w:t>
      </w:r>
      <w:r w:rsidRPr="00843214">
        <w:rPr>
          <w:color w:val="auto"/>
          <w:lang w:val="en-AU"/>
        </w:rPr>
        <w:t xml:space="preserve"> programs</w:t>
      </w:r>
      <w:r w:rsidR="001B7A46" w:rsidRPr="00843214">
        <w:rPr>
          <w:color w:val="auto"/>
          <w:lang w:val="en-AU"/>
        </w:rPr>
        <w:t xml:space="preserve"> </w:t>
      </w:r>
      <w:r w:rsidR="001B328E" w:rsidRPr="00843214">
        <w:rPr>
          <w:color w:val="auto"/>
          <w:lang w:val="en-AU"/>
        </w:rPr>
        <w:t>reduces</w:t>
      </w:r>
      <w:r w:rsidR="001B7A46" w:rsidRPr="00843214">
        <w:rPr>
          <w:color w:val="auto"/>
          <w:lang w:val="en-AU"/>
        </w:rPr>
        <w:t xml:space="preserve"> the</w:t>
      </w:r>
      <w:r w:rsidR="001B328E" w:rsidRPr="00843214">
        <w:rPr>
          <w:color w:val="auto"/>
          <w:lang w:val="en-AU"/>
        </w:rPr>
        <w:t xml:space="preserve"> </w:t>
      </w:r>
      <w:r w:rsidRPr="00843214">
        <w:rPr>
          <w:color w:val="auto"/>
          <w:lang w:val="en-AU"/>
        </w:rPr>
        <w:t xml:space="preserve">visibility </w:t>
      </w:r>
      <w:r w:rsidR="001B328E" w:rsidRPr="00843214">
        <w:rPr>
          <w:color w:val="auto"/>
          <w:lang w:val="en-AU"/>
        </w:rPr>
        <w:t>of</w:t>
      </w:r>
      <w:r w:rsidRPr="00843214">
        <w:rPr>
          <w:color w:val="auto"/>
          <w:lang w:val="en-AU"/>
        </w:rPr>
        <w:t xml:space="preserve"> individual agencies. However, fund raising for core funding (in particular) is an individual effort that needs </w:t>
      </w:r>
      <w:r w:rsidR="001B328E" w:rsidRPr="00843214">
        <w:rPr>
          <w:color w:val="auto"/>
          <w:lang w:val="en-AU"/>
        </w:rPr>
        <w:t xml:space="preserve">visibility and </w:t>
      </w:r>
      <w:r w:rsidRPr="00843214">
        <w:rPr>
          <w:color w:val="auto"/>
          <w:lang w:val="en-AU"/>
        </w:rPr>
        <w:t>evidence of agency results.</w:t>
      </w:r>
      <w:r w:rsidR="00525C16" w:rsidRPr="00843214">
        <w:rPr>
          <w:color w:val="auto"/>
          <w:lang w:val="en-AU"/>
        </w:rPr>
        <w:t xml:space="preserve"> A potential outcome of the One UN approach to joint program branding, therefore, might be reduced core funding and the related impacts on capacity.</w:t>
      </w:r>
    </w:p>
    <w:p w14:paraId="4F80F183" w14:textId="45B8F596" w:rsidR="00AC3BD0" w:rsidRPr="00843214" w:rsidRDefault="00AC3BD0" w:rsidP="00AC3BD0">
      <w:pPr>
        <w:pStyle w:val="Heading2"/>
        <w:rPr>
          <w:color w:val="auto"/>
          <w:lang w:val="en-AU"/>
        </w:rPr>
      </w:pPr>
      <w:bookmarkStart w:id="66" w:name="_Toc69376665"/>
      <w:r w:rsidRPr="00843214">
        <w:rPr>
          <w:color w:val="auto"/>
          <w:lang w:val="en-AU"/>
        </w:rPr>
        <w:t>Partnership Arrangements and Funding</w:t>
      </w:r>
      <w:bookmarkEnd w:id="66"/>
    </w:p>
    <w:p w14:paraId="20BDFC38" w14:textId="5DF84264" w:rsidR="00AC3BD0" w:rsidRPr="00843214" w:rsidRDefault="00560EEE" w:rsidP="00AC3BD0">
      <w:pPr>
        <w:pStyle w:val="Heading3"/>
        <w:rPr>
          <w:color w:val="auto"/>
          <w:lang w:val="en-AU"/>
        </w:rPr>
      </w:pPr>
      <w:bookmarkStart w:id="67" w:name="_Ref66612228"/>
      <w:bookmarkStart w:id="68" w:name="_Toc69376666"/>
      <w:r w:rsidRPr="00843214">
        <w:rPr>
          <w:color w:val="auto"/>
          <w:lang w:val="en-AU"/>
        </w:rPr>
        <w:t>Individual and shared</w:t>
      </w:r>
      <w:r w:rsidR="00F21544" w:rsidRPr="00843214">
        <w:rPr>
          <w:color w:val="auto"/>
          <w:lang w:val="en-AU"/>
        </w:rPr>
        <w:t xml:space="preserve"> </w:t>
      </w:r>
      <w:r w:rsidR="00AC3BD0" w:rsidRPr="00843214">
        <w:rPr>
          <w:color w:val="auto"/>
          <w:lang w:val="en-AU"/>
        </w:rPr>
        <w:t xml:space="preserve">objectives and </w:t>
      </w:r>
      <w:r w:rsidR="00040357" w:rsidRPr="00843214">
        <w:rPr>
          <w:color w:val="auto"/>
          <w:lang w:val="en-AU"/>
        </w:rPr>
        <w:t xml:space="preserve">future </w:t>
      </w:r>
      <w:r w:rsidR="00AC3BD0" w:rsidRPr="00843214">
        <w:rPr>
          <w:color w:val="auto"/>
          <w:lang w:val="en-AU"/>
        </w:rPr>
        <w:t>priorities</w:t>
      </w:r>
      <w:bookmarkEnd w:id="67"/>
      <w:bookmarkEnd w:id="68"/>
    </w:p>
    <w:p w14:paraId="682305E0" w14:textId="65D7C423" w:rsidR="00022549" w:rsidRPr="00843214" w:rsidRDefault="00DD78DE" w:rsidP="00022549">
      <w:pPr>
        <w:rPr>
          <w:color w:val="auto"/>
          <w:lang w:val="en-AU"/>
        </w:rPr>
      </w:pPr>
      <w:r w:rsidRPr="00843214">
        <w:rPr>
          <w:b/>
          <w:bCs/>
          <w:color w:val="auto"/>
          <w:lang w:val="en-AU"/>
        </w:rPr>
        <w:t xml:space="preserve">DFAT and UN Women’s nine shared </w:t>
      </w:r>
      <w:r w:rsidR="00000C96" w:rsidRPr="00843214">
        <w:rPr>
          <w:b/>
          <w:bCs/>
          <w:color w:val="auto"/>
          <w:lang w:val="en-AU"/>
        </w:rPr>
        <w:t>objectives</w:t>
      </w:r>
      <w:r w:rsidR="001B7A46" w:rsidRPr="00843214">
        <w:rPr>
          <w:b/>
          <w:bCs/>
          <w:color w:val="auto"/>
          <w:lang w:val="en-AU"/>
        </w:rPr>
        <w:t xml:space="preserve"> in the SPF 2016-21</w:t>
      </w:r>
      <w:r w:rsidRPr="00843214">
        <w:rPr>
          <w:b/>
          <w:bCs/>
          <w:color w:val="auto"/>
          <w:lang w:val="en-AU"/>
        </w:rPr>
        <w:t xml:space="preserve"> bring together UN Women’s strategic </w:t>
      </w:r>
      <w:r w:rsidR="00E35972" w:rsidRPr="00843214">
        <w:rPr>
          <w:b/>
          <w:bCs/>
          <w:color w:val="auto"/>
          <w:lang w:val="en-AU"/>
        </w:rPr>
        <w:t>priorities</w:t>
      </w:r>
      <w:r w:rsidRPr="00843214">
        <w:rPr>
          <w:b/>
          <w:bCs/>
          <w:color w:val="auto"/>
          <w:lang w:val="en-AU"/>
        </w:rPr>
        <w:t xml:space="preserve"> and Australia’s development objectives</w:t>
      </w:r>
      <w:r w:rsidR="00000C96" w:rsidRPr="00843214">
        <w:rPr>
          <w:b/>
          <w:bCs/>
          <w:color w:val="auto"/>
          <w:lang w:val="en-AU"/>
        </w:rPr>
        <w:t>.</w:t>
      </w:r>
      <w:r w:rsidR="00000C96" w:rsidRPr="00843214">
        <w:rPr>
          <w:color w:val="auto"/>
          <w:lang w:val="en-AU"/>
        </w:rPr>
        <w:t xml:space="preserve"> </w:t>
      </w:r>
      <w:r w:rsidR="001B7A46" w:rsidRPr="00843214">
        <w:rPr>
          <w:color w:val="auto"/>
          <w:lang w:val="en-AU"/>
        </w:rPr>
        <w:t>I</w:t>
      </w:r>
      <w:r w:rsidR="00D67B6F" w:rsidRPr="00843214">
        <w:rPr>
          <w:color w:val="auto"/>
          <w:lang w:val="en-AU"/>
        </w:rPr>
        <w:t xml:space="preserve">n consideration of the direction </w:t>
      </w:r>
      <w:r w:rsidR="00CC1B17" w:rsidRPr="00843214">
        <w:rPr>
          <w:color w:val="auto"/>
          <w:lang w:val="en-AU"/>
        </w:rPr>
        <w:t xml:space="preserve">for the </w:t>
      </w:r>
      <w:r w:rsidR="00D67B6F" w:rsidRPr="00843214">
        <w:rPr>
          <w:color w:val="auto"/>
          <w:lang w:val="en-AU"/>
        </w:rPr>
        <w:t xml:space="preserve">SPF 2022-2025, </w:t>
      </w:r>
      <w:r w:rsidR="00AC3BD0" w:rsidRPr="00843214">
        <w:rPr>
          <w:color w:val="auto"/>
          <w:lang w:val="en-AU"/>
        </w:rPr>
        <w:t>UN Women and DFAT</w:t>
      </w:r>
      <w:r w:rsidR="00673717" w:rsidRPr="00843214">
        <w:rPr>
          <w:color w:val="auto"/>
          <w:lang w:val="en-AU"/>
        </w:rPr>
        <w:t xml:space="preserve"> each</w:t>
      </w:r>
      <w:r w:rsidR="00AC3BD0" w:rsidRPr="00843214">
        <w:rPr>
          <w:color w:val="auto"/>
          <w:lang w:val="en-AU"/>
        </w:rPr>
        <w:t xml:space="preserve"> have their own</w:t>
      </w:r>
      <w:r w:rsidR="00A84E34" w:rsidRPr="00843214">
        <w:rPr>
          <w:color w:val="auto"/>
          <w:lang w:val="en-AU"/>
        </w:rPr>
        <w:t xml:space="preserve"> gen</w:t>
      </w:r>
      <w:r w:rsidR="00560EEE" w:rsidRPr="00843214">
        <w:rPr>
          <w:color w:val="auto"/>
          <w:lang w:val="en-AU"/>
        </w:rPr>
        <w:t>der</w:t>
      </w:r>
      <w:r w:rsidR="00AC3BD0" w:rsidRPr="00843214">
        <w:rPr>
          <w:color w:val="auto"/>
          <w:lang w:val="en-AU"/>
        </w:rPr>
        <w:t xml:space="preserve"> objectives and</w:t>
      </w:r>
      <w:r w:rsidR="00560EEE" w:rsidRPr="00843214">
        <w:rPr>
          <w:color w:val="auto"/>
          <w:lang w:val="en-AU"/>
        </w:rPr>
        <w:t xml:space="preserve"> emerging</w:t>
      </w:r>
      <w:r w:rsidR="007966B9" w:rsidRPr="00843214">
        <w:rPr>
          <w:color w:val="auto"/>
          <w:lang w:val="en-AU"/>
        </w:rPr>
        <w:t xml:space="preserve"> </w:t>
      </w:r>
      <w:r w:rsidR="00AC3BD0" w:rsidRPr="00843214">
        <w:rPr>
          <w:color w:val="auto"/>
          <w:lang w:val="en-AU"/>
        </w:rPr>
        <w:t>priorities</w:t>
      </w:r>
      <w:r w:rsidR="00477EC3" w:rsidRPr="00843214">
        <w:rPr>
          <w:color w:val="auto"/>
          <w:lang w:val="en-AU"/>
        </w:rPr>
        <w:t xml:space="preserve"> described within their</w:t>
      </w:r>
      <w:r w:rsidR="00823AC5" w:rsidRPr="00843214">
        <w:rPr>
          <w:color w:val="auto"/>
          <w:lang w:val="en-AU"/>
        </w:rPr>
        <w:t xml:space="preserve"> current</w:t>
      </w:r>
      <w:r w:rsidR="00477EC3" w:rsidRPr="00843214">
        <w:rPr>
          <w:color w:val="auto"/>
          <w:lang w:val="en-AU"/>
        </w:rPr>
        <w:t xml:space="preserve"> high-level strategic documents</w:t>
      </w:r>
      <w:r w:rsidR="007966B9" w:rsidRPr="00843214">
        <w:rPr>
          <w:color w:val="auto"/>
          <w:lang w:val="en-AU"/>
        </w:rPr>
        <w:t xml:space="preserve">. </w:t>
      </w:r>
    </w:p>
    <w:p w14:paraId="2D34515C" w14:textId="7BCC1357" w:rsidR="00AC3BD0" w:rsidRPr="00843214" w:rsidRDefault="00AC3BD0" w:rsidP="007966B9">
      <w:pPr>
        <w:rPr>
          <w:color w:val="auto"/>
          <w:lang w:val="en-AU"/>
        </w:rPr>
      </w:pPr>
      <w:r w:rsidRPr="00843214">
        <w:rPr>
          <w:b/>
          <w:bCs/>
          <w:color w:val="auto"/>
          <w:lang w:val="en-AU"/>
        </w:rPr>
        <w:t>UN Women</w:t>
      </w:r>
      <w:r w:rsidR="001011E4" w:rsidRPr="00843214">
        <w:rPr>
          <w:b/>
          <w:bCs/>
          <w:color w:val="auto"/>
          <w:lang w:val="en-AU"/>
        </w:rPr>
        <w:t>’s</w:t>
      </w:r>
      <w:r w:rsidR="002D0FD9" w:rsidRPr="00843214">
        <w:rPr>
          <w:b/>
          <w:bCs/>
          <w:color w:val="auto"/>
          <w:lang w:val="en-AU"/>
        </w:rPr>
        <w:t xml:space="preserve"> current and future (indicative) strategies</w:t>
      </w:r>
      <w:r w:rsidR="001B1A8F" w:rsidRPr="00843214">
        <w:rPr>
          <w:color w:val="auto"/>
          <w:lang w:val="en-AU"/>
        </w:rPr>
        <w:t xml:space="preserve"> </w:t>
      </w:r>
      <w:r w:rsidR="001B1A8F" w:rsidRPr="00843214">
        <w:rPr>
          <w:b/>
          <w:bCs/>
          <w:color w:val="auto"/>
          <w:lang w:val="en-AU"/>
        </w:rPr>
        <w:t>within their Strategic Plan 2018-21</w:t>
      </w:r>
      <w:r w:rsidR="009770C5" w:rsidRPr="00843214">
        <w:rPr>
          <w:b/>
          <w:bCs/>
          <w:color w:val="auto"/>
          <w:lang w:val="en-AU"/>
        </w:rPr>
        <w:t xml:space="preserve"> </w:t>
      </w:r>
      <w:r w:rsidR="001B1A8F" w:rsidRPr="00843214">
        <w:rPr>
          <w:b/>
          <w:bCs/>
          <w:color w:val="auto"/>
          <w:lang w:val="en-AU"/>
        </w:rPr>
        <w:t>and Draft Framework for the UN Women Strategic Plan 2022-2025</w:t>
      </w:r>
      <w:r w:rsidR="001B1A8F" w:rsidRPr="00843214">
        <w:rPr>
          <w:color w:val="auto"/>
          <w:lang w:val="en-AU"/>
        </w:rPr>
        <w:t xml:space="preserve"> </w:t>
      </w:r>
      <w:r w:rsidRPr="00843214">
        <w:rPr>
          <w:b/>
          <w:bCs/>
          <w:color w:val="auto"/>
          <w:lang w:val="en-AU"/>
        </w:rPr>
        <w:t>strongly align with the three priority areas</w:t>
      </w:r>
      <w:r w:rsidR="00022549" w:rsidRPr="00843214">
        <w:rPr>
          <w:b/>
          <w:bCs/>
          <w:color w:val="auto"/>
          <w:lang w:val="en-AU"/>
        </w:rPr>
        <w:t xml:space="preserve"> in DFAT’s </w:t>
      </w:r>
      <w:r w:rsidR="00022549" w:rsidRPr="00843214">
        <w:rPr>
          <w:b/>
          <w:bCs/>
          <w:i/>
          <w:iCs/>
          <w:color w:val="auto"/>
          <w:lang w:val="en-AU"/>
        </w:rPr>
        <w:t>Gender Equality and Women’s Empowerment Strategy</w:t>
      </w:r>
      <w:r w:rsidR="00022549" w:rsidRPr="00843214">
        <w:rPr>
          <w:b/>
          <w:bCs/>
          <w:color w:val="auto"/>
          <w:lang w:val="en-AU"/>
        </w:rPr>
        <w:t xml:space="preserve"> (2016) of enhancing women’s voice in decision making, leadership and peace building, </w:t>
      </w:r>
      <w:r w:rsidR="00A4700C" w:rsidRPr="00843214">
        <w:rPr>
          <w:b/>
          <w:bCs/>
          <w:color w:val="auto"/>
          <w:lang w:val="en-AU"/>
        </w:rPr>
        <w:t>WEE</w:t>
      </w:r>
      <w:r w:rsidR="00022549" w:rsidRPr="00843214">
        <w:rPr>
          <w:b/>
          <w:bCs/>
          <w:color w:val="auto"/>
          <w:lang w:val="en-AU"/>
        </w:rPr>
        <w:t xml:space="preserve"> and </w:t>
      </w:r>
      <w:r w:rsidR="00684400" w:rsidRPr="00843214">
        <w:rPr>
          <w:b/>
          <w:bCs/>
          <w:color w:val="auto"/>
          <w:lang w:val="en-AU"/>
        </w:rPr>
        <w:t>EVAWG</w:t>
      </w:r>
      <w:r w:rsidR="00022549" w:rsidRPr="00843214">
        <w:rPr>
          <w:b/>
          <w:bCs/>
          <w:color w:val="auto"/>
          <w:lang w:val="en-AU"/>
        </w:rPr>
        <w:t>.</w:t>
      </w:r>
      <w:r w:rsidR="00022549" w:rsidRPr="00843214">
        <w:rPr>
          <w:color w:val="auto"/>
          <w:lang w:val="en-AU"/>
        </w:rPr>
        <w:t xml:space="preserve"> </w:t>
      </w:r>
      <w:r w:rsidR="00F537E3" w:rsidRPr="00843214">
        <w:rPr>
          <w:color w:val="auto"/>
          <w:lang w:val="en-AU"/>
        </w:rPr>
        <w:t xml:space="preserve">UN Women also contributed to Australia’s new draft international development policy, where gender equality was one of Australia’s six development priorities, before the policy was put on hold and temporarily replaced by </w:t>
      </w:r>
      <w:r w:rsidR="0054618B" w:rsidRPr="00843214">
        <w:rPr>
          <w:color w:val="auto"/>
          <w:lang w:val="en-AU"/>
        </w:rPr>
        <w:t xml:space="preserve">DFAT’s </w:t>
      </w:r>
      <w:r w:rsidR="0054618B" w:rsidRPr="00843214">
        <w:rPr>
          <w:i/>
          <w:iCs/>
          <w:color w:val="auto"/>
          <w:lang w:val="en-AU"/>
        </w:rPr>
        <w:t>Partnerships for Recovery: Australia’s COVID-19 development response</w:t>
      </w:r>
      <w:r w:rsidR="00F537E3" w:rsidRPr="00843214">
        <w:rPr>
          <w:color w:val="auto"/>
          <w:lang w:val="en-AU"/>
        </w:rPr>
        <w:t xml:space="preserve">. </w:t>
      </w:r>
      <w:r w:rsidR="00022549" w:rsidRPr="00843214">
        <w:rPr>
          <w:color w:val="auto"/>
          <w:lang w:val="en-AU"/>
        </w:rPr>
        <w:t>UN Women</w:t>
      </w:r>
      <w:r w:rsidR="002D0FD9" w:rsidRPr="00843214">
        <w:rPr>
          <w:color w:val="auto"/>
          <w:lang w:val="en-AU"/>
        </w:rPr>
        <w:t xml:space="preserve">’s </w:t>
      </w:r>
      <w:r w:rsidR="002D0FD9" w:rsidRPr="00843214">
        <w:rPr>
          <w:i/>
          <w:iCs/>
          <w:color w:val="auto"/>
          <w:lang w:val="en-AU"/>
        </w:rPr>
        <w:t>COVID-19 Response Framework</w:t>
      </w:r>
      <w:r w:rsidR="00022549" w:rsidRPr="00843214">
        <w:rPr>
          <w:color w:val="auto"/>
          <w:lang w:val="en-AU"/>
        </w:rPr>
        <w:t xml:space="preserve"> </w:t>
      </w:r>
      <w:r w:rsidRPr="00843214">
        <w:rPr>
          <w:color w:val="auto"/>
          <w:lang w:val="en-AU"/>
        </w:rPr>
        <w:t>also</w:t>
      </w:r>
      <w:r w:rsidR="00022549" w:rsidRPr="00843214">
        <w:rPr>
          <w:color w:val="auto"/>
          <w:lang w:val="en-AU"/>
        </w:rPr>
        <w:t xml:space="preserve"> strongly</w:t>
      </w:r>
      <w:r w:rsidRPr="00843214">
        <w:rPr>
          <w:color w:val="auto"/>
          <w:lang w:val="en-AU"/>
        </w:rPr>
        <w:t xml:space="preserve"> align</w:t>
      </w:r>
      <w:r w:rsidR="002D0FD9" w:rsidRPr="00843214">
        <w:rPr>
          <w:color w:val="auto"/>
          <w:lang w:val="en-AU"/>
        </w:rPr>
        <w:t>s</w:t>
      </w:r>
      <w:r w:rsidRPr="00843214">
        <w:rPr>
          <w:color w:val="auto"/>
          <w:lang w:val="en-AU"/>
        </w:rPr>
        <w:t xml:space="preserve"> with DFAT’s </w:t>
      </w:r>
      <w:r w:rsidRPr="00843214">
        <w:rPr>
          <w:i/>
          <w:iCs/>
          <w:color w:val="auto"/>
          <w:lang w:val="en-AU"/>
        </w:rPr>
        <w:t>Partnerships for Recovery</w:t>
      </w:r>
      <w:r w:rsidR="00022549" w:rsidRPr="00843214">
        <w:rPr>
          <w:color w:val="auto"/>
          <w:lang w:val="en-AU"/>
        </w:rPr>
        <w:t xml:space="preserve"> </w:t>
      </w:r>
      <w:r w:rsidR="002D0FD9" w:rsidRPr="00843214">
        <w:rPr>
          <w:color w:val="auto"/>
          <w:lang w:val="en-AU"/>
        </w:rPr>
        <w:t>priorities</w:t>
      </w:r>
      <w:r w:rsidR="00022549" w:rsidRPr="00843214">
        <w:rPr>
          <w:color w:val="auto"/>
          <w:lang w:val="en-AU"/>
        </w:rPr>
        <w:t xml:space="preserve"> of </w:t>
      </w:r>
      <w:r w:rsidR="00A4700C" w:rsidRPr="00843214">
        <w:rPr>
          <w:color w:val="auto"/>
          <w:lang w:val="en-AU"/>
        </w:rPr>
        <w:t>WEE</w:t>
      </w:r>
      <w:r w:rsidR="00022549" w:rsidRPr="00843214">
        <w:rPr>
          <w:color w:val="auto"/>
          <w:lang w:val="en-AU"/>
        </w:rPr>
        <w:t xml:space="preserve"> and </w:t>
      </w:r>
      <w:r w:rsidR="00684400" w:rsidRPr="00843214">
        <w:rPr>
          <w:color w:val="auto"/>
          <w:lang w:val="en-AU"/>
        </w:rPr>
        <w:t>EVAWG</w:t>
      </w:r>
      <w:r w:rsidR="007966B9" w:rsidRPr="00843214">
        <w:rPr>
          <w:color w:val="auto"/>
          <w:lang w:val="en-AU"/>
        </w:rPr>
        <w:t xml:space="preserve"> (</w:t>
      </w:r>
      <w:r w:rsidR="004477EF" w:rsidRPr="00843214">
        <w:rPr>
          <w:color w:val="auto"/>
          <w:lang w:val="en-AU"/>
        </w:rPr>
        <w:t xml:space="preserve">Annex </w:t>
      </w:r>
      <w:r w:rsidR="00BB1C5A" w:rsidRPr="00843214">
        <w:rPr>
          <w:color w:val="auto"/>
          <w:lang w:val="en-AU"/>
        </w:rPr>
        <w:t>6</w:t>
      </w:r>
      <w:r w:rsidR="007966B9" w:rsidRPr="00843214">
        <w:rPr>
          <w:color w:val="auto"/>
          <w:lang w:val="en-AU"/>
        </w:rPr>
        <w:t>)</w:t>
      </w:r>
      <w:r w:rsidRPr="00843214">
        <w:rPr>
          <w:color w:val="auto"/>
          <w:lang w:val="en-AU"/>
        </w:rPr>
        <w:t>.</w:t>
      </w:r>
      <w:r w:rsidR="007966B9" w:rsidRPr="00843214">
        <w:rPr>
          <w:color w:val="auto"/>
          <w:lang w:val="en-AU"/>
        </w:rPr>
        <w:t xml:space="preserve"> </w:t>
      </w:r>
      <w:r w:rsidR="005B4EDA" w:rsidRPr="00843214">
        <w:rPr>
          <w:color w:val="auto"/>
          <w:lang w:val="en-AU"/>
        </w:rPr>
        <w:t>A</w:t>
      </w:r>
      <w:r w:rsidRPr="00843214">
        <w:rPr>
          <w:color w:val="auto"/>
          <w:lang w:val="en-AU"/>
        </w:rPr>
        <w:t xml:space="preserve">ustralia’s development objective of gender-empowerment is </w:t>
      </w:r>
      <w:r w:rsidR="007966B9" w:rsidRPr="00843214">
        <w:rPr>
          <w:color w:val="auto"/>
          <w:lang w:val="en-AU"/>
        </w:rPr>
        <w:t xml:space="preserve">also </w:t>
      </w:r>
      <w:r w:rsidRPr="00843214">
        <w:rPr>
          <w:color w:val="auto"/>
          <w:lang w:val="en-AU"/>
        </w:rPr>
        <w:t xml:space="preserve">reflected in its commitment to long-term support for the mandate and activities of UN Women. </w:t>
      </w:r>
      <w:r w:rsidR="00673717" w:rsidRPr="00843214">
        <w:rPr>
          <w:color w:val="auto"/>
          <w:lang w:val="en-AU"/>
        </w:rPr>
        <w:t>Notwithstanding DFAT’s strong gender focus, UN Women by its nature has deeper articulation of gender priorities than DFAT.</w:t>
      </w:r>
    </w:p>
    <w:p w14:paraId="702AE1CF" w14:textId="393BEAB3" w:rsidR="00AC3BD0" w:rsidRPr="00843214" w:rsidRDefault="00D67B6F" w:rsidP="006B3A35">
      <w:pPr>
        <w:rPr>
          <w:color w:val="auto"/>
          <w:lang w:val="en-AU"/>
        </w:rPr>
      </w:pPr>
      <w:r w:rsidRPr="00843214">
        <w:rPr>
          <w:b/>
          <w:bCs/>
          <w:color w:val="auto"/>
          <w:lang w:val="en-AU"/>
        </w:rPr>
        <w:t xml:space="preserve">Informing future direction for the SPF 2022-2025, </w:t>
      </w:r>
      <w:r w:rsidR="00AC3BD0" w:rsidRPr="00843214">
        <w:rPr>
          <w:b/>
          <w:bCs/>
          <w:color w:val="auto"/>
          <w:lang w:val="en-AU"/>
        </w:rPr>
        <w:t xml:space="preserve">UN Women’s upcoming </w:t>
      </w:r>
      <w:bookmarkStart w:id="69" w:name="_Hlk68687625"/>
      <w:r w:rsidR="00FD65FE" w:rsidRPr="00843214">
        <w:rPr>
          <w:b/>
          <w:bCs/>
          <w:color w:val="auto"/>
          <w:lang w:val="en-AU"/>
        </w:rPr>
        <w:t>S</w:t>
      </w:r>
      <w:r w:rsidR="00AC3BD0" w:rsidRPr="00843214">
        <w:rPr>
          <w:b/>
          <w:bCs/>
          <w:color w:val="auto"/>
          <w:lang w:val="en-AU"/>
        </w:rPr>
        <w:t xml:space="preserve">trategic </w:t>
      </w:r>
      <w:r w:rsidR="00FD65FE" w:rsidRPr="00843214">
        <w:rPr>
          <w:b/>
          <w:bCs/>
          <w:color w:val="auto"/>
          <w:lang w:val="en-AU"/>
        </w:rPr>
        <w:t>P</w:t>
      </w:r>
      <w:r w:rsidR="00AC3BD0" w:rsidRPr="00843214">
        <w:rPr>
          <w:b/>
          <w:bCs/>
          <w:color w:val="auto"/>
          <w:lang w:val="en-AU"/>
        </w:rPr>
        <w:t>lan 2022-</w:t>
      </w:r>
      <w:r w:rsidR="00FD65FE" w:rsidRPr="00843214">
        <w:rPr>
          <w:b/>
          <w:bCs/>
          <w:color w:val="auto"/>
          <w:lang w:val="en-AU"/>
        </w:rPr>
        <w:t>20</w:t>
      </w:r>
      <w:r w:rsidR="00AC3BD0" w:rsidRPr="00843214">
        <w:rPr>
          <w:b/>
          <w:bCs/>
          <w:color w:val="auto"/>
          <w:lang w:val="en-AU"/>
        </w:rPr>
        <w:t>2</w:t>
      </w:r>
      <w:r w:rsidR="000360CF" w:rsidRPr="00843214">
        <w:rPr>
          <w:b/>
          <w:bCs/>
          <w:color w:val="auto"/>
          <w:lang w:val="en-AU"/>
        </w:rPr>
        <w:t>5</w:t>
      </w:r>
      <w:r w:rsidR="00AC3BD0" w:rsidRPr="00843214">
        <w:rPr>
          <w:b/>
          <w:bCs/>
          <w:color w:val="auto"/>
          <w:lang w:val="en-AU"/>
        </w:rPr>
        <w:t xml:space="preserve"> </w:t>
      </w:r>
      <w:bookmarkEnd w:id="69"/>
      <w:r w:rsidR="00AC3BD0" w:rsidRPr="00843214">
        <w:rPr>
          <w:b/>
          <w:bCs/>
          <w:color w:val="auto"/>
          <w:lang w:val="en-AU"/>
        </w:rPr>
        <w:t>focuses on</w:t>
      </w:r>
      <w:r w:rsidR="00E405CC" w:rsidRPr="00843214">
        <w:rPr>
          <w:b/>
          <w:bCs/>
          <w:color w:val="auto"/>
          <w:lang w:val="en-AU"/>
        </w:rPr>
        <w:t xml:space="preserve"> using the triple mandate to </w:t>
      </w:r>
      <w:r w:rsidR="00AC3BD0" w:rsidRPr="00843214">
        <w:rPr>
          <w:b/>
          <w:bCs/>
          <w:color w:val="auto"/>
          <w:lang w:val="en-AU"/>
        </w:rPr>
        <w:t>addres</w:t>
      </w:r>
      <w:r w:rsidR="00E405CC" w:rsidRPr="00843214">
        <w:rPr>
          <w:b/>
          <w:bCs/>
          <w:color w:val="auto"/>
          <w:lang w:val="en-AU"/>
        </w:rPr>
        <w:t>s</w:t>
      </w:r>
      <w:r w:rsidR="00AC3BD0" w:rsidRPr="00843214">
        <w:rPr>
          <w:b/>
          <w:bCs/>
          <w:color w:val="auto"/>
          <w:lang w:val="en-AU"/>
        </w:rPr>
        <w:t xml:space="preserve"> </w:t>
      </w:r>
      <w:r w:rsidR="00E35972" w:rsidRPr="00843214">
        <w:rPr>
          <w:b/>
          <w:bCs/>
          <w:color w:val="auto"/>
          <w:lang w:val="en-AU"/>
        </w:rPr>
        <w:t xml:space="preserve">four </w:t>
      </w:r>
      <w:r w:rsidRPr="00843214">
        <w:rPr>
          <w:b/>
          <w:bCs/>
          <w:color w:val="auto"/>
          <w:lang w:val="en-AU"/>
        </w:rPr>
        <w:t xml:space="preserve">ongoing </w:t>
      </w:r>
      <w:r w:rsidR="00AC3BD0" w:rsidRPr="00843214">
        <w:rPr>
          <w:b/>
          <w:bCs/>
          <w:color w:val="auto"/>
          <w:lang w:val="en-AU"/>
        </w:rPr>
        <w:t xml:space="preserve">gender </w:t>
      </w:r>
      <w:r w:rsidRPr="00843214">
        <w:rPr>
          <w:b/>
          <w:bCs/>
          <w:color w:val="auto"/>
          <w:lang w:val="en-AU"/>
        </w:rPr>
        <w:t>themes</w:t>
      </w:r>
      <w:r w:rsidR="00E35972" w:rsidRPr="00843214">
        <w:rPr>
          <w:b/>
          <w:bCs/>
          <w:color w:val="auto"/>
          <w:lang w:val="en-AU"/>
        </w:rPr>
        <w:t xml:space="preserve">: 1) governance and participation in public life, 2) economic empowerment and resilience, 3) </w:t>
      </w:r>
      <w:r w:rsidR="00684400" w:rsidRPr="00843214">
        <w:rPr>
          <w:b/>
          <w:bCs/>
          <w:color w:val="auto"/>
          <w:lang w:val="en-AU"/>
        </w:rPr>
        <w:t>EVAW</w:t>
      </w:r>
      <w:r w:rsidR="00930174" w:rsidRPr="00843214">
        <w:rPr>
          <w:b/>
          <w:bCs/>
          <w:color w:val="auto"/>
          <w:lang w:val="en-AU"/>
        </w:rPr>
        <w:t>G</w:t>
      </w:r>
      <w:r w:rsidR="00E35972" w:rsidRPr="00843214">
        <w:rPr>
          <w:b/>
          <w:bCs/>
          <w:color w:val="auto"/>
          <w:lang w:val="en-AU"/>
        </w:rPr>
        <w:t xml:space="preserve"> and 4) peace, security, humanitarian action and </w:t>
      </w:r>
      <w:r w:rsidR="007A2FF4" w:rsidRPr="00843214">
        <w:rPr>
          <w:b/>
          <w:bCs/>
          <w:color w:val="auto"/>
          <w:lang w:val="en-AU"/>
        </w:rPr>
        <w:t>DRR</w:t>
      </w:r>
      <w:r w:rsidR="00D6050F" w:rsidRPr="00843214">
        <w:rPr>
          <w:rStyle w:val="FootnoteReference"/>
          <w:b/>
          <w:bCs/>
          <w:color w:val="auto"/>
          <w:lang w:val="en-AU"/>
        </w:rPr>
        <w:footnoteReference w:id="92"/>
      </w:r>
      <w:r w:rsidR="00E35972" w:rsidRPr="00843214">
        <w:rPr>
          <w:color w:val="auto"/>
          <w:lang w:val="en-AU"/>
        </w:rPr>
        <w:t xml:space="preserve">. These themes are further focused </w:t>
      </w:r>
      <w:r w:rsidR="009B1344" w:rsidRPr="00843214">
        <w:rPr>
          <w:color w:val="auto"/>
          <w:lang w:val="en-AU"/>
        </w:rPr>
        <w:t>within</w:t>
      </w:r>
      <w:r w:rsidRPr="00843214">
        <w:rPr>
          <w:color w:val="auto"/>
          <w:lang w:val="en-AU"/>
        </w:rPr>
        <w:t xml:space="preserve"> specific </w:t>
      </w:r>
      <w:r w:rsidR="00AC3BD0" w:rsidRPr="00843214">
        <w:rPr>
          <w:color w:val="auto"/>
          <w:lang w:val="en-AU"/>
        </w:rPr>
        <w:t>target areas</w:t>
      </w:r>
      <w:r w:rsidRPr="00843214">
        <w:rPr>
          <w:color w:val="auto"/>
          <w:lang w:val="en-AU"/>
        </w:rPr>
        <w:t xml:space="preserve"> includ</w:t>
      </w:r>
      <w:r w:rsidR="00E35972" w:rsidRPr="00843214">
        <w:rPr>
          <w:color w:val="auto"/>
          <w:lang w:val="en-AU"/>
        </w:rPr>
        <w:t>ing</w:t>
      </w:r>
      <w:r w:rsidR="00AC3BD0" w:rsidRPr="00843214">
        <w:rPr>
          <w:color w:val="auto"/>
          <w:lang w:val="en-AU"/>
        </w:rPr>
        <w:t xml:space="preserve"> COVID-19 response and recovery; </w:t>
      </w:r>
      <w:r w:rsidR="002D0FD9" w:rsidRPr="00843214">
        <w:rPr>
          <w:color w:val="auto"/>
          <w:lang w:val="en-AU"/>
        </w:rPr>
        <w:t>c</w:t>
      </w:r>
      <w:r w:rsidR="00AC3BD0" w:rsidRPr="00843214">
        <w:rPr>
          <w:color w:val="auto"/>
          <w:lang w:val="en-AU"/>
        </w:rPr>
        <w:t>limate change and environmental challenges</w:t>
      </w:r>
      <w:r w:rsidR="001011E4" w:rsidRPr="00843214">
        <w:rPr>
          <w:color w:val="auto"/>
          <w:lang w:val="en-AU"/>
        </w:rPr>
        <w:t>,</w:t>
      </w:r>
      <w:r w:rsidR="00AC3BD0" w:rsidRPr="00843214">
        <w:rPr>
          <w:color w:val="auto"/>
          <w:lang w:val="en-AU"/>
        </w:rPr>
        <w:t xml:space="preserve"> including womens</w:t>
      </w:r>
      <w:r w:rsidR="00F13BC9" w:rsidRPr="00843214">
        <w:rPr>
          <w:color w:val="auto"/>
          <w:lang w:val="en-AU"/>
        </w:rPr>
        <w:t>’</w:t>
      </w:r>
      <w:r w:rsidR="00AC3BD0" w:rsidRPr="00843214">
        <w:rPr>
          <w:color w:val="auto"/>
          <w:lang w:val="en-AU"/>
        </w:rPr>
        <w:t xml:space="preserve"> role in adaption and mitigation; the pushback on gender equality and closing of civic spaces for women’s organisations; the inequality in social protection and the care economy and large-scale displacement and migration. </w:t>
      </w:r>
      <w:r w:rsidR="00A12EDF" w:rsidRPr="00843214">
        <w:rPr>
          <w:color w:val="auto"/>
          <w:lang w:val="en-AU"/>
        </w:rPr>
        <w:t xml:space="preserve">To address these issues, UN Women will continue to engage in partnerships with policy makers, women’s movements and </w:t>
      </w:r>
      <w:r w:rsidR="00417197" w:rsidRPr="00843214">
        <w:rPr>
          <w:color w:val="auto"/>
          <w:lang w:val="en-AU"/>
        </w:rPr>
        <w:t>CSO</w:t>
      </w:r>
      <w:r w:rsidR="00A12EDF" w:rsidRPr="00843214">
        <w:rPr>
          <w:color w:val="auto"/>
          <w:lang w:val="en-AU"/>
        </w:rPr>
        <w:t xml:space="preserve">, private sector partners and a range of gender equality influencers. </w:t>
      </w:r>
      <w:proofErr w:type="gramStart"/>
      <w:r w:rsidR="0022204C" w:rsidRPr="00843214">
        <w:rPr>
          <w:color w:val="auto"/>
          <w:lang w:val="en-AU"/>
        </w:rPr>
        <w:t>In particular, UN</w:t>
      </w:r>
      <w:proofErr w:type="gramEnd"/>
      <w:r w:rsidR="0022204C" w:rsidRPr="00843214">
        <w:rPr>
          <w:color w:val="auto"/>
          <w:lang w:val="en-AU"/>
        </w:rPr>
        <w:t xml:space="preserve"> Women will continue to build on and clarify working arrangements with </w:t>
      </w:r>
      <w:r w:rsidR="00BD147B" w:rsidRPr="00843214">
        <w:rPr>
          <w:color w:val="auto"/>
          <w:lang w:val="en-AU"/>
        </w:rPr>
        <w:t xml:space="preserve">their </w:t>
      </w:r>
      <w:r w:rsidR="0086602A" w:rsidRPr="00843214">
        <w:rPr>
          <w:color w:val="auto"/>
          <w:lang w:val="en-AU"/>
        </w:rPr>
        <w:lastRenderedPageBreak/>
        <w:t xml:space="preserve">‘common chapter’ agencies </w:t>
      </w:r>
      <w:r w:rsidR="0022204C" w:rsidRPr="00843214">
        <w:rPr>
          <w:color w:val="auto"/>
          <w:lang w:val="en-AU"/>
        </w:rPr>
        <w:t>UNFPA, UNDP and</w:t>
      </w:r>
      <w:r w:rsidR="00E3187B" w:rsidRPr="00843214">
        <w:rPr>
          <w:color w:val="auto"/>
          <w:lang w:val="en-AU"/>
        </w:rPr>
        <w:t xml:space="preserve"> the UN Children’s Fund</w:t>
      </w:r>
      <w:r w:rsidR="0022204C" w:rsidRPr="00843214">
        <w:rPr>
          <w:color w:val="auto"/>
          <w:lang w:val="en-AU"/>
        </w:rPr>
        <w:t xml:space="preserve"> </w:t>
      </w:r>
      <w:r w:rsidR="00E3187B" w:rsidRPr="00843214">
        <w:rPr>
          <w:color w:val="auto"/>
          <w:lang w:val="en-AU"/>
        </w:rPr>
        <w:t>(</w:t>
      </w:r>
      <w:r w:rsidR="0022204C" w:rsidRPr="00843214">
        <w:rPr>
          <w:color w:val="auto"/>
          <w:lang w:val="en-AU"/>
        </w:rPr>
        <w:t>UNICEF</w:t>
      </w:r>
      <w:r w:rsidR="00E3187B" w:rsidRPr="00843214">
        <w:rPr>
          <w:color w:val="auto"/>
          <w:lang w:val="en-AU"/>
        </w:rPr>
        <w:t>)</w:t>
      </w:r>
      <w:r w:rsidR="0086602A" w:rsidRPr="00843214">
        <w:rPr>
          <w:rStyle w:val="FootnoteReference"/>
          <w:color w:val="auto"/>
          <w:lang w:val="en-AU"/>
        </w:rPr>
        <w:footnoteReference w:id="93"/>
      </w:r>
      <w:r w:rsidR="0022204C" w:rsidRPr="00843214">
        <w:rPr>
          <w:color w:val="auto"/>
          <w:lang w:val="en-AU"/>
        </w:rPr>
        <w:t xml:space="preserve"> to work together to support implementation of the </w:t>
      </w:r>
      <w:r w:rsidR="00F13BC9" w:rsidRPr="00843214">
        <w:rPr>
          <w:color w:val="auto"/>
          <w:lang w:val="en-AU"/>
        </w:rPr>
        <w:t>2030 Agenda</w:t>
      </w:r>
      <w:r w:rsidR="0086602A" w:rsidRPr="00843214">
        <w:rPr>
          <w:color w:val="auto"/>
          <w:lang w:val="en-AU"/>
        </w:rPr>
        <w:t>.</w:t>
      </w:r>
      <w:r w:rsidR="0036003C" w:rsidRPr="00843214">
        <w:rPr>
          <w:color w:val="auto"/>
        </w:rPr>
        <w:t xml:space="preserve"> </w:t>
      </w:r>
      <w:r w:rsidR="0036003C" w:rsidRPr="00843214">
        <w:rPr>
          <w:color w:val="auto"/>
          <w:lang w:val="en-AU"/>
        </w:rPr>
        <w:t>Lessons learned from UN Women’s COVID-19 response will also inform thematic areas</w:t>
      </w:r>
      <w:r w:rsidR="008A331C" w:rsidRPr="00843214">
        <w:rPr>
          <w:color w:val="auto"/>
          <w:lang w:val="en-AU"/>
        </w:rPr>
        <w:t>.</w:t>
      </w:r>
    </w:p>
    <w:p w14:paraId="443D39C5" w14:textId="7C360061" w:rsidR="00AC3BD0" w:rsidRPr="00843214" w:rsidRDefault="00DC7305" w:rsidP="00AC3BD0">
      <w:pPr>
        <w:pStyle w:val="Heading3"/>
        <w:rPr>
          <w:color w:val="auto"/>
          <w:lang w:val="en-AU"/>
        </w:rPr>
      </w:pPr>
      <w:bookmarkStart w:id="70" w:name="_Ref66540961"/>
      <w:bookmarkStart w:id="71" w:name="_Ref66555832"/>
      <w:bookmarkStart w:id="72" w:name="_Toc69376667"/>
      <w:r w:rsidRPr="00843214">
        <w:rPr>
          <w:color w:val="auto"/>
          <w:lang w:val="en-AU"/>
        </w:rPr>
        <w:t>SPF o</w:t>
      </w:r>
      <w:r w:rsidR="00AC3BD0" w:rsidRPr="00843214">
        <w:rPr>
          <w:color w:val="auto"/>
          <w:lang w:val="en-AU"/>
        </w:rPr>
        <w:t>perational arrangements</w:t>
      </w:r>
      <w:bookmarkEnd w:id="70"/>
      <w:bookmarkEnd w:id="71"/>
      <w:bookmarkEnd w:id="72"/>
    </w:p>
    <w:p w14:paraId="79FB765D" w14:textId="0B909CF8" w:rsidR="00685D8A" w:rsidRPr="00843214" w:rsidRDefault="00D1248E" w:rsidP="006B3A35">
      <w:pPr>
        <w:rPr>
          <w:color w:val="auto"/>
          <w:lang w:val="en-AU"/>
        </w:rPr>
      </w:pPr>
      <w:r w:rsidRPr="00843214">
        <w:rPr>
          <w:b/>
          <w:bCs/>
          <w:color w:val="auto"/>
          <w:lang w:val="en-AU"/>
        </w:rPr>
        <w:t xml:space="preserve">Generally, the </w:t>
      </w:r>
      <w:r w:rsidR="00BD147B" w:rsidRPr="00843214">
        <w:rPr>
          <w:b/>
          <w:bCs/>
          <w:color w:val="auto"/>
          <w:lang w:val="en-AU"/>
        </w:rPr>
        <w:t xml:space="preserve">Partnership </w:t>
      </w:r>
      <w:r w:rsidRPr="00843214">
        <w:rPr>
          <w:b/>
          <w:bCs/>
          <w:color w:val="auto"/>
          <w:lang w:val="en-AU"/>
        </w:rPr>
        <w:t>operational arrangements</w:t>
      </w:r>
      <w:r w:rsidR="00BD147B" w:rsidRPr="00843214">
        <w:rPr>
          <w:b/>
          <w:bCs/>
          <w:color w:val="auto"/>
          <w:lang w:val="en-AU"/>
        </w:rPr>
        <w:t xml:space="preserve"> defined in the SPF</w:t>
      </w:r>
      <w:r w:rsidRPr="00843214">
        <w:rPr>
          <w:b/>
          <w:bCs/>
          <w:color w:val="auto"/>
          <w:lang w:val="en-AU"/>
        </w:rPr>
        <w:t xml:space="preserve"> support delivery</w:t>
      </w:r>
      <w:r w:rsidRPr="00843214">
        <w:rPr>
          <w:color w:val="auto"/>
          <w:lang w:val="en-AU"/>
        </w:rPr>
        <w:t xml:space="preserve">. </w:t>
      </w:r>
      <w:r w:rsidR="00BD147B" w:rsidRPr="00843214">
        <w:rPr>
          <w:color w:val="auto"/>
          <w:lang w:val="en-AU"/>
        </w:rPr>
        <w:t xml:space="preserve">These </w:t>
      </w:r>
      <w:r w:rsidR="00AC3BD0" w:rsidRPr="00843214">
        <w:rPr>
          <w:color w:val="auto"/>
          <w:lang w:val="en-AU"/>
        </w:rPr>
        <w:t xml:space="preserve">arrangements </w:t>
      </w:r>
      <w:proofErr w:type="gramStart"/>
      <w:r w:rsidR="00AC3BD0" w:rsidRPr="00843214">
        <w:rPr>
          <w:color w:val="auto"/>
          <w:lang w:val="en-AU"/>
        </w:rPr>
        <w:t>include:</w:t>
      </w:r>
      <w:proofErr w:type="gramEnd"/>
      <w:r w:rsidR="00AC3BD0" w:rsidRPr="00843214">
        <w:rPr>
          <w:color w:val="auto"/>
          <w:lang w:val="en-AU"/>
        </w:rPr>
        <w:t xml:space="preserve"> specified engagement, financial contributions, engagement principles including </w:t>
      </w:r>
      <w:r w:rsidR="001509E9" w:rsidRPr="00843214">
        <w:rPr>
          <w:color w:val="auto"/>
          <w:lang w:val="en-AU"/>
        </w:rPr>
        <w:t xml:space="preserve">public </w:t>
      </w:r>
      <w:r w:rsidR="00AC3BD0" w:rsidRPr="00843214">
        <w:rPr>
          <w:color w:val="auto"/>
          <w:lang w:val="en-AU"/>
        </w:rPr>
        <w:t>visibility</w:t>
      </w:r>
      <w:r w:rsidR="001509E9" w:rsidRPr="00843214">
        <w:rPr>
          <w:color w:val="auto"/>
          <w:lang w:val="en-AU"/>
        </w:rPr>
        <w:t xml:space="preserve"> (branding and publicity) for</w:t>
      </w:r>
      <w:r w:rsidR="00AC3BD0" w:rsidRPr="00843214">
        <w:rPr>
          <w:color w:val="auto"/>
          <w:lang w:val="en-AU"/>
        </w:rPr>
        <w:t xml:space="preserve"> DFAT’s contribution </w:t>
      </w:r>
      <w:r w:rsidR="002A51E1" w:rsidRPr="00843214">
        <w:rPr>
          <w:color w:val="auto"/>
          <w:lang w:val="en-AU"/>
        </w:rPr>
        <w:t>to</w:t>
      </w:r>
      <w:r w:rsidR="00AC3BD0" w:rsidRPr="00843214">
        <w:rPr>
          <w:color w:val="auto"/>
          <w:lang w:val="en-AU"/>
        </w:rPr>
        <w:t xml:space="preserve"> UN Women’s work</w:t>
      </w:r>
      <w:r w:rsidR="001509E9" w:rsidRPr="00843214">
        <w:rPr>
          <w:color w:val="auto"/>
          <w:lang w:val="en-AU"/>
        </w:rPr>
        <w:t>,</w:t>
      </w:r>
      <w:r w:rsidR="00AC3BD0" w:rsidRPr="00843214">
        <w:rPr>
          <w:color w:val="auto"/>
          <w:lang w:val="en-AU"/>
        </w:rPr>
        <w:t xml:space="preserve"> performance reporting</w:t>
      </w:r>
      <w:r w:rsidR="00DC7305" w:rsidRPr="00843214">
        <w:rPr>
          <w:color w:val="auto"/>
          <w:lang w:val="en-AU"/>
        </w:rPr>
        <w:t>, and accounting records</w:t>
      </w:r>
      <w:r w:rsidR="00AC3BD0" w:rsidRPr="00843214">
        <w:rPr>
          <w:color w:val="auto"/>
          <w:lang w:val="en-AU"/>
        </w:rPr>
        <w:t xml:space="preserve">. </w:t>
      </w:r>
    </w:p>
    <w:p w14:paraId="7332A15F" w14:textId="3CDED123" w:rsidR="00AC3BD0" w:rsidRPr="00843214" w:rsidRDefault="00A64B43" w:rsidP="006B3A35">
      <w:pPr>
        <w:rPr>
          <w:color w:val="auto"/>
        </w:rPr>
      </w:pPr>
      <w:r w:rsidRPr="00843214">
        <w:rPr>
          <w:b/>
          <w:bCs/>
          <w:color w:val="auto"/>
        </w:rPr>
        <w:t>Specified e</w:t>
      </w:r>
      <w:r w:rsidR="00AC3BD0" w:rsidRPr="00843214">
        <w:rPr>
          <w:b/>
          <w:bCs/>
          <w:color w:val="auto"/>
        </w:rPr>
        <w:t>ngagement between UN Women and DFAT supports the relationship’s coherence and cohesion</w:t>
      </w:r>
      <w:r w:rsidR="00A2627D" w:rsidRPr="00843214">
        <w:rPr>
          <w:b/>
          <w:bCs/>
          <w:color w:val="auto"/>
        </w:rPr>
        <w:t xml:space="preserve"> </w:t>
      </w:r>
      <w:r w:rsidR="00A2627D" w:rsidRPr="00843214">
        <w:rPr>
          <w:color w:val="auto"/>
        </w:rPr>
        <w:t>(Section 1.3.3)</w:t>
      </w:r>
      <w:r w:rsidR="00AC3BD0" w:rsidRPr="00843214">
        <w:rPr>
          <w:color w:val="auto"/>
        </w:rPr>
        <w:t>.</w:t>
      </w:r>
      <w:r w:rsidR="005379AE" w:rsidRPr="00843214">
        <w:rPr>
          <w:color w:val="auto"/>
        </w:rPr>
        <w:t xml:space="preserve"> </w:t>
      </w:r>
      <w:r w:rsidR="00AC3BD0" w:rsidRPr="00843214">
        <w:rPr>
          <w:b/>
          <w:bCs/>
          <w:color w:val="auto"/>
        </w:rPr>
        <w:t>Financial contributions to core funding support UN Women’s mandate, and flexible and thematic non-core funding supports effective program planning and delivery</w:t>
      </w:r>
      <w:r w:rsidR="00A2627D" w:rsidRPr="00843214">
        <w:rPr>
          <w:color w:val="auto"/>
        </w:rPr>
        <w:t xml:space="preserve"> </w:t>
      </w:r>
      <w:r w:rsidR="00DC7305" w:rsidRPr="00843214">
        <w:rPr>
          <w:color w:val="auto"/>
        </w:rPr>
        <w:t xml:space="preserve">however, they do not support DFAT’s needs for visibility of funding allocation </w:t>
      </w:r>
      <w:r w:rsidR="00A2627D" w:rsidRPr="00843214">
        <w:rPr>
          <w:color w:val="auto"/>
        </w:rPr>
        <w:t>(Section 1.3.4)</w:t>
      </w:r>
      <w:r w:rsidR="00AC3BD0" w:rsidRPr="00843214">
        <w:rPr>
          <w:color w:val="auto"/>
        </w:rPr>
        <w:t>.</w:t>
      </w:r>
    </w:p>
    <w:p w14:paraId="7865A362" w14:textId="6AF7D49A" w:rsidR="00AC3BD0" w:rsidRPr="00843214" w:rsidRDefault="00215B26" w:rsidP="002D780C">
      <w:pPr>
        <w:rPr>
          <w:color w:val="auto"/>
        </w:rPr>
      </w:pPr>
      <w:r w:rsidRPr="00843214">
        <w:rPr>
          <w:b/>
          <w:bCs/>
          <w:color w:val="auto"/>
        </w:rPr>
        <w:t>Both DFAT and UN Women expressed concern</w:t>
      </w:r>
      <w:r w:rsidR="00BD147B" w:rsidRPr="00843214">
        <w:rPr>
          <w:b/>
          <w:bCs/>
          <w:color w:val="auto"/>
        </w:rPr>
        <w:t xml:space="preserve"> and confusion</w:t>
      </w:r>
      <w:r w:rsidRPr="00843214">
        <w:rPr>
          <w:b/>
          <w:bCs/>
          <w:color w:val="auto"/>
        </w:rPr>
        <w:t xml:space="preserve"> relating to </w:t>
      </w:r>
      <w:r w:rsidR="0059283A" w:rsidRPr="00843214">
        <w:rPr>
          <w:b/>
          <w:bCs/>
          <w:color w:val="auto"/>
        </w:rPr>
        <w:t xml:space="preserve">UN Women’s </w:t>
      </w:r>
      <w:r w:rsidRPr="00843214">
        <w:rPr>
          <w:b/>
          <w:bCs/>
          <w:color w:val="auto"/>
        </w:rPr>
        <w:t xml:space="preserve">uneven </w:t>
      </w:r>
      <w:r w:rsidR="00BD147B" w:rsidRPr="00843214">
        <w:rPr>
          <w:b/>
          <w:bCs/>
          <w:color w:val="auto"/>
        </w:rPr>
        <w:t xml:space="preserve">and at times poor </w:t>
      </w:r>
      <w:r w:rsidRPr="00843214">
        <w:rPr>
          <w:b/>
          <w:bCs/>
          <w:color w:val="auto"/>
        </w:rPr>
        <w:t xml:space="preserve">application of the </w:t>
      </w:r>
      <w:r w:rsidR="0059283A" w:rsidRPr="00843214">
        <w:rPr>
          <w:b/>
          <w:bCs/>
          <w:color w:val="auto"/>
        </w:rPr>
        <w:t xml:space="preserve">SPF </w:t>
      </w:r>
      <w:r w:rsidR="001509E9" w:rsidRPr="00843214">
        <w:rPr>
          <w:b/>
          <w:bCs/>
          <w:color w:val="auto"/>
        </w:rPr>
        <w:t xml:space="preserve">public </w:t>
      </w:r>
      <w:r w:rsidRPr="00843214">
        <w:rPr>
          <w:b/>
          <w:bCs/>
          <w:color w:val="auto"/>
        </w:rPr>
        <w:t xml:space="preserve">visibility requirements </w:t>
      </w:r>
      <w:r w:rsidR="001509E9" w:rsidRPr="00843214">
        <w:rPr>
          <w:b/>
          <w:bCs/>
          <w:color w:val="auto"/>
        </w:rPr>
        <w:t>for</w:t>
      </w:r>
      <w:r w:rsidRPr="00843214">
        <w:rPr>
          <w:b/>
          <w:bCs/>
          <w:color w:val="auto"/>
        </w:rPr>
        <w:t xml:space="preserve"> DFAT’s contribution to </w:t>
      </w:r>
      <w:r w:rsidR="001509E9" w:rsidRPr="00843214">
        <w:rPr>
          <w:b/>
          <w:bCs/>
          <w:color w:val="auto"/>
        </w:rPr>
        <w:t>UN Women’s activities and results</w:t>
      </w:r>
      <w:r w:rsidR="00AC3BD0" w:rsidRPr="00843214">
        <w:rPr>
          <w:color w:val="auto"/>
        </w:rPr>
        <w:t>.</w:t>
      </w:r>
      <w:r w:rsidR="00685D8A" w:rsidRPr="00843214">
        <w:rPr>
          <w:color w:val="auto"/>
        </w:rPr>
        <w:t xml:space="preserve"> The current wording in the SPF</w:t>
      </w:r>
      <w:r w:rsidR="00EB6DB6" w:rsidRPr="00843214">
        <w:rPr>
          <w:color w:val="auto"/>
        </w:rPr>
        <w:t xml:space="preserve">, while clear </w:t>
      </w:r>
      <w:r w:rsidR="00430EDA" w:rsidRPr="00843214">
        <w:rPr>
          <w:color w:val="auto"/>
        </w:rPr>
        <w:t xml:space="preserve">enough </w:t>
      </w:r>
      <w:r w:rsidR="00EB6DB6" w:rsidRPr="00843214">
        <w:rPr>
          <w:color w:val="auto"/>
        </w:rPr>
        <w:t>about the expected approach,</w:t>
      </w:r>
      <w:r w:rsidR="00685D8A" w:rsidRPr="00843214">
        <w:rPr>
          <w:color w:val="auto"/>
        </w:rPr>
        <w:t xml:space="preserve"> does not</w:t>
      </w:r>
      <w:r w:rsidRPr="00843214">
        <w:rPr>
          <w:color w:val="auto"/>
        </w:rPr>
        <w:t xml:space="preserve"> sufficiently</w:t>
      </w:r>
      <w:r w:rsidR="00685D8A" w:rsidRPr="00843214">
        <w:rPr>
          <w:color w:val="auto"/>
        </w:rPr>
        <w:t xml:space="preserve"> convey the deep importance for DFAT to ensure visibility</w:t>
      </w:r>
      <w:r w:rsidRPr="00843214">
        <w:rPr>
          <w:color w:val="auto"/>
        </w:rPr>
        <w:t xml:space="preserve"> of their contribution</w:t>
      </w:r>
      <w:r w:rsidR="00685D8A" w:rsidRPr="00843214">
        <w:rPr>
          <w:color w:val="auto"/>
        </w:rPr>
        <w:t xml:space="preserve"> and</w:t>
      </w:r>
      <w:r w:rsidRPr="00843214">
        <w:rPr>
          <w:color w:val="auto"/>
        </w:rPr>
        <w:t xml:space="preserve"> </w:t>
      </w:r>
      <w:r w:rsidR="0059283A" w:rsidRPr="00843214">
        <w:rPr>
          <w:color w:val="auto"/>
        </w:rPr>
        <w:t>is</w:t>
      </w:r>
      <w:r w:rsidRPr="00843214">
        <w:rPr>
          <w:color w:val="auto"/>
        </w:rPr>
        <w:t xml:space="preserve"> not sufficiently prescriptive</w:t>
      </w:r>
      <w:r w:rsidR="00BD147B" w:rsidRPr="00843214">
        <w:rPr>
          <w:color w:val="auto"/>
        </w:rPr>
        <w:t xml:space="preserve"> </w:t>
      </w:r>
      <w:r w:rsidR="00430EDA" w:rsidRPr="00843214">
        <w:rPr>
          <w:color w:val="auto"/>
        </w:rPr>
        <w:t xml:space="preserve">to </w:t>
      </w:r>
      <w:r w:rsidR="0059283A" w:rsidRPr="00843214">
        <w:rPr>
          <w:color w:val="auto"/>
        </w:rPr>
        <w:t>ensure application e.g.,</w:t>
      </w:r>
      <w:r w:rsidRPr="00843214">
        <w:rPr>
          <w:color w:val="auto"/>
        </w:rPr>
        <w:t xml:space="preserve"> ‘wherever appropriate and feasible, attempts will be made to achieve this’</w:t>
      </w:r>
      <w:r w:rsidRPr="00843214">
        <w:rPr>
          <w:rStyle w:val="FootnoteReference"/>
          <w:color w:val="auto"/>
        </w:rPr>
        <w:footnoteReference w:id="94"/>
      </w:r>
      <w:r w:rsidRPr="00843214">
        <w:rPr>
          <w:color w:val="auto"/>
        </w:rPr>
        <w:t xml:space="preserve">. </w:t>
      </w:r>
    </w:p>
    <w:p w14:paraId="51A3B5A6" w14:textId="6DA8764B" w:rsidR="00DC7305" w:rsidRPr="00843214" w:rsidRDefault="00AC3BD0" w:rsidP="002D780C">
      <w:pPr>
        <w:rPr>
          <w:color w:val="auto"/>
        </w:rPr>
      </w:pPr>
      <w:r w:rsidRPr="00843214">
        <w:rPr>
          <w:b/>
          <w:bCs/>
          <w:color w:val="auto"/>
        </w:rPr>
        <w:t xml:space="preserve">Performance reporting requirements </w:t>
      </w:r>
      <w:r w:rsidR="009B1344" w:rsidRPr="00843214">
        <w:rPr>
          <w:b/>
          <w:bCs/>
          <w:color w:val="auto"/>
        </w:rPr>
        <w:t xml:space="preserve">in the SPF </w:t>
      </w:r>
      <w:r w:rsidRPr="00843214">
        <w:rPr>
          <w:b/>
          <w:bCs/>
          <w:color w:val="auto"/>
        </w:rPr>
        <w:t xml:space="preserve">seek to reduce the burden on UN Women, however </w:t>
      </w:r>
      <w:r w:rsidR="00EE29BF" w:rsidRPr="00843214">
        <w:rPr>
          <w:b/>
          <w:bCs/>
          <w:color w:val="auto"/>
        </w:rPr>
        <w:t xml:space="preserve">UN Women’s </w:t>
      </w:r>
      <w:r w:rsidR="00CF41BD" w:rsidRPr="00843214">
        <w:rPr>
          <w:b/>
          <w:bCs/>
          <w:color w:val="auto"/>
        </w:rPr>
        <w:t>reporting on core funding is standardi</w:t>
      </w:r>
      <w:r w:rsidR="00B1032C" w:rsidRPr="00843214">
        <w:rPr>
          <w:b/>
          <w:bCs/>
          <w:color w:val="auto"/>
        </w:rPr>
        <w:t>s</w:t>
      </w:r>
      <w:r w:rsidR="00CF41BD" w:rsidRPr="00843214">
        <w:rPr>
          <w:b/>
          <w:bCs/>
          <w:color w:val="auto"/>
        </w:rPr>
        <w:t xml:space="preserve">ed </w:t>
      </w:r>
      <w:r w:rsidR="00EE29BF" w:rsidRPr="00843214">
        <w:rPr>
          <w:b/>
          <w:bCs/>
          <w:color w:val="auto"/>
        </w:rPr>
        <w:t xml:space="preserve">for all donors and </w:t>
      </w:r>
      <w:r w:rsidR="00CF41BD" w:rsidRPr="00843214">
        <w:rPr>
          <w:b/>
          <w:bCs/>
          <w:color w:val="auto"/>
        </w:rPr>
        <w:t xml:space="preserve">does not </w:t>
      </w:r>
      <w:r w:rsidR="00EE29BF" w:rsidRPr="00843214">
        <w:rPr>
          <w:b/>
          <w:bCs/>
          <w:color w:val="auto"/>
        </w:rPr>
        <w:t>meet</w:t>
      </w:r>
      <w:r w:rsidR="00CF41BD" w:rsidRPr="00843214">
        <w:rPr>
          <w:b/>
          <w:bCs/>
          <w:color w:val="auto"/>
        </w:rPr>
        <w:t xml:space="preserve"> </w:t>
      </w:r>
      <w:r w:rsidRPr="00843214">
        <w:rPr>
          <w:b/>
          <w:bCs/>
          <w:color w:val="auto"/>
        </w:rPr>
        <w:t>DFAT</w:t>
      </w:r>
      <w:r w:rsidR="00CF41BD" w:rsidRPr="00843214">
        <w:rPr>
          <w:b/>
          <w:bCs/>
          <w:color w:val="auto"/>
        </w:rPr>
        <w:t>’s</w:t>
      </w:r>
      <w:r w:rsidR="00685D8A" w:rsidRPr="00843214">
        <w:rPr>
          <w:b/>
          <w:bCs/>
          <w:color w:val="auto"/>
        </w:rPr>
        <w:t xml:space="preserve"> </w:t>
      </w:r>
      <w:r w:rsidRPr="00843214">
        <w:rPr>
          <w:b/>
          <w:bCs/>
          <w:color w:val="auto"/>
        </w:rPr>
        <w:t>need for targeted reporting</w:t>
      </w:r>
      <w:r w:rsidR="00CF41BD" w:rsidRPr="00843214">
        <w:rPr>
          <w:b/>
          <w:bCs/>
          <w:color w:val="auto"/>
        </w:rPr>
        <w:t xml:space="preserve"> on</w:t>
      </w:r>
      <w:r w:rsidR="001509E9" w:rsidRPr="00843214">
        <w:rPr>
          <w:b/>
          <w:bCs/>
          <w:color w:val="auto"/>
        </w:rPr>
        <w:t xml:space="preserve"> expenditure and</w:t>
      </w:r>
      <w:r w:rsidR="00CF41BD" w:rsidRPr="00843214">
        <w:rPr>
          <w:b/>
          <w:bCs/>
          <w:color w:val="auto"/>
        </w:rPr>
        <w:t xml:space="preserve"> use of core </w:t>
      </w:r>
      <w:r w:rsidR="001509E9" w:rsidRPr="00843214">
        <w:rPr>
          <w:b/>
          <w:bCs/>
          <w:color w:val="auto"/>
        </w:rPr>
        <w:t>funding</w:t>
      </w:r>
      <w:r w:rsidR="00CF41BD" w:rsidRPr="00843214">
        <w:rPr>
          <w:b/>
          <w:bCs/>
          <w:color w:val="auto"/>
        </w:rPr>
        <w:t xml:space="preserve"> in Indo-Pacific countries</w:t>
      </w:r>
      <w:r w:rsidR="00B33969" w:rsidRPr="00843214">
        <w:rPr>
          <w:color w:val="auto"/>
        </w:rPr>
        <w:t xml:space="preserve"> </w:t>
      </w:r>
      <w:r w:rsidR="008E5C1D" w:rsidRPr="00843214">
        <w:rPr>
          <w:b/>
          <w:bCs/>
          <w:color w:val="auto"/>
        </w:rPr>
        <w:t xml:space="preserve">to </w:t>
      </w:r>
      <w:r w:rsidR="00B33969" w:rsidRPr="00843214">
        <w:rPr>
          <w:b/>
          <w:bCs/>
          <w:color w:val="auto"/>
        </w:rPr>
        <w:t>justify Australia’s contributions</w:t>
      </w:r>
      <w:r w:rsidR="00B33969" w:rsidRPr="00843214">
        <w:rPr>
          <w:color w:val="auto"/>
        </w:rPr>
        <w:t xml:space="preserve">. </w:t>
      </w:r>
      <w:r w:rsidRPr="00843214">
        <w:rPr>
          <w:b/>
          <w:bCs/>
          <w:color w:val="auto"/>
        </w:rPr>
        <w:t xml:space="preserve">UN Women at times noted a program reporting burden </w:t>
      </w:r>
      <w:r w:rsidRPr="00843214">
        <w:rPr>
          <w:color w:val="auto"/>
        </w:rPr>
        <w:t>– particularly for smaller programs</w:t>
      </w:r>
      <w:r w:rsidR="00996A8B" w:rsidRPr="00843214">
        <w:rPr>
          <w:color w:val="auto"/>
        </w:rPr>
        <w:t xml:space="preserve"> with multiple funders</w:t>
      </w:r>
      <w:r w:rsidRPr="00843214">
        <w:rPr>
          <w:color w:val="auto"/>
        </w:rPr>
        <w:t xml:space="preserve">. </w:t>
      </w:r>
      <w:r w:rsidR="00BD5384" w:rsidRPr="00843214">
        <w:rPr>
          <w:color w:val="auto"/>
        </w:rPr>
        <w:t xml:space="preserve">DFAT requires both program financial and performance reporting but </w:t>
      </w:r>
      <w:r w:rsidR="009D6035" w:rsidRPr="00843214">
        <w:rPr>
          <w:color w:val="auto"/>
        </w:rPr>
        <w:t xml:space="preserve">for UN Women </w:t>
      </w:r>
      <w:r w:rsidR="00BD5384" w:rsidRPr="00843214">
        <w:rPr>
          <w:color w:val="auto"/>
        </w:rPr>
        <w:t>the reporting is often not in isolation. For example, a Pacific program in 2020 had four donors with three different reporting requirements</w:t>
      </w:r>
      <w:r w:rsidR="00A2627D" w:rsidRPr="00843214">
        <w:rPr>
          <w:color w:val="auto"/>
        </w:rPr>
        <w:t xml:space="preserve"> and</w:t>
      </w:r>
      <w:r w:rsidR="00BD5384" w:rsidRPr="00843214">
        <w:rPr>
          <w:color w:val="auto"/>
        </w:rPr>
        <w:t xml:space="preserve"> DFAT reporting involved three reports per year (two six monthly reports and </w:t>
      </w:r>
      <w:r w:rsidR="008B6B3B" w:rsidRPr="00843214">
        <w:rPr>
          <w:color w:val="auto"/>
        </w:rPr>
        <w:t>one</w:t>
      </w:r>
      <w:r w:rsidR="00BD5384" w:rsidRPr="00843214">
        <w:rPr>
          <w:color w:val="auto"/>
        </w:rPr>
        <w:t xml:space="preserve"> annual report).</w:t>
      </w:r>
      <w:r w:rsidR="00A2627D" w:rsidRPr="00843214">
        <w:rPr>
          <w:color w:val="auto"/>
        </w:rPr>
        <w:t xml:space="preserve"> UN</w:t>
      </w:r>
      <w:r w:rsidR="00D44E73" w:rsidRPr="00843214">
        <w:rPr>
          <w:color w:val="auto"/>
        </w:rPr>
        <w:t xml:space="preserve"> </w:t>
      </w:r>
      <w:r w:rsidR="00A2627D" w:rsidRPr="00843214">
        <w:rPr>
          <w:color w:val="auto"/>
        </w:rPr>
        <w:t>W</w:t>
      </w:r>
      <w:r w:rsidR="00D44E73" w:rsidRPr="00843214">
        <w:rPr>
          <w:color w:val="auto"/>
        </w:rPr>
        <w:t>omen</w:t>
      </w:r>
      <w:r w:rsidR="00A2627D" w:rsidRPr="00843214">
        <w:rPr>
          <w:color w:val="auto"/>
        </w:rPr>
        <w:t xml:space="preserve"> in PNG report to three different divisions in DFAT, all of which have different and separate reporting requirements for three relatively small programs. </w:t>
      </w:r>
      <w:r w:rsidR="0060311E" w:rsidRPr="00843214">
        <w:rPr>
          <w:b/>
          <w:bCs/>
          <w:color w:val="auto"/>
        </w:rPr>
        <w:t xml:space="preserve">The SPF requires </w:t>
      </w:r>
      <w:r w:rsidR="00DC7305" w:rsidRPr="00843214">
        <w:rPr>
          <w:b/>
          <w:bCs/>
          <w:color w:val="auto"/>
        </w:rPr>
        <w:t>UN Women to maintain accounting records</w:t>
      </w:r>
      <w:r w:rsidR="0060311E" w:rsidRPr="00843214">
        <w:rPr>
          <w:b/>
          <w:bCs/>
          <w:color w:val="auto"/>
        </w:rPr>
        <w:t xml:space="preserve"> aligned with UN Women regulation and rules, for which project-level performance and communication of budget information </w:t>
      </w:r>
      <w:r w:rsidR="009D6035" w:rsidRPr="00843214">
        <w:rPr>
          <w:b/>
          <w:bCs/>
          <w:color w:val="auto"/>
        </w:rPr>
        <w:t>could be improved</w:t>
      </w:r>
      <w:r w:rsidR="0060311E" w:rsidRPr="00843214">
        <w:rPr>
          <w:color w:val="auto"/>
        </w:rPr>
        <w:t xml:space="preserve"> (see </w:t>
      </w:r>
      <w:r w:rsidR="00DC7305" w:rsidRPr="00843214">
        <w:rPr>
          <w:color w:val="auto"/>
        </w:rPr>
        <w:t>Section 1.3.5</w:t>
      </w:r>
      <w:r w:rsidR="0060311E" w:rsidRPr="00843214">
        <w:rPr>
          <w:color w:val="auto"/>
        </w:rPr>
        <w:t xml:space="preserve">). The SPF Performance objective mentions </w:t>
      </w:r>
      <w:r w:rsidR="00070F81" w:rsidRPr="00843214">
        <w:rPr>
          <w:color w:val="auto"/>
        </w:rPr>
        <w:t>Value for Money (</w:t>
      </w:r>
      <w:r w:rsidR="0060311E" w:rsidRPr="00843214">
        <w:rPr>
          <w:color w:val="auto"/>
        </w:rPr>
        <w:t>VfM</w:t>
      </w:r>
      <w:r w:rsidR="00070F81" w:rsidRPr="00843214">
        <w:rPr>
          <w:color w:val="auto"/>
        </w:rPr>
        <w:t>)</w:t>
      </w:r>
      <w:r w:rsidR="0060311E" w:rsidRPr="00843214">
        <w:rPr>
          <w:color w:val="auto"/>
        </w:rPr>
        <w:t xml:space="preserve"> and fiduciary risk management, but </w:t>
      </w:r>
      <w:r w:rsidR="00C0603A" w:rsidRPr="00843214">
        <w:rPr>
          <w:color w:val="auto"/>
        </w:rPr>
        <w:t xml:space="preserve">not </w:t>
      </w:r>
      <w:r w:rsidR="0060311E" w:rsidRPr="00843214">
        <w:rPr>
          <w:color w:val="auto"/>
        </w:rPr>
        <w:t>project-level budget requirements</w:t>
      </w:r>
      <w:r w:rsidR="00C0603A" w:rsidRPr="00843214">
        <w:rPr>
          <w:color w:val="auto"/>
        </w:rPr>
        <w:t xml:space="preserve">. </w:t>
      </w:r>
    </w:p>
    <w:p w14:paraId="3C641516" w14:textId="77777777" w:rsidR="00AC3BD0" w:rsidRPr="00843214" w:rsidRDefault="00AC3BD0" w:rsidP="00AC3BD0">
      <w:pPr>
        <w:pStyle w:val="Heading3"/>
        <w:rPr>
          <w:color w:val="auto"/>
          <w:lang w:val="en-AU"/>
        </w:rPr>
      </w:pPr>
      <w:bookmarkStart w:id="73" w:name="_Ref66555859"/>
      <w:bookmarkStart w:id="74" w:name="_Ref66612665"/>
      <w:bookmarkStart w:id="75" w:name="_Toc69376668"/>
      <w:r w:rsidRPr="00843214">
        <w:rPr>
          <w:color w:val="auto"/>
          <w:lang w:val="en-AU"/>
        </w:rPr>
        <w:t>Relationship</w:t>
      </w:r>
      <w:bookmarkEnd w:id="73"/>
      <w:bookmarkEnd w:id="74"/>
      <w:bookmarkEnd w:id="75"/>
    </w:p>
    <w:p w14:paraId="6689C196" w14:textId="77777777" w:rsidR="00AC3BD0" w:rsidRPr="00843214" w:rsidRDefault="00AC3BD0" w:rsidP="00B32A16">
      <w:pPr>
        <w:pStyle w:val="Heading4"/>
        <w:rPr>
          <w:b/>
          <w:bCs/>
          <w:color w:val="auto"/>
          <w:sz w:val="25"/>
          <w:szCs w:val="32"/>
          <w:lang w:val="en-AU"/>
        </w:rPr>
      </w:pPr>
      <w:r w:rsidRPr="00843214">
        <w:rPr>
          <w:b/>
          <w:bCs/>
          <w:color w:val="auto"/>
          <w:sz w:val="25"/>
          <w:szCs w:val="32"/>
          <w:lang w:val="en-AU"/>
        </w:rPr>
        <w:t>Multifaceted relationship</w:t>
      </w:r>
    </w:p>
    <w:p w14:paraId="70E59790" w14:textId="58FAF364" w:rsidR="00AC3BD0" w:rsidRPr="00843214" w:rsidRDefault="00AC3BD0" w:rsidP="002A51E1">
      <w:pPr>
        <w:rPr>
          <w:color w:val="auto"/>
          <w:lang w:val="en-AU"/>
        </w:rPr>
      </w:pPr>
      <w:r w:rsidRPr="00843214">
        <w:rPr>
          <w:b/>
          <w:bCs/>
          <w:color w:val="auto"/>
          <w:lang w:val="en-AU"/>
        </w:rPr>
        <w:t xml:space="preserve">The Partnership operates across multiple levels: HQ, regional, country, </w:t>
      </w:r>
      <w:r w:rsidR="00E43A84" w:rsidRPr="00843214">
        <w:rPr>
          <w:b/>
          <w:bCs/>
          <w:color w:val="auto"/>
          <w:lang w:val="en-AU"/>
        </w:rPr>
        <w:t xml:space="preserve">and </w:t>
      </w:r>
      <w:r w:rsidRPr="00843214">
        <w:rPr>
          <w:b/>
          <w:bCs/>
          <w:color w:val="auto"/>
          <w:lang w:val="en-AU"/>
        </w:rPr>
        <w:t xml:space="preserve">through </w:t>
      </w:r>
      <w:r w:rsidR="00503E8D" w:rsidRPr="00843214">
        <w:rPr>
          <w:b/>
          <w:bCs/>
          <w:color w:val="auto"/>
          <w:lang w:val="en-AU"/>
        </w:rPr>
        <w:t>program</w:t>
      </w:r>
      <w:r w:rsidRPr="00843214">
        <w:rPr>
          <w:b/>
          <w:bCs/>
          <w:color w:val="auto"/>
          <w:lang w:val="en-AU"/>
        </w:rPr>
        <w:t>-based or Fund-specific</w:t>
      </w:r>
      <w:r w:rsidR="00E43A84" w:rsidRPr="00843214">
        <w:rPr>
          <w:b/>
          <w:bCs/>
          <w:color w:val="auto"/>
          <w:lang w:val="en-AU"/>
        </w:rPr>
        <w:t xml:space="preserve"> mechanisms</w:t>
      </w:r>
      <w:r w:rsidR="002A51E1" w:rsidRPr="00843214">
        <w:rPr>
          <w:b/>
          <w:bCs/>
          <w:color w:val="auto"/>
          <w:lang w:val="en-AU"/>
        </w:rPr>
        <w:t>, w</w:t>
      </w:r>
      <w:r w:rsidRPr="00843214">
        <w:rPr>
          <w:b/>
          <w:bCs/>
          <w:color w:val="auto"/>
          <w:lang w:val="en-AU"/>
        </w:rPr>
        <w:t>hile generally perceived as both positive and constructive there is some variation in the level of engagement and alignment across partnership settings and fora which appears to be context-specific and, at times, personality driven</w:t>
      </w:r>
      <w:r w:rsidRPr="00843214">
        <w:rPr>
          <w:color w:val="auto"/>
          <w:lang w:val="en-AU"/>
        </w:rPr>
        <w:t>. At its best, the Partnership is characterised by a high level of professionalism, fluid communication, and flexibility on both sides. Where it is more challenging, the Partnership suffers from overly stretched staffing on UN Women’s side</w:t>
      </w:r>
      <w:r w:rsidR="00B33969" w:rsidRPr="00843214">
        <w:rPr>
          <w:color w:val="auto"/>
          <w:lang w:val="en-AU"/>
        </w:rPr>
        <w:t xml:space="preserve"> and</w:t>
      </w:r>
      <w:r w:rsidRPr="00843214">
        <w:rPr>
          <w:color w:val="auto"/>
          <w:lang w:val="en-AU"/>
        </w:rPr>
        <w:t xml:space="preserve"> difficulty responding to DFAT’s requests</w:t>
      </w:r>
      <w:r w:rsidR="00B33969" w:rsidRPr="00843214">
        <w:rPr>
          <w:color w:val="auto"/>
          <w:lang w:val="en-AU"/>
        </w:rPr>
        <w:t>.</w:t>
      </w:r>
    </w:p>
    <w:p w14:paraId="1954730D" w14:textId="6E74C6B0" w:rsidR="00E23059" w:rsidRPr="00843214" w:rsidRDefault="00A36819" w:rsidP="002A51E1">
      <w:pPr>
        <w:rPr>
          <w:color w:val="auto"/>
          <w:lang w:val="en-AU"/>
        </w:rPr>
      </w:pPr>
      <w:r w:rsidRPr="00843214">
        <w:rPr>
          <w:b/>
          <w:bCs/>
          <w:color w:val="auto"/>
        </w:rPr>
        <w:t>Collaboration and communication, both in substance and frequency, are often strong</w:t>
      </w:r>
      <w:r w:rsidR="008D74C8" w:rsidRPr="00843214">
        <w:rPr>
          <w:b/>
          <w:bCs/>
          <w:color w:val="auto"/>
        </w:rPr>
        <w:t xml:space="preserve"> though h</w:t>
      </w:r>
      <w:r w:rsidR="008D74C8" w:rsidRPr="00843214">
        <w:rPr>
          <w:b/>
          <w:bCs/>
          <w:color w:val="auto"/>
          <w:lang w:val="en-AU"/>
        </w:rPr>
        <w:t xml:space="preserve">igh staff turnover at both DFAT and UN Women </w:t>
      </w:r>
      <w:r w:rsidR="00140EC8" w:rsidRPr="00843214">
        <w:rPr>
          <w:b/>
          <w:bCs/>
          <w:color w:val="auto"/>
          <w:lang w:val="en-AU"/>
        </w:rPr>
        <w:t>can</w:t>
      </w:r>
      <w:r w:rsidR="008D74C8" w:rsidRPr="00843214">
        <w:rPr>
          <w:b/>
          <w:bCs/>
          <w:color w:val="auto"/>
          <w:lang w:val="en-AU"/>
        </w:rPr>
        <w:t xml:space="preserve"> constrain effective delivery.</w:t>
      </w:r>
      <w:r w:rsidR="008D74C8" w:rsidRPr="00843214">
        <w:rPr>
          <w:color w:val="auto"/>
          <w:lang w:val="en-AU"/>
        </w:rPr>
        <w:t xml:space="preserve"> </w:t>
      </w:r>
      <w:r w:rsidRPr="00843214">
        <w:rPr>
          <w:color w:val="auto"/>
        </w:rPr>
        <w:t xml:space="preserve">Post is noted as both having strong program communications and </w:t>
      </w:r>
      <w:r w:rsidR="00812C1D" w:rsidRPr="00843214">
        <w:rPr>
          <w:color w:val="auto"/>
        </w:rPr>
        <w:t>offers</w:t>
      </w:r>
      <w:r w:rsidRPr="00843214">
        <w:rPr>
          <w:color w:val="auto"/>
        </w:rPr>
        <w:t xml:space="preserve"> opportunity for UN Women to strengthen dialogue, information sharing and collaboration with DFAT’s bilateral program. Where communication is less strong</w:t>
      </w:r>
      <w:r w:rsidR="00970ACA" w:rsidRPr="00843214">
        <w:rPr>
          <w:color w:val="auto"/>
        </w:rPr>
        <w:t xml:space="preserve"> or requires more </w:t>
      </w:r>
      <w:proofErr w:type="gramStart"/>
      <w:r w:rsidR="00970ACA" w:rsidRPr="00843214">
        <w:rPr>
          <w:color w:val="auto"/>
        </w:rPr>
        <w:t>effort</w:t>
      </w:r>
      <w:proofErr w:type="gramEnd"/>
      <w:r w:rsidRPr="00843214">
        <w:rPr>
          <w:color w:val="auto"/>
        </w:rPr>
        <w:t xml:space="preserve"> it is generally linked to</w:t>
      </w:r>
      <w:r w:rsidR="009770C5" w:rsidRPr="00843214">
        <w:rPr>
          <w:color w:val="auto"/>
        </w:rPr>
        <w:t xml:space="preserve"> </w:t>
      </w:r>
      <w:r w:rsidR="009770C5" w:rsidRPr="00843214">
        <w:rPr>
          <w:color w:val="auto"/>
        </w:rPr>
        <w:lastRenderedPageBreak/>
        <w:t>distance and a disconnect between HQ and field,</w:t>
      </w:r>
      <w:r w:rsidRPr="00843214">
        <w:rPr>
          <w:color w:val="auto"/>
        </w:rPr>
        <w:t xml:space="preserve"> staffing constraints or</w:t>
      </w:r>
      <w:r w:rsidR="00D556FC" w:rsidRPr="00843214">
        <w:rPr>
          <w:color w:val="auto"/>
        </w:rPr>
        <w:t xml:space="preserve"> staff</w:t>
      </w:r>
      <w:r w:rsidRPr="00843214">
        <w:rPr>
          <w:color w:val="auto"/>
        </w:rPr>
        <w:t xml:space="preserve"> turnover (rather than any relationship issues). DFAT’s flexible and trusting support has enabled UN Women to respond effectively to COVID-19.</w:t>
      </w:r>
      <w:r w:rsidR="009B2A43" w:rsidRPr="00843214">
        <w:rPr>
          <w:color w:val="auto"/>
        </w:rPr>
        <w:t xml:space="preserve"> </w:t>
      </w:r>
    </w:p>
    <w:p w14:paraId="32F471C4" w14:textId="77777777" w:rsidR="00AC3BD0" w:rsidRPr="00843214" w:rsidRDefault="00AC3BD0" w:rsidP="00AC3BD0">
      <w:pPr>
        <w:pStyle w:val="Heading4"/>
        <w:rPr>
          <w:b/>
          <w:bCs/>
          <w:color w:val="auto"/>
          <w:sz w:val="25"/>
          <w:szCs w:val="32"/>
          <w:lang w:val="en-AU"/>
        </w:rPr>
      </w:pPr>
      <w:r w:rsidRPr="00843214">
        <w:rPr>
          <w:b/>
          <w:bCs/>
          <w:color w:val="auto"/>
          <w:sz w:val="25"/>
          <w:szCs w:val="32"/>
          <w:lang w:val="en-AU"/>
        </w:rPr>
        <w:t>DFAT partner characteristics</w:t>
      </w:r>
    </w:p>
    <w:p w14:paraId="253CAB58" w14:textId="3C5A7329" w:rsidR="00701752" w:rsidRPr="00843214" w:rsidRDefault="00AC3BD0" w:rsidP="00701752">
      <w:pPr>
        <w:rPr>
          <w:color w:val="auto"/>
          <w:lang w:val="en-AU"/>
        </w:rPr>
      </w:pPr>
      <w:r w:rsidRPr="00843214">
        <w:rPr>
          <w:b/>
          <w:bCs/>
          <w:color w:val="auto"/>
          <w:lang w:val="en-AU"/>
        </w:rPr>
        <w:t>DFAT is a long-term partner</w:t>
      </w:r>
      <w:r w:rsidR="00C11953" w:rsidRPr="00843214">
        <w:rPr>
          <w:b/>
          <w:bCs/>
          <w:color w:val="auto"/>
          <w:lang w:val="en-AU"/>
        </w:rPr>
        <w:t xml:space="preserve"> with a clear focus on the Indo-Pacific</w:t>
      </w:r>
      <w:r w:rsidRPr="00843214">
        <w:rPr>
          <w:color w:val="auto"/>
          <w:lang w:val="en-AU"/>
        </w:rPr>
        <w:t xml:space="preserve">. UN Women, and civil society partners coincide on their esteem and appreciation for DFAT’s long-term financing through multi-year non-earmarked funding as well as multi-year project funding. In contrast to other donors that operate in annual planning cycles, DFAT’s commitment to providing multi-year financing enables better planning and programmatic consistency. </w:t>
      </w:r>
      <w:r w:rsidR="00701752" w:rsidRPr="00843214">
        <w:rPr>
          <w:color w:val="auto"/>
          <w:lang w:val="en-AU"/>
        </w:rPr>
        <w:t>The political, economic, and development impetus for fo</w:t>
      </w:r>
      <w:r w:rsidR="00C11953" w:rsidRPr="00843214">
        <w:rPr>
          <w:color w:val="auto"/>
          <w:lang w:val="en-AU"/>
        </w:rPr>
        <w:t>cusing</w:t>
      </w:r>
      <w:r w:rsidR="00701752" w:rsidRPr="00843214">
        <w:rPr>
          <w:color w:val="auto"/>
          <w:lang w:val="en-AU"/>
        </w:rPr>
        <w:t xml:space="preserve"> on the Indo-Pacific is </w:t>
      </w:r>
      <w:r w:rsidR="00C11953" w:rsidRPr="00843214">
        <w:rPr>
          <w:color w:val="auto"/>
          <w:lang w:val="en-AU"/>
        </w:rPr>
        <w:t xml:space="preserve">evident and </w:t>
      </w:r>
      <w:r w:rsidR="00701752" w:rsidRPr="00843214">
        <w:rPr>
          <w:color w:val="auto"/>
          <w:lang w:val="en-AU"/>
        </w:rPr>
        <w:t>well-communicated to partners. This presents an opportunity to focus on issues facing the Indo-Pacific to receive funding and a challenge for UN Women to pursue an appropriate balance between its global and regional programming.</w:t>
      </w:r>
    </w:p>
    <w:p w14:paraId="628608A4" w14:textId="218CCD6B" w:rsidR="00701752" w:rsidRPr="00843214" w:rsidRDefault="00701752" w:rsidP="00701752">
      <w:pPr>
        <w:rPr>
          <w:color w:val="auto"/>
          <w:lang w:val="en-AU"/>
        </w:rPr>
      </w:pPr>
      <w:r w:rsidRPr="00843214">
        <w:rPr>
          <w:b/>
          <w:bCs/>
          <w:color w:val="auto"/>
          <w:lang w:val="en-AU"/>
        </w:rPr>
        <w:t>As a development agency and donor, DFAT are leaders in the field of GEWE.</w:t>
      </w:r>
      <w:r w:rsidRPr="00843214">
        <w:rPr>
          <w:color w:val="auto"/>
          <w:lang w:val="en-AU"/>
        </w:rPr>
        <w:t xml:space="preserve"> UN Women appreciates DFAT’s prioritisation and leadership on GEWE on the global and regional stage. DFAT’s sophisticated understanding of gender issues, and its ability to promote gender in multilateral fora is well-recognised. </w:t>
      </w:r>
      <w:r w:rsidRPr="00843214">
        <w:rPr>
          <w:b/>
          <w:bCs/>
          <w:color w:val="auto"/>
          <w:lang w:val="en-AU"/>
        </w:rPr>
        <w:t>DFAT provides political leveraging and support but the nature of DFAT means that development decisions can also be politically driven.</w:t>
      </w:r>
      <w:r w:rsidR="00CF41BD" w:rsidRPr="00843214">
        <w:rPr>
          <w:b/>
          <w:bCs/>
          <w:color w:val="auto"/>
          <w:lang w:val="en-AU"/>
        </w:rPr>
        <w:t xml:space="preserve"> </w:t>
      </w:r>
      <w:r w:rsidR="00CF41BD" w:rsidRPr="00843214">
        <w:rPr>
          <w:color w:val="auto"/>
          <w:lang w:val="en-AU"/>
        </w:rPr>
        <w:t xml:space="preserve">For example, DFAT has brought broad government support to the </w:t>
      </w:r>
      <w:r w:rsidRPr="00843214">
        <w:rPr>
          <w:color w:val="auto"/>
          <w:lang w:val="en-AU"/>
        </w:rPr>
        <w:t>Markets for Change program</w:t>
      </w:r>
      <w:r w:rsidR="00CF41BD" w:rsidRPr="00843214">
        <w:rPr>
          <w:color w:val="auto"/>
          <w:lang w:val="en-AU"/>
        </w:rPr>
        <w:t xml:space="preserve"> where there is significant cross-cutting political support, while on the other hand, DFAT has not placed the same level of emphasis on climate change which significantly affects Pacific countries but is more politically sensitive for DFAT. </w:t>
      </w:r>
    </w:p>
    <w:p w14:paraId="516DBFDB" w14:textId="64681191" w:rsidR="00E70D0A" w:rsidRPr="00843214" w:rsidRDefault="00AC3BD0" w:rsidP="00701752">
      <w:pPr>
        <w:rPr>
          <w:color w:val="auto"/>
          <w:lang w:val="en-AU"/>
        </w:rPr>
      </w:pPr>
      <w:bookmarkStart w:id="76" w:name="_Hlk67577585"/>
      <w:r w:rsidRPr="00843214">
        <w:rPr>
          <w:b/>
          <w:bCs/>
          <w:color w:val="auto"/>
          <w:lang w:val="en-AU"/>
        </w:rPr>
        <w:t>DFAT is an engaged, constructive partner</w:t>
      </w:r>
      <w:r w:rsidR="000A5292" w:rsidRPr="00843214">
        <w:rPr>
          <w:b/>
          <w:bCs/>
          <w:color w:val="auto"/>
          <w:lang w:val="en-AU"/>
        </w:rPr>
        <w:t xml:space="preserve"> with higher reporting expectations than other donors</w:t>
      </w:r>
      <w:r w:rsidRPr="00843214">
        <w:rPr>
          <w:b/>
          <w:bCs/>
          <w:color w:val="auto"/>
          <w:lang w:val="en-AU"/>
        </w:rPr>
        <w:t>.</w:t>
      </w:r>
      <w:r w:rsidRPr="00843214">
        <w:rPr>
          <w:color w:val="auto"/>
          <w:lang w:val="en-AU"/>
        </w:rPr>
        <w:t xml:space="preserve"> DFAT is not just a donor, but a partner. </w:t>
      </w:r>
      <w:r w:rsidR="00E35972" w:rsidRPr="00843214">
        <w:rPr>
          <w:color w:val="auto"/>
          <w:lang w:val="en-AU"/>
        </w:rPr>
        <w:t xml:space="preserve">DFAT’s strongest partner engagement is at HQ and country level. </w:t>
      </w:r>
      <w:r w:rsidRPr="00843214">
        <w:rPr>
          <w:color w:val="auto"/>
          <w:lang w:val="en-AU"/>
        </w:rPr>
        <w:t xml:space="preserve">DFAT is highly engaged throughout the funding and </w:t>
      </w:r>
      <w:r w:rsidR="00503E8D" w:rsidRPr="00843214">
        <w:rPr>
          <w:color w:val="auto"/>
          <w:lang w:val="en-AU"/>
        </w:rPr>
        <w:t>program</w:t>
      </w:r>
      <w:r w:rsidRPr="00843214">
        <w:rPr>
          <w:color w:val="auto"/>
          <w:lang w:val="en-AU"/>
        </w:rPr>
        <w:t xml:space="preserve"> design process. </w:t>
      </w:r>
      <w:r w:rsidR="008664D3" w:rsidRPr="00843214">
        <w:rPr>
          <w:color w:val="auto"/>
          <w:lang w:val="en-AU"/>
        </w:rPr>
        <w:t xml:space="preserve">DFAT Post and Canberra </w:t>
      </w:r>
      <w:r w:rsidR="000A5292" w:rsidRPr="00843214">
        <w:rPr>
          <w:color w:val="auto"/>
          <w:lang w:val="en-AU"/>
        </w:rPr>
        <w:t xml:space="preserve">can </w:t>
      </w:r>
      <w:r w:rsidR="008664D3" w:rsidRPr="00843214">
        <w:rPr>
          <w:color w:val="auto"/>
          <w:lang w:val="en-AU"/>
        </w:rPr>
        <w:t xml:space="preserve">require different </w:t>
      </w:r>
      <w:r w:rsidR="00B33969" w:rsidRPr="00843214">
        <w:rPr>
          <w:color w:val="auto"/>
          <w:lang w:val="en-AU"/>
        </w:rPr>
        <w:t>styles</w:t>
      </w:r>
      <w:r w:rsidR="008664D3" w:rsidRPr="00843214">
        <w:rPr>
          <w:color w:val="auto"/>
          <w:lang w:val="en-AU"/>
        </w:rPr>
        <w:t xml:space="preserve"> of communication</w:t>
      </w:r>
      <w:r w:rsidR="00B33969" w:rsidRPr="00843214">
        <w:rPr>
          <w:color w:val="auto"/>
          <w:lang w:val="en-AU"/>
        </w:rPr>
        <w:t xml:space="preserve"> due to distance</w:t>
      </w:r>
      <w:r w:rsidR="008664D3" w:rsidRPr="00843214">
        <w:rPr>
          <w:color w:val="auto"/>
          <w:lang w:val="en-AU"/>
        </w:rPr>
        <w:t xml:space="preserve">. </w:t>
      </w:r>
      <w:r w:rsidR="00E70D0A" w:rsidRPr="00843214">
        <w:rPr>
          <w:color w:val="auto"/>
          <w:lang w:val="en-AU"/>
        </w:rPr>
        <w:t xml:space="preserve">UN Women notes that </w:t>
      </w:r>
      <w:r w:rsidRPr="00843214">
        <w:rPr>
          <w:color w:val="auto"/>
          <w:lang w:val="en-AU"/>
        </w:rPr>
        <w:t xml:space="preserve">DFAT’s </w:t>
      </w:r>
      <w:r w:rsidR="004477EF" w:rsidRPr="00843214">
        <w:rPr>
          <w:color w:val="auto"/>
          <w:lang w:val="en-AU"/>
        </w:rPr>
        <w:t xml:space="preserve">program </w:t>
      </w:r>
      <w:r w:rsidRPr="00843214">
        <w:rPr>
          <w:color w:val="auto"/>
          <w:lang w:val="en-AU"/>
        </w:rPr>
        <w:t xml:space="preserve">reporting requirements </w:t>
      </w:r>
      <w:r w:rsidR="007943BE" w:rsidRPr="00843214">
        <w:rPr>
          <w:color w:val="auto"/>
          <w:lang w:val="en-AU"/>
        </w:rPr>
        <w:t xml:space="preserve">are </w:t>
      </w:r>
      <w:r w:rsidRPr="00843214">
        <w:rPr>
          <w:color w:val="auto"/>
          <w:lang w:val="en-AU"/>
        </w:rPr>
        <w:t xml:space="preserve">more exhaustive than other partners </w:t>
      </w:r>
      <w:r w:rsidR="004477EF" w:rsidRPr="00843214">
        <w:rPr>
          <w:color w:val="auto"/>
          <w:lang w:val="en-AU"/>
        </w:rPr>
        <w:t xml:space="preserve">(for example, the requirement for six-monthly reports) </w:t>
      </w:r>
      <w:r w:rsidRPr="00843214">
        <w:rPr>
          <w:color w:val="auto"/>
          <w:lang w:val="en-AU"/>
        </w:rPr>
        <w:t>and</w:t>
      </w:r>
      <w:r w:rsidR="00E70D0A" w:rsidRPr="00843214">
        <w:rPr>
          <w:color w:val="auto"/>
          <w:lang w:val="en-AU"/>
        </w:rPr>
        <w:t xml:space="preserve"> among donors this need </w:t>
      </w:r>
      <w:r w:rsidR="007943BE" w:rsidRPr="00843214">
        <w:rPr>
          <w:color w:val="auto"/>
          <w:lang w:val="en-AU"/>
        </w:rPr>
        <w:t xml:space="preserve">for 6-monthly reports </w:t>
      </w:r>
      <w:r w:rsidR="00E70D0A" w:rsidRPr="00843214">
        <w:rPr>
          <w:color w:val="auto"/>
          <w:lang w:val="en-AU"/>
        </w:rPr>
        <w:t xml:space="preserve">is </w:t>
      </w:r>
      <w:r w:rsidR="00F514E6" w:rsidRPr="00843214">
        <w:rPr>
          <w:color w:val="auto"/>
          <w:lang w:val="en-AU"/>
        </w:rPr>
        <w:t>paralleled</w:t>
      </w:r>
      <w:r w:rsidR="00E70D0A" w:rsidRPr="00843214">
        <w:rPr>
          <w:color w:val="auto"/>
          <w:lang w:val="en-AU"/>
        </w:rPr>
        <w:t xml:space="preserve"> only by the UK’s Foreign and Commonwealth Office.</w:t>
      </w:r>
      <w:r w:rsidRPr="00843214">
        <w:rPr>
          <w:color w:val="auto"/>
          <w:lang w:val="en-AU"/>
        </w:rPr>
        <w:t xml:space="preserve"> </w:t>
      </w:r>
      <w:r w:rsidR="00E70D0A" w:rsidRPr="00843214">
        <w:rPr>
          <w:color w:val="auto"/>
          <w:lang w:val="en-AU"/>
        </w:rPr>
        <w:t>W</w:t>
      </w:r>
      <w:r w:rsidRPr="00843214">
        <w:rPr>
          <w:color w:val="auto"/>
          <w:lang w:val="en-AU"/>
        </w:rPr>
        <w:t>hile</w:t>
      </w:r>
      <w:r w:rsidR="000A5292" w:rsidRPr="00843214">
        <w:rPr>
          <w:color w:val="auto"/>
          <w:lang w:val="en-AU"/>
        </w:rPr>
        <w:t xml:space="preserve"> supporting</w:t>
      </w:r>
      <w:r w:rsidRPr="00843214">
        <w:rPr>
          <w:color w:val="auto"/>
          <w:lang w:val="en-AU"/>
        </w:rPr>
        <w:t xml:space="preserve"> </w:t>
      </w:r>
      <w:r w:rsidR="00503E8D" w:rsidRPr="00843214">
        <w:rPr>
          <w:color w:val="auto"/>
          <w:lang w:val="en-AU"/>
        </w:rPr>
        <w:t>program</w:t>
      </w:r>
      <w:r w:rsidRPr="00843214">
        <w:rPr>
          <w:color w:val="auto"/>
          <w:lang w:val="en-AU"/>
        </w:rPr>
        <w:t xml:space="preserve"> quality, </w:t>
      </w:r>
      <w:r w:rsidR="00E70D0A" w:rsidRPr="00843214">
        <w:rPr>
          <w:color w:val="auto"/>
          <w:lang w:val="en-AU"/>
        </w:rPr>
        <w:t xml:space="preserve">the reporting requirements </w:t>
      </w:r>
      <w:r w:rsidRPr="00843214">
        <w:rPr>
          <w:color w:val="auto"/>
          <w:lang w:val="en-AU"/>
        </w:rPr>
        <w:t>have transaction costs</w:t>
      </w:r>
      <w:bookmarkStart w:id="77" w:name="_Hlk67492819"/>
      <w:bookmarkStart w:id="78" w:name="_Hlk67492592"/>
      <w:r w:rsidR="000A5292" w:rsidRPr="00843214">
        <w:rPr>
          <w:color w:val="auto"/>
          <w:lang w:val="en-AU"/>
        </w:rPr>
        <w:t xml:space="preserve"> for UN Women.</w:t>
      </w:r>
    </w:p>
    <w:bookmarkEnd w:id="76"/>
    <w:bookmarkEnd w:id="77"/>
    <w:bookmarkEnd w:id="78"/>
    <w:p w14:paraId="18286BFA" w14:textId="77777777" w:rsidR="00AC3BD0" w:rsidRPr="00843214" w:rsidRDefault="00AC3BD0" w:rsidP="00AC3BD0">
      <w:pPr>
        <w:pStyle w:val="Heading4"/>
        <w:rPr>
          <w:b/>
          <w:bCs/>
          <w:color w:val="auto"/>
          <w:sz w:val="25"/>
          <w:szCs w:val="32"/>
          <w:lang w:val="en-AU"/>
        </w:rPr>
      </w:pPr>
      <w:r w:rsidRPr="00843214">
        <w:rPr>
          <w:b/>
          <w:bCs/>
          <w:color w:val="auto"/>
          <w:sz w:val="25"/>
          <w:szCs w:val="32"/>
          <w:lang w:val="en-AU"/>
        </w:rPr>
        <w:t>UN Women partner characteristics</w:t>
      </w:r>
    </w:p>
    <w:p w14:paraId="61C30F83" w14:textId="055E2ADF" w:rsidR="00AC3BD0" w:rsidRPr="00843214" w:rsidRDefault="00AC3BD0" w:rsidP="002A51E1">
      <w:pPr>
        <w:rPr>
          <w:color w:val="auto"/>
          <w:lang w:val="en-AU"/>
        </w:rPr>
      </w:pPr>
      <w:r w:rsidRPr="00843214">
        <w:rPr>
          <w:b/>
          <w:bCs/>
          <w:color w:val="auto"/>
          <w:lang w:val="en-AU"/>
        </w:rPr>
        <w:t xml:space="preserve">UN Women is a responsive, cooperative, and strong communicator as a program partner and at country level, but HQ is less strong on engagement and communications where the relationship is not </w:t>
      </w:r>
      <w:proofErr w:type="gramStart"/>
      <w:r w:rsidRPr="00843214">
        <w:rPr>
          <w:b/>
          <w:bCs/>
          <w:color w:val="auto"/>
          <w:lang w:val="en-AU"/>
        </w:rPr>
        <w:t>localised</w:t>
      </w:r>
      <w:proofErr w:type="gramEnd"/>
      <w:r w:rsidR="00C255E3" w:rsidRPr="00843214">
        <w:rPr>
          <w:b/>
          <w:bCs/>
          <w:color w:val="auto"/>
          <w:lang w:val="en-AU"/>
        </w:rPr>
        <w:t xml:space="preserve"> and UN Women ha</w:t>
      </w:r>
      <w:r w:rsidR="00817F70" w:rsidRPr="00843214">
        <w:rPr>
          <w:b/>
          <w:bCs/>
          <w:color w:val="auto"/>
          <w:lang w:val="en-AU"/>
        </w:rPr>
        <w:t>s</w:t>
      </w:r>
      <w:r w:rsidR="00C255E3" w:rsidRPr="00843214">
        <w:rPr>
          <w:b/>
          <w:bCs/>
          <w:color w:val="auto"/>
          <w:lang w:val="en-AU"/>
        </w:rPr>
        <w:t xml:space="preserve"> high expectations for ministerial engagement</w:t>
      </w:r>
      <w:r w:rsidRPr="00843214">
        <w:rPr>
          <w:color w:val="auto"/>
          <w:lang w:val="en-AU"/>
        </w:rPr>
        <w:t xml:space="preserve">. </w:t>
      </w:r>
      <w:r w:rsidR="00C255E3" w:rsidRPr="00843214">
        <w:rPr>
          <w:color w:val="auto"/>
          <w:lang w:val="en-AU"/>
        </w:rPr>
        <w:t xml:space="preserve">In terms of localised relationships, </w:t>
      </w:r>
      <w:r w:rsidRPr="00843214">
        <w:rPr>
          <w:color w:val="auto"/>
          <w:lang w:val="en-AU"/>
        </w:rPr>
        <w:t>DFAT N</w:t>
      </w:r>
      <w:r w:rsidR="00B614A1" w:rsidRPr="00843214">
        <w:rPr>
          <w:color w:val="auto"/>
          <w:lang w:val="en-AU"/>
        </w:rPr>
        <w:t>ew York</w:t>
      </w:r>
      <w:r w:rsidRPr="00843214">
        <w:rPr>
          <w:color w:val="auto"/>
          <w:lang w:val="en-AU"/>
        </w:rPr>
        <w:t xml:space="preserve"> enjoys a strong collegial relationship with UN Women HQ</w:t>
      </w:r>
      <w:r w:rsidR="00B614A1" w:rsidRPr="00843214">
        <w:rPr>
          <w:color w:val="auto"/>
          <w:lang w:val="en-AU"/>
        </w:rPr>
        <w:t xml:space="preserve"> in New York but</w:t>
      </w:r>
      <w:r w:rsidRPr="00843214">
        <w:rPr>
          <w:color w:val="auto"/>
          <w:lang w:val="en-AU"/>
        </w:rPr>
        <w:t xml:space="preserve"> </w:t>
      </w:r>
      <w:r w:rsidR="2DCC40D1" w:rsidRPr="00843214">
        <w:rPr>
          <w:color w:val="auto"/>
          <w:lang w:val="en-AU"/>
        </w:rPr>
        <w:t xml:space="preserve">some </w:t>
      </w:r>
      <w:r w:rsidRPr="00843214">
        <w:rPr>
          <w:color w:val="auto"/>
          <w:lang w:val="en-AU"/>
        </w:rPr>
        <w:t xml:space="preserve">other areas of DFAT have noted challenges in accessing information from </w:t>
      </w:r>
      <w:r w:rsidR="00D717CC" w:rsidRPr="00843214">
        <w:rPr>
          <w:color w:val="auto"/>
          <w:lang w:val="en-AU"/>
        </w:rPr>
        <w:t xml:space="preserve">UN Women </w:t>
      </w:r>
      <w:r w:rsidRPr="00843214">
        <w:rPr>
          <w:color w:val="auto"/>
          <w:lang w:val="en-AU"/>
        </w:rPr>
        <w:t>HQ</w:t>
      </w:r>
      <w:r w:rsidR="00D717CC" w:rsidRPr="00843214">
        <w:rPr>
          <w:color w:val="auto"/>
          <w:lang w:val="en-AU"/>
        </w:rPr>
        <w:t xml:space="preserve"> and have found greater support from UN Women Australia. </w:t>
      </w:r>
      <w:r w:rsidR="00C255E3" w:rsidRPr="00843214">
        <w:rPr>
          <w:color w:val="auto"/>
          <w:lang w:val="en-AU"/>
        </w:rPr>
        <w:t xml:space="preserve">UN Women requests extensive participation from DFAT including ministerial engagement at roundtables. While this recognises Australia’s support and leadership, the </w:t>
      </w:r>
      <w:r w:rsidR="69461875" w:rsidRPr="00843214">
        <w:rPr>
          <w:color w:val="auto"/>
          <w:lang w:val="en-AU"/>
        </w:rPr>
        <w:t>requested</w:t>
      </w:r>
      <w:r w:rsidR="00C255E3" w:rsidRPr="00843214">
        <w:rPr>
          <w:color w:val="auto"/>
          <w:lang w:val="en-AU"/>
        </w:rPr>
        <w:t xml:space="preserve"> level and calibre of representation is not always appropriate or possible from DFAT’s perspective.</w:t>
      </w:r>
    </w:p>
    <w:p w14:paraId="74FFA905" w14:textId="436311AE" w:rsidR="00277237" w:rsidRPr="00843214" w:rsidRDefault="00AC3BD0" w:rsidP="00277237">
      <w:pPr>
        <w:rPr>
          <w:color w:val="auto"/>
          <w:lang w:val="en-AU"/>
        </w:rPr>
      </w:pPr>
      <w:r w:rsidRPr="00843214">
        <w:rPr>
          <w:b/>
          <w:bCs/>
          <w:color w:val="auto"/>
          <w:lang w:val="en-AU"/>
        </w:rPr>
        <w:t xml:space="preserve">UN Women is receptive to feedback and is taking steps to improve its effectiveness and efficiency. </w:t>
      </w:r>
      <w:r w:rsidRPr="00843214">
        <w:rPr>
          <w:color w:val="auto"/>
          <w:lang w:val="en-AU"/>
        </w:rPr>
        <w:t xml:space="preserve">UN Women is notably open to feedback and willing to undertake performance and process improvements to better serve CSOs, and respond to donors, including DFAT. </w:t>
      </w:r>
    </w:p>
    <w:p w14:paraId="7EF24D5E" w14:textId="34827C1F" w:rsidR="00AC3BD0" w:rsidRPr="00843214" w:rsidRDefault="00AC3BD0" w:rsidP="00277237">
      <w:pPr>
        <w:rPr>
          <w:color w:val="auto"/>
          <w:lang w:val="en-AU"/>
        </w:rPr>
      </w:pPr>
      <w:r w:rsidRPr="00843214">
        <w:rPr>
          <w:b/>
          <w:bCs/>
          <w:color w:val="auto"/>
          <w:lang w:val="en-AU"/>
        </w:rPr>
        <w:t>UN Women is a highly competent rights-based technical partner and a strong advocate for change.</w:t>
      </w:r>
      <w:r w:rsidRPr="00843214">
        <w:rPr>
          <w:color w:val="auto"/>
          <w:lang w:val="en-AU"/>
        </w:rPr>
        <w:t xml:space="preserve"> They are described as highly principled and capable of managing sensitive issues. </w:t>
      </w:r>
      <w:r w:rsidR="00277237" w:rsidRPr="00843214">
        <w:rPr>
          <w:color w:val="auto"/>
          <w:lang w:val="en-AU"/>
        </w:rPr>
        <w:t xml:space="preserve">UN Women is innovative and explores new methods of delivery while also remaining practical and the agency is perceived as strategic, thinking long-term. </w:t>
      </w:r>
    </w:p>
    <w:p w14:paraId="7BA2FD8F" w14:textId="5658F09B" w:rsidR="00AC3BD0" w:rsidRPr="00843214" w:rsidRDefault="00AC3BD0" w:rsidP="00AC3BD0">
      <w:pPr>
        <w:pStyle w:val="Heading3"/>
        <w:rPr>
          <w:color w:val="auto"/>
          <w:lang w:val="en-AU"/>
        </w:rPr>
      </w:pPr>
      <w:bookmarkStart w:id="79" w:name="_Toc69376628"/>
      <w:bookmarkStart w:id="80" w:name="_Toc69376669"/>
      <w:bookmarkStart w:id="81" w:name="_Ref66540421"/>
      <w:bookmarkStart w:id="82" w:name="_Toc69376670"/>
      <w:bookmarkEnd w:id="79"/>
      <w:bookmarkEnd w:id="80"/>
      <w:r w:rsidRPr="00843214">
        <w:rPr>
          <w:color w:val="auto"/>
          <w:lang w:val="en-AU"/>
        </w:rPr>
        <w:t>Funding</w:t>
      </w:r>
      <w:bookmarkEnd w:id="81"/>
      <w:bookmarkEnd w:id="82"/>
    </w:p>
    <w:p w14:paraId="1C4422E4" w14:textId="47D4E5D9" w:rsidR="002E260B" w:rsidRPr="00843214" w:rsidRDefault="00AC3BD0" w:rsidP="002A51E1">
      <w:pPr>
        <w:rPr>
          <w:color w:val="auto"/>
          <w:lang w:val="en-AU"/>
        </w:rPr>
      </w:pPr>
      <w:r w:rsidRPr="00843214">
        <w:rPr>
          <w:b/>
          <w:bCs/>
          <w:color w:val="auto"/>
          <w:lang w:val="en-AU"/>
        </w:rPr>
        <w:t>Australia has been a key</w:t>
      </w:r>
      <w:r w:rsidR="00124D36" w:rsidRPr="00843214">
        <w:rPr>
          <w:b/>
          <w:bCs/>
          <w:color w:val="auto"/>
          <w:lang w:val="en-AU"/>
        </w:rPr>
        <w:t xml:space="preserve"> financial</w:t>
      </w:r>
      <w:r w:rsidRPr="00843214">
        <w:rPr>
          <w:b/>
          <w:bCs/>
          <w:color w:val="auto"/>
          <w:lang w:val="en-AU"/>
        </w:rPr>
        <w:t xml:space="preserve"> contributor to UN Women over the past ten years</w:t>
      </w:r>
      <w:r w:rsidR="00970710" w:rsidRPr="00843214">
        <w:rPr>
          <w:b/>
          <w:bCs/>
          <w:color w:val="auto"/>
          <w:lang w:val="en-AU"/>
        </w:rPr>
        <w:t xml:space="preserve"> </w:t>
      </w:r>
      <w:r w:rsidRPr="00843214">
        <w:rPr>
          <w:b/>
          <w:bCs/>
          <w:color w:val="auto"/>
          <w:lang w:val="en-AU"/>
        </w:rPr>
        <w:t>and has increased non-core support during the current S</w:t>
      </w:r>
      <w:r w:rsidR="003D5673" w:rsidRPr="00843214">
        <w:rPr>
          <w:b/>
          <w:bCs/>
          <w:color w:val="auto"/>
          <w:lang w:val="en-AU"/>
        </w:rPr>
        <w:t>PF</w:t>
      </w:r>
      <w:r w:rsidR="004B1A8A" w:rsidRPr="00843214">
        <w:rPr>
          <w:b/>
          <w:bCs/>
          <w:color w:val="auto"/>
          <w:lang w:val="en-AU"/>
        </w:rPr>
        <w:t xml:space="preserve"> </w:t>
      </w:r>
      <w:r w:rsidRPr="00843214">
        <w:rPr>
          <w:b/>
          <w:bCs/>
          <w:color w:val="auto"/>
          <w:lang w:val="en-AU"/>
        </w:rPr>
        <w:t xml:space="preserve">period. </w:t>
      </w:r>
      <w:r w:rsidRPr="00843214">
        <w:rPr>
          <w:color w:val="auto"/>
          <w:lang w:val="en-AU"/>
        </w:rPr>
        <w:t>DFAT has provided consistent core funding (</w:t>
      </w:r>
      <w:r w:rsidRPr="00843214">
        <w:rPr>
          <w:b/>
          <w:bCs/>
          <w:color w:val="auto"/>
          <w:lang w:val="en-AU"/>
        </w:rPr>
        <w:t>Figure 1</w:t>
      </w:r>
      <w:r w:rsidRPr="00843214">
        <w:rPr>
          <w:color w:val="auto"/>
          <w:lang w:val="en-AU"/>
        </w:rPr>
        <w:t>)</w:t>
      </w:r>
      <w:r w:rsidR="00B64A64" w:rsidRPr="00843214">
        <w:rPr>
          <w:color w:val="auto"/>
          <w:lang w:val="en-AU"/>
        </w:rPr>
        <w:t>.</w:t>
      </w:r>
      <w:r w:rsidRPr="00843214">
        <w:rPr>
          <w:color w:val="auto"/>
          <w:lang w:val="en-AU"/>
        </w:rPr>
        <w:t xml:space="preserve"> </w:t>
      </w:r>
      <w:r w:rsidR="001C5D1E" w:rsidRPr="00843214">
        <w:rPr>
          <w:color w:val="auto"/>
          <w:lang w:val="en-AU"/>
        </w:rPr>
        <w:t xml:space="preserve">The SPF outlines agreed financial contributions including a fixed figure for </w:t>
      </w:r>
      <w:r w:rsidR="00344F32" w:rsidRPr="00843214">
        <w:rPr>
          <w:color w:val="auto"/>
          <w:lang w:val="en-AU"/>
        </w:rPr>
        <w:t>core</w:t>
      </w:r>
      <w:r w:rsidR="001C5D1E" w:rsidRPr="00843214">
        <w:rPr>
          <w:color w:val="auto"/>
          <w:lang w:val="en-AU"/>
        </w:rPr>
        <w:t xml:space="preserve"> funding (AUD7.79m p</w:t>
      </w:r>
      <w:r w:rsidR="004B1A8A" w:rsidRPr="00843214">
        <w:rPr>
          <w:color w:val="auto"/>
          <w:lang w:val="en-AU"/>
        </w:rPr>
        <w:t xml:space="preserve">er </w:t>
      </w:r>
      <w:r w:rsidR="001C5D1E" w:rsidRPr="00843214">
        <w:rPr>
          <w:color w:val="auto"/>
          <w:lang w:val="en-AU"/>
        </w:rPr>
        <w:t>a</w:t>
      </w:r>
      <w:r w:rsidR="004B1A8A" w:rsidRPr="00843214">
        <w:rPr>
          <w:color w:val="auto"/>
          <w:lang w:val="en-AU"/>
        </w:rPr>
        <w:t>nnum</w:t>
      </w:r>
      <w:r w:rsidR="001C5D1E" w:rsidRPr="00843214">
        <w:rPr>
          <w:color w:val="auto"/>
          <w:lang w:val="en-AU"/>
        </w:rPr>
        <w:t xml:space="preserve">) and arrangements for ear-marked </w:t>
      </w:r>
      <w:r w:rsidR="001C5D88" w:rsidRPr="00843214">
        <w:rPr>
          <w:color w:val="auto"/>
          <w:lang w:val="en-AU"/>
        </w:rPr>
        <w:t>(non-</w:t>
      </w:r>
      <w:r w:rsidR="001C5D88" w:rsidRPr="00843214">
        <w:rPr>
          <w:color w:val="auto"/>
          <w:lang w:val="en-AU"/>
        </w:rPr>
        <w:lastRenderedPageBreak/>
        <w:t xml:space="preserve">core) </w:t>
      </w:r>
      <w:r w:rsidR="001C5D1E" w:rsidRPr="00843214">
        <w:rPr>
          <w:color w:val="auto"/>
          <w:lang w:val="en-AU"/>
        </w:rPr>
        <w:t>contributions specific to either a program/project or to thematic groups of programs and projects.</w:t>
      </w:r>
      <w:r w:rsidR="008F369B" w:rsidRPr="00843214">
        <w:rPr>
          <w:color w:val="auto"/>
          <w:lang w:val="en-AU"/>
        </w:rPr>
        <w:t xml:space="preserve"> T</w:t>
      </w:r>
      <w:r w:rsidRPr="00843214">
        <w:rPr>
          <w:b/>
          <w:bCs/>
          <w:color w:val="auto"/>
          <w:lang w:val="en-AU"/>
        </w:rPr>
        <w:t>he ratio of non-core to core funding has decreased and DFAT’s funding for earmarked investments has increased significantly (Figure 1).</w:t>
      </w:r>
      <w:r w:rsidRPr="00843214">
        <w:rPr>
          <w:color w:val="auto"/>
          <w:lang w:val="en-AU"/>
        </w:rPr>
        <w:t xml:space="preserve"> An ongoing challenge for both DFAT and UN Women is articulating how DFAT’s support to UN Women’s core resources is used</w:t>
      </w:r>
      <w:r w:rsidR="00D717CC" w:rsidRPr="00843214">
        <w:rPr>
          <w:color w:val="auto"/>
          <w:lang w:val="en-AU"/>
        </w:rPr>
        <w:t xml:space="preserve"> or, rather, separating DFAT’s core funding from the overall core narrative</w:t>
      </w:r>
      <w:r w:rsidRPr="00843214">
        <w:rPr>
          <w:color w:val="auto"/>
          <w:lang w:val="en-AU"/>
        </w:rPr>
        <w:t xml:space="preserve">. </w:t>
      </w:r>
    </w:p>
    <w:p w14:paraId="7A6FDF9E" w14:textId="5D82E292" w:rsidR="004E11D1" w:rsidRPr="00843214" w:rsidRDefault="00FF7FEA" w:rsidP="002A51E1">
      <w:pPr>
        <w:rPr>
          <w:color w:val="auto"/>
          <w:lang w:val="en-AU"/>
        </w:rPr>
      </w:pPr>
      <w:r w:rsidRPr="00843214">
        <w:rPr>
          <w:b/>
          <w:bCs/>
          <w:noProof/>
          <w:color w:val="auto"/>
          <w:lang w:val="en-AU"/>
        </w:rPr>
        <mc:AlternateContent>
          <mc:Choice Requires="wps">
            <w:drawing>
              <wp:anchor distT="45720" distB="45720" distL="114300" distR="114300" simplePos="0" relativeHeight="251658240" behindDoc="0" locked="0" layoutInCell="1" allowOverlap="1" wp14:anchorId="4A3366D2" wp14:editId="4B5D3FCC">
                <wp:simplePos x="0" y="0"/>
                <wp:positionH relativeFrom="margin">
                  <wp:posOffset>2098995</wp:posOffset>
                </wp:positionH>
                <wp:positionV relativeFrom="paragraph">
                  <wp:posOffset>53788</wp:posOffset>
                </wp:positionV>
                <wp:extent cx="3517900" cy="2476500"/>
                <wp:effectExtent l="0" t="0" r="6350" b="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476500"/>
                        </a:xfrm>
                        <a:prstGeom prst="rect">
                          <a:avLst/>
                        </a:prstGeom>
                        <a:solidFill>
                          <a:srgbClr val="FFFFFF"/>
                        </a:solidFill>
                        <a:ln w="9525">
                          <a:noFill/>
                          <a:miter lim="800000"/>
                          <a:headEnd/>
                          <a:tailEnd/>
                        </a:ln>
                      </wps:spPr>
                      <wps:txbx>
                        <w:txbxContent>
                          <w:p w14:paraId="1E0AE729" w14:textId="48C37719" w:rsidR="00843214" w:rsidRDefault="00843214">
                            <w:r>
                              <w:rPr>
                                <w:i/>
                                <w:iCs/>
                                <w:noProof/>
                                <w:color w:val="00A499" w:themeColor="text2"/>
                                <w:sz w:val="18"/>
                                <w:szCs w:val="18"/>
                                <w:lang w:val="en-AU"/>
                              </w:rPr>
                              <w:drawing>
                                <wp:inline distT="0" distB="0" distL="0" distR="0" wp14:anchorId="6247B7E5" wp14:editId="086315DB">
                                  <wp:extent cx="3199205" cy="2025650"/>
                                  <wp:effectExtent l="0" t="0" r="1270" b="0"/>
                                  <wp:docPr id="17" name="Picture 17" descr="Line chart - Core and Non-Core Support from DFAT 2014-2020. Shows increase in total and earmarked funding, and stable core fund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ne chart - Core and Non-Core Support from DFAT 2014-2020. Shows increase in total and earmarked funding, and stable core funding level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9017" cy="2031863"/>
                                          </a:xfrm>
                                          <a:prstGeom prst="rect">
                                            <a:avLst/>
                                          </a:prstGeom>
                                          <a:noFill/>
                                        </pic:spPr>
                                      </pic:pic>
                                    </a:graphicData>
                                  </a:graphic>
                                </wp:inline>
                              </w:drawing>
                            </w:r>
                          </w:p>
                          <w:p w14:paraId="153DCDF3" w14:textId="5C65B4DA" w:rsidR="00843214" w:rsidRPr="00042EAB" w:rsidRDefault="00843214" w:rsidP="00701752">
                            <w:pPr>
                              <w:spacing w:after="200"/>
                              <w:jc w:val="center"/>
                              <w:rPr>
                                <w:i/>
                                <w:iCs/>
                                <w:color w:val="00A499" w:themeColor="text2"/>
                                <w:sz w:val="18"/>
                                <w:szCs w:val="18"/>
                                <w:lang w:val="en-AU"/>
                              </w:rPr>
                            </w:pPr>
                            <w:r w:rsidRPr="006C2C7B">
                              <w:rPr>
                                <w:i/>
                                <w:iCs/>
                                <w:color w:val="auto"/>
                                <w:sz w:val="18"/>
                                <w:szCs w:val="18"/>
                                <w:lang w:val="en-AU"/>
                              </w:rPr>
                              <w:t xml:space="preserve">Figure </w:t>
                            </w:r>
                            <w:r w:rsidRPr="006C2C7B">
                              <w:rPr>
                                <w:i/>
                                <w:iCs/>
                                <w:color w:val="auto"/>
                                <w:sz w:val="18"/>
                                <w:szCs w:val="18"/>
                                <w:lang w:val="en-AU"/>
                              </w:rPr>
                              <w:fldChar w:fldCharType="begin"/>
                            </w:r>
                            <w:r w:rsidRPr="006C2C7B">
                              <w:rPr>
                                <w:i/>
                                <w:iCs/>
                                <w:color w:val="auto"/>
                                <w:sz w:val="18"/>
                                <w:szCs w:val="18"/>
                                <w:lang w:val="en-AU"/>
                              </w:rPr>
                              <w:instrText xml:space="preserve"> SEQ Figure \* ARABIC </w:instrText>
                            </w:r>
                            <w:r w:rsidRPr="006C2C7B">
                              <w:rPr>
                                <w:i/>
                                <w:iCs/>
                                <w:color w:val="auto"/>
                                <w:sz w:val="18"/>
                                <w:szCs w:val="18"/>
                                <w:lang w:val="en-AU"/>
                              </w:rPr>
                              <w:fldChar w:fldCharType="separate"/>
                            </w:r>
                            <w:r w:rsidRPr="006C2C7B">
                              <w:rPr>
                                <w:i/>
                                <w:iCs/>
                                <w:noProof/>
                                <w:color w:val="auto"/>
                                <w:sz w:val="18"/>
                                <w:szCs w:val="18"/>
                                <w:lang w:val="en-AU"/>
                              </w:rPr>
                              <w:t>1</w:t>
                            </w:r>
                            <w:r w:rsidRPr="006C2C7B">
                              <w:rPr>
                                <w:i/>
                                <w:iCs/>
                                <w:color w:val="auto"/>
                                <w:sz w:val="18"/>
                                <w:szCs w:val="18"/>
                                <w:lang w:val="en-AU"/>
                              </w:rPr>
                              <w:fldChar w:fldCharType="end"/>
                            </w:r>
                            <w:r w:rsidRPr="006C2C7B">
                              <w:rPr>
                                <w:i/>
                                <w:iCs/>
                                <w:color w:val="auto"/>
                                <w:sz w:val="18"/>
                                <w:szCs w:val="18"/>
                                <w:lang w:val="en-AU"/>
                              </w:rPr>
                              <w:t>: Core and Non-Core Support from DFAT 2014-2020, source: AMPR reports</w:t>
                            </w:r>
                          </w:p>
                          <w:p w14:paraId="0DBCE1A3" w14:textId="77777777" w:rsidR="00843214" w:rsidRDefault="008432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66D2" id="_x0000_s1030" type="#_x0000_t202" alt="&quot;&quot;" style="position:absolute;margin-left:165.3pt;margin-top:4.25pt;width:277pt;height:1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" stroked="f">
                <v:textbox>
                  <w:txbxContent>
                    <w:p w14:paraId="1E0AE729" w14:textId="48C37719" w:rsidR="00843214" w:rsidRDefault="00843214">
                      <w:r>
                        <w:rPr>
                          <w:i/>
                          <w:iCs/>
                          <w:noProof/>
                          <w:color w:val="00A499" w:themeColor="text2"/>
                          <w:sz w:val="18"/>
                          <w:szCs w:val="18"/>
                          <w:lang w:val="en-AU"/>
                        </w:rPr>
                        <w:drawing>
                          <wp:inline distT="0" distB="0" distL="0" distR="0" wp14:anchorId="6247B7E5" wp14:editId="086315DB">
                            <wp:extent cx="3199205" cy="2025650"/>
                            <wp:effectExtent l="0" t="0" r="1270" b="0"/>
                            <wp:docPr id="17" name="Picture 17" descr="Line chart - Core and Non-Core Support from DFAT 2014-2020. Shows increase in total and earmarked funding, and stable core fund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ne chart - Core and Non-Core Support from DFAT 2014-2020. Shows increase in total and earmarked funding, and stable core funding level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9017" cy="2031863"/>
                                    </a:xfrm>
                                    <a:prstGeom prst="rect">
                                      <a:avLst/>
                                    </a:prstGeom>
                                    <a:noFill/>
                                  </pic:spPr>
                                </pic:pic>
                              </a:graphicData>
                            </a:graphic>
                          </wp:inline>
                        </w:drawing>
                      </w:r>
                    </w:p>
                    <w:p w14:paraId="153DCDF3" w14:textId="5C65B4DA" w:rsidR="00843214" w:rsidRPr="00042EAB" w:rsidRDefault="00843214" w:rsidP="00701752">
                      <w:pPr>
                        <w:spacing w:after="200"/>
                        <w:jc w:val="center"/>
                        <w:rPr>
                          <w:i/>
                          <w:iCs/>
                          <w:color w:val="00A499" w:themeColor="text2"/>
                          <w:sz w:val="18"/>
                          <w:szCs w:val="18"/>
                          <w:lang w:val="en-AU"/>
                        </w:rPr>
                      </w:pPr>
                      <w:r w:rsidRPr="006C2C7B">
                        <w:rPr>
                          <w:i/>
                          <w:iCs/>
                          <w:color w:val="auto"/>
                          <w:sz w:val="18"/>
                          <w:szCs w:val="18"/>
                          <w:lang w:val="en-AU"/>
                        </w:rPr>
                        <w:t xml:space="preserve">Figure </w:t>
                      </w:r>
                      <w:r w:rsidRPr="006C2C7B">
                        <w:rPr>
                          <w:i/>
                          <w:iCs/>
                          <w:color w:val="auto"/>
                          <w:sz w:val="18"/>
                          <w:szCs w:val="18"/>
                          <w:lang w:val="en-AU"/>
                        </w:rPr>
                        <w:fldChar w:fldCharType="begin"/>
                      </w:r>
                      <w:r w:rsidRPr="006C2C7B">
                        <w:rPr>
                          <w:i/>
                          <w:iCs/>
                          <w:color w:val="auto"/>
                          <w:sz w:val="18"/>
                          <w:szCs w:val="18"/>
                          <w:lang w:val="en-AU"/>
                        </w:rPr>
                        <w:instrText xml:space="preserve"> SEQ Figure \* ARABIC </w:instrText>
                      </w:r>
                      <w:r w:rsidRPr="006C2C7B">
                        <w:rPr>
                          <w:i/>
                          <w:iCs/>
                          <w:color w:val="auto"/>
                          <w:sz w:val="18"/>
                          <w:szCs w:val="18"/>
                          <w:lang w:val="en-AU"/>
                        </w:rPr>
                        <w:fldChar w:fldCharType="separate"/>
                      </w:r>
                      <w:r w:rsidRPr="006C2C7B">
                        <w:rPr>
                          <w:i/>
                          <w:iCs/>
                          <w:noProof/>
                          <w:color w:val="auto"/>
                          <w:sz w:val="18"/>
                          <w:szCs w:val="18"/>
                          <w:lang w:val="en-AU"/>
                        </w:rPr>
                        <w:t>1</w:t>
                      </w:r>
                      <w:r w:rsidRPr="006C2C7B">
                        <w:rPr>
                          <w:i/>
                          <w:iCs/>
                          <w:color w:val="auto"/>
                          <w:sz w:val="18"/>
                          <w:szCs w:val="18"/>
                          <w:lang w:val="en-AU"/>
                        </w:rPr>
                        <w:fldChar w:fldCharType="end"/>
                      </w:r>
                      <w:r w:rsidRPr="006C2C7B">
                        <w:rPr>
                          <w:i/>
                          <w:iCs/>
                          <w:color w:val="auto"/>
                          <w:sz w:val="18"/>
                          <w:szCs w:val="18"/>
                          <w:lang w:val="en-AU"/>
                        </w:rPr>
                        <w:t>: Core and Non-Core Support from DFAT 2014-2020, source: AMPR reports</w:t>
                      </w:r>
                    </w:p>
                    <w:p w14:paraId="0DBCE1A3" w14:textId="77777777" w:rsidR="00843214" w:rsidRDefault="00843214"/>
                  </w:txbxContent>
                </v:textbox>
                <w10:wrap type="square" anchorx="margin"/>
              </v:shape>
            </w:pict>
          </mc:Fallback>
        </mc:AlternateContent>
      </w:r>
      <w:r w:rsidR="00AC3BD0" w:rsidRPr="00843214">
        <w:rPr>
          <w:b/>
          <w:bCs/>
          <w:color w:val="auto"/>
          <w:lang w:val="en-AU"/>
        </w:rPr>
        <w:t xml:space="preserve">UN Women is clear that core resources are critical to fulfilling its </w:t>
      </w:r>
      <w:r w:rsidR="00BC33CD" w:rsidRPr="00843214">
        <w:rPr>
          <w:b/>
          <w:bCs/>
          <w:color w:val="auto"/>
          <w:lang w:val="en-AU"/>
        </w:rPr>
        <w:t>triple-</w:t>
      </w:r>
      <w:r w:rsidR="00AC3BD0" w:rsidRPr="00843214">
        <w:rPr>
          <w:b/>
          <w:bCs/>
          <w:color w:val="auto"/>
          <w:lang w:val="en-AU"/>
        </w:rPr>
        <w:t>mandate (particularly in fulfilling its normative and coordination functions), global reach, and providing a relevant and flexible response</w:t>
      </w:r>
      <w:r w:rsidR="00BC33CD" w:rsidRPr="00843214">
        <w:rPr>
          <w:rStyle w:val="FootnoteReference"/>
          <w:color w:val="auto"/>
          <w:lang w:val="en-AU"/>
        </w:rPr>
        <w:footnoteReference w:id="95"/>
      </w:r>
      <w:r w:rsidR="00AC3BD0" w:rsidRPr="00843214">
        <w:rPr>
          <w:b/>
          <w:bCs/>
          <w:color w:val="auto"/>
          <w:lang w:val="en-AU"/>
        </w:rPr>
        <w:t>.</w:t>
      </w:r>
      <w:r w:rsidR="00AC3BD0" w:rsidRPr="00843214">
        <w:rPr>
          <w:color w:val="auto"/>
          <w:lang w:val="en-AU"/>
        </w:rPr>
        <w:t xml:space="preserve"> UN Women’s response to COVID</w:t>
      </w:r>
      <w:r w:rsidR="002E260B" w:rsidRPr="00843214">
        <w:rPr>
          <w:color w:val="auto"/>
          <w:lang w:val="en-AU"/>
        </w:rPr>
        <w:t>-19</w:t>
      </w:r>
      <w:r w:rsidR="00AC3BD0" w:rsidRPr="00843214">
        <w:rPr>
          <w:color w:val="auto"/>
          <w:lang w:val="en-AU"/>
        </w:rPr>
        <w:t xml:space="preserve">, which stakeholders recognise as being timely, relevant, and necessary, </w:t>
      </w:r>
      <w:r w:rsidR="00F13BC9" w:rsidRPr="00843214">
        <w:rPr>
          <w:color w:val="auto"/>
          <w:lang w:val="en-AU"/>
        </w:rPr>
        <w:t>demonstrates</w:t>
      </w:r>
      <w:r w:rsidR="00AC3BD0" w:rsidRPr="00843214">
        <w:rPr>
          <w:color w:val="auto"/>
          <w:lang w:val="en-AU"/>
        </w:rPr>
        <w:t xml:space="preserve"> how core resourcing can be used effectively. </w:t>
      </w:r>
      <w:r w:rsidR="009E2249" w:rsidRPr="00843214">
        <w:rPr>
          <w:color w:val="auto"/>
          <w:lang w:val="en-AU"/>
        </w:rPr>
        <w:t xml:space="preserve">Core funding enables UN Women to </w:t>
      </w:r>
      <w:r w:rsidR="00CF41BD" w:rsidRPr="00843214">
        <w:rPr>
          <w:color w:val="auto"/>
          <w:lang w:val="en-AU"/>
        </w:rPr>
        <w:t xml:space="preserve">plan and </w:t>
      </w:r>
      <w:r w:rsidR="009E2249" w:rsidRPr="00843214">
        <w:rPr>
          <w:color w:val="auto"/>
          <w:lang w:val="en-AU"/>
        </w:rPr>
        <w:t xml:space="preserve">adroitly respond to opportunities, emerging priorities, </w:t>
      </w:r>
      <w:proofErr w:type="gramStart"/>
      <w:r w:rsidR="009E2249" w:rsidRPr="00843214">
        <w:rPr>
          <w:color w:val="auto"/>
          <w:lang w:val="en-AU"/>
        </w:rPr>
        <w:t>emergencies</w:t>
      </w:r>
      <w:proofErr w:type="gramEnd"/>
      <w:r w:rsidR="009E2249" w:rsidRPr="00843214">
        <w:rPr>
          <w:color w:val="auto"/>
          <w:lang w:val="en-AU"/>
        </w:rPr>
        <w:t xml:space="preserve"> and government requests for support. </w:t>
      </w:r>
      <w:r w:rsidR="002352EE" w:rsidRPr="00843214">
        <w:rPr>
          <w:color w:val="auto"/>
          <w:lang w:val="en-AU"/>
        </w:rPr>
        <w:t>Core funding support</w:t>
      </w:r>
      <w:r w:rsidR="00D04A47" w:rsidRPr="00843214">
        <w:rPr>
          <w:color w:val="auto"/>
          <w:lang w:val="en-AU"/>
        </w:rPr>
        <w:t>s</w:t>
      </w:r>
      <w:r w:rsidR="002352EE" w:rsidRPr="00843214">
        <w:rPr>
          <w:color w:val="auto"/>
          <w:lang w:val="en-AU"/>
        </w:rPr>
        <w:t xml:space="preserve"> cost effectiveness for staff positions, and therefore better use of already limited resources. UN Women staff </w:t>
      </w:r>
      <w:r w:rsidR="000067A7" w:rsidRPr="00843214">
        <w:rPr>
          <w:color w:val="auto"/>
          <w:lang w:val="en-AU"/>
        </w:rPr>
        <w:t xml:space="preserve">in the Pacific </w:t>
      </w:r>
      <w:r w:rsidR="00BA1BB8" w:rsidRPr="00843214">
        <w:rPr>
          <w:color w:val="auto"/>
          <w:lang w:val="en-AU"/>
        </w:rPr>
        <w:t xml:space="preserve">note they </w:t>
      </w:r>
      <w:r w:rsidR="002352EE" w:rsidRPr="00843214">
        <w:rPr>
          <w:color w:val="auto"/>
          <w:lang w:val="en-AU"/>
        </w:rPr>
        <w:t>are unable to respond to government requests for support due to a lack of core funding for staff positions</w:t>
      </w:r>
      <w:r w:rsidR="00BA1BB8" w:rsidRPr="00843214">
        <w:rPr>
          <w:color w:val="auto"/>
          <w:lang w:val="en-AU"/>
        </w:rPr>
        <w:t>,</w:t>
      </w:r>
      <w:r w:rsidR="000067A7" w:rsidRPr="00843214">
        <w:rPr>
          <w:color w:val="auto"/>
          <w:lang w:val="en-AU"/>
        </w:rPr>
        <w:t xml:space="preserve"> and note a lack of donor willingness to support staff positions for technical normative work (in particular) when donors already give core funding</w:t>
      </w:r>
      <w:r w:rsidR="000067A7" w:rsidRPr="00843214">
        <w:rPr>
          <w:rStyle w:val="FootnoteReference"/>
          <w:color w:val="auto"/>
          <w:lang w:val="en-AU"/>
        </w:rPr>
        <w:footnoteReference w:id="96"/>
      </w:r>
      <w:r w:rsidR="002352EE" w:rsidRPr="00843214">
        <w:rPr>
          <w:color w:val="auto"/>
          <w:lang w:val="en-AU"/>
        </w:rPr>
        <w:t xml:space="preserve"> </w:t>
      </w:r>
    </w:p>
    <w:p w14:paraId="102750A3" w14:textId="120E2601" w:rsidR="002352EE" w:rsidRPr="00843214" w:rsidRDefault="004E11D1" w:rsidP="002A51E1">
      <w:pPr>
        <w:rPr>
          <w:color w:val="auto"/>
          <w:lang w:val="en-AU"/>
        </w:rPr>
      </w:pPr>
      <w:r w:rsidRPr="00843214">
        <w:rPr>
          <w:b/>
          <w:bCs/>
          <w:color w:val="auto"/>
          <w:lang w:val="en-AU"/>
        </w:rPr>
        <w:t>To</w:t>
      </w:r>
      <w:r w:rsidR="002352EE" w:rsidRPr="00843214">
        <w:rPr>
          <w:b/>
          <w:bCs/>
          <w:color w:val="auto"/>
          <w:lang w:val="en-AU"/>
        </w:rPr>
        <w:t xml:space="preserve"> date</w:t>
      </w:r>
      <w:r w:rsidRPr="00843214">
        <w:rPr>
          <w:b/>
          <w:bCs/>
          <w:color w:val="auto"/>
          <w:lang w:val="en-AU"/>
        </w:rPr>
        <w:t>,</w:t>
      </w:r>
      <w:r w:rsidR="002352EE" w:rsidRPr="00843214">
        <w:rPr>
          <w:b/>
          <w:bCs/>
          <w:color w:val="auto"/>
          <w:lang w:val="en-AU"/>
        </w:rPr>
        <w:t xml:space="preserve"> UN Women has offered DFAT limited visibility of </w:t>
      </w:r>
      <w:r w:rsidR="009E72E7" w:rsidRPr="00843214">
        <w:rPr>
          <w:b/>
          <w:bCs/>
          <w:color w:val="auto"/>
          <w:lang w:val="en-AU"/>
        </w:rPr>
        <w:t>how</w:t>
      </w:r>
      <w:r w:rsidR="002352EE" w:rsidRPr="00843214">
        <w:rPr>
          <w:b/>
          <w:bCs/>
          <w:color w:val="auto"/>
          <w:lang w:val="en-AU"/>
        </w:rPr>
        <w:t xml:space="preserve"> core funding has generate</w:t>
      </w:r>
      <w:r w:rsidR="009E72E7" w:rsidRPr="00843214">
        <w:rPr>
          <w:b/>
          <w:bCs/>
          <w:color w:val="auto"/>
          <w:lang w:val="en-AU"/>
        </w:rPr>
        <w:t>d</w:t>
      </w:r>
      <w:r w:rsidR="002352EE" w:rsidRPr="00843214">
        <w:rPr>
          <w:b/>
          <w:bCs/>
          <w:color w:val="auto"/>
          <w:lang w:val="en-AU"/>
        </w:rPr>
        <w:t xml:space="preserve"> impact</w:t>
      </w:r>
      <w:r w:rsidR="009E72E7" w:rsidRPr="00843214">
        <w:rPr>
          <w:b/>
          <w:bCs/>
          <w:color w:val="auto"/>
          <w:lang w:val="en-AU"/>
        </w:rPr>
        <w:t>s</w:t>
      </w:r>
      <w:r w:rsidR="002352EE" w:rsidRPr="00843214">
        <w:rPr>
          <w:b/>
          <w:bCs/>
          <w:color w:val="auto"/>
          <w:lang w:val="en-AU"/>
        </w:rPr>
        <w:t xml:space="preserve"> in the Indo-Pacific</w:t>
      </w:r>
      <w:r w:rsidR="00E70D0A" w:rsidRPr="00843214">
        <w:rPr>
          <w:b/>
          <w:bCs/>
          <w:color w:val="auto"/>
          <w:lang w:val="en-AU"/>
        </w:rPr>
        <w:t xml:space="preserve"> which,</w:t>
      </w:r>
      <w:r w:rsidR="00707B50" w:rsidRPr="00843214">
        <w:rPr>
          <w:b/>
          <w:bCs/>
          <w:color w:val="auto"/>
          <w:lang w:val="en-AU"/>
        </w:rPr>
        <w:t xml:space="preserve"> </w:t>
      </w:r>
      <w:r w:rsidR="00E70D0A" w:rsidRPr="00843214">
        <w:rPr>
          <w:b/>
          <w:bCs/>
          <w:color w:val="auto"/>
          <w:lang w:val="en-AU"/>
        </w:rPr>
        <w:t xml:space="preserve">makes it difficult for </w:t>
      </w:r>
      <w:r w:rsidR="00707B50" w:rsidRPr="00843214">
        <w:rPr>
          <w:b/>
          <w:bCs/>
          <w:color w:val="auto"/>
          <w:lang w:val="en-AU"/>
        </w:rPr>
        <w:t>DFAT</w:t>
      </w:r>
      <w:r w:rsidR="00E70D0A" w:rsidRPr="00843214">
        <w:rPr>
          <w:b/>
          <w:bCs/>
          <w:color w:val="auto"/>
          <w:lang w:val="en-AU"/>
        </w:rPr>
        <w:t xml:space="preserve"> to justify the</w:t>
      </w:r>
      <w:r w:rsidRPr="00843214">
        <w:rPr>
          <w:b/>
          <w:bCs/>
          <w:color w:val="auto"/>
          <w:lang w:val="en-AU"/>
        </w:rPr>
        <w:t xml:space="preserve"> core</w:t>
      </w:r>
      <w:r w:rsidR="00E70D0A" w:rsidRPr="00843214">
        <w:rPr>
          <w:b/>
          <w:bCs/>
          <w:color w:val="auto"/>
          <w:lang w:val="en-AU"/>
        </w:rPr>
        <w:t xml:space="preserve"> expenditure</w:t>
      </w:r>
      <w:r w:rsidR="00E70D0A" w:rsidRPr="00843214">
        <w:rPr>
          <w:color w:val="auto"/>
          <w:lang w:val="en-AU"/>
        </w:rPr>
        <w:t>.</w:t>
      </w:r>
      <w:r w:rsidRPr="00843214">
        <w:rPr>
          <w:color w:val="auto"/>
          <w:lang w:val="en-AU"/>
        </w:rPr>
        <w:t xml:space="preserve"> </w:t>
      </w:r>
      <w:r w:rsidR="00D04A47" w:rsidRPr="00843214">
        <w:rPr>
          <w:color w:val="auto"/>
          <w:lang w:val="en-AU"/>
        </w:rPr>
        <w:t xml:space="preserve">Even while DFAT and UN Women’s strategic priorities are largely aligned, it is not always possible for UN Women to demonstrate how core resourcing contributes to DFAT’s priorities in the Indo-Pacific and politically it is challenging for DFAT to demonstrate how Australian tax dollars are being used when it cannot ‘follow the money.’ </w:t>
      </w:r>
      <w:r w:rsidR="00D0274B" w:rsidRPr="00843214">
        <w:rPr>
          <w:color w:val="auto"/>
          <w:lang w:val="en-AU"/>
        </w:rPr>
        <w:t>The UN Women’s Regular Resources Report 2019 states that most core funding in the Asia-Pacific region</w:t>
      </w:r>
      <w:r w:rsidR="00D0274B" w:rsidRPr="00843214">
        <w:rPr>
          <w:color w:val="auto"/>
          <w:vertAlign w:val="superscript"/>
          <w:lang w:val="en-AU"/>
        </w:rPr>
        <w:footnoteReference w:id="97"/>
      </w:r>
      <w:r w:rsidR="00D0274B" w:rsidRPr="00843214">
        <w:rPr>
          <w:color w:val="auto"/>
          <w:lang w:val="en-AU"/>
        </w:rPr>
        <w:t xml:space="preserve"> is spent on program implementation (76 per cent) and 10 per cent on normative functions and 7 per cent on coordination functions and, notwithstanding positive normative and coordination findings, the reach of this core funding is not clear</w:t>
      </w:r>
      <w:r w:rsidR="00D0274B" w:rsidRPr="00843214">
        <w:rPr>
          <w:color w:val="auto"/>
          <w:vertAlign w:val="superscript"/>
          <w:lang w:val="en-AU"/>
        </w:rPr>
        <w:footnoteReference w:id="98"/>
      </w:r>
      <w:r w:rsidR="00D0274B" w:rsidRPr="00843214">
        <w:rPr>
          <w:color w:val="auto"/>
          <w:lang w:val="en-AU"/>
        </w:rPr>
        <w:t>.</w:t>
      </w:r>
      <w:r w:rsidRPr="00843214">
        <w:rPr>
          <w:color w:val="auto"/>
          <w:lang w:val="en-AU"/>
        </w:rPr>
        <w:t xml:space="preserve">Further, </w:t>
      </w:r>
      <w:r w:rsidRPr="00843214">
        <w:rPr>
          <w:color w:val="auto"/>
        </w:rPr>
        <w:t>UN Women can only provide additional information on the regions as defined by UN Women governance framework (i.e., UN Women’s Asia-Pacific rather than DFAT’s Indo-Pacific)</w:t>
      </w:r>
      <w:r w:rsidRPr="00843214">
        <w:rPr>
          <w:color w:val="auto"/>
          <w:lang w:val="en-AU"/>
        </w:rPr>
        <w:t>.</w:t>
      </w:r>
    </w:p>
    <w:p w14:paraId="0B0575EE" w14:textId="4FC06C11" w:rsidR="004403F2" w:rsidRPr="00843214" w:rsidRDefault="004403F2" w:rsidP="004403F2">
      <w:pPr>
        <w:rPr>
          <w:color w:val="auto"/>
          <w:lang w:val="en-AU"/>
        </w:rPr>
      </w:pPr>
      <w:bookmarkStart w:id="84" w:name="_Hlk67577627"/>
      <w:r w:rsidRPr="00843214">
        <w:rPr>
          <w:b/>
          <w:bCs/>
          <w:color w:val="auto"/>
          <w:lang w:val="en-AU"/>
        </w:rPr>
        <w:t>DFAT would prefer to offer activity-based financing to ensure that funding reaches the Indo-Pacific.</w:t>
      </w:r>
      <w:r w:rsidRPr="00843214">
        <w:rPr>
          <w:color w:val="auto"/>
          <w:lang w:val="en-AU"/>
        </w:rPr>
        <w:t xml:space="preserve"> </w:t>
      </w:r>
      <w:bookmarkEnd w:id="84"/>
      <w:r w:rsidRPr="00843214">
        <w:rPr>
          <w:color w:val="auto"/>
          <w:lang w:val="en-AU"/>
        </w:rPr>
        <w:t>As both DFAT and UN Women recognise, it is easier to identify results for project specific (non-core) funding and to align non-core funding to a specific regi</w:t>
      </w:r>
      <w:r w:rsidR="004E11D1" w:rsidRPr="00843214">
        <w:rPr>
          <w:color w:val="auto"/>
          <w:lang w:val="en-AU"/>
        </w:rPr>
        <w:t>on</w:t>
      </w:r>
      <w:r w:rsidRPr="00843214">
        <w:rPr>
          <w:color w:val="auto"/>
          <w:lang w:val="en-AU"/>
        </w:rPr>
        <w:t>.</w:t>
      </w:r>
      <w:bookmarkStart w:id="85" w:name="_Hlk66644452"/>
      <w:r w:rsidRPr="00843214">
        <w:rPr>
          <w:color w:val="auto"/>
          <w:lang w:val="en-AU"/>
        </w:rPr>
        <w:t xml:space="preserve"> </w:t>
      </w:r>
      <w:bookmarkEnd w:id="85"/>
      <w:r w:rsidRPr="00843214">
        <w:rPr>
          <w:color w:val="auto"/>
          <w:lang w:val="en-AU"/>
        </w:rPr>
        <w:t>But that does not enable UN Women to respond when needs emerge, particularly where there is not political alignment, or to provide core services. In practice, a blend of project and core resourcing contributes to the Partnership objectives with a greater concentration of non-core resourcing designated to women’s leadership, WPS, EVAW</w:t>
      </w:r>
      <w:r w:rsidR="00A962D2" w:rsidRPr="00843214">
        <w:rPr>
          <w:color w:val="auto"/>
          <w:lang w:val="en-AU"/>
        </w:rPr>
        <w:t>G</w:t>
      </w:r>
      <w:r w:rsidRPr="00843214">
        <w:rPr>
          <w:color w:val="auto"/>
          <w:lang w:val="en-AU"/>
        </w:rPr>
        <w:t xml:space="preserve">, and WEE initiatives. </w:t>
      </w:r>
    </w:p>
    <w:p w14:paraId="0F9E0894" w14:textId="2FD907EC" w:rsidR="00483DCB" w:rsidRPr="00843214" w:rsidRDefault="00483DCB" w:rsidP="002A51E1">
      <w:pPr>
        <w:rPr>
          <w:color w:val="auto"/>
          <w:lang w:val="en-AU"/>
        </w:rPr>
      </w:pPr>
      <w:r w:rsidRPr="00843214">
        <w:rPr>
          <w:b/>
          <w:bCs/>
          <w:color w:val="auto"/>
          <w:lang w:val="en-AU"/>
        </w:rPr>
        <w:t xml:space="preserve">Long-term, core </w:t>
      </w:r>
      <w:r w:rsidR="0041207E" w:rsidRPr="00843214">
        <w:rPr>
          <w:b/>
          <w:bCs/>
          <w:color w:val="auto"/>
          <w:lang w:val="en-AU"/>
        </w:rPr>
        <w:t xml:space="preserve">and non-core </w:t>
      </w:r>
      <w:r w:rsidRPr="00843214">
        <w:rPr>
          <w:b/>
          <w:bCs/>
          <w:color w:val="auto"/>
          <w:lang w:val="en-AU"/>
        </w:rPr>
        <w:t>funding and non-core pooled funding enable key functions</w:t>
      </w:r>
      <w:r w:rsidR="00905D9D" w:rsidRPr="00843214">
        <w:rPr>
          <w:b/>
          <w:bCs/>
          <w:color w:val="auto"/>
          <w:lang w:val="en-AU"/>
        </w:rPr>
        <w:t>.</w:t>
      </w:r>
      <w:r w:rsidRPr="00843214">
        <w:rPr>
          <w:color w:val="auto"/>
          <w:lang w:val="en-AU"/>
        </w:rPr>
        <w:t xml:space="preserve"> Multi-year core funding has enabled flexible program delivery. DFAT is one of the few donors that provide this </w:t>
      </w:r>
      <w:proofErr w:type="gramStart"/>
      <w:r w:rsidRPr="00843214">
        <w:rPr>
          <w:color w:val="auto"/>
          <w:lang w:val="en-AU"/>
        </w:rPr>
        <w:t>funding</w:t>
      </w:r>
      <w:proofErr w:type="gramEnd"/>
      <w:r w:rsidRPr="00843214">
        <w:rPr>
          <w:color w:val="auto"/>
          <w:lang w:val="en-AU"/>
        </w:rPr>
        <w:t xml:space="preserve"> and it enables UN Women to have a more strategic and adaptive </w:t>
      </w:r>
      <w:r w:rsidRPr="00843214">
        <w:rPr>
          <w:color w:val="auto"/>
          <w:lang w:val="en-AU"/>
        </w:rPr>
        <w:lastRenderedPageBreak/>
        <w:t xml:space="preserve">approach to program delivery. </w:t>
      </w:r>
      <w:r w:rsidR="004403F2" w:rsidRPr="00843214">
        <w:rPr>
          <w:color w:val="auto"/>
          <w:lang w:val="en-AU"/>
        </w:rPr>
        <w:t>N</w:t>
      </w:r>
      <w:r w:rsidRPr="00843214">
        <w:rPr>
          <w:color w:val="auto"/>
          <w:lang w:val="en-AU"/>
        </w:rPr>
        <w:t>on-core pooled funding mechanism such as the UN</w:t>
      </w:r>
      <w:r w:rsidR="00C82AF0" w:rsidRPr="00843214">
        <w:rPr>
          <w:color w:val="auto"/>
          <w:lang w:val="en-AU"/>
        </w:rPr>
        <w:t>TF for</w:t>
      </w:r>
      <w:r w:rsidRPr="00843214">
        <w:rPr>
          <w:color w:val="auto"/>
          <w:lang w:val="en-AU"/>
        </w:rPr>
        <w:t xml:space="preserve"> EVAW, WPS Global Facility and the W</w:t>
      </w:r>
      <w:r w:rsidR="009A1E81" w:rsidRPr="00843214">
        <w:rPr>
          <w:color w:val="auto"/>
          <w:lang w:val="en-AU"/>
        </w:rPr>
        <w:t>PHF</w:t>
      </w:r>
      <w:r w:rsidR="004403F2" w:rsidRPr="00843214">
        <w:rPr>
          <w:color w:val="auto"/>
          <w:lang w:val="en-AU"/>
        </w:rPr>
        <w:t xml:space="preserve"> have supported good results.</w:t>
      </w:r>
    </w:p>
    <w:p w14:paraId="45D3DB04" w14:textId="77777777" w:rsidR="000E342F" w:rsidRPr="00843214" w:rsidRDefault="000E342F" w:rsidP="000E342F">
      <w:pPr>
        <w:keepNext/>
        <w:keepLines/>
        <w:numPr>
          <w:ilvl w:val="2"/>
          <w:numId w:val="4"/>
        </w:numPr>
        <w:spacing w:before="240"/>
        <w:outlineLvl w:val="2"/>
        <w:rPr>
          <w:rFonts w:eastAsiaTheme="majorEastAsia" w:cstheme="majorBidi"/>
          <w:color w:val="auto"/>
          <w:sz w:val="28"/>
          <w:lang w:val="en-AU"/>
        </w:rPr>
      </w:pPr>
      <w:bookmarkStart w:id="86" w:name="_Toc69376671"/>
      <w:r w:rsidRPr="00843214">
        <w:rPr>
          <w:rFonts w:eastAsiaTheme="majorEastAsia" w:cstheme="majorBidi"/>
          <w:color w:val="auto"/>
          <w:sz w:val="28"/>
          <w:lang w:val="en-AU"/>
        </w:rPr>
        <w:t>Value for Money</w:t>
      </w:r>
      <w:bookmarkEnd w:id="86"/>
    </w:p>
    <w:p w14:paraId="1A1CDD24" w14:textId="16C26F70" w:rsidR="000E342F" w:rsidRPr="00843214" w:rsidRDefault="0070187E" w:rsidP="000B67DF">
      <w:pPr>
        <w:rPr>
          <w:color w:val="auto"/>
          <w:lang w:val="en-AU"/>
        </w:rPr>
      </w:pPr>
      <w:r w:rsidRPr="00843214">
        <w:rPr>
          <w:b/>
          <w:bCs/>
          <w:color w:val="auto"/>
          <w:lang w:val="en-AU"/>
        </w:rPr>
        <w:t>DFAT’s most recent AMPR</w:t>
      </w:r>
      <w:r w:rsidRPr="00843214">
        <w:rPr>
          <w:rStyle w:val="FootnoteReference"/>
          <w:b/>
          <w:bCs/>
          <w:color w:val="auto"/>
          <w:lang w:val="en-AU"/>
        </w:rPr>
        <w:footnoteReference w:id="99"/>
      </w:r>
      <w:r w:rsidRPr="00843214">
        <w:rPr>
          <w:b/>
          <w:bCs/>
          <w:color w:val="auto"/>
          <w:lang w:val="en-AU"/>
        </w:rPr>
        <w:t xml:space="preserve"> for the financial year 2019-20, found that UN Women consistently demonstrated </w:t>
      </w:r>
      <w:r w:rsidR="00C0562A" w:rsidRPr="00843214">
        <w:rPr>
          <w:b/>
          <w:bCs/>
          <w:color w:val="auto"/>
          <w:lang w:val="en-AU"/>
        </w:rPr>
        <w:t>VfM</w:t>
      </w:r>
      <w:r w:rsidRPr="00843214">
        <w:rPr>
          <w:b/>
          <w:bCs/>
          <w:color w:val="auto"/>
          <w:lang w:val="en-AU"/>
        </w:rPr>
        <w:t xml:space="preserve"> in overall </w:t>
      </w:r>
      <w:r w:rsidR="007E041F" w:rsidRPr="00843214">
        <w:rPr>
          <w:b/>
          <w:bCs/>
          <w:color w:val="auto"/>
          <w:lang w:val="en-AU"/>
        </w:rPr>
        <w:t xml:space="preserve">effectiveness of </w:t>
      </w:r>
      <w:r w:rsidRPr="00843214">
        <w:rPr>
          <w:b/>
          <w:bCs/>
          <w:color w:val="auto"/>
          <w:lang w:val="en-AU"/>
        </w:rPr>
        <w:t>program delivery achieving a higher rating (5) than in the 2018-19 AMPR</w:t>
      </w:r>
      <w:r w:rsidRPr="00843214">
        <w:rPr>
          <w:rStyle w:val="FootnoteReference"/>
          <w:b/>
          <w:bCs/>
          <w:color w:val="auto"/>
          <w:lang w:val="en-AU"/>
        </w:rPr>
        <w:footnoteReference w:id="100"/>
      </w:r>
      <w:r w:rsidRPr="00843214">
        <w:rPr>
          <w:b/>
          <w:bCs/>
          <w:color w:val="auto"/>
          <w:lang w:val="en-AU"/>
        </w:rPr>
        <w:t xml:space="preserve">. </w:t>
      </w:r>
      <w:r w:rsidR="00C77322" w:rsidRPr="00843214">
        <w:rPr>
          <w:color w:val="auto"/>
          <w:lang w:val="en-AU"/>
        </w:rPr>
        <w:t>However</w:t>
      </w:r>
      <w:r w:rsidRPr="00843214">
        <w:rPr>
          <w:color w:val="auto"/>
          <w:lang w:val="en-AU"/>
        </w:rPr>
        <w:t xml:space="preserve">, </w:t>
      </w:r>
      <w:r w:rsidR="000F544B" w:rsidRPr="00843214">
        <w:rPr>
          <w:color w:val="auto"/>
          <w:lang w:val="en-AU"/>
        </w:rPr>
        <w:t>the 2019-20 AMPR</w:t>
      </w:r>
      <w:r w:rsidRPr="00843214">
        <w:rPr>
          <w:color w:val="auto"/>
          <w:lang w:val="en-AU"/>
        </w:rPr>
        <w:t xml:space="preserve"> </w:t>
      </w:r>
      <w:r w:rsidRPr="00843214">
        <w:rPr>
          <w:b/>
          <w:bCs/>
          <w:color w:val="auto"/>
          <w:lang w:val="en-AU"/>
        </w:rPr>
        <w:t xml:space="preserve">identifies </w:t>
      </w:r>
      <w:r w:rsidR="00C77322" w:rsidRPr="00843214">
        <w:rPr>
          <w:b/>
          <w:bCs/>
          <w:color w:val="auto"/>
          <w:lang w:val="en-AU"/>
        </w:rPr>
        <w:t xml:space="preserve">the </w:t>
      </w:r>
      <w:r w:rsidR="007E041F" w:rsidRPr="00843214">
        <w:rPr>
          <w:b/>
          <w:bCs/>
          <w:color w:val="auto"/>
          <w:lang w:val="en-AU"/>
        </w:rPr>
        <w:t xml:space="preserve">economy issues of </w:t>
      </w:r>
      <w:r w:rsidRPr="00843214">
        <w:rPr>
          <w:b/>
          <w:bCs/>
          <w:color w:val="auto"/>
          <w:lang w:val="en-AU"/>
        </w:rPr>
        <w:t xml:space="preserve">funding fragmentation and limited joint programs as an impediment to </w:t>
      </w:r>
      <w:r w:rsidR="008B7BCB" w:rsidRPr="00843214">
        <w:rPr>
          <w:b/>
          <w:bCs/>
          <w:color w:val="auto"/>
          <w:lang w:val="en-AU"/>
        </w:rPr>
        <w:t>VfM</w:t>
      </w:r>
      <w:r w:rsidRPr="00843214">
        <w:rPr>
          <w:b/>
          <w:bCs/>
          <w:color w:val="auto"/>
          <w:lang w:val="en-AU"/>
        </w:rPr>
        <w:t xml:space="preserve">. </w:t>
      </w:r>
      <w:r w:rsidR="001112DF" w:rsidRPr="00843214">
        <w:rPr>
          <w:b/>
          <w:bCs/>
          <w:color w:val="auto"/>
          <w:lang w:val="en-AU"/>
        </w:rPr>
        <w:t>UN Women has ethically managed their finances</w:t>
      </w:r>
      <w:r w:rsidR="001112DF" w:rsidRPr="00843214">
        <w:rPr>
          <w:color w:val="auto"/>
          <w:lang w:val="en-AU"/>
        </w:rPr>
        <w:t xml:space="preserve">. </w:t>
      </w:r>
      <w:r w:rsidR="008664D3" w:rsidRPr="00843214">
        <w:rPr>
          <w:color w:val="auto"/>
          <w:lang w:val="en-AU"/>
        </w:rPr>
        <w:t>As noted in Section 1.1.1, t</w:t>
      </w:r>
      <w:r w:rsidR="001112DF" w:rsidRPr="00843214">
        <w:rPr>
          <w:color w:val="auto"/>
          <w:lang w:val="en-AU"/>
        </w:rPr>
        <w:t>hey have received nine unqualified audits.</w:t>
      </w:r>
      <w:r w:rsidR="001112DF" w:rsidRPr="00843214">
        <w:rPr>
          <w:b/>
          <w:bCs/>
          <w:color w:val="auto"/>
          <w:lang w:val="en-AU"/>
        </w:rPr>
        <w:t xml:space="preserve"> </w:t>
      </w:r>
      <w:r w:rsidR="000E342F" w:rsidRPr="00843214">
        <w:rPr>
          <w:b/>
          <w:bCs/>
          <w:color w:val="auto"/>
          <w:lang w:val="en-AU"/>
        </w:rPr>
        <w:t xml:space="preserve">Partnership activities offer adequate to good </w:t>
      </w:r>
      <w:r w:rsidR="00C0562A" w:rsidRPr="00843214">
        <w:rPr>
          <w:b/>
          <w:bCs/>
          <w:color w:val="auto"/>
          <w:lang w:val="en-AU"/>
        </w:rPr>
        <w:t>VfM</w:t>
      </w:r>
      <w:r w:rsidR="000E342F" w:rsidRPr="00843214">
        <w:rPr>
          <w:b/>
          <w:bCs/>
          <w:color w:val="auto"/>
          <w:lang w:val="en-AU"/>
        </w:rPr>
        <w:t xml:space="preserve"> </w:t>
      </w:r>
      <w:r w:rsidR="007E041F" w:rsidRPr="00843214">
        <w:rPr>
          <w:b/>
          <w:bCs/>
          <w:color w:val="auto"/>
          <w:lang w:val="en-AU"/>
        </w:rPr>
        <w:t xml:space="preserve">in terms of efficiency </w:t>
      </w:r>
      <w:r w:rsidR="000F544B" w:rsidRPr="00843214">
        <w:rPr>
          <w:b/>
          <w:bCs/>
          <w:color w:val="auto"/>
          <w:lang w:val="en-AU"/>
        </w:rPr>
        <w:t xml:space="preserve">and economy </w:t>
      </w:r>
      <w:r w:rsidR="000E342F" w:rsidRPr="00843214">
        <w:rPr>
          <w:b/>
          <w:bCs/>
          <w:color w:val="auto"/>
          <w:lang w:val="en-AU"/>
        </w:rPr>
        <w:t xml:space="preserve">from the perspective of DFAT activity managers on all four case </w:t>
      </w:r>
      <w:r w:rsidR="003B626A" w:rsidRPr="00843214">
        <w:rPr>
          <w:b/>
          <w:bCs/>
          <w:color w:val="auto"/>
          <w:lang w:val="en-AU"/>
        </w:rPr>
        <w:t xml:space="preserve">project </w:t>
      </w:r>
      <w:r w:rsidR="000E342F" w:rsidRPr="00843214">
        <w:rPr>
          <w:b/>
          <w:bCs/>
          <w:color w:val="auto"/>
          <w:lang w:val="en-AU"/>
        </w:rPr>
        <w:t>agreements.</w:t>
      </w:r>
      <w:r w:rsidR="000E342F" w:rsidRPr="00843214">
        <w:rPr>
          <w:color w:val="auto"/>
          <w:lang w:val="en-AU"/>
        </w:rPr>
        <w:t xml:space="preserve"> In the related PPAs, higher ratings were consistently found in UN Women’s commitment to improve VfM, and their pursuit of cost-effectiveness and proportionality in resource allocation. </w:t>
      </w:r>
      <w:r w:rsidR="00DC7305" w:rsidRPr="00843214">
        <w:rPr>
          <w:color w:val="auto"/>
          <w:lang w:val="en-AU"/>
        </w:rPr>
        <w:t>However, l</w:t>
      </w:r>
      <w:r w:rsidR="000E342F" w:rsidRPr="00843214">
        <w:rPr>
          <w:color w:val="auto"/>
          <w:lang w:val="en-AU"/>
        </w:rPr>
        <w:t xml:space="preserve">ower ratings </w:t>
      </w:r>
      <w:r w:rsidR="00924F64" w:rsidRPr="00843214">
        <w:rPr>
          <w:color w:val="auto"/>
          <w:lang w:val="en-AU"/>
        </w:rPr>
        <w:t>(thou</w:t>
      </w:r>
      <w:r w:rsidR="00D039A3" w:rsidRPr="00843214">
        <w:rPr>
          <w:color w:val="auto"/>
          <w:lang w:val="en-AU"/>
        </w:rPr>
        <w:t>gh a mix between good</w:t>
      </w:r>
      <w:r w:rsidR="00E973EC" w:rsidRPr="00843214">
        <w:rPr>
          <w:color w:val="auto"/>
          <w:lang w:val="en-AU"/>
        </w:rPr>
        <w:t xml:space="preserve">, </w:t>
      </w:r>
      <w:proofErr w:type="gramStart"/>
      <w:r w:rsidR="00E973EC" w:rsidRPr="00843214">
        <w:rPr>
          <w:color w:val="auto"/>
          <w:lang w:val="en-AU"/>
        </w:rPr>
        <w:t>adequate</w:t>
      </w:r>
      <w:proofErr w:type="gramEnd"/>
      <w:r w:rsidR="00D039A3" w:rsidRPr="00843214">
        <w:rPr>
          <w:color w:val="auto"/>
          <w:lang w:val="en-AU"/>
        </w:rPr>
        <w:t xml:space="preserve"> and </w:t>
      </w:r>
      <w:r w:rsidR="0070203E" w:rsidRPr="00843214">
        <w:rPr>
          <w:color w:val="auto"/>
          <w:lang w:val="en-AU"/>
        </w:rPr>
        <w:t>inadequate</w:t>
      </w:r>
      <w:r w:rsidR="00D039A3" w:rsidRPr="00843214">
        <w:rPr>
          <w:color w:val="auto"/>
          <w:lang w:val="en-AU"/>
        </w:rPr>
        <w:t xml:space="preserve">) </w:t>
      </w:r>
      <w:r w:rsidR="000E342F" w:rsidRPr="00843214">
        <w:rPr>
          <w:color w:val="auto"/>
          <w:lang w:val="en-AU"/>
        </w:rPr>
        <w:t xml:space="preserve">were </w:t>
      </w:r>
      <w:r w:rsidR="00F635F6" w:rsidRPr="00843214">
        <w:rPr>
          <w:color w:val="auto"/>
          <w:lang w:val="en-AU"/>
        </w:rPr>
        <w:t>consistent for</w:t>
      </w:r>
      <w:r w:rsidR="000E342F" w:rsidRPr="00843214">
        <w:rPr>
          <w:color w:val="auto"/>
          <w:lang w:val="en-AU"/>
        </w:rPr>
        <w:t xml:space="preserve"> UN Women’s</w:t>
      </w:r>
      <w:r w:rsidR="007E041F" w:rsidRPr="00843214">
        <w:rPr>
          <w:color w:val="auto"/>
          <w:lang w:val="en-AU"/>
        </w:rPr>
        <w:t xml:space="preserve"> efficiency </w:t>
      </w:r>
      <w:r w:rsidR="001350D1" w:rsidRPr="00843214">
        <w:rPr>
          <w:color w:val="auto"/>
          <w:lang w:val="en-AU"/>
        </w:rPr>
        <w:t>for</w:t>
      </w:r>
      <w:r w:rsidR="000E342F" w:rsidRPr="00843214">
        <w:rPr>
          <w:color w:val="auto"/>
          <w:lang w:val="en-AU"/>
        </w:rPr>
        <w:t xml:space="preserve"> budget management, and their systems and procedures to monitor and manage VfM during implementation. </w:t>
      </w:r>
    </w:p>
    <w:p w14:paraId="595439A3" w14:textId="392AF1F5" w:rsidR="00AC3BD0" w:rsidRPr="00843214" w:rsidRDefault="00AC3BD0" w:rsidP="00843214">
      <w:pPr>
        <w:pStyle w:val="Heading1"/>
        <w:rPr>
          <w:lang w:val="en-AU"/>
        </w:rPr>
      </w:pPr>
      <w:bookmarkStart w:id="87" w:name="_Toc69376672"/>
      <w:r w:rsidRPr="00843214">
        <w:rPr>
          <w:lang w:val="en-AU"/>
        </w:rPr>
        <w:t>Towards the SPF 2022-2025</w:t>
      </w:r>
      <w:bookmarkEnd w:id="87"/>
    </w:p>
    <w:p w14:paraId="500D3AA5" w14:textId="67311E0A" w:rsidR="00BA1D03" w:rsidRPr="00843214" w:rsidRDefault="00BA1D03" w:rsidP="00BD5384">
      <w:pPr>
        <w:pStyle w:val="Heading2"/>
        <w:numPr>
          <w:ilvl w:val="0"/>
          <w:numId w:val="0"/>
        </w:numPr>
        <w:ind w:left="576" w:hanging="576"/>
        <w:rPr>
          <w:color w:val="auto"/>
          <w:lang w:val="en-AU" w:eastAsia="en-GB"/>
        </w:rPr>
      </w:pPr>
      <w:bookmarkStart w:id="88" w:name="_Toc69376673"/>
      <w:r w:rsidRPr="00843214">
        <w:rPr>
          <w:color w:val="auto"/>
          <w:lang w:val="en-AU" w:eastAsia="en-GB"/>
        </w:rPr>
        <w:t>Conclusions</w:t>
      </w:r>
      <w:bookmarkEnd w:id="88"/>
    </w:p>
    <w:p w14:paraId="3F1D6DE0" w14:textId="261978D9" w:rsidR="001C5D1E" w:rsidRPr="00843214" w:rsidRDefault="004A2BC9" w:rsidP="001C5D1E">
      <w:pPr>
        <w:pStyle w:val="Heading4"/>
        <w:rPr>
          <w:b/>
          <w:bCs/>
          <w:color w:val="auto"/>
          <w:sz w:val="25"/>
          <w:szCs w:val="32"/>
          <w:lang w:val="en-AU"/>
        </w:rPr>
      </w:pPr>
      <w:bookmarkStart w:id="89" w:name="_Hlk66700929"/>
      <w:r w:rsidRPr="00843214">
        <w:rPr>
          <w:b/>
          <w:bCs/>
          <w:color w:val="auto"/>
          <w:sz w:val="25"/>
          <w:szCs w:val="32"/>
          <w:lang w:val="en-AU"/>
        </w:rPr>
        <w:t>Overall v</w:t>
      </w:r>
      <w:r w:rsidR="001C5D1E" w:rsidRPr="00843214">
        <w:rPr>
          <w:b/>
          <w:bCs/>
          <w:color w:val="auto"/>
          <w:sz w:val="25"/>
          <w:szCs w:val="32"/>
          <w:lang w:val="en-AU"/>
        </w:rPr>
        <w:t xml:space="preserve">alue of </w:t>
      </w:r>
      <w:r w:rsidR="001C4F87" w:rsidRPr="00843214">
        <w:rPr>
          <w:b/>
          <w:bCs/>
          <w:color w:val="auto"/>
          <w:sz w:val="25"/>
          <w:szCs w:val="32"/>
          <w:lang w:val="en-AU"/>
        </w:rPr>
        <w:t>the Partnership</w:t>
      </w:r>
    </w:p>
    <w:p w14:paraId="3BBC688E" w14:textId="58A9D7DF" w:rsidR="007A4179" w:rsidRPr="00843214" w:rsidRDefault="00E95AA5" w:rsidP="00C20F92">
      <w:pPr>
        <w:rPr>
          <w:color w:val="auto"/>
          <w:lang w:val="en-AU" w:eastAsia="en-GB"/>
        </w:rPr>
      </w:pPr>
      <w:r w:rsidRPr="00843214">
        <w:rPr>
          <w:b/>
          <w:bCs/>
          <w:color w:val="auto"/>
          <w:lang w:val="en-AU" w:eastAsia="en-GB"/>
        </w:rPr>
        <w:t xml:space="preserve">The partnership between DFAT and UN Women has achieved significant gains toward its </w:t>
      </w:r>
      <w:r w:rsidR="005A2A6A" w:rsidRPr="00843214">
        <w:rPr>
          <w:b/>
          <w:bCs/>
          <w:color w:val="auto"/>
          <w:lang w:val="en-AU" w:eastAsia="en-GB"/>
        </w:rPr>
        <w:t>shared</w:t>
      </w:r>
      <w:r w:rsidRPr="00843214">
        <w:rPr>
          <w:b/>
          <w:bCs/>
          <w:color w:val="auto"/>
          <w:lang w:val="en-AU" w:eastAsia="en-GB"/>
        </w:rPr>
        <w:t xml:space="preserve"> objectives with a strong programmatic focus</w:t>
      </w:r>
      <w:r w:rsidR="006E14FE" w:rsidRPr="00843214">
        <w:rPr>
          <w:b/>
          <w:bCs/>
          <w:color w:val="auto"/>
          <w:lang w:val="en-AU" w:eastAsia="en-GB"/>
        </w:rPr>
        <w:t>.</w:t>
      </w:r>
      <w:r w:rsidR="006E14FE" w:rsidRPr="00843214">
        <w:rPr>
          <w:color w:val="auto"/>
          <w:lang w:val="en-AU" w:eastAsia="en-GB"/>
        </w:rPr>
        <w:t xml:space="preserve"> The strength of </w:t>
      </w:r>
      <w:r w:rsidR="001C4F87" w:rsidRPr="00843214">
        <w:rPr>
          <w:color w:val="auto"/>
          <w:lang w:val="en-AU" w:eastAsia="en-GB"/>
        </w:rPr>
        <w:t>the Partnership</w:t>
      </w:r>
      <w:r w:rsidR="006E14FE" w:rsidRPr="00843214">
        <w:rPr>
          <w:color w:val="auto"/>
          <w:lang w:val="en-AU" w:eastAsia="en-GB"/>
        </w:rPr>
        <w:t xml:space="preserve"> lies in the alignment of the partners, the ability to leverage global and regional </w:t>
      </w:r>
      <w:r w:rsidR="007A4179" w:rsidRPr="00843214">
        <w:rPr>
          <w:color w:val="auto"/>
          <w:lang w:val="en-AU" w:eastAsia="en-GB"/>
        </w:rPr>
        <w:t xml:space="preserve">expertise, and the long-term, flexible nature of the engagement on both sides. The driving factor for the achievements of </w:t>
      </w:r>
      <w:r w:rsidR="001C4F87" w:rsidRPr="00843214">
        <w:rPr>
          <w:color w:val="auto"/>
          <w:lang w:val="en-AU" w:eastAsia="en-GB"/>
        </w:rPr>
        <w:t>the Partnership</w:t>
      </w:r>
      <w:r w:rsidR="007A4179" w:rsidRPr="00843214">
        <w:rPr>
          <w:color w:val="auto"/>
          <w:lang w:val="en-AU" w:eastAsia="en-GB"/>
        </w:rPr>
        <w:t xml:space="preserve"> is DFAT and UN Women’s shared commitment to gender equality, women’s empowerment, and enhancing women’s safety and security. </w:t>
      </w:r>
      <w:r w:rsidR="006E14FE" w:rsidRPr="00843214">
        <w:rPr>
          <w:color w:val="auto"/>
          <w:lang w:val="en-AU" w:eastAsia="en-GB"/>
        </w:rPr>
        <w:t>Australia’s support transcends the role of donor providing important leadership and advocacy on WPS, EVAW</w:t>
      </w:r>
      <w:r w:rsidR="00FB1EB3" w:rsidRPr="00843214">
        <w:rPr>
          <w:color w:val="auto"/>
          <w:lang w:val="en-AU" w:eastAsia="en-GB"/>
        </w:rPr>
        <w:t>G</w:t>
      </w:r>
      <w:r w:rsidR="006E14FE" w:rsidRPr="00843214">
        <w:rPr>
          <w:color w:val="auto"/>
          <w:lang w:val="en-AU" w:eastAsia="en-GB"/>
        </w:rPr>
        <w:t xml:space="preserve">, SEAH, </w:t>
      </w:r>
      <w:r w:rsidRPr="00843214">
        <w:rPr>
          <w:color w:val="auto"/>
          <w:lang w:val="en-AU" w:eastAsia="en-GB"/>
        </w:rPr>
        <w:t xml:space="preserve">and is expected to be important to emerging work on DRR. </w:t>
      </w:r>
      <w:r w:rsidR="006E14FE" w:rsidRPr="00843214">
        <w:rPr>
          <w:color w:val="auto"/>
          <w:lang w:val="en-AU" w:eastAsia="en-GB"/>
        </w:rPr>
        <w:t>For Australia, UN Women’s technical expertise,</w:t>
      </w:r>
      <w:r w:rsidR="00AC7E78" w:rsidRPr="00843214">
        <w:rPr>
          <w:color w:val="auto"/>
          <w:lang w:val="en-AU" w:eastAsia="en-GB"/>
        </w:rPr>
        <w:t xml:space="preserve"> </w:t>
      </w:r>
      <w:r w:rsidR="006E14FE" w:rsidRPr="00843214">
        <w:rPr>
          <w:color w:val="auto"/>
          <w:lang w:val="en-AU" w:eastAsia="en-GB"/>
        </w:rPr>
        <w:t>global advocacy</w:t>
      </w:r>
      <w:r w:rsidR="00AC7E78" w:rsidRPr="00843214">
        <w:rPr>
          <w:color w:val="auto"/>
          <w:lang w:val="en-AU" w:eastAsia="en-GB"/>
        </w:rPr>
        <w:t xml:space="preserve"> role and political neutrality enable</w:t>
      </w:r>
      <w:r w:rsidR="006E14FE" w:rsidRPr="00843214">
        <w:rPr>
          <w:color w:val="auto"/>
          <w:lang w:val="en-AU" w:eastAsia="en-GB"/>
        </w:rPr>
        <w:t xml:space="preserve"> DFAT </w:t>
      </w:r>
      <w:r w:rsidRPr="00843214">
        <w:rPr>
          <w:color w:val="auto"/>
          <w:lang w:val="en-AU" w:eastAsia="en-GB"/>
        </w:rPr>
        <w:t>to support politically sensitive areas that are key to GEWE</w:t>
      </w:r>
      <w:r w:rsidR="006E14FE" w:rsidRPr="00843214">
        <w:rPr>
          <w:color w:val="auto"/>
          <w:lang w:val="en-AU" w:eastAsia="en-GB"/>
        </w:rPr>
        <w:t xml:space="preserve">. </w:t>
      </w:r>
    </w:p>
    <w:p w14:paraId="3AE43EAD" w14:textId="50D9C1C9" w:rsidR="00E95AA5" w:rsidRPr="00843214" w:rsidRDefault="001A6CC7" w:rsidP="00C20F92">
      <w:pPr>
        <w:rPr>
          <w:color w:val="auto"/>
          <w:lang w:val="en-AU" w:eastAsia="en-GB"/>
        </w:rPr>
      </w:pPr>
      <w:bookmarkStart w:id="90" w:name="_Hlk67577641"/>
      <w:r w:rsidRPr="00843214">
        <w:rPr>
          <w:color w:val="auto"/>
        </w:rPr>
        <w:t xml:space="preserve">While </w:t>
      </w:r>
      <w:r w:rsidR="001C4F87" w:rsidRPr="00843214">
        <w:rPr>
          <w:color w:val="auto"/>
        </w:rPr>
        <w:t>the Partnership</w:t>
      </w:r>
      <w:r w:rsidRPr="00843214">
        <w:rPr>
          <w:color w:val="auto"/>
        </w:rPr>
        <w:t xml:space="preserve"> has a sound and demonstrated value</w:t>
      </w:r>
      <w:r w:rsidR="007A4179" w:rsidRPr="00843214">
        <w:rPr>
          <w:color w:val="auto"/>
          <w:lang w:val="en-AU" w:eastAsia="en-GB"/>
        </w:rPr>
        <w:t xml:space="preserve">, there are aspects of </w:t>
      </w:r>
      <w:r w:rsidR="001C4F87" w:rsidRPr="00843214">
        <w:rPr>
          <w:color w:val="auto"/>
          <w:lang w:val="en-AU" w:eastAsia="en-GB"/>
        </w:rPr>
        <w:t>the Partnership</w:t>
      </w:r>
      <w:r w:rsidR="007A4179" w:rsidRPr="00843214">
        <w:rPr>
          <w:color w:val="auto"/>
          <w:lang w:val="en-AU" w:eastAsia="en-GB"/>
        </w:rPr>
        <w:t xml:space="preserve"> that have been </w:t>
      </w:r>
      <w:r w:rsidR="007A4179" w:rsidRPr="00843214">
        <w:rPr>
          <w:color w:val="auto"/>
          <w:lang w:val="en-AU"/>
        </w:rPr>
        <w:t>recurring challenges</w:t>
      </w:r>
      <w:r w:rsidR="00391E96" w:rsidRPr="00843214">
        <w:rPr>
          <w:color w:val="auto"/>
          <w:lang w:val="en-AU"/>
        </w:rPr>
        <w:t xml:space="preserve"> related to defining the role and strategic focus for UN Women, resource constraints</w:t>
      </w:r>
      <w:r w:rsidR="00A00A80" w:rsidRPr="00843214">
        <w:rPr>
          <w:color w:val="auto"/>
          <w:lang w:val="en-AU"/>
        </w:rPr>
        <w:t xml:space="preserve"> </w:t>
      </w:r>
      <w:r w:rsidR="00391E96" w:rsidRPr="00843214">
        <w:rPr>
          <w:color w:val="auto"/>
          <w:lang w:val="en-AU"/>
        </w:rPr>
        <w:t>and optimising partnerships</w:t>
      </w:r>
      <w:r w:rsidR="00CF071E" w:rsidRPr="00843214">
        <w:rPr>
          <w:color w:val="auto"/>
          <w:lang w:val="en-AU"/>
        </w:rPr>
        <w:t xml:space="preserve"> which are being addressed in UN Women’s forthcoming Strategic Plan</w:t>
      </w:r>
      <w:r w:rsidR="00391E96" w:rsidRPr="00843214">
        <w:rPr>
          <w:color w:val="auto"/>
          <w:lang w:val="en-AU" w:eastAsia="en-GB"/>
        </w:rPr>
        <w:t>.</w:t>
      </w:r>
      <w:r w:rsidR="00E060B4" w:rsidRPr="00843214">
        <w:rPr>
          <w:color w:val="auto"/>
          <w:lang w:val="en-AU" w:eastAsia="en-GB"/>
        </w:rPr>
        <w:t xml:space="preserve"> </w:t>
      </w:r>
      <w:bookmarkStart w:id="91" w:name="_Hlk66777524"/>
      <w:r w:rsidR="00E060B4" w:rsidRPr="00843214">
        <w:rPr>
          <w:color w:val="auto"/>
          <w:lang w:val="en-AU" w:eastAsia="en-GB"/>
        </w:rPr>
        <w:t xml:space="preserve">A key area linked to ongoing funding that needs to be resolved is how to ensure </w:t>
      </w:r>
      <w:r w:rsidR="00E060B4" w:rsidRPr="00843214">
        <w:rPr>
          <w:color w:val="auto"/>
          <w:lang w:val="en-AU"/>
        </w:rPr>
        <w:t xml:space="preserve">sufficient visibility for DFAT both in terms of </w:t>
      </w:r>
      <w:r w:rsidR="00970710" w:rsidRPr="00843214">
        <w:rPr>
          <w:color w:val="auto"/>
          <w:lang w:val="en-AU"/>
        </w:rPr>
        <w:t>public diplomacy/</w:t>
      </w:r>
      <w:r w:rsidR="00E634CE" w:rsidRPr="00843214">
        <w:rPr>
          <w:color w:val="auto"/>
          <w:lang w:val="en-AU"/>
        </w:rPr>
        <w:t xml:space="preserve"> </w:t>
      </w:r>
      <w:r w:rsidR="00970710" w:rsidRPr="00843214">
        <w:rPr>
          <w:color w:val="auto"/>
          <w:lang w:val="en-AU"/>
        </w:rPr>
        <w:t>branding</w:t>
      </w:r>
      <w:r w:rsidR="00E060B4" w:rsidRPr="00843214">
        <w:rPr>
          <w:color w:val="auto"/>
          <w:lang w:val="en-AU"/>
        </w:rPr>
        <w:t xml:space="preserve"> and understanding</w:t>
      </w:r>
      <w:r w:rsidR="00E80BE5" w:rsidRPr="00843214">
        <w:rPr>
          <w:color w:val="auto"/>
          <w:lang w:val="en-AU"/>
        </w:rPr>
        <w:t xml:space="preserve"> of the line between core funding and</w:t>
      </w:r>
      <w:r w:rsidR="00E060B4" w:rsidRPr="00843214">
        <w:rPr>
          <w:color w:val="auto"/>
          <w:lang w:val="en-AU"/>
        </w:rPr>
        <w:t xml:space="preserve"> results in the Indo-Pacific</w:t>
      </w:r>
      <w:r w:rsidR="00E060B4" w:rsidRPr="00843214">
        <w:rPr>
          <w:color w:val="auto"/>
          <w:lang w:val="en-AU" w:eastAsia="en-GB"/>
        </w:rPr>
        <w:t xml:space="preserve">. </w:t>
      </w:r>
      <w:bookmarkEnd w:id="91"/>
    </w:p>
    <w:bookmarkEnd w:id="90"/>
    <w:p w14:paraId="0F7C91EE" w14:textId="53BB924D" w:rsidR="001C5D1E" w:rsidRPr="00843214" w:rsidRDefault="001C5D1E" w:rsidP="001C5D1E">
      <w:pPr>
        <w:pStyle w:val="Heading4"/>
        <w:rPr>
          <w:b/>
          <w:bCs/>
          <w:color w:val="auto"/>
          <w:sz w:val="25"/>
          <w:szCs w:val="32"/>
          <w:lang w:val="en-AU"/>
        </w:rPr>
      </w:pPr>
      <w:r w:rsidRPr="00843214">
        <w:rPr>
          <w:b/>
          <w:bCs/>
          <w:color w:val="auto"/>
          <w:sz w:val="25"/>
          <w:szCs w:val="32"/>
          <w:lang w:val="en-AU"/>
        </w:rPr>
        <w:t>Future priorities</w:t>
      </w:r>
    </w:p>
    <w:p w14:paraId="7638B11E" w14:textId="75B33AA3" w:rsidR="00071A6C" w:rsidRPr="00843214" w:rsidRDefault="00071A6C" w:rsidP="00C20F92">
      <w:pPr>
        <w:rPr>
          <w:color w:val="auto"/>
          <w:lang w:val="en-AU"/>
        </w:rPr>
      </w:pPr>
      <w:r w:rsidRPr="00843214">
        <w:rPr>
          <w:b/>
          <w:bCs/>
          <w:color w:val="auto"/>
          <w:lang w:val="en-AU"/>
        </w:rPr>
        <w:t xml:space="preserve">The nine </w:t>
      </w:r>
      <w:r w:rsidR="0097355E" w:rsidRPr="00843214">
        <w:rPr>
          <w:b/>
          <w:bCs/>
          <w:color w:val="auto"/>
          <w:lang w:val="en-AU"/>
        </w:rPr>
        <w:t xml:space="preserve">SPF </w:t>
      </w:r>
      <w:r w:rsidR="007035DF" w:rsidRPr="00843214">
        <w:rPr>
          <w:b/>
          <w:bCs/>
          <w:color w:val="auto"/>
          <w:lang w:val="en-AU"/>
        </w:rPr>
        <w:t xml:space="preserve">objectives </w:t>
      </w:r>
      <w:r w:rsidRPr="00843214">
        <w:rPr>
          <w:b/>
          <w:bCs/>
          <w:color w:val="auto"/>
          <w:lang w:val="en-AU"/>
        </w:rPr>
        <w:t>remain relevant</w:t>
      </w:r>
      <w:r w:rsidR="002D07A8" w:rsidRPr="00843214">
        <w:rPr>
          <w:b/>
          <w:bCs/>
          <w:color w:val="auto"/>
          <w:lang w:val="en-AU"/>
        </w:rPr>
        <w:t xml:space="preserve"> within the context of COVID-19.</w:t>
      </w:r>
      <w:r w:rsidRPr="00843214">
        <w:rPr>
          <w:b/>
          <w:bCs/>
          <w:color w:val="auto"/>
          <w:lang w:val="en-AU"/>
        </w:rPr>
        <w:t xml:space="preserve"> </w:t>
      </w:r>
      <w:r w:rsidR="007035DF" w:rsidRPr="00843214">
        <w:rPr>
          <w:color w:val="auto"/>
          <w:lang w:val="en-AU"/>
        </w:rPr>
        <w:t>T</w:t>
      </w:r>
      <w:r w:rsidRPr="00843214">
        <w:rPr>
          <w:color w:val="auto"/>
          <w:lang w:val="en-AU"/>
        </w:rPr>
        <w:t xml:space="preserve">he Partnership has a coherent approach and has contributed meaningfully to the objectives. For the next SPF, </w:t>
      </w:r>
      <w:r w:rsidRPr="00843214">
        <w:rPr>
          <w:b/>
          <w:bCs/>
          <w:color w:val="auto"/>
          <w:lang w:val="en-AU"/>
        </w:rPr>
        <w:t xml:space="preserve">the priority areas remain </w:t>
      </w:r>
      <w:r w:rsidR="00474DBA" w:rsidRPr="00843214">
        <w:rPr>
          <w:b/>
          <w:bCs/>
          <w:color w:val="auto"/>
          <w:lang w:val="en-AU"/>
        </w:rPr>
        <w:t>relevant</w:t>
      </w:r>
      <w:r w:rsidR="00474DBA" w:rsidRPr="00843214">
        <w:rPr>
          <w:color w:val="auto"/>
          <w:lang w:val="en-AU"/>
        </w:rPr>
        <w:t>,</w:t>
      </w:r>
      <w:r w:rsidRPr="00843214">
        <w:rPr>
          <w:color w:val="auto"/>
          <w:lang w:val="en-AU"/>
        </w:rPr>
        <w:t xml:space="preserve"> and the Partnership should maintain focus on key areas of strength/competitive advantage/need in COVID-19 response and recovery/high-functioning existing programs.</w:t>
      </w:r>
      <w:r w:rsidR="000C59C9" w:rsidRPr="00843214">
        <w:rPr>
          <w:color w:val="auto"/>
        </w:rPr>
        <w:t xml:space="preserve"> There are strong po</w:t>
      </w:r>
      <w:r w:rsidR="000C59C9" w:rsidRPr="00843214">
        <w:rPr>
          <w:color w:val="auto"/>
          <w:lang w:val="en-AU"/>
        </w:rPr>
        <w:t>ints of convergence and intersectionality between the established priority areas</w:t>
      </w:r>
      <w:r w:rsidR="00DA7785" w:rsidRPr="00843214">
        <w:rPr>
          <w:color w:val="auto"/>
          <w:lang w:val="en-AU"/>
        </w:rPr>
        <w:t>, as will</w:t>
      </w:r>
      <w:r w:rsidR="000C59C9" w:rsidRPr="00843214">
        <w:rPr>
          <w:color w:val="auto"/>
          <w:lang w:val="en-AU"/>
        </w:rPr>
        <w:t xml:space="preserve"> be reflected in UN Women’s next Strategic Plan</w:t>
      </w:r>
      <w:r w:rsidR="005E2456" w:rsidRPr="00843214">
        <w:rPr>
          <w:color w:val="auto"/>
          <w:lang w:val="en-AU"/>
        </w:rPr>
        <w:t>, that allow for mutual reinforcement of the priority areas</w:t>
      </w:r>
      <w:r w:rsidR="000C59C9" w:rsidRPr="00843214">
        <w:rPr>
          <w:color w:val="auto"/>
          <w:lang w:val="en-AU"/>
        </w:rPr>
        <w:t xml:space="preserve">. Further, </w:t>
      </w:r>
      <w:r w:rsidR="005E2456" w:rsidRPr="00843214">
        <w:rPr>
          <w:color w:val="auto"/>
          <w:lang w:val="en-AU"/>
        </w:rPr>
        <w:t xml:space="preserve">going forward </w:t>
      </w:r>
      <w:r w:rsidR="000C59C9" w:rsidRPr="00843214">
        <w:rPr>
          <w:color w:val="auto"/>
          <w:lang w:val="en-AU"/>
        </w:rPr>
        <w:t>t</w:t>
      </w:r>
      <w:r w:rsidR="00A00A80" w:rsidRPr="00843214">
        <w:rPr>
          <w:color w:val="auto"/>
          <w:lang w:val="en-AU"/>
        </w:rPr>
        <w:t xml:space="preserve">here is an opportunity to clarify and strengthen the aspects of </w:t>
      </w:r>
      <w:r w:rsidR="001C4F87" w:rsidRPr="00843214">
        <w:rPr>
          <w:color w:val="auto"/>
          <w:lang w:val="en-AU"/>
        </w:rPr>
        <w:t>the Partnership</w:t>
      </w:r>
      <w:r w:rsidR="00A00A80" w:rsidRPr="00843214">
        <w:rPr>
          <w:color w:val="auto"/>
          <w:lang w:val="en-AU"/>
        </w:rPr>
        <w:t xml:space="preserve"> where UN Women has a strategic advantage and where the situation facing women and girls remains critical.</w:t>
      </w:r>
      <w:r w:rsidR="00DA7785" w:rsidRPr="00843214">
        <w:rPr>
          <w:color w:val="auto"/>
          <w:lang w:val="en-AU"/>
        </w:rPr>
        <w:t xml:space="preserve"> </w:t>
      </w:r>
      <w:proofErr w:type="gramStart"/>
      <w:r w:rsidR="00DA7785" w:rsidRPr="00843214">
        <w:rPr>
          <w:color w:val="auto"/>
          <w:lang w:val="en-AU"/>
        </w:rPr>
        <w:t xml:space="preserve">In particular, </w:t>
      </w:r>
      <w:r w:rsidR="00E634CE" w:rsidRPr="00843214">
        <w:rPr>
          <w:color w:val="auto"/>
          <w:lang w:val="en-AU"/>
        </w:rPr>
        <w:t>women’s</w:t>
      </w:r>
      <w:proofErr w:type="gramEnd"/>
      <w:r w:rsidR="00E634CE" w:rsidRPr="00843214">
        <w:rPr>
          <w:color w:val="auto"/>
          <w:lang w:val="en-AU"/>
        </w:rPr>
        <w:t xml:space="preserve"> political leadership and decision making, </w:t>
      </w:r>
      <w:r w:rsidR="00DA7785" w:rsidRPr="00843214">
        <w:rPr>
          <w:color w:val="auto"/>
          <w:lang w:val="en-AU"/>
        </w:rPr>
        <w:t xml:space="preserve">WPS, DRR and humanitarian work are emerging as their own distinct </w:t>
      </w:r>
      <w:r w:rsidR="00E634CE" w:rsidRPr="00843214">
        <w:rPr>
          <w:color w:val="auto"/>
          <w:lang w:val="en-AU"/>
        </w:rPr>
        <w:t xml:space="preserve">thematic </w:t>
      </w:r>
      <w:r w:rsidR="00DA7785" w:rsidRPr="00843214">
        <w:rPr>
          <w:color w:val="auto"/>
          <w:lang w:val="en-AU"/>
        </w:rPr>
        <w:t>focus areas</w:t>
      </w:r>
      <w:r w:rsidR="00E634CE" w:rsidRPr="00843214">
        <w:rPr>
          <w:color w:val="auto"/>
          <w:lang w:val="en-AU"/>
        </w:rPr>
        <w:t xml:space="preserve"> (though linked </w:t>
      </w:r>
      <w:r w:rsidR="00E634CE" w:rsidRPr="00843214">
        <w:rPr>
          <w:color w:val="auto"/>
        </w:rPr>
        <w:t>by enhancing women’s voice/decision making/participation)</w:t>
      </w:r>
      <w:r w:rsidR="00DA7785" w:rsidRPr="00843214">
        <w:rPr>
          <w:color w:val="auto"/>
          <w:lang w:val="en-AU"/>
        </w:rPr>
        <w:t xml:space="preserve"> and the generation and use of data should also be elevated</w:t>
      </w:r>
      <w:r w:rsidR="00184F39" w:rsidRPr="00843214">
        <w:rPr>
          <w:color w:val="auto"/>
          <w:lang w:val="en-AU"/>
        </w:rPr>
        <w:t xml:space="preserve"> in line with UN Women’s emerging data</w:t>
      </w:r>
      <w:r w:rsidR="001350D1" w:rsidRPr="00843214">
        <w:rPr>
          <w:color w:val="auto"/>
          <w:lang w:val="en-AU"/>
        </w:rPr>
        <w:t>, evidence and knowledge</w:t>
      </w:r>
      <w:r w:rsidR="00184F39" w:rsidRPr="00843214">
        <w:rPr>
          <w:color w:val="auto"/>
          <w:lang w:val="en-AU"/>
        </w:rPr>
        <w:t xml:space="preserve"> strategy</w:t>
      </w:r>
      <w:r w:rsidR="00DA7785" w:rsidRPr="00843214">
        <w:rPr>
          <w:color w:val="auto"/>
          <w:lang w:val="en-AU"/>
        </w:rPr>
        <w:t>.</w:t>
      </w:r>
    </w:p>
    <w:p w14:paraId="094F2B30" w14:textId="4D72C4BC" w:rsidR="006868B3" w:rsidRPr="00843214" w:rsidRDefault="009278BE" w:rsidP="00177C77">
      <w:pPr>
        <w:pStyle w:val="Heading4"/>
        <w:rPr>
          <w:b/>
          <w:bCs/>
          <w:color w:val="auto"/>
          <w:sz w:val="25"/>
          <w:szCs w:val="32"/>
          <w:lang w:val="en-AU"/>
        </w:rPr>
      </w:pPr>
      <w:r w:rsidRPr="00843214">
        <w:rPr>
          <w:b/>
          <w:bCs/>
          <w:color w:val="auto"/>
          <w:sz w:val="25"/>
          <w:szCs w:val="32"/>
          <w:lang w:val="en-AU"/>
        </w:rPr>
        <w:lastRenderedPageBreak/>
        <w:t>UN Women d</w:t>
      </w:r>
      <w:r w:rsidR="006868B3" w:rsidRPr="00843214">
        <w:rPr>
          <w:b/>
          <w:bCs/>
          <w:color w:val="auto"/>
          <w:sz w:val="25"/>
          <w:szCs w:val="32"/>
          <w:lang w:val="en-AU"/>
        </w:rPr>
        <w:t>e</w:t>
      </w:r>
      <w:r w:rsidR="00726D90" w:rsidRPr="00843214">
        <w:rPr>
          <w:b/>
          <w:bCs/>
          <w:color w:val="auto"/>
          <w:sz w:val="25"/>
          <w:szCs w:val="32"/>
          <w:lang w:val="en-AU"/>
        </w:rPr>
        <w:t>livery</w:t>
      </w:r>
      <w:r w:rsidR="006868B3" w:rsidRPr="00843214">
        <w:rPr>
          <w:b/>
          <w:bCs/>
          <w:color w:val="auto"/>
          <w:sz w:val="25"/>
          <w:szCs w:val="32"/>
          <w:lang w:val="en-AU"/>
        </w:rPr>
        <w:t xml:space="preserve"> approach</w:t>
      </w:r>
    </w:p>
    <w:p w14:paraId="03430B02" w14:textId="08432FDC" w:rsidR="006868B3" w:rsidRPr="00843214" w:rsidRDefault="008664D3" w:rsidP="006868B3">
      <w:pPr>
        <w:rPr>
          <w:color w:val="auto"/>
          <w:lang w:val="en-AU"/>
        </w:rPr>
      </w:pPr>
      <w:r w:rsidRPr="00843214">
        <w:rPr>
          <w:b/>
          <w:bCs/>
          <w:color w:val="auto"/>
          <w:lang w:val="en-AU"/>
        </w:rPr>
        <w:t>A</w:t>
      </w:r>
      <w:r w:rsidR="00CF071E" w:rsidRPr="00843214">
        <w:rPr>
          <w:b/>
          <w:bCs/>
          <w:color w:val="auto"/>
          <w:lang w:val="en-AU"/>
        </w:rPr>
        <w:t xml:space="preserve">s part of UN Women’s ongoing change management, and planning for the next Strategic Plan, </w:t>
      </w:r>
      <w:r w:rsidR="00A00A80" w:rsidRPr="00843214">
        <w:rPr>
          <w:b/>
          <w:bCs/>
          <w:color w:val="auto"/>
          <w:lang w:val="en-AU"/>
        </w:rPr>
        <w:t xml:space="preserve">UN Women continues to make improvements to its organisational model and its </w:t>
      </w:r>
      <w:r w:rsidR="00503E8D" w:rsidRPr="00843214">
        <w:rPr>
          <w:b/>
          <w:bCs/>
          <w:color w:val="auto"/>
          <w:lang w:val="en-AU"/>
        </w:rPr>
        <w:t>program</w:t>
      </w:r>
      <w:r w:rsidR="00A00A80" w:rsidRPr="00843214">
        <w:rPr>
          <w:b/>
          <w:bCs/>
          <w:color w:val="auto"/>
          <w:lang w:val="en-AU"/>
        </w:rPr>
        <w:t xml:space="preserve"> delivery</w:t>
      </w:r>
      <w:r w:rsidR="00A00A80" w:rsidRPr="00843214">
        <w:rPr>
          <w:color w:val="auto"/>
          <w:lang w:val="en-AU"/>
        </w:rPr>
        <w:t>.</w:t>
      </w:r>
      <w:r w:rsidR="00474DBA" w:rsidRPr="00843214">
        <w:rPr>
          <w:color w:val="auto"/>
          <w:lang w:val="en-AU"/>
        </w:rPr>
        <w:t xml:space="preserve"> With encouragement from its </w:t>
      </w:r>
      <w:r w:rsidR="00CA0D1D" w:rsidRPr="00843214">
        <w:rPr>
          <w:color w:val="auto"/>
          <w:lang w:val="en-AU"/>
        </w:rPr>
        <w:t>E</w:t>
      </w:r>
      <w:r w:rsidR="00884315" w:rsidRPr="00843214">
        <w:rPr>
          <w:color w:val="auto"/>
          <w:lang w:val="en-AU"/>
        </w:rPr>
        <w:t>xecutive Board</w:t>
      </w:r>
      <w:r w:rsidR="00474DBA" w:rsidRPr="00843214">
        <w:rPr>
          <w:color w:val="auto"/>
          <w:lang w:val="en-AU"/>
        </w:rPr>
        <w:t>,</w:t>
      </w:r>
      <w:r w:rsidR="7B2BAEFC" w:rsidRPr="00843214">
        <w:rPr>
          <w:color w:val="auto"/>
          <w:lang w:val="en-AU"/>
        </w:rPr>
        <w:t xml:space="preserve"> </w:t>
      </w:r>
      <w:r w:rsidR="00A00A80" w:rsidRPr="00843214">
        <w:rPr>
          <w:color w:val="auto"/>
          <w:lang w:val="en-AU"/>
        </w:rPr>
        <w:t>UN Women is actively addressing resource constraints and moving to support the capacity of its country and regional offices</w:t>
      </w:r>
      <w:r w:rsidR="00CF071E" w:rsidRPr="00843214">
        <w:rPr>
          <w:color w:val="auto"/>
        </w:rPr>
        <w:t xml:space="preserve"> and </w:t>
      </w:r>
      <w:r w:rsidR="00CF071E" w:rsidRPr="00843214">
        <w:rPr>
          <w:color w:val="auto"/>
          <w:lang w:val="en-AU"/>
        </w:rPr>
        <w:t>is currently reviewing its procurement and partner engagement processes to better respond to programmatic needs at country level</w:t>
      </w:r>
      <w:r w:rsidR="00A00A80" w:rsidRPr="00843214">
        <w:rPr>
          <w:color w:val="auto"/>
          <w:lang w:val="en-AU"/>
        </w:rPr>
        <w:t xml:space="preserve">. UN Women is actively working to supplement its reporting on core resourcing for greater visibility for donors. UN Women </w:t>
      </w:r>
      <w:r w:rsidRPr="00843214">
        <w:rPr>
          <w:color w:val="auto"/>
          <w:lang w:val="en-AU"/>
        </w:rPr>
        <w:t xml:space="preserve">is </w:t>
      </w:r>
      <w:r w:rsidR="00834E01" w:rsidRPr="00843214">
        <w:rPr>
          <w:color w:val="auto"/>
          <w:lang w:val="en-AU"/>
        </w:rPr>
        <w:t>an entity with a dedicated</w:t>
      </w:r>
      <w:r w:rsidR="00A00A80" w:rsidRPr="00843214">
        <w:rPr>
          <w:color w:val="auto"/>
          <w:lang w:val="en-AU"/>
        </w:rPr>
        <w:t xml:space="preserve"> purpose </w:t>
      </w:r>
      <w:r w:rsidR="00834E01" w:rsidRPr="00843214">
        <w:rPr>
          <w:color w:val="auto"/>
          <w:lang w:val="en-AU"/>
        </w:rPr>
        <w:t>and a clear</w:t>
      </w:r>
      <w:r w:rsidR="00A00A80" w:rsidRPr="00843214">
        <w:rPr>
          <w:color w:val="auto"/>
          <w:lang w:val="en-AU"/>
        </w:rPr>
        <w:t xml:space="preserve"> global mandate, </w:t>
      </w:r>
      <w:r w:rsidR="00FC0F31" w:rsidRPr="00843214">
        <w:rPr>
          <w:color w:val="auto"/>
          <w:lang w:val="en-AU"/>
        </w:rPr>
        <w:t>therefore as an</w:t>
      </w:r>
      <w:r w:rsidR="00A00A80" w:rsidRPr="00843214">
        <w:rPr>
          <w:color w:val="auto"/>
          <w:lang w:val="en-AU"/>
        </w:rPr>
        <w:t xml:space="preserve"> </w:t>
      </w:r>
      <w:r w:rsidR="00D355BE" w:rsidRPr="00843214">
        <w:rPr>
          <w:color w:val="auto"/>
          <w:lang w:val="en-AU"/>
        </w:rPr>
        <w:t xml:space="preserve">implementation </w:t>
      </w:r>
      <w:r w:rsidR="00A00A80" w:rsidRPr="00843214">
        <w:rPr>
          <w:color w:val="auto"/>
          <w:lang w:val="en-AU"/>
        </w:rPr>
        <w:t xml:space="preserve">partner </w:t>
      </w:r>
      <w:r w:rsidR="00FC0F31" w:rsidRPr="00843214">
        <w:rPr>
          <w:color w:val="auto"/>
          <w:lang w:val="en-AU"/>
        </w:rPr>
        <w:t xml:space="preserve">it should be recognised as </w:t>
      </w:r>
      <w:r w:rsidR="00A00A80" w:rsidRPr="00843214">
        <w:rPr>
          <w:color w:val="auto"/>
          <w:lang w:val="en-AU"/>
        </w:rPr>
        <w:t>di</w:t>
      </w:r>
      <w:r w:rsidR="00FC0F31" w:rsidRPr="00843214">
        <w:rPr>
          <w:color w:val="auto"/>
          <w:lang w:val="en-AU"/>
        </w:rPr>
        <w:t>stinct from</w:t>
      </w:r>
      <w:r w:rsidR="00A00A80" w:rsidRPr="00843214">
        <w:rPr>
          <w:color w:val="auto"/>
          <w:lang w:val="en-AU"/>
        </w:rPr>
        <w:t xml:space="preserve"> to a managing contractor or an NGO. </w:t>
      </w:r>
    </w:p>
    <w:p w14:paraId="7A45D009" w14:textId="141D7969" w:rsidR="00FF5DE6" w:rsidRPr="00843214" w:rsidRDefault="00FF5DE6" w:rsidP="00FF5DE6">
      <w:pPr>
        <w:pStyle w:val="Heading4"/>
        <w:rPr>
          <w:b/>
          <w:bCs/>
          <w:color w:val="auto"/>
          <w:sz w:val="25"/>
          <w:szCs w:val="32"/>
          <w:lang w:val="en-AU"/>
        </w:rPr>
      </w:pPr>
      <w:r w:rsidRPr="00843214">
        <w:rPr>
          <w:b/>
          <w:bCs/>
          <w:color w:val="auto"/>
          <w:sz w:val="25"/>
          <w:szCs w:val="32"/>
          <w:lang w:val="en-AU"/>
        </w:rPr>
        <w:t>Partnership approach</w:t>
      </w:r>
    </w:p>
    <w:p w14:paraId="556B0582" w14:textId="3BFC6402" w:rsidR="00FF5DE6" w:rsidRPr="00843214" w:rsidRDefault="001C4F87" w:rsidP="00FF5DE6">
      <w:pPr>
        <w:rPr>
          <w:color w:val="auto"/>
          <w:lang w:val="en-AU"/>
        </w:rPr>
      </w:pPr>
      <w:r w:rsidRPr="00843214">
        <w:rPr>
          <w:b/>
          <w:bCs/>
          <w:color w:val="auto"/>
          <w:lang w:val="en-AU"/>
        </w:rPr>
        <w:t>Partnership e</w:t>
      </w:r>
      <w:r w:rsidR="00A00A80" w:rsidRPr="00843214">
        <w:rPr>
          <w:b/>
          <w:bCs/>
          <w:color w:val="auto"/>
          <w:lang w:val="en-AU"/>
        </w:rPr>
        <w:t>ngagement</w:t>
      </w:r>
      <w:r w:rsidRPr="00843214">
        <w:rPr>
          <w:b/>
          <w:bCs/>
          <w:color w:val="auto"/>
          <w:lang w:val="en-AU"/>
        </w:rPr>
        <w:t xml:space="preserve"> </w:t>
      </w:r>
      <w:r w:rsidR="00A00A80" w:rsidRPr="00843214">
        <w:rPr>
          <w:b/>
          <w:bCs/>
          <w:color w:val="auto"/>
          <w:lang w:val="en-AU"/>
        </w:rPr>
        <w:t xml:space="preserve">has transaction costs. </w:t>
      </w:r>
      <w:r w:rsidR="004B1BFF" w:rsidRPr="00843214">
        <w:rPr>
          <w:color w:val="auto"/>
          <w:lang w:val="en-AU"/>
        </w:rPr>
        <w:t xml:space="preserve">Both partners have high expectations of the </w:t>
      </w:r>
      <w:r w:rsidR="00926951" w:rsidRPr="00843214">
        <w:rPr>
          <w:color w:val="auto"/>
          <w:lang w:val="en-AU"/>
        </w:rPr>
        <w:t>mutual</w:t>
      </w:r>
      <w:r w:rsidR="196671C6" w:rsidRPr="00843214">
        <w:rPr>
          <w:color w:val="auto"/>
          <w:lang w:val="en-AU"/>
        </w:rPr>
        <w:t xml:space="preserve"> </w:t>
      </w:r>
      <w:r w:rsidR="004B1BFF" w:rsidRPr="00843214">
        <w:rPr>
          <w:color w:val="auto"/>
          <w:lang w:val="en-AU"/>
        </w:rPr>
        <w:t xml:space="preserve">level of exchange and communications. </w:t>
      </w:r>
      <w:r w:rsidR="00037EA5" w:rsidRPr="00843214">
        <w:rPr>
          <w:color w:val="auto"/>
          <w:lang w:val="en-AU"/>
        </w:rPr>
        <w:t xml:space="preserve">While communications between UN Women and DFAT are </w:t>
      </w:r>
      <w:r w:rsidR="00A360BA" w:rsidRPr="00843214">
        <w:rPr>
          <w:color w:val="auto"/>
          <w:lang w:val="en-AU"/>
        </w:rPr>
        <w:t>adaptive,</w:t>
      </w:r>
      <w:r w:rsidR="00037EA5" w:rsidRPr="00843214">
        <w:rPr>
          <w:color w:val="auto"/>
          <w:lang w:val="en-AU"/>
        </w:rPr>
        <w:t xml:space="preserve"> at times both partners feel that there are high expectations for the level of engagement and reporting.</w:t>
      </w:r>
      <w:r w:rsidR="004B1BFF" w:rsidRPr="00843214">
        <w:rPr>
          <w:color w:val="auto"/>
          <w:lang w:val="en-AU"/>
        </w:rPr>
        <w:t xml:space="preserve"> </w:t>
      </w:r>
    </w:p>
    <w:p w14:paraId="42FB3ADA" w14:textId="1F7A89C4" w:rsidR="00BA1D03" w:rsidRPr="00843214" w:rsidRDefault="00BA1D03" w:rsidP="00BD5384">
      <w:pPr>
        <w:pStyle w:val="Heading2"/>
        <w:numPr>
          <w:ilvl w:val="0"/>
          <w:numId w:val="0"/>
        </w:numPr>
        <w:ind w:left="576" w:hanging="576"/>
        <w:rPr>
          <w:color w:val="auto"/>
          <w:lang w:val="en-AU" w:eastAsia="en-GB"/>
        </w:rPr>
      </w:pPr>
      <w:bookmarkStart w:id="92" w:name="_Toc69376674"/>
      <w:bookmarkEnd w:id="89"/>
      <w:r w:rsidRPr="00843214">
        <w:rPr>
          <w:color w:val="auto"/>
          <w:lang w:val="en-AU" w:eastAsia="en-GB"/>
        </w:rPr>
        <w:t>Recommendation</w:t>
      </w:r>
      <w:r w:rsidR="003C7DD0" w:rsidRPr="00843214">
        <w:rPr>
          <w:color w:val="auto"/>
          <w:lang w:val="en-AU" w:eastAsia="en-GB"/>
        </w:rPr>
        <w:t>s</w:t>
      </w:r>
      <w:bookmarkEnd w:id="92"/>
    </w:p>
    <w:p w14:paraId="13B73D56" w14:textId="5AAC832E" w:rsidR="007658C4" w:rsidRPr="00843214" w:rsidRDefault="007658C4" w:rsidP="007658C4">
      <w:pPr>
        <w:pStyle w:val="Heading4"/>
        <w:rPr>
          <w:color w:val="auto"/>
          <w:lang w:val="en-AU" w:eastAsia="en-GB"/>
        </w:rPr>
      </w:pPr>
      <w:r w:rsidRPr="00843214">
        <w:rPr>
          <w:color w:val="auto"/>
          <w:lang w:val="en-AU" w:eastAsia="en-GB"/>
        </w:rPr>
        <w:t>Future priorities</w:t>
      </w:r>
      <w:r w:rsidR="005769EF" w:rsidRPr="00843214">
        <w:rPr>
          <w:color w:val="auto"/>
          <w:lang w:val="en-AU" w:eastAsia="en-GB"/>
        </w:rPr>
        <w:t xml:space="preserve"> for the next SPF</w:t>
      </w:r>
    </w:p>
    <w:p w14:paraId="1B831AA8" w14:textId="2EC64F4B" w:rsidR="0086544C" w:rsidRPr="00843214" w:rsidRDefault="0097355E" w:rsidP="00702728">
      <w:pPr>
        <w:pStyle w:val="Heading4"/>
        <w:numPr>
          <w:ilvl w:val="0"/>
          <w:numId w:val="17"/>
        </w:numPr>
        <w:ind w:left="360"/>
        <w:rPr>
          <w:color w:val="auto"/>
          <w:lang w:val="en-AU"/>
        </w:rPr>
      </w:pPr>
      <w:bookmarkStart w:id="93" w:name="_Hlk67577753"/>
      <w:r w:rsidRPr="00843214">
        <w:rPr>
          <w:color w:val="auto"/>
          <w:lang w:val="en-AU"/>
        </w:rPr>
        <w:t xml:space="preserve">The Partnership should retain and build upon work in the established </w:t>
      </w:r>
      <w:r w:rsidR="00FA20FE" w:rsidRPr="00843214">
        <w:rPr>
          <w:color w:val="auto"/>
          <w:lang w:val="en-AU"/>
        </w:rPr>
        <w:t xml:space="preserve">SPF </w:t>
      </w:r>
      <w:r w:rsidRPr="00843214">
        <w:rPr>
          <w:color w:val="auto"/>
          <w:lang w:val="en-AU"/>
        </w:rPr>
        <w:t>priority areas</w:t>
      </w:r>
      <w:r w:rsidR="00FA20FE" w:rsidRPr="00843214">
        <w:rPr>
          <w:color w:val="auto"/>
          <w:lang w:val="en-AU"/>
        </w:rPr>
        <w:t>, integrating cross-cutting COVID-19 response and recovery initiatives</w:t>
      </w:r>
      <w:r w:rsidR="00C767D0" w:rsidRPr="00843214">
        <w:rPr>
          <w:color w:val="auto"/>
          <w:lang w:val="en-AU"/>
        </w:rPr>
        <w:t xml:space="preserve">, and separating </w:t>
      </w:r>
      <w:r w:rsidR="007035DF" w:rsidRPr="00843214">
        <w:rPr>
          <w:color w:val="auto"/>
          <w:lang w:val="en-AU"/>
        </w:rPr>
        <w:t xml:space="preserve">women’s political leadership, </w:t>
      </w:r>
      <w:r w:rsidR="00C767D0" w:rsidRPr="00843214">
        <w:rPr>
          <w:color w:val="auto"/>
          <w:lang w:val="en-AU"/>
        </w:rPr>
        <w:t xml:space="preserve">WPS, DRR </w:t>
      </w:r>
      <w:r w:rsidR="000C59C9" w:rsidRPr="00843214">
        <w:rPr>
          <w:color w:val="auto"/>
          <w:lang w:val="en-AU"/>
        </w:rPr>
        <w:t xml:space="preserve">(including climate change) </w:t>
      </w:r>
      <w:r w:rsidR="00C767D0" w:rsidRPr="00843214">
        <w:rPr>
          <w:color w:val="auto"/>
          <w:lang w:val="en-AU"/>
        </w:rPr>
        <w:t xml:space="preserve">and </w:t>
      </w:r>
      <w:r w:rsidR="007035DF" w:rsidRPr="00843214">
        <w:rPr>
          <w:color w:val="auto"/>
          <w:lang w:val="en-AU"/>
        </w:rPr>
        <w:t>h</w:t>
      </w:r>
      <w:r w:rsidR="00C767D0" w:rsidRPr="00843214">
        <w:rPr>
          <w:color w:val="auto"/>
          <w:lang w:val="en-AU"/>
        </w:rPr>
        <w:t xml:space="preserve">umanitarian work </w:t>
      </w:r>
      <w:r w:rsidR="00055A5B" w:rsidRPr="00843214">
        <w:rPr>
          <w:color w:val="auto"/>
          <w:lang w:val="en-AU"/>
        </w:rPr>
        <w:t xml:space="preserve">to allow an appropriate level of focus and </w:t>
      </w:r>
      <w:r w:rsidR="007035DF" w:rsidRPr="00843214">
        <w:rPr>
          <w:color w:val="auto"/>
          <w:lang w:val="en-AU"/>
        </w:rPr>
        <w:t xml:space="preserve">clarity on expected </w:t>
      </w:r>
      <w:r w:rsidR="00055A5B" w:rsidRPr="00843214">
        <w:rPr>
          <w:color w:val="auto"/>
          <w:lang w:val="en-AU"/>
        </w:rPr>
        <w:t>performance in each area</w:t>
      </w:r>
      <w:r w:rsidR="00C767D0" w:rsidRPr="00843214">
        <w:rPr>
          <w:color w:val="auto"/>
          <w:lang w:val="en-AU"/>
        </w:rPr>
        <w:t xml:space="preserve">. </w:t>
      </w:r>
    </w:p>
    <w:p w14:paraId="49A98F1A" w14:textId="6BE29311" w:rsidR="002D2E8F" w:rsidRPr="00843214" w:rsidDel="00AE233F" w:rsidRDefault="004E11D1" w:rsidP="00B717CA">
      <w:pPr>
        <w:rPr>
          <w:color w:val="auto"/>
          <w:lang w:val="en-AU"/>
        </w:rPr>
      </w:pPr>
      <w:r w:rsidRPr="00843214">
        <w:rPr>
          <w:color w:val="auto"/>
          <w:lang w:val="en-AU"/>
        </w:rPr>
        <w:t>Given that the COVID-19 pandemic exa</w:t>
      </w:r>
      <w:r w:rsidR="00B717CA" w:rsidRPr="00843214">
        <w:rPr>
          <w:color w:val="auto"/>
          <w:lang w:val="en-AU"/>
        </w:rPr>
        <w:t>cerbates existing gender issues</w:t>
      </w:r>
      <w:r w:rsidR="0036003C" w:rsidRPr="00843214">
        <w:rPr>
          <w:color w:val="auto"/>
          <w:lang w:val="en-AU"/>
        </w:rPr>
        <w:t xml:space="preserve"> </w:t>
      </w:r>
      <w:r w:rsidR="002C3177" w:rsidRPr="00843214">
        <w:rPr>
          <w:color w:val="auto"/>
          <w:lang w:val="en-AU"/>
        </w:rPr>
        <w:t>for which progress is already</w:t>
      </w:r>
      <w:r w:rsidR="00410B29" w:rsidRPr="00843214">
        <w:rPr>
          <w:color w:val="auto"/>
          <w:lang w:val="en-AU"/>
        </w:rPr>
        <w:t xml:space="preserve"> subject to disruption</w:t>
      </w:r>
      <w:r w:rsidR="007D3D97" w:rsidRPr="00843214">
        <w:rPr>
          <w:color w:val="auto"/>
          <w:lang w:val="en-AU"/>
        </w:rPr>
        <w:t xml:space="preserve"> from major events</w:t>
      </w:r>
      <w:r w:rsidR="00431478" w:rsidRPr="00843214">
        <w:rPr>
          <w:color w:val="auto"/>
          <w:lang w:val="en-AU"/>
        </w:rPr>
        <w:t xml:space="preserve"> and </w:t>
      </w:r>
      <w:r w:rsidR="00047BD9" w:rsidRPr="00843214">
        <w:rPr>
          <w:color w:val="auto"/>
          <w:lang w:val="en-AU"/>
        </w:rPr>
        <w:t xml:space="preserve">inconsistent </w:t>
      </w:r>
      <w:r w:rsidR="00912769" w:rsidRPr="00843214">
        <w:rPr>
          <w:color w:val="auto"/>
          <w:lang w:val="en-AU"/>
        </w:rPr>
        <w:t>desire for</w:t>
      </w:r>
      <w:r w:rsidR="00980983" w:rsidRPr="00843214">
        <w:rPr>
          <w:color w:val="auto"/>
          <w:lang w:val="en-AU"/>
        </w:rPr>
        <w:t xml:space="preserve"> change</w:t>
      </w:r>
      <w:r w:rsidR="002C3177" w:rsidRPr="00843214">
        <w:rPr>
          <w:color w:val="auto"/>
          <w:lang w:val="en-AU"/>
        </w:rPr>
        <w:t xml:space="preserve"> </w:t>
      </w:r>
      <w:r w:rsidR="0036003C" w:rsidRPr="00843214">
        <w:rPr>
          <w:color w:val="auto"/>
          <w:lang w:val="en-AU"/>
        </w:rPr>
        <w:t>(Section 1.2.2)</w:t>
      </w:r>
      <w:r w:rsidR="00B717CA" w:rsidRPr="00843214">
        <w:rPr>
          <w:color w:val="auto"/>
          <w:lang w:val="en-AU"/>
        </w:rPr>
        <w:t xml:space="preserve">, there is relatively strong performance across all current SPF objectives </w:t>
      </w:r>
      <w:r w:rsidR="0036003C" w:rsidRPr="00843214">
        <w:rPr>
          <w:color w:val="auto"/>
          <w:lang w:val="en-AU"/>
        </w:rPr>
        <w:t xml:space="preserve">(Section 1.1.1) </w:t>
      </w:r>
      <w:r w:rsidR="00B717CA" w:rsidRPr="00843214">
        <w:rPr>
          <w:color w:val="auto"/>
          <w:lang w:val="en-AU"/>
        </w:rPr>
        <w:t>and the</w:t>
      </w:r>
      <w:r w:rsidR="00B30C2E" w:rsidRPr="00843214">
        <w:rPr>
          <w:color w:val="auto"/>
          <w:lang w:val="en-AU"/>
        </w:rPr>
        <w:t xml:space="preserve"> strong</w:t>
      </w:r>
      <w:r w:rsidR="00B717CA" w:rsidRPr="00843214">
        <w:rPr>
          <w:color w:val="auto"/>
          <w:lang w:val="en-AU"/>
        </w:rPr>
        <w:t xml:space="preserve"> alignment between UN Women’s and DFAT’s strategic priorities</w:t>
      </w:r>
      <w:r w:rsidR="0036003C" w:rsidRPr="00843214">
        <w:rPr>
          <w:color w:val="auto"/>
          <w:lang w:val="en-AU"/>
        </w:rPr>
        <w:t xml:space="preserve"> (Section 1.3.1)</w:t>
      </w:r>
      <w:r w:rsidR="00B717CA" w:rsidRPr="00843214">
        <w:rPr>
          <w:color w:val="auto"/>
          <w:lang w:val="en-AU"/>
        </w:rPr>
        <w:t xml:space="preserve">, </w:t>
      </w:r>
      <w:r w:rsidR="00B717CA" w:rsidRPr="00843214">
        <w:rPr>
          <w:b/>
          <w:bCs/>
          <w:color w:val="auto"/>
          <w:lang w:val="en-AU"/>
        </w:rPr>
        <w:t>the next SPF should carry forward the existing SPF objectives with some necessary changes to focus</w:t>
      </w:r>
      <w:r w:rsidR="00B717CA" w:rsidRPr="00843214">
        <w:rPr>
          <w:color w:val="auto"/>
          <w:lang w:val="en-AU"/>
        </w:rPr>
        <w:t>.</w:t>
      </w:r>
      <w:r w:rsidR="00AE233F" w:rsidRPr="00843214">
        <w:rPr>
          <w:color w:val="auto"/>
          <w:lang w:val="en-AU"/>
        </w:rPr>
        <w:t xml:space="preserve"> </w:t>
      </w:r>
    </w:p>
    <w:p w14:paraId="27EABED2" w14:textId="5301D581" w:rsidR="00100CB0" w:rsidRPr="00843214" w:rsidRDefault="00100CB0" w:rsidP="00100CB0">
      <w:pPr>
        <w:pStyle w:val="Caption"/>
        <w:rPr>
          <w:color w:val="auto"/>
        </w:rPr>
      </w:pPr>
      <w:r w:rsidRPr="00843214">
        <w:rPr>
          <w:color w:val="auto"/>
        </w:rPr>
        <w:t xml:space="preserve">Table </w:t>
      </w:r>
      <w:r w:rsidRPr="00843214">
        <w:rPr>
          <w:color w:val="auto"/>
        </w:rPr>
        <w:fldChar w:fldCharType="begin"/>
      </w:r>
      <w:r w:rsidRPr="00843214">
        <w:rPr>
          <w:color w:val="auto"/>
        </w:rPr>
        <w:instrText xml:space="preserve"> SEQ Table \* ARABIC </w:instrText>
      </w:r>
      <w:r w:rsidRPr="00843214">
        <w:rPr>
          <w:color w:val="auto"/>
        </w:rPr>
        <w:fldChar w:fldCharType="separate"/>
      </w:r>
      <w:r w:rsidR="00742005" w:rsidRPr="00843214">
        <w:rPr>
          <w:noProof/>
          <w:color w:val="auto"/>
        </w:rPr>
        <w:t>2</w:t>
      </w:r>
      <w:r w:rsidRPr="00843214">
        <w:rPr>
          <w:color w:val="auto"/>
        </w:rPr>
        <w:fldChar w:fldCharType="end"/>
      </w:r>
      <w:r w:rsidRPr="00843214">
        <w:rPr>
          <w:color w:val="auto"/>
        </w:rPr>
        <w:t>: Key focus areas and recommended changes for SPF 2021-25</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87"/>
        <w:gridCol w:w="567"/>
        <w:gridCol w:w="1843"/>
        <w:gridCol w:w="425"/>
        <w:gridCol w:w="1418"/>
        <w:gridCol w:w="573"/>
        <w:gridCol w:w="2120"/>
      </w:tblGrid>
      <w:tr w:rsidR="00843214" w:rsidRPr="00843214" w14:paraId="5FFC13E0" w14:textId="77777777" w:rsidTr="00B30C2E">
        <w:trPr>
          <w:trHeight w:val="593"/>
        </w:trPr>
        <w:tc>
          <w:tcPr>
            <w:tcW w:w="576" w:type="dxa"/>
            <w:tcBorders>
              <w:right w:val="nil"/>
            </w:tcBorders>
          </w:tcPr>
          <w:p w14:paraId="2139EC0E" w14:textId="77777777" w:rsidR="00B30C2E" w:rsidRPr="00843214" w:rsidRDefault="00B30C2E" w:rsidP="00823A94">
            <w:pPr>
              <w:rPr>
                <w:color w:val="auto"/>
                <w:sz w:val="16"/>
                <w:szCs w:val="16"/>
                <w:lang w:val="en-AU"/>
              </w:rPr>
            </w:pPr>
            <w:r w:rsidRPr="00843214">
              <w:rPr>
                <w:noProof/>
                <w:color w:val="auto"/>
                <w:sz w:val="16"/>
                <w:szCs w:val="16"/>
                <w:lang w:val="en-AU"/>
              </w:rPr>
              <w:drawing>
                <wp:inline distT="0" distB="0" distL="0" distR="0" wp14:anchorId="64936385" wp14:editId="055DDBC8">
                  <wp:extent cx="219075" cy="219075"/>
                  <wp:effectExtent l="0" t="0" r="9525" b="0"/>
                  <wp:docPr id="27" name="Graphic 27"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6200000">
                            <a:off x="0" y="0"/>
                            <a:ext cx="219310" cy="219310"/>
                          </a:xfrm>
                          <a:prstGeom prst="rect">
                            <a:avLst/>
                          </a:prstGeom>
                        </pic:spPr>
                      </pic:pic>
                    </a:graphicData>
                  </a:graphic>
                </wp:inline>
              </w:drawing>
            </w:r>
          </w:p>
        </w:tc>
        <w:tc>
          <w:tcPr>
            <w:tcW w:w="1687" w:type="dxa"/>
            <w:tcBorders>
              <w:left w:val="nil"/>
            </w:tcBorders>
          </w:tcPr>
          <w:p w14:paraId="46218FC1" w14:textId="77777777" w:rsidR="00B30C2E" w:rsidRPr="00843214" w:rsidRDefault="00B30C2E" w:rsidP="00823A94">
            <w:pPr>
              <w:rPr>
                <w:color w:val="auto"/>
                <w:sz w:val="16"/>
                <w:szCs w:val="16"/>
                <w:lang w:val="en-AU"/>
              </w:rPr>
            </w:pPr>
            <w:r w:rsidRPr="00843214">
              <w:rPr>
                <w:color w:val="auto"/>
                <w:sz w:val="16"/>
                <w:szCs w:val="16"/>
                <w:lang w:val="en-AU"/>
              </w:rPr>
              <w:t>Continue as is (</w:t>
            </w:r>
            <w:proofErr w:type="gramStart"/>
            <w:r w:rsidRPr="00843214">
              <w:rPr>
                <w:color w:val="auto"/>
                <w:sz w:val="16"/>
                <w:szCs w:val="16"/>
                <w:lang w:val="en-AU"/>
              </w:rPr>
              <w:t>i.e.</w:t>
            </w:r>
            <w:proofErr w:type="gramEnd"/>
            <w:r w:rsidRPr="00843214">
              <w:rPr>
                <w:color w:val="auto"/>
                <w:sz w:val="16"/>
                <w:szCs w:val="16"/>
                <w:lang w:val="en-AU"/>
              </w:rPr>
              <w:t xml:space="preserve"> it is working and needs no change)</w:t>
            </w:r>
          </w:p>
        </w:tc>
        <w:tc>
          <w:tcPr>
            <w:tcW w:w="567" w:type="dxa"/>
            <w:tcBorders>
              <w:right w:val="nil"/>
            </w:tcBorders>
          </w:tcPr>
          <w:p w14:paraId="1094C193" w14:textId="77777777" w:rsidR="00B30C2E" w:rsidRPr="00843214" w:rsidRDefault="00B30C2E" w:rsidP="00823A94">
            <w:pPr>
              <w:rPr>
                <w:color w:val="auto"/>
              </w:rPr>
            </w:pPr>
            <w:r w:rsidRPr="00843214">
              <w:rPr>
                <w:noProof/>
                <w:color w:val="auto"/>
                <w:lang w:val="en-AU"/>
              </w:rPr>
              <w:drawing>
                <wp:inline distT="0" distB="0" distL="0" distR="0" wp14:anchorId="7CC541CC" wp14:editId="367A2D84">
                  <wp:extent cx="219075" cy="219075"/>
                  <wp:effectExtent l="0" t="0" r="0" b="9525"/>
                  <wp:docPr id="24" name="Graphic 24"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1843" w:type="dxa"/>
            <w:tcBorders>
              <w:left w:val="nil"/>
            </w:tcBorders>
          </w:tcPr>
          <w:p w14:paraId="35D2CB71" w14:textId="77777777" w:rsidR="00B30C2E" w:rsidRPr="00843214" w:rsidRDefault="00B30C2E" w:rsidP="00823A94">
            <w:pPr>
              <w:rPr>
                <w:color w:val="auto"/>
                <w:sz w:val="16"/>
                <w:szCs w:val="16"/>
                <w:lang w:val="en-AU"/>
              </w:rPr>
            </w:pPr>
            <w:r w:rsidRPr="00843214">
              <w:rPr>
                <w:color w:val="auto"/>
                <w:sz w:val="16"/>
                <w:szCs w:val="16"/>
                <w:lang w:val="en-AU"/>
              </w:rPr>
              <w:t>Continue and do more (</w:t>
            </w:r>
            <w:proofErr w:type="gramStart"/>
            <w:r w:rsidRPr="00843214">
              <w:rPr>
                <w:color w:val="auto"/>
                <w:sz w:val="16"/>
                <w:szCs w:val="16"/>
                <w:lang w:val="en-AU"/>
              </w:rPr>
              <w:t>i.e.</w:t>
            </w:r>
            <w:proofErr w:type="gramEnd"/>
            <w:r w:rsidRPr="00843214">
              <w:rPr>
                <w:color w:val="auto"/>
                <w:sz w:val="16"/>
                <w:szCs w:val="16"/>
                <w:lang w:val="en-AU"/>
              </w:rPr>
              <w:t xml:space="preserve"> strengthen, add capacity)</w:t>
            </w:r>
          </w:p>
        </w:tc>
        <w:tc>
          <w:tcPr>
            <w:tcW w:w="425" w:type="dxa"/>
            <w:tcBorders>
              <w:right w:val="nil"/>
            </w:tcBorders>
          </w:tcPr>
          <w:p w14:paraId="72D379E0" w14:textId="77777777" w:rsidR="00B30C2E" w:rsidRPr="00843214" w:rsidRDefault="00B30C2E" w:rsidP="00823A94">
            <w:pPr>
              <w:rPr>
                <w:color w:val="auto"/>
                <w:sz w:val="16"/>
                <w:szCs w:val="16"/>
                <w:lang w:val="en-AU"/>
              </w:rPr>
            </w:pPr>
            <w:r w:rsidRPr="00843214">
              <w:rPr>
                <w:noProof/>
                <w:color w:val="auto"/>
                <w:sz w:val="16"/>
                <w:szCs w:val="16"/>
                <w:lang w:val="en-AU"/>
              </w:rPr>
              <w:drawing>
                <wp:inline distT="0" distB="0" distL="0" distR="0" wp14:anchorId="0830E4EB" wp14:editId="56CAB52E">
                  <wp:extent cx="219075" cy="219075"/>
                  <wp:effectExtent l="0" t="0" r="0" b="9525"/>
                  <wp:docPr id="16" name="Graphic 16"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19310" cy="219310"/>
                          </a:xfrm>
                          <a:prstGeom prst="rect">
                            <a:avLst/>
                          </a:prstGeom>
                        </pic:spPr>
                      </pic:pic>
                    </a:graphicData>
                  </a:graphic>
                </wp:inline>
              </w:drawing>
            </w:r>
            <w:r w:rsidRPr="00843214">
              <w:rPr>
                <w:color w:val="auto"/>
                <w:sz w:val="16"/>
                <w:szCs w:val="16"/>
                <w:lang w:val="en-AU"/>
              </w:rPr>
              <w:t xml:space="preserve"> </w:t>
            </w:r>
          </w:p>
        </w:tc>
        <w:tc>
          <w:tcPr>
            <w:tcW w:w="1418" w:type="dxa"/>
            <w:tcBorders>
              <w:left w:val="nil"/>
            </w:tcBorders>
          </w:tcPr>
          <w:p w14:paraId="35F77FAF" w14:textId="77777777" w:rsidR="00B30C2E" w:rsidRPr="00843214" w:rsidRDefault="00B30C2E" w:rsidP="00823A94">
            <w:pPr>
              <w:rPr>
                <w:color w:val="auto"/>
                <w:sz w:val="16"/>
                <w:szCs w:val="16"/>
                <w:lang w:val="en-AU"/>
              </w:rPr>
            </w:pPr>
            <w:r w:rsidRPr="00843214">
              <w:rPr>
                <w:color w:val="auto"/>
                <w:sz w:val="16"/>
                <w:szCs w:val="16"/>
                <w:lang w:val="en-AU"/>
              </w:rPr>
              <w:t>Continue and do less (</w:t>
            </w:r>
            <w:proofErr w:type="gramStart"/>
            <w:r w:rsidRPr="00843214">
              <w:rPr>
                <w:color w:val="auto"/>
                <w:sz w:val="16"/>
                <w:szCs w:val="16"/>
                <w:lang w:val="en-AU"/>
              </w:rPr>
              <w:t>i.e.</w:t>
            </w:r>
            <w:proofErr w:type="gramEnd"/>
            <w:r w:rsidRPr="00843214">
              <w:rPr>
                <w:color w:val="auto"/>
                <w:sz w:val="16"/>
                <w:szCs w:val="16"/>
                <w:lang w:val="en-AU"/>
              </w:rPr>
              <w:t xml:space="preserve"> no longer relevant)</w:t>
            </w:r>
          </w:p>
        </w:tc>
        <w:tc>
          <w:tcPr>
            <w:tcW w:w="573" w:type="dxa"/>
            <w:tcBorders>
              <w:right w:val="nil"/>
            </w:tcBorders>
          </w:tcPr>
          <w:p w14:paraId="72EA3968" w14:textId="77777777" w:rsidR="00B30C2E" w:rsidRPr="00843214" w:rsidRDefault="00B30C2E" w:rsidP="00823A94">
            <w:pPr>
              <w:rPr>
                <w:color w:val="auto"/>
                <w:sz w:val="16"/>
                <w:szCs w:val="16"/>
                <w:lang w:val="en-AU"/>
              </w:rPr>
            </w:pPr>
            <w:r w:rsidRPr="00843214">
              <w:rPr>
                <w:noProof/>
                <w:color w:val="auto"/>
                <w:sz w:val="16"/>
                <w:szCs w:val="16"/>
                <w:lang w:val="en-AU"/>
              </w:rPr>
              <w:drawing>
                <wp:inline distT="0" distB="0" distL="0" distR="0" wp14:anchorId="39958D30" wp14:editId="39563E5C">
                  <wp:extent cx="314325" cy="314325"/>
                  <wp:effectExtent l="0" t="0" r="0" b="9525"/>
                  <wp:docPr id="18" name="Graphic 18" descr="Mov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ove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4325" cy="314325"/>
                          </a:xfrm>
                          <a:prstGeom prst="rect">
                            <a:avLst/>
                          </a:prstGeom>
                        </pic:spPr>
                      </pic:pic>
                    </a:graphicData>
                  </a:graphic>
                </wp:inline>
              </w:drawing>
            </w:r>
          </w:p>
        </w:tc>
        <w:tc>
          <w:tcPr>
            <w:tcW w:w="2120" w:type="dxa"/>
            <w:tcBorders>
              <w:left w:val="nil"/>
            </w:tcBorders>
          </w:tcPr>
          <w:p w14:paraId="1EA94D02" w14:textId="77777777" w:rsidR="00B30C2E" w:rsidRPr="00843214" w:rsidRDefault="00B30C2E" w:rsidP="00823A94">
            <w:pPr>
              <w:rPr>
                <w:color w:val="auto"/>
                <w:sz w:val="16"/>
                <w:szCs w:val="16"/>
                <w:lang w:val="en-AU"/>
              </w:rPr>
            </w:pPr>
            <w:r w:rsidRPr="00843214">
              <w:rPr>
                <w:color w:val="auto"/>
                <w:sz w:val="16"/>
                <w:szCs w:val="16"/>
                <w:lang w:val="en-AU"/>
              </w:rPr>
              <w:t>Continue and do differently (</w:t>
            </w:r>
            <w:proofErr w:type="gramStart"/>
            <w:r w:rsidRPr="00843214">
              <w:rPr>
                <w:color w:val="auto"/>
                <w:sz w:val="16"/>
                <w:szCs w:val="16"/>
                <w:lang w:val="en-AU"/>
              </w:rPr>
              <w:t>i.e.</w:t>
            </w:r>
            <w:proofErr w:type="gramEnd"/>
            <w:r w:rsidRPr="00843214">
              <w:rPr>
                <w:color w:val="auto"/>
                <w:sz w:val="16"/>
                <w:szCs w:val="16"/>
                <w:lang w:val="en-AU"/>
              </w:rPr>
              <w:t xml:space="preserve"> restructure, change focus, adapt)</w:t>
            </w:r>
          </w:p>
        </w:tc>
      </w:tr>
    </w:tbl>
    <w:tbl>
      <w:tblPr>
        <w:tblStyle w:val="TableGridLight"/>
        <w:tblW w:w="9204" w:type="dxa"/>
        <w:tblLook w:val="04A0" w:firstRow="1" w:lastRow="0" w:firstColumn="1" w:lastColumn="0" w:noHBand="0" w:noVBand="1"/>
      </w:tblPr>
      <w:tblGrid>
        <w:gridCol w:w="1775"/>
        <w:gridCol w:w="1176"/>
        <w:gridCol w:w="6253"/>
      </w:tblGrid>
      <w:tr w:rsidR="00843214" w:rsidRPr="00843214" w14:paraId="2F6CFA9B" w14:textId="4B364490" w:rsidTr="00222069">
        <w:trPr>
          <w:trHeight w:val="401"/>
        </w:trPr>
        <w:tc>
          <w:tcPr>
            <w:tcW w:w="1775" w:type="dxa"/>
            <w:hideMark/>
          </w:tcPr>
          <w:p w14:paraId="46CF13BB" w14:textId="3F255D07" w:rsidR="0086544C" w:rsidRPr="00843214" w:rsidRDefault="0086544C" w:rsidP="00F13BC9">
            <w:pPr>
              <w:spacing w:after="0" w:line="480" w:lineRule="auto"/>
              <w:rPr>
                <w:rFonts w:ascii="Arial" w:eastAsia="Times New Roman" w:hAnsi="Arial" w:cs="Arial"/>
                <w:color w:val="auto"/>
                <w:sz w:val="18"/>
                <w:szCs w:val="18"/>
              </w:rPr>
            </w:pPr>
            <w:r w:rsidRPr="00843214">
              <w:rPr>
                <w:rFonts w:eastAsia="Calibri" w:cs="Calibri"/>
                <w:b/>
                <w:bCs/>
                <w:color w:val="auto"/>
                <w:kern w:val="24"/>
                <w:sz w:val="18"/>
                <w:szCs w:val="18"/>
                <w:lang w:val="en-AU"/>
              </w:rPr>
              <w:t>Current Objective</w:t>
            </w:r>
          </w:p>
        </w:tc>
        <w:tc>
          <w:tcPr>
            <w:tcW w:w="1176" w:type="dxa"/>
            <w:hideMark/>
          </w:tcPr>
          <w:p w14:paraId="1134BE16" w14:textId="5B1BC63E" w:rsidR="0086544C" w:rsidRPr="00843214" w:rsidRDefault="00934DD1" w:rsidP="00F13BC9">
            <w:pPr>
              <w:spacing w:after="0" w:line="480" w:lineRule="auto"/>
              <w:rPr>
                <w:rFonts w:ascii="Arial" w:eastAsia="Times New Roman" w:hAnsi="Arial" w:cs="Arial"/>
                <w:color w:val="auto"/>
                <w:sz w:val="18"/>
                <w:szCs w:val="18"/>
              </w:rPr>
            </w:pPr>
            <w:r w:rsidRPr="00843214">
              <w:rPr>
                <w:rFonts w:eastAsia="Calibri" w:cs="Calibri"/>
                <w:b/>
                <w:bCs/>
                <w:color w:val="auto"/>
                <w:kern w:val="24"/>
                <w:sz w:val="18"/>
                <w:szCs w:val="18"/>
                <w:lang w:val="en-AU"/>
              </w:rPr>
              <w:t>Continue…</w:t>
            </w:r>
            <w:r w:rsidR="00FC1960" w:rsidRPr="00843214">
              <w:rPr>
                <w:rFonts w:eastAsia="Calibri" w:cs="Calibri"/>
                <w:b/>
                <w:bCs/>
                <w:color w:val="auto"/>
                <w:kern w:val="24"/>
                <w:sz w:val="18"/>
                <w:szCs w:val="18"/>
                <w:lang w:val="en-AU"/>
              </w:rPr>
              <w:t xml:space="preserve"> </w:t>
            </w:r>
          </w:p>
        </w:tc>
        <w:tc>
          <w:tcPr>
            <w:tcW w:w="6253" w:type="dxa"/>
          </w:tcPr>
          <w:p w14:paraId="7BF12838" w14:textId="35E28842" w:rsidR="0086544C" w:rsidRPr="00843214" w:rsidRDefault="00DA4046" w:rsidP="00F13BC9">
            <w:pPr>
              <w:spacing w:after="0"/>
              <w:rPr>
                <w:rFonts w:eastAsia="Calibri" w:cs="Calibri"/>
                <w:b/>
                <w:bCs/>
                <w:color w:val="auto"/>
                <w:kern w:val="24"/>
                <w:sz w:val="18"/>
                <w:szCs w:val="18"/>
                <w:lang w:val="en-AU"/>
              </w:rPr>
            </w:pPr>
            <w:r w:rsidRPr="00843214">
              <w:rPr>
                <w:rFonts w:eastAsia="Calibri" w:cs="Calibri"/>
                <w:b/>
                <w:bCs/>
                <w:color w:val="auto"/>
                <w:kern w:val="24"/>
                <w:sz w:val="18"/>
                <w:szCs w:val="18"/>
                <w:lang w:val="en-AU"/>
              </w:rPr>
              <w:t>Key</w:t>
            </w:r>
            <w:r w:rsidR="00100CB0" w:rsidRPr="00843214">
              <w:rPr>
                <w:rFonts w:eastAsia="Calibri" w:cs="Calibri"/>
                <w:b/>
                <w:bCs/>
                <w:color w:val="auto"/>
                <w:kern w:val="24"/>
                <w:sz w:val="18"/>
                <w:szCs w:val="18"/>
                <w:lang w:val="en-AU"/>
              </w:rPr>
              <w:t xml:space="preserve"> focus areas and</w:t>
            </w:r>
            <w:r w:rsidR="00C64725" w:rsidRPr="00843214">
              <w:rPr>
                <w:rFonts w:eastAsia="Calibri" w:cs="Calibri"/>
                <w:b/>
                <w:bCs/>
                <w:color w:val="auto"/>
                <w:kern w:val="24"/>
                <w:sz w:val="18"/>
                <w:szCs w:val="18"/>
                <w:lang w:val="en-AU"/>
              </w:rPr>
              <w:t xml:space="preserve"> </w:t>
            </w:r>
            <w:r w:rsidRPr="00843214">
              <w:rPr>
                <w:rFonts w:eastAsia="Calibri" w:cs="Calibri"/>
                <w:b/>
                <w:bCs/>
                <w:color w:val="auto"/>
                <w:kern w:val="24"/>
                <w:sz w:val="18"/>
                <w:szCs w:val="18"/>
                <w:lang w:val="en-AU"/>
              </w:rPr>
              <w:t>re</w:t>
            </w:r>
            <w:r w:rsidR="0086544C" w:rsidRPr="00843214">
              <w:rPr>
                <w:rFonts w:eastAsia="Calibri" w:cs="Calibri"/>
                <w:b/>
                <w:bCs/>
                <w:color w:val="auto"/>
                <w:kern w:val="24"/>
                <w:sz w:val="18"/>
                <w:szCs w:val="18"/>
                <w:lang w:val="en-AU"/>
              </w:rPr>
              <w:t>commended changes</w:t>
            </w:r>
            <w:r w:rsidR="00100CB0" w:rsidRPr="00843214">
              <w:rPr>
                <w:rFonts w:eastAsia="Calibri" w:cs="Calibri"/>
                <w:b/>
                <w:bCs/>
                <w:color w:val="auto"/>
                <w:kern w:val="24"/>
                <w:sz w:val="18"/>
                <w:szCs w:val="18"/>
                <w:lang w:val="en-AU"/>
              </w:rPr>
              <w:t xml:space="preserve"> for SPF 2021-25</w:t>
            </w:r>
          </w:p>
        </w:tc>
      </w:tr>
      <w:tr w:rsidR="00843214" w:rsidRPr="00843214" w14:paraId="3342A98C" w14:textId="6DA0D95D" w:rsidTr="00222069">
        <w:trPr>
          <w:trHeight w:val="316"/>
        </w:trPr>
        <w:tc>
          <w:tcPr>
            <w:tcW w:w="1775" w:type="dxa"/>
            <w:hideMark/>
          </w:tcPr>
          <w:p w14:paraId="02D6D106" w14:textId="77777777" w:rsidR="0086544C" w:rsidRPr="00843214" w:rsidRDefault="0086544C" w:rsidP="00F13BC9">
            <w:pPr>
              <w:spacing w:after="0"/>
              <w:rPr>
                <w:rFonts w:eastAsia="Calibri" w:cs="Calibri"/>
                <w:color w:val="auto"/>
                <w:kern w:val="24"/>
                <w:sz w:val="18"/>
                <w:szCs w:val="18"/>
                <w:lang w:val="en-AU"/>
              </w:rPr>
            </w:pPr>
            <w:r w:rsidRPr="00843214">
              <w:rPr>
                <w:rFonts w:eastAsia="Calibri" w:cs="Calibri"/>
                <w:color w:val="auto"/>
                <w:kern w:val="24"/>
                <w:sz w:val="18"/>
                <w:szCs w:val="18"/>
                <w:lang w:val="en-AU"/>
              </w:rPr>
              <w:t>1. Performance</w:t>
            </w:r>
          </w:p>
        </w:tc>
        <w:tc>
          <w:tcPr>
            <w:tcW w:w="1176" w:type="dxa"/>
            <w:hideMark/>
          </w:tcPr>
          <w:p w14:paraId="061D75F3" w14:textId="01E426C2" w:rsidR="0086544C"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28AF8C9C" wp14:editId="71B215FC">
                  <wp:extent cx="219075" cy="219075"/>
                  <wp:effectExtent l="0" t="0" r="0" b="9525"/>
                  <wp:docPr id="25" name="Graphic 25"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2AE4C998" w14:textId="5232A498" w:rsidR="006C3DA7" w:rsidRPr="00843214" w:rsidRDefault="006C3DA7" w:rsidP="00F13BC9">
            <w:pPr>
              <w:spacing w:after="0"/>
              <w:rPr>
                <w:rFonts w:eastAsia="Calibri" w:cs="Calibri"/>
                <w:b/>
                <w:bCs/>
                <w:color w:val="auto"/>
                <w:kern w:val="24"/>
                <w:sz w:val="18"/>
                <w:szCs w:val="18"/>
                <w:lang w:val="en-AU"/>
              </w:rPr>
            </w:pPr>
            <w:r w:rsidRPr="00843214">
              <w:rPr>
                <w:rFonts w:eastAsia="Calibri" w:cs="Calibri"/>
                <w:b/>
                <w:bCs/>
                <w:color w:val="auto"/>
                <w:kern w:val="24"/>
                <w:sz w:val="18"/>
                <w:szCs w:val="18"/>
                <w:lang w:val="en-AU"/>
              </w:rPr>
              <w:t xml:space="preserve">Continue and strengthen the following: </w:t>
            </w:r>
          </w:p>
          <w:p w14:paraId="1E3ED732" w14:textId="3E002574" w:rsidR="0086544C" w:rsidRPr="00843214" w:rsidRDefault="00BF76BC" w:rsidP="00F13BC9">
            <w:pPr>
              <w:pStyle w:val="ListParagraph"/>
              <w:numPr>
                <w:ilvl w:val="0"/>
                <w:numId w:val="23"/>
              </w:numPr>
              <w:spacing w:after="0"/>
              <w:ind w:left="271" w:hanging="180"/>
              <w:rPr>
                <w:rFonts w:eastAsia="Calibri" w:cs="Calibri"/>
                <w:color w:val="auto"/>
                <w:kern w:val="24"/>
                <w:sz w:val="18"/>
                <w:szCs w:val="18"/>
                <w:lang w:val="en-AU"/>
              </w:rPr>
            </w:pPr>
            <w:r w:rsidRPr="00843214">
              <w:rPr>
                <w:rFonts w:eastAsia="Calibri" w:cs="Calibri"/>
                <w:color w:val="auto"/>
                <w:kern w:val="24"/>
                <w:sz w:val="18"/>
                <w:szCs w:val="18"/>
                <w:lang w:val="en-AU"/>
              </w:rPr>
              <w:t>P</w:t>
            </w:r>
            <w:r w:rsidR="00C64725" w:rsidRPr="00843214">
              <w:rPr>
                <w:rFonts w:eastAsia="Calibri" w:cs="Calibri"/>
                <w:color w:val="auto"/>
                <w:kern w:val="24"/>
                <w:sz w:val="18"/>
                <w:szCs w:val="18"/>
                <w:lang w:val="en-AU"/>
              </w:rPr>
              <w:t xml:space="preserve">ublic visibility requirements. </w:t>
            </w:r>
          </w:p>
          <w:p w14:paraId="4EBFA9B7" w14:textId="34C8DE62" w:rsidR="000B4C0B" w:rsidRPr="00843214" w:rsidRDefault="000B4C0B" w:rsidP="00F13BC9">
            <w:pPr>
              <w:pStyle w:val="ListParagraph"/>
              <w:numPr>
                <w:ilvl w:val="0"/>
                <w:numId w:val="23"/>
              </w:numPr>
              <w:spacing w:after="0"/>
              <w:ind w:left="271" w:hanging="180"/>
              <w:rPr>
                <w:rFonts w:eastAsia="Calibri" w:cs="Calibri"/>
                <w:color w:val="auto"/>
                <w:kern w:val="24"/>
                <w:sz w:val="18"/>
                <w:szCs w:val="18"/>
                <w:lang w:val="en-AU"/>
              </w:rPr>
            </w:pPr>
            <w:r w:rsidRPr="00843214">
              <w:rPr>
                <w:rFonts w:eastAsia="Calibri" w:cs="Calibri"/>
                <w:color w:val="auto"/>
                <w:kern w:val="24"/>
                <w:sz w:val="18"/>
                <w:szCs w:val="18"/>
                <w:lang w:val="en-AU"/>
              </w:rPr>
              <w:t xml:space="preserve">Link results-based management and reporting to the need for outcomes-level reporting and robust budget management and financial reporting. </w:t>
            </w:r>
          </w:p>
        </w:tc>
      </w:tr>
      <w:tr w:rsidR="00843214" w:rsidRPr="00843214" w14:paraId="5329C5C0" w14:textId="29DE9EBC" w:rsidTr="00222069">
        <w:trPr>
          <w:trHeight w:val="296"/>
        </w:trPr>
        <w:tc>
          <w:tcPr>
            <w:tcW w:w="1775" w:type="dxa"/>
            <w:hideMark/>
          </w:tcPr>
          <w:p w14:paraId="1F6F2828" w14:textId="77777777" w:rsidR="0086544C" w:rsidRPr="00843214" w:rsidRDefault="0086544C"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2. Normative</w:t>
            </w:r>
          </w:p>
        </w:tc>
        <w:tc>
          <w:tcPr>
            <w:tcW w:w="1176" w:type="dxa"/>
            <w:hideMark/>
          </w:tcPr>
          <w:p w14:paraId="06645BFE" w14:textId="44CFD4B2" w:rsidR="0086544C" w:rsidRPr="00843214" w:rsidRDefault="00945065"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741F779E" wp14:editId="763CE91F">
                  <wp:extent cx="219075" cy="219075"/>
                  <wp:effectExtent l="0" t="0" r="0" b="9525"/>
                  <wp:docPr id="1135915202" name="Graphic 1135915202"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79006106" w14:textId="77777777" w:rsidR="00945065" w:rsidRPr="00843214" w:rsidRDefault="00F613C0" w:rsidP="00F13BC9">
            <w:pPr>
              <w:spacing w:after="0"/>
              <w:rPr>
                <w:color w:val="auto"/>
                <w:sz w:val="18"/>
                <w:szCs w:val="18"/>
              </w:rPr>
            </w:pPr>
            <w:r w:rsidRPr="00843214">
              <w:rPr>
                <w:rFonts w:eastAsia="Calibri" w:cs="Calibri"/>
                <w:b/>
                <w:bCs/>
                <w:color w:val="auto"/>
                <w:kern w:val="24"/>
                <w:sz w:val="18"/>
                <w:szCs w:val="18"/>
                <w:lang w:val="en-AU"/>
              </w:rPr>
              <w:t>Continue</w:t>
            </w:r>
            <w:r w:rsidRPr="00843214">
              <w:rPr>
                <w:rFonts w:eastAsia="Calibri" w:cs="Calibri"/>
                <w:color w:val="auto"/>
                <w:kern w:val="24"/>
                <w:sz w:val="18"/>
                <w:szCs w:val="18"/>
                <w:lang w:val="en-AU"/>
              </w:rPr>
              <w:t xml:space="preserve"> supporting normative work through regular resources, drawing on global gains for regional programming.</w:t>
            </w:r>
            <w:r w:rsidR="00945065" w:rsidRPr="00843214">
              <w:rPr>
                <w:rFonts w:eastAsia="Calibri" w:cs="Calibri"/>
                <w:color w:val="auto"/>
                <w:kern w:val="24"/>
                <w:sz w:val="18"/>
                <w:szCs w:val="18"/>
                <w:lang w:val="en-AU"/>
              </w:rPr>
              <w:t xml:space="preserve"> </w:t>
            </w:r>
          </w:p>
          <w:p w14:paraId="5C7C5030" w14:textId="49FBBF0F" w:rsidR="00263F0F" w:rsidRPr="00843214" w:rsidRDefault="00945065" w:rsidP="00F13BC9">
            <w:pPr>
              <w:spacing w:after="0"/>
              <w:rPr>
                <w:color w:val="auto"/>
                <w:sz w:val="18"/>
                <w:szCs w:val="18"/>
              </w:rPr>
            </w:pPr>
            <w:r w:rsidRPr="00843214">
              <w:rPr>
                <w:b/>
                <w:bCs/>
                <w:color w:val="auto"/>
                <w:sz w:val="18"/>
                <w:szCs w:val="18"/>
              </w:rPr>
              <w:t>Increase</w:t>
            </w:r>
            <w:r w:rsidRPr="00843214">
              <w:rPr>
                <w:color w:val="auto"/>
                <w:sz w:val="18"/>
                <w:szCs w:val="18"/>
              </w:rPr>
              <w:t xml:space="preserve"> focus on gender data collection and use in line with UN Women’s upcoming Data Evidence Knowledge Strategy and integrate data use as a key priority for its programming across countries, </w:t>
            </w:r>
            <w:proofErr w:type="gramStart"/>
            <w:r w:rsidRPr="00843214">
              <w:rPr>
                <w:color w:val="auto"/>
                <w:sz w:val="18"/>
                <w:szCs w:val="18"/>
              </w:rPr>
              <w:t>regions</w:t>
            </w:r>
            <w:proofErr w:type="gramEnd"/>
            <w:r w:rsidRPr="00843214">
              <w:rPr>
                <w:color w:val="auto"/>
                <w:sz w:val="18"/>
                <w:szCs w:val="18"/>
              </w:rPr>
              <w:t xml:space="preserve"> and global programmes. </w:t>
            </w:r>
          </w:p>
        </w:tc>
      </w:tr>
      <w:tr w:rsidR="00843214" w:rsidRPr="00843214" w14:paraId="5AAD6E1B" w14:textId="281D1CA1" w:rsidTr="00222069">
        <w:trPr>
          <w:trHeight w:val="477"/>
        </w:trPr>
        <w:tc>
          <w:tcPr>
            <w:tcW w:w="1775" w:type="dxa"/>
            <w:hideMark/>
          </w:tcPr>
          <w:p w14:paraId="049427DD" w14:textId="77777777" w:rsidR="0086544C" w:rsidRPr="00843214" w:rsidRDefault="0086544C"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 xml:space="preserve">3. Coordination </w:t>
            </w:r>
          </w:p>
        </w:tc>
        <w:tc>
          <w:tcPr>
            <w:tcW w:w="1176" w:type="dxa"/>
            <w:hideMark/>
          </w:tcPr>
          <w:p w14:paraId="42CA01A2" w14:textId="2362C539" w:rsidR="0086544C"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1F34EE5B" wp14:editId="4CA8D9F2">
                  <wp:extent cx="219075" cy="219075"/>
                  <wp:effectExtent l="0" t="0" r="0" b="9525"/>
                  <wp:docPr id="26" name="Graphic 26"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6FEB28BA" w14:textId="77777777" w:rsidR="00381C2C" w:rsidRPr="00843214" w:rsidRDefault="00030EDB" w:rsidP="00F13BC9">
            <w:pPr>
              <w:spacing w:after="0"/>
              <w:rPr>
                <w:color w:val="auto"/>
                <w:sz w:val="18"/>
                <w:szCs w:val="18"/>
              </w:rPr>
            </w:pPr>
            <w:r w:rsidRPr="00843214">
              <w:rPr>
                <w:color w:val="auto"/>
                <w:sz w:val="18"/>
                <w:szCs w:val="18"/>
              </w:rPr>
              <w:t>Use the</w:t>
            </w:r>
            <w:r w:rsidR="00F613C0" w:rsidRPr="00843214">
              <w:rPr>
                <w:color w:val="auto"/>
                <w:sz w:val="18"/>
                <w:szCs w:val="18"/>
              </w:rPr>
              <w:t xml:space="preserve"> coordination mandate to draw on gender expertise across programming</w:t>
            </w:r>
            <w:r w:rsidR="00381C2C" w:rsidRPr="00843214">
              <w:rPr>
                <w:color w:val="auto"/>
                <w:sz w:val="18"/>
                <w:szCs w:val="18"/>
              </w:rPr>
              <w:t>.</w:t>
            </w:r>
          </w:p>
          <w:p w14:paraId="7FE00222" w14:textId="510DBD58" w:rsidR="0086544C" w:rsidRPr="00843214" w:rsidRDefault="00381C2C" w:rsidP="00F13BC9">
            <w:pPr>
              <w:spacing w:after="0"/>
              <w:rPr>
                <w:rFonts w:eastAsia="Calibri"/>
                <w:color w:val="auto"/>
                <w:kern w:val="24"/>
                <w:sz w:val="18"/>
                <w:szCs w:val="18"/>
                <w:highlight w:val="yellow"/>
                <w:lang w:val="en-AU"/>
              </w:rPr>
            </w:pPr>
            <w:r w:rsidRPr="00843214">
              <w:rPr>
                <w:color w:val="auto"/>
                <w:sz w:val="18"/>
                <w:szCs w:val="18"/>
              </w:rPr>
              <w:t>S</w:t>
            </w:r>
            <w:r w:rsidR="00F613C0" w:rsidRPr="00843214">
              <w:rPr>
                <w:color w:val="auto"/>
                <w:sz w:val="18"/>
                <w:szCs w:val="18"/>
              </w:rPr>
              <w:t xml:space="preserve">trengthen UN Women’s role within </w:t>
            </w:r>
            <w:r w:rsidR="00030EDB" w:rsidRPr="00843214">
              <w:rPr>
                <w:color w:val="auto"/>
                <w:sz w:val="18"/>
                <w:szCs w:val="18"/>
              </w:rPr>
              <w:t xml:space="preserve">the </w:t>
            </w:r>
            <w:r w:rsidR="00F613C0" w:rsidRPr="00843214">
              <w:rPr>
                <w:color w:val="auto"/>
                <w:sz w:val="18"/>
                <w:szCs w:val="18"/>
              </w:rPr>
              <w:t>Humanitarian Country Team</w:t>
            </w:r>
            <w:r w:rsidR="00C52ED5" w:rsidRPr="00843214">
              <w:rPr>
                <w:color w:val="auto"/>
                <w:sz w:val="18"/>
                <w:szCs w:val="18"/>
              </w:rPr>
              <w:t>.</w:t>
            </w:r>
            <w:r w:rsidR="00F613C0" w:rsidRPr="00843214">
              <w:rPr>
                <w:color w:val="auto"/>
                <w:sz w:val="18"/>
                <w:szCs w:val="18"/>
              </w:rPr>
              <w:t xml:space="preserve"> </w:t>
            </w:r>
          </w:p>
        </w:tc>
      </w:tr>
      <w:tr w:rsidR="00843214" w:rsidRPr="00843214" w14:paraId="5CA4CDE1" w14:textId="4FBED4A7" w:rsidTr="00222069">
        <w:trPr>
          <w:trHeight w:val="477"/>
        </w:trPr>
        <w:tc>
          <w:tcPr>
            <w:tcW w:w="1775" w:type="dxa"/>
            <w:hideMark/>
          </w:tcPr>
          <w:p w14:paraId="4A65DBDF" w14:textId="77777777" w:rsidR="0086544C" w:rsidRPr="00843214" w:rsidRDefault="0086544C"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4. Women’s voice in decision making, leadership, and peace and security and humanitarian responses</w:t>
            </w:r>
          </w:p>
        </w:tc>
        <w:tc>
          <w:tcPr>
            <w:tcW w:w="1176" w:type="dxa"/>
            <w:hideMark/>
          </w:tcPr>
          <w:p w14:paraId="40B0E097" w14:textId="2BFD5FD2" w:rsidR="0086544C"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3251B55C" wp14:editId="03A75B80">
                  <wp:extent cx="314325" cy="314325"/>
                  <wp:effectExtent l="0" t="0" r="0" b="9525"/>
                  <wp:docPr id="23" name="Graphic 23" descr="Mov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ove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4325" cy="314325"/>
                          </a:xfrm>
                          <a:prstGeom prst="rect">
                            <a:avLst/>
                          </a:prstGeom>
                        </pic:spPr>
                      </pic:pic>
                    </a:graphicData>
                  </a:graphic>
                </wp:inline>
              </w:drawing>
            </w:r>
          </w:p>
        </w:tc>
        <w:tc>
          <w:tcPr>
            <w:tcW w:w="6253" w:type="dxa"/>
          </w:tcPr>
          <w:p w14:paraId="497C88ED" w14:textId="040ACD15" w:rsidR="00DA4046" w:rsidRPr="00843214" w:rsidRDefault="00F07203" w:rsidP="00F13BC9">
            <w:pPr>
              <w:spacing w:after="0"/>
              <w:rPr>
                <w:color w:val="auto"/>
                <w:sz w:val="18"/>
                <w:szCs w:val="18"/>
                <w:lang w:val="en-AU" w:eastAsia="en-GB"/>
              </w:rPr>
            </w:pPr>
            <w:r w:rsidRPr="00843214">
              <w:rPr>
                <w:color w:val="auto"/>
                <w:sz w:val="18"/>
                <w:szCs w:val="18"/>
                <w:lang w:val="en-AU" w:eastAsia="en-GB"/>
              </w:rPr>
              <w:t>Continue this area with some refinements in the structuring of these objectives. Specifically, s</w:t>
            </w:r>
            <w:r w:rsidR="00DA4046" w:rsidRPr="00843214">
              <w:rPr>
                <w:color w:val="auto"/>
                <w:sz w:val="18"/>
                <w:szCs w:val="18"/>
                <w:lang w:val="en-AU" w:eastAsia="en-GB"/>
              </w:rPr>
              <w:t xml:space="preserve">eparate </w:t>
            </w:r>
            <w:r w:rsidR="003F02C3" w:rsidRPr="00843214">
              <w:rPr>
                <w:color w:val="auto"/>
                <w:sz w:val="18"/>
                <w:szCs w:val="18"/>
                <w:lang w:val="en-AU" w:eastAsia="en-GB"/>
              </w:rPr>
              <w:t xml:space="preserve">women’s political </w:t>
            </w:r>
            <w:r w:rsidR="00E634CE" w:rsidRPr="00843214">
              <w:rPr>
                <w:color w:val="auto"/>
                <w:sz w:val="18"/>
                <w:szCs w:val="18"/>
                <w:lang w:val="en-AU" w:eastAsia="en-GB"/>
              </w:rPr>
              <w:t>decision-making and</w:t>
            </w:r>
            <w:r w:rsidR="003F02C3" w:rsidRPr="00843214">
              <w:rPr>
                <w:color w:val="auto"/>
                <w:sz w:val="18"/>
                <w:szCs w:val="18"/>
                <w:lang w:val="en-AU" w:eastAsia="en-GB"/>
              </w:rPr>
              <w:t xml:space="preserve"> leadership, </w:t>
            </w:r>
            <w:r w:rsidR="00DA4046" w:rsidRPr="00843214">
              <w:rPr>
                <w:color w:val="auto"/>
                <w:sz w:val="18"/>
                <w:szCs w:val="18"/>
                <w:lang w:val="en-AU" w:eastAsia="en-GB"/>
              </w:rPr>
              <w:t>WPS, DRR and humanitarian action as individual objectives to allow an appropriate level of focus and expected performance in each area.</w:t>
            </w:r>
          </w:p>
          <w:p w14:paraId="39E0FBA7" w14:textId="4BF60CC4" w:rsidR="003F02C3" w:rsidRPr="00843214" w:rsidRDefault="003F02C3" w:rsidP="00F13BC9">
            <w:pPr>
              <w:spacing w:after="0"/>
              <w:rPr>
                <w:color w:val="auto"/>
                <w:sz w:val="18"/>
                <w:szCs w:val="18"/>
                <w:lang w:val="en-AU" w:eastAsia="en-GB"/>
              </w:rPr>
            </w:pPr>
            <w:r w:rsidRPr="00843214">
              <w:rPr>
                <w:color w:val="auto"/>
                <w:sz w:val="18"/>
                <w:szCs w:val="18"/>
                <w:lang w:val="en-AU" w:eastAsia="en-GB"/>
              </w:rPr>
              <w:t>Continue enhancing women’s voices in political decision making and leadership.</w:t>
            </w:r>
          </w:p>
          <w:p w14:paraId="200C681C" w14:textId="6F71A87D" w:rsidR="00B717CA" w:rsidRPr="00843214" w:rsidRDefault="00B717CA" w:rsidP="00F13BC9">
            <w:pPr>
              <w:spacing w:after="0"/>
              <w:rPr>
                <w:color w:val="auto"/>
                <w:sz w:val="18"/>
                <w:szCs w:val="18"/>
                <w:lang w:val="en-AU" w:eastAsia="en-GB"/>
              </w:rPr>
            </w:pPr>
            <w:r w:rsidRPr="00843214">
              <w:rPr>
                <w:b/>
                <w:bCs/>
                <w:color w:val="auto"/>
                <w:sz w:val="18"/>
                <w:szCs w:val="18"/>
                <w:lang w:val="en-AU" w:eastAsia="en-GB"/>
              </w:rPr>
              <w:t>WPS</w:t>
            </w:r>
            <w:r w:rsidR="00F07203" w:rsidRPr="00843214">
              <w:rPr>
                <w:color w:val="auto"/>
                <w:sz w:val="18"/>
                <w:szCs w:val="18"/>
                <w:lang w:val="en-AU" w:eastAsia="en-GB"/>
              </w:rPr>
              <w:t xml:space="preserve">-Distinguish WPS as a specific objective which will support specific programming and strengthened support through </w:t>
            </w:r>
            <w:r w:rsidR="001C4F87" w:rsidRPr="00843214">
              <w:rPr>
                <w:color w:val="auto"/>
                <w:sz w:val="18"/>
                <w:szCs w:val="18"/>
                <w:lang w:val="en-AU" w:eastAsia="en-GB"/>
              </w:rPr>
              <w:t>the Partnership</w:t>
            </w:r>
            <w:r w:rsidR="00C52ED5" w:rsidRPr="00843214">
              <w:rPr>
                <w:color w:val="auto"/>
                <w:sz w:val="18"/>
                <w:szCs w:val="18"/>
                <w:lang w:val="en-AU" w:eastAsia="en-GB"/>
              </w:rPr>
              <w:t>.</w:t>
            </w:r>
          </w:p>
          <w:p w14:paraId="6ADE499E" w14:textId="7588AEAF" w:rsidR="00F07203" w:rsidRPr="00843214" w:rsidRDefault="00F07203" w:rsidP="00F13BC9">
            <w:pPr>
              <w:spacing w:after="0"/>
              <w:rPr>
                <w:color w:val="auto"/>
                <w:sz w:val="18"/>
                <w:szCs w:val="18"/>
                <w:lang w:val="en-AU" w:eastAsia="en-GB"/>
              </w:rPr>
            </w:pPr>
            <w:r w:rsidRPr="00843214">
              <w:rPr>
                <w:b/>
                <w:bCs/>
                <w:color w:val="auto"/>
                <w:sz w:val="18"/>
                <w:szCs w:val="18"/>
                <w:lang w:val="en-AU" w:eastAsia="en-GB"/>
              </w:rPr>
              <w:t>DRR</w:t>
            </w:r>
            <w:r w:rsidRPr="00843214">
              <w:rPr>
                <w:color w:val="auto"/>
                <w:sz w:val="18"/>
                <w:szCs w:val="18"/>
                <w:lang w:val="en-AU" w:eastAsia="en-GB"/>
              </w:rPr>
              <w:t>-Take th</w:t>
            </w:r>
            <w:r w:rsidR="00934DD1" w:rsidRPr="00843214">
              <w:rPr>
                <w:color w:val="auto"/>
                <w:sz w:val="18"/>
                <w:szCs w:val="18"/>
                <w:lang w:val="en-AU" w:eastAsia="en-GB"/>
              </w:rPr>
              <w:t>e DRR</w:t>
            </w:r>
            <w:r w:rsidRPr="00843214">
              <w:rPr>
                <w:color w:val="auto"/>
                <w:sz w:val="18"/>
                <w:szCs w:val="18"/>
                <w:lang w:val="en-AU" w:eastAsia="en-GB"/>
              </w:rPr>
              <w:t xml:space="preserve"> agenda further as DRR is highly relevant in the Indo-</w:t>
            </w:r>
            <w:proofErr w:type="gramStart"/>
            <w:r w:rsidRPr="00843214">
              <w:rPr>
                <w:color w:val="auto"/>
                <w:sz w:val="18"/>
                <w:szCs w:val="18"/>
                <w:lang w:val="en-AU" w:eastAsia="en-GB"/>
              </w:rPr>
              <w:t>Pacific, and</w:t>
            </w:r>
            <w:proofErr w:type="gramEnd"/>
            <w:r w:rsidRPr="00843214">
              <w:rPr>
                <w:color w:val="auto"/>
                <w:sz w:val="18"/>
                <w:szCs w:val="18"/>
                <w:lang w:val="en-AU" w:eastAsia="en-GB"/>
              </w:rPr>
              <w:t xml:space="preserve"> is an area that should have greater focus going forward as the </w:t>
            </w:r>
            <w:r w:rsidRPr="00843214">
              <w:rPr>
                <w:color w:val="auto"/>
                <w:sz w:val="18"/>
                <w:szCs w:val="18"/>
                <w:lang w:val="en-AU" w:eastAsia="en-GB"/>
              </w:rPr>
              <w:lastRenderedPageBreak/>
              <w:t>impacts on women are intensified through frequent disasters</w:t>
            </w:r>
            <w:r w:rsidR="0071156A" w:rsidRPr="00843214">
              <w:rPr>
                <w:color w:val="auto"/>
                <w:sz w:val="18"/>
                <w:szCs w:val="18"/>
                <w:lang w:val="en-AU" w:eastAsia="en-GB"/>
              </w:rPr>
              <w:t xml:space="preserve"> and the impacts of climate change</w:t>
            </w:r>
            <w:r w:rsidR="00C52ED5" w:rsidRPr="00843214">
              <w:rPr>
                <w:color w:val="auto"/>
                <w:sz w:val="18"/>
                <w:szCs w:val="18"/>
                <w:lang w:val="en-AU" w:eastAsia="en-GB"/>
              </w:rPr>
              <w:t>.</w:t>
            </w:r>
          </w:p>
          <w:p w14:paraId="66F0DFB6" w14:textId="7ED20903" w:rsidR="0086544C" w:rsidRPr="00843214" w:rsidRDefault="00F07203" w:rsidP="00F13BC9">
            <w:pPr>
              <w:spacing w:after="0"/>
              <w:rPr>
                <w:b/>
                <w:bCs/>
                <w:color w:val="auto"/>
                <w:sz w:val="18"/>
                <w:szCs w:val="18"/>
                <w:lang w:val="en-AU" w:eastAsia="en-GB"/>
              </w:rPr>
            </w:pPr>
            <w:r w:rsidRPr="00843214">
              <w:rPr>
                <w:b/>
                <w:bCs/>
                <w:color w:val="auto"/>
                <w:sz w:val="18"/>
                <w:szCs w:val="18"/>
                <w:lang w:val="en-AU" w:eastAsia="en-GB"/>
              </w:rPr>
              <w:t>Humanitarian-</w:t>
            </w:r>
            <w:r w:rsidRPr="00843214">
              <w:rPr>
                <w:color w:val="auto"/>
                <w:sz w:val="18"/>
                <w:szCs w:val="18"/>
              </w:rPr>
              <w:t xml:space="preserve"> </w:t>
            </w:r>
            <w:r w:rsidR="00352B34" w:rsidRPr="00843214">
              <w:rPr>
                <w:color w:val="auto"/>
                <w:sz w:val="18"/>
                <w:szCs w:val="18"/>
              </w:rPr>
              <w:t>Reflect on and b</w:t>
            </w:r>
            <w:r w:rsidRPr="00843214">
              <w:rPr>
                <w:color w:val="auto"/>
                <w:sz w:val="18"/>
                <w:szCs w:val="18"/>
                <w:lang w:val="en-AU" w:eastAsia="en-GB"/>
              </w:rPr>
              <w:t>uild on UN Women’s new humanitarian action strateg</w:t>
            </w:r>
            <w:r w:rsidR="001138BF" w:rsidRPr="00843214">
              <w:rPr>
                <w:color w:val="auto"/>
                <w:sz w:val="18"/>
                <w:szCs w:val="18"/>
                <w:lang w:val="en-AU" w:eastAsia="en-GB"/>
              </w:rPr>
              <w:t>y that</w:t>
            </w:r>
            <w:r w:rsidR="00934DD1" w:rsidRPr="00843214">
              <w:rPr>
                <w:color w:val="auto"/>
                <w:sz w:val="18"/>
                <w:szCs w:val="18"/>
                <w:lang w:val="en-AU" w:eastAsia="en-GB"/>
              </w:rPr>
              <w:t xml:space="preserve"> seeks to address UN Women’s </w:t>
            </w:r>
            <w:r w:rsidR="00C52ED5" w:rsidRPr="00843214">
              <w:rPr>
                <w:color w:val="auto"/>
                <w:sz w:val="18"/>
                <w:szCs w:val="18"/>
                <w:lang w:val="en-AU" w:eastAsia="en-GB"/>
              </w:rPr>
              <w:t>role and comparative advantage in humanitarian action.</w:t>
            </w:r>
          </w:p>
        </w:tc>
      </w:tr>
      <w:tr w:rsidR="00843214" w:rsidRPr="00843214" w14:paraId="54FCFE67" w14:textId="41C3292D" w:rsidTr="00222069">
        <w:trPr>
          <w:trHeight w:val="456"/>
        </w:trPr>
        <w:tc>
          <w:tcPr>
            <w:tcW w:w="1775" w:type="dxa"/>
            <w:hideMark/>
          </w:tcPr>
          <w:p w14:paraId="397B2674" w14:textId="7AE88327" w:rsidR="0086544C" w:rsidRPr="00843214" w:rsidRDefault="0086544C"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lastRenderedPageBreak/>
              <w:t>5. Women’s economic empowerment</w:t>
            </w:r>
          </w:p>
        </w:tc>
        <w:tc>
          <w:tcPr>
            <w:tcW w:w="1176" w:type="dxa"/>
            <w:hideMark/>
          </w:tcPr>
          <w:p w14:paraId="447EF154" w14:textId="2810A184" w:rsidR="0086544C"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211114D5" wp14:editId="2758EBA0">
                  <wp:extent cx="314325" cy="314325"/>
                  <wp:effectExtent l="0" t="0" r="0" b="9525"/>
                  <wp:docPr id="29" name="Graphic 29" descr="Mov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ove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4325" cy="314325"/>
                          </a:xfrm>
                          <a:prstGeom prst="rect">
                            <a:avLst/>
                          </a:prstGeom>
                        </pic:spPr>
                      </pic:pic>
                    </a:graphicData>
                  </a:graphic>
                </wp:inline>
              </w:drawing>
            </w:r>
          </w:p>
        </w:tc>
        <w:tc>
          <w:tcPr>
            <w:tcW w:w="6253" w:type="dxa"/>
          </w:tcPr>
          <w:p w14:paraId="770F77F0" w14:textId="28A570C3" w:rsidR="0086544C" w:rsidRPr="00843214" w:rsidRDefault="00F07203" w:rsidP="00F13BC9">
            <w:pPr>
              <w:spacing w:after="0"/>
              <w:rPr>
                <w:rFonts w:eastAsia="Calibri"/>
                <w:color w:val="auto"/>
                <w:kern w:val="24"/>
                <w:sz w:val="18"/>
                <w:szCs w:val="18"/>
                <w:lang w:val="en-AU"/>
              </w:rPr>
            </w:pPr>
            <w:r w:rsidRPr="00843214">
              <w:rPr>
                <w:b/>
                <w:bCs/>
                <w:color w:val="auto"/>
                <w:sz w:val="18"/>
                <w:szCs w:val="18"/>
                <w:lang w:val="en-AU" w:eastAsia="en-GB"/>
              </w:rPr>
              <w:t xml:space="preserve">Continue programming and </w:t>
            </w:r>
            <w:r w:rsidRPr="00843214">
              <w:rPr>
                <w:color w:val="auto"/>
                <w:sz w:val="18"/>
                <w:szCs w:val="18"/>
                <w:lang w:val="en-AU" w:eastAsia="en-GB"/>
              </w:rPr>
              <w:t>a</w:t>
            </w:r>
            <w:r w:rsidR="00877A07" w:rsidRPr="00843214">
              <w:rPr>
                <w:color w:val="auto"/>
                <w:sz w:val="18"/>
                <w:szCs w:val="18"/>
                <w:lang w:val="en-AU" w:eastAsia="en-GB"/>
              </w:rPr>
              <w:t xml:space="preserve">dapt </w:t>
            </w:r>
            <w:r w:rsidR="00C64725" w:rsidRPr="00843214">
              <w:rPr>
                <w:color w:val="auto"/>
                <w:sz w:val="18"/>
                <w:szCs w:val="18"/>
                <w:lang w:val="en-AU" w:eastAsia="en-GB"/>
              </w:rPr>
              <w:t xml:space="preserve">WEE </w:t>
            </w:r>
            <w:r w:rsidR="00877A07" w:rsidRPr="00843214">
              <w:rPr>
                <w:color w:val="auto"/>
                <w:sz w:val="18"/>
                <w:szCs w:val="18"/>
                <w:lang w:val="en-AU" w:eastAsia="en-GB"/>
              </w:rPr>
              <w:t>s</w:t>
            </w:r>
            <w:r w:rsidR="0086544C" w:rsidRPr="00843214">
              <w:rPr>
                <w:color w:val="auto"/>
                <w:sz w:val="18"/>
                <w:szCs w:val="18"/>
                <w:lang w:val="en-AU" w:eastAsia="en-GB"/>
              </w:rPr>
              <w:t xml:space="preserve">upport </w:t>
            </w:r>
            <w:r w:rsidR="00877A07" w:rsidRPr="00843214">
              <w:rPr>
                <w:color w:val="auto"/>
                <w:sz w:val="18"/>
                <w:szCs w:val="18"/>
                <w:lang w:val="en-AU" w:eastAsia="en-GB"/>
              </w:rPr>
              <w:t>to address</w:t>
            </w:r>
            <w:r w:rsidR="00C64725" w:rsidRPr="00843214">
              <w:rPr>
                <w:color w:val="auto"/>
                <w:sz w:val="18"/>
                <w:szCs w:val="18"/>
                <w:lang w:val="en-AU" w:eastAsia="en-GB"/>
              </w:rPr>
              <w:t xml:space="preserve"> the</w:t>
            </w:r>
            <w:r w:rsidR="0086544C" w:rsidRPr="00843214">
              <w:rPr>
                <w:color w:val="auto"/>
                <w:sz w:val="18"/>
                <w:szCs w:val="18"/>
                <w:lang w:val="en-AU" w:eastAsia="en-GB"/>
              </w:rPr>
              <w:t xml:space="preserve"> COVID-19 </w:t>
            </w:r>
            <w:r w:rsidR="00C64725" w:rsidRPr="00843214">
              <w:rPr>
                <w:color w:val="auto"/>
                <w:sz w:val="18"/>
                <w:szCs w:val="18"/>
                <w:lang w:val="en-AU" w:eastAsia="en-GB"/>
              </w:rPr>
              <w:t>response and recovery</w:t>
            </w:r>
            <w:r w:rsidR="00C33499" w:rsidRPr="00843214">
              <w:rPr>
                <w:color w:val="auto"/>
                <w:sz w:val="18"/>
                <w:szCs w:val="18"/>
                <w:lang w:val="en-AU" w:eastAsia="en-GB"/>
              </w:rPr>
              <w:t xml:space="preserve"> as planned</w:t>
            </w:r>
            <w:r w:rsidR="00C64725" w:rsidRPr="00843214">
              <w:rPr>
                <w:color w:val="auto"/>
                <w:sz w:val="18"/>
                <w:szCs w:val="18"/>
                <w:lang w:val="en-AU" w:eastAsia="en-GB"/>
              </w:rPr>
              <w:t>.</w:t>
            </w:r>
          </w:p>
        </w:tc>
      </w:tr>
      <w:tr w:rsidR="00843214" w:rsidRPr="00843214" w14:paraId="693AA937" w14:textId="2779352A" w:rsidTr="00222069">
        <w:trPr>
          <w:trHeight w:val="477"/>
        </w:trPr>
        <w:tc>
          <w:tcPr>
            <w:tcW w:w="1775" w:type="dxa"/>
            <w:hideMark/>
          </w:tcPr>
          <w:p w14:paraId="08B89BEC" w14:textId="1D6B0FC9" w:rsidR="0086544C" w:rsidRPr="00843214" w:rsidRDefault="0086544C"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6. Ending Violence against Women and Girls</w:t>
            </w:r>
          </w:p>
        </w:tc>
        <w:tc>
          <w:tcPr>
            <w:tcW w:w="1176" w:type="dxa"/>
            <w:hideMark/>
          </w:tcPr>
          <w:p w14:paraId="2D4272CB" w14:textId="19E50608" w:rsidR="0086544C"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022527F1" wp14:editId="667A0384">
                  <wp:extent cx="219075" cy="219075"/>
                  <wp:effectExtent l="0" t="0" r="0" b="9525"/>
                  <wp:docPr id="30" name="Graphic 30"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70AF8625" w14:textId="23FE9774" w:rsidR="00877A07" w:rsidRPr="00843214" w:rsidRDefault="00F07203" w:rsidP="00F13BC9">
            <w:pPr>
              <w:spacing w:after="0"/>
              <w:rPr>
                <w:color w:val="auto"/>
                <w:sz w:val="18"/>
                <w:szCs w:val="18"/>
                <w:lang w:val="en-AU" w:eastAsia="en-GB"/>
              </w:rPr>
            </w:pPr>
            <w:r w:rsidRPr="00843214">
              <w:rPr>
                <w:b/>
                <w:bCs/>
                <w:color w:val="auto"/>
                <w:sz w:val="18"/>
                <w:szCs w:val="18"/>
                <w:lang w:eastAsia="en-GB"/>
              </w:rPr>
              <w:t xml:space="preserve">Continue and do more as UN Women has variable gains in </w:t>
            </w:r>
            <w:r w:rsidR="003673AA" w:rsidRPr="00843214">
              <w:rPr>
                <w:b/>
                <w:bCs/>
                <w:color w:val="auto"/>
                <w:sz w:val="18"/>
                <w:szCs w:val="18"/>
                <w:lang w:eastAsia="en-GB"/>
              </w:rPr>
              <w:t>EVAWG</w:t>
            </w:r>
            <w:r w:rsidRPr="00843214">
              <w:rPr>
                <w:b/>
                <w:bCs/>
                <w:color w:val="auto"/>
                <w:sz w:val="18"/>
                <w:szCs w:val="18"/>
                <w:lang w:eastAsia="en-GB"/>
              </w:rPr>
              <w:t xml:space="preserve">. Specifically: </w:t>
            </w:r>
            <w:r w:rsidR="0086544C" w:rsidRPr="00843214">
              <w:rPr>
                <w:color w:val="auto"/>
                <w:sz w:val="18"/>
                <w:szCs w:val="18"/>
                <w:lang w:val="en-AU" w:eastAsia="en-GB"/>
              </w:rPr>
              <w:t>Continue</w:t>
            </w:r>
            <w:r w:rsidR="00C767D0" w:rsidRPr="00843214">
              <w:rPr>
                <w:color w:val="auto"/>
                <w:sz w:val="18"/>
                <w:szCs w:val="18"/>
                <w:lang w:val="en-AU" w:eastAsia="en-GB"/>
              </w:rPr>
              <w:t xml:space="preserve"> s</w:t>
            </w:r>
            <w:r w:rsidR="0086544C" w:rsidRPr="00843214">
              <w:rPr>
                <w:color w:val="auto"/>
                <w:sz w:val="18"/>
                <w:szCs w:val="18"/>
                <w:lang w:val="en-AU" w:eastAsia="en-GB"/>
              </w:rPr>
              <w:t>trengthening</w:t>
            </w:r>
            <w:r w:rsidR="00877A07" w:rsidRPr="00843214">
              <w:rPr>
                <w:color w:val="auto"/>
                <w:sz w:val="18"/>
                <w:szCs w:val="18"/>
                <w:lang w:val="en-AU" w:eastAsia="en-GB"/>
              </w:rPr>
              <w:t xml:space="preserve"> </w:t>
            </w:r>
            <w:r w:rsidRPr="00843214">
              <w:rPr>
                <w:color w:val="auto"/>
                <w:sz w:val="18"/>
                <w:szCs w:val="18"/>
                <w:lang w:val="en-AU" w:eastAsia="en-GB"/>
              </w:rPr>
              <w:t>integrated work on EVAW</w:t>
            </w:r>
            <w:r w:rsidR="00A962D2" w:rsidRPr="00843214">
              <w:rPr>
                <w:color w:val="auto"/>
                <w:sz w:val="18"/>
                <w:szCs w:val="18"/>
                <w:lang w:val="en-AU" w:eastAsia="en-GB"/>
              </w:rPr>
              <w:t>G</w:t>
            </w:r>
            <w:r w:rsidRPr="00843214">
              <w:rPr>
                <w:color w:val="auto"/>
                <w:sz w:val="18"/>
                <w:szCs w:val="18"/>
                <w:lang w:val="en-AU" w:eastAsia="en-GB"/>
              </w:rPr>
              <w:t xml:space="preserve"> that brings together </w:t>
            </w:r>
            <w:r w:rsidR="00877A07" w:rsidRPr="00843214">
              <w:rPr>
                <w:color w:val="auto"/>
                <w:sz w:val="18"/>
                <w:szCs w:val="18"/>
                <w:lang w:val="en-AU" w:eastAsia="en-GB"/>
              </w:rPr>
              <w:t>prevention</w:t>
            </w:r>
            <w:r w:rsidR="0086544C" w:rsidRPr="00843214">
              <w:rPr>
                <w:color w:val="auto"/>
                <w:sz w:val="18"/>
                <w:szCs w:val="18"/>
                <w:lang w:val="en-AU" w:eastAsia="en-GB"/>
              </w:rPr>
              <w:t xml:space="preserve"> work as well as </w:t>
            </w:r>
            <w:r w:rsidR="00877A07" w:rsidRPr="00843214">
              <w:rPr>
                <w:color w:val="auto"/>
                <w:sz w:val="18"/>
                <w:szCs w:val="18"/>
                <w:lang w:val="en-AU" w:eastAsia="en-GB"/>
              </w:rPr>
              <w:t xml:space="preserve">maintaining </w:t>
            </w:r>
            <w:r w:rsidR="0086544C" w:rsidRPr="00843214">
              <w:rPr>
                <w:color w:val="auto"/>
                <w:sz w:val="18"/>
                <w:szCs w:val="18"/>
                <w:lang w:val="en-AU" w:eastAsia="en-GB"/>
              </w:rPr>
              <w:t>response/services to VAW</w:t>
            </w:r>
            <w:r w:rsidR="00877A07" w:rsidRPr="00843214">
              <w:rPr>
                <w:color w:val="auto"/>
                <w:sz w:val="18"/>
                <w:szCs w:val="18"/>
                <w:lang w:val="en-AU" w:eastAsia="en-GB"/>
              </w:rPr>
              <w:t>G</w:t>
            </w:r>
            <w:r w:rsidR="0086544C" w:rsidRPr="00843214">
              <w:rPr>
                <w:color w:val="auto"/>
                <w:sz w:val="18"/>
                <w:szCs w:val="18"/>
                <w:lang w:val="en-AU" w:eastAsia="en-GB"/>
              </w:rPr>
              <w:t xml:space="preserve"> survivors</w:t>
            </w:r>
            <w:r w:rsidR="00877A07" w:rsidRPr="00843214">
              <w:rPr>
                <w:color w:val="auto"/>
                <w:sz w:val="18"/>
                <w:szCs w:val="18"/>
                <w:lang w:val="en-AU" w:eastAsia="en-GB"/>
              </w:rPr>
              <w:t>.</w:t>
            </w:r>
          </w:p>
          <w:p w14:paraId="2A9846A3" w14:textId="77777777" w:rsidR="00C64725" w:rsidRPr="00843214" w:rsidRDefault="00C64725" w:rsidP="00F13BC9">
            <w:pPr>
              <w:spacing w:after="0"/>
              <w:rPr>
                <w:color w:val="auto"/>
                <w:sz w:val="18"/>
                <w:szCs w:val="18"/>
                <w:lang w:val="en-AU" w:eastAsia="en-GB"/>
              </w:rPr>
            </w:pPr>
            <w:r w:rsidRPr="00843214">
              <w:rPr>
                <w:color w:val="auto"/>
                <w:sz w:val="18"/>
                <w:szCs w:val="18"/>
                <w:lang w:val="en-AU" w:eastAsia="en-GB"/>
              </w:rPr>
              <w:t xml:space="preserve">Expand the support to EVAWG to address the increasing cases of domestic violence during COVID-19, and heightened risk factors of violence against women brought by the pandemic. </w:t>
            </w:r>
          </w:p>
          <w:p w14:paraId="05DB7E82" w14:textId="306194DA" w:rsidR="00877A07" w:rsidRPr="00843214" w:rsidRDefault="00877A07" w:rsidP="00F13BC9">
            <w:pPr>
              <w:spacing w:after="0"/>
              <w:rPr>
                <w:color w:val="auto"/>
                <w:sz w:val="18"/>
                <w:szCs w:val="18"/>
                <w:lang w:val="en-AU" w:eastAsia="en-GB"/>
              </w:rPr>
            </w:pPr>
            <w:r w:rsidRPr="00843214">
              <w:rPr>
                <w:color w:val="auto"/>
                <w:sz w:val="18"/>
                <w:szCs w:val="18"/>
                <w:lang w:val="en-AU" w:eastAsia="en-GB"/>
              </w:rPr>
              <w:t>S</w:t>
            </w:r>
            <w:r w:rsidR="0086544C" w:rsidRPr="00843214">
              <w:rPr>
                <w:color w:val="auto"/>
                <w:sz w:val="18"/>
                <w:szCs w:val="18"/>
                <w:lang w:val="en-AU" w:eastAsia="en-GB"/>
              </w:rPr>
              <w:t xml:space="preserve">trengthen links between normative work and UN Women’s programming. </w:t>
            </w:r>
          </w:p>
          <w:p w14:paraId="6FF95336" w14:textId="7904F75B" w:rsidR="0086544C" w:rsidRPr="00843214" w:rsidRDefault="00877A07" w:rsidP="00F13BC9">
            <w:pPr>
              <w:spacing w:after="0"/>
              <w:rPr>
                <w:color w:val="auto"/>
                <w:sz w:val="18"/>
                <w:szCs w:val="18"/>
                <w:lang w:val="en-AU" w:eastAsia="en-GB"/>
              </w:rPr>
            </w:pPr>
            <w:r w:rsidRPr="00843214">
              <w:rPr>
                <w:color w:val="auto"/>
                <w:sz w:val="18"/>
                <w:szCs w:val="18"/>
                <w:lang w:val="en-AU" w:eastAsia="en-GB"/>
              </w:rPr>
              <w:t>Support UN Women’s unique triple mandate position to coordinate EVAW</w:t>
            </w:r>
            <w:r w:rsidR="00A962D2" w:rsidRPr="00843214">
              <w:rPr>
                <w:color w:val="auto"/>
                <w:sz w:val="18"/>
                <w:szCs w:val="18"/>
                <w:lang w:val="en-AU" w:eastAsia="en-GB"/>
              </w:rPr>
              <w:t>G</w:t>
            </w:r>
            <w:r w:rsidRPr="00843214">
              <w:rPr>
                <w:color w:val="auto"/>
                <w:sz w:val="18"/>
                <w:szCs w:val="18"/>
                <w:lang w:val="en-AU" w:eastAsia="en-GB"/>
              </w:rPr>
              <w:t xml:space="preserve"> efforts with Member States, civil society, UN agencies, development partners, private sector, and the academia.</w:t>
            </w:r>
          </w:p>
        </w:tc>
      </w:tr>
      <w:tr w:rsidR="00843214" w:rsidRPr="00843214" w14:paraId="65CB384B" w14:textId="4AFA3F58" w:rsidTr="00222069">
        <w:trPr>
          <w:trHeight w:val="477"/>
        </w:trPr>
        <w:tc>
          <w:tcPr>
            <w:tcW w:w="1775" w:type="dxa"/>
            <w:hideMark/>
          </w:tcPr>
          <w:p w14:paraId="0A7A8A29" w14:textId="77777777" w:rsidR="00934DD1" w:rsidRPr="00843214" w:rsidRDefault="00934DD1"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7. Working with women’s organisations and agencies</w:t>
            </w:r>
          </w:p>
        </w:tc>
        <w:tc>
          <w:tcPr>
            <w:tcW w:w="1176" w:type="dxa"/>
            <w:hideMark/>
          </w:tcPr>
          <w:p w14:paraId="1A12FEF2" w14:textId="3A87B3D3" w:rsidR="00934DD1"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030A89B0" wp14:editId="4650C4DB">
                  <wp:extent cx="219075" cy="219075"/>
                  <wp:effectExtent l="0" t="0" r="0" b="9525"/>
                  <wp:docPr id="31" name="Graphic 31"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7D5CEF34" w14:textId="4C261019" w:rsidR="00934DD1" w:rsidRPr="00843214" w:rsidRDefault="00934DD1" w:rsidP="00F13BC9">
            <w:pPr>
              <w:spacing w:after="0"/>
              <w:rPr>
                <w:rFonts w:eastAsia="Calibri"/>
                <w:color w:val="auto"/>
                <w:kern w:val="24"/>
                <w:sz w:val="18"/>
                <w:szCs w:val="18"/>
                <w:lang w:val="en-AU"/>
              </w:rPr>
            </w:pPr>
            <w:r w:rsidRPr="00843214">
              <w:rPr>
                <w:b/>
                <w:bCs/>
                <w:color w:val="auto"/>
                <w:sz w:val="18"/>
                <w:szCs w:val="18"/>
                <w:lang w:val="en-AU" w:eastAsia="en-GB"/>
              </w:rPr>
              <w:t>Continue</w:t>
            </w:r>
            <w:r w:rsidRPr="00843214">
              <w:rPr>
                <w:color w:val="auto"/>
                <w:sz w:val="18"/>
                <w:szCs w:val="18"/>
                <w:lang w:val="en-AU" w:eastAsia="en-GB"/>
              </w:rPr>
              <w:t xml:space="preserve"> and build on support for women’s rights organi</w:t>
            </w:r>
            <w:r w:rsidR="00B1032C" w:rsidRPr="00843214">
              <w:rPr>
                <w:color w:val="auto"/>
                <w:sz w:val="18"/>
                <w:szCs w:val="18"/>
                <w:lang w:val="en-AU" w:eastAsia="en-GB"/>
              </w:rPr>
              <w:t>s</w:t>
            </w:r>
            <w:r w:rsidRPr="00843214">
              <w:rPr>
                <w:color w:val="auto"/>
                <w:sz w:val="18"/>
                <w:szCs w:val="18"/>
                <w:lang w:val="en-AU" w:eastAsia="en-GB"/>
              </w:rPr>
              <w:t>ations and movements, CSOs, NGOs, and FBOs, especially considering their role as first responders during COVID-19 crisis.</w:t>
            </w:r>
          </w:p>
        </w:tc>
      </w:tr>
      <w:tr w:rsidR="00843214" w:rsidRPr="00843214" w14:paraId="044240C5" w14:textId="71518EBB" w:rsidTr="00222069">
        <w:trPr>
          <w:trHeight w:val="33"/>
        </w:trPr>
        <w:tc>
          <w:tcPr>
            <w:tcW w:w="1775" w:type="dxa"/>
            <w:hideMark/>
          </w:tcPr>
          <w:p w14:paraId="403B7FCB" w14:textId="77777777" w:rsidR="00934DD1" w:rsidRPr="00843214" w:rsidRDefault="00934DD1"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8. Disability inclusive development</w:t>
            </w:r>
          </w:p>
        </w:tc>
        <w:tc>
          <w:tcPr>
            <w:tcW w:w="1176" w:type="dxa"/>
            <w:hideMark/>
          </w:tcPr>
          <w:p w14:paraId="45A273D3" w14:textId="239CEDF0" w:rsidR="00934DD1"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5660DBA4" wp14:editId="5CD6F90B">
                  <wp:extent cx="219075" cy="219075"/>
                  <wp:effectExtent l="0" t="0" r="0" b="9525"/>
                  <wp:docPr id="1135915200" name="Graphic 1135915200"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0800000">
                            <a:off x="0" y="0"/>
                            <a:ext cx="219310" cy="219310"/>
                          </a:xfrm>
                          <a:prstGeom prst="rect">
                            <a:avLst/>
                          </a:prstGeom>
                        </pic:spPr>
                      </pic:pic>
                    </a:graphicData>
                  </a:graphic>
                </wp:inline>
              </w:drawing>
            </w:r>
          </w:p>
        </w:tc>
        <w:tc>
          <w:tcPr>
            <w:tcW w:w="6253" w:type="dxa"/>
          </w:tcPr>
          <w:p w14:paraId="60DD8B0D" w14:textId="1D928911" w:rsidR="00934DD1" w:rsidRPr="00843214" w:rsidRDefault="00934DD1" w:rsidP="00F13BC9">
            <w:pPr>
              <w:spacing w:after="0"/>
              <w:rPr>
                <w:rFonts w:eastAsia="Calibri"/>
                <w:color w:val="auto"/>
                <w:kern w:val="24"/>
                <w:sz w:val="18"/>
                <w:szCs w:val="18"/>
                <w:lang w:val="en-AU"/>
              </w:rPr>
            </w:pPr>
            <w:r w:rsidRPr="00843214">
              <w:rPr>
                <w:b/>
                <w:bCs/>
                <w:color w:val="auto"/>
                <w:sz w:val="18"/>
                <w:szCs w:val="18"/>
                <w:lang w:val="en-AU" w:eastAsia="en-GB"/>
              </w:rPr>
              <w:t>Continue</w:t>
            </w:r>
            <w:r w:rsidRPr="00843214">
              <w:rPr>
                <w:color w:val="auto"/>
                <w:sz w:val="18"/>
                <w:szCs w:val="18"/>
                <w:lang w:val="en-AU" w:eastAsia="en-GB"/>
              </w:rPr>
              <w:t xml:space="preserve"> to improve integration of disability into programming, advocacy, policy, and data. </w:t>
            </w:r>
          </w:p>
        </w:tc>
      </w:tr>
      <w:tr w:rsidR="00843214" w:rsidRPr="00843214" w14:paraId="21FE3CA9" w14:textId="2E2C59F3" w:rsidTr="00222069">
        <w:trPr>
          <w:trHeight w:val="477"/>
        </w:trPr>
        <w:tc>
          <w:tcPr>
            <w:tcW w:w="1775" w:type="dxa"/>
            <w:hideMark/>
          </w:tcPr>
          <w:p w14:paraId="7CBB743E" w14:textId="77777777" w:rsidR="00934DD1" w:rsidRPr="00843214" w:rsidRDefault="00934DD1" w:rsidP="00F13BC9">
            <w:pPr>
              <w:spacing w:after="0"/>
              <w:rPr>
                <w:rFonts w:ascii="Arial" w:eastAsia="Times New Roman" w:hAnsi="Arial" w:cs="Arial"/>
                <w:color w:val="auto"/>
                <w:sz w:val="18"/>
                <w:szCs w:val="18"/>
              </w:rPr>
            </w:pPr>
            <w:r w:rsidRPr="00843214">
              <w:rPr>
                <w:rFonts w:eastAsia="Calibri" w:cs="Calibri"/>
                <w:color w:val="auto"/>
                <w:kern w:val="24"/>
                <w:sz w:val="18"/>
                <w:szCs w:val="18"/>
                <w:lang w:val="en-AU"/>
              </w:rPr>
              <w:t xml:space="preserve">9. Private sector and innovation </w:t>
            </w:r>
          </w:p>
        </w:tc>
        <w:tc>
          <w:tcPr>
            <w:tcW w:w="1176" w:type="dxa"/>
            <w:hideMark/>
          </w:tcPr>
          <w:p w14:paraId="3E6774F2" w14:textId="3E1D0C5D" w:rsidR="00934DD1" w:rsidRPr="00843214" w:rsidRDefault="00934DD1" w:rsidP="00F13BC9">
            <w:pPr>
              <w:spacing w:after="0"/>
              <w:rPr>
                <w:rFonts w:ascii="Arial" w:eastAsia="Times New Roman" w:hAnsi="Arial" w:cs="Arial"/>
                <w:color w:val="auto"/>
                <w:sz w:val="18"/>
                <w:szCs w:val="18"/>
              </w:rPr>
            </w:pPr>
            <w:r w:rsidRPr="00843214">
              <w:rPr>
                <w:noProof/>
                <w:color w:val="auto"/>
                <w:sz w:val="18"/>
                <w:szCs w:val="18"/>
                <w:lang w:val="en-AU"/>
              </w:rPr>
              <w:drawing>
                <wp:inline distT="0" distB="0" distL="0" distR="0" wp14:anchorId="7B701ECD" wp14:editId="68D4B977">
                  <wp:extent cx="219075" cy="219075"/>
                  <wp:effectExtent l="0" t="0" r="9525" b="0"/>
                  <wp:docPr id="1135915201" name="Graphic 1135915201"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Arrow Dow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6200000">
                            <a:off x="0" y="0"/>
                            <a:ext cx="219310" cy="219310"/>
                          </a:xfrm>
                          <a:prstGeom prst="rect">
                            <a:avLst/>
                          </a:prstGeom>
                        </pic:spPr>
                      </pic:pic>
                    </a:graphicData>
                  </a:graphic>
                </wp:inline>
              </w:drawing>
            </w:r>
          </w:p>
        </w:tc>
        <w:tc>
          <w:tcPr>
            <w:tcW w:w="6253" w:type="dxa"/>
          </w:tcPr>
          <w:p w14:paraId="76838C27" w14:textId="44D64EFB" w:rsidR="00934DD1" w:rsidRPr="00843214" w:rsidRDefault="00934DD1" w:rsidP="00F13BC9">
            <w:pPr>
              <w:spacing w:after="0"/>
              <w:rPr>
                <w:rFonts w:eastAsia="Calibri"/>
                <w:color w:val="auto"/>
                <w:kern w:val="24"/>
                <w:sz w:val="18"/>
                <w:szCs w:val="18"/>
                <w:lang w:val="en-AU"/>
              </w:rPr>
            </w:pPr>
            <w:r w:rsidRPr="00843214">
              <w:rPr>
                <w:rFonts w:eastAsia="Calibri"/>
                <w:b/>
                <w:bCs/>
                <w:color w:val="auto"/>
                <w:kern w:val="24"/>
                <w:sz w:val="18"/>
                <w:szCs w:val="18"/>
                <w:lang w:val="en-AU"/>
              </w:rPr>
              <w:t>Continue</w:t>
            </w:r>
            <w:r w:rsidRPr="00843214">
              <w:rPr>
                <w:rFonts w:eastAsia="Calibri"/>
                <w:color w:val="auto"/>
                <w:kern w:val="24"/>
                <w:sz w:val="18"/>
                <w:szCs w:val="18"/>
                <w:lang w:val="en-AU"/>
              </w:rPr>
              <w:t xml:space="preserve"> and consider opportunities to support UN Women’s capacity and expertise in this area</w:t>
            </w:r>
          </w:p>
        </w:tc>
      </w:tr>
    </w:tbl>
    <w:bookmarkEnd w:id="93"/>
    <w:p w14:paraId="50761394" w14:textId="7F6430A8" w:rsidR="00AC3BD0" w:rsidRPr="00843214" w:rsidRDefault="00AC3BD0" w:rsidP="00762278">
      <w:pPr>
        <w:pStyle w:val="Heading4"/>
        <w:spacing w:before="240"/>
        <w:rPr>
          <w:color w:val="auto"/>
          <w:lang w:val="en-AU"/>
        </w:rPr>
      </w:pPr>
      <w:r w:rsidRPr="00843214">
        <w:rPr>
          <w:color w:val="auto"/>
          <w:lang w:val="en-AU"/>
        </w:rPr>
        <w:t>How Partnership dynamics</w:t>
      </w:r>
      <w:r w:rsidR="00662588" w:rsidRPr="00843214">
        <w:rPr>
          <w:color w:val="auto"/>
          <w:lang w:val="en-AU"/>
        </w:rPr>
        <w:t>, implementation approaches,</w:t>
      </w:r>
      <w:r w:rsidRPr="00843214">
        <w:rPr>
          <w:color w:val="auto"/>
          <w:lang w:val="en-AU"/>
        </w:rPr>
        <w:t xml:space="preserve"> </w:t>
      </w:r>
      <w:r w:rsidR="00C767D0" w:rsidRPr="00843214">
        <w:rPr>
          <w:color w:val="auto"/>
          <w:lang w:val="en-AU"/>
        </w:rPr>
        <w:t xml:space="preserve">and operational arrangements </w:t>
      </w:r>
      <w:r w:rsidRPr="00843214">
        <w:rPr>
          <w:color w:val="auto"/>
          <w:lang w:val="en-AU"/>
        </w:rPr>
        <w:t xml:space="preserve">can change to support the </w:t>
      </w:r>
      <w:r w:rsidR="007658C4" w:rsidRPr="00843214">
        <w:rPr>
          <w:color w:val="auto"/>
          <w:lang w:val="en-AU"/>
        </w:rPr>
        <w:t>work</w:t>
      </w:r>
      <w:r w:rsidR="00480223" w:rsidRPr="00843214">
        <w:rPr>
          <w:color w:val="auto"/>
          <w:lang w:val="en-AU"/>
        </w:rPr>
        <w:t>.</w:t>
      </w:r>
    </w:p>
    <w:p w14:paraId="070F9964" w14:textId="1B3CA23E" w:rsidR="00C767D0" w:rsidRPr="00843214" w:rsidRDefault="00662588" w:rsidP="00A928BB">
      <w:pPr>
        <w:pStyle w:val="Heading4"/>
        <w:numPr>
          <w:ilvl w:val="0"/>
          <w:numId w:val="17"/>
        </w:numPr>
        <w:ind w:left="360"/>
        <w:rPr>
          <w:b/>
          <w:bCs/>
          <w:color w:val="auto"/>
          <w:lang w:val="en-AU"/>
        </w:rPr>
      </w:pPr>
      <w:bookmarkStart w:id="94" w:name="_Hlk69383602"/>
      <w:r w:rsidRPr="00843214">
        <w:rPr>
          <w:color w:val="auto"/>
          <w:lang w:val="en-AU"/>
        </w:rPr>
        <w:t>DFAT could p</w:t>
      </w:r>
      <w:r w:rsidR="00C767D0" w:rsidRPr="00843214">
        <w:rPr>
          <w:color w:val="auto"/>
          <w:lang w:val="en-AU"/>
        </w:rPr>
        <w:t>rovid</w:t>
      </w:r>
      <w:r w:rsidRPr="00843214">
        <w:rPr>
          <w:color w:val="auto"/>
          <w:lang w:val="en-AU"/>
        </w:rPr>
        <w:t>e</w:t>
      </w:r>
      <w:r w:rsidR="00C767D0" w:rsidRPr="00843214">
        <w:rPr>
          <w:color w:val="auto"/>
          <w:lang w:val="en-AU"/>
        </w:rPr>
        <w:t xml:space="preserve"> </w:t>
      </w:r>
      <w:r w:rsidR="00C33499" w:rsidRPr="00843214">
        <w:rPr>
          <w:color w:val="auto"/>
          <w:lang w:val="en-AU"/>
        </w:rPr>
        <w:t xml:space="preserve">non-core </w:t>
      </w:r>
      <w:r w:rsidR="00C767D0" w:rsidRPr="00843214">
        <w:rPr>
          <w:color w:val="auto"/>
          <w:lang w:val="en-AU"/>
        </w:rPr>
        <w:t xml:space="preserve">resourcing to continue linking policy and research to programming and </w:t>
      </w:r>
      <w:proofErr w:type="gramStart"/>
      <w:r w:rsidR="00C767D0" w:rsidRPr="00843214">
        <w:rPr>
          <w:color w:val="auto"/>
          <w:lang w:val="en-AU"/>
        </w:rPr>
        <w:t>funding</w:t>
      </w:r>
      <w:r w:rsidR="00F07203" w:rsidRPr="00843214">
        <w:rPr>
          <w:color w:val="auto"/>
          <w:lang w:val="en-AU"/>
        </w:rPr>
        <w:t>, and</w:t>
      </w:r>
      <w:proofErr w:type="gramEnd"/>
      <w:r w:rsidR="00F07203" w:rsidRPr="00843214">
        <w:rPr>
          <w:color w:val="auto"/>
          <w:lang w:val="en-AU"/>
        </w:rPr>
        <w:t xml:space="preserve"> invest to translate normative work to the Indo-Pacific</w:t>
      </w:r>
      <w:r w:rsidR="00C767D0" w:rsidRPr="00843214">
        <w:rPr>
          <w:b/>
          <w:bCs/>
          <w:color w:val="auto"/>
          <w:lang w:val="en-AU"/>
        </w:rPr>
        <w:t xml:space="preserve">. </w:t>
      </w:r>
    </w:p>
    <w:bookmarkEnd w:id="94"/>
    <w:p w14:paraId="7C7C4B05" w14:textId="12E62249" w:rsidR="00C767D0" w:rsidRPr="00843214" w:rsidRDefault="00C767D0" w:rsidP="00C767D0">
      <w:pPr>
        <w:rPr>
          <w:color w:val="auto"/>
          <w:lang w:val="en-AU" w:eastAsia="en-GB"/>
        </w:rPr>
      </w:pPr>
      <w:r w:rsidRPr="00843214">
        <w:rPr>
          <w:color w:val="auto"/>
          <w:lang w:val="en-AU" w:eastAsia="en-GB"/>
        </w:rPr>
        <w:t>Leverage the link between UN Women’s advocacy work and its programs to optimise the impact of the Partnership,</w:t>
      </w:r>
      <w:r w:rsidR="008A413C" w:rsidRPr="00843214">
        <w:rPr>
          <w:color w:val="auto"/>
          <w:lang w:val="en-AU" w:eastAsia="en-GB"/>
        </w:rPr>
        <w:t xml:space="preserve"> particularly in the Indo-Pacific.</w:t>
      </w:r>
      <w:r w:rsidRPr="00843214">
        <w:rPr>
          <w:color w:val="auto"/>
          <w:lang w:val="en-AU" w:eastAsia="en-GB"/>
        </w:rPr>
        <w:t xml:space="preserve"> including harnessing and building upon lessons learned through the COVID-19 pandemic including UN Women’s ability to respond flexibly and coherently across regions. The new SPF can build on the lessons and good practices, including delivery methods that are emerging from UN Women’s pivot to COVID-19 response.</w:t>
      </w:r>
    </w:p>
    <w:p w14:paraId="6EB8FD9D" w14:textId="0B0BC021" w:rsidR="00C767D0" w:rsidRPr="00843214" w:rsidRDefault="00C767D0" w:rsidP="00C767D0">
      <w:pPr>
        <w:pStyle w:val="Heading4"/>
        <w:numPr>
          <w:ilvl w:val="0"/>
          <w:numId w:val="17"/>
        </w:numPr>
        <w:ind w:left="360"/>
        <w:rPr>
          <w:color w:val="auto"/>
          <w:lang w:val="en-AU"/>
        </w:rPr>
      </w:pPr>
      <w:r w:rsidRPr="00843214">
        <w:rPr>
          <w:color w:val="auto"/>
          <w:lang w:val="en-AU"/>
        </w:rPr>
        <w:t xml:space="preserve">The </w:t>
      </w:r>
      <w:r w:rsidR="00586D40" w:rsidRPr="00843214">
        <w:rPr>
          <w:color w:val="auto"/>
          <w:lang w:val="en-AU"/>
        </w:rPr>
        <w:t>next SPF</w:t>
      </w:r>
      <w:r w:rsidRPr="00843214">
        <w:rPr>
          <w:color w:val="auto"/>
          <w:lang w:val="en-AU"/>
        </w:rPr>
        <w:t xml:space="preserve"> should prioritise joint programming and work</w:t>
      </w:r>
      <w:r w:rsidR="00586D40" w:rsidRPr="00843214">
        <w:rPr>
          <w:color w:val="auto"/>
          <w:lang w:val="en-AU"/>
        </w:rPr>
        <w:t>ing</w:t>
      </w:r>
      <w:r w:rsidRPr="00843214">
        <w:rPr>
          <w:color w:val="auto"/>
          <w:lang w:val="en-AU"/>
        </w:rPr>
        <w:t xml:space="preserve"> through UN agency, CSO, and private sector partnerships</w:t>
      </w:r>
      <w:r w:rsidR="00757E63" w:rsidRPr="00843214">
        <w:rPr>
          <w:color w:val="auto"/>
          <w:lang w:val="en-AU"/>
        </w:rPr>
        <w:t xml:space="preserve"> and DFAT programs</w:t>
      </w:r>
      <w:r w:rsidR="00905D81" w:rsidRPr="00843214">
        <w:rPr>
          <w:color w:val="auto"/>
          <w:lang w:val="en-AU"/>
        </w:rPr>
        <w:t>, while maintaining the UN Women identity, brand, and unique value proposition.</w:t>
      </w:r>
    </w:p>
    <w:p w14:paraId="7E38D88B" w14:textId="77777777" w:rsidR="0017766D" w:rsidRPr="00843214" w:rsidRDefault="00C767D0" w:rsidP="00C767D0">
      <w:pPr>
        <w:rPr>
          <w:color w:val="auto"/>
          <w:lang w:val="en-AU"/>
        </w:rPr>
      </w:pPr>
      <w:r w:rsidRPr="00843214">
        <w:rPr>
          <w:color w:val="auto"/>
          <w:lang w:val="en-AU"/>
        </w:rPr>
        <w:t xml:space="preserve">The </w:t>
      </w:r>
      <w:r w:rsidR="0017766D" w:rsidRPr="00843214">
        <w:rPr>
          <w:color w:val="auto"/>
          <w:lang w:val="en-AU"/>
        </w:rPr>
        <w:t xml:space="preserve">next SPF should </w:t>
      </w:r>
      <w:r w:rsidRPr="00843214">
        <w:rPr>
          <w:color w:val="auto"/>
          <w:lang w:val="en-AU"/>
        </w:rPr>
        <w:t>prioritise joint programming with UN agencies and with CSOs by establishing principles for partnership engagement and targets for joint programs</w:t>
      </w:r>
      <w:r w:rsidR="0017766D" w:rsidRPr="00843214">
        <w:rPr>
          <w:color w:val="auto"/>
          <w:lang w:val="en-AU"/>
        </w:rPr>
        <w:t xml:space="preserve"> to stre</w:t>
      </w:r>
      <w:r w:rsidRPr="00843214">
        <w:rPr>
          <w:color w:val="auto"/>
          <w:lang w:val="en-AU"/>
        </w:rPr>
        <w:t xml:space="preserve">ngthen </w:t>
      </w:r>
      <w:r w:rsidR="0017766D" w:rsidRPr="00843214">
        <w:rPr>
          <w:color w:val="auto"/>
          <w:lang w:val="en-AU"/>
        </w:rPr>
        <w:t xml:space="preserve">the </w:t>
      </w:r>
      <w:r w:rsidRPr="00843214">
        <w:rPr>
          <w:color w:val="auto"/>
          <w:lang w:val="en-AU"/>
        </w:rPr>
        <w:t xml:space="preserve">infrastructure for women’s empowerment and </w:t>
      </w:r>
      <w:r w:rsidR="0017766D" w:rsidRPr="00843214">
        <w:rPr>
          <w:color w:val="auto"/>
          <w:lang w:val="en-AU"/>
        </w:rPr>
        <w:t xml:space="preserve">strategically </w:t>
      </w:r>
      <w:r w:rsidRPr="00843214">
        <w:rPr>
          <w:color w:val="auto"/>
          <w:lang w:val="en-AU"/>
        </w:rPr>
        <w:t xml:space="preserve">leverage its investments. </w:t>
      </w:r>
    </w:p>
    <w:p w14:paraId="00BF6031" w14:textId="7D05C11E" w:rsidR="00C767D0" w:rsidRPr="00843214" w:rsidRDefault="00C767D0" w:rsidP="00C767D0">
      <w:pPr>
        <w:rPr>
          <w:color w:val="auto"/>
          <w:lang w:val="en-AU"/>
        </w:rPr>
      </w:pPr>
      <w:r w:rsidRPr="00843214">
        <w:rPr>
          <w:color w:val="auto"/>
          <w:lang w:val="en-AU"/>
        </w:rPr>
        <w:t xml:space="preserve">The </w:t>
      </w:r>
      <w:r w:rsidR="00964454" w:rsidRPr="00843214">
        <w:rPr>
          <w:color w:val="auto"/>
          <w:lang w:val="en-AU"/>
        </w:rPr>
        <w:t xml:space="preserve">next SPF should </w:t>
      </w:r>
      <w:r w:rsidRPr="00843214">
        <w:rPr>
          <w:color w:val="auto"/>
          <w:lang w:val="en-AU"/>
        </w:rPr>
        <w:t>encourage more work through partnerships, including with other UN agencies, women’s machinery, and WROs/CSOs</w:t>
      </w:r>
      <w:r w:rsidR="00964454" w:rsidRPr="00843214">
        <w:rPr>
          <w:color w:val="auto"/>
          <w:lang w:val="en-AU"/>
        </w:rPr>
        <w:t>. This supports the</w:t>
      </w:r>
      <w:r w:rsidRPr="00843214">
        <w:rPr>
          <w:color w:val="auto"/>
          <w:lang w:val="en-AU"/>
        </w:rPr>
        <w:t xml:space="preserve"> localisation agenda</w:t>
      </w:r>
      <w:r w:rsidR="00964454" w:rsidRPr="00843214">
        <w:rPr>
          <w:color w:val="auto"/>
          <w:lang w:val="en-AU"/>
        </w:rPr>
        <w:t xml:space="preserve">, working </w:t>
      </w:r>
      <w:r w:rsidRPr="00843214">
        <w:rPr>
          <w:color w:val="auto"/>
          <w:lang w:val="en-AU"/>
        </w:rPr>
        <w:t>more effectively and efficiently</w:t>
      </w:r>
      <w:r w:rsidR="00964454" w:rsidRPr="00843214">
        <w:rPr>
          <w:color w:val="auto"/>
          <w:lang w:val="en-AU"/>
        </w:rPr>
        <w:t xml:space="preserve">, and </w:t>
      </w:r>
      <w:r w:rsidRPr="00843214">
        <w:rPr>
          <w:color w:val="auto"/>
          <w:lang w:val="en-AU"/>
        </w:rPr>
        <w:t>strengthen</w:t>
      </w:r>
      <w:r w:rsidR="00964454" w:rsidRPr="00843214">
        <w:rPr>
          <w:color w:val="auto"/>
          <w:lang w:val="en-AU"/>
        </w:rPr>
        <w:t>ing</w:t>
      </w:r>
      <w:r w:rsidRPr="00843214">
        <w:rPr>
          <w:color w:val="auto"/>
          <w:lang w:val="en-AU"/>
        </w:rPr>
        <w:t xml:space="preserve"> UN Women’s position within the UN system. </w:t>
      </w:r>
      <w:r w:rsidR="00964454" w:rsidRPr="00843214">
        <w:rPr>
          <w:color w:val="auto"/>
          <w:lang w:val="en-AU"/>
        </w:rPr>
        <w:t xml:space="preserve">UN Women needs to articulate its niche and build on its coordination mandate, where relevant. At the regional and country level (in particular), UN Women should continue strengthening and clarifying its relationships with other UN agencies (especially their ‘common chapter’ agencies UNFPA, UNDP and UNICEF) to ensure harmonisation of gender equality activities across the region and optimisation of limited resources. </w:t>
      </w:r>
      <w:r w:rsidRPr="00843214">
        <w:rPr>
          <w:color w:val="auto"/>
          <w:lang w:val="en-AU"/>
        </w:rPr>
        <w:t xml:space="preserve">UN Women may also consider how to ease processes for engaging, </w:t>
      </w:r>
      <w:proofErr w:type="gramStart"/>
      <w:r w:rsidRPr="00843214">
        <w:rPr>
          <w:color w:val="auto"/>
          <w:lang w:val="en-AU"/>
        </w:rPr>
        <w:t>funding</w:t>
      </w:r>
      <w:proofErr w:type="gramEnd"/>
      <w:r w:rsidRPr="00843214">
        <w:rPr>
          <w:color w:val="auto"/>
          <w:lang w:val="en-AU"/>
        </w:rPr>
        <w:t xml:space="preserve"> and monitoring WROs/CSOs and opportunities for more direct engagement with them. </w:t>
      </w:r>
    </w:p>
    <w:p w14:paraId="606E573B" w14:textId="03EEAC18" w:rsidR="00757E63" w:rsidRPr="00843214" w:rsidRDefault="00964454" w:rsidP="00C767D0">
      <w:pPr>
        <w:rPr>
          <w:color w:val="auto"/>
          <w:lang w:val="en-AU"/>
        </w:rPr>
      </w:pPr>
      <w:r w:rsidRPr="00843214">
        <w:rPr>
          <w:color w:val="auto"/>
          <w:lang w:val="en-AU"/>
        </w:rPr>
        <w:t>DFAT should consider linking UN Women with broader DFAT programs that provide vocational training in digital literacy (e.g., for CSOs/beneficiaries) t</w:t>
      </w:r>
      <w:r w:rsidR="00087AD8" w:rsidRPr="00843214">
        <w:rPr>
          <w:color w:val="auto"/>
          <w:lang w:val="en-AU"/>
        </w:rPr>
        <w:t>o build on the COVID-19 response remote work and support cost efficiencies going forward</w:t>
      </w:r>
      <w:r w:rsidRPr="00843214">
        <w:rPr>
          <w:color w:val="auto"/>
          <w:lang w:val="en-AU"/>
        </w:rPr>
        <w:t>.</w:t>
      </w:r>
    </w:p>
    <w:p w14:paraId="50483D2C" w14:textId="3456D149" w:rsidR="0020061F" w:rsidRPr="00843214" w:rsidRDefault="00C81879" w:rsidP="0017766D">
      <w:pPr>
        <w:pStyle w:val="Heading4"/>
        <w:numPr>
          <w:ilvl w:val="0"/>
          <w:numId w:val="17"/>
        </w:numPr>
        <w:ind w:left="360"/>
        <w:rPr>
          <w:color w:val="auto"/>
          <w:lang w:val="en-AU"/>
        </w:rPr>
      </w:pPr>
      <w:bookmarkStart w:id="95" w:name="_Hlk67577780"/>
      <w:r w:rsidRPr="00843214">
        <w:rPr>
          <w:color w:val="auto"/>
          <w:lang w:val="en-AU"/>
        </w:rPr>
        <w:lastRenderedPageBreak/>
        <w:t xml:space="preserve">The Partnership should </w:t>
      </w:r>
      <w:r w:rsidR="00D60EEB" w:rsidRPr="00843214">
        <w:rPr>
          <w:color w:val="auto"/>
          <w:lang w:val="en-AU"/>
        </w:rPr>
        <w:t xml:space="preserve">ensure that </w:t>
      </w:r>
      <w:r w:rsidRPr="00843214">
        <w:rPr>
          <w:color w:val="auto"/>
          <w:lang w:val="en-AU"/>
        </w:rPr>
        <w:t>engagement is strategic and does not add transaction costs without adding value.</w:t>
      </w:r>
    </w:p>
    <w:bookmarkEnd w:id="95"/>
    <w:p w14:paraId="6E96331A" w14:textId="77777777" w:rsidR="00CE516A" w:rsidRPr="00843214" w:rsidRDefault="00541995" w:rsidP="00A2627D">
      <w:pPr>
        <w:rPr>
          <w:color w:val="auto"/>
          <w:lang w:val="en-AU"/>
        </w:rPr>
      </w:pPr>
      <w:r w:rsidRPr="00843214">
        <w:rPr>
          <w:color w:val="auto"/>
          <w:lang w:val="en-AU"/>
        </w:rPr>
        <w:t>The next SPF should be explicit about DFAT’s</w:t>
      </w:r>
      <w:r w:rsidR="00A1564E" w:rsidRPr="00843214">
        <w:rPr>
          <w:color w:val="auto"/>
          <w:lang w:val="en-AU"/>
        </w:rPr>
        <w:t xml:space="preserve"> use and purpose of </w:t>
      </w:r>
      <w:r w:rsidR="00CE516A" w:rsidRPr="00843214">
        <w:rPr>
          <w:color w:val="auto"/>
          <w:lang w:val="en-AU"/>
        </w:rPr>
        <w:t xml:space="preserve">progress </w:t>
      </w:r>
      <w:r w:rsidR="00A1564E" w:rsidRPr="00843214">
        <w:rPr>
          <w:color w:val="auto"/>
          <w:lang w:val="en-AU"/>
        </w:rPr>
        <w:t>reporting</w:t>
      </w:r>
      <w:r w:rsidRPr="00843214">
        <w:rPr>
          <w:color w:val="auto"/>
          <w:lang w:val="en-AU"/>
        </w:rPr>
        <w:t>.</w:t>
      </w:r>
      <w:r w:rsidR="00A1564E" w:rsidRPr="00843214">
        <w:rPr>
          <w:color w:val="auto"/>
          <w:lang w:val="en-AU"/>
        </w:rPr>
        <w:t xml:space="preserve"> </w:t>
      </w:r>
    </w:p>
    <w:p w14:paraId="42749BB0" w14:textId="77777777" w:rsidR="00F11898" w:rsidRPr="00843214" w:rsidRDefault="00F13BC9" w:rsidP="00A2627D">
      <w:pPr>
        <w:rPr>
          <w:color w:val="auto"/>
          <w:lang w:val="en-AU"/>
        </w:rPr>
      </w:pPr>
      <w:r w:rsidRPr="00843214">
        <w:rPr>
          <w:color w:val="auto"/>
          <w:lang w:val="en-AU"/>
        </w:rPr>
        <w:t xml:space="preserve">To highlight the importance </w:t>
      </w:r>
      <w:r w:rsidR="00CE516A" w:rsidRPr="00843214">
        <w:rPr>
          <w:color w:val="auto"/>
          <w:lang w:val="en-AU"/>
        </w:rPr>
        <w:t xml:space="preserve">of sound project-level financial reporting while </w:t>
      </w:r>
      <w:r w:rsidR="006E1CAF" w:rsidRPr="00843214">
        <w:rPr>
          <w:color w:val="auto"/>
          <w:lang w:val="en-AU"/>
        </w:rPr>
        <w:t>m</w:t>
      </w:r>
      <w:r w:rsidRPr="00843214">
        <w:rPr>
          <w:color w:val="auto"/>
          <w:lang w:val="en-AU"/>
        </w:rPr>
        <w:t>aintain</w:t>
      </w:r>
      <w:r w:rsidR="006E1CAF" w:rsidRPr="00843214">
        <w:rPr>
          <w:color w:val="auto"/>
          <w:lang w:val="en-AU"/>
        </w:rPr>
        <w:t>ing</w:t>
      </w:r>
      <w:r w:rsidRPr="00843214">
        <w:rPr>
          <w:color w:val="auto"/>
          <w:lang w:val="en-AU"/>
        </w:rPr>
        <w:t xml:space="preserve"> flexibility, the need could be articulated at a high-level in the SPF section about performance reporting and accounting records, linked to individual project agreements. </w:t>
      </w:r>
    </w:p>
    <w:p w14:paraId="2E006B51" w14:textId="7CFDCBA4" w:rsidR="00A1564E" w:rsidRPr="00843214" w:rsidRDefault="00A1564E" w:rsidP="00A2627D">
      <w:pPr>
        <w:rPr>
          <w:color w:val="auto"/>
          <w:lang w:val="en-AU"/>
        </w:rPr>
      </w:pPr>
      <w:r w:rsidRPr="00843214">
        <w:rPr>
          <w:color w:val="auto"/>
          <w:lang w:val="en-AU"/>
        </w:rPr>
        <w:t>The Partnership</w:t>
      </w:r>
      <w:r w:rsidR="00AD55CA" w:rsidRPr="00843214">
        <w:rPr>
          <w:color w:val="auto"/>
          <w:lang w:val="en-AU"/>
        </w:rPr>
        <w:t xml:space="preserve"> </w:t>
      </w:r>
      <w:r w:rsidR="02BA57DE" w:rsidRPr="00843214">
        <w:rPr>
          <w:color w:val="auto"/>
          <w:lang w:val="en-AU"/>
        </w:rPr>
        <w:t>should</w:t>
      </w:r>
      <w:r w:rsidRPr="00843214">
        <w:rPr>
          <w:color w:val="auto"/>
          <w:lang w:val="en-AU"/>
        </w:rPr>
        <w:t xml:space="preserve"> </w:t>
      </w:r>
      <w:r w:rsidR="00F11898" w:rsidRPr="00843214">
        <w:rPr>
          <w:color w:val="auto"/>
          <w:lang w:val="en-AU"/>
        </w:rPr>
        <w:t xml:space="preserve">work to </w:t>
      </w:r>
      <w:r w:rsidRPr="00843214">
        <w:rPr>
          <w:color w:val="auto"/>
          <w:lang w:val="en-AU"/>
        </w:rPr>
        <w:t xml:space="preserve">strengthen communications between </w:t>
      </w:r>
      <w:r w:rsidR="00C52E32" w:rsidRPr="00843214">
        <w:rPr>
          <w:color w:val="auto"/>
          <w:lang w:val="en-AU"/>
        </w:rPr>
        <w:t xml:space="preserve">different levels </w:t>
      </w:r>
      <w:r w:rsidR="004E23F7" w:rsidRPr="00843214">
        <w:rPr>
          <w:color w:val="auto"/>
          <w:lang w:val="en-AU"/>
        </w:rPr>
        <w:t xml:space="preserve">both within and between the agencies, such as </w:t>
      </w:r>
      <w:r w:rsidRPr="00843214">
        <w:rPr>
          <w:color w:val="auto"/>
          <w:lang w:val="en-AU"/>
        </w:rPr>
        <w:t>N</w:t>
      </w:r>
      <w:r w:rsidR="00AD55CA" w:rsidRPr="00843214">
        <w:rPr>
          <w:color w:val="auto"/>
          <w:lang w:val="en-AU"/>
        </w:rPr>
        <w:t xml:space="preserve">ew </w:t>
      </w:r>
      <w:r w:rsidRPr="00843214">
        <w:rPr>
          <w:color w:val="auto"/>
          <w:lang w:val="en-AU"/>
        </w:rPr>
        <w:t>Y</w:t>
      </w:r>
      <w:r w:rsidR="00AD55CA" w:rsidRPr="00843214">
        <w:rPr>
          <w:color w:val="auto"/>
          <w:lang w:val="en-AU"/>
        </w:rPr>
        <w:t>ork</w:t>
      </w:r>
      <w:r w:rsidRPr="00843214">
        <w:rPr>
          <w:color w:val="auto"/>
          <w:lang w:val="en-AU"/>
        </w:rPr>
        <w:t xml:space="preserve"> to the Indo-Pacific</w:t>
      </w:r>
      <w:r w:rsidR="00C76A6E" w:rsidRPr="00843214">
        <w:rPr>
          <w:color w:val="auto"/>
          <w:lang w:val="en-AU"/>
        </w:rPr>
        <w:t>.</w:t>
      </w:r>
    </w:p>
    <w:p w14:paraId="57098CE9" w14:textId="2A4F6154" w:rsidR="00823A94" w:rsidRPr="00843214" w:rsidRDefault="00823A94" w:rsidP="00823A94">
      <w:pPr>
        <w:pStyle w:val="Heading4"/>
        <w:numPr>
          <w:ilvl w:val="0"/>
          <w:numId w:val="17"/>
        </w:numPr>
        <w:ind w:left="360"/>
        <w:rPr>
          <w:color w:val="auto"/>
          <w:lang w:val="en-AU"/>
        </w:rPr>
      </w:pPr>
      <w:r w:rsidRPr="00843214">
        <w:rPr>
          <w:color w:val="auto"/>
          <w:lang w:val="en-AU"/>
        </w:rPr>
        <w:t xml:space="preserve">The Partnership should </w:t>
      </w:r>
      <w:r w:rsidR="00C0562A" w:rsidRPr="00843214">
        <w:rPr>
          <w:color w:val="auto"/>
          <w:lang w:val="en-AU"/>
        </w:rPr>
        <w:t>explore options</w:t>
      </w:r>
      <w:r w:rsidRPr="00843214">
        <w:rPr>
          <w:color w:val="auto"/>
          <w:lang w:val="en-AU"/>
        </w:rPr>
        <w:t xml:space="preserve"> for </w:t>
      </w:r>
      <w:r w:rsidR="00C0562A" w:rsidRPr="00843214">
        <w:rPr>
          <w:color w:val="auto"/>
          <w:lang w:val="en-AU"/>
        </w:rPr>
        <w:t>lightly earmarked funding</w:t>
      </w:r>
      <w:r w:rsidR="00A928BB" w:rsidRPr="00843214">
        <w:rPr>
          <w:color w:val="auto"/>
          <w:lang w:val="en-AU"/>
        </w:rPr>
        <w:t>.</w:t>
      </w:r>
    </w:p>
    <w:p w14:paraId="617989EC" w14:textId="2027B08C" w:rsidR="00823A94" w:rsidRPr="00843214" w:rsidRDefault="00823A94" w:rsidP="00823A94">
      <w:pPr>
        <w:rPr>
          <w:color w:val="auto"/>
          <w:lang w:val="en-AU"/>
        </w:rPr>
      </w:pPr>
      <w:r w:rsidRPr="00843214">
        <w:rPr>
          <w:color w:val="auto"/>
          <w:lang w:val="en-AU"/>
        </w:rPr>
        <w:t xml:space="preserve">The next SPF </w:t>
      </w:r>
      <w:r w:rsidR="00CA0D1D" w:rsidRPr="00843214">
        <w:rPr>
          <w:color w:val="auto"/>
          <w:lang w:val="en-AU"/>
        </w:rPr>
        <w:t xml:space="preserve">could include thematic or multi-country financing </w:t>
      </w:r>
      <w:r w:rsidRPr="00843214">
        <w:rPr>
          <w:color w:val="auto"/>
          <w:lang w:val="en-AU"/>
        </w:rPr>
        <w:t>aligned to the priorities in the upcoming UN Women Strategic Plan. This would enable UN Women to flexibly pursue areas of strategic importance, reduce individual reporting requirements and to balance earmarked funding with flexible funding arrangements.</w:t>
      </w:r>
    </w:p>
    <w:p w14:paraId="19E35722" w14:textId="10871C25" w:rsidR="0020061F" w:rsidRPr="00843214" w:rsidRDefault="0020061F" w:rsidP="00702728">
      <w:pPr>
        <w:pStyle w:val="Heading4"/>
        <w:numPr>
          <w:ilvl w:val="0"/>
          <w:numId w:val="17"/>
        </w:numPr>
        <w:ind w:left="360"/>
        <w:rPr>
          <w:color w:val="auto"/>
          <w:lang w:val="en-AU"/>
        </w:rPr>
      </w:pPr>
      <w:bookmarkStart w:id="96" w:name="_Hlk67577786"/>
      <w:r w:rsidRPr="00843214">
        <w:rPr>
          <w:color w:val="auto"/>
          <w:lang w:val="en-AU"/>
        </w:rPr>
        <w:t>The Partnership should be clear about how core resourcing is used</w:t>
      </w:r>
      <w:bookmarkEnd w:id="96"/>
      <w:r w:rsidR="00A928BB" w:rsidRPr="00843214">
        <w:rPr>
          <w:color w:val="auto"/>
          <w:lang w:val="en-AU"/>
        </w:rPr>
        <w:t>.</w:t>
      </w:r>
    </w:p>
    <w:p w14:paraId="65627324" w14:textId="18E2B2AA" w:rsidR="00116F68" w:rsidRPr="00843214" w:rsidRDefault="00116F68" w:rsidP="00A2627D">
      <w:pPr>
        <w:rPr>
          <w:color w:val="auto"/>
          <w:lang w:val="en-AU"/>
        </w:rPr>
      </w:pPr>
      <w:r w:rsidRPr="00843214">
        <w:rPr>
          <w:color w:val="auto"/>
          <w:lang w:val="en-AU"/>
        </w:rPr>
        <w:t xml:space="preserve">The </w:t>
      </w:r>
      <w:r w:rsidR="00E458A4" w:rsidRPr="00843214">
        <w:rPr>
          <w:color w:val="auto"/>
          <w:lang w:val="en-AU"/>
        </w:rPr>
        <w:t xml:space="preserve">next </w:t>
      </w:r>
      <w:r w:rsidRPr="00843214">
        <w:rPr>
          <w:color w:val="auto"/>
          <w:lang w:val="en-AU"/>
        </w:rPr>
        <w:t>SPF should provide clarity for DFAT and UN Women about mutual expectations from core funding and the parameters of core</w:t>
      </w:r>
      <w:r w:rsidR="00E458A4" w:rsidRPr="00843214">
        <w:rPr>
          <w:color w:val="auto"/>
          <w:lang w:val="en-AU"/>
        </w:rPr>
        <w:t xml:space="preserve"> funding</w:t>
      </w:r>
      <w:r w:rsidRPr="00843214">
        <w:rPr>
          <w:color w:val="auto"/>
          <w:lang w:val="en-AU"/>
        </w:rPr>
        <w:t>.</w:t>
      </w:r>
    </w:p>
    <w:p w14:paraId="7CE09411" w14:textId="4019AC26" w:rsidR="00116F68" w:rsidRPr="00843214" w:rsidRDefault="0020061F" w:rsidP="00A2627D">
      <w:pPr>
        <w:rPr>
          <w:color w:val="auto"/>
          <w:lang w:val="en-AU"/>
        </w:rPr>
      </w:pPr>
      <w:r w:rsidRPr="00843214">
        <w:rPr>
          <w:color w:val="auto"/>
          <w:lang w:val="en-AU"/>
        </w:rPr>
        <w:t xml:space="preserve">DFAT should continue to provide </w:t>
      </w:r>
      <w:r w:rsidR="430E4A56" w:rsidRPr="00843214">
        <w:rPr>
          <w:color w:val="auto"/>
          <w:lang w:val="en-AU"/>
        </w:rPr>
        <w:t xml:space="preserve">sustainable </w:t>
      </w:r>
      <w:r w:rsidRPr="00843214">
        <w:rPr>
          <w:color w:val="auto"/>
          <w:lang w:val="en-AU"/>
        </w:rPr>
        <w:t xml:space="preserve">core resourcing </w:t>
      </w:r>
      <w:r w:rsidR="33CEC331" w:rsidRPr="00843214">
        <w:rPr>
          <w:color w:val="auto"/>
          <w:lang w:val="en-AU"/>
        </w:rPr>
        <w:t xml:space="preserve">on </w:t>
      </w:r>
      <w:r w:rsidR="00DB2A59" w:rsidRPr="00843214">
        <w:rPr>
          <w:color w:val="auto"/>
          <w:lang w:val="en-AU"/>
        </w:rPr>
        <w:t xml:space="preserve">a </w:t>
      </w:r>
      <w:r w:rsidR="33CEC331" w:rsidRPr="00843214">
        <w:rPr>
          <w:color w:val="auto"/>
          <w:lang w:val="en-AU"/>
        </w:rPr>
        <w:t>multi-year basis</w:t>
      </w:r>
      <w:r w:rsidR="00E458A4" w:rsidRPr="00843214">
        <w:rPr>
          <w:color w:val="auto"/>
          <w:lang w:val="en-AU"/>
        </w:rPr>
        <w:t xml:space="preserve"> to enable UN Women to pursue its key functions as an entity and allow it to flex to emerging priorities.</w:t>
      </w:r>
      <w:r w:rsidR="004E11D1" w:rsidRPr="00843214">
        <w:rPr>
          <w:rStyle w:val="CommentReference"/>
          <w:color w:val="auto"/>
        </w:rPr>
        <w:t xml:space="preserve"> </w:t>
      </w:r>
    </w:p>
    <w:p w14:paraId="061A40A6" w14:textId="7A4D9202" w:rsidR="00A1564E" w:rsidRPr="00843214" w:rsidRDefault="0020061F" w:rsidP="00A2627D">
      <w:pPr>
        <w:rPr>
          <w:color w:val="auto"/>
          <w:lang w:val="en-AU"/>
        </w:rPr>
      </w:pPr>
      <w:r w:rsidRPr="00843214">
        <w:rPr>
          <w:color w:val="auto"/>
          <w:lang w:val="en-AU"/>
        </w:rPr>
        <w:t xml:space="preserve">UN Women </w:t>
      </w:r>
      <w:r w:rsidR="00E458A4" w:rsidRPr="00843214">
        <w:rPr>
          <w:color w:val="auto"/>
          <w:lang w:val="en-AU"/>
        </w:rPr>
        <w:t>should</w:t>
      </w:r>
      <w:r w:rsidRPr="00843214">
        <w:rPr>
          <w:color w:val="auto"/>
          <w:lang w:val="en-AU"/>
        </w:rPr>
        <w:t xml:space="preserve"> do more to clarify </w:t>
      </w:r>
      <w:r w:rsidR="00D81CD0" w:rsidRPr="00843214">
        <w:rPr>
          <w:color w:val="auto"/>
          <w:lang w:val="en-AU"/>
        </w:rPr>
        <w:t xml:space="preserve">how and where </w:t>
      </w:r>
      <w:r w:rsidR="00116F68" w:rsidRPr="00843214">
        <w:rPr>
          <w:color w:val="auto"/>
          <w:lang w:val="en-AU"/>
        </w:rPr>
        <w:t>core</w:t>
      </w:r>
      <w:r w:rsidR="00D81CD0" w:rsidRPr="00843214">
        <w:rPr>
          <w:color w:val="auto"/>
          <w:lang w:val="en-AU"/>
        </w:rPr>
        <w:t xml:space="preserve"> is used</w:t>
      </w:r>
      <w:r w:rsidR="00E458A4" w:rsidRPr="00843214">
        <w:rPr>
          <w:color w:val="auto"/>
          <w:lang w:val="en-AU"/>
        </w:rPr>
        <w:t xml:space="preserve"> to support DFAT’s ability to advocate for core funding</w:t>
      </w:r>
      <w:r w:rsidR="0017766D" w:rsidRPr="00843214">
        <w:rPr>
          <w:color w:val="auto"/>
          <w:lang w:val="en-AU"/>
        </w:rPr>
        <w:t xml:space="preserve"> and articulate how supporting UN Women creates value for DFAT and stakeholders within the Indo-Pacific. </w:t>
      </w:r>
      <w:r w:rsidR="00C33499" w:rsidRPr="00843214">
        <w:rPr>
          <w:color w:val="auto"/>
          <w:lang w:val="en-AU"/>
        </w:rPr>
        <w:t xml:space="preserve">For example, </w:t>
      </w:r>
      <w:r w:rsidR="004E11D1" w:rsidRPr="00843214">
        <w:rPr>
          <w:color w:val="auto"/>
          <w:lang w:val="en-AU"/>
        </w:rPr>
        <w:t xml:space="preserve">UN Women could </w:t>
      </w:r>
      <w:r w:rsidR="00E90C46" w:rsidRPr="00843214">
        <w:rPr>
          <w:color w:val="auto"/>
          <w:lang w:val="en-AU"/>
        </w:rPr>
        <w:t>indicate the value of Asia-Pacific funding outlined in the annual Regular Resources Report</w:t>
      </w:r>
      <w:r w:rsidR="001875B4" w:rsidRPr="00843214">
        <w:rPr>
          <w:color w:val="auto"/>
          <w:lang w:val="en-AU"/>
        </w:rPr>
        <w:t>, provide supplementary information bilaterally,</w:t>
      </w:r>
      <w:r w:rsidR="00DC30A2" w:rsidRPr="00843214">
        <w:rPr>
          <w:color w:val="auto"/>
          <w:lang w:val="en-AU"/>
        </w:rPr>
        <w:t xml:space="preserve"> or look to adopt other UN agencies’ </w:t>
      </w:r>
      <w:r w:rsidR="008018C3" w:rsidRPr="00843214">
        <w:rPr>
          <w:color w:val="auto"/>
          <w:lang w:val="en-AU"/>
        </w:rPr>
        <w:t xml:space="preserve">core </w:t>
      </w:r>
      <w:r w:rsidR="00DC30A2" w:rsidRPr="00843214">
        <w:rPr>
          <w:color w:val="auto"/>
          <w:lang w:val="en-AU"/>
        </w:rPr>
        <w:t>funding disaggregation approaches</w:t>
      </w:r>
      <w:r w:rsidR="00E90C46" w:rsidRPr="00843214">
        <w:rPr>
          <w:color w:val="auto"/>
          <w:lang w:val="en-AU"/>
        </w:rPr>
        <w:t xml:space="preserve">. </w:t>
      </w:r>
      <w:r w:rsidR="00AC3BD0" w:rsidRPr="00843214">
        <w:rPr>
          <w:color w:val="auto"/>
          <w:lang w:val="en-AU"/>
        </w:rPr>
        <w:t>UN Women needs to be clear about how UN</w:t>
      </w:r>
      <w:r w:rsidR="00AD55CA" w:rsidRPr="00843214">
        <w:rPr>
          <w:color w:val="auto"/>
          <w:lang w:val="en-AU"/>
        </w:rPr>
        <w:t xml:space="preserve"> Women</w:t>
      </w:r>
      <w:r w:rsidR="00AC3BD0" w:rsidRPr="00843214">
        <w:rPr>
          <w:color w:val="auto"/>
          <w:lang w:val="en-AU"/>
        </w:rPr>
        <w:t>’s geographic footprint is justified, how programming decisions are made</w:t>
      </w:r>
      <w:r w:rsidR="00116F68" w:rsidRPr="00843214">
        <w:rPr>
          <w:color w:val="auto"/>
          <w:lang w:val="en-AU"/>
        </w:rPr>
        <w:t xml:space="preserve"> in </w:t>
      </w:r>
      <w:r w:rsidR="29399087" w:rsidRPr="00843214">
        <w:rPr>
          <w:color w:val="auto"/>
          <w:lang w:val="en-AU"/>
        </w:rPr>
        <w:t>Asia-Pacific</w:t>
      </w:r>
      <w:r w:rsidR="00AD55CA" w:rsidRPr="00843214">
        <w:rPr>
          <w:color w:val="auto"/>
          <w:lang w:val="en-AU"/>
        </w:rPr>
        <w:t>, and</w:t>
      </w:r>
      <w:r w:rsidR="00AC3BD0" w:rsidRPr="00843214">
        <w:rPr>
          <w:color w:val="auto"/>
          <w:lang w:val="en-AU"/>
        </w:rPr>
        <w:t xml:space="preserve"> be clear to Australia how the region is being prioritised and how regional and global interests are balanced.</w:t>
      </w:r>
      <w:r w:rsidR="00A1564E" w:rsidRPr="00843214">
        <w:rPr>
          <w:color w:val="auto"/>
          <w:lang w:val="en-AU"/>
        </w:rPr>
        <w:t xml:space="preserve"> </w:t>
      </w:r>
    </w:p>
    <w:p w14:paraId="632F58AD" w14:textId="55E0529C" w:rsidR="00391E96" w:rsidRPr="00843214" w:rsidRDefault="004B1BFF" w:rsidP="00702728">
      <w:pPr>
        <w:pStyle w:val="Heading4"/>
        <w:numPr>
          <w:ilvl w:val="0"/>
          <w:numId w:val="17"/>
        </w:numPr>
        <w:ind w:left="360"/>
        <w:rPr>
          <w:color w:val="auto"/>
          <w:lang w:val="en-AU"/>
        </w:rPr>
      </w:pPr>
      <w:bookmarkStart w:id="97" w:name="_Hlk67577792"/>
      <w:bookmarkStart w:id="98" w:name="_Hlk69223996"/>
      <w:r w:rsidRPr="00843214">
        <w:rPr>
          <w:color w:val="auto"/>
          <w:lang w:val="en-AU"/>
        </w:rPr>
        <w:t>The Partnership should c</w:t>
      </w:r>
      <w:r w:rsidR="00AC3BD0" w:rsidRPr="00843214">
        <w:rPr>
          <w:color w:val="auto"/>
          <w:lang w:val="en-AU"/>
        </w:rPr>
        <w:t xml:space="preserve">larify </w:t>
      </w:r>
      <w:r w:rsidR="00C17976" w:rsidRPr="00843214">
        <w:rPr>
          <w:color w:val="auto"/>
          <w:lang w:val="en-AU"/>
        </w:rPr>
        <w:t xml:space="preserve">and strengthen </w:t>
      </w:r>
      <w:r w:rsidR="474104A8" w:rsidRPr="00843214">
        <w:rPr>
          <w:color w:val="auto"/>
          <w:lang w:val="en-AU"/>
        </w:rPr>
        <w:t>mutual</w:t>
      </w:r>
      <w:r w:rsidR="786997AA" w:rsidRPr="00843214">
        <w:rPr>
          <w:color w:val="auto"/>
          <w:lang w:val="en-AU"/>
        </w:rPr>
        <w:t xml:space="preserve"> </w:t>
      </w:r>
      <w:r w:rsidR="00BF5D0C" w:rsidRPr="00843214">
        <w:rPr>
          <w:color w:val="auto"/>
          <w:lang w:val="en-AU"/>
        </w:rPr>
        <w:t xml:space="preserve">public </w:t>
      </w:r>
      <w:r w:rsidR="00AC3BD0" w:rsidRPr="00843214">
        <w:rPr>
          <w:color w:val="auto"/>
          <w:lang w:val="en-AU"/>
        </w:rPr>
        <w:t>visibility requirements</w:t>
      </w:r>
      <w:r w:rsidR="00A928BB" w:rsidRPr="00843214">
        <w:rPr>
          <w:color w:val="auto"/>
          <w:lang w:val="en-AU"/>
        </w:rPr>
        <w:t>.</w:t>
      </w:r>
    </w:p>
    <w:p w14:paraId="5DD62FF1" w14:textId="6BBDDAD9" w:rsidR="00AC3BD0" w:rsidRPr="00843214" w:rsidRDefault="00E458A4" w:rsidP="00A2627D">
      <w:pPr>
        <w:rPr>
          <w:color w:val="auto"/>
          <w:lang w:val="en-AU"/>
        </w:rPr>
      </w:pPr>
      <w:r w:rsidRPr="00843214">
        <w:rPr>
          <w:color w:val="auto"/>
          <w:lang w:val="en-AU"/>
        </w:rPr>
        <w:t xml:space="preserve">DFAT and UN Women should mutually </w:t>
      </w:r>
      <w:r w:rsidR="00BF5D0C" w:rsidRPr="00843214">
        <w:rPr>
          <w:color w:val="auto"/>
          <w:lang w:val="en-AU"/>
        </w:rPr>
        <w:t xml:space="preserve">clarify and </w:t>
      </w:r>
      <w:r w:rsidRPr="00843214">
        <w:rPr>
          <w:color w:val="auto"/>
          <w:lang w:val="en-AU"/>
        </w:rPr>
        <w:t>s</w:t>
      </w:r>
      <w:r w:rsidR="006A6523" w:rsidRPr="00843214">
        <w:rPr>
          <w:color w:val="auto"/>
          <w:lang w:val="en-AU"/>
        </w:rPr>
        <w:t>trengthen the</w:t>
      </w:r>
      <w:r w:rsidR="00182B95" w:rsidRPr="00843214">
        <w:rPr>
          <w:color w:val="auto"/>
          <w:lang w:val="en-AU"/>
        </w:rPr>
        <w:t xml:space="preserve"> SPF protocols for </w:t>
      </w:r>
      <w:r w:rsidR="00BF5D0C" w:rsidRPr="00843214">
        <w:rPr>
          <w:color w:val="auto"/>
          <w:lang w:val="en-AU"/>
        </w:rPr>
        <w:t xml:space="preserve">public </w:t>
      </w:r>
      <w:r w:rsidR="00182B95" w:rsidRPr="00843214">
        <w:rPr>
          <w:color w:val="auto"/>
          <w:lang w:val="en-AU"/>
        </w:rPr>
        <w:t>visibility</w:t>
      </w:r>
      <w:r w:rsidR="00BF5D0C" w:rsidRPr="00843214">
        <w:rPr>
          <w:color w:val="auto"/>
          <w:lang w:val="en-AU"/>
        </w:rPr>
        <w:t xml:space="preserve">. Firstly, the protocols must support </w:t>
      </w:r>
      <w:r w:rsidR="00C17976" w:rsidRPr="00843214">
        <w:rPr>
          <w:color w:val="auto"/>
          <w:lang w:val="en-AU"/>
        </w:rPr>
        <w:t xml:space="preserve">public </w:t>
      </w:r>
      <w:r w:rsidR="00BF5D0C" w:rsidRPr="00843214">
        <w:rPr>
          <w:color w:val="auto"/>
          <w:lang w:val="en-AU"/>
        </w:rPr>
        <w:t>visibility</w:t>
      </w:r>
      <w:r w:rsidR="00182B95" w:rsidRPr="00843214">
        <w:rPr>
          <w:color w:val="auto"/>
          <w:lang w:val="en-AU"/>
        </w:rPr>
        <w:t xml:space="preserve"> of DFAT’s contribution to UN Women to ensure DFAT is </w:t>
      </w:r>
      <w:r w:rsidRPr="00843214">
        <w:rPr>
          <w:color w:val="auto"/>
          <w:lang w:val="en-AU"/>
        </w:rPr>
        <w:t xml:space="preserve">publicly </w:t>
      </w:r>
      <w:r w:rsidR="00182B95" w:rsidRPr="00843214">
        <w:rPr>
          <w:color w:val="auto"/>
          <w:lang w:val="en-AU"/>
        </w:rPr>
        <w:t xml:space="preserve">acknowledged, and UN Women has clear understanding of the </w:t>
      </w:r>
      <w:r w:rsidR="0017766D" w:rsidRPr="00843214">
        <w:rPr>
          <w:color w:val="auto"/>
          <w:lang w:val="en-AU"/>
        </w:rPr>
        <w:t>diplomatic</w:t>
      </w:r>
      <w:r w:rsidR="00182B95" w:rsidRPr="00843214">
        <w:rPr>
          <w:color w:val="auto"/>
          <w:lang w:val="en-AU"/>
        </w:rPr>
        <w:t xml:space="preserve"> necessity and DFAT expectations for branding.</w:t>
      </w:r>
      <w:bookmarkEnd w:id="97"/>
      <w:r w:rsidR="00BF5D0C" w:rsidRPr="00843214">
        <w:rPr>
          <w:color w:val="auto"/>
          <w:lang w:val="en-AU"/>
        </w:rPr>
        <w:t xml:space="preserve"> Further, the SPF should c</w:t>
      </w:r>
      <w:r w:rsidRPr="00843214">
        <w:rPr>
          <w:color w:val="auto"/>
          <w:lang w:val="en-AU"/>
        </w:rPr>
        <w:t>larify mutual expectations and requirements on visibility needs, whilst ensuring partner recognition</w:t>
      </w:r>
      <w:r w:rsidR="00BF5D0C" w:rsidRPr="00843214">
        <w:rPr>
          <w:color w:val="auto"/>
          <w:lang w:val="en-AU"/>
        </w:rPr>
        <w:t xml:space="preserve">. Requirements in the SPF should be </w:t>
      </w:r>
      <w:r w:rsidR="00935940" w:rsidRPr="00843214">
        <w:rPr>
          <w:color w:val="auto"/>
          <w:lang w:val="en-AU"/>
        </w:rPr>
        <w:t>linked to field level</w:t>
      </w:r>
      <w:r w:rsidR="00BF5D0C" w:rsidRPr="00843214">
        <w:rPr>
          <w:color w:val="auto"/>
          <w:lang w:val="en-AU"/>
        </w:rPr>
        <w:t xml:space="preserve"> guidance </w:t>
      </w:r>
      <w:r w:rsidR="00AF0DA2" w:rsidRPr="00843214">
        <w:rPr>
          <w:color w:val="auto"/>
          <w:lang w:val="en-AU"/>
        </w:rPr>
        <w:t xml:space="preserve">to amplify </w:t>
      </w:r>
      <w:r w:rsidR="001C4F87" w:rsidRPr="00843214">
        <w:rPr>
          <w:color w:val="auto"/>
          <w:lang w:val="en-AU"/>
        </w:rPr>
        <w:t>the Partnership</w:t>
      </w:r>
      <w:r w:rsidR="00BF5D0C" w:rsidRPr="00843214">
        <w:rPr>
          <w:color w:val="auto"/>
          <w:lang w:val="en-AU"/>
        </w:rPr>
        <w:t>, respective contributions,</w:t>
      </w:r>
      <w:r w:rsidR="00AF0DA2" w:rsidRPr="00843214">
        <w:rPr>
          <w:color w:val="auto"/>
          <w:lang w:val="en-AU"/>
        </w:rPr>
        <w:t xml:space="preserve"> and the value add from speaking together.</w:t>
      </w:r>
      <w:r w:rsidR="00AC3BD0" w:rsidRPr="00843214">
        <w:rPr>
          <w:color w:val="auto"/>
          <w:lang w:val="en-AU"/>
        </w:rPr>
        <w:t xml:space="preserve"> </w:t>
      </w:r>
      <w:r w:rsidR="00030EDB" w:rsidRPr="00843214">
        <w:rPr>
          <w:color w:val="auto"/>
          <w:lang w:val="en-AU"/>
        </w:rPr>
        <w:t xml:space="preserve">Consideration should also be given to visibility in joint programming such as under One UN programs. </w:t>
      </w:r>
    </w:p>
    <w:bookmarkEnd w:id="98"/>
    <w:p w14:paraId="4C4E8AD1" w14:textId="2D8A0092" w:rsidR="26DDF65E" w:rsidRPr="00843214" w:rsidRDefault="26DDF65E" w:rsidP="0DAE8D75">
      <w:pPr>
        <w:rPr>
          <w:color w:val="auto"/>
          <w:lang w:val="en-GB"/>
        </w:rPr>
      </w:pPr>
      <w:r w:rsidRPr="00843214">
        <w:rPr>
          <w:color w:val="auto"/>
          <w:lang w:val="en-GB"/>
        </w:rPr>
        <w:t xml:space="preserve">UN Women </w:t>
      </w:r>
      <w:r w:rsidR="00E458A4" w:rsidRPr="00843214">
        <w:rPr>
          <w:color w:val="auto"/>
          <w:lang w:val="en-GB"/>
        </w:rPr>
        <w:t>can also</w:t>
      </w:r>
      <w:r w:rsidRPr="00843214">
        <w:rPr>
          <w:color w:val="auto"/>
          <w:lang w:val="en-GB"/>
        </w:rPr>
        <w:t xml:space="preserve"> provide a more systematic and coordinated recognition of</w:t>
      </w:r>
      <w:r w:rsidR="00E458A4" w:rsidRPr="00843214">
        <w:rPr>
          <w:color w:val="auto"/>
          <w:lang w:val="en-GB"/>
        </w:rPr>
        <w:t xml:space="preserve"> Australia as a</w:t>
      </w:r>
      <w:r w:rsidRPr="00843214">
        <w:rPr>
          <w:color w:val="auto"/>
          <w:lang w:val="en-GB"/>
        </w:rPr>
        <w:t xml:space="preserve"> funding partner, </w:t>
      </w:r>
      <w:r w:rsidR="00E458A4" w:rsidRPr="00843214">
        <w:rPr>
          <w:color w:val="auto"/>
          <w:lang w:val="en-GB"/>
        </w:rPr>
        <w:t>its</w:t>
      </w:r>
      <w:r w:rsidRPr="00843214">
        <w:rPr>
          <w:color w:val="auto"/>
          <w:lang w:val="en-GB"/>
        </w:rPr>
        <w:t xml:space="preserve"> contributions to UN Women and the results achieved</w:t>
      </w:r>
      <w:r w:rsidR="00E458A4" w:rsidRPr="00843214">
        <w:rPr>
          <w:color w:val="auto"/>
          <w:lang w:val="en-GB"/>
        </w:rPr>
        <w:t xml:space="preserve"> such as within UN Women’s donor week campaigns</w:t>
      </w:r>
      <w:r w:rsidRPr="00843214">
        <w:rPr>
          <w:color w:val="auto"/>
          <w:lang w:val="en-GB"/>
        </w:rPr>
        <w:t>.</w:t>
      </w:r>
    </w:p>
    <w:p w14:paraId="1F0EBED8" w14:textId="6D4A50EE" w:rsidR="00391E96" w:rsidRPr="00843214" w:rsidRDefault="00EC2C6D" w:rsidP="00702728">
      <w:pPr>
        <w:pStyle w:val="Heading4"/>
        <w:numPr>
          <w:ilvl w:val="0"/>
          <w:numId w:val="17"/>
        </w:numPr>
        <w:ind w:left="360"/>
        <w:rPr>
          <w:color w:val="auto"/>
          <w:lang w:val="en-AU"/>
        </w:rPr>
      </w:pPr>
      <w:bookmarkStart w:id="99" w:name="_Hlk66700502"/>
      <w:r w:rsidRPr="00843214">
        <w:rPr>
          <w:color w:val="auto"/>
          <w:lang w:val="en-AU"/>
        </w:rPr>
        <w:t>The SPF</w:t>
      </w:r>
      <w:r w:rsidR="004B1BFF" w:rsidRPr="00843214">
        <w:rPr>
          <w:color w:val="auto"/>
          <w:lang w:val="en-AU"/>
        </w:rPr>
        <w:t xml:space="preserve"> </w:t>
      </w:r>
      <w:r w:rsidR="004522AA" w:rsidRPr="00843214">
        <w:rPr>
          <w:color w:val="auto"/>
          <w:lang w:val="en-AU"/>
        </w:rPr>
        <w:t>c</w:t>
      </w:r>
      <w:r w:rsidR="004B1BFF" w:rsidRPr="00843214">
        <w:rPr>
          <w:color w:val="auto"/>
          <w:lang w:val="en-AU"/>
        </w:rPr>
        <w:t xml:space="preserve">ould </w:t>
      </w:r>
      <w:r w:rsidR="007658C4" w:rsidRPr="00843214">
        <w:rPr>
          <w:color w:val="auto"/>
          <w:lang w:val="en-AU"/>
        </w:rPr>
        <w:t>identify</w:t>
      </w:r>
      <w:r w:rsidR="004B1BFF" w:rsidRPr="00843214">
        <w:rPr>
          <w:color w:val="auto"/>
          <w:lang w:val="en-AU"/>
        </w:rPr>
        <w:t xml:space="preserve"> solutions for UN Women’s capacity constraints</w:t>
      </w:r>
      <w:r w:rsidRPr="00843214">
        <w:rPr>
          <w:color w:val="auto"/>
          <w:lang w:val="en-AU"/>
        </w:rPr>
        <w:t xml:space="preserve">, drawing </w:t>
      </w:r>
      <w:r w:rsidR="00357A25" w:rsidRPr="00843214">
        <w:rPr>
          <w:color w:val="auto"/>
          <w:lang w:val="en-AU"/>
        </w:rPr>
        <w:t>from</w:t>
      </w:r>
      <w:r w:rsidRPr="00843214">
        <w:rPr>
          <w:color w:val="auto"/>
          <w:lang w:val="en-AU"/>
        </w:rPr>
        <w:t xml:space="preserve"> established DFAT processes and initiatives</w:t>
      </w:r>
      <w:r w:rsidR="00F00B4E" w:rsidRPr="00843214">
        <w:rPr>
          <w:color w:val="auto"/>
          <w:lang w:val="en-AU"/>
        </w:rPr>
        <w:t xml:space="preserve"> that provide opportunities for qualified Australians to be involved in development work</w:t>
      </w:r>
      <w:r w:rsidR="004B1BFF" w:rsidRPr="00843214">
        <w:rPr>
          <w:color w:val="auto"/>
          <w:lang w:val="en-AU"/>
        </w:rPr>
        <w:t xml:space="preserve">. </w:t>
      </w:r>
    </w:p>
    <w:bookmarkEnd w:id="99"/>
    <w:p w14:paraId="5BB2C5A9" w14:textId="7EF86F1D" w:rsidR="00391E96" w:rsidRPr="00843214" w:rsidRDefault="00391E96" w:rsidP="00A2627D">
      <w:pPr>
        <w:rPr>
          <w:color w:val="auto"/>
          <w:lang w:val="en-AU"/>
        </w:rPr>
      </w:pPr>
      <w:r w:rsidRPr="00843214">
        <w:rPr>
          <w:color w:val="auto"/>
          <w:lang w:val="en-AU"/>
        </w:rPr>
        <w:t xml:space="preserve">DFAT </w:t>
      </w:r>
      <w:r w:rsidR="00F00B4E" w:rsidRPr="00843214">
        <w:rPr>
          <w:color w:val="auto"/>
          <w:lang w:val="en-AU"/>
        </w:rPr>
        <w:t xml:space="preserve">and UN Women </w:t>
      </w:r>
      <w:r w:rsidR="00496603" w:rsidRPr="00843214">
        <w:rPr>
          <w:color w:val="auto"/>
          <w:lang w:val="en-AU"/>
        </w:rPr>
        <w:t>c</w:t>
      </w:r>
      <w:r w:rsidR="00C17976" w:rsidRPr="00843214">
        <w:rPr>
          <w:color w:val="auto"/>
          <w:lang w:val="en-AU"/>
        </w:rPr>
        <w:t>ould</w:t>
      </w:r>
      <w:r w:rsidRPr="00843214">
        <w:rPr>
          <w:color w:val="auto"/>
          <w:lang w:val="en-AU"/>
        </w:rPr>
        <w:t xml:space="preserve"> consider</w:t>
      </w:r>
      <w:r w:rsidR="00C17976" w:rsidRPr="00843214">
        <w:rPr>
          <w:color w:val="auto"/>
          <w:lang w:val="en-AU"/>
        </w:rPr>
        <w:t xml:space="preserve"> evening out </w:t>
      </w:r>
      <w:r w:rsidR="00AC3BD0" w:rsidRPr="00843214">
        <w:rPr>
          <w:color w:val="auto"/>
          <w:lang w:val="en-AU"/>
        </w:rPr>
        <w:t xml:space="preserve">institutional capacity constraints in UN Women and potentially in </w:t>
      </w:r>
      <w:r w:rsidR="3515787E" w:rsidRPr="00843214">
        <w:rPr>
          <w:color w:val="auto"/>
          <w:lang w:val="en-AU"/>
        </w:rPr>
        <w:t>WROs/</w:t>
      </w:r>
      <w:r w:rsidR="00AC3BD0" w:rsidRPr="00843214">
        <w:rPr>
          <w:color w:val="auto"/>
          <w:lang w:val="en-AU"/>
        </w:rPr>
        <w:t>CSOs</w:t>
      </w:r>
      <w:r w:rsidR="00C17976" w:rsidRPr="00843214">
        <w:rPr>
          <w:color w:val="auto"/>
          <w:lang w:val="en-AU"/>
        </w:rPr>
        <w:t xml:space="preserve"> by modifying t</w:t>
      </w:r>
      <w:r w:rsidR="00496603" w:rsidRPr="00843214">
        <w:rPr>
          <w:color w:val="auto"/>
          <w:lang w:val="en-AU"/>
        </w:rPr>
        <w:t>he</w:t>
      </w:r>
      <w:r w:rsidR="00AC3BD0" w:rsidRPr="00843214">
        <w:rPr>
          <w:color w:val="auto"/>
          <w:lang w:val="en-AU"/>
        </w:rPr>
        <w:t xml:space="preserve"> current SPF mechanism </w:t>
      </w:r>
      <w:r w:rsidR="00496603" w:rsidRPr="00843214">
        <w:rPr>
          <w:color w:val="auto"/>
          <w:lang w:val="en-AU"/>
        </w:rPr>
        <w:t xml:space="preserve">that </w:t>
      </w:r>
      <w:r w:rsidR="00AC3BD0" w:rsidRPr="00843214">
        <w:rPr>
          <w:color w:val="auto"/>
          <w:lang w:val="en-AU"/>
        </w:rPr>
        <w:t>allow</w:t>
      </w:r>
      <w:r w:rsidR="00496603" w:rsidRPr="00843214">
        <w:rPr>
          <w:color w:val="auto"/>
          <w:lang w:val="en-AU"/>
        </w:rPr>
        <w:t>s</w:t>
      </w:r>
      <w:r w:rsidR="00AC3BD0" w:rsidRPr="00843214">
        <w:rPr>
          <w:color w:val="auto"/>
          <w:lang w:val="en-AU"/>
        </w:rPr>
        <w:t xml:space="preserve"> </w:t>
      </w:r>
      <w:r w:rsidR="00496603" w:rsidRPr="00843214">
        <w:rPr>
          <w:color w:val="auto"/>
          <w:lang w:val="en-AU"/>
        </w:rPr>
        <w:t>assignment of</w:t>
      </w:r>
      <w:r w:rsidR="00AC3BD0" w:rsidRPr="00843214">
        <w:rPr>
          <w:color w:val="auto"/>
          <w:lang w:val="en-AU"/>
        </w:rPr>
        <w:t xml:space="preserve"> DFAT staff and Australia</w:t>
      </w:r>
      <w:r w:rsidR="00554983" w:rsidRPr="00843214">
        <w:rPr>
          <w:color w:val="auto"/>
          <w:lang w:val="en-AU"/>
        </w:rPr>
        <w:t xml:space="preserve"> Assists</w:t>
      </w:r>
      <w:r w:rsidR="006D12AA" w:rsidRPr="00843214">
        <w:rPr>
          <w:color w:val="auto"/>
          <w:lang w:val="en-AU"/>
        </w:rPr>
        <w:t xml:space="preserve"> humanitarian </w:t>
      </w:r>
      <w:r w:rsidR="004D3CBB" w:rsidRPr="00843214">
        <w:rPr>
          <w:color w:val="auto"/>
          <w:lang w:val="en-AU"/>
        </w:rPr>
        <w:t>workers</w:t>
      </w:r>
      <w:r w:rsidR="00AC3BD0" w:rsidRPr="00843214">
        <w:rPr>
          <w:color w:val="auto"/>
          <w:lang w:val="en-AU"/>
        </w:rPr>
        <w:t xml:space="preserve"> to UN Women</w:t>
      </w:r>
      <w:r w:rsidR="006D12AA" w:rsidRPr="00843214">
        <w:rPr>
          <w:color w:val="auto"/>
          <w:lang w:val="en-AU"/>
        </w:rPr>
        <w:t>. This could be expanded in the next SPF to address development work</w:t>
      </w:r>
      <w:r w:rsidR="00757E63" w:rsidRPr="00843214">
        <w:rPr>
          <w:color w:val="auto"/>
          <w:lang w:val="en-AU"/>
        </w:rPr>
        <w:t>, including program management capacity and technical support,</w:t>
      </w:r>
      <w:r w:rsidR="006D12AA" w:rsidRPr="00843214">
        <w:rPr>
          <w:color w:val="auto"/>
          <w:lang w:val="en-AU"/>
        </w:rPr>
        <w:t xml:space="preserve"> and include</w:t>
      </w:r>
      <w:r w:rsidR="00496603" w:rsidRPr="00843214">
        <w:rPr>
          <w:color w:val="auto"/>
          <w:lang w:val="en-AU"/>
        </w:rPr>
        <w:t xml:space="preserve"> </w:t>
      </w:r>
      <w:r w:rsidR="00AC3BD0" w:rsidRPr="00843214">
        <w:rPr>
          <w:color w:val="auto"/>
          <w:lang w:val="en-AU"/>
        </w:rPr>
        <w:t xml:space="preserve">other </w:t>
      </w:r>
      <w:r w:rsidR="00496603" w:rsidRPr="00843214">
        <w:rPr>
          <w:color w:val="auto"/>
          <w:lang w:val="en-AU"/>
        </w:rPr>
        <w:t xml:space="preserve">DFAT </w:t>
      </w:r>
      <w:r w:rsidR="00AC3BD0" w:rsidRPr="00843214">
        <w:rPr>
          <w:color w:val="auto"/>
          <w:lang w:val="en-AU"/>
        </w:rPr>
        <w:t xml:space="preserve">programs </w:t>
      </w:r>
      <w:r w:rsidR="006D12AA" w:rsidRPr="00843214">
        <w:rPr>
          <w:color w:val="auto"/>
          <w:lang w:val="en-AU"/>
        </w:rPr>
        <w:t>such as the</w:t>
      </w:r>
      <w:r w:rsidR="00AC3BD0" w:rsidRPr="00843214">
        <w:rPr>
          <w:color w:val="auto"/>
          <w:lang w:val="en-AU"/>
        </w:rPr>
        <w:t xml:space="preserve"> A</w:t>
      </w:r>
      <w:r w:rsidR="006D12AA" w:rsidRPr="00843214">
        <w:rPr>
          <w:color w:val="auto"/>
          <w:lang w:val="en-AU"/>
        </w:rPr>
        <w:t xml:space="preserve">ustralian </w:t>
      </w:r>
      <w:r w:rsidR="00AC3BD0" w:rsidRPr="00843214">
        <w:rPr>
          <w:color w:val="auto"/>
          <w:lang w:val="en-AU"/>
        </w:rPr>
        <w:t>V</w:t>
      </w:r>
      <w:r w:rsidR="006D12AA" w:rsidRPr="00843214">
        <w:rPr>
          <w:color w:val="auto"/>
          <w:lang w:val="en-AU"/>
        </w:rPr>
        <w:t xml:space="preserve">olunteers </w:t>
      </w:r>
      <w:r w:rsidR="004C183C" w:rsidRPr="00843214">
        <w:rPr>
          <w:color w:val="auto"/>
          <w:lang w:val="en-AU"/>
        </w:rPr>
        <w:t>P</w:t>
      </w:r>
      <w:r w:rsidR="006D12AA" w:rsidRPr="00843214">
        <w:rPr>
          <w:color w:val="auto"/>
          <w:lang w:val="en-AU"/>
        </w:rPr>
        <w:t>rogram</w:t>
      </w:r>
      <w:r w:rsidR="00496603" w:rsidRPr="00843214">
        <w:rPr>
          <w:color w:val="auto"/>
          <w:lang w:val="en-AU"/>
        </w:rPr>
        <w:t xml:space="preserve"> and </w:t>
      </w:r>
      <w:r w:rsidR="00AC3BD0" w:rsidRPr="00843214">
        <w:rPr>
          <w:color w:val="auto"/>
          <w:lang w:val="en-AU"/>
        </w:rPr>
        <w:t>New Colombo Plan. Australia completes competitive process for those programs</w:t>
      </w:r>
      <w:r w:rsidR="00496603" w:rsidRPr="00843214">
        <w:rPr>
          <w:color w:val="auto"/>
          <w:lang w:val="en-AU"/>
        </w:rPr>
        <w:t xml:space="preserve"> which reduces administration for UN Women</w:t>
      </w:r>
      <w:r w:rsidR="004D3CBB" w:rsidRPr="00843214">
        <w:rPr>
          <w:color w:val="auto"/>
          <w:lang w:val="en-AU"/>
        </w:rPr>
        <w:t>,</w:t>
      </w:r>
      <w:r w:rsidR="00496603" w:rsidRPr="00843214">
        <w:rPr>
          <w:color w:val="auto"/>
          <w:lang w:val="en-AU"/>
        </w:rPr>
        <w:t xml:space="preserve"> the participants </w:t>
      </w:r>
      <w:r w:rsidR="00AC3BD0" w:rsidRPr="00843214">
        <w:rPr>
          <w:color w:val="auto"/>
          <w:lang w:val="en-AU"/>
        </w:rPr>
        <w:t>are fully funded by Australia</w:t>
      </w:r>
      <w:r w:rsidR="004D3CBB" w:rsidRPr="00843214">
        <w:rPr>
          <w:color w:val="auto"/>
          <w:lang w:val="en-AU"/>
        </w:rPr>
        <w:t>, and would benefit personally and professionally from working with a UN agency</w:t>
      </w:r>
      <w:r w:rsidR="004403F2" w:rsidRPr="00843214">
        <w:rPr>
          <w:color w:val="auto"/>
          <w:lang w:val="en-AU"/>
        </w:rPr>
        <w:t>.</w:t>
      </w:r>
    </w:p>
    <w:p w14:paraId="2E2C7C96" w14:textId="4033C7F6" w:rsidR="00391E96" w:rsidRPr="00843214" w:rsidRDefault="00391E96" w:rsidP="00AC3BD0">
      <w:pPr>
        <w:rPr>
          <w:color w:val="auto"/>
          <w:lang w:val="en-AU"/>
        </w:rPr>
        <w:sectPr w:rsidR="00391E96" w:rsidRPr="00843214" w:rsidSect="00FF4420">
          <w:pgSz w:w="11906" w:h="16838" w:code="9"/>
          <w:pgMar w:top="1361" w:right="1440" w:bottom="1191" w:left="1440" w:header="709" w:footer="709" w:gutter="0"/>
          <w:pgNumType w:start="1"/>
          <w:cols w:space="708"/>
          <w:docGrid w:linePitch="360"/>
        </w:sectPr>
      </w:pPr>
    </w:p>
    <w:p w14:paraId="7BB4601A" w14:textId="012306D5" w:rsidR="00AC3BD0" w:rsidRPr="00843214" w:rsidRDefault="00AC3BD0" w:rsidP="00843214">
      <w:pPr>
        <w:pStyle w:val="Heading1"/>
        <w:rPr>
          <w:lang w:val="en-AU"/>
        </w:rPr>
      </w:pPr>
      <w:bookmarkStart w:id="100" w:name="_Toc69376675"/>
      <w:r w:rsidRPr="00843214">
        <w:rPr>
          <w:lang w:val="en-AU"/>
        </w:rPr>
        <w:lastRenderedPageBreak/>
        <w:t>Annex 1</w:t>
      </w:r>
      <w:r w:rsidR="005E045A" w:rsidRPr="00843214">
        <w:rPr>
          <w:lang w:val="en-AU"/>
        </w:rPr>
        <w:t xml:space="preserve"> Review Matrix</w:t>
      </w:r>
      <w:bookmarkEnd w:id="100"/>
    </w:p>
    <w:tbl>
      <w:tblPr>
        <w:tblStyle w:val="IODPARCtable25"/>
        <w:tblW w:w="13844" w:type="dxa"/>
        <w:jc w:val="right"/>
        <w:tblLook w:val="04A0" w:firstRow="1" w:lastRow="0" w:firstColumn="1" w:lastColumn="0" w:noHBand="0" w:noVBand="1"/>
      </w:tblPr>
      <w:tblGrid>
        <w:gridCol w:w="1584"/>
        <w:gridCol w:w="1812"/>
        <w:gridCol w:w="1506"/>
        <w:gridCol w:w="5956"/>
        <w:gridCol w:w="1197"/>
        <w:gridCol w:w="1789"/>
      </w:tblGrid>
      <w:tr w:rsidR="00843214" w:rsidRPr="00843214" w14:paraId="5EBD4480" w14:textId="77777777" w:rsidTr="00182B95">
        <w:trPr>
          <w:trHeight w:val="181"/>
          <w:tblHeader/>
          <w:jc w:val="right"/>
        </w:trPr>
        <w:tc>
          <w:tcPr>
            <w:tcW w:w="1588" w:type="dxa"/>
          </w:tcPr>
          <w:p w14:paraId="3CD545E2" w14:textId="77777777" w:rsidR="00A4203A" w:rsidRPr="00843214" w:rsidRDefault="00A4203A" w:rsidP="00A4203A">
            <w:pPr>
              <w:rPr>
                <w:b/>
                <w:bCs/>
                <w:szCs w:val="20"/>
                <w:lang w:val="en-AU" w:eastAsia="en-GB"/>
              </w:rPr>
            </w:pPr>
            <w:r w:rsidRPr="00843214">
              <w:rPr>
                <w:b/>
                <w:bCs/>
                <w:szCs w:val="20"/>
                <w:lang w:val="en-AU" w:eastAsia="en-GB"/>
              </w:rPr>
              <w:t>Area of enquiry</w:t>
            </w:r>
          </w:p>
        </w:tc>
        <w:tc>
          <w:tcPr>
            <w:tcW w:w="1822" w:type="dxa"/>
          </w:tcPr>
          <w:p w14:paraId="5CE6B3CF" w14:textId="77777777" w:rsidR="00A4203A" w:rsidRPr="00843214" w:rsidRDefault="00A4203A" w:rsidP="00A4203A">
            <w:pPr>
              <w:rPr>
                <w:b/>
                <w:bCs/>
                <w:szCs w:val="20"/>
                <w:lang w:val="en-GB"/>
              </w:rPr>
            </w:pPr>
            <w:r w:rsidRPr="00843214">
              <w:rPr>
                <w:b/>
                <w:bCs/>
                <w:szCs w:val="20"/>
                <w:lang w:val="en-GB"/>
              </w:rPr>
              <w:t>Key review question</w:t>
            </w:r>
          </w:p>
        </w:tc>
        <w:tc>
          <w:tcPr>
            <w:tcW w:w="1213" w:type="dxa"/>
          </w:tcPr>
          <w:p w14:paraId="198CFBB2" w14:textId="77777777" w:rsidR="00A4203A" w:rsidRPr="00843214" w:rsidRDefault="00A4203A" w:rsidP="00A4203A">
            <w:pPr>
              <w:rPr>
                <w:b/>
                <w:bCs/>
                <w:szCs w:val="20"/>
                <w:lang w:val="en-AU" w:eastAsia="en-GB"/>
              </w:rPr>
            </w:pPr>
            <w:r w:rsidRPr="00843214">
              <w:rPr>
                <w:b/>
                <w:bCs/>
                <w:szCs w:val="20"/>
                <w:lang w:val="en-AU" w:eastAsia="en-GB"/>
              </w:rPr>
              <w:t>Criteria</w:t>
            </w:r>
            <w:r w:rsidRPr="00843214">
              <w:rPr>
                <w:b/>
                <w:bCs/>
                <w:szCs w:val="20"/>
                <w:vertAlign w:val="superscript"/>
                <w:lang w:val="en-AU" w:eastAsia="en-GB"/>
              </w:rPr>
              <w:footnoteReference w:id="101"/>
            </w:r>
          </w:p>
        </w:tc>
        <w:tc>
          <w:tcPr>
            <w:tcW w:w="6222" w:type="dxa"/>
          </w:tcPr>
          <w:p w14:paraId="50A099EE" w14:textId="77777777" w:rsidR="00A4203A" w:rsidRPr="00843214" w:rsidRDefault="00A4203A" w:rsidP="00A4203A">
            <w:pPr>
              <w:rPr>
                <w:b/>
                <w:bCs/>
                <w:szCs w:val="20"/>
                <w:lang w:val="en-AU" w:eastAsia="en-GB"/>
              </w:rPr>
            </w:pPr>
            <w:r w:rsidRPr="00843214">
              <w:rPr>
                <w:b/>
                <w:bCs/>
                <w:szCs w:val="20"/>
                <w:lang w:val="en-AU" w:eastAsia="en-GB"/>
              </w:rPr>
              <w:t>Sub-questions</w:t>
            </w:r>
          </w:p>
        </w:tc>
        <w:tc>
          <w:tcPr>
            <w:tcW w:w="1197" w:type="dxa"/>
          </w:tcPr>
          <w:p w14:paraId="3C3E1721" w14:textId="77777777" w:rsidR="00A4203A" w:rsidRPr="00843214" w:rsidRDefault="00A4203A" w:rsidP="00A4203A">
            <w:pPr>
              <w:rPr>
                <w:b/>
                <w:bCs/>
                <w:szCs w:val="20"/>
                <w:lang w:val="en-AU" w:eastAsia="en-GB"/>
              </w:rPr>
            </w:pPr>
            <w:r w:rsidRPr="00843214">
              <w:rPr>
                <w:b/>
                <w:bCs/>
                <w:szCs w:val="20"/>
                <w:lang w:val="en-AU" w:eastAsia="en-GB"/>
              </w:rPr>
              <w:t xml:space="preserve">Data collection methods </w:t>
            </w:r>
          </w:p>
        </w:tc>
        <w:tc>
          <w:tcPr>
            <w:tcW w:w="1802" w:type="dxa"/>
          </w:tcPr>
          <w:p w14:paraId="350A1465" w14:textId="77777777" w:rsidR="00A4203A" w:rsidRPr="00843214" w:rsidRDefault="00A4203A" w:rsidP="00A4203A">
            <w:pPr>
              <w:rPr>
                <w:b/>
                <w:bCs/>
                <w:szCs w:val="20"/>
                <w:lang w:val="en-AU" w:eastAsia="en-GB"/>
              </w:rPr>
            </w:pPr>
            <w:r w:rsidRPr="00843214">
              <w:rPr>
                <w:b/>
                <w:bCs/>
                <w:szCs w:val="20"/>
                <w:lang w:val="en-AU" w:eastAsia="en-GB"/>
              </w:rPr>
              <w:t>Data sources</w:t>
            </w:r>
          </w:p>
        </w:tc>
      </w:tr>
      <w:tr w:rsidR="00843214" w:rsidRPr="00843214" w14:paraId="2577B338" w14:textId="77777777" w:rsidTr="00182B95">
        <w:trPr>
          <w:trHeight w:val="209"/>
          <w:jc w:val="right"/>
        </w:trPr>
        <w:tc>
          <w:tcPr>
            <w:tcW w:w="1588" w:type="dxa"/>
          </w:tcPr>
          <w:p w14:paraId="1DF9CC3A" w14:textId="77777777" w:rsidR="00A4203A" w:rsidRPr="00843214" w:rsidRDefault="00A4203A" w:rsidP="00A4203A">
            <w:pPr>
              <w:rPr>
                <w:sz w:val="20"/>
                <w:szCs w:val="20"/>
                <w:lang w:val="en-AU" w:eastAsia="en-GB"/>
              </w:rPr>
            </w:pPr>
            <w:r w:rsidRPr="00843214">
              <w:rPr>
                <w:sz w:val="20"/>
                <w:szCs w:val="20"/>
                <w:lang w:val="en-AU" w:eastAsia="en-GB"/>
              </w:rPr>
              <w:t xml:space="preserve">How effective has the partnership been toward achieving its objectives? </w:t>
            </w:r>
          </w:p>
        </w:tc>
        <w:tc>
          <w:tcPr>
            <w:tcW w:w="1822" w:type="dxa"/>
          </w:tcPr>
          <w:p w14:paraId="131C8BDD" w14:textId="77777777" w:rsidR="00A4203A" w:rsidRPr="00843214" w:rsidRDefault="00A4203A" w:rsidP="00A4203A">
            <w:pPr>
              <w:rPr>
                <w:sz w:val="20"/>
                <w:szCs w:val="20"/>
                <w:lang w:val="en-AU" w:eastAsia="en-GB"/>
              </w:rPr>
            </w:pPr>
            <w:r w:rsidRPr="00843214">
              <w:rPr>
                <w:sz w:val="20"/>
                <w:szCs w:val="20"/>
                <w:lang w:val="en-GB"/>
              </w:rPr>
              <w:t xml:space="preserve">1. Identify the value of the partnership, both in terms of value for money, </w:t>
            </w:r>
            <w:proofErr w:type="gramStart"/>
            <w:r w:rsidRPr="00843214">
              <w:rPr>
                <w:sz w:val="20"/>
                <w:szCs w:val="20"/>
                <w:lang w:val="en-GB"/>
              </w:rPr>
              <w:t>effectiveness</w:t>
            </w:r>
            <w:proofErr w:type="gramEnd"/>
            <w:r w:rsidRPr="00843214">
              <w:rPr>
                <w:sz w:val="20"/>
                <w:szCs w:val="20"/>
                <w:lang w:val="en-GB"/>
              </w:rPr>
              <w:t xml:space="preserve"> and output</w:t>
            </w:r>
            <w:r w:rsidRPr="00843214">
              <w:rPr>
                <w:sz w:val="20"/>
                <w:szCs w:val="20"/>
                <w:vertAlign w:val="superscript"/>
                <w:lang w:val="en-GB"/>
              </w:rPr>
              <w:footnoteReference w:id="102"/>
            </w:r>
          </w:p>
        </w:tc>
        <w:tc>
          <w:tcPr>
            <w:tcW w:w="1213" w:type="dxa"/>
          </w:tcPr>
          <w:p w14:paraId="492E5901" w14:textId="77777777" w:rsidR="00A4203A" w:rsidRPr="00843214" w:rsidRDefault="00A4203A" w:rsidP="00A4203A">
            <w:pPr>
              <w:rPr>
                <w:sz w:val="20"/>
                <w:szCs w:val="20"/>
                <w:lang w:val="en-AU" w:eastAsia="en-GB"/>
              </w:rPr>
            </w:pPr>
            <w:r w:rsidRPr="00843214">
              <w:rPr>
                <w:sz w:val="20"/>
                <w:szCs w:val="20"/>
                <w:lang w:val="en-AU" w:eastAsia="en-GB"/>
              </w:rPr>
              <w:t>Effectiveness, Efficiency (cost-effectiveness),</w:t>
            </w:r>
          </w:p>
          <w:p w14:paraId="12194C4A" w14:textId="77777777" w:rsidR="00A4203A" w:rsidRPr="00843214" w:rsidRDefault="00A4203A" w:rsidP="00A4203A">
            <w:pPr>
              <w:rPr>
                <w:sz w:val="20"/>
                <w:szCs w:val="20"/>
                <w:lang w:val="en-AU" w:eastAsia="en-GB"/>
              </w:rPr>
            </w:pPr>
            <w:r w:rsidRPr="00843214">
              <w:rPr>
                <w:sz w:val="20"/>
                <w:szCs w:val="20"/>
                <w:lang w:val="en-AU" w:eastAsia="en-GB"/>
              </w:rPr>
              <w:t>Impact (reported)</w:t>
            </w:r>
          </w:p>
        </w:tc>
        <w:tc>
          <w:tcPr>
            <w:tcW w:w="6222" w:type="dxa"/>
          </w:tcPr>
          <w:p w14:paraId="6F906CF3" w14:textId="77777777" w:rsidR="00A4203A" w:rsidRPr="00843214" w:rsidRDefault="00A4203A" w:rsidP="00A4203A">
            <w:pPr>
              <w:rPr>
                <w:sz w:val="20"/>
                <w:szCs w:val="20"/>
                <w:lang w:val="en-AU" w:eastAsia="en-GB"/>
              </w:rPr>
            </w:pPr>
            <w:r w:rsidRPr="00843214">
              <w:rPr>
                <w:sz w:val="20"/>
                <w:szCs w:val="20"/>
                <w:lang w:val="en-AU" w:eastAsia="en-GB"/>
              </w:rPr>
              <w:t>1.a What has been the progress and achievements of the SPF against the nine shared objectives of the 2016-2020 SPF?</w:t>
            </w:r>
          </w:p>
          <w:p w14:paraId="12B09DB7" w14:textId="77777777" w:rsidR="00A4203A" w:rsidRPr="00843214" w:rsidRDefault="00A4203A" w:rsidP="00A4203A">
            <w:pPr>
              <w:rPr>
                <w:sz w:val="20"/>
                <w:szCs w:val="20"/>
                <w:lang w:val="en-AU" w:eastAsia="en-GB"/>
              </w:rPr>
            </w:pPr>
            <w:r w:rsidRPr="00843214">
              <w:rPr>
                <w:sz w:val="20"/>
                <w:szCs w:val="20"/>
                <w:lang w:val="en-AU" w:eastAsia="en-GB"/>
              </w:rPr>
              <w:t>1.b What resources (human and financial) has the partnership invested toward shared objectives?’</w:t>
            </w:r>
          </w:p>
          <w:p w14:paraId="1C9F3DA4" w14:textId="77777777" w:rsidR="00A4203A" w:rsidRPr="00843214" w:rsidRDefault="00A4203A" w:rsidP="00A4203A">
            <w:pPr>
              <w:rPr>
                <w:sz w:val="20"/>
                <w:szCs w:val="20"/>
                <w:lang w:val="en-AU" w:eastAsia="en-GB"/>
              </w:rPr>
            </w:pPr>
            <w:r w:rsidRPr="00843214">
              <w:rPr>
                <w:sz w:val="20"/>
                <w:szCs w:val="20"/>
                <w:lang w:val="en-AU" w:eastAsia="en-GB"/>
              </w:rPr>
              <w:t>1.c What has supported or constrained progress toward objectives?</w:t>
            </w:r>
          </w:p>
          <w:p w14:paraId="240C6CFC" w14:textId="77777777" w:rsidR="00A4203A" w:rsidRPr="00843214" w:rsidRDefault="00A4203A" w:rsidP="00A4203A">
            <w:pPr>
              <w:rPr>
                <w:sz w:val="20"/>
                <w:szCs w:val="20"/>
                <w:lang w:val="en-AU" w:eastAsia="en-GB"/>
              </w:rPr>
            </w:pPr>
            <w:r w:rsidRPr="00843214">
              <w:rPr>
                <w:sz w:val="20"/>
                <w:szCs w:val="20"/>
                <w:lang w:val="en-AU" w:eastAsia="en-GB"/>
              </w:rPr>
              <w:t xml:space="preserve">1.d What results has DFAT’s core contribution to UN Women under the SPF enabled to date? Is the balance of DFAT’s contribution to core and non-core </w:t>
            </w:r>
            <w:proofErr w:type="gramStart"/>
            <w:r w:rsidRPr="00843214">
              <w:rPr>
                <w:sz w:val="20"/>
                <w:szCs w:val="20"/>
                <w:lang w:val="en-AU" w:eastAsia="en-GB"/>
              </w:rPr>
              <w:t>funding</w:t>
            </w:r>
            <w:proofErr w:type="gramEnd"/>
            <w:r w:rsidRPr="00843214">
              <w:rPr>
                <w:sz w:val="20"/>
                <w:szCs w:val="20"/>
                <w:lang w:val="en-AU" w:eastAsia="en-GB"/>
              </w:rPr>
              <w:t xml:space="preserve"> right? </w:t>
            </w:r>
          </w:p>
          <w:p w14:paraId="0BBDC010" w14:textId="77777777" w:rsidR="00A4203A" w:rsidRPr="00843214" w:rsidRDefault="00A4203A" w:rsidP="00A4203A">
            <w:pPr>
              <w:rPr>
                <w:sz w:val="20"/>
                <w:szCs w:val="20"/>
                <w:lang w:val="en-AU" w:eastAsia="en-GB"/>
              </w:rPr>
            </w:pPr>
            <w:r w:rsidRPr="00843214">
              <w:rPr>
                <w:sz w:val="20"/>
                <w:szCs w:val="20"/>
                <w:lang w:val="en-AU" w:eastAsia="en-GB"/>
              </w:rPr>
              <w:t>1.e What results (normative and/or programmatic) has the Partnership achieved for the Indo-Pacific region?</w:t>
            </w:r>
          </w:p>
        </w:tc>
        <w:tc>
          <w:tcPr>
            <w:tcW w:w="1197" w:type="dxa"/>
          </w:tcPr>
          <w:p w14:paraId="097DE85A" w14:textId="77777777" w:rsidR="00A4203A" w:rsidRPr="00843214" w:rsidRDefault="00A4203A" w:rsidP="00A4203A">
            <w:pPr>
              <w:rPr>
                <w:sz w:val="20"/>
                <w:szCs w:val="20"/>
                <w:lang w:val="en-AU" w:eastAsia="en-GB"/>
              </w:rPr>
            </w:pPr>
            <w:r w:rsidRPr="00843214">
              <w:rPr>
                <w:sz w:val="20"/>
                <w:szCs w:val="20"/>
                <w:lang w:val="en-AU" w:eastAsia="en-GB"/>
              </w:rPr>
              <w:t>Document review</w:t>
            </w:r>
          </w:p>
        </w:tc>
        <w:tc>
          <w:tcPr>
            <w:tcW w:w="1802" w:type="dxa"/>
          </w:tcPr>
          <w:p w14:paraId="3E478390" w14:textId="77777777" w:rsidR="00A4203A" w:rsidRPr="00843214" w:rsidRDefault="00A4203A" w:rsidP="00A4203A">
            <w:pPr>
              <w:rPr>
                <w:sz w:val="20"/>
                <w:szCs w:val="20"/>
                <w:lang w:val="en-AU" w:eastAsia="en-GB"/>
              </w:rPr>
            </w:pPr>
            <w:r w:rsidRPr="00843214">
              <w:rPr>
                <w:sz w:val="20"/>
                <w:szCs w:val="20"/>
                <w:lang w:val="en-AU" w:eastAsia="en-GB"/>
              </w:rPr>
              <w:t xml:space="preserve">SPF </w:t>
            </w:r>
          </w:p>
          <w:p w14:paraId="588EEDFF" w14:textId="3D1B6D8B" w:rsidR="00A4203A" w:rsidRPr="00843214" w:rsidRDefault="00A4203A" w:rsidP="00A4203A">
            <w:pPr>
              <w:rPr>
                <w:sz w:val="20"/>
                <w:szCs w:val="20"/>
                <w:lang w:val="en-AU" w:eastAsia="en-GB"/>
              </w:rPr>
            </w:pPr>
            <w:r w:rsidRPr="00843214">
              <w:rPr>
                <w:sz w:val="20"/>
                <w:szCs w:val="20"/>
                <w:lang w:val="en-AU" w:eastAsia="en-GB"/>
              </w:rPr>
              <w:t xml:space="preserve">DFAT </w:t>
            </w:r>
            <w:r w:rsidR="0075118B" w:rsidRPr="00843214">
              <w:rPr>
                <w:sz w:val="20"/>
                <w:szCs w:val="20"/>
                <w:lang w:val="en-AU" w:eastAsia="en-GB"/>
              </w:rPr>
              <w:t>Aid Quality Check (</w:t>
            </w:r>
            <w:r w:rsidRPr="00843214">
              <w:rPr>
                <w:sz w:val="20"/>
                <w:szCs w:val="20"/>
                <w:lang w:val="en-AU" w:eastAsia="en-GB"/>
              </w:rPr>
              <w:t>AQC</w:t>
            </w:r>
            <w:r w:rsidR="0075118B" w:rsidRPr="00843214">
              <w:rPr>
                <w:sz w:val="20"/>
                <w:szCs w:val="20"/>
                <w:lang w:val="en-AU" w:eastAsia="en-GB"/>
              </w:rPr>
              <w:t>)</w:t>
            </w:r>
            <w:r w:rsidRPr="00843214">
              <w:rPr>
                <w:sz w:val="20"/>
                <w:szCs w:val="20"/>
                <w:lang w:val="en-AU" w:eastAsia="en-GB"/>
              </w:rPr>
              <w:t xml:space="preserve"> and PPA reports</w:t>
            </w:r>
          </w:p>
          <w:p w14:paraId="7E4D42CC" w14:textId="77777777" w:rsidR="00A4203A" w:rsidRPr="00843214" w:rsidRDefault="00A4203A" w:rsidP="00A4203A">
            <w:pPr>
              <w:rPr>
                <w:sz w:val="20"/>
                <w:szCs w:val="20"/>
                <w:lang w:val="en-AU" w:eastAsia="en-GB"/>
              </w:rPr>
            </w:pPr>
            <w:r w:rsidRPr="00843214">
              <w:rPr>
                <w:sz w:val="20"/>
                <w:szCs w:val="20"/>
                <w:lang w:val="en-AU" w:eastAsia="en-GB"/>
              </w:rPr>
              <w:t>DFAT AMPR</w:t>
            </w:r>
          </w:p>
          <w:p w14:paraId="75089347" w14:textId="77777777" w:rsidR="00A4203A" w:rsidRPr="00843214" w:rsidRDefault="00A4203A" w:rsidP="00A4203A">
            <w:pPr>
              <w:rPr>
                <w:sz w:val="20"/>
                <w:szCs w:val="20"/>
                <w:lang w:val="en-AU" w:eastAsia="en-GB"/>
              </w:rPr>
            </w:pPr>
            <w:r w:rsidRPr="00843214">
              <w:rPr>
                <w:sz w:val="20"/>
                <w:szCs w:val="20"/>
                <w:lang w:val="en-GB"/>
              </w:rPr>
              <w:t>UNW Annual reports, regular resources reports</w:t>
            </w:r>
          </w:p>
          <w:p w14:paraId="6506FEB5" w14:textId="77777777" w:rsidR="00A4203A" w:rsidRPr="00843214" w:rsidRDefault="00A4203A" w:rsidP="00A4203A">
            <w:pPr>
              <w:rPr>
                <w:sz w:val="20"/>
                <w:szCs w:val="20"/>
                <w:lang w:val="en-AU" w:eastAsia="en-GB"/>
              </w:rPr>
            </w:pPr>
            <w:r w:rsidRPr="00843214">
              <w:rPr>
                <w:sz w:val="20"/>
                <w:szCs w:val="20"/>
                <w:lang w:val="en-AU" w:eastAsia="en-GB"/>
              </w:rPr>
              <w:t>UNW Evaluation Meta-Synthesis –</w:t>
            </w:r>
          </w:p>
          <w:p w14:paraId="58663F97" w14:textId="77777777" w:rsidR="00A4203A" w:rsidRPr="00843214" w:rsidRDefault="00A4203A" w:rsidP="00A4203A">
            <w:pPr>
              <w:rPr>
                <w:sz w:val="20"/>
                <w:szCs w:val="20"/>
                <w:lang w:val="en-GB"/>
              </w:rPr>
            </w:pPr>
            <w:r w:rsidRPr="00843214">
              <w:rPr>
                <w:sz w:val="20"/>
                <w:szCs w:val="20"/>
                <w:lang w:val="en-AU" w:eastAsia="en-GB"/>
              </w:rPr>
              <w:t>GERAAS data</w:t>
            </w:r>
            <w:r w:rsidRPr="00843214">
              <w:rPr>
                <w:sz w:val="20"/>
                <w:szCs w:val="20"/>
                <w:vertAlign w:val="superscript"/>
                <w:lang w:val="en-AU" w:eastAsia="en-GB"/>
              </w:rPr>
              <w:footnoteReference w:id="103"/>
            </w:r>
            <w:r w:rsidRPr="00843214">
              <w:rPr>
                <w:sz w:val="20"/>
                <w:szCs w:val="20"/>
                <w:lang w:val="en-GB"/>
              </w:rPr>
              <w:t xml:space="preserve"> </w:t>
            </w:r>
          </w:p>
          <w:p w14:paraId="65A27BE3" w14:textId="47C59DB8" w:rsidR="00A4203A" w:rsidRPr="00843214" w:rsidRDefault="00A4203A" w:rsidP="00A4203A">
            <w:pPr>
              <w:rPr>
                <w:sz w:val="20"/>
                <w:szCs w:val="20"/>
                <w:lang w:val="en-AU" w:eastAsia="en-GB"/>
              </w:rPr>
            </w:pPr>
            <w:r w:rsidRPr="00843214">
              <w:rPr>
                <w:sz w:val="20"/>
                <w:szCs w:val="20"/>
                <w:lang w:val="en-AU" w:eastAsia="en-GB"/>
              </w:rPr>
              <w:t>UNW M</w:t>
            </w:r>
            <w:r w:rsidR="001B293B" w:rsidRPr="00843214">
              <w:rPr>
                <w:sz w:val="20"/>
                <w:szCs w:val="20"/>
                <w:lang w:val="en-AU" w:eastAsia="en-GB"/>
              </w:rPr>
              <w:t>id-Term Review</w:t>
            </w:r>
          </w:p>
        </w:tc>
      </w:tr>
      <w:tr w:rsidR="00843214" w:rsidRPr="00843214" w14:paraId="3123163E" w14:textId="77777777" w:rsidTr="00182B95">
        <w:trPr>
          <w:trHeight w:val="644"/>
          <w:jc w:val="right"/>
        </w:trPr>
        <w:tc>
          <w:tcPr>
            <w:tcW w:w="1588" w:type="dxa"/>
          </w:tcPr>
          <w:p w14:paraId="7C233991" w14:textId="77777777" w:rsidR="00A4203A" w:rsidRPr="00843214" w:rsidRDefault="00A4203A" w:rsidP="00A4203A">
            <w:pPr>
              <w:rPr>
                <w:sz w:val="20"/>
                <w:szCs w:val="20"/>
                <w:lang w:val="en-AU" w:eastAsia="en-GB"/>
              </w:rPr>
            </w:pPr>
            <w:r w:rsidRPr="00843214">
              <w:rPr>
                <w:sz w:val="20"/>
                <w:szCs w:val="20"/>
                <w:lang w:val="en-AU" w:eastAsia="en-GB"/>
              </w:rPr>
              <w:t>How can the partnership remain agile and relevant going forward?</w:t>
            </w:r>
          </w:p>
        </w:tc>
        <w:tc>
          <w:tcPr>
            <w:tcW w:w="1822" w:type="dxa"/>
          </w:tcPr>
          <w:p w14:paraId="6E6461CA" w14:textId="77777777" w:rsidR="00A4203A" w:rsidRPr="00843214" w:rsidRDefault="00A4203A" w:rsidP="00A4203A">
            <w:pPr>
              <w:rPr>
                <w:sz w:val="20"/>
                <w:szCs w:val="20"/>
                <w:lang w:val="en-AU" w:eastAsia="en-GB"/>
              </w:rPr>
            </w:pPr>
            <w:r w:rsidRPr="00843214">
              <w:rPr>
                <w:sz w:val="20"/>
                <w:szCs w:val="20"/>
                <w:lang w:val="en-GB"/>
              </w:rPr>
              <w:t xml:space="preserve">2. What are the key features of the </w:t>
            </w:r>
            <w:r w:rsidRPr="00843214">
              <w:rPr>
                <w:b/>
                <w:bCs/>
                <w:sz w:val="20"/>
                <w:szCs w:val="20"/>
                <w:lang w:val="en-GB"/>
              </w:rPr>
              <w:t>current and likely future</w:t>
            </w:r>
            <w:r w:rsidRPr="00843214">
              <w:rPr>
                <w:sz w:val="20"/>
                <w:szCs w:val="20"/>
                <w:lang w:val="en-GB"/>
              </w:rPr>
              <w:t xml:space="preserve"> context for gender equality objectives in the Indo-Pacific </w:t>
            </w:r>
          </w:p>
        </w:tc>
        <w:tc>
          <w:tcPr>
            <w:tcW w:w="1213" w:type="dxa"/>
          </w:tcPr>
          <w:p w14:paraId="1C0874CD" w14:textId="77777777" w:rsidR="00A4203A" w:rsidRPr="00843214" w:rsidRDefault="00A4203A" w:rsidP="00A4203A">
            <w:pPr>
              <w:rPr>
                <w:sz w:val="20"/>
                <w:szCs w:val="20"/>
                <w:lang w:val="en-AU" w:eastAsia="en-GB"/>
              </w:rPr>
            </w:pPr>
            <w:r w:rsidRPr="00843214">
              <w:rPr>
                <w:sz w:val="20"/>
                <w:szCs w:val="20"/>
                <w:lang w:val="en-AU" w:eastAsia="en-GB"/>
              </w:rPr>
              <w:t xml:space="preserve">Relevance, Sustainability, Coherence </w:t>
            </w:r>
          </w:p>
        </w:tc>
        <w:tc>
          <w:tcPr>
            <w:tcW w:w="6222" w:type="dxa"/>
          </w:tcPr>
          <w:p w14:paraId="0B759E0A" w14:textId="4E92636E" w:rsidR="00A4203A" w:rsidRPr="00843214" w:rsidRDefault="00A4203A" w:rsidP="00A4203A">
            <w:pPr>
              <w:rPr>
                <w:sz w:val="20"/>
                <w:szCs w:val="20"/>
                <w:lang w:val="en-AU" w:eastAsia="en-GB"/>
              </w:rPr>
            </w:pPr>
            <w:r w:rsidRPr="00843214">
              <w:rPr>
                <w:sz w:val="20"/>
                <w:szCs w:val="20"/>
                <w:lang w:val="en-AU" w:eastAsia="en-GB"/>
              </w:rPr>
              <w:t>2.a What is the context and the development priorities for the Partnership? (SDGs, SRHR, EVAW</w:t>
            </w:r>
            <w:r w:rsidR="00A962D2" w:rsidRPr="00843214">
              <w:rPr>
                <w:sz w:val="20"/>
                <w:szCs w:val="20"/>
                <w:lang w:val="en-AU" w:eastAsia="en-GB"/>
              </w:rPr>
              <w:t>G</w:t>
            </w:r>
            <w:r w:rsidRPr="00843214">
              <w:rPr>
                <w:sz w:val="20"/>
                <w:szCs w:val="20"/>
                <w:lang w:val="en-AU" w:eastAsia="en-GB"/>
              </w:rPr>
              <w:t xml:space="preserve">, PSEAH) </w:t>
            </w:r>
          </w:p>
          <w:p w14:paraId="3A3C96A3" w14:textId="77777777" w:rsidR="00A4203A" w:rsidRPr="00843214" w:rsidRDefault="00A4203A" w:rsidP="00A4203A">
            <w:pPr>
              <w:rPr>
                <w:sz w:val="20"/>
                <w:szCs w:val="20"/>
                <w:lang w:val="en-AU" w:eastAsia="en-GB"/>
              </w:rPr>
            </w:pPr>
            <w:r w:rsidRPr="00843214">
              <w:rPr>
                <w:sz w:val="20"/>
                <w:szCs w:val="20"/>
                <w:lang w:val="en-AU" w:eastAsia="en-GB"/>
              </w:rPr>
              <w:t>2.b How is DFAT funding allocated by UN Women in the Indo-Pacific and how is it positioned within the donor landscape? What are the unique features working with DFAT as a donor?</w:t>
            </w:r>
          </w:p>
          <w:p w14:paraId="416BBD1D" w14:textId="77777777" w:rsidR="00A4203A" w:rsidRPr="00843214" w:rsidRDefault="00A4203A" w:rsidP="00A4203A">
            <w:pPr>
              <w:rPr>
                <w:sz w:val="20"/>
                <w:szCs w:val="20"/>
                <w:lang w:val="en-AU" w:eastAsia="en-GB"/>
              </w:rPr>
            </w:pPr>
            <w:r w:rsidRPr="00843214">
              <w:rPr>
                <w:sz w:val="20"/>
                <w:szCs w:val="20"/>
                <w:lang w:val="en-AU" w:eastAsia="en-GB"/>
              </w:rPr>
              <w:t>2. c How does the Partnership support UN Women’s coordination role (</w:t>
            </w:r>
            <w:proofErr w:type="gramStart"/>
            <w:r w:rsidRPr="00843214">
              <w:rPr>
                <w:sz w:val="20"/>
                <w:szCs w:val="20"/>
                <w:lang w:val="en-AU" w:eastAsia="en-GB"/>
              </w:rPr>
              <w:t>i.e.</w:t>
            </w:r>
            <w:proofErr w:type="gramEnd"/>
            <w:r w:rsidRPr="00843214">
              <w:rPr>
                <w:sz w:val="20"/>
                <w:szCs w:val="20"/>
                <w:lang w:val="en-AU" w:eastAsia="en-GB"/>
              </w:rPr>
              <w:t xml:space="preserve"> ability of UN Women to influence gender mainstreaming across UN programming)?</w:t>
            </w:r>
          </w:p>
          <w:p w14:paraId="5D42C977" w14:textId="77777777" w:rsidR="00A4203A" w:rsidRPr="00843214" w:rsidRDefault="00A4203A" w:rsidP="00A4203A">
            <w:pPr>
              <w:rPr>
                <w:sz w:val="20"/>
                <w:szCs w:val="20"/>
                <w:lang w:val="en-AU" w:eastAsia="en-GB"/>
              </w:rPr>
            </w:pPr>
            <w:r w:rsidRPr="00843214">
              <w:rPr>
                <w:sz w:val="20"/>
                <w:szCs w:val="20"/>
                <w:lang w:val="en-AU" w:eastAsia="en-GB"/>
              </w:rPr>
              <w:lastRenderedPageBreak/>
              <w:t xml:space="preserve">2. d What has been the role of UN Women in relation to the COVID-19 pandemic? What does this mean for its role going forward? How should UN Women position itself in the Indo-Pacific? </w:t>
            </w:r>
          </w:p>
        </w:tc>
        <w:tc>
          <w:tcPr>
            <w:tcW w:w="1197" w:type="dxa"/>
          </w:tcPr>
          <w:p w14:paraId="6637C274" w14:textId="77777777" w:rsidR="00A4203A" w:rsidRPr="00843214" w:rsidRDefault="00A4203A" w:rsidP="00A4203A">
            <w:pPr>
              <w:rPr>
                <w:sz w:val="20"/>
                <w:szCs w:val="20"/>
                <w:lang w:val="en-AU" w:eastAsia="en-GB"/>
              </w:rPr>
            </w:pPr>
            <w:r w:rsidRPr="00843214">
              <w:rPr>
                <w:sz w:val="20"/>
                <w:szCs w:val="20"/>
                <w:lang w:val="en-AU" w:eastAsia="en-GB"/>
              </w:rPr>
              <w:lastRenderedPageBreak/>
              <w:t>Document review</w:t>
            </w:r>
          </w:p>
          <w:p w14:paraId="042BCF62" w14:textId="77777777" w:rsidR="00A4203A" w:rsidRPr="00843214" w:rsidRDefault="00A4203A" w:rsidP="00A4203A">
            <w:pPr>
              <w:rPr>
                <w:sz w:val="20"/>
                <w:szCs w:val="20"/>
                <w:lang w:val="en-AU" w:eastAsia="en-GB"/>
              </w:rPr>
            </w:pPr>
            <w:r w:rsidRPr="00843214">
              <w:rPr>
                <w:sz w:val="20"/>
                <w:szCs w:val="20"/>
                <w:lang w:val="en-AU" w:eastAsia="en-GB"/>
              </w:rPr>
              <w:t>Key informant interviews</w:t>
            </w:r>
          </w:p>
        </w:tc>
        <w:tc>
          <w:tcPr>
            <w:tcW w:w="1802" w:type="dxa"/>
          </w:tcPr>
          <w:p w14:paraId="1FBFA404" w14:textId="77777777" w:rsidR="00A4203A" w:rsidRPr="00843214" w:rsidRDefault="00A4203A" w:rsidP="00A4203A">
            <w:pPr>
              <w:rPr>
                <w:sz w:val="20"/>
                <w:szCs w:val="20"/>
                <w:lang w:val="en-AU" w:eastAsia="en-GB"/>
              </w:rPr>
            </w:pPr>
            <w:r w:rsidRPr="00843214">
              <w:rPr>
                <w:sz w:val="20"/>
                <w:szCs w:val="20"/>
                <w:lang w:val="en-AU" w:eastAsia="en-GB"/>
              </w:rPr>
              <w:t>AMPR</w:t>
            </w:r>
          </w:p>
          <w:p w14:paraId="1603F6E3" w14:textId="77777777" w:rsidR="00A4203A" w:rsidRPr="00843214" w:rsidRDefault="00A4203A" w:rsidP="00A4203A">
            <w:pPr>
              <w:rPr>
                <w:sz w:val="20"/>
                <w:szCs w:val="20"/>
                <w:lang w:val="en-AU" w:eastAsia="en-GB"/>
              </w:rPr>
            </w:pPr>
            <w:r w:rsidRPr="00843214">
              <w:rPr>
                <w:sz w:val="20"/>
                <w:szCs w:val="20"/>
                <w:lang w:val="en-AU" w:eastAsia="en-GB"/>
              </w:rPr>
              <w:t>Key informants</w:t>
            </w:r>
          </w:p>
        </w:tc>
      </w:tr>
      <w:tr w:rsidR="00843214" w:rsidRPr="00843214" w14:paraId="09FA82C4" w14:textId="77777777" w:rsidTr="00182B95">
        <w:trPr>
          <w:trHeight w:val="498"/>
          <w:jc w:val="right"/>
        </w:trPr>
        <w:tc>
          <w:tcPr>
            <w:tcW w:w="1588" w:type="dxa"/>
          </w:tcPr>
          <w:p w14:paraId="2A190FB5" w14:textId="77777777" w:rsidR="00A4203A" w:rsidRPr="00843214" w:rsidRDefault="00A4203A" w:rsidP="00A4203A">
            <w:pPr>
              <w:rPr>
                <w:szCs w:val="20"/>
                <w:lang w:val="en-AU" w:eastAsia="en-GB"/>
              </w:rPr>
            </w:pPr>
            <w:r w:rsidRPr="00843214">
              <w:rPr>
                <w:szCs w:val="20"/>
                <w:lang w:val="en-AU" w:eastAsia="en-GB"/>
              </w:rPr>
              <w:t xml:space="preserve">Priorities, what works, what could the partnership do better or differently (what should the next SPF include)? </w:t>
            </w:r>
          </w:p>
        </w:tc>
        <w:tc>
          <w:tcPr>
            <w:tcW w:w="1822" w:type="dxa"/>
          </w:tcPr>
          <w:p w14:paraId="1E7C5BA9" w14:textId="77777777" w:rsidR="00A4203A" w:rsidRPr="00843214" w:rsidRDefault="00A4203A" w:rsidP="00A4203A">
            <w:pPr>
              <w:rPr>
                <w:szCs w:val="20"/>
                <w:lang w:val="en-AU" w:eastAsia="en-GB"/>
              </w:rPr>
            </w:pPr>
            <w:r w:rsidRPr="00843214">
              <w:rPr>
                <w:szCs w:val="20"/>
                <w:lang w:val="en-GB"/>
              </w:rPr>
              <w:t xml:space="preserve">3. What are the, priorities, </w:t>
            </w:r>
            <w:proofErr w:type="gramStart"/>
            <w:r w:rsidRPr="00843214">
              <w:rPr>
                <w:szCs w:val="20"/>
                <w:lang w:val="en-GB"/>
              </w:rPr>
              <w:t>strengths</w:t>
            </w:r>
            <w:proofErr w:type="gramEnd"/>
            <w:r w:rsidRPr="00843214">
              <w:rPr>
                <w:szCs w:val="20"/>
                <w:lang w:val="en-GB"/>
              </w:rPr>
              <w:t xml:space="preserve"> and weaknesses of UN Women’s partnership with DFAT and how can the partnership be streamlined and improved</w:t>
            </w:r>
          </w:p>
        </w:tc>
        <w:tc>
          <w:tcPr>
            <w:tcW w:w="1213" w:type="dxa"/>
          </w:tcPr>
          <w:p w14:paraId="23D5321F" w14:textId="77777777" w:rsidR="00A4203A" w:rsidRPr="00843214" w:rsidRDefault="00A4203A" w:rsidP="00A4203A">
            <w:pPr>
              <w:rPr>
                <w:szCs w:val="20"/>
                <w:lang w:val="en-AU" w:eastAsia="en-GB"/>
              </w:rPr>
            </w:pPr>
            <w:r w:rsidRPr="00843214">
              <w:rPr>
                <w:szCs w:val="20"/>
                <w:lang w:val="en-AU" w:eastAsia="en-GB"/>
              </w:rPr>
              <w:t>Coherence (internal), Efficiency</w:t>
            </w:r>
          </w:p>
        </w:tc>
        <w:tc>
          <w:tcPr>
            <w:tcW w:w="6222" w:type="dxa"/>
          </w:tcPr>
          <w:p w14:paraId="44F08CED" w14:textId="77777777" w:rsidR="00A4203A" w:rsidRPr="00843214" w:rsidRDefault="00A4203A" w:rsidP="00A4203A">
            <w:pPr>
              <w:rPr>
                <w:szCs w:val="20"/>
                <w:lang w:val="en-AU" w:eastAsia="en-GB"/>
              </w:rPr>
            </w:pPr>
            <w:r w:rsidRPr="00843214">
              <w:rPr>
                <w:szCs w:val="20"/>
                <w:lang w:val="en-AU" w:eastAsia="en-GB"/>
              </w:rPr>
              <w:t xml:space="preserve">3. </w:t>
            </w:r>
            <w:proofErr w:type="spellStart"/>
            <w:r w:rsidRPr="00843214">
              <w:rPr>
                <w:szCs w:val="20"/>
                <w:lang w:val="en-AU" w:eastAsia="en-GB"/>
              </w:rPr>
              <w:t>a</w:t>
            </w:r>
            <w:proofErr w:type="spellEnd"/>
            <w:r w:rsidRPr="00843214">
              <w:rPr>
                <w:szCs w:val="20"/>
                <w:lang w:val="en-AU" w:eastAsia="en-GB"/>
              </w:rPr>
              <w:t xml:space="preserve"> What are the shared and individual gender objectives of each organisation?</w:t>
            </w:r>
          </w:p>
          <w:p w14:paraId="5B5B4CBE" w14:textId="77777777" w:rsidR="00A4203A" w:rsidRPr="00843214" w:rsidRDefault="00A4203A" w:rsidP="00A4203A">
            <w:pPr>
              <w:rPr>
                <w:szCs w:val="20"/>
                <w:lang w:val="en-AU" w:eastAsia="en-GB"/>
              </w:rPr>
            </w:pPr>
            <w:r w:rsidRPr="00843214">
              <w:rPr>
                <w:szCs w:val="20"/>
                <w:lang w:val="en-AU" w:eastAsia="en-GB"/>
              </w:rPr>
              <w:t xml:space="preserve">3.b To what extent do the partnership operational arrangements enable the realisation of shared objectives? </w:t>
            </w:r>
          </w:p>
          <w:p w14:paraId="589BFD66" w14:textId="77777777" w:rsidR="00A4203A" w:rsidRPr="00843214" w:rsidRDefault="00A4203A" w:rsidP="00A4203A">
            <w:pPr>
              <w:rPr>
                <w:szCs w:val="20"/>
                <w:lang w:val="en-AU" w:eastAsia="en-GB"/>
              </w:rPr>
            </w:pPr>
            <w:r w:rsidRPr="00843214">
              <w:rPr>
                <w:szCs w:val="20"/>
                <w:lang w:val="en-AU" w:eastAsia="en-GB"/>
              </w:rPr>
              <w:t>3. c What is the organisational character (including relationships) of the partnership and how has that affected performance?</w:t>
            </w:r>
          </w:p>
          <w:p w14:paraId="73550CDD" w14:textId="77777777" w:rsidR="00A4203A" w:rsidRPr="00843214" w:rsidRDefault="00A4203A" w:rsidP="00A4203A">
            <w:pPr>
              <w:rPr>
                <w:szCs w:val="20"/>
                <w:lang w:val="en-AU" w:eastAsia="en-GB"/>
              </w:rPr>
            </w:pPr>
            <w:r w:rsidRPr="00843214">
              <w:rPr>
                <w:szCs w:val="20"/>
                <w:lang w:val="en-AU" w:eastAsia="en-GB"/>
              </w:rPr>
              <w:t xml:space="preserve">3.d What changes could be made to the improve the efficiency and effectiveness of the partnership? </w:t>
            </w:r>
          </w:p>
        </w:tc>
        <w:tc>
          <w:tcPr>
            <w:tcW w:w="1197" w:type="dxa"/>
          </w:tcPr>
          <w:p w14:paraId="20DB802F" w14:textId="77777777" w:rsidR="00A4203A" w:rsidRPr="00843214" w:rsidRDefault="00A4203A" w:rsidP="00A4203A">
            <w:pPr>
              <w:rPr>
                <w:szCs w:val="20"/>
                <w:lang w:val="en-AU" w:eastAsia="en-GB"/>
              </w:rPr>
            </w:pPr>
            <w:r w:rsidRPr="00843214">
              <w:rPr>
                <w:szCs w:val="20"/>
                <w:lang w:val="en-AU" w:eastAsia="en-GB"/>
              </w:rPr>
              <w:t>Document review</w:t>
            </w:r>
          </w:p>
          <w:p w14:paraId="1FD15555" w14:textId="77777777" w:rsidR="00A4203A" w:rsidRPr="00843214" w:rsidRDefault="00A4203A" w:rsidP="00A4203A">
            <w:pPr>
              <w:rPr>
                <w:szCs w:val="20"/>
                <w:lang w:val="en-AU" w:eastAsia="en-GB"/>
              </w:rPr>
            </w:pPr>
            <w:r w:rsidRPr="00843214">
              <w:rPr>
                <w:szCs w:val="20"/>
                <w:lang w:val="en-AU" w:eastAsia="en-GB"/>
              </w:rPr>
              <w:t>Interviews</w:t>
            </w:r>
          </w:p>
        </w:tc>
        <w:tc>
          <w:tcPr>
            <w:tcW w:w="1802" w:type="dxa"/>
          </w:tcPr>
          <w:p w14:paraId="3CC35194" w14:textId="77777777" w:rsidR="00A4203A" w:rsidRPr="00843214" w:rsidRDefault="00A4203A" w:rsidP="00A4203A">
            <w:pPr>
              <w:rPr>
                <w:szCs w:val="20"/>
                <w:lang w:val="en-AU" w:eastAsia="en-GB"/>
              </w:rPr>
            </w:pPr>
            <w:r w:rsidRPr="00843214">
              <w:rPr>
                <w:szCs w:val="20"/>
                <w:lang w:val="en-AU" w:eastAsia="en-GB"/>
              </w:rPr>
              <w:t>2017-18 UNW MOPAN assessment</w:t>
            </w:r>
          </w:p>
          <w:p w14:paraId="2C1D8158" w14:textId="77777777" w:rsidR="00A4203A" w:rsidRPr="00843214" w:rsidRDefault="00A4203A" w:rsidP="00A4203A">
            <w:pPr>
              <w:rPr>
                <w:szCs w:val="20"/>
                <w:lang w:val="en-AU" w:eastAsia="en-GB"/>
              </w:rPr>
            </w:pPr>
            <w:r w:rsidRPr="00843214">
              <w:rPr>
                <w:szCs w:val="20"/>
                <w:lang w:val="en-AU" w:eastAsia="en-GB"/>
              </w:rPr>
              <w:t>SPF</w:t>
            </w:r>
          </w:p>
          <w:p w14:paraId="02F7DA00" w14:textId="77777777" w:rsidR="00A4203A" w:rsidRPr="00843214" w:rsidRDefault="00A4203A" w:rsidP="00A4203A">
            <w:pPr>
              <w:rPr>
                <w:szCs w:val="20"/>
                <w:lang w:val="en-AU" w:eastAsia="en-GB"/>
              </w:rPr>
            </w:pPr>
            <w:r w:rsidRPr="00843214">
              <w:rPr>
                <w:szCs w:val="20"/>
                <w:lang w:val="en-AU" w:eastAsia="en-GB"/>
              </w:rPr>
              <w:t xml:space="preserve">Partnerships for Recovery </w:t>
            </w:r>
          </w:p>
          <w:p w14:paraId="7972DAFC" w14:textId="77777777" w:rsidR="00A4203A" w:rsidRPr="00843214" w:rsidRDefault="00A4203A" w:rsidP="00A4203A">
            <w:pPr>
              <w:rPr>
                <w:szCs w:val="20"/>
                <w:lang w:val="en-AU" w:eastAsia="en-GB"/>
              </w:rPr>
            </w:pPr>
            <w:r w:rsidRPr="00843214">
              <w:rPr>
                <w:szCs w:val="20"/>
                <w:lang w:val="en-AU" w:eastAsia="en-GB"/>
              </w:rPr>
              <w:t xml:space="preserve">Partnerships for Recovery – gender </w:t>
            </w:r>
          </w:p>
          <w:p w14:paraId="4647DD1A" w14:textId="77777777" w:rsidR="00A4203A" w:rsidRPr="00843214" w:rsidRDefault="00A4203A" w:rsidP="00A4203A">
            <w:pPr>
              <w:rPr>
                <w:szCs w:val="20"/>
                <w:lang w:val="en-AU" w:eastAsia="en-GB"/>
              </w:rPr>
            </w:pPr>
            <w:r w:rsidRPr="00843214">
              <w:rPr>
                <w:szCs w:val="20"/>
                <w:lang w:val="en-AU" w:eastAsia="en-GB"/>
              </w:rPr>
              <w:t>DFAT Gender Equality and Women’s Empowerment Strategy 2016</w:t>
            </w:r>
          </w:p>
          <w:p w14:paraId="4DF9FA0C" w14:textId="77777777" w:rsidR="00A4203A" w:rsidRPr="00843214" w:rsidRDefault="00A4203A" w:rsidP="00A4203A">
            <w:pPr>
              <w:rPr>
                <w:szCs w:val="20"/>
                <w:lang w:val="en-AU" w:eastAsia="en-GB"/>
              </w:rPr>
            </w:pPr>
            <w:r w:rsidRPr="00843214">
              <w:rPr>
                <w:szCs w:val="20"/>
                <w:lang w:val="en-AU" w:eastAsia="en-GB"/>
              </w:rPr>
              <w:t>UN Women Strategic Plan 2014-17, 2018-2021</w:t>
            </w:r>
          </w:p>
        </w:tc>
      </w:tr>
      <w:tr w:rsidR="00843214" w:rsidRPr="00843214" w14:paraId="6174C8D0" w14:textId="77777777" w:rsidTr="00182B95">
        <w:trPr>
          <w:trHeight w:val="596"/>
          <w:jc w:val="right"/>
        </w:trPr>
        <w:tc>
          <w:tcPr>
            <w:tcW w:w="1588" w:type="dxa"/>
          </w:tcPr>
          <w:p w14:paraId="6A775BF6" w14:textId="77777777" w:rsidR="00A4203A" w:rsidRPr="00843214" w:rsidRDefault="00A4203A" w:rsidP="00A4203A">
            <w:pPr>
              <w:rPr>
                <w:szCs w:val="20"/>
                <w:lang w:val="en-AU" w:eastAsia="en-GB"/>
              </w:rPr>
            </w:pPr>
            <w:r w:rsidRPr="00843214">
              <w:rPr>
                <w:szCs w:val="20"/>
                <w:lang w:val="en-AU" w:eastAsia="en-GB"/>
              </w:rPr>
              <w:t>What are the UN Women organisational factors that are helping or hindering the partnership?</w:t>
            </w:r>
          </w:p>
        </w:tc>
        <w:tc>
          <w:tcPr>
            <w:tcW w:w="1822" w:type="dxa"/>
          </w:tcPr>
          <w:p w14:paraId="000FE681" w14:textId="77777777" w:rsidR="00A4203A" w:rsidRPr="00843214" w:rsidRDefault="00A4203A" w:rsidP="00A4203A">
            <w:pPr>
              <w:rPr>
                <w:szCs w:val="20"/>
                <w:lang w:val="en-AU" w:eastAsia="en-GB"/>
              </w:rPr>
            </w:pPr>
            <w:r w:rsidRPr="00843214">
              <w:rPr>
                <w:szCs w:val="20"/>
                <w:lang w:val="en-AU" w:eastAsia="en-GB"/>
              </w:rPr>
              <w:t xml:space="preserve">4. To what extent has UN Women progressed implementation of areas identified for strengthened performance, </w:t>
            </w:r>
            <w:r w:rsidRPr="00843214">
              <w:rPr>
                <w:szCs w:val="20"/>
                <w:lang w:val="en-AU" w:eastAsia="en-GB"/>
              </w:rPr>
              <w:lastRenderedPageBreak/>
              <w:t>and what are the organisational obstacles to progress</w:t>
            </w:r>
          </w:p>
        </w:tc>
        <w:tc>
          <w:tcPr>
            <w:tcW w:w="1213" w:type="dxa"/>
          </w:tcPr>
          <w:p w14:paraId="7D0A992F" w14:textId="77777777" w:rsidR="00A4203A" w:rsidRPr="00843214" w:rsidRDefault="00A4203A" w:rsidP="00A4203A">
            <w:pPr>
              <w:rPr>
                <w:szCs w:val="20"/>
                <w:lang w:val="en-AU" w:eastAsia="en-GB"/>
              </w:rPr>
            </w:pPr>
            <w:r w:rsidRPr="00843214">
              <w:rPr>
                <w:szCs w:val="20"/>
                <w:lang w:val="en-AU" w:eastAsia="en-GB"/>
              </w:rPr>
              <w:lastRenderedPageBreak/>
              <w:t>Effectiveness</w:t>
            </w:r>
          </w:p>
        </w:tc>
        <w:tc>
          <w:tcPr>
            <w:tcW w:w="6222" w:type="dxa"/>
          </w:tcPr>
          <w:p w14:paraId="1AA3945E" w14:textId="77777777" w:rsidR="00A4203A" w:rsidRPr="00843214" w:rsidRDefault="00A4203A" w:rsidP="00A4203A">
            <w:pPr>
              <w:rPr>
                <w:szCs w:val="20"/>
                <w:lang w:val="en-AU" w:eastAsia="en-GB"/>
              </w:rPr>
            </w:pPr>
          </w:p>
          <w:p w14:paraId="107F97D1" w14:textId="77777777" w:rsidR="00A4203A" w:rsidRPr="00843214" w:rsidRDefault="00A4203A" w:rsidP="00A4203A">
            <w:pPr>
              <w:rPr>
                <w:szCs w:val="20"/>
                <w:lang w:val="en-AU" w:eastAsia="en-GB"/>
              </w:rPr>
            </w:pPr>
            <w:r w:rsidRPr="00843214">
              <w:rPr>
                <w:szCs w:val="20"/>
                <w:lang w:val="en-AU" w:eastAsia="en-GB"/>
              </w:rPr>
              <w:t xml:space="preserve">4. </w:t>
            </w:r>
            <w:proofErr w:type="spellStart"/>
            <w:r w:rsidRPr="00843214">
              <w:rPr>
                <w:szCs w:val="20"/>
                <w:lang w:val="en-AU" w:eastAsia="en-GB"/>
              </w:rPr>
              <w:t>a</w:t>
            </w:r>
            <w:proofErr w:type="spellEnd"/>
            <w:r w:rsidRPr="00843214">
              <w:rPr>
                <w:szCs w:val="20"/>
                <w:lang w:val="en-AU" w:eastAsia="en-GB"/>
              </w:rPr>
              <w:t xml:space="preserve"> </w:t>
            </w:r>
            <w:proofErr w:type="gramStart"/>
            <w:r w:rsidRPr="00843214">
              <w:rPr>
                <w:szCs w:val="20"/>
                <w:lang w:val="en-AU" w:eastAsia="en-GB"/>
              </w:rPr>
              <w:t>To</w:t>
            </w:r>
            <w:proofErr w:type="gramEnd"/>
            <w:r w:rsidRPr="00843214">
              <w:rPr>
                <w:szCs w:val="20"/>
                <w:lang w:val="en-AU" w:eastAsia="en-GB"/>
              </w:rPr>
              <w:t xml:space="preserve"> what extent does UN Women’s organisational model, capacity, and resourcing enable achievement of partnership goals? (See 1c)</w:t>
            </w:r>
          </w:p>
          <w:p w14:paraId="09EFF336" w14:textId="77777777" w:rsidR="00A4203A" w:rsidRPr="00843214" w:rsidRDefault="00A4203A" w:rsidP="00A4203A">
            <w:pPr>
              <w:rPr>
                <w:szCs w:val="20"/>
                <w:lang w:val="en-AU" w:eastAsia="en-GB"/>
              </w:rPr>
            </w:pPr>
            <w:r w:rsidRPr="00843214">
              <w:rPr>
                <w:szCs w:val="20"/>
                <w:lang w:val="en-AU" w:eastAsia="en-GB"/>
              </w:rPr>
              <w:t>4.b What are the current UN Women organisational obstacles to progress?</w:t>
            </w:r>
          </w:p>
          <w:p w14:paraId="555220A1" w14:textId="77777777" w:rsidR="00A4203A" w:rsidRPr="00843214" w:rsidRDefault="00A4203A" w:rsidP="00A4203A">
            <w:pPr>
              <w:rPr>
                <w:szCs w:val="20"/>
                <w:lang w:val="en-AU" w:eastAsia="en-GB"/>
              </w:rPr>
            </w:pPr>
            <w:r w:rsidRPr="00843214">
              <w:rPr>
                <w:szCs w:val="20"/>
                <w:lang w:val="en-AU" w:eastAsia="en-GB"/>
              </w:rPr>
              <w:lastRenderedPageBreak/>
              <w:t>4. c. How has the UNDS reform affected the partnership? Particularly any changes from the UN Resident Coordinator and UN Sustainable Development Cooperation Framework?</w:t>
            </w:r>
          </w:p>
        </w:tc>
        <w:tc>
          <w:tcPr>
            <w:tcW w:w="1197" w:type="dxa"/>
          </w:tcPr>
          <w:p w14:paraId="4ABA9B4D" w14:textId="77777777" w:rsidR="00A4203A" w:rsidRPr="00843214" w:rsidRDefault="00A4203A" w:rsidP="00A4203A">
            <w:pPr>
              <w:rPr>
                <w:szCs w:val="20"/>
                <w:lang w:val="en-AU" w:eastAsia="en-GB"/>
              </w:rPr>
            </w:pPr>
            <w:r w:rsidRPr="00843214">
              <w:rPr>
                <w:szCs w:val="20"/>
                <w:lang w:val="en-AU" w:eastAsia="en-GB"/>
              </w:rPr>
              <w:lastRenderedPageBreak/>
              <w:t xml:space="preserve">Document review </w:t>
            </w:r>
          </w:p>
          <w:p w14:paraId="73E4B881" w14:textId="77777777" w:rsidR="00A4203A" w:rsidRPr="00843214" w:rsidRDefault="00A4203A" w:rsidP="00A4203A">
            <w:pPr>
              <w:rPr>
                <w:szCs w:val="20"/>
                <w:lang w:val="en-AU" w:eastAsia="en-GB"/>
              </w:rPr>
            </w:pPr>
            <w:r w:rsidRPr="00843214">
              <w:rPr>
                <w:szCs w:val="20"/>
                <w:lang w:val="en-AU" w:eastAsia="en-GB"/>
              </w:rPr>
              <w:t>Interviews</w:t>
            </w:r>
          </w:p>
        </w:tc>
        <w:tc>
          <w:tcPr>
            <w:tcW w:w="1802" w:type="dxa"/>
          </w:tcPr>
          <w:p w14:paraId="28871D68" w14:textId="77777777" w:rsidR="00A4203A" w:rsidRPr="00843214" w:rsidRDefault="00A4203A" w:rsidP="00A4203A">
            <w:pPr>
              <w:rPr>
                <w:szCs w:val="20"/>
                <w:lang w:val="en-AU" w:eastAsia="en-GB"/>
              </w:rPr>
            </w:pPr>
            <w:r w:rsidRPr="00843214">
              <w:rPr>
                <w:szCs w:val="20"/>
                <w:lang w:val="en-AU" w:eastAsia="en-GB"/>
              </w:rPr>
              <w:t>2017-18 UNW MOPAN assessment</w:t>
            </w:r>
          </w:p>
          <w:p w14:paraId="627FF206" w14:textId="77777777" w:rsidR="00A4203A" w:rsidRPr="00843214" w:rsidRDefault="00A4203A" w:rsidP="00A4203A">
            <w:pPr>
              <w:rPr>
                <w:szCs w:val="20"/>
                <w:lang w:val="en-AU" w:eastAsia="en-GB"/>
              </w:rPr>
            </w:pPr>
          </w:p>
        </w:tc>
      </w:tr>
    </w:tbl>
    <w:p w14:paraId="79098026" w14:textId="2B8B5023" w:rsidR="005E045A" w:rsidRPr="00843214" w:rsidRDefault="005E045A" w:rsidP="000B67DF">
      <w:pPr>
        <w:rPr>
          <w:color w:val="auto"/>
        </w:rPr>
      </w:pPr>
    </w:p>
    <w:p w14:paraId="043200C7" w14:textId="77777777" w:rsidR="00A4203A" w:rsidRPr="00843214" w:rsidRDefault="00A4203A" w:rsidP="000B67DF">
      <w:pPr>
        <w:rPr>
          <w:color w:val="auto"/>
        </w:rPr>
        <w:sectPr w:rsidR="00A4203A" w:rsidRPr="00843214" w:rsidSect="00A4203A">
          <w:footerReference w:type="default" r:id="rId27"/>
          <w:pgSz w:w="15840" w:h="12240" w:orient="landscape"/>
          <w:pgMar w:top="1440" w:right="1440" w:bottom="1440" w:left="1440" w:header="708" w:footer="708" w:gutter="0"/>
          <w:cols w:space="708"/>
          <w:docGrid w:linePitch="360"/>
        </w:sectPr>
      </w:pPr>
    </w:p>
    <w:p w14:paraId="7B5A7AEB" w14:textId="4E0BD142" w:rsidR="000B67DF" w:rsidRPr="00843214" w:rsidRDefault="000B67DF" w:rsidP="000B67DF">
      <w:pPr>
        <w:pStyle w:val="Heading4"/>
        <w:rPr>
          <w:color w:val="auto"/>
        </w:rPr>
      </w:pPr>
      <w:r w:rsidRPr="00843214">
        <w:rPr>
          <w:color w:val="auto"/>
        </w:rPr>
        <w:lastRenderedPageBreak/>
        <w:t>Chapter alignment to review questions</w:t>
      </w:r>
    </w:p>
    <w:tbl>
      <w:tblPr>
        <w:tblStyle w:val="IODPARCtable2"/>
        <w:tblW w:w="0" w:type="auto"/>
        <w:tblLook w:val="04A0" w:firstRow="1" w:lastRow="0" w:firstColumn="1" w:lastColumn="0" w:noHBand="0" w:noVBand="1"/>
      </w:tblPr>
      <w:tblGrid>
        <w:gridCol w:w="2258"/>
        <w:gridCol w:w="7082"/>
      </w:tblGrid>
      <w:tr w:rsidR="00843214" w:rsidRPr="00843214" w14:paraId="5BD630A1" w14:textId="77777777" w:rsidTr="004374B4">
        <w:tc>
          <w:tcPr>
            <w:tcW w:w="2258" w:type="dxa"/>
          </w:tcPr>
          <w:p w14:paraId="1CE3BAC6" w14:textId="4FCCC52F" w:rsidR="000B67DF" w:rsidRPr="00843214" w:rsidRDefault="000B67DF" w:rsidP="000B67DF">
            <w:pPr>
              <w:rPr>
                <w:b/>
                <w:bCs/>
                <w:color w:val="auto"/>
              </w:rPr>
            </w:pPr>
            <w:r w:rsidRPr="00843214">
              <w:rPr>
                <w:b/>
                <w:bCs/>
                <w:color w:val="auto"/>
              </w:rPr>
              <w:t>Chapter</w:t>
            </w:r>
          </w:p>
        </w:tc>
        <w:tc>
          <w:tcPr>
            <w:tcW w:w="7082" w:type="dxa"/>
          </w:tcPr>
          <w:p w14:paraId="67810629" w14:textId="419A92F4" w:rsidR="000B67DF" w:rsidRPr="00843214" w:rsidRDefault="000B67DF" w:rsidP="000B67DF">
            <w:pPr>
              <w:rPr>
                <w:b/>
                <w:bCs/>
                <w:color w:val="auto"/>
              </w:rPr>
            </w:pPr>
            <w:r w:rsidRPr="00843214">
              <w:rPr>
                <w:b/>
                <w:bCs/>
                <w:color w:val="auto"/>
              </w:rPr>
              <w:t>Questions</w:t>
            </w:r>
          </w:p>
        </w:tc>
      </w:tr>
      <w:tr w:rsidR="00843214" w:rsidRPr="00843214" w14:paraId="4EC345D1" w14:textId="77777777" w:rsidTr="004374B4">
        <w:tc>
          <w:tcPr>
            <w:tcW w:w="2258" w:type="dxa"/>
          </w:tcPr>
          <w:p w14:paraId="4314733E" w14:textId="52914790" w:rsidR="000B67DF" w:rsidRPr="00843214" w:rsidRDefault="000B67DF" w:rsidP="000B67DF">
            <w:pPr>
              <w:rPr>
                <w:color w:val="auto"/>
                <w:sz w:val="20"/>
                <w:szCs w:val="20"/>
              </w:rPr>
            </w:pPr>
            <w:r w:rsidRPr="00843214">
              <w:rPr>
                <w:color w:val="auto"/>
                <w:sz w:val="20"/>
                <w:szCs w:val="20"/>
                <w:lang w:val="en-AU"/>
              </w:rPr>
              <w:t>Effectiveness of the Partnership 2016-2021</w:t>
            </w:r>
          </w:p>
        </w:tc>
        <w:tc>
          <w:tcPr>
            <w:tcW w:w="7082" w:type="dxa"/>
          </w:tcPr>
          <w:p w14:paraId="7619D80D" w14:textId="77777777" w:rsidR="000B67DF" w:rsidRPr="00843214" w:rsidRDefault="000B67DF" w:rsidP="000B67DF">
            <w:pPr>
              <w:rPr>
                <w:color w:val="auto"/>
                <w:sz w:val="20"/>
                <w:szCs w:val="20"/>
                <w:lang w:val="en-AU"/>
              </w:rPr>
            </w:pPr>
            <w:r w:rsidRPr="00843214">
              <w:rPr>
                <w:color w:val="auto"/>
                <w:sz w:val="20"/>
                <w:szCs w:val="20"/>
                <w:lang w:val="en-AU"/>
              </w:rPr>
              <w:t>AOE1: How effective has the partnership been toward achieving its objectives?</w:t>
            </w:r>
          </w:p>
          <w:p w14:paraId="5882677A" w14:textId="77777777" w:rsidR="000B67DF" w:rsidRPr="00843214" w:rsidRDefault="000B67DF" w:rsidP="000B67DF">
            <w:pPr>
              <w:rPr>
                <w:color w:val="auto"/>
                <w:sz w:val="20"/>
                <w:szCs w:val="20"/>
                <w:lang w:val="en-AU"/>
              </w:rPr>
            </w:pPr>
            <w:r w:rsidRPr="00843214">
              <w:rPr>
                <w:color w:val="auto"/>
                <w:sz w:val="20"/>
                <w:szCs w:val="20"/>
                <w:lang w:val="en-AU"/>
              </w:rPr>
              <w:t>KEQ1.a What has been the progress and achievements of the SPF against the nine shared objectives of the 2016-2020 SPF?</w:t>
            </w:r>
          </w:p>
          <w:p w14:paraId="1DC89DCC" w14:textId="77777777" w:rsidR="000B67DF" w:rsidRPr="00843214" w:rsidRDefault="000B67DF" w:rsidP="000B67DF">
            <w:pPr>
              <w:rPr>
                <w:color w:val="auto"/>
                <w:sz w:val="20"/>
                <w:szCs w:val="20"/>
                <w:lang w:val="en-AU"/>
              </w:rPr>
            </w:pPr>
            <w:r w:rsidRPr="00843214">
              <w:rPr>
                <w:color w:val="auto"/>
                <w:sz w:val="20"/>
                <w:szCs w:val="20"/>
                <w:lang w:val="en-AU"/>
              </w:rPr>
              <w:t>KEQ1.c What has supported or constrained progress toward objectives?</w:t>
            </w:r>
          </w:p>
          <w:p w14:paraId="345A52DB" w14:textId="77777777" w:rsidR="000B67DF" w:rsidRPr="00843214" w:rsidRDefault="000B67DF" w:rsidP="000B67DF">
            <w:pPr>
              <w:rPr>
                <w:color w:val="auto"/>
                <w:sz w:val="20"/>
                <w:szCs w:val="20"/>
                <w:lang w:val="en-AU"/>
              </w:rPr>
            </w:pPr>
            <w:r w:rsidRPr="00843214">
              <w:rPr>
                <w:color w:val="auto"/>
                <w:sz w:val="20"/>
                <w:szCs w:val="20"/>
                <w:lang w:val="en-AU"/>
              </w:rPr>
              <w:t xml:space="preserve">KEQ1.d What results has DFAT’s core contribution to UN Women under the SPF enabled to date? </w:t>
            </w:r>
          </w:p>
          <w:p w14:paraId="08297ACC" w14:textId="77777777" w:rsidR="000B67DF" w:rsidRPr="00843214" w:rsidRDefault="000B67DF" w:rsidP="000B67DF">
            <w:pPr>
              <w:rPr>
                <w:color w:val="auto"/>
                <w:sz w:val="20"/>
                <w:szCs w:val="20"/>
                <w:lang w:val="en-AU"/>
              </w:rPr>
            </w:pPr>
            <w:r w:rsidRPr="00843214">
              <w:rPr>
                <w:color w:val="auto"/>
                <w:sz w:val="20"/>
                <w:szCs w:val="20"/>
                <w:lang w:val="en-AU"/>
              </w:rPr>
              <w:t>KEQ1.e What results (normative and/or programmatic) has the Partnership achieved for the Indo-Pacific region?</w:t>
            </w:r>
          </w:p>
          <w:p w14:paraId="0295FACD" w14:textId="3A58926A" w:rsidR="000B67DF" w:rsidRPr="00843214" w:rsidRDefault="000B67DF" w:rsidP="000B67DF">
            <w:pPr>
              <w:rPr>
                <w:color w:val="auto"/>
                <w:sz w:val="20"/>
                <w:szCs w:val="20"/>
              </w:rPr>
            </w:pPr>
            <w:r w:rsidRPr="00843214">
              <w:rPr>
                <w:color w:val="auto"/>
                <w:sz w:val="20"/>
                <w:szCs w:val="20"/>
                <w:lang w:val="en-AU"/>
              </w:rPr>
              <w:t>KEQ2. c How does the Partnership support UN Women’s coordination role (</w:t>
            </w:r>
            <w:proofErr w:type="gramStart"/>
            <w:r w:rsidRPr="00843214">
              <w:rPr>
                <w:color w:val="auto"/>
                <w:sz w:val="20"/>
                <w:szCs w:val="20"/>
                <w:lang w:val="en-AU"/>
              </w:rPr>
              <w:t>i.e.</w:t>
            </w:r>
            <w:proofErr w:type="gramEnd"/>
            <w:r w:rsidRPr="00843214">
              <w:rPr>
                <w:color w:val="auto"/>
                <w:sz w:val="20"/>
                <w:szCs w:val="20"/>
                <w:lang w:val="en-AU"/>
              </w:rPr>
              <w:t xml:space="preserve"> ability of UN Women to influence gender mainstreaming across UN programming)?</w:t>
            </w:r>
          </w:p>
        </w:tc>
      </w:tr>
      <w:tr w:rsidR="00843214" w:rsidRPr="00843214" w14:paraId="396BA6EF" w14:textId="77777777" w:rsidTr="004374B4">
        <w:tc>
          <w:tcPr>
            <w:tcW w:w="2258" w:type="dxa"/>
          </w:tcPr>
          <w:p w14:paraId="345A3760" w14:textId="2500A03D" w:rsidR="000B67DF" w:rsidRPr="00843214" w:rsidRDefault="004374B4" w:rsidP="000B67DF">
            <w:pPr>
              <w:rPr>
                <w:color w:val="auto"/>
                <w:sz w:val="20"/>
                <w:szCs w:val="20"/>
              </w:rPr>
            </w:pPr>
            <w:r w:rsidRPr="00843214">
              <w:rPr>
                <w:color w:val="auto"/>
                <w:sz w:val="20"/>
                <w:szCs w:val="20"/>
                <w:lang w:val="en-AU"/>
              </w:rPr>
              <w:t>Changing landscape for gender equality</w:t>
            </w:r>
          </w:p>
        </w:tc>
        <w:tc>
          <w:tcPr>
            <w:tcW w:w="7082" w:type="dxa"/>
          </w:tcPr>
          <w:p w14:paraId="4B51B0BA" w14:textId="77777777" w:rsidR="004374B4" w:rsidRPr="00843214" w:rsidRDefault="004374B4" w:rsidP="004374B4">
            <w:pPr>
              <w:rPr>
                <w:color w:val="auto"/>
                <w:sz w:val="20"/>
                <w:szCs w:val="20"/>
                <w:lang w:val="en-AU"/>
              </w:rPr>
            </w:pPr>
            <w:r w:rsidRPr="00843214">
              <w:rPr>
                <w:color w:val="auto"/>
                <w:sz w:val="20"/>
                <w:szCs w:val="20"/>
                <w:lang w:val="en-AU"/>
              </w:rPr>
              <w:t>AOE2 How can the partnership remain agile and relevant going forward?</w:t>
            </w:r>
          </w:p>
          <w:p w14:paraId="17F5BE3E" w14:textId="77777777" w:rsidR="004374B4" w:rsidRPr="00843214" w:rsidRDefault="004374B4" w:rsidP="004374B4">
            <w:pPr>
              <w:rPr>
                <w:color w:val="auto"/>
                <w:sz w:val="20"/>
                <w:szCs w:val="20"/>
                <w:lang w:val="en-AU"/>
              </w:rPr>
            </w:pPr>
            <w:r w:rsidRPr="00843214">
              <w:rPr>
                <w:color w:val="auto"/>
                <w:sz w:val="20"/>
                <w:szCs w:val="20"/>
                <w:lang w:val="en-AU"/>
              </w:rPr>
              <w:t>KEQ2. What are the key features of the current and likely future context for gender equality objectives in the Indo-Pacific?</w:t>
            </w:r>
          </w:p>
          <w:p w14:paraId="49900EDD" w14:textId="77777777" w:rsidR="004374B4" w:rsidRPr="00843214" w:rsidRDefault="004374B4" w:rsidP="004374B4">
            <w:pPr>
              <w:rPr>
                <w:color w:val="auto"/>
                <w:sz w:val="20"/>
                <w:szCs w:val="20"/>
                <w:lang w:val="en-AU"/>
              </w:rPr>
            </w:pPr>
            <w:r w:rsidRPr="00843214">
              <w:rPr>
                <w:color w:val="auto"/>
                <w:sz w:val="20"/>
                <w:szCs w:val="20"/>
                <w:lang w:val="en-AU"/>
              </w:rPr>
              <w:t>KEQ2.a What is the context and the development priorities for the Partnership? (SDGs, SRHR, EVAW, PSEAH)?</w:t>
            </w:r>
          </w:p>
          <w:p w14:paraId="369712EC" w14:textId="77777777" w:rsidR="004374B4" w:rsidRPr="00843214" w:rsidRDefault="004374B4" w:rsidP="004374B4">
            <w:pPr>
              <w:rPr>
                <w:color w:val="auto"/>
                <w:sz w:val="20"/>
                <w:szCs w:val="20"/>
                <w:lang w:val="en-AU"/>
              </w:rPr>
            </w:pPr>
            <w:r w:rsidRPr="00843214">
              <w:rPr>
                <w:color w:val="auto"/>
                <w:sz w:val="20"/>
                <w:szCs w:val="20"/>
                <w:lang w:val="en-AU"/>
              </w:rPr>
              <w:t>KEQ2. d What has been the role of UN Women in relation to the COVID-19 pandemic? What does this mean for its role going forward? How should UN Women position itself in the Indo-Pacific?</w:t>
            </w:r>
          </w:p>
          <w:p w14:paraId="5CBDAB05" w14:textId="77777777" w:rsidR="004374B4" w:rsidRPr="00843214" w:rsidRDefault="004374B4" w:rsidP="004374B4">
            <w:pPr>
              <w:rPr>
                <w:color w:val="auto"/>
                <w:sz w:val="20"/>
                <w:szCs w:val="20"/>
                <w:lang w:val="en-AU"/>
              </w:rPr>
            </w:pPr>
            <w:r w:rsidRPr="00843214">
              <w:rPr>
                <w:color w:val="auto"/>
                <w:sz w:val="20"/>
                <w:szCs w:val="20"/>
                <w:lang w:val="en-AU"/>
              </w:rPr>
              <w:t xml:space="preserve">KEQ4. </w:t>
            </w:r>
            <w:proofErr w:type="spellStart"/>
            <w:r w:rsidRPr="00843214">
              <w:rPr>
                <w:color w:val="auto"/>
                <w:sz w:val="20"/>
                <w:szCs w:val="20"/>
                <w:lang w:val="en-AU"/>
              </w:rPr>
              <w:t>a</w:t>
            </w:r>
            <w:proofErr w:type="spellEnd"/>
            <w:r w:rsidRPr="00843214">
              <w:rPr>
                <w:color w:val="auto"/>
                <w:sz w:val="20"/>
                <w:szCs w:val="20"/>
                <w:lang w:val="en-AU"/>
              </w:rPr>
              <w:t xml:space="preserve"> </w:t>
            </w:r>
            <w:proofErr w:type="gramStart"/>
            <w:r w:rsidRPr="00843214">
              <w:rPr>
                <w:color w:val="auto"/>
                <w:sz w:val="20"/>
                <w:szCs w:val="20"/>
                <w:lang w:val="en-AU"/>
              </w:rPr>
              <w:t>To</w:t>
            </w:r>
            <w:proofErr w:type="gramEnd"/>
            <w:r w:rsidRPr="00843214">
              <w:rPr>
                <w:color w:val="auto"/>
                <w:sz w:val="20"/>
                <w:szCs w:val="20"/>
                <w:lang w:val="en-AU"/>
              </w:rPr>
              <w:t xml:space="preserve"> what extent does UN Women’s organisational model, capacity, and resourcing enable achievement of partnership goals? (See 1c)</w:t>
            </w:r>
          </w:p>
          <w:p w14:paraId="7356BD00" w14:textId="77777777" w:rsidR="004374B4" w:rsidRPr="00843214" w:rsidRDefault="004374B4" w:rsidP="004374B4">
            <w:pPr>
              <w:rPr>
                <w:color w:val="auto"/>
                <w:sz w:val="20"/>
                <w:szCs w:val="20"/>
                <w:lang w:val="en-AU"/>
              </w:rPr>
            </w:pPr>
            <w:r w:rsidRPr="00843214">
              <w:rPr>
                <w:color w:val="auto"/>
                <w:sz w:val="20"/>
                <w:szCs w:val="20"/>
                <w:lang w:val="en-AU"/>
              </w:rPr>
              <w:t>KEQ4.b What are the current UN Women organisational obstacles to progress?</w:t>
            </w:r>
          </w:p>
          <w:p w14:paraId="040B1D32" w14:textId="619D8F33" w:rsidR="000B67DF" w:rsidRPr="00843214" w:rsidRDefault="004374B4" w:rsidP="004374B4">
            <w:pPr>
              <w:rPr>
                <w:color w:val="auto"/>
                <w:sz w:val="20"/>
                <w:szCs w:val="20"/>
              </w:rPr>
            </w:pPr>
            <w:r w:rsidRPr="00843214">
              <w:rPr>
                <w:color w:val="auto"/>
                <w:sz w:val="20"/>
                <w:szCs w:val="20"/>
                <w:lang w:val="en-AU"/>
              </w:rPr>
              <w:t>KEQ4. c. How has the UNDS reform affected the partnership? Particularly any changes from the UN Resident Coordinator and UN Sustainable Development Cooperation Framework?</w:t>
            </w:r>
          </w:p>
        </w:tc>
      </w:tr>
      <w:tr w:rsidR="00843214" w:rsidRPr="00843214" w14:paraId="40DD9BA0" w14:textId="77777777" w:rsidTr="004374B4">
        <w:tc>
          <w:tcPr>
            <w:tcW w:w="2258" w:type="dxa"/>
          </w:tcPr>
          <w:p w14:paraId="71EFF943" w14:textId="4C4CA049" w:rsidR="000B67DF" w:rsidRPr="00843214" w:rsidRDefault="004374B4" w:rsidP="000B67DF">
            <w:pPr>
              <w:rPr>
                <w:color w:val="auto"/>
                <w:sz w:val="20"/>
                <w:szCs w:val="20"/>
              </w:rPr>
            </w:pPr>
            <w:r w:rsidRPr="00843214">
              <w:rPr>
                <w:color w:val="auto"/>
                <w:sz w:val="20"/>
                <w:szCs w:val="20"/>
                <w:lang w:val="en-AU"/>
              </w:rPr>
              <w:t>Partnership Arrangements and Funding</w:t>
            </w:r>
          </w:p>
        </w:tc>
        <w:tc>
          <w:tcPr>
            <w:tcW w:w="7082" w:type="dxa"/>
          </w:tcPr>
          <w:p w14:paraId="268A7D62" w14:textId="77777777" w:rsidR="004374B4" w:rsidRPr="00843214" w:rsidRDefault="004374B4" w:rsidP="004374B4">
            <w:pPr>
              <w:rPr>
                <w:color w:val="auto"/>
                <w:sz w:val="20"/>
                <w:szCs w:val="20"/>
                <w:lang w:val="en-AU"/>
              </w:rPr>
            </w:pPr>
            <w:r w:rsidRPr="00843214">
              <w:rPr>
                <w:color w:val="auto"/>
                <w:sz w:val="20"/>
                <w:szCs w:val="20"/>
                <w:lang w:val="en-AU"/>
              </w:rPr>
              <w:t>AOE3: Priorities, what works, what could the partnership do better or differently?</w:t>
            </w:r>
          </w:p>
          <w:p w14:paraId="29F8D645" w14:textId="77777777" w:rsidR="004374B4" w:rsidRPr="00843214" w:rsidRDefault="004374B4" w:rsidP="004374B4">
            <w:pPr>
              <w:rPr>
                <w:color w:val="auto"/>
                <w:sz w:val="20"/>
                <w:szCs w:val="20"/>
                <w:lang w:val="en-AU"/>
              </w:rPr>
            </w:pPr>
            <w:r w:rsidRPr="00843214">
              <w:rPr>
                <w:color w:val="auto"/>
                <w:sz w:val="20"/>
                <w:szCs w:val="20"/>
                <w:lang w:val="en-AU"/>
              </w:rPr>
              <w:t xml:space="preserve">KEQ3. What are the priorities, </w:t>
            </w:r>
            <w:proofErr w:type="gramStart"/>
            <w:r w:rsidRPr="00843214">
              <w:rPr>
                <w:color w:val="auto"/>
                <w:sz w:val="20"/>
                <w:szCs w:val="20"/>
                <w:lang w:val="en-AU"/>
              </w:rPr>
              <w:t>strengths</w:t>
            </w:r>
            <w:proofErr w:type="gramEnd"/>
            <w:r w:rsidRPr="00843214">
              <w:rPr>
                <w:color w:val="auto"/>
                <w:sz w:val="20"/>
                <w:szCs w:val="20"/>
                <w:lang w:val="en-AU"/>
              </w:rPr>
              <w:t xml:space="preserve"> and weaknesses of UN Women’s partnership with DFAT? </w:t>
            </w:r>
          </w:p>
          <w:p w14:paraId="4A40DB59" w14:textId="77777777" w:rsidR="004374B4" w:rsidRPr="00843214" w:rsidRDefault="004374B4" w:rsidP="004374B4">
            <w:pPr>
              <w:rPr>
                <w:color w:val="auto"/>
                <w:sz w:val="20"/>
                <w:szCs w:val="20"/>
                <w:lang w:val="en-AU"/>
              </w:rPr>
            </w:pPr>
            <w:r w:rsidRPr="00843214">
              <w:rPr>
                <w:color w:val="auto"/>
                <w:sz w:val="20"/>
                <w:szCs w:val="20"/>
                <w:lang w:val="en-AU"/>
              </w:rPr>
              <w:t xml:space="preserve">KEQ3. </w:t>
            </w:r>
            <w:proofErr w:type="spellStart"/>
            <w:r w:rsidRPr="00843214">
              <w:rPr>
                <w:color w:val="auto"/>
                <w:sz w:val="20"/>
                <w:szCs w:val="20"/>
                <w:lang w:val="en-AU"/>
              </w:rPr>
              <w:t>a</w:t>
            </w:r>
            <w:proofErr w:type="spellEnd"/>
            <w:r w:rsidRPr="00843214">
              <w:rPr>
                <w:color w:val="auto"/>
                <w:sz w:val="20"/>
                <w:szCs w:val="20"/>
                <w:lang w:val="en-AU"/>
              </w:rPr>
              <w:t xml:space="preserve"> What are the shared and individual gender objectives of each organisation?</w:t>
            </w:r>
          </w:p>
          <w:p w14:paraId="352BCDB5" w14:textId="77777777" w:rsidR="004374B4" w:rsidRPr="00843214" w:rsidRDefault="004374B4" w:rsidP="004374B4">
            <w:pPr>
              <w:rPr>
                <w:color w:val="auto"/>
                <w:sz w:val="20"/>
                <w:szCs w:val="20"/>
                <w:lang w:val="en-AU"/>
              </w:rPr>
            </w:pPr>
            <w:r w:rsidRPr="00843214">
              <w:rPr>
                <w:color w:val="auto"/>
                <w:sz w:val="20"/>
                <w:szCs w:val="20"/>
                <w:lang w:val="en-AU"/>
              </w:rPr>
              <w:t xml:space="preserve">KEQ3.b </w:t>
            </w:r>
            <w:proofErr w:type="gramStart"/>
            <w:r w:rsidRPr="00843214">
              <w:rPr>
                <w:color w:val="auto"/>
                <w:sz w:val="20"/>
                <w:szCs w:val="20"/>
                <w:lang w:val="en-AU"/>
              </w:rPr>
              <w:t>To</w:t>
            </w:r>
            <w:proofErr w:type="gramEnd"/>
            <w:r w:rsidRPr="00843214">
              <w:rPr>
                <w:color w:val="auto"/>
                <w:sz w:val="20"/>
                <w:szCs w:val="20"/>
                <w:lang w:val="en-AU"/>
              </w:rPr>
              <w:t xml:space="preserve"> what extent do the partnership operational arrangements enable the realisation of shared objectives?</w:t>
            </w:r>
          </w:p>
          <w:p w14:paraId="6C7F7391" w14:textId="77777777" w:rsidR="004374B4" w:rsidRPr="00843214" w:rsidRDefault="004374B4" w:rsidP="004374B4">
            <w:pPr>
              <w:rPr>
                <w:color w:val="auto"/>
                <w:sz w:val="20"/>
                <w:szCs w:val="20"/>
                <w:lang w:val="en-AU"/>
              </w:rPr>
            </w:pPr>
            <w:r w:rsidRPr="00843214">
              <w:rPr>
                <w:color w:val="auto"/>
                <w:sz w:val="20"/>
                <w:szCs w:val="20"/>
                <w:lang w:val="en-AU"/>
              </w:rPr>
              <w:t>KEQ3. c What is the organisational character (including relationships) of the partnership and how has that affected performance?</w:t>
            </w:r>
          </w:p>
          <w:p w14:paraId="70816135" w14:textId="77777777" w:rsidR="004374B4" w:rsidRPr="00843214" w:rsidRDefault="004374B4" w:rsidP="004374B4">
            <w:pPr>
              <w:rPr>
                <w:color w:val="auto"/>
                <w:sz w:val="20"/>
                <w:szCs w:val="20"/>
                <w:lang w:val="en-AU"/>
              </w:rPr>
            </w:pPr>
            <w:r w:rsidRPr="00843214">
              <w:rPr>
                <w:color w:val="auto"/>
                <w:sz w:val="20"/>
                <w:szCs w:val="20"/>
                <w:lang w:val="en-AU"/>
              </w:rPr>
              <w:t>KEQ2. d What has been the role of UN Women in relation to the COVID-19 pandemic? What does this mean for its role going forward? How should UN Women position itself in the Indo-Pacific?</w:t>
            </w:r>
          </w:p>
          <w:p w14:paraId="2E7B1EDF" w14:textId="77777777" w:rsidR="004374B4" w:rsidRPr="00843214" w:rsidRDefault="004374B4" w:rsidP="004374B4">
            <w:pPr>
              <w:rPr>
                <w:color w:val="auto"/>
                <w:sz w:val="20"/>
                <w:szCs w:val="20"/>
                <w:lang w:val="en-AU"/>
              </w:rPr>
            </w:pPr>
            <w:r w:rsidRPr="00843214">
              <w:rPr>
                <w:color w:val="auto"/>
                <w:sz w:val="20"/>
                <w:szCs w:val="20"/>
                <w:lang w:val="en-AU"/>
              </w:rPr>
              <w:t>KEQ3.d What changes could be made to the improve the efficiency and effectiveness of the partnership?</w:t>
            </w:r>
          </w:p>
          <w:p w14:paraId="445C2B27" w14:textId="77777777" w:rsidR="004374B4" w:rsidRPr="00843214" w:rsidRDefault="004374B4" w:rsidP="004374B4">
            <w:pPr>
              <w:rPr>
                <w:color w:val="auto"/>
                <w:sz w:val="20"/>
                <w:szCs w:val="20"/>
                <w:lang w:val="en-AU"/>
              </w:rPr>
            </w:pPr>
            <w:r w:rsidRPr="00843214">
              <w:rPr>
                <w:color w:val="auto"/>
                <w:sz w:val="20"/>
                <w:szCs w:val="20"/>
                <w:lang w:val="en-AU"/>
              </w:rPr>
              <w:lastRenderedPageBreak/>
              <w:t>KEQ1.b What resources (human and financial) has the partnership invested toward shared objectives?’</w:t>
            </w:r>
          </w:p>
          <w:p w14:paraId="20001429" w14:textId="77777777" w:rsidR="004374B4" w:rsidRPr="00843214" w:rsidRDefault="004374B4" w:rsidP="004374B4">
            <w:pPr>
              <w:rPr>
                <w:color w:val="auto"/>
                <w:sz w:val="20"/>
                <w:szCs w:val="20"/>
                <w:lang w:val="en-AU"/>
              </w:rPr>
            </w:pPr>
            <w:r w:rsidRPr="00843214">
              <w:rPr>
                <w:color w:val="auto"/>
                <w:sz w:val="20"/>
                <w:szCs w:val="20"/>
                <w:lang w:val="en-AU"/>
              </w:rPr>
              <w:t xml:space="preserve">KEQ1.d Is the balance of DFAT’s contribution to core and non-core </w:t>
            </w:r>
            <w:proofErr w:type="gramStart"/>
            <w:r w:rsidRPr="00843214">
              <w:rPr>
                <w:color w:val="auto"/>
                <w:sz w:val="20"/>
                <w:szCs w:val="20"/>
                <w:lang w:val="en-AU"/>
              </w:rPr>
              <w:t>funding</w:t>
            </w:r>
            <w:proofErr w:type="gramEnd"/>
            <w:r w:rsidRPr="00843214">
              <w:rPr>
                <w:color w:val="auto"/>
                <w:sz w:val="20"/>
                <w:szCs w:val="20"/>
                <w:lang w:val="en-AU"/>
              </w:rPr>
              <w:t xml:space="preserve"> right?</w:t>
            </w:r>
          </w:p>
          <w:p w14:paraId="1E3A6266" w14:textId="3E121FAB" w:rsidR="000B67DF" w:rsidRPr="00843214" w:rsidRDefault="004374B4" w:rsidP="004374B4">
            <w:pPr>
              <w:rPr>
                <w:color w:val="auto"/>
                <w:sz w:val="20"/>
                <w:szCs w:val="20"/>
              </w:rPr>
            </w:pPr>
            <w:r w:rsidRPr="00843214">
              <w:rPr>
                <w:color w:val="auto"/>
                <w:sz w:val="20"/>
                <w:szCs w:val="20"/>
                <w:lang w:val="en-AU"/>
              </w:rPr>
              <w:t>KEQ2.b How is DFAT funding allocated by UN Women in the Indo-Pacific and how is it positioned within the donor landscape? What are the unique features working with DFAT as a donor?</w:t>
            </w:r>
          </w:p>
        </w:tc>
      </w:tr>
      <w:tr w:rsidR="00843214" w:rsidRPr="00843214" w14:paraId="0A78BA0C" w14:textId="77777777" w:rsidTr="004374B4">
        <w:tc>
          <w:tcPr>
            <w:tcW w:w="2258" w:type="dxa"/>
          </w:tcPr>
          <w:p w14:paraId="10A8284A" w14:textId="118DC37A" w:rsidR="000B67DF" w:rsidRPr="00843214" w:rsidRDefault="004374B4" w:rsidP="000B67DF">
            <w:pPr>
              <w:rPr>
                <w:color w:val="auto"/>
                <w:sz w:val="20"/>
                <w:szCs w:val="20"/>
              </w:rPr>
            </w:pPr>
            <w:r w:rsidRPr="00843214">
              <w:rPr>
                <w:color w:val="auto"/>
                <w:sz w:val="20"/>
                <w:szCs w:val="20"/>
                <w:lang w:val="en-AU"/>
              </w:rPr>
              <w:lastRenderedPageBreak/>
              <w:t xml:space="preserve">Towards the SPF 2022-2025 </w:t>
            </w:r>
          </w:p>
        </w:tc>
        <w:tc>
          <w:tcPr>
            <w:tcW w:w="7082" w:type="dxa"/>
          </w:tcPr>
          <w:p w14:paraId="10023C31" w14:textId="77777777" w:rsidR="004374B4" w:rsidRPr="00843214" w:rsidRDefault="004374B4" w:rsidP="004374B4">
            <w:pPr>
              <w:rPr>
                <w:color w:val="auto"/>
                <w:sz w:val="20"/>
                <w:szCs w:val="20"/>
                <w:lang w:val="en-AU"/>
              </w:rPr>
            </w:pPr>
            <w:r w:rsidRPr="00843214">
              <w:rPr>
                <w:color w:val="auto"/>
                <w:sz w:val="20"/>
                <w:szCs w:val="20"/>
                <w:lang w:val="en-AU"/>
              </w:rPr>
              <w:t xml:space="preserve">KEQ1Identify the value of the partnership, both in terms of value for money, </w:t>
            </w:r>
            <w:proofErr w:type="gramStart"/>
            <w:r w:rsidRPr="00843214">
              <w:rPr>
                <w:color w:val="auto"/>
                <w:sz w:val="20"/>
                <w:szCs w:val="20"/>
                <w:lang w:val="en-AU"/>
              </w:rPr>
              <w:t>effectiveness</w:t>
            </w:r>
            <w:proofErr w:type="gramEnd"/>
            <w:r w:rsidRPr="00843214">
              <w:rPr>
                <w:color w:val="auto"/>
                <w:sz w:val="20"/>
                <w:szCs w:val="20"/>
                <w:lang w:val="en-AU"/>
              </w:rPr>
              <w:t xml:space="preserve"> and output </w:t>
            </w:r>
          </w:p>
          <w:p w14:paraId="40CBED61" w14:textId="77777777" w:rsidR="004374B4" w:rsidRPr="00843214" w:rsidRDefault="004374B4" w:rsidP="004374B4">
            <w:pPr>
              <w:rPr>
                <w:color w:val="auto"/>
                <w:sz w:val="20"/>
                <w:szCs w:val="20"/>
                <w:lang w:val="en-AU"/>
              </w:rPr>
            </w:pPr>
            <w:r w:rsidRPr="00843214">
              <w:rPr>
                <w:color w:val="auto"/>
                <w:sz w:val="20"/>
                <w:szCs w:val="20"/>
                <w:lang w:val="en-AU"/>
              </w:rPr>
              <w:t>KEQ1.c What has supported or constrained progress toward objectives?</w:t>
            </w:r>
          </w:p>
          <w:p w14:paraId="6A5E8A50" w14:textId="77777777" w:rsidR="004374B4" w:rsidRPr="00843214" w:rsidRDefault="004374B4" w:rsidP="004374B4">
            <w:pPr>
              <w:rPr>
                <w:color w:val="auto"/>
                <w:sz w:val="20"/>
                <w:szCs w:val="20"/>
                <w:lang w:val="en-AU"/>
              </w:rPr>
            </w:pPr>
            <w:r w:rsidRPr="00843214">
              <w:rPr>
                <w:color w:val="auto"/>
                <w:sz w:val="20"/>
                <w:szCs w:val="20"/>
                <w:lang w:val="en-AU"/>
              </w:rPr>
              <w:t xml:space="preserve">KEQ1.d What results has DFAT’s core contribution to UN Women under the SPF enabled to date? Is the balance of DFAT’s contribution to core and non-core </w:t>
            </w:r>
            <w:proofErr w:type="gramStart"/>
            <w:r w:rsidRPr="00843214">
              <w:rPr>
                <w:color w:val="auto"/>
                <w:sz w:val="20"/>
                <w:szCs w:val="20"/>
                <w:lang w:val="en-AU"/>
              </w:rPr>
              <w:t>funding</w:t>
            </w:r>
            <w:proofErr w:type="gramEnd"/>
            <w:r w:rsidRPr="00843214">
              <w:rPr>
                <w:color w:val="auto"/>
                <w:sz w:val="20"/>
                <w:szCs w:val="20"/>
                <w:lang w:val="en-AU"/>
              </w:rPr>
              <w:t xml:space="preserve"> right? </w:t>
            </w:r>
          </w:p>
          <w:p w14:paraId="47ED045E" w14:textId="77777777" w:rsidR="004374B4" w:rsidRPr="00843214" w:rsidRDefault="004374B4" w:rsidP="004374B4">
            <w:pPr>
              <w:rPr>
                <w:color w:val="auto"/>
                <w:sz w:val="20"/>
                <w:szCs w:val="20"/>
                <w:lang w:val="en-AU"/>
              </w:rPr>
            </w:pPr>
            <w:r w:rsidRPr="00843214">
              <w:rPr>
                <w:color w:val="auto"/>
                <w:sz w:val="20"/>
                <w:szCs w:val="20"/>
                <w:lang w:val="en-AU"/>
              </w:rPr>
              <w:t>KEQ2. What are the key features of the current and likely future context for gender equality objectives in the Indo-Pacific?</w:t>
            </w:r>
          </w:p>
          <w:p w14:paraId="6ACD53CD" w14:textId="6FE62921" w:rsidR="004374B4" w:rsidRPr="00843214" w:rsidRDefault="004374B4" w:rsidP="004374B4">
            <w:pPr>
              <w:rPr>
                <w:color w:val="auto"/>
                <w:sz w:val="20"/>
                <w:szCs w:val="20"/>
                <w:lang w:val="en-AU"/>
              </w:rPr>
            </w:pPr>
            <w:r w:rsidRPr="00843214">
              <w:rPr>
                <w:color w:val="auto"/>
                <w:sz w:val="20"/>
                <w:szCs w:val="20"/>
                <w:lang w:val="en-AU"/>
              </w:rPr>
              <w:t xml:space="preserve">KEQ2. d What has been the role of UN Women in relation to the COVID-19 pandemic? What does this mean for its role going forward? How should UN Women position itself in the Indo-Pacific? </w:t>
            </w:r>
          </w:p>
          <w:p w14:paraId="6214CE84" w14:textId="77777777" w:rsidR="004374B4" w:rsidRPr="00843214" w:rsidRDefault="004374B4" w:rsidP="004374B4">
            <w:pPr>
              <w:rPr>
                <w:color w:val="auto"/>
                <w:sz w:val="20"/>
                <w:szCs w:val="20"/>
                <w:lang w:val="en-AU"/>
              </w:rPr>
            </w:pPr>
            <w:r w:rsidRPr="00843214">
              <w:rPr>
                <w:color w:val="auto"/>
                <w:sz w:val="20"/>
                <w:szCs w:val="20"/>
                <w:lang w:val="en-AU"/>
              </w:rPr>
              <w:t xml:space="preserve">KEQ3. What are the, priorities, </w:t>
            </w:r>
            <w:proofErr w:type="gramStart"/>
            <w:r w:rsidRPr="00843214">
              <w:rPr>
                <w:color w:val="auto"/>
                <w:sz w:val="20"/>
                <w:szCs w:val="20"/>
                <w:lang w:val="en-AU"/>
              </w:rPr>
              <w:t>strengths</w:t>
            </w:r>
            <w:proofErr w:type="gramEnd"/>
            <w:r w:rsidRPr="00843214">
              <w:rPr>
                <w:color w:val="auto"/>
                <w:sz w:val="20"/>
                <w:szCs w:val="20"/>
                <w:lang w:val="en-AU"/>
              </w:rPr>
              <w:t xml:space="preserve"> and weaknesses of UN Women’s partnership with DFAT and how can the partnership be streamlined and improved</w:t>
            </w:r>
          </w:p>
          <w:p w14:paraId="53437F49" w14:textId="17BFBC6C" w:rsidR="004374B4" w:rsidRPr="00843214" w:rsidRDefault="004374B4" w:rsidP="004374B4">
            <w:pPr>
              <w:rPr>
                <w:color w:val="auto"/>
                <w:sz w:val="20"/>
                <w:szCs w:val="20"/>
                <w:lang w:val="en-AU"/>
              </w:rPr>
            </w:pPr>
            <w:r w:rsidRPr="00843214">
              <w:rPr>
                <w:color w:val="auto"/>
                <w:sz w:val="20"/>
                <w:szCs w:val="20"/>
                <w:lang w:val="en-AU"/>
              </w:rPr>
              <w:t>KEQ3.d What changes could be made to the improve the efficiency and effectiveness of the partnership?</w:t>
            </w:r>
          </w:p>
          <w:p w14:paraId="5F76EB7C" w14:textId="347548DC" w:rsidR="004374B4" w:rsidRPr="00843214" w:rsidRDefault="004374B4" w:rsidP="004374B4">
            <w:pPr>
              <w:rPr>
                <w:color w:val="auto"/>
                <w:sz w:val="20"/>
                <w:szCs w:val="20"/>
                <w:lang w:val="en-AU"/>
              </w:rPr>
            </w:pPr>
            <w:r w:rsidRPr="00843214">
              <w:rPr>
                <w:color w:val="auto"/>
                <w:sz w:val="20"/>
                <w:szCs w:val="20"/>
                <w:lang w:val="en-AU"/>
              </w:rPr>
              <w:t>Future funding options</w:t>
            </w:r>
          </w:p>
          <w:p w14:paraId="1E1E4639" w14:textId="7034D753" w:rsidR="000B67DF" w:rsidRPr="00843214" w:rsidRDefault="004374B4" w:rsidP="004374B4">
            <w:pPr>
              <w:rPr>
                <w:color w:val="auto"/>
                <w:sz w:val="20"/>
                <w:szCs w:val="20"/>
              </w:rPr>
            </w:pPr>
            <w:r w:rsidRPr="00843214">
              <w:rPr>
                <w:color w:val="auto"/>
                <w:sz w:val="20"/>
                <w:szCs w:val="20"/>
                <w:lang w:val="en-AU"/>
              </w:rPr>
              <w:t>KEQ4. To what extent has UN Women progressed implementation of areas identified for strengthened performance, and what are the organisational obstacles to progress.</w:t>
            </w:r>
          </w:p>
        </w:tc>
      </w:tr>
    </w:tbl>
    <w:p w14:paraId="440316EF" w14:textId="4D0FC473" w:rsidR="5C5EAA18" w:rsidRPr="00843214" w:rsidRDefault="5C5EAA18">
      <w:pPr>
        <w:rPr>
          <w:color w:val="auto"/>
        </w:rPr>
      </w:pPr>
    </w:p>
    <w:p w14:paraId="30464EAB" w14:textId="77777777" w:rsidR="00AC3BD0" w:rsidRPr="00843214" w:rsidRDefault="00AC3BD0" w:rsidP="00AC3BD0">
      <w:pPr>
        <w:rPr>
          <w:color w:val="auto"/>
          <w:lang w:val="en-AU"/>
        </w:rPr>
      </w:pPr>
      <w:r w:rsidRPr="00843214">
        <w:rPr>
          <w:color w:val="auto"/>
          <w:lang w:val="en-AU"/>
        </w:rPr>
        <w:br w:type="page"/>
      </w:r>
    </w:p>
    <w:p w14:paraId="1444D06A" w14:textId="77777777" w:rsidR="00AC3BD0" w:rsidRPr="00843214" w:rsidRDefault="00AC3BD0" w:rsidP="00843214">
      <w:pPr>
        <w:pStyle w:val="Heading1"/>
        <w:rPr>
          <w:lang w:val="en-AU"/>
        </w:rPr>
      </w:pPr>
      <w:bookmarkStart w:id="101" w:name="_Toc69376676"/>
      <w:r w:rsidRPr="00843214">
        <w:rPr>
          <w:lang w:val="en-AU"/>
        </w:rPr>
        <w:lastRenderedPageBreak/>
        <w:t>Annex 2: Document list</w:t>
      </w:r>
      <w:bookmarkEnd w:id="101"/>
      <w:r w:rsidRPr="00843214">
        <w:rPr>
          <w:lang w:val="en-AU"/>
        </w:rPr>
        <w:t xml:space="preserve"> </w:t>
      </w:r>
    </w:p>
    <w:tbl>
      <w:tblPr>
        <w:tblStyle w:val="IODPARCtable2"/>
        <w:tblW w:w="9913" w:type="dxa"/>
        <w:tblLayout w:type="fixed"/>
        <w:tblLook w:val="04A0" w:firstRow="1" w:lastRow="0" w:firstColumn="1" w:lastColumn="0" w:noHBand="0" w:noVBand="1"/>
      </w:tblPr>
      <w:tblGrid>
        <w:gridCol w:w="706"/>
        <w:gridCol w:w="9207"/>
      </w:tblGrid>
      <w:tr w:rsidR="0072532D" w:rsidRPr="00843214" w14:paraId="0DB31CC0" w14:textId="77777777" w:rsidTr="0072532D">
        <w:trPr>
          <w:tblHeader/>
        </w:trPr>
        <w:tc>
          <w:tcPr>
            <w:tcW w:w="706" w:type="dxa"/>
            <w:hideMark/>
          </w:tcPr>
          <w:p w14:paraId="1994EE5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b/>
                <w:bCs/>
                <w:color w:val="auto"/>
                <w:sz w:val="20"/>
                <w:szCs w:val="20"/>
                <w:lang w:val="en-AU"/>
              </w:rPr>
              <w:t>#</w:t>
            </w:r>
            <w:r w:rsidRPr="00843214">
              <w:rPr>
                <w:rFonts w:eastAsia="Times New Roman" w:cs="Calibri"/>
                <w:color w:val="auto"/>
                <w:sz w:val="20"/>
                <w:szCs w:val="20"/>
                <w:lang w:val="en-AU"/>
              </w:rPr>
              <w:t> </w:t>
            </w:r>
          </w:p>
        </w:tc>
        <w:tc>
          <w:tcPr>
            <w:tcW w:w="9207" w:type="dxa"/>
            <w:hideMark/>
          </w:tcPr>
          <w:p w14:paraId="01895CA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b/>
                <w:bCs/>
                <w:color w:val="auto"/>
                <w:sz w:val="20"/>
                <w:szCs w:val="20"/>
                <w:lang w:val="en-AU"/>
              </w:rPr>
              <w:t>Document</w:t>
            </w:r>
            <w:r w:rsidRPr="00843214">
              <w:rPr>
                <w:rFonts w:eastAsia="Times New Roman" w:cs="Calibri"/>
                <w:color w:val="auto"/>
                <w:sz w:val="20"/>
                <w:szCs w:val="20"/>
                <w:lang w:val="en-AU"/>
              </w:rPr>
              <w:t> </w:t>
            </w:r>
          </w:p>
        </w:tc>
      </w:tr>
      <w:tr w:rsidR="0072532D" w:rsidRPr="00843214" w14:paraId="08407AF0" w14:textId="77777777" w:rsidTr="0072532D">
        <w:tc>
          <w:tcPr>
            <w:tcW w:w="9913" w:type="dxa"/>
            <w:gridSpan w:val="2"/>
          </w:tcPr>
          <w:p w14:paraId="01D94BE0" w14:textId="0078A07D" w:rsidR="0072532D" w:rsidRPr="0072532D" w:rsidRDefault="0072532D" w:rsidP="00CE418C">
            <w:pPr>
              <w:spacing w:after="0"/>
              <w:textAlignment w:val="baseline"/>
              <w:rPr>
                <w:rFonts w:eastAsia="Times New Roman" w:cs="Calibri"/>
                <w:b/>
                <w:bCs/>
                <w:color w:val="auto"/>
                <w:sz w:val="20"/>
                <w:szCs w:val="20"/>
                <w:lang w:val="en-AU"/>
              </w:rPr>
            </w:pPr>
            <w:r w:rsidRPr="0072532D">
              <w:rPr>
                <w:rFonts w:eastAsia="Times New Roman" w:cs="Calibri"/>
                <w:b/>
                <w:bCs/>
                <w:color w:val="auto"/>
                <w:sz w:val="20"/>
                <w:szCs w:val="20"/>
                <w:lang w:val="en-AU"/>
              </w:rPr>
              <w:t>Strategy </w:t>
            </w:r>
          </w:p>
        </w:tc>
      </w:tr>
      <w:tr w:rsidR="0072532D" w:rsidRPr="00843214" w14:paraId="04B4FF25" w14:textId="77777777" w:rsidTr="0072532D">
        <w:tc>
          <w:tcPr>
            <w:tcW w:w="706" w:type="dxa"/>
            <w:hideMark/>
          </w:tcPr>
          <w:p w14:paraId="04CDC3B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1 </w:t>
            </w:r>
          </w:p>
        </w:tc>
        <w:tc>
          <w:tcPr>
            <w:tcW w:w="9207" w:type="dxa"/>
            <w:hideMark/>
          </w:tcPr>
          <w:p w14:paraId="64D9704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Women-DFAT Strategic Partnership Framework (SPF) 2016-2020 </w:t>
            </w:r>
          </w:p>
        </w:tc>
      </w:tr>
      <w:tr w:rsidR="0072532D" w:rsidRPr="00843214" w14:paraId="43A6E198" w14:textId="77777777" w:rsidTr="0072532D">
        <w:tc>
          <w:tcPr>
            <w:tcW w:w="706" w:type="dxa"/>
            <w:hideMark/>
          </w:tcPr>
          <w:p w14:paraId="36F9C1D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2 </w:t>
            </w:r>
          </w:p>
        </w:tc>
        <w:tc>
          <w:tcPr>
            <w:tcW w:w="9207" w:type="dxa"/>
            <w:hideMark/>
          </w:tcPr>
          <w:p w14:paraId="268E7EE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Women-DFAT Strategic Partnership Framework Extension (SPF Ext) (2020-2021) </w:t>
            </w:r>
          </w:p>
        </w:tc>
      </w:tr>
      <w:tr w:rsidR="0072532D" w:rsidRPr="00843214" w14:paraId="162EE02A" w14:textId="77777777" w:rsidTr="0072532D">
        <w:tc>
          <w:tcPr>
            <w:tcW w:w="706" w:type="dxa"/>
            <w:hideMark/>
          </w:tcPr>
          <w:p w14:paraId="74297EA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3 </w:t>
            </w:r>
          </w:p>
        </w:tc>
        <w:tc>
          <w:tcPr>
            <w:tcW w:w="9207" w:type="dxa"/>
            <w:hideMark/>
          </w:tcPr>
          <w:p w14:paraId="76EDA70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Strategic Plan 2018-2021 </w:t>
            </w:r>
          </w:p>
        </w:tc>
      </w:tr>
      <w:tr w:rsidR="0072532D" w:rsidRPr="00843214" w14:paraId="50C19AA8" w14:textId="77777777" w:rsidTr="0072532D">
        <w:tc>
          <w:tcPr>
            <w:tcW w:w="706" w:type="dxa"/>
            <w:hideMark/>
          </w:tcPr>
          <w:p w14:paraId="6B020C2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4 </w:t>
            </w:r>
          </w:p>
        </w:tc>
        <w:tc>
          <w:tcPr>
            <w:tcW w:w="9207" w:type="dxa"/>
            <w:hideMark/>
          </w:tcPr>
          <w:p w14:paraId="4899D65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Strategic Plan 2014-2017 </w:t>
            </w:r>
          </w:p>
        </w:tc>
      </w:tr>
      <w:tr w:rsidR="0072532D" w:rsidRPr="00843214" w14:paraId="437B180C" w14:textId="77777777" w:rsidTr="0072532D">
        <w:tc>
          <w:tcPr>
            <w:tcW w:w="706" w:type="dxa"/>
            <w:hideMark/>
          </w:tcPr>
          <w:p w14:paraId="592639B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5 </w:t>
            </w:r>
          </w:p>
        </w:tc>
        <w:tc>
          <w:tcPr>
            <w:tcW w:w="9207" w:type="dxa"/>
            <w:hideMark/>
          </w:tcPr>
          <w:p w14:paraId="2A81753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2020, Partnerships for Recovery </w:t>
            </w:r>
          </w:p>
        </w:tc>
      </w:tr>
      <w:tr w:rsidR="0072532D" w:rsidRPr="00843214" w14:paraId="34FC10B3" w14:textId="77777777" w:rsidTr="0072532D">
        <w:tc>
          <w:tcPr>
            <w:tcW w:w="706" w:type="dxa"/>
            <w:hideMark/>
          </w:tcPr>
          <w:p w14:paraId="61A1EE1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6 </w:t>
            </w:r>
          </w:p>
        </w:tc>
        <w:tc>
          <w:tcPr>
            <w:tcW w:w="9207" w:type="dxa"/>
            <w:hideMark/>
          </w:tcPr>
          <w:p w14:paraId="1C38400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Gender Equality and Women’s Empowerment Strategy 2016 </w:t>
            </w:r>
          </w:p>
        </w:tc>
      </w:tr>
      <w:tr w:rsidR="0072532D" w:rsidRPr="00843214" w14:paraId="7644455B" w14:textId="77777777" w:rsidTr="0072532D">
        <w:tc>
          <w:tcPr>
            <w:tcW w:w="706" w:type="dxa"/>
            <w:hideMark/>
          </w:tcPr>
          <w:p w14:paraId="7BB31B0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7 </w:t>
            </w:r>
          </w:p>
        </w:tc>
        <w:tc>
          <w:tcPr>
            <w:tcW w:w="9207" w:type="dxa"/>
            <w:hideMark/>
          </w:tcPr>
          <w:p w14:paraId="21207C1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2020, Australian priorities for the UN Women Strategic Plan 2022-2025 </w:t>
            </w:r>
          </w:p>
        </w:tc>
      </w:tr>
      <w:tr w:rsidR="0072532D" w:rsidRPr="00843214" w14:paraId="48AC6BD3" w14:textId="77777777" w:rsidTr="0072532D">
        <w:tc>
          <w:tcPr>
            <w:tcW w:w="706" w:type="dxa"/>
            <w:hideMark/>
          </w:tcPr>
          <w:p w14:paraId="22CC7F5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8 </w:t>
            </w:r>
          </w:p>
        </w:tc>
        <w:tc>
          <w:tcPr>
            <w:tcW w:w="9207" w:type="dxa"/>
            <w:hideMark/>
          </w:tcPr>
          <w:p w14:paraId="1A3D9C93"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w:t>
            </w:r>
            <w:hyperlink r:id="rId28" w:tgtFrame="_blank" w:history="1">
              <w:r w:rsidRPr="00843214">
                <w:rPr>
                  <w:rFonts w:eastAsia="Times New Roman" w:cs="Calibri"/>
                  <w:color w:val="auto"/>
                  <w:sz w:val="20"/>
                  <w:szCs w:val="20"/>
                  <w:u w:val="single"/>
                  <w:lang w:val="en-AU"/>
                </w:rPr>
                <w:t>Partnerships for Recovery and gender equality</w:t>
              </w:r>
            </w:hyperlink>
            <w:r w:rsidRPr="00843214">
              <w:rPr>
                <w:rFonts w:eastAsia="Times New Roman" w:cs="Calibri"/>
                <w:color w:val="auto"/>
                <w:sz w:val="20"/>
                <w:szCs w:val="20"/>
                <w:lang w:val="en-AU"/>
              </w:rPr>
              <w:t> [Online] </w:t>
            </w:r>
          </w:p>
        </w:tc>
      </w:tr>
      <w:tr w:rsidR="0072532D" w:rsidRPr="00843214" w14:paraId="6C9059BE" w14:textId="77777777" w:rsidTr="0072532D">
        <w:tc>
          <w:tcPr>
            <w:tcW w:w="706" w:type="dxa"/>
            <w:hideMark/>
          </w:tcPr>
          <w:p w14:paraId="422BBD5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9 </w:t>
            </w:r>
          </w:p>
        </w:tc>
        <w:tc>
          <w:tcPr>
            <w:tcW w:w="9207" w:type="dxa"/>
            <w:hideMark/>
          </w:tcPr>
          <w:p w14:paraId="230AB361"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w:t>
            </w:r>
            <w:hyperlink r:id="rId29" w:tgtFrame="_blank" w:history="1">
              <w:r w:rsidRPr="00843214">
                <w:rPr>
                  <w:rFonts w:eastAsia="Times New Roman" w:cs="Calibri"/>
                  <w:color w:val="auto"/>
                  <w:sz w:val="20"/>
                  <w:szCs w:val="20"/>
                  <w:u w:val="single"/>
                  <w:lang w:val="en-AU"/>
                </w:rPr>
                <w:t>Pacific Regional - Empowering women and girls</w:t>
              </w:r>
            </w:hyperlink>
            <w:r w:rsidRPr="00843214">
              <w:rPr>
                <w:rFonts w:eastAsia="Times New Roman" w:cs="Calibri"/>
                <w:color w:val="auto"/>
                <w:sz w:val="20"/>
                <w:szCs w:val="20"/>
                <w:lang w:val="en-AU"/>
              </w:rPr>
              <w:t> [Online] </w:t>
            </w:r>
          </w:p>
        </w:tc>
      </w:tr>
      <w:tr w:rsidR="0072532D" w:rsidRPr="00843214" w14:paraId="64746E74" w14:textId="77777777" w:rsidTr="0072532D">
        <w:trPr>
          <w:trHeight w:val="255"/>
        </w:trPr>
        <w:tc>
          <w:tcPr>
            <w:tcW w:w="706" w:type="dxa"/>
            <w:hideMark/>
          </w:tcPr>
          <w:p w14:paraId="527E6E6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10 </w:t>
            </w:r>
          </w:p>
        </w:tc>
        <w:tc>
          <w:tcPr>
            <w:tcW w:w="9207" w:type="dxa"/>
            <w:hideMark/>
          </w:tcPr>
          <w:p w14:paraId="575EA1D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w:t>
            </w:r>
            <w:hyperlink r:id="rId30" w:tgtFrame="_blank" w:history="1">
              <w:r w:rsidRPr="00843214">
                <w:rPr>
                  <w:rFonts w:eastAsia="Times New Roman" w:cs="Calibri"/>
                  <w:color w:val="auto"/>
                  <w:sz w:val="20"/>
                  <w:szCs w:val="20"/>
                  <w:u w:val="single"/>
                  <w:lang w:val="en-AU"/>
                </w:rPr>
                <w:t>Australia's Development Partnership with Afghanistan</w:t>
              </w:r>
            </w:hyperlink>
            <w:r w:rsidRPr="00843214">
              <w:rPr>
                <w:rFonts w:eastAsia="Times New Roman" w:cs="Calibri"/>
                <w:color w:val="auto"/>
                <w:sz w:val="20"/>
                <w:szCs w:val="20"/>
                <w:lang w:val="en-AU"/>
              </w:rPr>
              <w:t> [Online] </w:t>
            </w:r>
          </w:p>
        </w:tc>
      </w:tr>
      <w:tr w:rsidR="0072532D" w:rsidRPr="00843214" w14:paraId="649CEDFB" w14:textId="77777777" w:rsidTr="0072532D">
        <w:tc>
          <w:tcPr>
            <w:tcW w:w="706" w:type="dxa"/>
            <w:hideMark/>
          </w:tcPr>
          <w:p w14:paraId="5C2252B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11 </w:t>
            </w:r>
          </w:p>
        </w:tc>
        <w:tc>
          <w:tcPr>
            <w:tcW w:w="9207" w:type="dxa"/>
            <w:hideMark/>
          </w:tcPr>
          <w:p w14:paraId="2BCCA32E"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w:t>
            </w:r>
            <w:hyperlink r:id="rId31" w:tgtFrame="_blank" w:history="1">
              <w:r w:rsidRPr="00843214">
                <w:rPr>
                  <w:rFonts w:eastAsia="Times New Roman" w:cs="Calibri"/>
                  <w:color w:val="auto"/>
                  <w:sz w:val="20"/>
                  <w:szCs w:val="20"/>
                  <w:u w:val="single"/>
                  <w:lang w:val="en-AU"/>
                </w:rPr>
                <w:t>Overview of Australia's Pacific Regional development program</w:t>
              </w:r>
            </w:hyperlink>
            <w:r w:rsidRPr="00843214">
              <w:rPr>
                <w:rFonts w:eastAsia="Times New Roman" w:cs="Calibri"/>
                <w:color w:val="auto"/>
                <w:sz w:val="20"/>
                <w:szCs w:val="20"/>
                <w:lang w:val="en-AU"/>
              </w:rPr>
              <w:t> [Online] </w:t>
            </w:r>
          </w:p>
        </w:tc>
      </w:tr>
      <w:tr w:rsidR="0072532D" w:rsidRPr="00843214" w14:paraId="7DEF898A" w14:textId="77777777" w:rsidTr="0072532D">
        <w:tc>
          <w:tcPr>
            <w:tcW w:w="706" w:type="dxa"/>
            <w:hideMark/>
          </w:tcPr>
          <w:p w14:paraId="29C5AAA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12 </w:t>
            </w:r>
          </w:p>
        </w:tc>
        <w:tc>
          <w:tcPr>
            <w:tcW w:w="9207" w:type="dxa"/>
            <w:hideMark/>
          </w:tcPr>
          <w:p w14:paraId="1F2F8AE1"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w:t>
            </w:r>
            <w:hyperlink r:id="rId32" w:tgtFrame="_blank" w:history="1">
              <w:r w:rsidRPr="00843214">
                <w:rPr>
                  <w:rFonts w:eastAsia="Times New Roman" w:cs="Calibri"/>
                  <w:color w:val="auto"/>
                  <w:sz w:val="20"/>
                  <w:szCs w:val="20"/>
                  <w:u w:val="single"/>
                  <w:lang w:val="en-AU"/>
                </w:rPr>
                <w:t>Pacific Women Shaping Pacific Development</w:t>
              </w:r>
            </w:hyperlink>
            <w:r w:rsidRPr="00843214">
              <w:rPr>
                <w:rFonts w:eastAsia="Times New Roman" w:cs="Calibri"/>
                <w:color w:val="auto"/>
                <w:sz w:val="20"/>
                <w:szCs w:val="20"/>
                <w:lang w:val="en-AU"/>
              </w:rPr>
              <w:t> [Online]  </w:t>
            </w:r>
          </w:p>
        </w:tc>
      </w:tr>
      <w:tr w:rsidR="0072532D" w:rsidRPr="00843214" w14:paraId="1B348760" w14:textId="77777777" w:rsidTr="0072532D">
        <w:tc>
          <w:tcPr>
            <w:tcW w:w="9913" w:type="dxa"/>
            <w:gridSpan w:val="2"/>
          </w:tcPr>
          <w:p w14:paraId="35911DE4" w14:textId="5897BDF3" w:rsidR="0072532D" w:rsidRPr="0072532D" w:rsidRDefault="0072532D" w:rsidP="003D5673">
            <w:pPr>
              <w:spacing w:after="0"/>
              <w:textAlignment w:val="baseline"/>
              <w:rPr>
                <w:rFonts w:eastAsia="Times New Roman" w:cs="Segoe UI"/>
                <w:b/>
                <w:bCs/>
                <w:color w:val="auto"/>
                <w:sz w:val="20"/>
                <w:szCs w:val="20"/>
                <w:lang w:val="en-AU"/>
              </w:rPr>
            </w:pPr>
            <w:r w:rsidRPr="0072532D">
              <w:rPr>
                <w:rFonts w:eastAsia="Times New Roman" w:cs="Calibri"/>
                <w:b/>
                <w:bCs/>
                <w:color w:val="auto"/>
                <w:sz w:val="20"/>
                <w:szCs w:val="20"/>
                <w:lang w:val="en-AU"/>
              </w:rPr>
              <w:t>Performance - UN Women </w:t>
            </w:r>
          </w:p>
        </w:tc>
      </w:tr>
      <w:tr w:rsidR="0072532D" w:rsidRPr="00843214" w14:paraId="6AF558A6" w14:textId="77777777" w:rsidTr="0072532D">
        <w:tc>
          <w:tcPr>
            <w:tcW w:w="706" w:type="dxa"/>
            <w:hideMark/>
          </w:tcPr>
          <w:p w14:paraId="474A437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13 </w:t>
            </w:r>
          </w:p>
        </w:tc>
        <w:tc>
          <w:tcPr>
            <w:tcW w:w="9207" w:type="dxa"/>
            <w:hideMark/>
          </w:tcPr>
          <w:p w14:paraId="070BCE48"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Annual Report 2019-20 </w:t>
            </w:r>
          </w:p>
        </w:tc>
      </w:tr>
      <w:tr w:rsidR="0072532D" w:rsidRPr="00843214" w14:paraId="46E28B92" w14:textId="77777777" w:rsidTr="0072532D">
        <w:tc>
          <w:tcPr>
            <w:tcW w:w="706" w:type="dxa"/>
            <w:hideMark/>
          </w:tcPr>
          <w:p w14:paraId="5B7D87D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14 </w:t>
            </w:r>
          </w:p>
        </w:tc>
        <w:tc>
          <w:tcPr>
            <w:tcW w:w="9207" w:type="dxa"/>
            <w:hideMark/>
          </w:tcPr>
          <w:p w14:paraId="79D04B38"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Annual Report 2018-19 </w:t>
            </w:r>
          </w:p>
        </w:tc>
      </w:tr>
      <w:tr w:rsidR="0072532D" w:rsidRPr="00843214" w14:paraId="40EE01DC" w14:textId="77777777" w:rsidTr="0072532D">
        <w:tc>
          <w:tcPr>
            <w:tcW w:w="706" w:type="dxa"/>
            <w:hideMark/>
          </w:tcPr>
          <w:p w14:paraId="39F7D4A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15 </w:t>
            </w:r>
          </w:p>
        </w:tc>
        <w:tc>
          <w:tcPr>
            <w:tcW w:w="9207" w:type="dxa"/>
            <w:hideMark/>
          </w:tcPr>
          <w:p w14:paraId="73A5F67D"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Annual Report 2017-18 </w:t>
            </w:r>
          </w:p>
        </w:tc>
      </w:tr>
      <w:tr w:rsidR="0072532D" w:rsidRPr="00843214" w14:paraId="7A93534E" w14:textId="77777777" w:rsidTr="0072532D">
        <w:tc>
          <w:tcPr>
            <w:tcW w:w="706" w:type="dxa"/>
            <w:hideMark/>
          </w:tcPr>
          <w:p w14:paraId="39A7328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16 </w:t>
            </w:r>
          </w:p>
        </w:tc>
        <w:tc>
          <w:tcPr>
            <w:tcW w:w="9207" w:type="dxa"/>
            <w:hideMark/>
          </w:tcPr>
          <w:p w14:paraId="5E4AE72B" w14:textId="77777777" w:rsidR="0072532D" w:rsidRPr="00843214" w:rsidRDefault="0072532D" w:rsidP="003D5673">
            <w:pPr>
              <w:spacing w:after="0"/>
              <w:contextualSpacing/>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Annual Report 2016-17 </w:t>
            </w:r>
          </w:p>
        </w:tc>
      </w:tr>
      <w:tr w:rsidR="0072532D" w:rsidRPr="00843214" w14:paraId="6D57997D" w14:textId="77777777" w:rsidTr="0072532D">
        <w:tc>
          <w:tcPr>
            <w:tcW w:w="706" w:type="dxa"/>
            <w:hideMark/>
          </w:tcPr>
          <w:p w14:paraId="0A8EAD8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17 </w:t>
            </w:r>
          </w:p>
        </w:tc>
        <w:tc>
          <w:tcPr>
            <w:tcW w:w="9207" w:type="dxa"/>
            <w:hideMark/>
          </w:tcPr>
          <w:p w14:paraId="1EA2F9D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Report of the Under-Secretary-General/Executive Director of the United Nations Entity for Gender Equality and the Empowerment of Women on progress made on the Strategic Plan 2018-2021, including the midterm review of the Strategic Plan, 20 April 2020 [</w:t>
            </w:r>
            <w:hyperlink r:id="rId33" w:tgtFrame="_blank" w:history="1">
              <w:r w:rsidRPr="00843214">
                <w:rPr>
                  <w:rFonts w:eastAsia="Times New Roman" w:cs="Calibri"/>
                  <w:color w:val="auto"/>
                  <w:sz w:val="20"/>
                  <w:szCs w:val="20"/>
                  <w:u w:val="single"/>
                  <w:lang w:val="en-AU"/>
                </w:rPr>
                <w:t>https://www.unwomen.org/en/executive-board/documents/2020/annual-session-2020</w:t>
              </w:r>
            </w:hyperlink>
            <w:r w:rsidRPr="00843214">
              <w:rPr>
                <w:rFonts w:eastAsia="Times New Roman" w:cs="Calibri"/>
                <w:color w:val="auto"/>
                <w:sz w:val="20"/>
                <w:szCs w:val="20"/>
                <w:lang w:val="en-AU"/>
              </w:rPr>
              <w:t>] </w:t>
            </w:r>
          </w:p>
        </w:tc>
      </w:tr>
      <w:tr w:rsidR="0072532D" w:rsidRPr="00843214" w14:paraId="42F8450A" w14:textId="77777777" w:rsidTr="0072532D">
        <w:tc>
          <w:tcPr>
            <w:tcW w:w="706" w:type="dxa"/>
            <w:hideMark/>
          </w:tcPr>
          <w:p w14:paraId="53CF8AD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18 </w:t>
            </w:r>
          </w:p>
        </w:tc>
        <w:tc>
          <w:tcPr>
            <w:tcW w:w="9207" w:type="dxa"/>
            <w:hideMark/>
          </w:tcPr>
          <w:p w14:paraId="5C0EE87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Executive Board of the United Nations Entity for Gender Equality and the Empowerment of Women First Regular Session, 15-16 February 2021 </w:t>
            </w:r>
            <w:hyperlink r:id="rId34" w:tgtFrame="_blank" w:history="1">
              <w:r w:rsidRPr="00843214">
                <w:rPr>
                  <w:rFonts w:eastAsia="Times New Roman" w:cs="Calibri"/>
                  <w:color w:val="auto"/>
                  <w:sz w:val="20"/>
                  <w:szCs w:val="20"/>
                  <w:u w:val="single"/>
                  <w:lang w:val="en-AU"/>
                </w:rPr>
                <w:t>https://www.unwomen.org/en/executive-board/documents/2021/first-regular-session-2021</w:t>
              </w:r>
            </w:hyperlink>
            <w:r w:rsidRPr="00843214">
              <w:rPr>
                <w:rFonts w:eastAsia="Times New Roman" w:cs="Calibri"/>
                <w:color w:val="auto"/>
                <w:sz w:val="20"/>
                <w:szCs w:val="20"/>
                <w:u w:val="single"/>
                <w:lang w:val="en-AU"/>
              </w:rPr>
              <w:t> [online]</w:t>
            </w:r>
            <w:r w:rsidRPr="00843214">
              <w:rPr>
                <w:rFonts w:eastAsia="Times New Roman" w:cs="Calibri"/>
                <w:color w:val="auto"/>
                <w:sz w:val="20"/>
                <w:szCs w:val="20"/>
                <w:lang w:val="en-AU"/>
              </w:rPr>
              <w:t> </w:t>
            </w:r>
          </w:p>
        </w:tc>
      </w:tr>
      <w:tr w:rsidR="0072532D" w:rsidRPr="00843214" w14:paraId="0F6F5DAA" w14:textId="77777777" w:rsidTr="0072532D">
        <w:tc>
          <w:tcPr>
            <w:tcW w:w="706" w:type="dxa"/>
            <w:hideMark/>
          </w:tcPr>
          <w:p w14:paraId="6C9E07C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18.a </w:t>
            </w:r>
          </w:p>
        </w:tc>
        <w:tc>
          <w:tcPr>
            <w:tcW w:w="9207" w:type="dxa"/>
            <w:hideMark/>
          </w:tcPr>
          <w:p w14:paraId="059DBD2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 xml:space="preserve">Management Response to Corporate evaluation of support provided by UN-Women to United Nations Security Council resolution 1325 national action plans on women, </w:t>
            </w:r>
            <w:proofErr w:type="gramStart"/>
            <w:r w:rsidRPr="00843214">
              <w:rPr>
                <w:rFonts w:eastAsia="Times New Roman" w:cs="Calibri"/>
                <w:color w:val="auto"/>
                <w:sz w:val="20"/>
                <w:szCs w:val="20"/>
                <w:lang w:val="en-AU"/>
              </w:rPr>
              <w:t>peace</w:t>
            </w:r>
            <w:proofErr w:type="gramEnd"/>
            <w:r w:rsidRPr="00843214">
              <w:rPr>
                <w:rFonts w:eastAsia="Times New Roman" w:cs="Calibri"/>
                <w:color w:val="auto"/>
                <w:sz w:val="20"/>
                <w:szCs w:val="20"/>
                <w:lang w:val="en-AU"/>
              </w:rPr>
              <w:t xml:space="preserve"> and security (UNW/2021/CRP.2) </w:t>
            </w:r>
          </w:p>
        </w:tc>
      </w:tr>
      <w:tr w:rsidR="0072532D" w:rsidRPr="00843214" w14:paraId="1222871B" w14:textId="77777777" w:rsidTr="0072532D">
        <w:tc>
          <w:tcPr>
            <w:tcW w:w="706" w:type="dxa"/>
            <w:hideMark/>
          </w:tcPr>
          <w:p w14:paraId="5AA45A03"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18.b </w:t>
            </w:r>
          </w:p>
        </w:tc>
        <w:tc>
          <w:tcPr>
            <w:tcW w:w="9207" w:type="dxa"/>
            <w:hideMark/>
          </w:tcPr>
          <w:p w14:paraId="6E1E0E96" w14:textId="2A65BE3A"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Management Response to Effectiveness and Efficiency Assessment of UN Women Flagship Program Initiatives and Thematic Priorities of the Strategic Plan 2018-2021 (UNW/2021/CRP.3) </w:t>
            </w:r>
          </w:p>
        </w:tc>
      </w:tr>
      <w:tr w:rsidR="0072532D" w:rsidRPr="00843214" w14:paraId="28E4AEFE" w14:textId="77777777" w:rsidTr="0072532D">
        <w:tc>
          <w:tcPr>
            <w:tcW w:w="706" w:type="dxa"/>
            <w:hideMark/>
          </w:tcPr>
          <w:p w14:paraId="6367807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18c. </w:t>
            </w:r>
          </w:p>
        </w:tc>
        <w:tc>
          <w:tcPr>
            <w:tcW w:w="9207" w:type="dxa"/>
            <w:hideMark/>
          </w:tcPr>
          <w:p w14:paraId="14B96F0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Background note: Draft Strategic Framework for UN-Women’s Strategic Plan 2022 – 2025 </w:t>
            </w:r>
          </w:p>
        </w:tc>
      </w:tr>
      <w:tr w:rsidR="0072532D" w:rsidRPr="00843214" w14:paraId="785CBB2B" w14:textId="77777777" w:rsidTr="0072532D">
        <w:tc>
          <w:tcPr>
            <w:tcW w:w="706" w:type="dxa"/>
            <w:hideMark/>
          </w:tcPr>
          <w:p w14:paraId="4943F8C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19 </w:t>
            </w:r>
          </w:p>
        </w:tc>
        <w:tc>
          <w:tcPr>
            <w:tcW w:w="9207" w:type="dxa"/>
            <w:hideMark/>
          </w:tcPr>
          <w:p w14:paraId="4FAB440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Executive Board of the United Nations Entity for Gender Equality and the Empowerment of Women Report on the First Regular Session, 14 February 2020, 20 April 2020 </w:t>
            </w:r>
          </w:p>
        </w:tc>
      </w:tr>
      <w:tr w:rsidR="0072532D" w:rsidRPr="00843214" w14:paraId="07B9005D" w14:textId="77777777" w:rsidTr="0072532D">
        <w:tc>
          <w:tcPr>
            <w:tcW w:w="706" w:type="dxa"/>
            <w:hideMark/>
          </w:tcPr>
          <w:p w14:paraId="4E08E59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20 </w:t>
            </w:r>
          </w:p>
        </w:tc>
        <w:tc>
          <w:tcPr>
            <w:tcW w:w="9207" w:type="dxa"/>
            <w:hideMark/>
          </w:tcPr>
          <w:p w14:paraId="465D635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Executive Board Annual Session 2020 Background Paper, Update on UN Women’s Response to COVID-19 </w:t>
            </w:r>
          </w:p>
        </w:tc>
      </w:tr>
      <w:tr w:rsidR="0072532D" w:rsidRPr="00843214" w14:paraId="1F4C347B" w14:textId="77777777" w:rsidTr="0072532D">
        <w:tc>
          <w:tcPr>
            <w:tcW w:w="706" w:type="dxa"/>
            <w:hideMark/>
          </w:tcPr>
          <w:p w14:paraId="0B79871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21 </w:t>
            </w:r>
          </w:p>
        </w:tc>
        <w:tc>
          <w:tcPr>
            <w:tcW w:w="9207" w:type="dxa"/>
            <w:hideMark/>
          </w:tcPr>
          <w:p w14:paraId="503F166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Executive Board Annual Session 2020 </w:t>
            </w:r>
            <w:hyperlink r:id="rId35" w:tgtFrame="_blank" w:history="1">
              <w:r w:rsidRPr="00843214">
                <w:rPr>
                  <w:rFonts w:eastAsia="Times New Roman" w:cs="Calibri"/>
                  <w:color w:val="auto"/>
                  <w:sz w:val="20"/>
                  <w:szCs w:val="20"/>
                  <w:lang w:val="en-AU"/>
                </w:rPr>
                <w:t>Annual certification to the Executive Board on Protection from Sexual Exploitation and Abuse (SEA) and Reporting of SEA Allegations and Sexual Harassment (SH)</w:t>
              </w:r>
            </w:hyperlink>
            <w:r w:rsidRPr="00843214">
              <w:rPr>
                <w:rFonts w:eastAsia="Times New Roman" w:cs="Calibri"/>
                <w:color w:val="auto"/>
                <w:sz w:val="20"/>
                <w:szCs w:val="20"/>
                <w:lang w:val="en-AU"/>
              </w:rPr>
              <w:t> </w:t>
            </w:r>
          </w:p>
        </w:tc>
      </w:tr>
      <w:tr w:rsidR="0072532D" w:rsidRPr="00843214" w14:paraId="28DC8BD3" w14:textId="77777777" w:rsidTr="0072532D">
        <w:tc>
          <w:tcPr>
            <w:tcW w:w="706" w:type="dxa"/>
            <w:hideMark/>
          </w:tcPr>
          <w:p w14:paraId="3A9ACB8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22a </w:t>
            </w:r>
          </w:p>
        </w:tc>
        <w:tc>
          <w:tcPr>
            <w:tcW w:w="9207" w:type="dxa"/>
            <w:hideMark/>
          </w:tcPr>
          <w:p w14:paraId="5F7F11D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Minutes of Annual High-Level Consultations between DFAT and UN Women: 2020 </w:t>
            </w:r>
          </w:p>
        </w:tc>
      </w:tr>
      <w:tr w:rsidR="0072532D" w:rsidRPr="00843214" w14:paraId="315638DC" w14:textId="77777777" w:rsidTr="0072532D">
        <w:tc>
          <w:tcPr>
            <w:tcW w:w="706" w:type="dxa"/>
            <w:hideMark/>
          </w:tcPr>
          <w:p w14:paraId="2BFD06B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22b </w:t>
            </w:r>
          </w:p>
        </w:tc>
        <w:tc>
          <w:tcPr>
            <w:tcW w:w="9207" w:type="dxa"/>
            <w:hideMark/>
          </w:tcPr>
          <w:p w14:paraId="24F6F65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Minutes of Annual High-Level Consultations between DFAT and UN Women: 2019 </w:t>
            </w:r>
          </w:p>
        </w:tc>
      </w:tr>
      <w:tr w:rsidR="0072532D" w:rsidRPr="00843214" w14:paraId="4A1D8757" w14:textId="77777777" w:rsidTr="0072532D">
        <w:tc>
          <w:tcPr>
            <w:tcW w:w="706" w:type="dxa"/>
            <w:hideMark/>
          </w:tcPr>
          <w:p w14:paraId="715DEC5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22c </w:t>
            </w:r>
          </w:p>
        </w:tc>
        <w:tc>
          <w:tcPr>
            <w:tcW w:w="9207" w:type="dxa"/>
            <w:hideMark/>
          </w:tcPr>
          <w:p w14:paraId="3B41105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Minutes of Annual High-Level Consultations between DFAT and UN Women: 2018 </w:t>
            </w:r>
          </w:p>
        </w:tc>
      </w:tr>
      <w:tr w:rsidR="0072532D" w:rsidRPr="00843214" w14:paraId="3E00D44A" w14:textId="77777777" w:rsidTr="0072532D">
        <w:tc>
          <w:tcPr>
            <w:tcW w:w="706" w:type="dxa"/>
            <w:hideMark/>
          </w:tcPr>
          <w:p w14:paraId="04C05E2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22d </w:t>
            </w:r>
          </w:p>
        </w:tc>
        <w:tc>
          <w:tcPr>
            <w:tcW w:w="9207" w:type="dxa"/>
            <w:hideMark/>
          </w:tcPr>
          <w:p w14:paraId="62E9CA4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Minutes of Annual High-Level Consultations between DFAT and UN Women: 2017 </w:t>
            </w:r>
          </w:p>
        </w:tc>
      </w:tr>
      <w:tr w:rsidR="0072532D" w:rsidRPr="00843214" w14:paraId="145C5B62" w14:textId="77777777" w:rsidTr="0072532D">
        <w:tc>
          <w:tcPr>
            <w:tcW w:w="706" w:type="dxa"/>
            <w:hideMark/>
          </w:tcPr>
          <w:p w14:paraId="75E1E32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23 </w:t>
            </w:r>
          </w:p>
        </w:tc>
        <w:tc>
          <w:tcPr>
            <w:tcW w:w="9207" w:type="dxa"/>
            <w:hideMark/>
          </w:tcPr>
          <w:p w14:paraId="75D5564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2020, </w:t>
            </w:r>
            <w:hyperlink r:id="rId36" w:tgtFrame="_blank" w:history="1">
              <w:r w:rsidRPr="00843214">
                <w:rPr>
                  <w:rFonts w:eastAsia="Times New Roman" w:cs="Calibri"/>
                  <w:color w:val="auto"/>
                  <w:sz w:val="20"/>
                  <w:szCs w:val="20"/>
                  <w:u w:val="single"/>
                  <w:lang w:val="en-AU"/>
                </w:rPr>
                <w:t>Mid-term review of the current Strategic Plan 2018-2021</w:t>
              </w:r>
            </w:hyperlink>
            <w:r w:rsidRPr="00843214">
              <w:rPr>
                <w:rFonts w:eastAsia="Times New Roman" w:cs="Calibri"/>
                <w:color w:val="auto"/>
                <w:sz w:val="20"/>
                <w:szCs w:val="20"/>
                <w:lang w:val="en-AU"/>
              </w:rPr>
              <w:t>  </w:t>
            </w:r>
          </w:p>
        </w:tc>
      </w:tr>
      <w:tr w:rsidR="0072532D" w:rsidRPr="00843214" w14:paraId="53C49ADB" w14:textId="77777777" w:rsidTr="0072532D">
        <w:tc>
          <w:tcPr>
            <w:tcW w:w="706" w:type="dxa"/>
            <w:hideMark/>
          </w:tcPr>
          <w:p w14:paraId="15AC37D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24 </w:t>
            </w:r>
          </w:p>
        </w:tc>
        <w:tc>
          <w:tcPr>
            <w:tcW w:w="9207" w:type="dxa"/>
            <w:hideMark/>
          </w:tcPr>
          <w:p w14:paraId="0AE6CFF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2020, Insights on organisational effectiveness and efficiency: A meta-synthesis of UN Women evaluations </w:t>
            </w:r>
          </w:p>
        </w:tc>
      </w:tr>
      <w:tr w:rsidR="0072532D" w:rsidRPr="00843214" w14:paraId="2C17EB34" w14:textId="77777777" w:rsidTr="0072532D">
        <w:tc>
          <w:tcPr>
            <w:tcW w:w="706" w:type="dxa"/>
            <w:hideMark/>
          </w:tcPr>
          <w:p w14:paraId="159C8747"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25 </w:t>
            </w:r>
          </w:p>
        </w:tc>
        <w:tc>
          <w:tcPr>
            <w:tcW w:w="9207" w:type="dxa"/>
            <w:hideMark/>
          </w:tcPr>
          <w:p w14:paraId="30FE6FE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2020, Annual Report on Evaluation to the Executive Director and Executive Board </w:t>
            </w:r>
          </w:p>
        </w:tc>
      </w:tr>
      <w:tr w:rsidR="0072532D" w:rsidRPr="00843214" w14:paraId="51A12BDB" w14:textId="77777777" w:rsidTr="0072532D">
        <w:tc>
          <w:tcPr>
            <w:tcW w:w="706" w:type="dxa"/>
            <w:hideMark/>
          </w:tcPr>
          <w:p w14:paraId="1B0B13D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26 </w:t>
            </w:r>
          </w:p>
        </w:tc>
        <w:tc>
          <w:tcPr>
            <w:tcW w:w="9207" w:type="dxa"/>
            <w:hideMark/>
          </w:tcPr>
          <w:p w14:paraId="1305693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2019, Annual Report on Evaluation to the Executive Director and Executive Board </w:t>
            </w:r>
          </w:p>
        </w:tc>
      </w:tr>
      <w:tr w:rsidR="0072532D" w:rsidRPr="00843214" w14:paraId="6CA7A6F7" w14:textId="77777777" w:rsidTr="0072532D">
        <w:tc>
          <w:tcPr>
            <w:tcW w:w="706" w:type="dxa"/>
            <w:hideMark/>
          </w:tcPr>
          <w:p w14:paraId="6BC6781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27 </w:t>
            </w:r>
          </w:p>
        </w:tc>
        <w:tc>
          <w:tcPr>
            <w:tcW w:w="9207" w:type="dxa"/>
            <w:hideMark/>
          </w:tcPr>
          <w:p w14:paraId="37F9290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2018, Annual Report on Evaluation to the Executive Director and Executive Board </w:t>
            </w:r>
          </w:p>
        </w:tc>
      </w:tr>
      <w:tr w:rsidR="0072532D" w:rsidRPr="00843214" w14:paraId="100FCA3F" w14:textId="77777777" w:rsidTr="0072532D">
        <w:tc>
          <w:tcPr>
            <w:tcW w:w="706" w:type="dxa"/>
            <w:hideMark/>
          </w:tcPr>
          <w:p w14:paraId="552B8FF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28 </w:t>
            </w:r>
          </w:p>
        </w:tc>
        <w:tc>
          <w:tcPr>
            <w:tcW w:w="9207" w:type="dxa"/>
            <w:hideMark/>
          </w:tcPr>
          <w:p w14:paraId="033E820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2017, Annual Report on Evaluation to the Executive Director and Executive Board </w:t>
            </w:r>
          </w:p>
        </w:tc>
      </w:tr>
      <w:tr w:rsidR="0072532D" w:rsidRPr="00843214" w14:paraId="30B95AA7" w14:textId="77777777" w:rsidTr="0072532D">
        <w:tc>
          <w:tcPr>
            <w:tcW w:w="706" w:type="dxa"/>
            <w:hideMark/>
          </w:tcPr>
          <w:p w14:paraId="394720F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lastRenderedPageBreak/>
              <w:t>29 </w:t>
            </w:r>
          </w:p>
        </w:tc>
        <w:tc>
          <w:tcPr>
            <w:tcW w:w="9207" w:type="dxa"/>
            <w:hideMark/>
          </w:tcPr>
          <w:p w14:paraId="78C8217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2019, Corporate thematic evaluation of UN Women’s contribution to humanitarian action </w:t>
            </w:r>
          </w:p>
        </w:tc>
      </w:tr>
      <w:tr w:rsidR="0072532D" w:rsidRPr="00843214" w14:paraId="46C8895B" w14:textId="77777777" w:rsidTr="0072532D">
        <w:tc>
          <w:tcPr>
            <w:tcW w:w="706" w:type="dxa"/>
            <w:hideMark/>
          </w:tcPr>
          <w:p w14:paraId="562D961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30 </w:t>
            </w:r>
          </w:p>
        </w:tc>
        <w:tc>
          <w:tcPr>
            <w:tcW w:w="9207" w:type="dxa"/>
            <w:hideMark/>
          </w:tcPr>
          <w:p w14:paraId="2DE50A4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2019, Meta-synthesis of UN Women evaluations 2017/2018 </w:t>
            </w:r>
          </w:p>
        </w:tc>
      </w:tr>
      <w:tr w:rsidR="0072532D" w:rsidRPr="00843214" w14:paraId="6C335D9B" w14:textId="77777777" w:rsidTr="0072532D">
        <w:tc>
          <w:tcPr>
            <w:tcW w:w="706" w:type="dxa"/>
            <w:hideMark/>
          </w:tcPr>
          <w:p w14:paraId="3A47A0C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31 </w:t>
            </w:r>
          </w:p>
        </w:tc>
        <w:tc>
          <w:tcPr>
            <w:tcW w:w="9207" w:type="dxa"/>
            <w:hideMark/>
          </w:tcPr>
          <w:p w14:paraId="68F077D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2019, Corporate thematic evaluation of UN Women’s contribution to governance and national planning </w:t>
            </w:r>
          </w:p>
        </w:tc>
      </w:tr>
      <w:tr w:rsidR="0072532D" w:rsidRPr="00843214" w14:paraId="203657F0" w14:textId="77777777" w:rsidTr="0072532D">
        <w:tc>
          <w:tcPr>
            <w:tcW w:w="706" w:type="dxa"/>
            <w:hideMark/>
          </w:tcPr>
          <w:p w14:paraId="199AD91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32 </w:t>
            </w:r>
          </w:p>
        </w:tc>
        <w:tc>
          <w:tcPr>
            <w:tcW w:w="9207" w:type="dxa"/>
            <w:hideMark/>
          </w:tcPr>
          <w:p w14:paraId="6486BE1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2018, Reflections on change: Meta-analysis of evaluations managed by UN Women in 2017 </w:t>
            </w:r>
          </w:p>
        </w:tc>
      </w:tr>
      <w:tr w:rsidR="0072532D" w:rsidRPr="00843214" w14:paraId="4456A313" w14:textId="77777777" w:rsidTr="0072532D">
        <w:tc>
          <w:tcPr>
            <w:tcW w:w="706" w:type="dxa"/>
            <w:hideMark/>
          </w:tcPr>
          <w:p w14:paraId="0793755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33 </w:t>
            </w:r>
          </w:p>
        </w:tc>
        <w:tc>
          <w:tcPr>
            <w:tcW w:w="9207" w:type="dxa"/>
            <w:hideMark/>
          </w:tcPr>
          <w:p w14:paraId="3F08815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2018, Corporate evaluation of UN Women’s contribution to women’s political participation and leadership: Synthesis report </w:t>
            </w:r>
          </w:p>
        </w:tc>
      </w:tr>
      <w:tr w:rsidR="0072532D" w:rsidRPr="00843214" w14:paraId="238B8120" w14:textId="77777777" w:rsidTr="0072532D">
        <w:tc>
          <w:tcPr>
            <w:tcW w:w="706" w:type="dxa"/>
            <w:hideMark/>
          </w:tcPr>
          <w:p w14:paraId="7D41AB3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34 </w:t>
            </w:r>
          </w:p>
        </w:tc>
        <w:tc>
          <w:tcPr>
            <w:tcW w:w="9207" w:type="dxa"/>
            <w:hideMark/>
          </w:tcPr>
          <w:p w14:paraId="5B533E57"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2017, A unique view of the bigger picture: A meta-analysis of UN Women evaluations in 2016  </w:t>
            </w:r>
          </w:p>
        </w:tc>
      </w:tr>
      <w:tr w:rsidR="0072532D" w:rsidRPr="00843214" w14:paraId="025C1B60" w14:textId="77777777" w:rsidTr="0072532D">
        <w:tc>
          <w:tcPr>
            <w:tcW w:w="706" w:type="dxa"/>
            <w:hideMark/>
          </w:tcPr>
          <w:p w14:paraId="301C36D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35 </w:t>
            </w:r>
          </w:p>
        </w:tc>
        <w:tc>
          <w:tcPr>
            <w:tcW w:w="9207" w:type="dxa"/>
            <w:hideMark/>
          </w:tcPr>
          <w:p w14:paraId="45705AE7"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2017, Corporate evaluation of UN Women’s strategic partnerships for gender equality and the empowerment of women </w:t>
            </w:r>
          </w:p>
        </w:tc>
      </w:tr>
      <w:tr w:rsidR="0072532D" w:rsidRPr="00843214" w14:paraId="7670659A" w14:textId="77777777" w:rsidTr="0072532D">
        <w:tc>
          <w:tcPr>
            <w:tcW w:w="706" w:type="dxa"/>
            <w:hideMark/>
          </w:tcPr>
          <w:p w14:paraId="77F4253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36 </w:t>
            </w:r>
          </w:p>
        </w:tc>
        <w:tc>
          <w:tcPr>
            <w:tcW w:w="9207" w:type="dxa"/>
            <w:hideMark/>
          </w:tcPr>
          <w:p w14:paraId="6C438C7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2016, Corporate evaluation of UN Women’s contribution to UN system coordination on gender equality and the empowerment of women </w:t>
            </w:r>
          </w:p>
        </w:tc>
      </w:tr>
      <w:tr w:rsidR="0072532D" w:rsidRPr="00843214" w14:paraId="34D82BFD" w14:textId="77777777" w:rsidTr="0072532D">
        <w:tc>
          <w:tcPr>
            <w:tcW w:w="706" w:type="dxa"/>
            <w:hideMark/>
          </w:tcPr>
          <w:p w14:paraId="25C8169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37 </w:t>
            </w:r>
          </w:p>
        </w:tc>
        <w:tc>
          <w:tcPr>
            <w:tcW w:w="9207" w:type="dxa"/>
            <w:hideMark/>
          </w:tcPr>
          <w:p w14:paraId="0818A75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MOPAN 2017-2018 UN Women Performance Assessment  </w:t>
            </w:r>
          </w:p>
        </w:tc>
      </w:tr>
      <w:tr w:rsidR="0072532D" w:rsidRPr="00843214" w14:paraId="181F04E9" w14:textId="77777777" w:rsidTr="0072532D">
        <w:tc>
          <w:tcPr>
            <w:tcW w:w="706" w:type="dxa"/>
            <w:hideMark/>
          </w:tcPr>
          <w:p w14:paraId="30A90A0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38 </w:t>
            </w:r>
          </w:p>
        </w:tc>
        <w:tc>
          <w:tcPr>
            <w:tcW w:w="9207" w:type="dxa"/>
            <w:hideMark/>
          </w:tcPr>
          <w:p w14:paraId="5FF3696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2019, Core Report [online] (https://www.unwomen.org/en/partnerships/donor-countries/core-resources) </w:t>
            </w:r>
          </w:p>
        </w:tc>
      </w:tr>
      <w:tr w:rsidR="0072532D" w:rsidRPr="00843214" w14:paraId="293DE7A5" w14:textId="77777777" w:rsidTr="0072532D">
        <w:tc>
          <w:tcPr>
            <w:tcW w:w="706" w:type="dxa"/>
            <w:hideMark/>
          </w:tcPr>
          <w:p w14:paraId="616D466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39 </w:t>
            </w:r>
          </w:p>
        </w:tc>
        <w:tc>
          <w:tcPr>
            <w:tcW w:w="9207" w:type="dxa"/>
            <w:hideMark/>
          </w:tcPr>
          <w:p w14:paraId="383375E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Viet Nam Country Portfolio Evaluation (ToRs 2020, final version expected in the coming weeks) </w:t>
            </w:r>
            <w:hyperlink r:id="rId37" w:tgtFrame="_blank" w:history="1">
              <w:r w:rsidRPr="00843214">
                <w:rPr>
                  <w:rFonts w:eastAsia="Times New Roman" w:cs="Calibri"/>
                  <w:color w:val="auto"/>
                  <w:sz w:val="20"/>
                  <w:szCs w:val="20"/>
                  <w:u w:val="single"/>
                  <w:lang w:val="en-AU"/>
                </w:rPr>
                <w:t>https://gate.unwomen.org/Evaluation/Details?EvaluationId=11482</w:t>
              </w:r>
            </w:hyperlink>
            <w:r w:rsidRPr="00843214">
              <w:rPr>
                <w:rFonts w:eastAsia="Times New Roman" w:cs="Calibri"/>
                <w:color w:val="auto"/>
                <w:sz w:val="20"/>
                <w:szCs w:val="20"/>
                <w:lang w:val="en-AU"/>
              </w:rPr>
              <w:t> </w:t>
            </w:r>
          </w:p>
        </w:tc>
      </w:tr>
      <w:tr w:rsidR="0072532D" w:rsidRPr="00843214" w14:paraId="6BF8F72A" w14:textId="77777777" w:rsidTr="0072532D">
        <w:tc>
          <w:tcPr>
            <w:tcW w:w="706" w:type="dxa"/>
            <w:hideMark/>
          </w:tcPr>
          <w:p w14:paraId="781963B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40 </w:t>
            </w:r>
          </w:p>
        </w:tc>
        <w:tc>
          <w:tcPr>
            <w:tcW w:w="9207" w:type="dxa"/>
            <w:hideMark/>
          </w:tcPr>
          <w:p w14:paraId="0113B44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Papua New Guinea Country Portfolio Evaluation (final report 2020) </w:t>
            </w:r>
            <w:hyperlink r:id="rId38" w:tgtFrame="_blank" w:history="1">
              <w:r w:rsidRPr="00843214">
                <w:rPr>
                  <w:rFonts w:eastAsia="Times New Roman" w:cs="Calibri"/>
                  <w:color w:val="auto"/>
                  <w:sz w:val="20"/>
                  <w:szCs w:val="20"/>
                  <w:u w:val="single"/>
                  <w:lang w:val="en-AU"/>
                </w:rPr>
                <w:t>https://gate.unwomen.org/Evaluation/Details?evaluationId=11431</w:t>
              </w:r>
            </w:hyperlink>
            <w:r w:rsidRPr="00843214">
              <w:rPr>
                <w:rFonts w:eastAsia="Times New Roman" w:cs="Calibri"/>
                <w:color w:val="auto"/>
                <w:sz w:val="20"/>
                <w:szCs w:val="20"/>
                <w:lang w:val="en-AU"/>
              </w:rPr>
              <w:t> </w:t>
            </w:r>
          </w:p>
        </w:tc>
      </w:tr>
      <w:tr w:rsidR="0072532D" w:rsidRPr="00843214" w14:paraId="744383E0" w14:textId="77777777" w:rsidTr="0072532D">
        <w:tc>
          <w:tcPr>
            <w:tcW w:w="706" w:type="dxa"/>
            <w:hideMark/>
          </w:tcPr>
          <w:p w14:paraId="29B375A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41 </w:t>
            </w:r>
          </w:p>
        </w:tc>
        <w:tc>
          <w:tcPr>
            <w:tcW w:w="9207" w:type="dxa"/>
            <w:hideMark/>
          </w:tcPr>
          <w:p w14:paraId="64B44EE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Safe Cities impact evaluation </w:t>
            </w:r>
            <w:hyperlink r:id="rId39" w:tgtFrame="_blank" w:history="1">
              <w:r w:rsidRPr="00843214">
                <w:rPr>
                  <w:rFonts w:eastAsia="Times New Roman" w:cs="Calibri"/>
                  <w:color w:val="auto"/>
                  <w:sz w:val="20"/>
                  <w:szCs w:val="20"/>
                  <w:u w:val="single"/>
                  <w:lang w:val="en-AU"/>
                </w:rPr>
                <w:t>https://gate.unwomen.org/Evaluation/Details?evaluationId=11437</w:t>
              </w:r>
            </w:hyperlink>
            <w:r w:rsidRPr="00843214">
              <w:rPr>
                <w:rFonts w:eastAsia="Times New Roman" w:cs="Calibri"/>
                <w:color w:val="auto"/>
                <w:sz w:val="20"/>
                <w:szCs w:val="20"/>
                <w:lang w:val="en-AU"/>
              </w:rPr>
              <w:t> </w:t>
            </w:r>
          </w:p>
        </w:tc>
      </w:tr>
      <w:tr w:rsidR="0072532D" w:rsidRPr="00843214" w14:paraId="153AD641" w14:textId="77777777" w:rsidTr="0072532D">
        <w:tc>
          <w:tcPr>
            <w:tcW w:w="706" w:type="dxa"/>
            <w:hideMark/>
          </w:tcPr>
          <w:p w14:paraId="40837C0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42 </w:t>
            </w:r>
          </w:p>
        </w:tc>
        <w:tc>
          <w:tcPr>
            <w:tcW w:w="9207" w:type="dxa"/>
            <w:hideMark/>
          </w:tcPr>
          <w:p w14:paraId="0F38E877"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Asia-Pacific Regional Annual Report 2018-2019 </w:t>
            </w:r>
            <w:hyperlink r:id="rId40" w:tgtFrame="_blank" w:history="1">
              <w:r w:rsidRPr="00843214">
                <w:rPr>
                  <w:rFonts w:eastAsia="Times New Roman" w:cs="Calibri"/>
                  <w:color w:val="auto"/>
                  <w:sz w:val="20"/>
                  <w:szCs w:val="20"/>
                  <w:u w:val="single"/>
                  <w:lang w:val="en-AU"/>
                </w:rPr>
                <w:t>https://asiapacific.unwomen.org/en/digital-library/publications/2020/09/un-women-asia-pacific-annual-report-2018-2019</w:t>
              </w:r>
            </w:hyperlink>
            <w:r w:rsidRPr="00843214">
              <w:rPr>
                <w:rFonts w:eastAsia="Times New Roman" w:cs="Calibri"/>
                <w:color w:val="auto"/>
                <w:sz w:val="20"/>
                <w:szCs w:val="20"/>
                <w:lang w:val="en-AU"/>
              </w:rPr>
              <w:t> </w:t>
            </w:r>
          </w:p>
        </w:tc>
      </w:tr>
      <w:tr w:rsidR="0072532D" w:rsidRPr="00843214" w14:paraId="72EFC6C5" w14:textId="77777777" w:rsidTr="0072532D">
        <w:tc>
          <w:tcPr>
            <w:tcW w:w="706" w:type="dxa"/>
            <w:hideMark/>
          </w:tcPr>
          <w:p w14:paraId="0D7DA7E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43 </w:t>
            </w:r>
          </w:p>
        </w:tc>
        <w:tc>
          <w:tcPr>
            <w:tcW w:w="9207" w:type="dxa"/>
            <w:hideMark/>
          </w:tcPr>
          <w:p w14:paraId="289EE62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Asia-Pacific Regional Annual Report 2017-2018 </w:t>
            </w:r>
            <w:hyperlink r:id="rId41" w:tgtFrame="_blank" w:history="1">
              <w:r w:rsidRPr="00843214">
                <w:rPr>
                  <w:rFonts w:eastAsia="Times New Roman" w:cs="Calibri"/>
                  <w:color w:val="auto"/>
                  <w:sz w:val="20"/>
                  <w:szCs w:val="20"/>
                  <w:u w:val="single"/>
                  <w:lang w:val="en-AU"/>
                </w:rPr>
                <w:t>https://asiapacific.unwomen.org/en/digital-library/publications/2019/03/un-women-asia-and-the-pacific-annual-report</w:t>
              </w:r>
            </w:hyperlink>
            <w:r w:rsidRPr="00843214">
              <w:rPr>
                <w:rFonts w:eastAsia="Times New Roman" w:cs="Calibri"/>
                <w:color w:val="auto"/>
                <w:sz w:val="20"/>
                <w:szCs w:val="20"/>
                <w:lang w:val="en-AU"/>
              </w:rPr>
              <w:t> </w:t>
            </w:r>
          </w:p>
        </w:tc>
      </w:tr>
      <w:tr w:rsidR="0072532D" w:rsidRPr="00843214" w14:paraId="6CEB0B2A" w14:textId="77777777" w:rsidTr="0072532D">
        <w:tc>
          <w:tcPr>
            <w:tcW w:w="706" w:type="dxa"/>
            <w:hideMark/>
          </w:tcPr>
          <w:p w14:paraId="462D055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44 </w:t>
            </w:r>
          </w:p>
        </w:tc>
        <w:tc>
          <w:tcPr>
            <w:tcW w:w="9207" w:type="dxa"/>
            <w:hideMark/>
          </w:tcPr>
          <w:p w14:paraId="483323A3" w14:textId="1A9BB584"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Trust Fund to EVAW Annual Report 2018 </w:t>
            </w:r>
            <w:hyperlink r:id="rId42" w:tgtFrame="_blank" w:history="1">
              <w:r w:rsidRPr="00843214">
                <w:rPr>
                  <w:rFonts w:eastAsia="Times New Roman" w:cs="Calibri"/>
                  <w:color w:val="auto"/>
                  <w:sz w:val="20"/>
                  <w:szCs w:val="20"/>
                  <w:u w:val="single"/>
                  <w:lang w:val="en-AU"/>
                </w:rPr>
                <w:t>https://www2.unwomen.org/-/media/field%20office%20untf/publications/2019/annual%20report%202018/un%20trust%20fund%20annual%20report%202018_web%20final.pdf?la=en&amp;vs=3055</w:t>
              </w:r>
            </w:hyperlink>
            <w:r w:rsidRPr="00843214">
              <w:rPr>
                <w:rFonts w:eastAsia="Times New Roman" w:cs="Calibri"/>
                <w:color w:val="auto"/>
                <w:sz w:val="20"/>
                <w:szCs w:val="20"/>
                <w:lang w:val="en-AU"/>
              </w:rPr>
              <w:t> </w:t>
            </w:r>
          </w:p>
        </w:tc>
      </w:tr>
      <w:tr w:rsidR="0072532D" w:rsidRPr="00843214" w14:paraId="275EFD98" w14:textId="77777777" w:rsidTr="0072532D">
        <w:tc>
          <w:tcPr>
            <w:tcW w:w="706" w:type="dxa"/>
            <w:hideMark/>
          </w:tcPr>
          <w:p w14:paraId="0C7ABEC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45 </w:t>
            </w:r>
          </w:p>
        </w:tc>
        <w:tc>
          <w:tcPr>
            <w:tcW w:w="9207" w:type="dxa"/>
            <w:hideMark/>
          </w:tcPr>
          <w:p w14:paraId="5BF6D53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The Asia-Pacific COVID response report: first 100 days </w:t>
            </w:r>
            <w:hyperlink r:id="rId43" w:tgtFrame="_blank" w:history="1">
              <w:r w:rsidRPr="00843214">
                <w:rPr>
                  <w:rFonts w:eastAsia="Times New Roman" w:cs="Calibri"/>
                  <w:color w:val="auto"/>
                  <w:sz w:val="20"/>
                  <w:szCs w:val="20"/>
                  <w:u w:val="single"/>
                  <w:lang w:val="en-AU"/>
                </w:rPr>
                <w:t>https://asiapacific.unwomen.org/en/digital-library/publications/2020/04/the-first-100-days-of-the-covid-19-outbreak-in-asia-and-the-pacific</w:t>
              </w:r>
            </w:hyperlink>
            <w:r w:rsidRPr="00843214">
              <w:rPr>
                <w:rFonts w:eastAsia="Times New Roman" w:cs="Calibri"/>
                <w:color w:val="auto"/>
                <w:sz w:val="20"/>
                <w:szCs w:val="20"/>
                <w:lang w:val="en-AU"/>
              </w:rPr>
              <w:t> </w:t>
            </w:r>
          </w:p>
        </w:tc>
      </w:tr>
      <w:tr w:rsidR="0072532D" w:rsidRPr="00843214" w14:paraId="5BA448FF" w14:textId="77777777" w:rsidTr="0072532D">
        <w:tc>
          <w:tcPr>
            <w:tcW w:w="706" w:type="dxa"/>
            <w:hideMark/>
          </w:tcPr>
          <w:p w14:paraId="0C476A0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46 </w:t>
            </w:r>
          </w:p>
        </w:tc>
        <w:tc>
          <w:tcPr>
            <w:tcW w:w="9207" w:type="dxa"/>
            <w:hideMark/>
          </w:tcPr>
          <w:p w14:paraId="2ABACF0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Multiple reports on the impact of COVID at the country level in the Asia-Pacific region </w:t>
            </w:r>
            <w:hyperlink r:id="rId44" w:tgtFrame="_blank" w:history="1">
              <w:r w:rsidRPr="00843214">
                <w:rPr>
                  <w:rFonts w:eastAsia="Times New Roman" w:cs="Calibri"/>
                  <w:color w:val="auto"/>
                  <w:sz w:val="20"/>
                  <w:szCs w:val="20"/>
                  <w:u w:val="single"/>
                  <w:lang w:val="en-AU"/>
                </w:rPr>
                <w:t>https://asiapacific.unwomen.org/en/digital-library/publications?keywords=covid&amp;pageNumber=2</w:t>
              </w:r>
            </w:hyperlink>
            <w:r w:rsidRPr="00843214">
              <w:rPr>
                <w:rFonts w:eastAsia="Times New Roman" w:cs="Calibri"/>
                <w:color w:val="auto"/>
                <w:sz w:val="20"/>
                <w:szCs w:val="20"/>
                <w:lang w:val="en-AU"/>
              </w:rPr>
              <w:t> </w:t>
            </w:r>
          </w:p>
        </w:tc>
      </w:tr>
      <w:tr w:rsidR="0072532D" w:rsidRPr="00843214" w14:paraId="23C312B1" w14:textId="77777777" w:rsidTr="0072532D">
        <w:tc>
          <w:tcPr>
            <w:tcW w:w="706" w:type="dxa"/>
            <w:hideMark/>
          </w:tcPr>
          <w:p w14:paraId="079C119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47 </w:t>
            </w:r>
          </w:p>
        </w:tc>
        <w:tc>
          <w:tcPr>
            <w:tcW w:w="9207" w:type="dxa"/>
            <w:hideMark/>
          </w:tcPr>
          <w:p w14:paraId="095BD9E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2020, Policy Brief on the impact of COVID-19 </w:t>
            </w:r>
          </w:p>
        </w:tc>
      </w:tr>
      <w:tr w:rsidR="0072532D" w:rsidRPr="00843214" w14:paraId="7EFC081B" w14:textId="77777777" w:rsidTr="0072532D">
        <w:tc>
          <w:tcPr>
            <w:tcW w:w="706" w:type="dxa"/>
            <w:hideMark/>
          </w:tcPr>
          <w:p w14:paraId="516A79E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48 </w:t>
            </w:r>
          </w:p>
        </w:tc>
        <w:tc>
          <w:tcPr>
            <w:tcW w:w="9207" w:type="dxa"/>
            <w:hideMark/>
          </w:tcPr>
          <w:p w14:paraId="7CD47E3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2021, UN Trust Fund to End Violence Against Women, Strategic Plan 2015-2020 </w:t>
            </w:r>
          </w:p>
        </w:tc>
      </w:tr>
      <w:tr w:rsidR="0072532D" w:rsidRPr="00843214" w14:paraId="0F1E7702" w14:textId="77777777" w:rsidTr="0072532D">
        <w:tc>
          <w:tcPr>
            <w:tcW w:w="706" w:type="dxa"/>
            <w:hideMark/>
          </w:tcPr>
          <w:p w14:paraId="353B6F9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49 </w:t>
            </w:r>
          </w:p>
        </w:tc>
        <w:tc>
          <w:tcPr>
            <w:tcW w:w="9207" w:type="dxa"/>
            <w:hideMark/>
          </w:tcPr>
          <w:p w14:paraId="4433B7C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General Assembly Economic and Social Council, 2020, Report of the United Nations Entity for Gender Equality and the Empowerment of Women on the activities of the United Nations trust fund in support of actions to eliminate violence against women </w:t>
            </w:r>
          </w:p>
        </w:tc>
      </w:tr>
      <w:tr w:rsidR="0072532D" w:rsidRPr="00843214" w14:paraId="58B1BECE" w14:textId="77777777" w:rsidTr="0072532D">
        <w:tc>
          <w:tcPr>
            <w:tcW w:w="706" w:type="dxa"/>
            <w:hideMark/>
          </w:tcPr>
          <w:p w14:paraId="04F85005"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50 </w:t>
            </w:r>
          </w:p>
        </w:tc>
        <w:tc>
          <w:tcPr>
            <w:tcW w:w="9207" w:type="dxa"/>
            <w:hideMark/>
          </w:tcPr>
          <w:p w14:paraId="4522876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2018, Partner Performance Assessment United Nations Trust Fund to End Violence Against Women. </w:t>
            </w:r>
          </w:p>
        </w:tc>
      </w:tr>
      <w:tr w:rsidR="0072532D" w:rsidRPr="00843214" w14:paraId="0CACF54C" w14:textId="77777777" w:rsidTr="0072532D">
        <w:tc>
          <w:tcPr>
            <w:tcW w:w="706" w:type="dxa"/>
            <w:hideMark/>
          </w:tcPr>
          <w:p w14:paraId="16A29F3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51 </w:t>
            </w:r>
          </w:p>
        </w:tc>
        <w:tc>
          <w:tcPr>
            <w:tcW w:w="9207" w:type="dxa"/>
            <w:hideMark/>
          </w:tcPr>
          <w:p w14:paraId="77C2F13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Global COVID response report (to be published on 1 Feb 2021) </w:t>
            </w:r>
          </w:p>
        </w:tc>
      </w:tr>
      <w:tr w:rsidR="0072532D" w:rsidRPr="00843214" w14:paraId="74EB36B8" w14:textId="77777777" w:rsidTr="0072532D">
        <w:tc>
          <w:tcPr>
            <w:tcW w:w="706" w:type="dxa"/>
            <w:hideMark/>
          </w:tcPr>
          <w:p w14:paraId="752A1E3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52 </w:t>
            </w:r>
          </w:p>
        </w:tc>
        <w:tc>
          <w:tcPr>
            <w:tcW w:w="9207" w:type="dxa"/>
            <w:hideMark/>
          </w:tcPr>
          <w:p w14:paraId="6BD5675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Independent evaluations (https://gate.unwomen.org/) </w:t>
            </w:r>
          </w:p>
        </w:tc>
      </w:tr>
      <w:tr w:rsidR="0072532D" w:rsidRPr="00843214" w14:paraId="3766C0A4" w14:textId="77777777" w:rsidTr="0072532D">
        <w:tc>
          <w:tcPr>
            <w:tcW w:w="706" w:type="dxa"/>
          </w:tcPr>
          <w:p w14:paraId="393BA9AA" w14:textId="1DA71DB5" w:rsidR="0072532D" w:rsidRPr="00843214" w:rsidRDefault="0072532D" w:rsidP="00CE418C">
            <w:pPr>
              <w:spacing w:after="0"/>
              <w:textAlignment w:val="baseline"/>
              <w:rPr>
                <w:rFonts w:eastAsia="Times New Roman" w:cs="Calibri"/>
                <w:color w:val="auto"/>
                <w:sz w:val="20"/>
                <w:szCs w:val="20"/>
                <w:lang w:val="en-AU"/>
              </w:rPr>
            </w:pPr>
            <w:r w:rsidRPr="00843214">
              <w:rPr>
                <w:rFonts w:eastAsia="Times New Roman" w:cs="Calibri"/>
                <w:color w:val="auto"/>
                <w:sz w:val="20"/>
                <w:szCs w:val="20"/>
                <w:lang w:val="en-AU"/>
              </w:rPr>
              <w:t>75</w:t>
            </w:r>
          </w:p>
        </w:tc>
        <w:tc>
          <w:tcPr>
            <w:tcW w:w="9207" w:type="dxa"/>
          </w:tcPr>
          <w:p w14:paraId="40E8A09F" w14:textId="0D1112AA" w:rsidR="0072532D" w:rsidRPr="00843214" w:rsidRDefault="0072532D" w:rsidP="00CE418C">
            <w:pPr>
              <w:spacing w:after="0"/>
              <w:textAlignment w:val="baseline"/>
              <w:rPr>
                <w:rFonts w:eastAsia="Times New Roman" w:cs="Calibri"/>
                <w:color w:val="auto"/>
                <w:sz w:val="20"/>
                <w:szCs w:val="20"/>
                <w:lang w:val="en-AU"/>
              </w:rPr>
            </w:pPr>
            <w:r w:rsidRPr="00843214">
              <w:rPr>
                <w:rFonts w:eastAsia="Times New Roman" w:cs="Calibri"/>
                <w:color w:val="auto"/>
                <w:sz w:val="20"/>
                <w:szCs w:val="20"/>
                <w:lang w:val="en-AU"/>
              </w:rPr>
              <w:t>UN Women Regular Resources Report 2019.</w:t>
            </w:r>
          </w:p>
        </w:tc>
      </w:tr>
      <w:tr w:rsidR="0072532D" w:rsidRPr="00843214" w14:paraId="263B1BDF" w14:textId="77777777" w:rsidTr="0072532D">
        <w:tc>
          <w:tcPr>
            <w:tcW w:w="9913" w:type="dxa"/>
            <w:gridSpan w:val="2"/>
          </w:tcPr>
          <w:p w14:paraId="2463DDA7" w14:textId="211D19D5" w:rsidR="0072532D" w:rsidRPr="0072532D" w:rsidRDefault="0072532D" w:rsidP="00CE418C">
            <w:pPr>
              <w:spacing w:after="0"/>
              <w:textAlignment w:val="baseline"/>
              <w:rPr>
                <w:rFonts w:eastAsia="Times New Roman" w:cs="Calibri"/>
                <w:b/>
                <w:bCs/>
                <w:color w:val="auto"/>
                <w:sz w:val="20"/>
                <w:szCs w:val="20"/>
                <w:lang w:val="en-AU"/>
              </w:rPr>
            </w:pPr>
            <w:r w:rsidRPr="0072532D">
              <w:rPr>
                <w:rFonts w:eastAsia="Times New Roman" w:cs="Calibri"/>
                <w:b/>
                <w:bCs/>
                <w:color w:val="auto"/>
                <w:sz w:val="20"/>
                <w:szCs w:val="20"/>
                <w:lang w:val="en-AU"/>
              </w:rPr>
              <w:t>Performance – DFAT Assessments</w:t>
            </w:r>
          </w:p>
        </w:tc>
      </w:tr>
      <w:tr w:rsidR="0072532D" w:rsidRPr="00843214" w14:paraId="45B3CD9E" w14:textId="77777777" w:rsidTr="0072532D">
        <w:tc>
          <w:tcPr>
            <w:tcW w:w="706" w:type="dxa"/>
            <w:hideMark/>
          </w:tcPr>
          <w:p w14:paraId="3B71736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53 </w:t>
            </w:r>
          </w:p>
        </w:tc>
        <w:tc>
          <w:tcPr>
            <w:tcW w:w="9207" w:type="dxa"/>
            <w:hideMark/>
          </w:tcPr>
          <w:p w14:paraId="0A64523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2020, UN Women Annual Multilateral Performance Report 2020 </w:t>
            </w:r>
          </w:p>
        </w:tc>
      </w:tr>
      <w:tr w:rsidR="0072532D" w:rsidRPr="00843214" w14:paraId="4EB1AF5F" w14:textId="77777777" w:rsidTr="0072532D">
        <w:tc>
          <w:tcPr>
            <w:tcW w:w="706" w:type="dxa"/>
            <w:hideMark/>
          </w:tcPr>
          <w:p w14:paraId="51459AA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54 </w:t>
            </w:r>
          </w:p>
        </w:tc>
        <w:tc>
          <w:tcPr>
            <w:tcW w:w="9207" w:type="dxa"/>
            <w:hideMark/>
          </w:tcPr>
          <w:p w14:paraId="764BA2C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2019, UN Women Annual Multilateral Performance Report 2018-19 </w:t>
            </w:r>
          </w:p>
        </w:tc>
      </w:tr>
      <w:tr w:rsidR="0072532D" w:rsidRPr="00843214" w14:paraId="26AB7FAB" w14:textId="77777777" w:rsidTr="0072532D">
        <w:tc>
          <w:tcPr>
            <w:tcW w:w="706" w:type="dxa"/>
            <w:hideMark/>
          </w:tcPr>
          <w:p w14:paraId="03FB9B93"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55 </w:t>
            </w:r>
          </w:p>
        </w:tc>
        <w:tc>
          <w:tcPr>
            <w:tcW w:w="9207" w:type="dxa"/>
            <w:hideMark/>
          </w:tcPr>
          <w:p w14:paraId="668C126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DFAT, 2016, UN Women Multilateral Performance Assessment 2016 </w:t>
            </w:r>
          </w:p>
        </w:tc>
      </w:tr>
      <w:tr w:rsidR="0072532D" w:rsidRPr="00843214" w14:paraId="39BA21A4" w14:textId="77777777" w:rsidTr="0072532D">
        <w:tc>
          <w:tcPr>
            <w:tcW w:w="706" w:type="dxa"/>
            <w:hideMark/>
          </w:tcPr>
          <w:p w14:paraId="670FEC1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56 </w:t>
            </w:r>
          </w:p>
        </w:tc>
        <w:tc>
          <w:tcPr>
            <w:tcW w:w="9207" w:type="dxa"/>
            <w:hideMark/>
          </w:tcPr>
          <w:p w14:paraId="68E1CE7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2019 INI820 – Global Joint Program Violence Against Women </w:t>
            </w:r>
          </w:p>
        </w:tc>
      </w:tr>
      <w:tr w:rsidR="0072532D" w:rsidRPr="00843214" w14:paraId="4CA8CDBC" w14:textId="77777777" w:rsidTr="0072532D">
        <w:tc>
          <w:tcPr>
            <w:tcW w:w="706" w:type="dxa"/>
            <w:hideMark/>
          </w:tcPr>
          <w:p w14:paraId="60F46D1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lastRenderedPageBreak/>
              <w:t>57 </w:t>
            </w:r>
          </w:p>
        </w:tc>
        <w:tc>
          <w:tcPr>
            <w:tcW w:w="9207" w:type="dxa"/>
            <w:hideMark/>
          </w:tcPr>
          <w:p w14:paraId="1C0A27E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2019 INI820 – Global Joint Program Violence Against Women </w:t>
            </w:r>
          </w:p>
        </w:tc>
      </w:tr>
      <w:tr w:rsidR="0072532D" w:rsidRPr="00843214" w14:paraId="44568E07" w14:textId="77777777" w:rsidTr="0072532D">
        <w:tc>
          <w:tcPr>
            <w:tcW w:w="706" w:type="dxa"/>
            <w:hideMark/>
          </w:tcPr>
          <w:p w14:paraId="54F29A0A"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58 </w:t>
            </w:r>
          </w:p>
        </w:tc>
        <w:tc>
          <w:tcPr>
            <w:tcW w:w="9207" w:type="dxa"/>
            <w:hideMark/>
          </w:tcPr>
          <w:p w14:paraId="7A0C48E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2020 INI820 – Global Joint Program Violence Against Women </w:t>
            </w:r>
          </w:p>
        </w:tc>
      </w:tr>
      <w:tr w:rsidR="0072532D" w:rsidRPr="00843214" w14:paraId="400263B1" w14:textId="77777777" w:rsidTr="0072532D">
        <w:tc>
          <w:tcPr>
            <w:tcW w:w="706" w:type="dxa"/>
            <w:hideMark/>
          </w:tcPr>
          <w:p w14:paraId="026D726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59 </w:t>
            </w:r>
          </w:p>
        </w:tc>
        <w:tc>
          <w:tcPr>
            <w:tcW w:w="9207" w:type="dxa"/>
            <w:hideMark/>
          </w:tcPr>
          <w:p w14:paraId="3BC9991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2020 INI820 – Global Joint Program Violence Against Women </w:t>
            </w:r>
          </w:p>
        </w:tc>
      </w:tr>
      <w:tr w:rsidR="0072532D" w:rsidRPr="00843214" w14:paraId="10AC4DB4" w14:textId="77777777" w:rsidTr="0072532D">
        <w:tc>
          <w:tcPr>
            <w:tcW w:w="706" w:type="dxa"/>
            <w:hideMark/>
          </w:tcPr>
          <w:p w14:paraId="3362E892"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60 </w:t>
            </w:r>
          </w:p>
        </w:tc>
        <w:tc>
          <w:tcPr>
            <w:tcW w:w="9207" w:type="dxa"/>
            <w:hideMark/>
          </w:tcPr>
          <w:p w14:paraId="7480EA6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2019 INM435 - Afghanistan Ending Violence Against Women Phase 2 </w:t>
            </w:r>
          </w:p>
        </w:tc>
      </w:tr>
      <w:tr w:rsidR="0072532D" w:rsidRPr="00843214" w14:paraId="1583B51B" w14:textId="77777777" w:rsidTr="0072532D">
        <w:tc>
          <w:tcPr>
            <w:tcW w:w="706" w:type="dxa"/>
            <w:hideMark/>
          </w:tcPr>
          <w:p w14:paraId="1BED7F90"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61 </w:t>
            </w:r>
          </w:p>
        </w:tc>
        <w:tc>
          <w:tcPr>
            <w:tcW w:w="9207" w:type="dxa"/>
            <w:hideMark/>
          </w:tcPr>
          <w:p w14:paraId="01437F9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2019 INM435- Afghanistan Ending Violence Against Women Phase 2 </w:t>
            </w:r>
          </w:p>
        </w:tc>
      </w:tr>
      <w:tr w:rsidR="0072532D" w:rsidRPr="00843214" w14:paraId="28C4C028" w14:textId="77777777" w:rsidTr="0072532D">
        <w:tc>
          <w:tcPr>
            <w:tcW w:w="706" w:type="dxa"/>
            <w:hideMark/>
          </w:tcPr>
          <w:p w14:paraId="1949456B"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62 </w:t>
            </w:r>
          </w:p>
        </w:tc>
        <w:tc>
          <w:tcPr>
            <w:tcW w:w="9207" w:type="dxa"/>
            <w:hideMark/>
          </w:tcPr>
          <w:p w14:paraId="2AF8E06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2020 INM435 - Afghanistan Ending Violence Against Women Phase 2 </w:t>
            </w:r>
          </w:p>
        </w:tc>
      </w:tr>
      <w:tr w:rsidR="0072532D" w:rsidRPr="00843214" w14:paraId="5D73CEA2" w14:textId="77777777" w:rsidTr="0072532D">
        <w:tc>
          <w:tcPr>
            <w:tcW w:w="706" w:type="dxa"/>
            <w:hideMark/>
          </w:tcPr>
          <w:p w14:paraId="3F8959D7"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63 </w:t>
            </w:r>
          </w:p>
        </w:tc>
        <w:tc>
          <w:tcPr>
            <w:tcW w:w="9207" w:type="dxa"/>
            <w:hideMark/>
          </w:tcPr>
          <w:p w14:paraId="1348731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2020 INM435- Afghanistan Ending Violence Against Women Phase 2 </w:t>
            </w:r>
          </w:p>
        </w:tc>
      </w:tr>
      <w:tr w:rsidR="0072532D" w:rsidRPr="00843214" w14:paraId="1E2F51E4" w14:textId="77777777" w:rsidTr="0072532D">
        <w:tc>
          <w:tcPr>
            <w:tcW w:w="706" w:type="dxa"/>
            <w:hideMark/>
          </w:tcPr>
          <w:p w14:paraId="0EC50F2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64 </w:t>
            </w:r>
          </w:p>
        </w:tc>
        <w:tc>
          <w:tcPr>
            <w:tcW w:w="9207" w:type="dxa"/>
            <w:hideMark/>
          </w:tcPr>
          <w:p w14:paraId="38E4020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2019 INK496 - Pacific Women Shaping Pacific Development </w:t>
            </w:r>
          </w:p>
        </w:tc>
      </w:tr>
      <w:tr w:rsidR="0072532D" w:rsidRPr="00843214" w14:paraId="4A95ADDB" w14:textId="77777777" w:rsidTr="0072532D">
        <w:tc>
          <w:tcPr>
            <w:tcW w:w="706" w:type="dxa"/>
            <w:hideMark/>
          </w:tcPr>
          <w:p w14:paraId="0190BAC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65 </w:t>
            </w:r>
          </w:p>
        </w:tc>
        <w:tc>
          <w:tcPr>
            <w:tcW w:w="9207" w:type="dxa"/>
            <w:hideMark/>
          </w:tcPr>
          <w:p w14:paraId="285B1DD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2019 INK496 - Pacific Women Shaping Pacific Development </w:t>
            </w:r>
          </w:p>
        </w:tc>
      </w:tr>
      <w:tr w:rsidR="0072532D" w:rsidRPr="00843214" w14:paraId="45D7E4ED" w14:textId="77777777" w:rsidTr="0072532D">
        <w:tc>
          <w:tcPr>
            <w:tcW w:w="706" w:type="dxa"/>
            <w:hideMark/>
          </w:tcPr>
          <w:p w14:paraId="6859BBE9"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66 </w:t>
            </w:r>
          </w:p>
        </w:tc>
        <w:tc>
          <w:tcPr>
            <w:tcW w:w="9207" w:type="dxa"/>
            <w:hideMark/>
          </w:tcPr>
          <w:p w14:paraId="558AB89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2020 INK496 - Pacific Women Shaping Pacific Development </w:t>
            </w:r>
          </w:p>
        </w:tc>
      </w:tr>
      <w:tr w:rsidR="0072532D" w:rsidRPr="00843214" w14:paraId="2004F484" w14:textId="77777777" w:rsidTr="0072532D">
        <w:tc>
          <w:tcPr>
            <w:tcW w:w="706" w:type="dxa"/>
            <w:hideMark/>
          </w:tcPr>
          <w:p w14:paraId="7D94EACF"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67 </w:t>
            </w:r>
          </w:p>
        </w:tc>
        <w:tc>
          <w:tcPr>
            <w:tcW w:w="9207" w:type="dxa"/>
            <w:hideMark/>
          </w:tcPr>
          <w:p w14:paraId="5500F006"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2020 INK496 - Pacific Women Shaping Pacific Development </w:t>
            </w:r>
          </w:p>
        </w:tc>
      </w:tr>
      <w:tr w:rsidR="0072532D" w:rsidRPr="00843214" w14:paraId="49C39FCA" w14:textId="77777777" w:rsidTr="0072532D">
        <w:tc>
          <w:tcPr>
            <w:tcW w:w="706" w:type="dxa"/>
            <w:hideMark/>
          </w:tcPr>
          <w:p w14:paraId="2424833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68 </w:t>
            </w:r>
          </w:p>
        </w:tc>
        <w:tc>
          <w:tcPr>
            <w:tcW w:w="9207" w:type="dxa"/>
            <w:hideMark/>
          </w:tcPr>
          <w:p w14:paraId="27CB9FF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2019 INM209- Syria Package - Resilience-Building (Component 3) </w:t>
            </w:r>
          </w:p>
        </w:tc>
      </w:tr>
      <w:tr w:rsidR="0072532D" w:rsidRPr="00843214" w14:paraId="4698CE16" w14:textId="77777777" w:rsidTr="0072532D">
        <w:tc>
          <w:tcPr>
            <w:tcW w:w="706" w:type="dxa"/>
            <w:hideMark/>
          </w:tcPr>
          <w:p w14:paraId="5A14E23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69 </w:t>
            </w:r>
          </w:p>
        </w:tc>
        <w:tc>
          <w:tcPr>
            <w:tcW w:w="9207" w:type="dxa"/>
            <w:hideMark/>
          </w:tcPr>
          <w:p w14:paraId="6E36C7B8"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2019 INM209- Syria Package - Resilience-Building (Component 3) </w:t>
            </w:r>
          </w:p>
        </w:tc>
      </w:tr>
      <w:tr w:rsidR="0072532D" w:rsidRPr="00843214" w14:paraId="2EC3990C" w14:textId="77777777" w:rsidTr="0072532D">
        <w:tc>
          <w:tcPr>
            <w:tcW w:w="706" w:type="dxa"/>
            <w:hideMark/>
          </w:tcPr>
          <w:p w14:paraId="462D6553"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70 </w:t>
            </w:r>
          </w:p>
        </w:tc>
        <w:tc>
          <w:tcPr>
            <w:tcW w:w="9207" w:type="dxa"/>
            <w:hideMark/>
          </w:tcPr>
          <w:p w14:paraId="56950A93"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AQC 2020 INM209- Syria Package - Resilience-Building (Component 3) </w:t>
            </w:r>
          </w:p>
        </w:tc>
      </w:tr>
      <w:tr w:rsidR="0072532D" w:rsidRPr="00843214" w14:paraId="575536B1" w14:textId="77777777" w:rsidTr="0072532D">
        <w:tc>
          <w:tcPr>
            <w:tcW w:w="706" w:type="dxa"/>
            <w:hideMark/>
          </w:tcPr>
          <w:p w14:paraId="6087BCBC"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71 </w:t>
            </w:r>
          </w:p>
        </w:tc>
        <w:tc>
          <w:tcPr>
            <w:tcW w:w="9207" w:type="dxa"/>
            <w:hideMark/>
          </w:tcPr>
          <w:p w14:paraId="526066D1"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PPA 2020 INM209- Syria Package - Resilience-Building (Component 3) </w:t>
            </w:r>
          </w:p>
        </w:tc>
      </w:tr>
      <w:tr w:rsidR="0072532D" w:rsidRPr="00843214" w14:paraId="73EF36BF" w14:textId="77777777" w:rsidTr="0072532D">
        <w:tc>
          <w:tcPr>
            <w:tcW w:w="9913" w:type="dxa"/>
            <w:gridSpan w:val="2"/>
          </w:tcPr>
          <w:p w14:paraId="736B3C24" w14:textId="70A7CA40" w:rsidR="0072532D" w:rsidRPr="0072532D" w:rsidRDefault="0072532D" w:rsidP="00CE418C">
            <w:pPr>
              <w:spacing w:after="0"/>
              <w:textAlignment w:val="baseline"/>
              <w:rPr>
                <w:rFonts w:eastAsia="Times New Roman" w:cs="Calibri"/>
                <w:b/>
                <w:bCs/>
                <w:color w:val="auto"/>
                <w:sz w:val="20"/>
                <w:szCs w:val="20"/>
                <w:lang w:val="en-AU"/>
              </w:rPr>
            </w:pPr>
            <w:r w:rsidRPr="0072532D">
              <w:rPr>
                <w:rFonts w:eastAsia="Times New Roman" w:cs="Calibri"/>
                <w:b/>
                <w:bCs/>
                <w:color w:val="auto"/>
                <w:sz w:val="20"/>
                <w:szCs w:val="20"/>
                <w:lang w:val="en-AU"/>
              </w:rPr>
              <w:t>Operational </w:t>
            </w:r>
          </w:p>
        </w:tc>
      </w:tr>
      <w:tr w:rsidR="0072532D" w:rsidRPr="00843214" w14:paraId="21E3D596" w14:textId="77777777" w:rsidTr="0072532D">
        <w:tc>
          <w:tcPr>
            <w:tcW w:w="706" w:type="dxa"/>
            <w:hideMark/>
          </w:tcPr>
          <w:p w14:paraId="1759A640" w14:textId="77777777" w:rsidR="0072532D" w:rsidRPr="00843214" w:rsidRDefault="0072532D" w:rsidP="00CE418C">
            <w:pPr>
              <w:spacing w:after="0"/>
              <w:textAlignment w:val="baseline"/>
              <w:rPr>
                <w:rFonts w:eastAsia="Times New Roman" w:cs="Segoe UI"/>
                <w:color w:val="auto"/>
                <w:sz w:val="20"/>
                <w:szCs w:val="20"/>
                <w:lang w:val="en-AU"/>
              </w:rPr>
            </w:pPr>
            <w:bookmarkStart w:id="102" w:name="_Hlk66532558"/>
            <w:r w:rsidRPr="00843214">
              <w:rPr>
                <w:rFonts w:eastAsia="Times New Roman" w:cs="Calibri"/>
                <w:color w:val="auto"/>
                <w:sz w:val="20"/>
                <w:szCs w:val="20"/>
                <w:lang w:val="en-AU"/>
              </w:rPr>
              <w:t>72 </w:t>
            </w:r>
          </w:p>
        </w:tc>
        <w:tc>
          <w:tcPr>
            <w:tcW w:w="9207" w:type="dxa"/>
            <w:hideMark/>
          </w:tcPr>
          <w:p w14:paraId="654BA41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UN Women, 2020, Certified Financial Statement for Period ended 31 December 2019 </w:t>
            </w:r>
          </w:p>
        </w:tc>
      </w:tr>
      <w:tr w:rsidR="0072532D" w:rsidRPr="00843214" w14:paraId="61900DB4" w14:textId="77777777" w:rsidTr="0072532D">
        <w:tc>
          <w:tcPr>
            <w:tcW w:w="9913" w:type="dxa"/>
            <w:gridSpan w:val="2"/>
          </w:tcPr>
          <w:p w14:paraId="75CA00DD" w14:textId="2A6F8910" w:rsidR="0072532D" w:rsidRPr="0072532D" w:rsidRDefault="0072532D" w:rsidP="00CE418C">
            <w:pPr>
              <w:spacing w:after="0"/>
              <w:textAlignment w:val="baseline"/>
              <w:rPr>
                <w:rFonts w:eastAsia="Times New Roman" w:cs="Calibri"/>
                <w:b/>
                <w:bCs/>
                <w:color w:val="auto"/>
                <w:sz w:val="20"/>
                <w:szCs w:val="20"/>
                <w:lang w:val="en-AU"/>
              </w:rPr>
            </w:pPr>
            <w:r w:rsidRPr="0072532D">
              <w:rPr>
                <w:rFonts w:eastAsia="Times New Roman" w:cs="Calibri"/>
                <w:b/>
                <w:bCs/>
                <w:color w:val="auto"/>
                <w:sz w:val="20"/>
                <w:szCs w:val="20"/>
                <w:lang w:val="en-AU"/>
              </w:rPr>
              <w:t>COVID </w:t>
            </w:r>
          </w:p>
        </w:tc>
      </w:tr>
      <w:bookmarkEnd w:id="102"/>
      <w:tr w:rsidR="0072532D" w:rsidRPr="00843214" w14:paraId="23DA30DE" w14:textId="77777777" w:rsidTr="0072532D">
        <w:tc>
          <w:tcPr>
            <w:tcW w:w="706" w:type="dxa"/>
            <w:hideMark/>
          </w:tcPr>
          <w:p w14:paraId="6E96260D"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74 </w:t>
            </w:r>
          </w:p>
        </w:tc>
        <w:tc>
          <w:tcPr>
            <w:tcW w:w="9207" w:type="dxa"/>
            <w:hideMark/>
          </w:tcPr>
          <w:p w14:paraId="113EB4A4"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Thematic Brief |Gender and COVID-19 in the Pacific: Emerging   </w:t>
            </w:r>
          </w:p>
          <w:p w14:paraId="2DA4AB0E" w14:textId="77777777" w:rsidR="0072532D" w:rsidRPr="00843214" w:rsidRDefault="0072532D" w:rsidP="00CE418C">
            <w:pPr>
              <w:spacing w:after="0"/>
              <w:textAlignment w:val="baseline"/>
              <w:rPr>
                <w:rFonts w:eastAsia="Times New Roman" w:cs="Segoe UI"/>
                <w:color w:val="auto"/>
                <w:sz w:val="20"/>
                <w:szCs w:val="20"/>
                <w:lang w:val="en-AU"/>
              </w:rPr>
            </w:pPr>
            <w:r w:rsidRPr="00843214">
              <w:rPr>
                <w:rFonts w:eastAsia="Times New Roman" w:cs="Calibri"/>
                <w:color w:val="auto"/>
                <w:sz w:val="20"/>
                <w:szCs w:val="20"/>
                <w:lang w:val="en-AU"/>
              </w:rPr>
              <w:t>gendered impacts and recommendations for response [ONLINE} </w:t>
            </w:r>
          </w:p>
          <w:p w14:paraId="214309C3" w14:textId="77777777" w:rsidR="0072532D" w:rsidRPr="00843214" w:rsidRDefault="00891CD2" w:rsidP="00CE418C">
            <w:pPr>
              <w:spacing w:after="0"/>
              <w:textAlignment w:val="baseline"/>
              <w:rPr>
                <w:rFonts w:eastAsia="Times New Roman" w:cs="Segoe UI"/>
                <w:color w:val="auto"/>
                <w:sz w:val="20"/>
                <w:szCs w:val="20"/>
                <w:lang w:val="en-AU"/>
              </w:rPr>
            </w:pPr>
            <w:hyperlink r:id="rId45" w:tgtFrame="_blank" w:history="1">
              <w:r w:rsidR="0072532D" w:rsidRPr="00843214">
                <w:rPr>
                  <w:rFonts w:eastAsia="Times New Roman" w:cs="Calibri"/>
                  <w:color w:val="auto"/>
                  <w:sz w:val="20"/>
                  <w:szCs w:val="20"/>
                  <w:u w:val="single"/>
                  <w:lang w:val="en-AU"/>
                </w:rPr>
                <w:t>https://pacificwomen.org/wp-content/uploads/2020/05/Thematic-Brief_Gender-and-COVID19_Pacific-Women-May-2020.pdf</w:t>
              </w:r>
            </w:hyperlink>
            <w:r w:rsidR="0072532D" w:rsidRPr="00843214">
              <w:rPr>
                <w:rFonts w:eastAsia="Times New Roman" w:cs="Calibri"/>
                <w:color w:val="auto"/>
                <w:sz w:val="20"/>
                <w:szCs w:val="20"/>
                <w:lang w:val="en-AU"/>
              </w:rPr>
              <w:t>  </w:t>
            </w:r>
          </w:p>
        </w:tc>
      </w:tr>
    </w:tbl>
    <w:p w14:paraId="150DCB54" w14:textId="77777777" w:rsidR="0049734F" w:rsidRPr="00843214" w:rsidRDefault="0049734F">
      <w:pPr>
        <w:rPr>
          <w:color w:val="auto"/>
        </w:rPr>
      </w:pPr>
      <w:r w:rsidRPr="00843214">
        <w:rPr>
          <w:color w:val="auto"/>
        </w:rPr>
        <w:br w:type="page"/>
      </w:r>
    </w:p>
    <w:p w14:paraId="6286ABF1" w14:textId="06C55912" w:rsidR="0049734F" w:rsidRPr="00843214" w:rsidRDefault="0049734F" w:rsidP="00843214">
      <w:pPr>
        <w:pStyle w:val="Heading1"/>
      </w:pPr>
      <w:bookmarkStart w:id="103" w:name="_Toc69376677"/>
      <w:r w:rsidRPr="00843214">
        <w:lastRenderedPageBreak/>
        <w:t>Annex 3: Roundtable Interviews</w:t>
      </w:r>
      <w:bookmarkEnd w:id="103"/>
    </w:p>
    <w:tbl>
      <w:tblPr>
        <w:tblStyle w:val="IODPARCtable24"/>
        <w:tblW w:w="5000" w:type="pct"/>
        <w:tblLook w:val="04A0" w:firstRow="1" w:lastRow="0" w:firstColumn="1" w:lastColumn="0" w:noHBand="0" w:noVBand="1"/>
      </w:tblPr>
      <w:tblGrid>
        <w:gridCol w:w="778"/>
        <w:gridCol w:w="2241"/>
        <w:gridCol w:w="4971"/>
        <w:gridCol w:w="1350"/>
      </w:tblGrid>
      <w:tr w:rsidR="00843214" w:rsidRPr="00843214" w14:paraId="54004C40" w14:textId="69C0BA94" w:rsidTr="00C143A2">
        <w:trPr>
          <w:tblHeader/>
        </w:trPr>
        <w:tc>
          <w:tcPr>
            <w:tcW w:w="431" w:type="pct"/>
            <w:shd w:val="clear" w:color="auto" w:fill="00A499" w:themeFill="text2"/>
          </w:tcPr>
          <w:p w14:paraId="29A0828D" w14:textId="77777777" w:rsidR="00E858A8" w:rsidRPr="00843214" w:rsidRDefault="00E858A8" w:rsidP="00A4700C">
            <w:pPr>
              <w:rPr>
                <w:b/>
                <w:bCs/>
                <w:sz w:val="20"/>
                <w:szCs w:val="20"/>
              </w:rPr>
            </w:pPr>
            <w:r w:rsidRPr="00843214">
              <w:rPr>
                <w:b/>
                <w:bCs/>
                <w:sz w:val="20"/>
                <w:szCs w:val="20"/>
              </w:rPr>
              <w:t>#</w:t>
            </w:r>
          </w:p>
        </w:tc>
        <w:tc>
          <w:tcPr>
            <w:tcW w:w="1214" w:type="pct"/>
            <w:shd w:val="clear" w:color="auto" w:fill="00A499" w:themeFill="text2"/>
          </w:tcPr>
          <w:p w14:paraId="0DBD3690" w14:textId="77777777" w:rsidR="00E858A8" w:rsidRPr="00843214" w:rsidRDefault="00E858A8" w:rsidP="00A4700C">
            <w:pPr>
              <w:rPr>
                <w:b/>
                <w:bCs/>
                <w:sz w:val="20"/>
                <w:szCs w:val="20"/>
              </w:rPr>
            </w:pPr>
            <w:r w:rsidRPr="00843214">
              <w:rPr>
                <w:b/>
                <w:bCs/>
                <w:sz w:val="20"/>
                <w:szCs w:val="20"/>
              </w:rPr>
              <w:t>Interview (type)</w:t>
            </w:r>
          </w:p>
        </w:tc>
        <w:tc>
          <w:tcPr>
            <w:tcW w:w="2675" w:type="pct"/>
            <w:shd w:val="clear" w:color="auto" w:fill="00A499" w:themeFill="text2"/>
          </w:tcPr>
          <w:p w14:paraId="2EE2F5E6" w14:textId="77777777" w:rsidR="00E858A8" w:rsidRPr="00843214" w:rsidRDefault="00E858A8" w:rsidP="00A4700C">
            <w:pPr>
              <w:rPr>
                <w:b/>
                <w:bCs/>
                <w:sz w:val="20"/>
                <w:szCs w:val="20"/>
              </w:rPr>
            </w:pPr>
            <w:r w:rsidRPr="00843214">
              <w:rPr>
                <w:b/>
                <w:bCs/>
                <w:sz w:val="20"/>
                <w:szCs w:val="20"/>
              </w:rPr>
              <w:t>Participants</w:t>
            </w:r>
          </w:p>
        </w:tc>
        <w:tc>
          <w:tcPr>
            <w:tcW w:w="680" w:type="pct"/>
            <w:shd w:val="clear" w:color="auto" w:fill="00A499" w:themeFill="text2"/>
          </w:tcPr>
          <w:p w14:paraId="21C2B8A1" w14:textId="5A7FA9A1" w:rsidR="00E858A8" w:rsidRPr="00843214" w:rsidRDefault="00E858A8" w:rsidP="00A4700C">
            <w:pPr>
              <w:rPr>
                <w:b/>
                <w:bCs/>
                <w:sz w:val="20"/>
                <w:szCs w:val="20"/>
              </w:rPr>
            </w:pPr>
            <w:r w:rsidRPr="00843214">
              <w:rPr>
                <w:b/>
                <w:bCs/>
                <w:sz w:val="20"/>
                <w:szCs w:val="20"/>
              </w:rPr>
              <w:t>Number of participants</w:t>
            </w:r>
          </w:p>
        </w:tc>
      </w:tr>
      <w:tr w:rsidR="00843214" w:rsidRPr="00843214" w14:paraId="2D5939E6" w14:textId="4631AB71" w:rsidTr="00C143A2">
        <w:tc>
          <w:tcPr>
            <w:tcW w:w="431" w:type="pct"/>
          </w:tcPr>
          <w:p w14:paraId="2A7A08F8" w14:textId="77777777" w:rsidR="00E858A8" w:rsidRPr="00843214" w:rsidRDefault="00E858A8" w:rsidP="00E858A8">
            <w:pPr>
              <w:rPr>
                <w:sz w:val="20"/>
                <w:szCs w:val="20"/>
              </w:rPr>
            </w:pPr>
            <w:r w:rsidRPr="00843214">
              <w:rPr>
                <w:sz w:val="20"/>
                <w:szCs w:val="20"/>
              </w:rPr>
              <w:t>1</w:t>
            </w:r>
          </w:p>
        </w:tc>
        <w:tc>
          <w:tcPr>
            <w:tcW w:w="1214" w:type="pct"/>
          </w:tcPr>
          <w:p w14:paraId="26B6E424" w14:textId="4A54E538" w:rsidR="00E858A8" w:rsidRPr="00843214" w:rsidRDefault="00E858A8" w:rsidP="00E858A8">
            <w:pPr>
              <w:rPr>
                <w:sz w:val="20"/>
                <w:szCs w:val="20"/>
              </w:rPr>
            </w:pPr>
            <w:r w:rsidRPr="00843214">
              <w:rPr>
                <w:sz w:val="20"/>
                <w:szCs w:val="20"/>
              </w:rPr>
              <w:t>DFAT FDG</w:t>
            </w:r>
          </w:p>
        </w:tc>
        <w:tc>
          <w:tcPr>
            <w:tcW w:w="2675" w:type="pct"/>
          </w:tcPr>
          <w:p w14:paraId="515B0EF2" w14:textId="77777777" w:rsidR="00E858A8" w:rsidRPr="00843214" w:rsidRDefault="00E858A8" w:rsidP="00E858A8">
            <w:pPr>
              <w:rPr>
                <w:sz w:val="20"/>
                <w:szCs w:val="20"/>
              </w:rPr>
            </w:pPr>
            <w:r w:rsidRPr="00843214">
              <w:rPr>
                <w:sz w:val="20"/>
                <w:szCs w:val="20"/>
              </w:rPr>
              <w:t>UN New York Post</w:t>
            </w:r>
          </w:p>
        </w:tc>
        <w:tc>
          <w:tcPr>
            <w:tcW w:w="680" w:type="pct"/>
          </w:tcPr>
          <w:p w14:paraId="7A8AD54E" w14:textId="1FB019D1" w:rsidR="00E858A8" w:rsidRPr="00843214" w:rsidRDefault="00E858A8" w:rsidP="00E858A8">
            <w:pPr>
              <w:rPr>
                <w:sz w:val="20"/>
                <w:szCs w:val="20"/>
              </w:rPr>
            </w:pPr>
            <w:r w:rsidRPr="00843214">
              <w:rPr>
                <w:sz w:val="20"/>
                <w:szCs w:val="20"/>
              </w:rPr>
              <w:t>2</w:t>
            </w:r>
          </w:p>
        </w:tc>
      </w:tr>
      <w:tr w:rsidR="00843214" w:rsidRPr="00843214" w14:paraId="39E21483" w14:textId="3B260793" w:rsidTr="00C143A2">
        <w:tc>
          <w:tcPr>
            <w:tcW w:w="431" w:type="pct"/>
          </w:tcPr>
          <w:p w14:paraId="530EFA2E" w14:textId="77777777" w:rsidR="00E858A8" w:rsidRPr="00843214" w:rsidRDefault="00E858A8" w:rsidP="00E858A8">
            <w:pPr>
              <w:rPr>
                <w:sz w:val="20"/>
                <w:szCs w:val="20"/>
              </w:rPr>
            </w:pPr>
            <w:r w:rsidRPr="00843214">
              <w:rPr>
                <w:sz w:val="20"/>
                <w:szCs w:val="20"/>
              </w:rPr>
              <w:t>2</w:t>
            </w:r>
          </w:p>
        </w:tc>
        <w:tc>
          <w:tcPr>
            <w:tcW w:w="1214" w:type="pct"/>
          </w:tcPr>
          <w:p w14:paraId="00A09773" w14:textId="2ED2EBC3" w:rsidR="00E858A8" w:rsidRPr="00843214" w:rsidRDefault="00E858A8" w:rsidP="00E858A8">
            <w:pPr>
              <w:rPr>
                <w:sz w:val="20"/>
                <w:szCs w:val="20"/>
              </w:rPr>
            </w:pPr>
            <w:r w:rsidRPr="00843214">
              <w:rPr>
                <w:sz w:val="20"/>
                <w:szCs w:val="20"/>
              </w:rPr>
              <w:t>DFAT FDG</w:t>
            </w:r>
          </w:p>
        </w:tc>
        <w:tc>
          <w:tcPr>
            <w:tcW w:w="2675" w:type="pct"/>
          </w:tcPr>
          <w:p w14:paraId="2BDEB700" w14:textId="77777777" w:rsidR="00E858A8" w:rsidRPr="00843214" w:rsidRDefault="00E858A8" w:rsidP="00E858A8">
            <w:pPr>
              <w:rPr>
                <w:sz w:val="20"/>
                <w:szCs w:val="20"/>
                <w:lang w:val="fr-CH"/>
              </w:rPr>
            </w:pPr>
            <w:r w:rsidRPr="00843214">
              <w:rPr>
                <w:sz w:val="20"/>
                <w:szCs w:val="20"/>
                <w:lang w:val="fr-CH"/>
              </w:rPr>
              <w:t xml:space="preserve">Suva Post </w:t>
            </w:r>
          </w:p>
          <w:p w14:paraId="1A1F3287" w14:textId="77777777" w:rsidR="00E858A8" w:rsidRPr="00843214" w:rsidRDefault="00E858A8" w:rsidP="00E858A8">
            <w:pPr>
              <w:rPr>
                <w:sz w:val="20"/>
                <w:szCs w:val="20"/>
                <w:lang w:val="fr-CH"/>
              </w:rPr>
            </w:pPr>
            <w:r w:rsidRPr="00843214">
              <w:rPr>
                <w:sz w:val="20"/>
                <w:szCs w:val="20"/>
                <w:lang w:val="fr-CH"/>
              </w:rPr>
              <w:t>Port Moresby Post</w:t>
            </w:r>
          </w:p>
        </w:tc>
        <w:tc>
          <w:tcPr>
            <w:tcW w:w="680" w:type="pct"/>
          </w:tcPr>
          <w:p w14:paraId="3CFD5E28" w14:textId="41DB31B4" w:rsidR="00E858A8" w:rsidRPr="00843214" w:rsidRDefault="00E858A8" w:rsidP="00E858A8">
            <w:pPr>
              <w:rPr>
                <w:sz w:val="20"/>
                <w:szCs w:val="20"/>
              </w:rPr>
            </w:pPr>
            <w:r w:rsidRPr="00843214">
              <w:rPr>
                <w:sz w:val="20"/>
                <w:szCs w:val="20"/>
              </w:rPr>
              <w:t>4</w:t>
            </w:r>
          </w:p>
        </w:tc>
      </w:tr>
      <w:tr w:rsidR="00843214" w:rsidRPr="00843214" w14:paraId="796E08FB" w14:textId="5F11F082" w:rsidTr="00C143A2">
        <w:tc>
          <w:tcPr>
            <w:tcW w:w="431" w:type="pct"/>
          </w:tcPr>
          <w:p w14:paraId="3139AEE9" w14:textId="77777777" w:rsidR="00E858A8" w:rsidRPr="00843214" w:rsidRDefault="00E858A8" w:rsidP="00E858A8">
            <w:pPr>
              <w:rPr>
                <w:sz w:val="20"/>
                <w:szCs w:val="20"/>
              </w:rPr>
            </w:pPr>
            <w:r w:rsidRPr="00843214">
              <w:rPr>
                <w:sz w:val="20"/>
                <w:szCs w:val="20"/>
              </w:rPr>
              <w:t>3</w:t>
            </w:r>
          </w:p>
        </w:tc>
        <w:tc>
          <w:tcPr>
            <w:tcW w:w="1214" w:type="pct"/>
          </w:tcPr>
          <w:p w14:paraId="0CF7DD31" w14:textId="1E6A6CEC" w:rsidR="00E858A8" w:rsidRPr="00843214" w:rsidRDefault="00E858A8" w:rsidP="00E858A8">
            <w:pPr>
              <w:rPr>
                <w:sz w:val="20"/>
                <w:szCs w:val="20"/>
              </w:rPr>
            </w:pPr>
            <w:r w:rsidRPr="00843214">
              <w:rPr>
                <w:sz w:val="20"/>
                <w:szCs w:val="20"/>
              </w:rPr>
              <w:t>DFAT FDG</w:t>
            </w:r>
          </w:p>
        </w:tc>
        <w:tc>
          <w:tcPr>
            <w:tcW w:w="2675" w:type="pct"/>
          </w:tcPr>
          <w:p w14:paraId="1BED4B4A" w14:textId="77777777" w:rsidR="00E858A8" w:rsidRPr="00843214" w:rsidRDefault="00E858A8" w:rsidP="00E858A8">
            <w:pPr>
              <w:rPr>
                <w:sz w:val="20"/>
                <w:szCs w:val="20"/>
              </w:rPr>
            </w:pPr>
            <w:r w:rsidRPr="00843214">
              <w:rPr>
                <w:sz w:val="20"/>
                <w:szCs w:val="20"/>
              </w:rPr>
              <w:t>Gender Equality Branch</w:t>
            </w:r>
          </w:p>
        </w:tc>
        <w:tc>
          <w:tcPr>
            <w:tcW w:w="680" w:type="pct"/>
          </w:tcPr>
          <w:p w14:paraId="4E448C1C" w14:textId="110EAADF" w:rsidR="00E858A8" w:rsidRPr="00843214" w:rsidRDefault="00E858A8" w:rsidP="00E858A8">
            <w:pPr>
              <w:rPr>
                <w:sz w:val="20"/>
                <w:szCs w:val="20"/>
              </w:rPr>
            </w:pPr>
            <w:r w:rsidRPr="00843214">
              <w:rPr>
                <w:sz w:val="20"/>
                <w:szCs w:val="20"/>
              </w:rPr>
              <w:t>11</w:t>
            </w:r>
          </w:p>
        </w:tc>
      </w:tr>
      <w:tr w:rsidR="00843214" w:rsidRPr="00843214" w14:paraId="4F902BDA" w14:textId="36BFE2B1" w:rsidTr="00C143A2">
        <w:tc>
          <w:tcPr>
            <w:tcW w:w="431" w:type="pct"/>
          </w:tcPr>
          <w:p w14:paraId="0D5B80BE" w14:textId="77777777" w:rsidR="00E858A8" w:rsidRPr="00843214" w:rsidRDefault="00E858A8" w:rsidP="00E858A8">
            <w:pPr>
              <w:rPr>
                <w:sz w:val="20"/>
                <w:szCs w:val="20"/>
                <w:highlight w:val="green"/>
              </w:rPr>
            </w:pPr>
            <w:r w:rsidRPr="00843214">
              <w:rPr>
                <w:sz w:val="20"/>
                <w:szCs w:val="20"/>
              </w:rPr>
              <w:t>4</w:t>
            </w:r>
          </w:p>
        </w:tc>
        <w:tc>
          <w:tcPr>
            <w:tcW w:w="1214" w:type="pct"/>
          </w:tcPr>
          <w:p w14:paraId="0A66C0BC" w14:textId="77777777" w:rsidR="00E858A8" w:rsidRPr="00843214" w:rsidRDefault="00E858A8" w:rsidP="00E858A8">
            <w:pPr>
              <w:rPr>
                <w:sz w:val="20"/>
                <w:szCs w:val="20"/>
              </w:rPr>
            </w:pPr>
            <w:r w:rsidRPr="00843214">
              <w:rPr>
                <w:sz w:val="20"/>
                <w:szCs w:val="20"/>
              </w:rPr>
              <w:t>UNW FDG 1</w:t>
            </w:r>
          </w:p>
        </w:tc>
        <w:tc>
          <w:tcPr>
            <w:tcW w:w="2675" w:type="pct"/>
          </w:tcPr>
          <w:p w14:paraId="22FC9942" w14:textId="77777777" w:rsidR="00E858A8" w:rsidRPr="00843214" w:rsidRDefault="00E858A8" w:rsidP="00E858A8">
            <w:pPr>
              <w:rPr>
                <w:sz w:val="20"/>
                <w:szCs w:val="20"/>
              </w:rPr>
            </w:pPr>
            <w:r w:rsidRPr="00843214">
              <w:rPr>
                <w:sz w:val="20"/>
                <w:szCs w:val="20"/>
              </w:rPr>
              <w:t>Syria package – resilience building (Jordan)</w:t>
            </w:r>
          </w:p>
        </w:tc>
        <w:tc>
          <w:tcPr>
            <w:tcW w:w="680" w:type="pct"/>
          </w:tcPr>
          <w:p w14:paraId="7A6875F1" w14:textId="7ABDF6BD" w:rsidR="00E858A8" w:rsidRPr="00843214" w:rsidRDefault="00E858A8" w:rsidP="00E858A8">
            <w:pPr>
              <w:rPr>
                <w:sz w:val="20"/>
                <w:szCs w:val="20"/>
              </w:rPr>
            </w:pPr>
            <w:r w:rsidRPr="00843214">
              <w:rPr>
                <w:sz w:val="20"/>
                <w:szCs w:val="20"/>
              </w:rPr>
              <w:t>3</w:t>
            </w:r>
          </w:p>
        </w:tc>
      </w:tr>
      <w:tr w:rsidR="00843214" w:rsidRPr="00843214" w14:paraId="0A648A74" w14:textId="14818FFF" w:rsidTr="00C143A2">
        <w:tc>
          <w:tcPr>
            <w:tcW w:w="431" w:type="pct"/>
          </w:tcPr>
          <w:p w14:paraId="68EF30D8" w14:textId="77777777" w:rsidR="00E858A8" w:rsidRPr="00843214" w:rsidRDefault="00E858A8" w:rsidP="00E858A8">
            <w:pPr>
              <w:rPr>
                <w:sz w:val="20"/>
                <w:szCs w:val="20"/>
              </w:rPr>
            </w:pPr>
            <w:r w:rsidRPr="00843214">
              <w:rPr>
                <w:sz w:val="20"/>
                <w:szCs w:val="20"/>
              </w:rPr>
              <w:t>5</w:t>
            </w:r>
          </w:p>
        </w:tc>
        <w:tc>
          <w:tcPr>
            <w:tcW w:w="1214" w:type="pct"/>
          </w:tcPr>
          <w:p w14:paraId="3B31C8D4" w14:textId="281662DD" w:rsidR="00E858A8" w:rsidRPr="00843214" w:rsidRDefault="00E858A8" w:rsidP="00E858A8">
            <w:pPr>
              <w:rPr>
                <w:sz w:val="20"/>
                <w:szCs w:val="20"/>
              </w:rPr>
            </w:pPr>
            <w:r w:rsidRPr="00843214">
              <w:rPr>
                <w:sz w:val="20"/>
                <w:szCs w:val="20"/>
              </w:rPr>
              <w:t>UNW FDG</w:t>
            </w:r>
          </w:p>
        </w:tc>
        <w:tc>
          <w:tcPr>
            <w:tcW w:w="2675" w:type="pct"/>
          </w:tcPr>
          <w:p w14:paraId="7FF2383D" w14:textId="77777777" w:rsidR="00E858A8" w:rsidRPr="00843214" w:rsidRDefault="00E858A8" w:rsidP="00E858A8">
            <w:pPr>
              <w:rPr>
                <w:sz w:val="20"/>
                <w:szCs w:val="20"/>
              </w:rPr>
            </w:pPr>
            <w:r w:rsidRPr="00843214">
              <w:rPr>
                <w:sz w:val="20"/>
                <w:szCs w:val="20"/>
              </w:rPr>
              <w:t>WPS incl WPHA</w:t>
            </w:r>
          </w:p>
        </w:tc>
        <w:tc>
          <w:tcPr>
            <w:tcW w:w="680" w:type="pct"/>
          </w:tcPr>
          <w:p w14:paraId="497DDD69" w14:textId="64AFA6AC" w:rsidR="00E858A8" w:rsidRPr="00843214" w:rsidRDefault="00E858A8" w:rsidP="00E858A8">
            <w:pPr>
              <w:rPr>
                <w:sz w:val="20"/>
                <w:szCs w:val="20"/>
              </w:rPr>
            </w:pPr>
            <w:r w:rsidRPr="00843214">
              <w:rPr>
                <w:sz w:val="20"/>
                <w:szCs w:val="20"/>
              </w:rPr>
              <w:t>5</w:t>
            </w:r>
          </w:p>
        </w:tc>
      </w:tr>
      <w:tr w:rsidR="00843214" w:rsidRPr="00843214" w14:paraId="6EC8E1D3" w14:textId="7CA3F2B0" w:rsidTr="00C143A2">
        <w:tc>
          <w:tcPr>
            <w:tcW w:w="431" w:type="pct"/>
            <w:shd w:val="clear" w:color="auto" w:fill="auto"/>
          </w:tcPr>
          <w:p w14:paraId="4E203538" w14:textId="77777777" w:rsidR="00E858A8" w:rsidRPr="00843214" w:rsidRDefault="00E858A8" w:rsidP="00E858A8">
            <w:pPr>
              <w:rPr>
                <w:sz w:val="20"/>
                <w:szCs w:val="20"/>
              </w:rPr>
            </w:pPr>
            <w:r w:rsidRPr="00843214">
              <w:rPr>
                <w:sz w:val="20"/>
                <w:szCs w:val="20"/>
              </w:rPr>
              <w:t>6</w:t>
            </w:r>
          </w:p>
        </w:tc>
        <w:tc>
          <w:tcPr>
            <w:tcW w:w="1214" w:type="pct"/>
            <w:shd w:val="clear" w:color="auto" w:fill="auto"/>
          </w:tcPr>
          <w:p w14:paraId="44A67E35" w14:textId="4F87B48D" w:rsidR="00E858A8" w:rsidRPr="00843214" w:rsidRDefault="00E858A8" w:rsidP="00E858A8">
            <w:pPr>
              <w:rPr>
                <w:sz w:val="20"/>
                <w:szCs w:val="20"/>
              </w:rPr>
            </w:pPr>
            <w:r w:rsidRPr="00843214">
              <w:rPr>
                <w:sz w:val="20"/>
                <w:szCs w:val="20"/>
              </w:rPr>
              <w:t>DFAT FGD</w:t>
            </w:r>
          </w:p>
        </w:tc>
        <w:tc>
          <w:tcPr>
            <w:tcW w:w="2675" w:type="pct"/>
            <w:shd w:val="clear" w:color="auto" w:fill="auto"/>
          </w:tcPr>
          <w:p w14:paraId="4244A16D" w14:textId="77777777" w:rsidR="00E858A8" w:rsidRPr="00843214" w:rsidRDefault="00E858A8" w:rsidP="00E858A8">
            <w:pPr>
              <w:rPr>
                <w:sz w:val="20"/>
                <w:szCs w:val="20"/>
              </w:rPr>
            </w:pPr>
            <w:r w:rsidRPr="00843214">
              <w:rPr>
                <w:sz w:val="20"/>
                <w:szCs w:val="20"/>
              </w:rPr>
              <w:t>Dhaka Post</w:t>
            </w:r>
          </w:p>
          <w:p w14:paraId="5DF1BB32" w14:textId="77777777" w:rsidR="00E858A8" w:rsidRPr="00843214" w:rsidRDefault="00E858A8" w:rsidP="00E858A8">
            <w:pPr>
              <w:rPr>
                <w:sz w:val="20"/>
                <w:szCs w:val="20"/>
              </w:rPr>
            </w:pPr>
            <w:r w:rsidRPr="00843214">
              <w:rPr>
                <w:sz w:val="20"/>
                <w:szCs w:val="20"/>
              </w:rPr>
              <w:t>Kabul Post</w:t>
            </w:r>
          </w:p>
          <w:p w14:paraId="1DA75CE2" w14:textId="77777777" w:rsidR="00E858A8" w:rsidRPr="00843214" w:rsidRDefault="00E858A8" w:rsidP="00E858A8">
            <w:pPr>
              <w:rPr>
                <w:sz w:val="20"/>
                <w:szCs w:val="20"/>
              </w:rPr>
            </w:pPr>
            <w:r w:rsidRPr="00843214">
              <w:rPr>
                <w:sz w:val="20"/>
                <w:szCs w:val="20"/>
              </w:rPr>
              <w:t>Amman Post</w:t>
            </w:r>
          </w:p>
          <w:p w14:paraId="38A31D46" w14:textId="77777777" w:rsidR="00E858A8" w:rsidRPr="00843214" w:rsidRDefault="00E858A8" w:rsidP="00E858A8">
            <w:pPr>
              <w:rPr>
                <w:sz w:val="20"/>
                <w:szCs w:val="20"/>
              </w:rPr>
            </w:pPr>
            <w:r w:rsidRPr="00843214">
              <w:rPr>
                <w:sz w:val="20"/>
                <w:szCs w:val="20"/>
              </w:rPr>
              <w:t>Bangkok Post</w:t>
            </w:r>
          </w:p>
          <w:p w14:paraId="64A6D1BB" w14:textId="77777777" w:rsidR="00E858A8" w:rsidRPr="00843214" w:rsidRDefault="00E858A8" w:rsidP="00E858A8">
            <w:pPr>
              <w:rPr>
                <w:sz w:val="20"/>
                <w:szCs w:val="20"/>
              </w:rPr>
            </w:pPr>
            <w:r w:rsidRPr="00843214">
              <w:rPr>
                <w:sz w:val="20"/>
                <w:szCs w:val="20"/>
              </w:rPr>
              <w:t>Vietnam Post</w:t>
            </w:r>
          </w:p>
        </w:tc>
        <w:tc>
          <w:tcPr>
            <w:tcW w:w="680" w:type="pct"/>
          </w:tcPr>
          <w:p w14:paraId="38A23935" w14:textId="4199F19F" w:rsidR="00E858A8" w:rsidRPr="00843214" w:rsidRDefault="00E858A8" w:rsidP="00E858A8">
            <w:pPr>
              <w:rPr>
                <w:sz w:val="20"/>
                <w:szCs w:val="20"/>
              </w:rPr>
            </w:pPr>
            <w:r w:rsidRPr="00843214">
              <w:rPr>
                <w:sz w:val="20"/>
                <w:szCs w:val="20"/>
              </w:rPr>
              <w:t>12</w:t>
            </w:r>
          </w:p>
        </w:tc>
      </w:tr>
      <w:tr w:rsidR="00843214" w:rsidRPr="00843214" w14:paraId="1D39F6ED" w14:textId="4279760D" w:rsidTr="00C143A2">
        <w:tc>
          <w:tcPr>
            <w:tcW w:w="431" w:type="pct"/>
          </w:tcPr>
          <w:p w14:paraId="2B8C5543" w14:textId="77777777" w:rsidR="00E858A8" w:rsidRPr="00843214" w:rsidRDefault="00E858A8" w:rsidP="00E858A8">
            <w:pPr>
              <w:rPr>
                <w:sz w:val="20"/>
                <w:szCs w:val="20"/>
              </w:rPr>
            </w:pPr>
            <w:r w:rsidRPr="00843214">
              <w:rPr>
                <w:sz w:val="20"/>
                <w:szCs w:val="20"/>
              </w:rPr>
              <w:t>7</w:t>
            </w:r>
          </w:p>
        </w:tc>
        <w:tc>
          <w:tcPr>
            <w:tcW w:w="1214" w:type="pct"/>
          </w:tcPr>
          <w:p w14:paraId="41AFBDB0" w14:textId="56085D8D" w:rsidR="00E858A8" w:rsidRPr="00843214" w:rsidRDefault="00E858A8" w:rsidP="00E858A8">
            <w:pPr>
              <w:rPr>
                <w:sz w:val="20"/>
                <w:szCs w:val="20"/>
              </w:rPr>
            </w:pPr>
            <w:r w:rsidRPr="00843214">
              <w:rPr>
                <w:sz w:val="20"/>
                <w:szCs w:val="20"/>
              </w:rPr>
              <w:t>UNW Interview</w:t>
            </w:r>
          </w:p>
        </w:tc>
        <w:tc>
          <w:tcPr>
            <w:tcW w:w="2675" w:type="pct"/>
          </w:tcPr>
          <w:p w14:paraId="0E0CD452" w14:textId="77777777" w:rsidR="00E858A8" w:rsidRPr="00843214" w:rsidRDefault="00E858A8" w:rsidP="00E858A8">
            <w:pPr>
              <w:rPr>
                <w:sz w:val="20"/>
                <w:szCs w:val="20"/>
              </w:rPr>
            </w:pPr>
            <w:r w:rsidRPr="00843214">
              <w:rPr>
                <w:sz w:val="20"/>
                <w:szCs w:val="20"/>
              </w:rPr>
              <w:t>UN Women Australia</w:t>
            </w:r>
          </w:p>
        </w:tc>
        <w:tc>
          <w:tcPr>
            <w:tcW w:w="680" w:type="pct"/>
          </w:tcPr>
          <w:p w14:paraId="48B2BBB8" w14:textId="49D73222" w:rsidR="00E858A8" w:rsidRPr="00843214" w:rsidRDefault="00E858A8" w:rsidP="00E858A8">
            <w:pPr>
              <w:rPr>
                <w:sz w:val="20"/>
                <w:szCs w:val="20"/>
              </w:rPr>
            </w:pPr>
            <w:r w:rsidRPr="00843214">
              <w:rPr>
                <w:sz w:val="20"/>
                <w:szCs w:val="20"/>
              </w:rPr>
              <w:t>1</w:t>
            </w:r>
          </w:p>
        </w:tc>
      </w:tr>
      <w:tr w:rsidR="00843214" w:rsidRPr="00843214" w14:paraId="6AFD9A71" w14:textId="0BD86A5F" w:rsidTr="00C143A2">
        <w:tc>
          <w:tcPr>
            <w:tcW w:w="431" w:type="pct"/>
          </w:tcPr>
          <w:p w14:paraId="53C2B139" w14:textId="77777777" w:rsidR="00E858A8" w:rsidRPr="00843214" w:rsidRDefault="00E858A8" w:rsidP="00E858A8">
            <w:pPr>
              <w:rPr>
                <w:sz w:val="20"/>
                <w:szCs w:val="20"/>
              </w:rPr>
            </w:pPr>
            <w:r w:rsidRPr="00843214">
              <w:rPr>
                <w:sz w:val="20"/>
                <w:szCs w:val="20"/>
              </w:rPr>
              <w:t>8</w:t>
            </w:r>
          </w:p>
        </w:tc>
        <w:tc>
          <w:tcPr>
            <w:tcW w:w="1214" w:type="pct"/>
          </w:tcPr>
          <w:p w14:paraId="6F15AA5A" w14:textId="67504377" w:rsidR="00E858A8" w:rsidRPr="00843214" w:rsidRDefault="00E858A8" w:rsidP="00E858A8">
            <w:pPr>
              <w:rPr>
                <w:sz w:val="20"/>
                <w:szCs w:val="20"/>
              </w:rPr>
            </w:pPr>
            <w:r w:rsidRPr="00843214">
              <w:rPr>
                <w:sz w:val="20"/>
                <w:szCs w:val="20"/>
              </w:rPr>
              <w:t>UNW FDG</w:t>
            </w:r>
          </w:p>
        </w:tc>
        <w:tc>
          <w:tcPr>
            <w:tcW w:w="2675" w:type="pct"/>
          </w:tcPr>
          <w:p w14:paraId="2D3525F3" w14:textId="030A6036" w:rsidR="00E858A8" w:rsidRPr="00843214" w:rsidRDefault="00E858A8" w:rsidP="00E858A8">
            <w:pPr>
              <w:rPr>
                <w:sz w:val="20"/>
                <w:szCs w:val="20"/>
              </w:rPr>
            </w:pPr>
            <w:r w:rsidRPr="00843214">
              <w:rPr>
                <w:sz w:val="20"/>
                <w:szCs w:val="20"/>
              </w:rPr>
              <w:t>EVAW Global + UNTF</w:t>
            </w:r>
            <w:r w:rsidR="003F5E5E" w:rsidRPr="00843214">
              <w:rPr>
                <w:sz w:val="20"/>
                <w:szCs w:val="20"/>
              </w:rPr>
              <w:t xml:space="preserve"> for EVAW</w:t>
            </w:r>
          </w:p>
        </w:tc>
        <w:tc>
          <w:tcPr>
            <w:tcW w:w="680" w:type="pct"/>
          </w:tcPr>
          <w:p w14:paraId="087580E7" w14:textId="5FAB263B" w:rsidR="00E858A8" w:rsidRPr="00843214" w:rsidRDefault="00E858A8" w:rsidP="00E858A8">
            <w:pPr>
              <w:rPr>
                <w:sz w:val="20"/>
                <w:szCs w:val="20"/>
              </w:rPr>
            </w:pPr>
            <w:r w:rsidRPr="00843214">
              <w:rPr>
                <w:sz w:val="20"/>
                <w:szCs w:val="20"/>
              </w:rPr>
              <w:t>2</w:t>
            </w:r>
          </w:p>
        </w:tc>
      </w:tr>
      <w:tr w:rsidR="00843214" w:rsidRPr="00843214" w14:paraId="34F5929D" w14:textId="1EDECED9" w:rsidTr="00C143A2">
        <w:tc>
          <w:tcPr>
            <w:tcW w:w="431" w:type="pct"/>
          </w:tcPr>
          <w:p w14:paraId="1E1ABF9D" w14:textId="77777777" w:rsidR="00E858A8" w:rsidRPr="00843214" w:rsidRDefault="00E858A8" w:rsidP="00E858A8">
            <w:pPr>
              <w:rPr>
                <w:sz w:val="20"/>
                <w:szCs w:val="20"/>
              </w:rPr>
            </w:pPr>
            <w:r w:rsidRPr="00843214">
              <w:rPr>
                <w:sz w:val="20"/>
                <w:szCs w:val="20"/>
              </w:rPr>
              <w:t>9</w:t>
            </w:r>
          </w:p>
        </w:tc>
        <w:tc>
          <w:tcPr>
            <w:tcW w:w="1214" w:type="pct"/>
          </w:tcPr>
          <w:p w14:paraId="0335A682" w14:textId="60CA2547" w:rsidR="00E858A8" w:rsidRPr="00843214" w:rsidRDefault="00E858A8" w:rsidP="00E858A8">
            <w:pPr>
              <w:rPr>
                <w:sz w:val="20"/>
                <w:szCs w:val="20"/>
              </w:rPr>
            </w:pPr>
            <w:r w:rsidRPr="00843214">
              <w:rPr>
                <w:sz w:val="20"/>
                <w:szCs w:val="20"/>
              </w:rPr>
              <w:t>UNW FDG</w:t>
            </w:r>
          </w:p>
        </w:tc>
        <w:tc>
          <w:tcPr>
            <w:tcW w:w="2675" w:type="pct"/>
          </w:tcPr>
          <w:p w14:paraId="3C416CBE" w14:textId="0FAE5E53" w:rsidR="00E858A8" w:rsidRPr="00843214" w:rsidRDefault="00E858A8" w:rsidP="00E858A8">
            <w:pPr>
              <w:rPr>
                <w:sz w:val="20"/>
                <w:szCs w:val="20"/>
              </w:rPr>
            </w:pPr>
            <w:r w:rsidRPr="00843214">
              <w:rPr>
                <w:sz w:val="20"/>
                <w:szCs w:val="20"/>
              </w:rPr>
              <w:t>UNW Strategic Partnerships and Resource Mobili</w:t>
            </w:r>
            <w:r w:rsidR="00864137" w:rsidRPr="00843214">
              <w:rPr>
                <w:sz w:val="20"/>
                <w:szCs w:val="20"/>
              </w:rPr>
              <w:t>s</w:t>
            </w:r>
            <w:r w:rsidRPr="00843214">
              <w:rPr>
                <w:sz w:val="20"/>
                <w:szCs w:val="20"/>
              </w:rPr>
              <w:t>ation</w:t>
            </w:r>
          </w:p>
        </w:tc>
        <w:tc>
          <w:tcPr>
            <w:tcW w:w="680" w:type="pct"/>
          </w:tcPr>
          <w:p w14:paraId="64B225C2" w14:textId="43E68425" w:rsidR="00E858A8" w:rsidRPr="00843214" w:rsidRDefault="00E858A8" w:rsidP="00E858A8">
            <w:pPr>
              <w:rPr>
                <w:sz w:val="20"/>
                <w:szCs w:val="20"/>
              </w:rPr>
            </w:pPr>
            <w:r w:rsidRPr="00843214">
              <w:rPr>
                <w:sz w:val="20"/>
                <w:szCs w:val="20"/>
              </w:rPr>
              <w:t>3</w:t>
            </w:r>
          </w:p>
        </w:tc>
      </w:tr>
      <w:tr w:rsidR="00843214" w:rsidRPr="00843214" w14:paraId="0D624FE8" w14:textId="215F75E5" w:rsidTr="00C143A2">
        <w:tc>
          <w:tcPr>
            <w:tcW w:w="431" w:type="pct"/>
          </w:tcPr>
          <w:p w14:paraId="4C06567E" w14:textId="77777777" w:rsidR="00E858A8" w:rsidRPr="00843214" w:rsidRDefault="00E858A8" w:rsidP="00E858A8">
            <w:pPr>
              <w:rPr>
                <w:sz w:val="20"/>
                <w:szCs w:val="20"/>
              </w:rPr>
            </w:pPr>
            <w:r w:rsidRPr="00843214">
              <w:rPr>
                <w:sz w:val="20"/>
                <w:szCs w:val="20"/>
              </w:rPr>
              <w:t>10</w:t>
            </w:r>
          </w:p>
        </w:tc>
        <w:tc>
          <w:tcPr>
            <w:tcW w:w="1214" w:type="pct"/>
          </w:tcPr>
          <w:p w14:paraId="2A31083A" w14:textId="4B328345" w:rsidR="00E858A8" w:rsidRPr="00843214" w:rsidRDefault="00E858A8" w:rsidP="00E858A8">
            <w:pPr>
              <w:rPr>
                <w:sz w:val="20"/>
                <w:szCs w:val="20"/>
              </w:rPr>
            </w:pPr>
            <w:r w:rsidRPr="00843214">
              <w:rPr>
                <w:sz w:val="20"/>
                <w:szCs w:val="20"/>
              </w:rPr>
              <w:t>DFAT FDG</w:t>
            </w:r>
          </w:p>
        </w:tc>
        <w:tc>
          <w:tcPr>
            <w:tcW w:w="2675" w:type="pct"/>
          </w:tcPr>
          <w:p w14:paraId="3615547D" w14:textId="77777777" w:rsidR="00E858A8" w:rsidRPr="00843214" w:rsidRDefault="00E858A8" w:rsidP="00E858A8">
            <w:pPr>
              <w:rPr>
                <w:sz w:val="20"/>
                <w:szCs w:val="20"/>
              </w:rPr>
            </w:pPr>
            <w:r w:rsidRPr="00843214">
              <w:rPr>
                <w:sz w:val="20"/>
                <w:szCs w:val="20"/>
              </w:rPr>
              <w:t>Office of the Pacific</w:t>
            </w:r>
          </w:p>
          <w:p w14:paraId="6B571AD2" w14:textId="77777777" w:rsidR="00E858A8" w:rsidRPr="00843214" w:rsidRDefault="00E858A8" w:rsidP="00E858A8">
            <w:pPr>
              <w:rPr>
                <w:sz w:val="20"/>
                <w:szCs w:val="20"/>
              </w:rPr>
            </w:pPr>
            <w:r w:rsidRPr="00843214">
              <w:rPr>
                <w:sz w:val="20"/>
                <w:szCs w:val="20"/>
              </w:rPr>
              <w:t>Multilateral Organisation Branch</w:t>
            </w:r>
          </w:p>
          <w:p w14:paraId="77E70F60" w14:textId="77777777" w:rsidR="00E858A8" w:rsidRPr="00843214" w:rsidRDefault="00E858A8" w:rsidP="00E858A8">
            <w:pPr>
              <w:rPr>
                <w:sz w:val="20"/>
                <w:szCs w:val="20"/>
              </w:rPr>
            </w:pPr>
            <w:r w:rsidRPr="00843214">
              <w:rPr>
                <w:sz w:val="20"/>
                <w:szCs w:val="20"/>
              </w:rPr>
              <w:t>Humanitarian Refugee &amp; NGO Branch</w:t>
            </w:r>
          </w:p>
          <w:p w14:paraId="07ACDB36" w14:textId="5443BB1D" w:rsidR="00B874B1" w:rsidRPr="00843214" w:rsidRDefault="00B874B1" w:rsidP="00E858A8">
            <w:pPr>
              <w:rPr>
                <w:sz w:val="20"/>
                <w:szCs w:val="20"/>
              </w:rPr>
            </w:pPr>
            <w:r w:rsidRPr="00843214">
              <w:rPr>
                <w:sz w:val="20"/>
                <w:szCs w:val="20"/>
              </w:rPr>
              <w:t>Afghanistan Development Section</w:t>
            </w:r>
          </w:p>
        </w:tc>
        <w:tc>
          <w:tcPr>
            <w:tcW w:w="680" w:type="pct"/>
          </w:tcPr>
          <w:p w14:paraId="663A93AD" w14:textId="1AF8A053" w:rsidR="00E858A8" w:rsidRPr="00843214" w:rsidRDefault="00B874B1" w:rsidP="00E858A8">
            <w:pPr>
              <w:rPr>
                <w:sz w:val="20"/>
                <w:szCs w:val="20"/>
              </w:rPr>
            </w:pPr>
            <w:r w:rsidRPr="00843214">
              <w:rPr>
                <w:sz w:val="20"/>
                <w:szCs w:val="20"/>
              </w:rPr>
              <w:t>6</w:t>
            </w:r>
          </w:p>
        </w:tc>
      </w:tr>
      <w:tr w:rsidR="00843214" w:rsidRPr="00843214" w14:paraId="296D1A1C" w14:textId="70404A9B" w:rsidTr="00C143A2">
        <w:tc>
          <w:tcPr>
            <w:tcW w:w="431" w:type="pct"/>
          </w:tcPr>
          <w:p w14:paraId="0FA02DFB" w14:textId="77777777" w:rsidR="00E858A8" w:rsidRPr="00843214" w:rsidRDefault="00E858A8" w:rsidP="00E858A8">
            <w:pPr>
              <w:rPr>
                <w:sz w:val="20"/>
                <w:szCs w:val="20"/>
              </w:rPr>
            </w:pPr>
            <w:r w:rsidRPr="00843214">
              <w:rPr>
                <w:sz w:val="20"/>
                <w:szCs w:val="20"/>
              </w:rPr>
              <w:t>11</w:t>
            </w:r>
          </w:p>
        </w:tc>
        <w:tc>
          <w:tcPr>
            <w:tcW w:w="1214" w:type="pct"/>
          </w:tcPr>
          <w:p w14:paraId="0F10C097" w14:textId="78550758" w:rsidR="00E858A8" w:rsidRPr="00843214" w:rsidRDefault="00E858A8" w:rsidP="00E858A8">
            <w:pPr>
              <w:rPr>
                <w:sz w:val="20"/>
                <w:szCs w:val="20"/>
              </w:rPr>
            </w:pPr>
            <w:r w:rsidRPr="00843214">
              <w:rPr>
                <w:sz w:val="20"/>
                <w:szCs w:val="20"/>
              </w:rPr>
              <w:t>UNW FDG</w:t>
            </w:r>
          </w:p>
        </w:tc>
        <w:tc>
          <w:tcPr>
            <w:tcW w:w="2675" w:type="pct"/>
          </w:tcPr>
          <w:p w14:paraId="10B9227F" w14:textId="4FED99CF" w:rsidR="00E858A8" w:rsidRPr="00843214" w:rsidRDefault="00E858A8" w:rsidP="00E858A8">
            <w:pPr>
              <w:rPr>
                <w:sz w:val="20"/>
                <w:szCs w:val="20"/>
              </w:rPr>
            </w:pPr>
            <w:r w:rsidRPr="00843214">
              <w:rPr>
                <w:sz w:val="20"/>
                <w:szCs w:val="20"/>
              </w:rPr>
              <w:t>Asia-Pacific R</w:t>
            </w:r>
            <w:r w:rsidR="004C2FD0" w:rsidRPr="00843214">
              <w:rPr>
                <w:sz w:val="20"/>
                <w:szCs w:val="20"/>
              </w:rPr>
              <w:t>egional Office</w:t>
            </w:r>
          </w:p>
        </w:tc>
        <w:tc>
          <w:tcPr>
            <w:tcW w:w="680" w:type="pct"/>
          </w:tcPr>
          <w:p w14:paraId="6D7B18B0" w14:textId="24E00BBB" w:rsidR="00E858A8" w:rsidRPr="00843214" w:rsidRDefault="00E858A8" w:rsidP="00E858A8">
            <w:pPr>
              <w:rPr>
                <w:sz w:val="20"/>
                <w:szCs w:val="20"/>
              </w:rPr>
            </w:pPr>
            <w:r w:rsidRPr="00843214">
              <w:rPr>
                <w:sz w:val="20"/>
                <w:szCs w:val="20"/>
              </w:rPr>
              <w:t>9</w:t>
            </w:r>
          </w:p>
        </w:tc>
      </w:tr>
      <w:tr w:rsidR="00843214" w:rsidRPr="00843214" w14:paraId="1DE79904" w14:textId="266F05DC" w:rsidTr="00C143A2">
        <w:tc>
          <w:tcPr>
            <w:tcW w:w="431" w:type="pct"/>
          </w:tcPr>
          <w:p w14:paraId="598F71F2" w14:textId="77777777" w:rsidR="00E858A8" w:rsidRPr="00843214" w:rsidRDefault="00E858A8" w:rsidP="00E858A8">
            <w:pPr>
              <w:rPr>
                <w:sz w:val="20"/>
                <w:szCs w:val="20"/>
              </w:rPr>
            </w:pPr>
            <w:r w:rsidRPr="00843214">
              <w:rPr>
                <w:sz w:val="20"/>
                <w:szCs w:val="20"/>
              </w:rPr>
              <w:t>12</w:t>
            </w:r>
          </w:p>
        </w:tc>
        <w:tc>
          <w:tcPr>
            <w:tcW w:w="1214" w:type="pct"/>
          </w:tcPr>
          <w:p w14:paraId="6F133F95" w14:textId="4F066B5A" w:rsidR="00E858A8" w:rsidRPr="00843214" w:rsidRDefault="00E858A8" w:rsidP="00E858A8">
            <w:pPr>
              <w:rPr>
                <w:sz w:val="20"/>
                <w:szCs w:val="20"/>
              </w:rPr>
            </w:pPr>
            <w:r w:rsidRPr="00843214">
              <w:rPr>
                <w:sz w:val="20"/>
                <w:szCs w:val="20"/>
              </w:rPr>
              <w:t>UNW FDG</w:t>
            </w:r>
          </w:p>
        </w:tc>
        <w:tc>
          <w:tcPr>
            <w:tcW w:w="2675" w:type="pct"/>
          </w:tcPr>
          <w:p w14:paraId="507B1BD5" w14:textId="64C39175" w:rsidR="00E858A8" w:rsidRPr="00843214" w:rsidRDefault="00E858A8" w:rsidP="00E858A8">
            <w:pPr>
              <w:rPr>
                <w:sz w:val="20"/>
                <w:szCs w:val="20"/>
              </w:rPr>
            </w:pPr>
            <w:r w:rsidRPr="00843214">
              <w:rPr>
                <w:sz w:val="20"/>
                <w:szCs w:val="20"/>
              </w:rPr>
              <w:t>Afghanistan EVAW</w:t>
            </w:r>
            <w:r w:rsidR="004C2FD0" w:rsidRPr="00843214">
              <w:rPr>
                <w:sz w:val="20"/>
                <w:szCs w:val="20"/>
              </w:rPr>
              <w:t xml:space="preserve"> program</w:t>
            </w:r>
          </w:p>
        </w:tc>
        <w:tc>
          <w:tcPr>
            <w:tcW w:w="680" w:type="pct"/>
          </w:tcPr>
          <w:p w14:paraId="0C408E62" w14:textId="422EC54C" w:rsidR="00E858A8" w:rsidRPr="00843214" w:rsidRDefault="00E858A8" w:rsidP="00E858A8">
            <w:pPr>
              <w:rPr>
                <w:sz w:val="20"/>
                <w:szCs w:val="20"/>
              </w:rPr>
            </w:pPr>
            <w:r w:rsidRPr="00843214">
              <w:rPr>
                <w:sz w:val="20"/>
                <w:szCs w:val="20"/>
              </w:rPr>
              <w:t>4</w:t>
            </w:r>
          </w:p>
        </w:tc>
      </w:tr>
      <w:tr w:rsidR="00843214" w:rsidRPr="00843214" w14:paraId="423CB008" w14:textId="23A307B1" w:rsidTr="00C143A2">
        <w:tc>
          <w:tcPr>
            <w:tcW w:w="431" w:type="pct"/>
          </w:tcPr>
          <w:p w14:paraId="58E5F1BD" w14:textId="77777777" w:rsidR="00E858A8" w:rsidRPr="00843214" w:rsidRDefault="00E858A8" w:rsidP="00E858A8">
            <w:pPr>
              <w:rPr>
                <w:sz w:val="20"/>
                <w:szCs w:val="20"/>
              </w:rPr>
            </w:pPr>
            <w:r w:rsidRPr="00843214">
              <w:rPr>
                <w:sz w:val="20"/>
                <w:szCs w:val="20"/>
              </w:rPr>
              <w:t>13</w:t>
            </w:r>
          </w:p>
        </w:tc>
        <w:tc>
          <w:tcPr>
            <w:tcW w:w="1214" w:type="pct"/>
          </w:tcPr>
          <w:p w14:paraId="0877BDD9" w14:textId="5D7AF211" w:rsidR="00E858A8" w:rsidRPr="00843214" w:rsidRDefault="00E858A8" w:rsidP="00E858A8">
            <w:pPr>
              <w:rPr>
                <w:sz w:val="20"/>
                <w:szCs w:val="20"/>
              </w:rPr>
            </w:pPr>
            <w:r w:rsidRPr="00843214">
              <w:rPr>
                <w:sz w:val="20"/>
                <w:szCs w:val="20"/>
              </w:rPr>
              <w:t>DFAT FDG</w:t>
            </w:r>
          </w:p>
        </w:tc>
        <w:tc>
          <w:tcPr>
            <w:tcW w:w="2675" w:type="pct"/>
          </w:tcPr>
          <w:p w14:paraId="74BAEDAB" w14:textId="0013F310" w:rsidR="00E858A8" w:rsidRPr="00843214" w:rsidRDefault="00E858A8" w:rsidP="00E858A8">
            <w:pPr>
              <w:rPr>
                <w:sz w:val="20"/>
                <w:szCs w:val="20"/>
              </w:rPr>
            </w:pPr>
            <w:r w:rsidRPr="00843214">
              <w:rPr>
                <w:sz w:val="20"/>
                <w:szCs w:val="20"/>
              </w:rPr>
              <w:t>Elimination of Violence Against Women</w:t>
            </w:r>
            <w:r w:rsidR="004C2FD0" w:rsidRPr="00843214">
              <w:rPr>
                <w:sz w:val="20"/>
                <w:szCs w:val="20"/>
              </w:rPr>
              <w:t xml:space="preserve"> – Thematic group with MC/NGO/CSO/Academia</w:t>
            </w:r>
          </w:p>
        </w:tc>
        <w:tc>
          <w:tcPr>
            <w:tcW w:w="680" w:type="pct"/>
          </w:tcPr>
          <w:p w14:paraId="406ACCB8" w14:textId="1753CF93" w:rsidR="00E858A8" w:rsidRPr="00843214" w:rsidRDefault="00E858A8" w:rsidP="00E858A8">
            <w:pPr>
              <w:rPr>
                <w:sz w:val="20"/>
                <w:szCs w:val="20"/>
              </w:rPr>
            </w:pPr>
            <w:r w:rsidRPr="00843214">
              <w:rPr>
                <w:sz w:val="20"/>
                <w:szCs w:val="20"/>
              </w:rPr>
              <w:t>5</w:t>
            </w:r>
          </w:p>
        </w:tc>
      </w:tr>
      <w:tr w:rsidR="00843214" w:rsidRPr="00843214" w14:paraId="0BBBFEE9" w14:textId="5C3C8A41" w:rsidTr="00C143A2">
        <w:tc>
          <w:tcPr>
            <w:tcW w:w="431" w:type="pct"/>
          </w:tcPr>
          <w:p w14:paraId="2D3A06F0" w14:textId="77777777" w:rsidR="00E858A8" w:rsidRPr="00843214" w:rsidRDefault="00E858A8" w:rsidP="00E858A8">
            <w:pPr>
              <w:rPr>
                <w:sz w:val="20"/>
                <w:szCs w:val="20"/>
              </w:rPr>
            </w:pPr>
            <w:r w:rsidRPr="00843214">
              <w:rPr>
                <w:sz w:val="20"/>
                <w:szCs w:val="20"/>
              </w:rPr>
              <w:t>14</w:t>
            </w:r>
          </w:p>
        </w:tc>
        <w:tc>
          <w:tcPr>
            <w:tcW w:w="1214" w:type="pct"/>
          </w:tcPr>
          <w:p w14:paraId="2628EB79" w14:textId="6E077746" w:rsidR="00E858A8" w:rsidRPr="00843214" w:rsidRDefault="00E858A8" w:rsidP="00E858A8">
            <w:pPr>
              <w:rPr>
                <w:sz w:val="20"/>
                <w:szCs w:val="20"/>
              </w:rPr>
            </w:pPr>
            <w:r w:rsidRPr="00843214">
              <w:rPr>
                <w:sz w:val="20"/>
                <w:szCs w:val="20"/>
              </w:rPr>
              <w:t>DFAT FDG</w:t>
            </w:r>
          </w:p>
        </w:tc>
        <w:tc>
          <w:tcPr>
            <w:tcW w:w="2675" w:type="pct"/>
          </w:tcPr>
          <w:p w14:paraId="0ADE42F9" w14:textId="32CE0759" w:rsidR="00E858A8" w:rsidRPr="00843214" w:rsidRDefault="00E858A8" w:rsidP="00E858A8">
            <w:pPr>
              <w:rPr>
                <w:sz w:val="20"/>
                <w:szCs w:val="20"/>
              </w:rPr>
            </w:pPr>
            <w:r w:rsidRPr="00843214">
              <w:rPr>
                <w:sz w:val="20"/>
                <w:szCs w:val="20"/>
              </w:rPr>
              <w:t>Women Peace and Security</w:t>
            </w:r>
            <w:r w:rsidR="004C2FD0" w:rsidRPr="00843214">
              <w:rPr>
                <w:sz w:val="20"/>
                <w:szCs w:val="20"/>
              </w:rPr>
              <w:t xml:space="preserve"> - Thematic group with MC/NGO/CSO/Academia</w:t>
            </w:r>
          </w:p>
        </w:tc>
        <w:tc>
          <w:tcPr>
            <w:tcW w:w="680" w:type="pct"/>
          </w:tcPr>
          <w:p w14:paraId="1990D088" w14:textId="054F0183" w:rsidR="00E858A8" w:rsidRPr="00843214" w:rsidRDefault="00E858A8" w:rsidP="00E858A8">
            <w:pPr>
              <w:rPr>
                <w:sz w:val="20"/>
                <w:szCs w:val="20"/>
              </w:rPr>
            </w:pPr>
            <w:r w:rsidRPr="00843214">
              <w:rPr>
                <w:sz w:val="20"/>
                <w:szCs w:val="20"/>
              </w:rPr>
              <w:t>5</w:t>
            </w:r>
          </w:p>
        </w:tc>
      </w:tr>
      <w:tr w:rsidR="00843214" w:rsidRPr="00843214" w14:paraId="4B84B79E" w14:textId="639CC0FA" w:rsidTr="00C143A2">
        <w:tc>
          <w:tcPr>
            <w:tcW w:w="431" w:type="pct"/>
          </w:tcPr>
          <w:p w14:paraId="462EE9D1" w14:textId="77777777" w:rsidR="00E858A8" w:rsidRPr="00843214" w:rsidRDefault="00E858A8" w:rsidP="00E858A8">
            <w:pPr>
              <w:rPr>
                <w:sz w:val="20"/>
                <w:szCs w:val="20"/>
              </w:rPr>
            </w:pPr>
            <w:r w:rsidRPr="00843214">
              <w:rPr>
                <w:sz w:val="20"/>
                <w:szCs w:val="20"/>
              </w:rPr>
              <w:t>15</w:t>
            </w:r>
          </w:p>
        </w:tc>
        <w:tc>
          <w:tcPr>
            <w:tcW w:w="1214" w:type="pct"/>
          </w:tcPr>
          <w:p w14:paraId="10CCC11C" w14:textId="7BA2488A" w:rsidR="00E858A8" w:rsidRPr="00843214" w:rsidRDefault="00E858A8" w:rsidP="00E858A8">
            <w:pPr>
              <w:rPr>
                <w:sz w:val="20"/>
                <w:szCs w:val="20"/>
              </w:rPr>
            </w:pPr>
            <w:r w:rsidRPr="00843214">
              <w:rPr>
                <w:sz w:val="20"/>
                <w:szCs w:val="20"/>
              </w:rPr>
              <w:t>UNW FDG</w:t>
            </w:r>
          </w:p>
        </w:tc>
        <w:tc>
          <w:tcPr>
            <w:tcW w:w="2675" w:type="pct"/>
          </w:tcPr>
          <w:p w14:paraId="1A18FBE8" w14:textId="39E14B9C" w:rsidR="00E858A8" w:rsidRPr="00843214" w:rsidRDefault="00E858A8" w:rsidP="00E858A8">
            <w:pPr>
              <w:rPr>
                <w:sz w:val="20"/>
                <w:szCs w:val="20"/>
              </w:rPr>
            </w:pPr>
            <w:r w:rsidRPr="00843214">
              <w:rPr>
                <w:sz w:val="20"/>
                <w:szCs w:val="20"/>
              </w:rPr>
              <w:t>UN partners (</w:t>
            </w:r>
            <w:r w:rsidR="00CE0590" w:rsidRPr="00843214">
              <w:rPr>
                <w:sz w:val="20"/>
                <w:szCs w:val="20"/>
              </w:rPr>
              <w:t>UNICEF,</w:t>
            </w:r>
            <w:r w:rsidR="000067A7" w:rsidRPr="00843214">
              <w:rPr>
                <w:sz w:val="20"/>
                <w:szCs w:val="20"/>
              </w:rPr>
              <w:t xml:space="preserve"> </w:t>
            </w:r>
            <w:r w:rsidR="00CE0590" w:rsidRPr="00843214">
              <w:rPr>
                <w:sz w:val="20"/>
                <w:szCs w:val="20"/>
              </w:rPr>
              <w:t>UNFPA</w:t>
            </w:r>
            <w:r w:rsidR="004C2FD0" w:rsidRPr="00843214">
              <w:rPr>
                <w:sz w:val="20"/>
                <w:szCs w:val="20"/>
              </w:rPr>
              <w:t>, IOM</w:t>
            </w:r>
            <w:r w:rsidRPr="00843214">
              <w:rPr>
                <w:sz w:val="20"/>
                <w:szCs w:val="20"/>
              </w:rPr>
              <w:t>)</w:t>
            </w:r>
          </w:p>
        </w:tc>
        <w:tc>
          <w:tcPr>
            <w:tcW w:w="680" w:type="pct"/>
          </w:tcPr>
          <w:p w14:paraId="0FA43348" w14:textId="42F9C087" w:rsidR="00E858A8" w:rsidRPr="00843214" w:rsidRDefault="00E858A8" w:rsidP="00E858A8">
            <w:pPr>
              <w:rPr>
                <w:sz w:val="20"/>
                <w:szCs w:val="20"/>
              </w:rPr>
            </w:pPr>
            <w:r w:rsidRPr="00843214">
              <w:rPr>
                <w:sz w:val="20"/>
                <w:szCs w:val="20"/>
              </w:rPr>
              <w:t>4</w:t>
            </w:r>
          </w:p>
        </w:tc>
      </w:tr>
      <w:tr w:rsidR="00843214" w:rsidRPr="00843214" w14:paraId="6355CB1A" w14:textId="294FF952" w:rsidTr="00C143A2">
        <w:tc>
          <w:tcPr>
            <w:tcW w:w="431" w:type="pct"/>
          </w:tcPr>
          <w:p w14:paraId="3D84F50D" w14:textId="77777777" w:rsidR="00E858A8" w:rsidRPr="00843214" w:rsidRDefault="00E858A8" w:rsidP="00E858A8">
            <w:pPr>
              <w:rPr>
                <w:sz w:val="20"/>
                <w:szCs w:val="20"/>
              </w:rPr>
            </w:pPr>
            <w:r w:rsidRPr="00843214">
              <w:rPr>
                <w:sz w:val="20"/>
                <w:szCs w:val="20"/>
              </w:rPr>
              <w:t>16</w:t>
            </w:r>
          </w:p>
        </w:tc>
        <w:tc>
          <w:tcPr>
            <w:tcW w:w="1214" w:type="pct"/>
          </w:tcPr>
          <w:p w14:paraId="30B9C698" w14:textId="0EC18E4B" w:rsidR="00E858A8" w:rsidRPr="00843214" w:rsidRDefault="00E858A8" w:rsidP="00E858A8">
            <w:pPr>
              <w:rPr>
                <w:sz w:val="20"/>
                <w:szCs w:val="20"/>
              </w:rPr>
            </w:pPr>
            <w:r w:rsidRPr="00843214">
              <w:rPr>
                <w:sz w:val="20"/>
                <w:szCs w:val="20"/>
              </w:rPr>
              <w:t>UNW Interview</w:t>
            </w:r>
          </w:p>
        </w:tc>
        <w:tc>
          <w:tcPr>
            <w:tcW w:w="2675" w:type="pct"/>
          </w:tcPr>
          <w:p w14:paraId="62048B03" w14:textId="77777777" w:rsidR="00E858A8" w:rsidRPr="00843214" w:rsidRDefault="00E858A8" w:rsidP="00E858A8">
            <w:pPr>
              <w:rPr>
                <w:sz w:val="20"/>
                <w:szCs w:val="20"/>
              </w:rPr>
            </w:pPr>
            <w:r w:rsidRPr="00843214">
              <w:rPr>
                <w:rFonts w:eastAsia="Times New Roman"/>
                <w:sz w:val="20"/>
                <w:szCs w:val="20"/>
                <w:lang w:val="en-AU"/>
              </w:rPr>
              <w:t>Pacific Multi-Country Office (</w:t>
            </w:r>
            <w:r w:rsidRPr="00843214">
              <w:rPr>
                <w:rFonts w:eastAsia="Times New Roman"/>
                <w:sz w:val="20"/>
                <w:szCs w:val="20"/>
              </w:rPr>
              <w:t>Resident Coordinator Office)</w:t>
            </w:r>
          </w:p>
        </w:tc>
        <w:tc>
          <w:tcPr>
            <w:tcW w:w="680" w:type="pct"/>
          </w:tcPr>
          <w:p w14:paraId="7C1C800C" w14:textId="025BCEE4" w:rsidR="00E858A8" w:rsidRPr="00843214" w:rsidRDefault="00E858A8" w:rsidP="00E858A8">
            <w:pPr>
              <w:rPr>
                <w:rFonts w:eastAsia="Times New Roman"/>
                <w:sz w:val="20"/>
                <w:szCs w:val="20"/>
                <w:lang w:val="en-AU"/>
              </w:rPr>
            </w:pPr>
            <w:r w:rsidRPr="00843214">
              <w:rPr>
                <w:sz w:val="20"/>
                <w:szCs w:val="20"/>
              </w:rPr>
              <w:t>1</w:t>
            </w:r>
          </w:p>
        </w:tc>
      </w:tr>
      <w:tr w:rsidR="00843214" w:rsidRPr="00843214" w14:paraId="3A490CB0" w14:textId="6C695494" w:rsidTr="00C143A2">
        <w:tc>
          <w:tcPr>
            <w:tcW w:w="431" w:type="pct"/>
          </w:tcPr>
          <w:p w14:paraId="6D5D9C8E" w14:textId="77777777" w:rsidR="00E858A8" w:rsidRPr="00843214" w:rsidRDefault="00E858A8" w:rsidP="00E858A8">
            <w:pPr>
              <w:rPr>
                <w:sz w:val="20"/>
                <w:szCs w:val="20"/>
              </w:rPr>
            </w:pPr>
            <w:r w:rsidRPr="00843214">
              <w:rPr>
                <w:sz w:val="20"/>
                <w:szCs w:val="20"/>
              </w:rPr>
              <w:t>17</w:t>
            </w:r>
          </w:p>
        </w:tc>
        <w:tc>
          <w:tcPr>
            <w:tcW w:w="1214" w:type="pct"/>
          </w:tcPr>
          <w:p w14:paraId="3B4BD3F2" w14:textId="39B68E8F" w:rsidR="00E858A8" w:rsidRPr="00843214" w:rsidRDefault="00E858A8" w:rsidP="00E858A8">
            <w:pPr>
              <w:rPr>
                <w:sz w:val="20"/>
                <w:szCs w:val="20"/>
              </w:rPr>
            </w:pPr>
            <w:r w:rsidRPr="00843214">
              <w:rPr>
                <w:sz w:val="20"/>
                <w:szCs w:val="20"/>
              </w:rPr>
              <w:t>UNW Interview</w:t>
            </w:r>
          </w:p>
        </w:tc>
        <w:tc>
          <w:tcPr>
            <w:tcW w:w="2675" w:type="pct"/>
          </w:tcPr>
          <w:p w14:paraId="670EB52A" w14:textId="77777777" w:rsidR="00E858A8" w:rsidRPr="00843214" w:rsidRDefault="00E858A8" w:rsidP="00E858A8">
            <w:pPr>
              <w:rPr>
                <w:sz w:val="20"/>
                <w:szCs w:val="20"/>
              </w:rPr>
            </w:pPr>
            <w:r w:rsidRPr="00843214">
              <w:rPr>
                <w:sz w:val="20"/>
                <w:szCs w:val="20"/>
              </w:rPr>
              <w:t>NGO implementing partners in Indo-Pacific</w:t>
            </w:r>
          </w:p>
        </w:tc>
        <w:tc>
          <w:tcPr>
            <w:tcW w:w="680" w:type="pct"/>
          </w:tcPr>
          <w:p w14:paraId="1FDE944C" w14:textId="171CBE1F" w:rsidR="00E858A8" w:rsidRPr="00843214" w:rsidRDefault="00E858A8" w:rsidP="00E858A8">
            <w:pPr>
              <w:rPr>
                <w:sz w:val="20"/>
                <w:szCs w:val="20"/>
              </w:rPr>
            </w:pPr>
            <w:r w:rsidRPr="00843214">
              <w:rPr>
                <w:sz w:val="20"/>
                <w:szCs w:val="20"/>
              </w:rPr>
              <w:t>1</w:t>
            </w:r>
          </w:p>
        </w:tc>
      </w:tr>
      <w:tr w:rsidR="00843214" w:rsidRPr="00843214" w14:paraId="079D7B38" w14:textId="38EBFC0E" w:rsidTr="00C143A2">
        <w:tc>
          <w:tcPr>
            <w:tcW w:w="431" w:type="pct"/>
          </w:tcPr>
          <w:p w14:paraId="1F787C27" w14:textId="77777777" w:rsidR="00E858A8" w:rsidRPr="00843214" w:rsidRDefault="00E858A8" w:rsidP="00E858A8">
            <w:pPr>
              <w:rPr>
                <w:sz w:val="20"/>
                <w:szCs w:val="20"/>
              </w:rPr>
            </w:pPr>
            <w:r w:rsidRPr="00843214">
              <w:rPr>
                <w:sz w:val="20"/>
                <w:szCs w:val="20"/>
              </w:rPr>
              <w:t>18</w:t>
            </w:r>
          </w:p>
        </w:tc>
        <w:tc>
          <w:tcPr>
            <w:tcW w:w="1214" w:type="pct"/>
          </w:tcPr>
          <w:p w14:paraId="6C3FB131" w14:textId="48A4E5EA" w:rsidR="00E858A8" w:rsidRPr="00843214" w:rsidRDefault="00E858A8" w:rsidP="00E858A8">
            <w:pPr>
              <w:rPr>
                <w:sz w:val="20"/>
                <w:szCs w:val="20"/>
              </w:rPr>
            </w:pPr>
            <w:r w:rsidRPr="00843214">
              <w:rPr>
                <w:sz w:val="20"/>
                <w:szCs w:val="20"/>
              </w:rPr>
              <w:t xml:space="preserve">DFAT </w:t>
            </w:r>
            <w:r w:rsidR="002D20B0" w:rsidRPr="00843214">
              <w:rPr>
                <w:sz w:val="20"/>
                <w:szCs w:val="20"/>
              </w:rPr>
              <w:t>FDG</w:t>
            </w:r>
          </w:p>
        </w:tc>
        <w:tc>
          <w:tcPr>
            <w:tcW w:w="2675" w:type="pct"/>
          </w:tcPr>
          <w:p w14:paraId="627D9A83" w14:textId="641B7143" w:rsidR="00E858A8" w:rsidRPr="00843214" w:rsidRDefault="00E858A8" w:rsidP="00E858A8">
            <w:pPr>
              <w:rPr>
                <w:sz w:val="20"/>
                <w:szCs w:val="20"/>
              </w:rPr>
            </w:pPr>
            <w:r w:rsidRPr="00843214">
              <w:rPr>
                <w:sz w:val="20"/>
                <w:szCs w:val="20"/>
              </w:rPr>
              <w:t>Women’s Economic Empowerment</w:t>
            </w:r>
            <w:r w:rsidR="004C2FD0" w:rsidRPr="00843214">
              <w:rPr>
                <w:sz w:val="20"/>
                <w:szCs w:val="20"/>
              </w:rPr>
              <w:t xml:space="preserve"> – Thematic group with MC</w:t>
            </w:r>
          </w:p>
        </w:tc>
        <w:tc>
          <w:tcPr>
            <w:tcW w:w="680" w:type="pct"/>
          </w:tcPr>
          <w:p w14:paraId="503173C3" w14:textId="44B67512" w:rsidR="00E858A8" w:rsidRPr="00843214" w:rsidRDefault="00E858A8" w:rsidP="00E858A8">
            <w:pPr>
              <w:rPr>
                <w:sz w:val="20"/>
                <w:szCs w:val="20"/>
              </w:rPr>
            </w:pPr>
            <w:r w:rsidRPr="00843214">
              <w:rPr>
                <w:sz w:val="20"/>
                <w:szCs w:val="20"/>
              </w:rPr>
              <w:t>2</w:t>
            </w:r>
          </w:p>
        </w:tc>
      </w:tr>
      <w:tr w:rsidR="00843214" w:rsidRPr="00843214" w14:paraId="273CB366" w14:textId="1432CF0B" w:rsidTr="00C143A2">
        <w:tc>
          <w:tcPr>
            <w:tcW w:w="431" w:type="pct"/>
          </w:tcPr>
          <w:p w14:paraId="3F8CCED6" w14:textId="77777777" w:rsidR="00E858A8" w:rsidRPr="00843214" w:rsidRDefault="00E858A8" w:rsidP="00E858A8">
            <w:pPr>
              <w:rPr>
                <w:sz w:val="20"/>
                <w:szCs w:val="20"/>
              </w:rPr>
            </w:pPr>
            <w:r w:rsidRPr="00843214">
              <w:rPr>
                <w:sz w:val="20"/>
                <w:szCs w:val="20"/>
              </w:rPr>
              <w:t>19</w:t>
            </w:r>
          </w:p>
        </w:tc>
        <w:tc>
          <w:tcPr>
            <w:tcW w:w="1214" w:type="pct"/>
          </w:tcPr>
          <w:p w14:paraId="17E7CA20" w14:textId="782A9825" w:rsidR="00E858A8" w:rsidRPr="00843214" w:rsidRDefault="00E858A8" w:rsidP="00E858A8">
            <w:pPr>
              <w:rPr>
                <w:sz w:val="20"/>
                <w:szCs w:val="20"/>
              </w:rPr>
            </w:pPr>
            <w:r w:rsidRPr="00843214">
              <w:rPr>
                <w:sz w:val="20"/>
                <w:szCs w:val="20"/>
              </w:rPr>
              <w:t>DFAT FDG</w:t>
            </w:r>
          </w:p>
        </w:tc>
        <w:tc>
          <w:tcPr>
            <w:tcW w:w="2675" w:type="pct"/>
          </w:tcPr>
          <w:p w14:paraId="3241F40F" w14:textId="27AC8EAE" w:rsidR="00E858A8" w:rsidRPr="00843214" w:rsidRDefault="00E858A8" w:rsidP="00E858A8">
            <w:pPr>
              <w:rPr>
                <w:sz w:val="20"/>
                <w:szCs w:val="20"/>
              </w:rPr>
            </w:pPr>
            <w:r w:rsidRPr="00843214">
              <w:rPr>
                <w:sz w:val="20"/>
                <w:szCs w:val="20"/>
              </w:rPr>
              <w:t>Pacific M</w:t>
            </w:r>
            <w:r w:rsidR="004C2FD0" w:rsidRPr="00843214">
              <w:rPr>
                <w:sz w:val="20"/>
                <w:szCs w:val="20"/>
              </w:rPr>
              <w:t>ulti-Country Office and PNG Country Office</w:t>
            </w:r>
          </w:p>
        </w:tc>
        <w:tc>
          <w:tcPr>
            <w:tcW w:w="680" w:type="pct"/>
          </w:tcPr>
          <w:p w14:paraId="7C3D8C3E" w14:textId="26B5FACC" w:rsidR="00E858A8" w:rsidRPr="00843214" w:rsidRDefault="00E858A8" w:rsidP="00E858A8">
            <w:pPr>
              <w:rPr>
                <w:sz w:val="20"/>
                <w:szCs w:val="20"/>
              </w:rPr>
            </w:pPr>
            <w:r w:rsidRPr="00843214">
              <w:rPr>
                <w:sz w:val="20"/>
                <w:szCs w:val="20"/>
              </w:rPr>
              <w:t>5</w:t>
            </w:r>
          </w:p>
        </w:tc>
      </w:tr>
    </w:tbl>
    <w:p w14:paraId="736F81C1" w14:textId="4D3E1A60" w:rsidR="0000408D" w:rsidRPr="00843214" w:rsidRDefault="0000408D">
      <w:pPr>
        <w:rPr>
          <w:color w:val="auto"/>
        </w:rPr>
      </w:pPr>
      <w:r w:rsidRPr="00843214">
        <w:rPr>
          <w:color w:val="auto"/>
        </w:rPr>
        <w:br w:type="page"/>
      </w:r>
    </w:p>
    <w:p w14:paraId="211B86AB" w14:textId="6C710B65" w:rsidR="001C5D1E" w:rsidRPr="00843214" w:rsidRDefault="001C5D1E" w:rsidP="00843214">
      <w:pPr>
        <w:pStyle w:val="Heading1"/>
      </w:pPr>
      <w:bookmarkStart w:id="104" w:name="_Toc69376678"/>
      <w:bookmarkStart w:id="105" w:name="_Hlk66688758"/>
      <w:r w:rsidRPr="00843214">
        <w:lastRenderedPageBreak/>
        <w:t xml:space="preserve">Annex </w:t>
      </w:r>
      <w:r w:rsidR="0049734F" w:rsidRPr="00843214">
        <w:t>4</w:t>
      </w:r>
      <w:r w:rsidRPr="00843214">
        <w:t xml:space="preserve">: </w:t>
      </w:r>
      <w:r w:rsidR="005E24A4" w:rsidRPr="00843214">
        <w:t>Key Recent N</w:t>
      </w:r>
      <w:r w:rsidR="0049734F" w:rsidRPr="00843214">
        <w:t>on-</w:t>
      </w:r>
      <w:proofErr w:type="gramStart"/>
      <w:r w:rsidR="0049734F" w:rsidRPr="00843214">
        <w:t>core</w:t>
      </w:r>
      <w:proofErr w:type="gramEnd"/>
      <w:r w:rsidR="0049734F" w:rsidRPr="00843214">
        <w:t xml:space="preserve"> </w:t>
      </w:r>
      <w:r w:rsidRPr="00843214">
        <w:t xml:space="preserve">Funded </w:t>
      </w:r>
      <w:r w:rsidR="005E24A4" w:rsidRPr="00843214">
        <w:t>Initiatives</w:t>
      </w:r>
      <w:bookmarkEnd w:id="104"/>
    </w:p>
    <w:tbl>
      <w:tblPr>
        <w:tblStyle w:val="IODPARCtable2"/>
        <w:tblW w:w="5000" w:type="pct"/>
        <w:tblLook w:val="04A0" w:firstRow="1" w:lastRow="0" w:firstColumn="1" w:lastColumn="0" w:noHBand="0" w:noVBand="1"/>
      </w:tblPr>
      <w:tblGrid>
        <w:gridCol w:w="7788"/>
        <w:gridCol w:w="1552"/>
      </w:tblGrid>
      <w:tr w:rsidR="00843214" w:rsidRPr="00843214" w14:paraId="5030AA1F" w14:textId="19CD9659" w:rsidTr="00D66AD3">
        <w:trPr>
          <w:tblHeader/>
        </w:trPr>
        <w:tc>
          <w:tcPr>
            <w:tcW w:w="4169" w:type="pct"/>
          </w:tcPr>
          <w:p w14:paraId="3819AC4B" w14:textId="69CD871A" w:rsidR="005E24A4" w:rsidRPr="00843214" w:rsidRDefault="005E24A4" w:rsidP="00BD5384">
            <w:pPr>
              <w:rPr>
                <w:b/>
                <w:bCs/>
                <w:color w:val="auto"/>
                <w:sz w:val="20"/>
                <w:szCs w:val="20"/>
                <w:lang w:eastAsia="en-GB"/>
              </w:rPr>
            </w:pPr>
            <w:r w:rsidRPr="00843214">
              <w:rPr>
                <w:b/>
                <w:bCs/>
                <w:color w:val="auto"/>
                <w:sz w:val="20"/>
                <w:szCs w:val="20"/>
                <w:lang w:eastAsia="en-GB"/>
              </w:rPr>
              <w:t>Key Recent Non-</w:t>
            </w:r>
            <w:proofErr w:type="gramStart"/>
            <w:r w:rsidRPr="00843214">
              <w:rPr>
                <w:b/>
                <w:bCs/>
                <w:color w:val="auto"/>
                <w:sz w:val="20"/>
                <w:szCs w:val="20"/>
                <w:lang w:eastAsia="en-GB"/>
              </w:rPr>
              <w:t>core</w:t>
            </w:r>
            <w:proofErr w:type="gramEnd"/>
            <w:r w:rsidRPr="00843214">
              <w:rPr>
                <w:b/>
                <w:bCs/>
                <w:color w:val="auto"/>
                <w:sz w:val="20"/>
                <w:szCs w:val="20"/>
                <w:lang w:eastAsia="en-GB"/>
              </w:rPr>
              <w:t xml:space="preserve"> Funded Initiatives (common name and qualifications in italics)</w:t>
            </w:r>
          </w:p>
        </w:tc>
        <w:tc>
          <w:tcPr>
            <w:tcW w:w="831" w:type="pct"/>
          </w:tcPr>
          <w:p w14:paraId="7F0D9BCF" w14:textId="72485ED6" w:rsidR="005E24A4" w:rsidRPr="00843214" w:rsidRDefault="005E24A4" w:rsidP="00BD5384">
            <w:pPr>
              <w:rPr>
                <w:b/>
                <w:bCs/>
                <w:color w:val="auto"/>
                <w:sz w:val="20"/>
                <w:szCs w:val="20"/>
                <w:lang w:eastAsia="en-GB"/>
              </w:rPr>
            </w:pPr>
            <w:r w:rsidRPr="00843214">
              <w:rPr>
                <w:b/>
                <w:bCs/>
                <w:color w:val="auto"/>
                <w:sz w:val="20"/>
                <w:szCs w:val="20"/>
                <w:lang w:eastAsia="en-GB"/>
              </w:rPr>
              <w:t>Included in the review</w:t>
            </w:r>
          </w:p>
        </w:tc>
      </w:tr>
      <w:tr w:rsidR="00843214" w:rsidRPr="00843214" w14:paraId="08171C35" w14:textId="77C220A6" w:rsidTr="00D66AD3">
        <w:tc>
          <w:tcPr>
            <w:tcW w:w="4169" w:type="pct"/>
          </w:tcPr>
          <w:p w14:paraId="01DB8D26" w14:textId="22C5CA7E" w:rsidR="005E24A4" w:rsidRPr="00843214" w:rsidRDefault="005E24A4" w:rsidP="00BD5384">
            <w:pPr>
              <w:rPr>
                <w:color w:val="auto"/>
                <w:sz w:val="20"/>
                <w:szCs w:val="20"/>
                <w:lang w:eastAsia="en-GB"/>
              </w:rPr>
            </w:pPr>
            <w:r w:rsidRPr="00843214">
              <w:rPr>
                <w:color w:val="auto"/>
                <w:sz w:val="20"/>
                <w:szCs w:val="20"/>
                <w:lang w:eastAsia="en-GB"/>
              </w:rPr>
              <w:t>Trust Fund for the Elimination of Violence against Women</w:t>
            </w:r>
            <w:r w:rsidRPr="00843214">
              <w:rPr>
                <w:rStyle w:val="FootnoteReference"/>
                <w:color w:val="auto"/>
                <w:sz w:val="20"/>
                <w:szCs w:val="20"/>
                <w:lang w:eastAsia="en-GB"/>
              </w:rPr>
              <w:footnoteReference w:id="104"/>
            </w:r>
          </w:p>
          <w:p w14:paraId="75FB454B" w14:textId="521FF533" w:rsidR="005E24A4" w:rsidRPr="00843214" w:rsidRDefault="005E24A4" w:rsidP="00BD538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UN Trust Fund to End Violence against Women (UN Trust Fund to EVAW) managed by UN Women on behalf of the UN system. Relies entirely on voluntary non-core contributions for grant-giving and operations]</w:t>
            </w:r>
          </w:p>
        </w:tc>
        <w:tc>
          <w:tcPr>
            <w:tcW w:w="831" w:type="pct"/>
            <w:shd w:val="clear" w:color="auto" w:fill="FFE1CF" w:themeFill="accent2" w:themeFillTint="33"/>
          </w:tcPr>
          <w:p w14:paraId="6D6B811B" w14:textId="77777777" w:rsidR="005E24A4" w:rsidRPr="00843214" w:rsidRDefault="005E24A4" w:rsidP="0000408D">
            <w:pPr>
              <w:jc w:val="center"/>
              <w:rPr>
                <w:b/>
                <w:bCs/>
                <w:color w:val="auto"/>
                <w:sz w:val="20"/>
                <w:szCs w:val="20"/>
                <w:lang w:eastAsia="en-GB"/>
              </w:rPr>
            </w:pPr>
          </w:p>
        </w:tc>
      </w:tr>
      <w:tr w:rsidR="00843214" w:rsidRPr="00843214" w14:paraId="43DDE40C" w14:textId="5044CBF0" w:rsidTr="00D66AD3">
        <w:tc>
          <w:tcPr>
            <w:tcW w:w="4169" w:type="pct"/>
          </w:tcPr>
          <w:p w14:paraId="79A1DB5E" w14:textId="751A8CD2" w:rsidR="005E24A4" w:rsidRPr="00843214" w:rsidRDefault="005E24A4" w:rsidP="00BD5384">
            <w:pPr>
              <w:rPr>
                <w:color w:val="auto"/>
                <w:sz w:val="20"/>
                <w:szCs w:val="20"/>
                <w:lang w:eastAsia="en-GB"/>
              </w:rPr>
            </w:pPr>
            <w:r w:rsidRPr="00843214">
              <w:rPr>
                <w:color w:val="auto"/>
                <w:sz w:val="20"/>
                <w:szCs w:val="20"/>
                <w:lang w:eastAsia="en-GB"/>
              </w:rPr>
              <w:t>Fund for Gender Equality</w:t>
            </w:r>
          </w:p>
        </w:tc>
        <w:tc>
          <w:tcPr>
            <w:tcW w:w="831" w:type="pct"/>
          </w:tcPr>
          <w:p w14:paraId="7A509C03" w14:textId="77777777" w:rsidR="005E24A4" w:rsidRPr="00843214" w:rsidRDefault="005E24A4" w:rsidP="0000408D">
            <w:pPr>
              <w:jc w:val="center"/>
              <w:rPr>
                <w:b/>
                <w:bCs/>
                <w:color w:val="auto"/>
                <w:sz w:val="20"/>
                <w:szCs w:val="20"/>
                <w:lang w:eastAsia="en-GB"/>
              </w:rPr>
            </w:pPr>
          </w:p>
        </w:tc>
      </w:tr>
      <w:tr w:rsidR="00843214" w:rsidRPr="00843214" w14:paraId="36D1ECD4" w14:textId="017E1987" w:rsidTr="00D66AD3">
        <w:tc>
          <w:tcPr>
            <w:tcW w:w="4169" w:type="pct"/>
          </w:tcPr>
          <w:p w14:paraId="56B2FAD6" w14:textId="77777777" w:rsidR="005E24A4" w:rsidRPr="00843214" w:rsidRDefault="005E24A4" w:rsidP="007006B3">
            <w:pPr>
              <w:rPr>
                <w:color w:val="auto"/>
                <w:sz w:val="20"/>
                <w:szCs w:val="20"/>
                <w:lang w:eastAsia="en-GB"/>
              </w:rPr>
            </w:pPr>
            <w:r w:rsidRPr="00843214">
              <w:rPr>
                <w:color w:val="auto"/>
                <w:sz w:val="20"/>
                <w:szCs w:val="20"/>
                <w:lang w:eastAsia="en-GB"/>
              </w:rPr>
              <w:t>Women, Peace and Security (WPS) Global Facility: from Resolutions to Accountability</w:t>
            </w:r>
          </w:p>
          <w:p w14:paraId="051BAC7F" w14:textId="77777777" w:rsidR="005E24A4" w:rsidRPr="00843214" w:rsidRDefault="005E24A4" w:rsidP="007006B3">
            <w:pPr>
              <w:rPr>
                <w:color w:val="auto"/>
                <w:sz w:val="20"/>
                <w:szCs w:val="20"/>
                <w:lang w:eastAsia="en-GB"/>
              </w:rPr>
            </w:pPr>
            <w:r w:rsidRPr="00843214">
              <w:rPr>
                <w:color w:val="auto"/>
                <w:sz w:val="20"/>
                <w:szCs w:val="20"/>
                <w:lang w:eastAsia="en-GB"/>
              </w:rPr>
              <w:t>From Communities to Global Security Institutions: Engaging Women in Building Peace and Security</w:t>
            </w:r>
          </w:p>
          <w:p w14:paraId="32826AC4" w14:textId="200B1C50" w:rsidR="005E24A4" w:rsidRPr="00843214" w:rsidRDefault="005E24A4" w:rsidP="007006B3">
            <w:pPr>
              <w:rPr>
                <w:color w:val="auto"/>
                <w:sz w:val="20"/>
                <w:szCs w:val="20"/>
                <w:lang w:eastAsia="en-GB"/>
              </w:rPr>
            </w:pPr>
            <w:r w:rsidRPr="00843214">
              <w:rPr>
                <w:color w:val="auto"/>
                <w:sz w:val="20"/>
                <w:szCs w:val="20"/>
                <w:lang w:eastAsia="en-GB"/>
              </w:rPr>
              <w:t>[</w:t>
            </w:r>
            <w:r w:rsidRPr="00843214">
              <w:rPr>
                <w:i/>
                <w:iCs/>
                <w:color w:val="auto"/>
                <w:sz w:val="20"/>
                <w:szCs w:val="20"/>
                <w:lang w:eastAsia="en-GB"/>
              </w:rPr>
              <w:t>Women, Peace and Security Global Facility</w:t>
            </w:r>
            <w:r w:rsidRPr="00843214">
              <w:rPr>
                <w:color w:val="auto"/>
                <w:sz w:val="20"/>
                <w:szCs w:val="20"/>
                <w:lang w:eastAsia="en-GB"/>
              </w:rPr>
              <w:t>]</w:t>
            </w:r>
          </w:p>
        </w:tc>
        <w:tc>
          <w:tcPr>
            <w:tcW w:w="831" w:type="pct"/>
            <w:shd w:val="clear" w:color="auto" w:fill="FFE1CF" w:themeFill="accent2" w:themeFillTint="33"/>
          </w:tcPr>
          <w:p w14:paraId="5DA5FC06" w14:textId="77777777" w:rsidR="005E24A4" w:rsidRPr="00843214" w:rsidRDefault="005E24A4" w:rsidP="007006B3">
            <w:pPr>
              <w:jc w:val="center"/>
              <w:rPr>
                <w:b/>
                <w:bCs/>
                <w:color w:val="auto"/>
                <w:sz w:val="20"/>
                <w:szCs w:val="20"/>
                <w:lang w:eastAsia="en-GB"/>
              </w:rPr>
            </w:pPr>
          </w:p>
        </w:tc>
      </w:tr>
      <w:tr w:rsidR="00843214" w:rsidRPr="00843214" w14:paraId="5C37DA13" w14:textId="43C263EC" w:rsidTr="00D66AD3">
        <w:tc>
          <w:tcPr>
            <w:tcW w:w="4169" w:type="pct"/>
          </w:tcPr>
          <w:p w14:paraId="5EB81F21" w14:textId="77777777" w:rsidR="005E24A4" w:rsidRPr="00843214" w:rsidRDefault="005E24A4" w:rsidP="007006B3">
            <w:pPr>
              <w:rPr>
                <w:color w:val="auto"/>
                <w:sz w:val="20"/>
                <w:szCs w:val="20"/>
                <w:lang w:eastAsia="en-GB"/>
              </w:rPr>
            </w:pPr>
            <w:r w:rsidRPr="00843214">
              <w:rPr>
                <w:color w:val="auto"/>
                <w:sz w:val="20"/>
                <w:szCs w:val="20"/>
                <w:lang w:eastAsia="en-GB"/>
              </w:rPr>
              <w:t>Women, Peace and Security Global Facility: From Resolutions to Accountability and Leadership 2017-2018 (WPSGF)</w:t>
            </w:r>
          </w:p>
          <w:p w14:paraId="5ACF5BC0" w14:textId="55D799F2" w:rsidR="005E24A4" w:rsidRPr="00843214" w:rsidRDefault="005E24A4" w:rsidP="007006B3">
            <w:pPr>
              <w:rPr>
                <w:color w:val="auto"/>
                <w:sz w:val="20"/>
                <w:szCs w:val="20"/>
                <w:lang w:eastAsia="en-GB"/>
              </w:rPr>
            </w:pPr>
            <w:r w:rsidRPr="00843214">
              <w:rPr>
                <w:color w:val="auto"/>
                <w:sz w:val="20"/>
                <w:szCs w:val="20"/>
                <w:lang w:eastAsia="en-GB"/>
              </w:rPr>
              <w:t>[</w:t>
            </w:r>
            <w:r w:rsidRPr="00843214">
              <w:rPr>
                <w:i/>
                <w:iCs/>
                <w:color w:val="auto"/>
                <w:sz w:val="20"/>
                <w:szCs w:val="20"/>
                <w:lang w:eastAsia="en-GB"/>
              </w:rPr>
              <w:t>Women, Peace and Security Global Facility</w:t>
            </w:r>
            <w:r w:rsidRPr="00843214">
              <w:rPr>
                <w:color w:val="auto"/>
                <w:sz w:val="20"/>
                <w:szCs w:val="20"/>
                <w:lang w:eastAsia="en-GB"/>
              </w:rPr>
              <w:t>]</w:t>
            </w:r>
          </w:p>
        </w:tc>
        <w:tc>
          <w:tcPr>
            <w:tcW w:w="831" w:type="pct"/>
            <w:shd w:val="clear" w:color="auto" w:fill="FFE1CF" w:themeFill="accent2" w:themeFillTint="33"/>
          </w:tcPr>
          <w:p w14:paraId="13802FB3" w14:textId="77777777" w:rsidR="005E24A4" w:rsidRPr="00843214" w:rsidRDefault="005E24A4" w:rsidP="007006B3">
            <w:pPr>
              <w:jc w:val="center"/>
              <w:rPr>
                <w:b/>
                <w:bCs/>
                <w:color w:val="auto"/>
                <w:sz w:val="20"/>
                <w:szCs w:val="20"/>
                <w:lang w:eastAsia="en-GB"/>
              </w:rPr>
            </w:pPr>
          </w:p>
        </w:tc>
      </w:tr>
      <w:tr w:rsidR="00843214" w:rsidRPr="00843214" w14:paraId="203CCA6F" w14:textId="37B2AD23" w:rsidTr="00D66AD3">
        <w:tc>
          <w:tcPr>
            <w:tcW w:w="4169" w:type="pct"/>
          </w:tcPr>
          <w:p w14:paraId="50F56E2D" w14:textId="77777777" w:rsidR="005E24A4" w:rsidRPr="00843214" w:rsidRDefault="005E24A4" w:rsidP="007006B3">
            <w:pPr>
              <w:rPr>
                <w:color w:val="auto"/>
                <w:sz w:val="20"/>
                <w:szCs w:val="20"/>
                <w:lang w:eastAsia="en-GB"/>
              </w:rPr>
            </w:pPr>
            <w:r w:rsidRPr="00843214">
              <w:rPr>
                <w:color w:val="auto"/>
                <w:sz w:val="20"/>
                <w:szCs w:val="20"/>
                <w:lang w:eastAsia="en-GB"/>
              </w:rPr>
              <w:t>Violence Against Women and Girls - A Global Emergency Towards Universal Access to Quality Essential Services for Survivors</w:t>
            </w:r>
          </w:p>
          <w:p w14:paraId="2E774953" w14:textId="14D1D30B" w:rsidR="005E24A4" w:rsidRPr="00843214" w:rsidRDefault="005E24A4" w:rsidP="007006B3">
            <w:pPr>
              <w:rPr>
                <w:color w:val="auto"/>
                <w:sz w:val="20"/>
                <w:szCs w:val="20"/>
                <w:lang w:eastAsia="en-GB"/>
              </w:rPr>
            </w:pPr>
            <w:r w:rsidRPr="00843214">
              <w:rPr>
                <w:color w:val="auto"/>
                <w:sz w:val="20"/>
                <w:szCs w:val="20"/>
                <w:lang w:eastAsia="en-GB"/>
              </w:rPr>
              <w:t>[</w:t>
            </w:r>
            <w:r w:rsidRPr="00843214">
              <w:rPr>
                <w:i/>
                <w:iCs/>
                <w:color w:val="auto"/>
                <w:sz w:val="20"/>
                <w:szCs w:val="20"/>
                <w:lang w:eastAsia="en-GB"/>
              </w:rPr>
              <w:t>Global Joint Program on Essential Services for Women and Girls Subject to Violence, joint program: UN Women, UNFPA, WHO, UNDP and UNODC</w:t>
            </w:r>
            <w:r w:rsidR="0079766A" w:rsidRPr="00843214">
              <w:rPr>
                <w:i/>
                <w:iCs/>
                <w:color w:val="auto"/>
                <w:sz w:val="20"/>
                <w:szCs w:val="20"/>
                <w:lang w:eastAsia="en-GB"/>
              </w:rPr>
              <w:t>, under which falls the Essential Services Package for Women and Girls Subject to Violence</w:t>
            </w:r>
            <w:r w:rsidR="0079766A" w:rsidRPr="00843214">
              <w:rPr>
                <w:color w:val="auto"/>
                <w:sz w:val="20"/>
                <w:szCs w:val="20"/>
                <w:lang w:eastAsia="en-GB"/>
              </w:rPr>
              <w:t>]</w:t>
            </w:r>
          </w:p>
        </w:tc>
        <w:tc>
          <w:tcPr>
            <w:tcW w:w="831" w:type="pct"/>
            <w:shd w:val="clear" w:color="auto" w:fill="FFA571" w:themeFill="accent2" w:themeFillTint="99"/>
          </w:tcPr>
          <w:p w14:paraId="5CA8D9A6" w14:textId="5AC01963" w:rsidR="005E24A4" w:rsidRPr="00843214" w:rsidRDefault="005E24A4" w:rsidP="007006B3">
            <w:pPr>
              <w:jc w:val="center"/>
              <w:rPr>
                <w:b/>
                <w:bCs/>
                <w:color w:val="auto"/>
                <w:sz w:val="20"/>
                <w:szCs w:val="20"/>
                <w:lang w:eastAsia="en-GB"/>
              </w:rPr>
            </w:pPr>
            <w:r w:rsidRPr="00843214">
              <w:rPr>
                <w:b/>
                <w:bCs/>
                <w:color w:val="auto"/>
                <w:sz w:val="20"/>
                <w:szCs w:val="20"/>
                <w:lang w:eastAsia="en-GB"/>
              </w:rPr>
              <w:t>Case example</w:t>
            </w:r>
          </w:p>
        </w:tc>
      </w:tr>
      <w:tr w:rsidR="00843214" w:rsidRPr="00843214" w14:paraId="62F0265D" w14:textId="54B2AF83" w:rsidTr="00D66AD3">
        <w:tc>
          <w:tcPr>
            <w:tcW w:w="4169" w:type="pct"/>
          </w:tcPr>
          <w:p w14:paraId="572EBC25" w14:textId="682D61D8" w:rsidR="005E24A4" w:rsidRPr="00843214" w:rsidRDefault="005E24A4" w:rsidP="00BD5384">
            <w:pPr>
              <w:rPr>
                <w:color w:val="auto"/>
                <w:sz w:val="20"/>
                <w:szCs w:val="20"/>
                <w:lang w:eastAsia="en-GB"/>
              </w:rPr>
            </w:pPr>
            <w:r w:rsidRPr="00843214">
              <w:rPr>
                <w:color w:val="auto"/>
                <w:sz w:val="20"/>
                <w:szCs w:val="20"/>
                <w:lang w:eastAsia="en-GB"/>
              </w:rPr>
              <w:t>Support to the Government of Kiribati to Implement the National Approach to Eliminating Sexual and GenderBased Violence in Kiribati: Policy and National Action Plan 2011-2021, Preparatory Phase</w:t>
            </w:r>
          </w:p>
        </w:tc>
        <w:tc>
          <w:tcPr>
            <w:tcW w:w="831" w:type="pct"/>
            <w:tcBorders>
              <w:bottom w:val="single" w:sz="8" w:space="0" w:color="00A499" w:themeColor="accent1"/>
            </w:tcBorders>
          </w:tcPr>
          <w:p w14:paraId="6604183E" w14:textId="77777777" w:rsidR="005E24A4" w:rsidRPr="00843214" w:rsidRDefault="005E24A4" w:rsidP="0000408D">
            <w:pPr>
              <w:jc w:val="center"/>
              <w:rPr>
                <w:b/>
                <w:bCs/>
                <w:color w:val="auto"/>
                <w:sz w:val="20"/>
                <w:szCs w:val="20"/>
                <w:lang w:eastAsia="en-GB"/>
              </w:rPr>
            </w:pPr>
          </w:p>
        </w:tc>
      </w:tr>
      <w:tr w:rsidR="00843214" w:rsidRPr="00843214" w14:paraId="288AB1C4" w14:textId="4622F2B1" w:rsidTr="00D66AD3">
        <w:tc>
          <w:tcPr>
            <w:tcW w:w="4169" w:type="pct"/>
          </w:tcPr>
          <w:p w14:paraId="18BB5D43" w14:textId="77777777" w:rsidR="005E24A4" w:rsidRPr="00843214" w:rsidRDefault="005E24A4" w:rsidP="005E24A4">
            <w:pPr>
              <w:rPr>
                <w:color w:val="auto"/>
                <w:sz w:val="20"/>
                <w:szCs w:val="20"/>
                <w:lang w:eastAsia="en-GB"/>
              </w:rPr>
            </w:pPr>
            <w:r w:rsidRPr="00843214">
              <w:rPr>
                <w:color w:val="auto"/>
                <w:sz w:val="20"/>
                <w:szCs w:val="20"/>
                <w:lang w:eastAsia="en-GB"/>
              </w:rPr>
              <w:t>UN-Women Market for Change Program</w:t>
            </w:r>
          </w:p>
          <w:p w14:paraId="31FCA377" w14:textId="4BCACCA9" w:rsidR="005E24A4" w:rsidRPr="00843214" w:rsidRDefault="005E24A4" w:rsidP="005E24A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Markets for change, part of Pacific Women Shaping Pacific Development</w:t>
            </w:r>
            <w:r w:rsidRPr="00843214">
              <w:rPr>
                <w:color w:val="auto"/>
                <w:sz w:val="20"/>
                <w:szCs w:val="20"/>
                <w:lang w:eastAsia="en-GB"/>
              </w:rPr>
              <w:t>]</w:t>
            </w:r>
          </w:p>
        </w:tc>
        <w:tc>
          <w:tcPr>
            <w:tcW w:w="831" w:type="pct"/>
            <w:tcBorders>
              <w:bottom w:val="single" w:sz="4" w:space="0" w:color="auto"/>
            </w:tcBorders>
            <w:shd w:val="clear" w:color="auto" w:fill="FFA571" w:themeFill="accent2" w:themeFillTint="99"/>
            <w:vAlign w:val="top"/>
          </w:tcPr>
          <w:p w14:paraId="45C546EB" w14:textId="24EC6F3A" w:rsidR="005E24A4" w:rsidRPr="00843214" w:rsidRDefault="005E24A4" w:rsidP="005E24A4">
            <w:pPr>
              <w:jc w:val="center"/>
              <w:rPr>
                <w:b/>
                <w:bCs/>
                <w:color w:val="auto"/>
                <w:sz w:val="20"/>
                <w:szCs w:val="20"/>
                <w:lang w:eastAsia="en-GB"/>
              </w:rPr>
            </w:pPr>
            <w:r w:rsidRPr="00843214">
              <w:rPr>
                <w:b/>
                <w:bCs/>
                <w:color w:val="auto"/>
                <w:sz w:val="20"/>
                <w:szCs w:val="20"/>
                <w:lang w:eastAsia="en-GB"/>
              </w:rPr>
              <w:t>Case example</w:t>
            </w:r>
          </w:p>
        </w:tc>
      </w:tr>
      <w:tr w:rsidR="00843214" w:rsidRPr="00843214" w14:paraId="788E1EE2" w14:textId="77777777" w:rsidTr="00D66AD3">
        <w:tc>
          <w:tcPr>
            <w:tcW w:w="4169" w:type="pct"/>
          </w:tcPr>
          <w:p w14:paraId="5E09F42D" w14:textId="76C08EDE" w:rsidR="005E24A4" w:rsidRPr="00843214" w:rsidRDefault="005E24A4" w:rsidP="005E24A4">
            <w:pPr>
              <w:rPr>
                <w:color w:val="auto"/>
                <w:sz w:val="20"/>
                <w:szCs w:val="20"/>
                <w:lang w:eastAsia="en-GB"/>
              </w:rPr>
            </w:pPr>
            <w:r w:rsidRPr="00843214">
              <w:rPr>
                <w:color w:val="auto"/>
                <w:sz w:val="20"/>
                <w:szCs w:val="20"/>
                <w:lang w:eastAsia="en-GB"/>
              </w:rPr>
              <w:t>UN Women global flagship initiative Safe Transport/Safe Cities in Papua New Guinea</w:t>
            </w:r>
          </w:p>
          <w:p w14:paraId="680EA47B" w14:textId="352CFD22" w:rsidR="005E24A4" w:rsidRPr="00843214" w:rsidRDefault="005E24A4" w:rsidP="005E24A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part of Pacific Women Shaping Pacific Development]</w:t>
            </w:r>
          </w:p>
        </w:tc>
        <w:tc>
          <w:tcPr>
            <w:tcW w:w="831" w:type="pct"/>
            <w:tcBorders>
              <w:bottom w:val="single" w:sz="4" w:space="0" w:color="auto"/>
            </w:tcBorders>
            <w:shd w:val="clear" w:color="auto" w:fill="FFA571" w:themeFill="accent2" w:themeFillTint="99"/>
            <w:vAlign w:val="top"/>
          </w:tcPr>
          <w:p w14:paraId="7A50605F" w14:textId="1D73C170" w:rsidR="005E24A4" w:rsidRPr="00843214" w:rsidRDefault="005E24A4" w:rsidP="005E24A4">
            <w:pPr>
              <w:jc w:val="center"/>
              <w:rPr>
                <w:b/>
                <w:bCs/>
                <w:color w:val="auto"/>
                <w:sz w:val="20"/>
                <w:szCs w:val="20"/>
                <w:lang w:eastAsia="en-GB"/>
              </w:rPr>
            </w:pPr>
            <w:r w:rsidRPr="00843214">
              <w:rPr>
                <w:b/>
                <w:bCs/>
                <w:color w:val="auto"/>
                <w:sz w:val="20"/>
                <w:szCs w:val="20"/>
                <w:lang w:eastAsia="en-GB"/>
              </w:rPr>
              <w:t>Case example</w:t>
            </w:r>
          </w:p>
        </w:tc>
      </w:tr>
      <w:tr w:rsidR="00843214" w:rsidRPr="00843214" w14:paraId="7A228BD9" w14:textId="77777777" w:rsidTr="00D66AD3">
        <w:tc>
          <w:tcPr>
            <w:tcW w:w="4169" w:type="pct"/>
          </w:tcPr>
          <w:p w14:paraId="31F4251D" w14:textId="77777777" w:rsidR="005E24A4" w:rsidRPr="00843214" w:rsidRDefault="005E24A4" w:rsidP="005E24A4">
            <w:pPr>
              <w:rPr>
                <w:color w:val="auto"/>
                <w:sz w:val="20"/>
                <w:szCs w:val="20"/>
                <w:lang w:eastAsia="en-GB"/>
              </w:rPr>
            </w:pPr>
            <w:r w:rsidRPr="00843214">
              <w:rPr>
                <w:color w:val="auto"/>
                <w:sz w:val="20"/>
                <w:szCs w:val="20"/>
                <w:lang w:eastAsia="en-GB"/>
              </w:rPr>
              <w:t>Women Make the Change in Papua New Guinea (women in politics)</w:t>
            </w:r>
          </w:p>
          <w:p w14:paraId="2D2B002F" w14:textId="3EA5F0FF" w:rsidR="005E24A4" w:rsidRPr="00843214" w:rsidRDefault="005E24A4" w:rsidP="005E24A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part of Pacific Women Shaping Pacific Development]</w:t>
            </w:r>
          </w:p>
        </w:tc>
        <w:tc>
          <w:tcPr>
            <w:tcW w:w="831" w:type="pct"/>
            <w:tcBorders>
              <w:bottom w:val="single" w:sz="4" w:space="0" w:color="auto"/>
            </w:tcBorders>
            <w:shd w:val="clear" w:color="auto" w:fill="FFA571" w:themeFill="accent2" w:themeFillTint="99"/>
            <w:vAlign w:val="top"/>
          </w:tcPr>
          <w:p w14:paraId="16FCC51C" w14:textId="7CD0B675" w:rsidR="005E24A4" w:rsidRPr="00843214" w:rsidRDefault="005E24A4" w:rsidP="005E24A4">
            <w:pPr>
              <w:jc w:val="center"/>
              <w:rPr>
                <w:b/>
                <w:bCs/>
                <w:color w:val="auto"/>
                <w:sz w:val="20"/>
                <w:szCs w:val="20"/>
                <w:lang w:eastAsia="en-GB"/>
              </w:rPr>
            </w:pPr>
            <w:r w:rsidRPr="00843214">
              <w:rPr>
                <w:b/>
                <w:bCs/>
                <w:color w:val="auto"/>
                <w:sz w:val="20"/>
                <w:szCs w:val="20"/>
                <w:lang w:eastAsia="en-GB"/>
              </w:rPr>
              <w:t>Case example</w:t>
            </w:r>
          </w:p>
        </w:tc>
      </w:tr>
      <w:tr w:rsidR="00843214" w:rsidRPr="00843214" w14:paraId="2F51817B" w14:textId="77777777" w:rsidTr="00D66AD3">
        <w:tc>
          <w:tcPr>
            <w:tcW w:w="4169" w:type="pct"/>
          </w:tcPr>
          <w:p w14:paraId="52FE4012" w14:textId="77777777" w:rsidR="005E24A4" w:rsidRPr="00843214" w:rsidRDefault="005E24A4" w:rsidP="00C74A50">
            <w:pPr>
              <w:rPr>
                <w:color w:val="auto"/>
                <w:sz w:val="20"/>
                <w:szCs w:val="20"/>
                <w:lang w:eastAsia="en-GB"/>
              </w:rPr>
            </w:pPr>
            <w:r w:rsidRPr="00843214">
              <w:rPr>
                <w:color w:val="auto"/>
                <w:sz w:val="20"/>
                <w:szCs w:val="20"/>
                <w:lang w:eastAsia="en-GB"/>
              </w:rPr>
              <w:t>PNG Gender and Protection Cluster</w:t>
            </w:r>
          </w:p>
          <w:p w14:paraId="326E64ED" w14:textId="7EECCDE0" w:rsidR="005E24A4" w:rsidRPr="00843214" w:rsidRDefault="005E24A4" w:rsidP="00C74A50">
            <w:pPr>
              <w:rPr>
                <w:color w:val="auto"/>
                <w:sz w:val="20"/>
                <w:szCs w:val="20"/>
                <w:lang w:eastAsia="en-GB"/>
              </w:rPr>
            </w:pPr>
            <w:r w:rsidRPr="00843214">
              <w:rPr>
                <w:color w:val="auto"/>
                <w:sz w:val="20"/>
                <w:szCs w:val="20"/>
                <w:lang w:eastAsia="en-GB"/>
              </w:rPr>
              <w:t>[</w:t>
            </w:r>
            <w:r w:rsidRPr="00843214">
              <w:rPr>
                <w:i/>
                <w:iCs/>
                <w:color w:val="auto"/>
                <w:sz w:val="20"/>
                <w:szCs w:val="20"/>
                <w:lang w:eastAsia="en-GB"/>
              </w:rPr>
              <w:t>part of Pacific Women Shaping Pacific Development]</w:t>
            </w:r>
          </w:p>
        </w:tc>
        <w:tc>
          <w:tcPr>
            <w:tcW w:w="831" w:type="pct"/>
            <w:tcBorders>
              <w:bottom w:val="single" w:sz="4" w:space="0" w:color="auto"/>
            </w:tcBorders>
            <w:shd w:val="clear" w:color="auto" w:fill="FFE1CF" w:themeFill="accent2" w:themeFillTint="33"/>
          </w:tcPr>
          <w:p w14:paraId="5C4DCA29" w14:textId="77777777" w:rsidR="005E24A4" w:rsidRPr="00843214" w:rsidRDefault="005E24A4" w:rsidP="00C74A50">
            <w:pPr>
              <w:jc w:val="center"/>
              <w:rPr>
                <w:b/>
                <w:bCs/>
                <w:color w:val="auto"/>
                <w:sz w:val="20"/>
                <w:szCs w:val="20"/>
                <w:lang w:eastAsia="en-GB"/>
              </w:rPr>
            </w:pPr>
          </w:p>
        </w:tc>
      </w:tr>
      <w:tr w:rsidR="00843214" w:rsidRPr="00843214" w14:paraId="12C2C98B" w14:textId="77777777" w:rsidTr="00D66AD3">
        <w:tc>
          <w:tcPr>
            <w:tcW w:w="4169" w:type="pct"/>
          </w:tcPr>
          <w:p w14:paraId="4F83E7FF" w14:textId="77777777" w:rsidR="005E24A4" w:rsidRPr="00843214" w:rsidRDefault="005E24A4" w:rsidP="00C74A50">
            <w:pPr>
              <w:rPr>
                <w:color w:val="auto"/>
                <w:sz w:val="20"/>
                <w:szCs w:val="20"/>
                <w:lang w:eastAsia="en-GB"/>
              </w:rPr>
            </w:pPr>
            <w:r w:rsidRPr="00843214">
              <w:rPr>
                <w:color w:val="auto"/>
                <w:sz w:val="20"/>
                <w:szCs w:val="20"/>
                <w:lang w:eastAsia="en-GB"/>
              </w:rPr>
              <w:t>Pacific Partnership for Ending Violence Against Women</w:t>
            </w:r>
          </w:p>
          <w:p w14:paraId="02C91091" w14:textId="7DF4E8B6" w:rsidR="005E24A4" w:rsidRPr="00843214" w:rsidRDefault="005E24A4" w:rsidP="00C74A50">
            <w:pPr>
              <w:rPr>
                <w:color w:val="auto"/>
                <w:sz w:val="20"/>
                <w:szCs w:val="20"/>
                <w:lang w:eastAsia="en-GB"/>
              </w:rPr>
            </w:pPr>
            <w:r w:rsidRPr="00843214">
              <w:rPr>
                <w:color w:val="auto"/>
                <w:sz w:val="20"/>
                <w:szCs w:val="20"/>
                <w:lang w:eastAsia="en-GB"/>
              </w:rPr>
              <w:t>[</w:t>
            </w:r>
            <w:r w:rsidRPr="00843214">
              <w:rPr>
                <w:i/>
                <w:iCs/>
                <w:color w:val="auto"/>
                <w:sz w:val="20"/>
                <w:szCs w:val="20"/>
                <w:lang w:eastAsia="en-GB"/>
              </w:rPr>
              <w:t>part of Pacific Women Shaping Pacific Development]</w:t>
            </w:r>
          </w:p>
        </w:tc>
        <w:tc>
          <w:tcPr>
            <w:tcW w:w="831" w:type="pct"/>
            <w:tcBorders>
              <w:bottom w:val="single" w:sz="4" w:space="0" w:color="auto"/>
            </w:tcBorders>
            <w:shd w:val="clear" w:color="auto" w:fill="FFA571" w:themeFill="accent2" w:themeFillTint="99"/>
          </w:tcPr>
          <w:p w14:paraId="2362722C" w14:textId="6A14C14F" w:rsidR="005E24A4" w:rsidRPr="00843214" w:rsidRDefault="005E24A4" w:rsidP="00C74A50">
            <w:pPr>
              <w:jc w:val="center"/>
              <w:rPr>
                <w:b/>
                <w:bCs/>
                <w:color w:val="auto"/>
                <w:sz w:val="20"/>
                <w:szCs w:val="20"/>
                <w:lang w:eastAsia="en-GB"/>
              </w:rPr>
            </w:pPr>
            <w:r w:rsidRPr="00843214">
              <w:rPr>
                <w:b/>
                <w:bCs/>
                <w:color w:val="auto"/>
                <w:sz w:val="20"/>
                <w:szCs w:val="20"/>
                <w:lang w:eastAsia="en-GB"/>
              </w:rPr>
              <w:t>Case example</w:t>
            </w:r>
          </w:p>
        </w:tc>
      </w:tr>
      <w:tr w:rsidR="00843214" w:rsidRPr="00843214" w14:paraId="2A1FB762" w14:textId="3C3E7E50" w:rsidTr="00D66AD3">
        <w:tc>
          <w:tcPr>
            <w:tcW w:w="4169" w:type="pct"/>
          </w:tcPr>
          <w:p w14:paraId="6BD2649F" w14:textId="7792785B" w:rsidR="005E24A4" w:rsidRPr="00843214" w:rsidRDefault="005E24A4" w:rsidP="00BD5384">
            <w:pPr>
              <w:rPr>
                <w:color w:val="auto"/>
                <w:sz w:val="20"/>
                <w:szCs w:val="20"/>
                <w:lang w:eastAsia="en-GB"/>
              </w:rPr>
            </w:pPr>
            <w:r w:rsidRPr="00843214">
              <w:rPr>
                <w:color w:val="auto"/>
                <w:sz w:val="20"/>
                <w:szCs w:val="20"/>
                <w:lang w:eastAsia="en-GB"/>
              </w:rPr>
              <w:t>Increasing Women's Political Participation in Nauru</w:t>
            </w:r>
          </w:p>
        </w:tc>
        <w:tc>
          <w:tcPr>
            <w:tcW w:w="831" w:type="pct"/>
            <w:tcBorders>
              <w:top w:val="single" w:sz="4" w:space="0" w:color="auto"/>
            </w:tcBorders>
          </w:tcPr>
          <w:p w14:paraId="44808DD7" w14:textId="77777777" w:rsidR="005E24A4" w:rsidRPr="00843214" w:rsidRDefault="005E24A4" w:rsidP="0000408D">
            <w:pPr>
              <w:jc w:val="center"/>
              <w:rPr>
                <w:b/>
                <w:bCs/>
                <w:color w:val="auto"/>
                <w:sz w:val="20"/>
                <w:szCs w:val="20"/>
                <w:lang w:eastAsia="en-GB"/>
              </w:rPr>
            </w:pPr>
          </w:p>
        </w:tc>
      </w:tr>
      <w:tr w:rsidR="00843214" w:rsidRPr="00843214" w14:paraId="3651A467" w14:textId="12CE5596" w:rsidTr="00D66AD3">
        <w:tc>
          <w:tcPr>
            <w:tcW w:w="4169" w:type="pct"/>
          </w:tcPr>
          <w:p w14:paraId="42D9C50D" w14:textId="38B885FB" w:rsidR="005E24A4" w:rsidRPr="00843214" w:rsidRDefault="005E24A4" w:rsidP="00BD5384">
            <w:pPr>
              <w:rPr>
                <w:color w:val="auto"/>
                <w:sz w:val="20"/>
                <w:szCs w:val="20"/>
                <w:lang w:eastAsia="en-GB"/>
              </w:rPr>
            </w:pPr>
            <w:r w:rsidRPr="00843214">
              <w:rPr>
                <w:color w:val="auto"/>
                <w:sz w:val="20"/>
                <w:szCs w:val="20"/>
                <w:lang w:eastAsia="en-GB"/>
              </w:rPr>
              <w:t>Private Sector Leadership Advisory Council Work Program</w:t>
            </w:r>
          </w:p>
        </w:tc>
        <w:tc>
          <w:tcPr>
            <w:tcW w:w="831" w:type="pct"/>
          </w:tcPr>
          <w:p w14:paraId="10B6253A" w14:textId="77777777" w:rsidR="005E24A4" w:rsidRPr="00843214" w:rsidRDefault="005E24A4" w:rsidP="0000408D">
            <w:pPr>
              <w:jc w:val="center"/>
              <w:rPr>
                <w:b/>
                <w:bCs/>
                <w:color w:val="auto"/>
                <w:sz w:val="20"/>
                <w:szCs w:val="20"/>
                <w:lang w:eastAsia="en-GB"/>
              </w:rPr>
            </w:pPr>
          </w:p>
        </w:tc>
      </w:tr>
      <w:tr w:rsidR="00843214" w:rsidRPr="00843214" w14:paraId="164DD2C9" w14:textId="36BECB5B" w:rsidTr="00D66AD3">
        <w:tc>
          <w:tcPr>
            <w:tcW w:w="4169" w:type="pct"/>
          </w:tcPr>
          <w:p w14:paraId="02E78389" w14:textId="484817EA" w:rsidR="005E24A4" w:rsidRPr="00843214" w:rsidRDefault="005E24A4" w:rsidP="00BD5384">
            <w:pPr>
              <w:rPr>
                <w:color w:val="auto"/>
                <w:sz w:val="20"/>
                <w:szCs w:val="20"/>
                <w:lang w:eastAsia="en-GB"/>
              </w:rPr>
            </w:pPr>
            <w:r w:rsidRPr="00843214">
              <w:rPr>
                <w:color w:val="auto"/>
                <w:sz w:val="20"/>
                <w:szCs w:val="20"/>
                <w:lang w:eastAsia="en-GB"/>
              </w:rPr>
              <w:lastRenderedPageBreak/>
              <w:t xml:space="preserve">Stepping -Up Solutions to Eliminate Violence against Women and Girls in Asia and the Pacific - </w:t>
            </w:r>
            <w:proofErr w:type="gramStart"/>
            <w:r w:rsidRPr="00843214">
              <w:rPr>
                <w:color w:val="auto"/>
                <w:sz w:val="20"/>
                <w:szCs w:val="20"/>
                <w:lang w:eastAsia="en-GB"/>
              </w:rPr>
              <w:t>Agreement :</w:t>
            </w:r>
            <w:proofErr w:type="gramEnd"/>
            <w:r w:rsidRPr="00843214">
              <w:rPr>
                <w:color w:val="auto"/>
                <w:sz w:val="20"/>
                <w:szCs w:val="20"/>
                <w:lang w:eastAsia="en-GB"/>
              </w:rPr>
              <w:t xml:space="preserve"> 73159/4 </w:t>
            </w:r>
          </w:p>
        </w:tc>
        <w:tc>
          <w:tcPr>
            <w:tcW w:w="831" w:type="pct"/>
            <w:shd w:val="clear" w:color="auto" w:fill="FFE1CF" w:themeFill="accent2" w:themeFillTint="33"/>
          </w:tcPr>
          <w:p w14:paraId="508C3F1E" w14:textId="77777777" w:rsidR="005E24A4" w:rsidRPr="00843214" w:rsidRDefault="005E24A4" w:rsidP="0000408D">
            <w:pPr>
              <w:jc w:val="center"/>
              <w:rPr>
                <w:b/>
                <w:bCs/>
                <w:color w:val="auto"/>
                <w:sz w:val="20"/>
                <w:szCs w:val="20"/>
                <w:lang w:eastAsia="en-GB"/>
              </w:rPr>
            </w:pPr>
          </w:p>
        </w:tc>
      </w:tr>
      <w:tr w:rsidR="00843214" w:rsidRPr="00843214" w14:paraId="43FB8797" w14:textId="2F5E52AB" w:rsidTr="00D66AD3">
        <w:tc>
          <w:tcPr>
            <w:tcW w:w="4169" w:type="pct"/>
          </w:tcPr>
          <w:p w14:paraId="3F6404B8" w14:textId="3A08FDF5" w:rsidR="005E24A4" w:rsidRPr="00843214" w:rsidRDefault="005E24A4" w:rsidP="00BD5384">
            <w:pPr>
              <w:rPr>
                <w:color w:val="auto"/>
                <w:sz w:val="20"/>
                <w:szCs w:val="20"/>
                <w:lang w:eastAsia="en-GB"/>
              </w:rPr>
            </w:pPr>
            <w:r w:rsidRPr="00843214">
              <w:rPr>
                <w:color w:val="auto"/>
                <w:sz w:val="20"/>
                <w:szCs w:val="20"/>
                <w:lang w:eastAsia="en-GB"/>
              </w:rPr>
              <w:t>Survivors Economic Empowerment Journey</w:t>
            </w:r>
          </w:p>
        </w:tc>
        <w:tc>
          <w:tcPr>
            <w:tcW w:w="831" w:type="pct"/>
          </w:tcPr>
          <w:p w14:paraId="50962BC2" w14:textId="77777777" w:rsidR="005E24A4" w:rsidRPr="00843214" w:rsidRDefault="005E24A4" w:rsidP="0000408D">
            <w:pPr>
              <w:jc w:val="center"/>
              <w:rPr>
                <w:b/>
                <w:bCs/>
                <w:color w:val="auto"/>
                <w:sz w:val="20"/>
                <w:szCs w:val="20"/>
                <w:lang w:eastAsia="en-GB"/>
              </w:rPr>
            </w:pPr>
          </w:p>
        </w:tc>
      </w:tr>
      <w:tr w:rsidR="00843214" w:rsidRPr="00843214" w14:paraId="23FF54CE" w14:textId="2C198FD0" w:rsidTr="00D66AD3">
        <w:tc>
          <w:tcPr>
            <w:tcW w:w="4169" w:type="pct"/>
          </w:tcPr>
          <w:p w14:paraId="4FD14BAC" w14:textId="3A3FCE72" w:rsidR="005E24A4" w:rsidRPr="00843214" w:rsidRDefault="005E24A4" w:rsidP="00BD5384">
            <w:pPr>
              <w:rPr>
                <w:color w:val="auto"/>
                <w:sz w:val="20"/>
                <w:szCs w:val="20"/>
                <w:lang w:eastAsia="en-GB"/>
              </w:rPr>
            </w:pPr>
            <w:r w:rsidRPr="00843214">
              <w:rPr>
                <w:color w:val="auto"/>
                <w:sz w:val="20"/>
                <w:szCs w:val="20"/>
                <w:lang w:eastAsia="en-GB"/>
              </w:rPr>
              <w:t>A Blueprint for Prevention of Violence against Women and Girls</w:t>
            </w:r>
          </w:p>
        </w:tc>
        <w:tc>
          <w:tcPr>
            <w:tcW w:w="831" w:type="pct"/>
            <w:shd w:val="clear" w:color="auto" w:fill="FFE1CF" w:themeFill="accent2" w:themeFillTint="33"/>
          </w:tcPr>
          <w:p w14:paraId="6BAEEC56" w14:textId="77777777" w:rsidR="005E24A4" w:rsidRPr="00843214" w:rsidRDefault="005E24A4" w:rsidP="0000408D">
            <w:pPr>
              <w:jc w:val="center"/>
              <w:rPr>
                <w:b/>
                <w:bCs/>
                <w:color w:val="auto"/>
                <w:sz w:val="20"/>
                <w:szCs w:val="20"/>
                <w:lang w:eastAsia="en-GB"/>
              </w:rPr>
            </w:pPr>
          </w:p>
        </w:tc>
      </w:tr>
      <w:tr w:rsidR="00843214" w:rsidRPr="00843214" w14:paraId="480C8DA4" w14:textId="30AD8DEA" w:rsidTr="00D66AD3">
        <w:tc>
          <w:tcPr>
            <w:tcW w:w="4169" w:type="pct"/>
          </w:tcPr>
          <w:p w14:paraId="3A5E2AF9" w14:textId="2792D8BF" w:rsidR="005E24A4" w:rsidRPr="00843214" w:rsidRDefault="005E24A4" w:rsidP="00BD5384">
            <w:pPr>
              <w:rPr>
                <w:color w:val="auto"/>
                <w:sz w:val="20"/>
                <w:szCs w:val="20"/>
                <w:lang w:eastAsia="en-GB"/>
              </w:rPr>
            </w:pPr>
            <w:r w:rsidRPr="00843214">
              <w:rPr>
                <w:color w:val="auto"/>
                <w:sz w:val="20"/>
                <w:szCs w:val="20"/>
                <w:lang w:eastAsia="en-GB"/>
              </w:rPr>
              <w:t>UN Women's Flagship Report: Progress of the World's Women</w:t>
            </w:r>
          </w:p>
        </w:tc>
        <w:tc>
          <w:tcPr>
            <w:tcW w:w="831" w:type="pct"/>
          </w:tcPr>
          <w:p w14:paraId="0D2A086D" w14:textId="77777777" w:rsidR="005E24A4" w:rsidRPr="00843214" w:rsidRDefault="005E24A4" w:rsidP="0000408D">
            <w:pPr>
              <w:jc w:val="center"/>
              <w:rPr>
                <w:b/>
                <w:bCs/>
                <w:color w:val="auto"/>
                <w:sz w:val="20"/>
                <w:szCs w:val="20"/>
                <w:lang w:eastAsia="en-GB"/>
              </w:rPr>
            </w:pPr>
          </w:p>
        </w:tc>
      </w:tr>
      <w:tr w:rsidR="00843214" w:rsidRPr="00843214" w14:paraId="10E55909" w14:textId="2091FCD7" w:rsidTr="00D66AD3">
        <w:tc>
          <w:tcPr>
            <w:tcW w:w="4169" w:type="pct"/>
          </w:tcPr>
          <w:p w14:paraId="7596F050" w14:textId="787D3B95" w:rsidR="005E24A4" w:rsidRPr="00843214" w:rsidRDefault="005E24A4" w:rsidP="00BD5384">
            <w:pPr>
              <w:rPr>
                <w:color w:val="auto"/>
                <w:sz w:val="20"/>
                <w:szCs w:val="20"/>
                <w:lang w:eastAsia="en-GB"/>
              </w:rPr>
            </w:pPr>
            <w:r w:rsidRPr="00843214">
              <w:rPr>
                <w:color w:val="auto"/>
                <w:sz w:val="20"/>
                <w:szCs w:val="20"/>
                <w:lang w:eastAsia="en-GB"/>
              </w:rPr>
              <w:t>Support for Women's Protection Program (Afghanistan)</w:t>
            </w:r>
          </w:p>
          <w:p w14:paraId="2972DA20" w14:textId="7C484318" w:rsidR="005E24A4" w:rsidRPr="00843214" w:rsidRDefault="005E24A4" w:rsidP="00BD538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Afghanistan Ending Violence Against Women Phase 2</w:t>
            </w:r>
            <w:r w:rsidRPr="00843214">
              <w:rPr>
                <w:color w:val="auto"/>
                <w:sz w:val="20"/>
                <w:szCs w:val="20"/>
                <w:lang w:eastAsia="en-GB"/>
              </w:rPr>
              <w:t>]</w:t>
            </w:r>
          </w:p>
        </w:tc>
        <w:tc>
          <w:tcPr>
            <w:tcW w:w="831" w:type="pct"/>
            <w:shd w:val="clear" w:color="auto" w:fill="FFA571" w:themeFill="accent2" w:themeFillTint="99"/>
          </w:tcPr>
          <w:p w14:paraId="1B9D8346" w14:textId="1990F795" w:rsidR="005E24A4" w:rsidRPr="00843214" w:rsidRDefault="005E24A4" w:rsidP="0000408D">
            <w:pPr>
              <w:jc w:val="center"/>
              <w:rPr>
                <w:b/>
                <w:bCs/>
                <w:color w:val="auto"/>
                <w:sz w:val="20"/>
                <w:szCs w:val="20"/>
                <w:lang w:eastAsia="en-GB"/>
              </w:rPr>
            </w:pPr>
            <w:r w:rsidRPr="00843214">
              <w:rPr>
                <w:b/>
                <w:bCs/>
                <w:color w:val="auto"/>
                <w:sz w:val="20"/>
                <w:szCs w:val="20"/>
                <w:lang w:eastAsia="en-GB"/>
              </w:rPr>
              <w:t>Case example</w:t>
            </w:r>
          </w:p>
        </w:tc>
      </w:tr>
      <w:tr w:rsidR="00843214" w:rsidRPr="00843214" w14:paraId="13E71064" w14:textId="73FCD924" w:rsidTr="00D66AD3">
        <w:tc>
          <w:tcPr>
            <w:tcW w:w="4169" w:type="pct"/>
          </w:tcPr>
          <w:p w14:paraId="0A50D98B" w14:textId="77777777" w:rsidR="005E24A4" w:rsidRPr="00843214" w:rsidRDefault="005E24A4" w:rsidP="007006B3">
            <w:pPr>
              <w:rPr>
                <w:color w:val="auto"/>
                <w:sz w:val="20"/>
                <w:szCs w:val="20"/>
                <w:lang w:eastAsia="en-GB"/>
              </w:rPr>
            </w:pPr>
            <w:r w:rsidRPr="00843214">
              <w:rPr>
                <w:color w:val="auto"/>
                <w:sz w:val="20"/>
                <w:szCs w:val="20"/>
                <w:lang w:eastAsia="en-GB"/>
              </w:rPr>
              <w:t>Making Every Woman and Girl Count: Supporting the Monitoring and Implementation of SDGs Through Better Production and Use of Gender Statistics</w:t>
            </w:r>
          </w:p>
          <w:p w14:paraId="44713057" w14:textId="5F355EFF" w:rsidR="005E24A4" w:rsidRPr="00843214" w:rsidRDefault="005E24A4" w:rsidP="007006B3">
            <w:pPr>
              <w:rPr>
                <w:color w:val="auto"/>
                <w:sz w:val="20"/>
                <w:szCs w:val="20"/>
                <w:lang w:eastAsia="en-GB"/>
              </w:rPr>
            </w:pPr>
            <w:r w:rsidRPr="00843214">
              <w:rPr>
                <w:color w:val="auto"/>
                <w:sz w:val="20"/>
                <w:szCs w:val="20"/>
                <w:lang w:eastAsia="en-GB"/>
              </w:rPr>
              <w:t>[</w:t>
            </w:r>
            <w:r w:rsidRPr="00843214">
              <w:rPr>
                <w:i/>
                <w:iCs/>
                <w:color w:val="auto"/>
                <w:sz w:val="20"/>
                <w:szCs w:val="20"/>
                <w:lang w:eastAsia="en-GB"/>
              </w:rPr>
              <w:t>Women Count</w:t>
            </w:r>
            <w:r w:rsidR="00EC62FA" w:rsidRPr="00843214">
              <w:rPr>
                <w:i/>
                <w:iCs/>
                <w:color w:val="auto"/>
                <w:sz w:val="20"/>
                <w:szCs w:val="20"/>
                <w:lang w:eastAsia="en-GB"/>
              </w:rPr>
              <w:t xml:space="preserve"> programme</w:t>
            </w:r>
            <w:r w:rsidRPr="00843214">
              <w:rPr>
                <w:color w:val="auto"/>
                <w:sz w:val="20"/>
                <w:szCs w:val="20"/>
                <w:lang w:eastAsia="en-GB"/>
              </w:rPr>
              <w:t>]</w:t>
            </w:r>
          </w:p>
        </w:tc>
        <w:tc>
          <w:tcPr>
            <w:tcW w:w="831" w:type="pct"/>
            <w:shd w:val="clear" w:color="auto" w:fill="FFE1CF" w:themeFill="accent2" w:themeFillTint="33"/>
          </w:tcPr>
          <w:p w14:paraId="46231FE8" w14:textId="77777777" w:rsidR="005E24A4" w:rsidRPr="00843214" w:rsidRDefault="005E24A4" w:rsidP="0000408D">
            <w:pPr>
              <w:jc w:val="center"/>
              <w:rPr>
                <w:b/>
                <w:bCs/>
                <w:color w:val="auto"/>
                <w:sz w:val="20"/>
                <w:szCs w:val="20"/>
                <w:lang w:eastAsia="en-GB"/>
              </w:rPr>
            </w:pPr>
          </w:p>
        </w:tc>
      </w:tr>
      <w:tr w:rsidR="00843214" w:rsidRPr="00843214" w14:paraId="213D027F" w14:textId="4C8BDB6D" w:rsidTr="00D66AD3">
        <w:tc>
          <w:tcPr>
            <w:tcW w:w="4169" w:type="pct"/>
          </w:tcPr>
          <w:p w14:paraId="20C6658F" w14:textId="4A7A2CB4" w:rsidR="005E24A4" w:rsidRPr="00843214" w:rsidRDefault="005E24A4" w:rsidP="00665D61">
            <w:pPr>
              <w:rPr>
                <w:color w:val="auto"/>
                <w:sz w:val="20"/>
                <w:szCs w:val="20"/>
                <w:lang w:eastAsia="en-GB"/>
              </w:rPr>
            </w:pPr>
            <w:r w:rsidRPr="00843214">
              <w:rPr>
                <w:color w:val="auto"/>
                <w:sz w:val="20"/>
                <w:szCs w:val="20"/>
                <w:lang w:eastAsia="en-GB"/>
              </w:rPr>
              <w:t>Technical Support for the Development of the National Strategy for Gender Equality 2021-2030</w:t>
            </w:r>
          </w:p>
        </w:tc>
        <w:tc>
          <w:tcPr>
            <w:tcW w:w="831" w:type="pct"/>
          </w:tcPr>
          <w:p w14:paraId="2C6DBDC4" w14:textId="77777777" w:rsidR="005E24A4" w:rsidRPr="00843214" w:rsidRDefault="005E24A4" w:rsidP="00665D61">
            <w:pPr>
              <w:jc w:val="center"/>
              <w:rPr>
                <w:b/>
                <w:bCs/>
                <w:color w:val="auto"/>
                <w:sz w:val="20"/>
                <w:szCs w:val="20"/>
                <w:lang w:eastAsia="en-GB"/>
              </w:rPr>
            </w:pPr>
          </w:p>
        </w:tc>
      </w:tr>
      <w:tr w:rsidR="00843214" w:rsidRPr="00843214" w14:paraId="23D9D207" w14:textId="0915C187" w:rsidTr="00D66AD3">
        <w:tc>
          <w:tcPr>
            <w:tcW w:w="4169" w:type="pct"/>
          </w:tcPr>
          <w:p w14:paraId="3B759A11" w14:textId="77777777" w:rsidR="005E24A4" w:rsidRPr="00843214" w:rsidRDefault="005E24A4" w:rsidP="00665D61">
            <w:pPr>
              <w:rPr>
                <w:color w:val="auto"/>
                <w:sz w:val="20"/>
                <w:szCs w:val="20"/>
                <w:lang w:eastAsia="en-GB"/>
              </w:rPr>
            </w:pPr>
            <w:r w:rsidRPr="00843214">
              <w:rPr>
                <w:color w:val="auto"/>
                <w:sz w:val="20"/>
                <w:szCs w:val="20"/>
                <w:lang w:eastAsia="en-GB"/>
              </w:rPr>
              <w:t>Building food security and supporting self-reliance through employment in Jordan</w:t>
            </w:r>
          </w:p>
          <w:p w14:paraId="5E9C2262" w14:textId="63C02603" w:rsidR="005E24A4" w:rsidRPr="00843214" w:rsidRDefault="005E24A4" w:rsidP="00665D61">
            <w:pPr>
              <w:rPr>
                <w:color w:val="auto"/>
                <w:sz w:val="20"/>
                <w:szCs w:val="20"/>
                <w:lang w:eastAsia="en-GB"/>
              </w:rPr>
            </w:pPr>
            <w:r w:rsidRPr="00843214">
              <w:rPr>
                <w:color w:val="auto"/>
                <w:sz w:val="20"/>
                <w:szCs w:val="20"/>
                <w:lang w:eastAsia="en-GB"/>
              </w:rPr>
              <w:t>[</w:t>
            </w:r>
            <w:r w:rsidRPr="00843214">
              <w:rPr>
                <w:i/>
                <w:iCs/>
                <w:color w:val="auto"/>
                <w:sz w:val="20"/>
                <w:szCs w:val="20"/>
                <w:lang w:eastAsia="en-GB"/>
              </w:rPr>
              <w:t>Syria Package - Resilience-Building (Component 3)</w:t>
            </w:r>
            <w:r w:rsidRPr="00843214">
              <w:rPr>
                <w:color w:val="auto"/>
                <w:sz w:val="20"/>
                <w:szCs w:val="20"/>
                <w:lang w:eastAsia="en-GB"/>
              </w:rPr>
              <w:t>]</w:t>
            </w:r>
          </w:p>
        </w:tc>
        <w:tc>
          <w:tcPr>
            <w:tcW w:w="831" w:type="pct"/>
            <w:shd w:val="clear" w:color="auto" w:fill="FFA571" w:themeFill="accent2" w:themeFillTint="99"/>
          </w:tcPr>
          <w:p w14:paraId="22AE09CC" w14:textId="5EFAFAE5" w:rsidR="005E24A4" w:rsidRPr="00843214" w:rsidRDefault="005E24A4" w:rsidP="00665D61">
            <w:pPr>
              <w:jc w:val="center"/>
              <w:rPr>
                <w:b/>
                <w:bCs/>
                <w:color w:val="auto"/>
                <w:sz w:val="20"/>
                <w:szCs w:val="20"/>
                <w:lang w:eastAsia="en-GB"/>
              </w:rPr>
            </w:pPr>
            <w:r w:rsidRPr="00843214">
              <w:rPr>
                <w:b/>
                <w:bCs/>
                <w:color w:val="auto"/>
                <w:sz w:val="20"/>
                <w:szCs w:val="20"/>
                <w:lang w:eastAsia="en-GB"/>
              </w:rPr>
              <w:t>Case example</w:t>
            </w:r>
          </w:p>
        </w:tc>
      </w:tr>
      <w:tr w:rsidR="00843214" w:rsidRPr="00843214" w14:paraId="25B08AF2" w14:textId="09BAA1F7" w:rsidTr="00D66AD3">
        <w:tc>
          <w:tcPr>
            <w:tcW w:w="4169" w:type="pct"/>
          </w:tcPr>
          <w:p w14:paraId="313BBD4C" w14:textId="3D2604DA" w:rsidR="005E24A4" w:rsidRPr="00843214" w:rsidRDefault="005E24A4" w:rsidP="00665D61">
            <w:pPr>
              <w:rPr>
                <w:color w:val="auto"/>
                <w:sz w:val="20"/>
                <w:szCs w:val="20"/>
                <w:lang w:eastAsia="en-GB"/>
              </w:rPr>
            </w:pPr>
            <w:r w:rsidRPr="00843214">
              <w:rPr>
                <w:color w:val="auto"/>
                <w:sz w:val="20"/>
                <w:szCs w:val="20"/>
                <w:lang w:eastAsia="en-GB"/>
              </w:rPr>
              <w:t>Support for Women’s Protection and Services Program</w:t>
            </w:r>
          </w:p>
        </w:tc>
        <w:tc>
          <w:tcPr>
            <w:tcW w:w="831" w:type="pct"/>
          </w:tcPr>
          <w:p w14:paraId="57E445D0" w14:textId="77777777" w:rsidR="005E24A4" w:rsidRPr="00843214" w:rsidRDefault="005E24A4" w:rsidP="00665D61">
            <w:pPr>
              <w:jc w:val="center"/>
              <w:rPr>
                <w:b/>
                <w:bCs/>
                <w:color w:val="auto"/>
                <w:sz w:val="20"/>
                <w:szCs w:val="20"/>
                <w:lang w:eastAsia="en-GB"/>
              </w:rPr>
            </w:pPr>
          </w:p>
        </w:tc>
      </w:tr>
      <w:tr w:rsidR="00843214" w:rsidRPr="00843214" w14:paraId="67B9E34F" w14:textId="6B572888" w:rsidTr="00D66AD3">
        <w:tc>
          <w:tcPr>
            <w:tcW w:w="4169" w:type="pct"/>
          </w:tcPr>
          <w:p w14:paraId="6D63FF18" w14:textId="72A8485B" w:rsidR="005E24A4" w:rsidRPr="00843214" w:rsidRDefault="005E24A4" w:rsidP="00665D61">
            <w:pPr>
              <w:rPr>
                <w:color w:val="auto"/>
                <w:sz w:val="20"/>
                <w:szCs w:val="20"/>
                <w:lang w:eastAsia="en-GB"/>
              </w:rPr>
            </w:pPr>
            <w:r w:rsidRPr="00843214">
              <w:rPr>
                <w:color w:val="auto"/>
                <w:sz w:val="20"/>
                <w:szCs w:val="20"/>
                <w:lang w:eastAsia="en-GB"/>
              </w:rPr>
              <w:t>Mapping of Faith-based responses to Violence Against Women and Children, and Addressing Gender Equality and Child Protection in the Pacific Region</w:t>
            </w:r>
          </w:p>
        </w:tc>
        <w:tc>
          <w:tcPr>
            <w:tcW w:w="831" w:type="pct"/>
          </w:tcPr>
          <w:p w14:paraId="09BADFCC" w14:textId="77777777" w:rsidR="005E24A4" w:rsidRPr="00843214" w:rsidRDefault="005E24A4" w:rsidP="00665D61">
            <w:pPr>
              <w:jc w:val="center"/>
              <w:rPr>
                <w:b/>
                <w:bCs/>
                <w:color w:val="auto"/>
                <w:sz w:val="20"/>
                <w:szCs w:val="20"/>
                <w:lang w:eastAsia="en-GB"/>
              </w:rPr>
            </w:pPr>
          </w:p>
        </w:tc>
      </w:tr>
      <w:tr w:rsidR="00843214" w:rsidRPr="00843214" w14:paraId="08E12CEE" w14:textId="61284849" w:rsidTr="00D66AD3">
        <w:tc>
          <w:tcPr>
            <w:tcW w:w="4169" w:type="pct"/>
          </w:tcPr>
          <w:p w14:paraId="032C3685" w14:textId="441EC98F" w:rsidR="005E24A4" w:rsidRPr="00843214" w:rsidRDefault="005E24A4" w:rsidP="00665D61">
            <w:pPr>
              <w:rPr>
                <w:color w:val="auto"/>
                <w:sz w:val="20"/>
                <w:szCs w:val="20"/>
                <w:lang w:eastAsia="en-GB"/>
              </w:rPr>
            </w:pPr>
            <w:r w:rsidRPr="00843214">
              <w:rPr>
                <w:color w:val="auto"/>
                <w:sz w:val="20"/>
                <w:szCs w:val="20"/>
                <w:lang w:eastAsia="en-GB"/>
              </w:rPr>
              <w:t>Promoting women’s economic empowerment in the Indian Ocean Rim 00110604</w:t>
            </w:r>
          </w:p>
        </w:tc>
        <w:tc>
          <w:tcPr>
            <w:tcW w:w="831" w:type="pct"/>
          </w:tcPr>
          <w:p w14:paraId="6169F4AE" w14:textId="77777777" w:rsidR="005E24A4" w:rsidRPr="00843214" w:rsidRDefault="005E24A4" w:rsidP="00665D61">
            <w:pPr>
              <w:jc w:val="center"/>
              <w:rPr>
                <w:b/>
                <w:bCs/>
                <w:color w:val="auto"/>
                <w:sz w:val="20"/>
                <w:szCs w:val="20"/>
                <w:lang w:eastAsia="en-GB"/>
              </w:rPr>
            </w:pPr>
          </w:p>
        </w:tc>
      </w:tr>
      <w:tr w:rsidR="00843214" w:rsidRPr="00843214" w14:paraId="20EE2985" w14:textId="38DCA116" w:rsidTr="00D66AD3">
        <w:tc>
          <w:tcPr>
            <w:tcW w:w="4169" w:type="pct"/>
          </w:tcPr>
          <w:p w14:paraId="47A9D8D1" w14:textId="5660909E" w:rsidR="005E24A4" w:rsidRPr="00843214" w:rsidRDefault="005E24A4" w:rsidP="00665D61">
            <w:pPr>
              <w:rPr>
                <w:color w:val="auto"/>
                <w:sz w:val="20"/>
                <w:szCs w:val="20"/>
                <w:lang w:eastAsia="en-GB"/>
              </w:rPr>
            </w:pPr>
            <w:r w:rsidRPr="00843214">
              <w:rPr>
                <w:color w:val="auto"/>
                <w:sz w:val="20"/>
                <w:szCs w:val="20"/>
                <w:lang w:eastAsia="en-GB"/>
              </w:rPr>
              <w:t>Addressing the Gender Inequality of risk and promoting community resilience in Solomon Island</w:t>
            </w:r>
          </w:p>
        </w:tc>
        <w:tc>
          <w:tcPr>
            <w:tcW w:w="831" w:type="pct"/>
          </w:tcPr>
          <w:p w14:paraId="031C95B9" w14:textId="77777777" w:rsidR="005E24A4" w:rsidRPr="00843214" w:rsidRDefault="005E24A4" w:rsidP="00665D61">
            <w:pPr>
              <w:jc w:val="center"/>
              <w:rPr>
                <w:b/>
                <w:bCs/>
                <w:color w:val="auto"/>
                <w:sz w:val="20"/>
                <w:szCs w:val="20"/>
                <w:lang w:eastAsia="en-GB"/>
              </w:rPr>
            </w:pPr>
          </w:p>
        </w:tc>
      </w:tr>
      <w:tr w:rsidR="00843214" w:rsidRPr="00843214" w14:paraId="1893F7FF" w14:textId="7AA88DAE" w:rsidTr="00D66AD3">
        <w:tc>
          <w:tcPr>
            <w:tcW w:w="4169" w:type="pct"/>
          </w:tcPr>
          <w:p w14:paraId="1C97A346" w14:textId="77777777" w:rsidR="005E24A4" w:rsidRPr="00843214" w:rsidRDefault="005E24A4" w:rsidP="00665D61">
            <w:pPr>
              <w:rPr>
                <w:color w:val="auto"/>
                <w:sz w:val="20"/>
                <w:szCs w:val="20"/>
                <w:lang w:eastAsia="en-GB"/>
              </w:rPr>
            </w:pPr>
            <w:r w:rsidRPr="00843214">
              <w:rPr>
                <w:color w:val="auto"/>
                <w:sz w:val="20"/>
                <w:szCs w:val="20"/>
                <w:lang w:eastAsia="en-GB"/>
              </w:rPr>
              <w:t>Strengthening Women's Disaster Resilience in Small Island Developing States Inception Phase Project Pacific Region</w:t>
            </w:r>
          </w:p>
          <w:p w14:paraId="4734378E" w14:textId="46162A8F" w:rsidR="005E24A4" w:rsidRPr="00843214" w:rsidRDefault="005E24A4" w:rsidP="00665D61">
            <w:pPr>
              <w:rPr>
                <w:color w:val="auto"/>
                <w:sz w:val="20"/>
                <w:szCs w:val="20"/>
                <w:lang w:eastAsia="en-GB"/>
              </w:rPr>
            </w:pPr>
            <w:r w:rsidRPr="00843214">
              <w:rPr>
                <w:color w:val="auto"/>
                <w:sz w:val="20"/>
                <w:szCs w:val="20"/>
                <w:lang w:eastAsia="en-GB"/>
              </w:rPr>
              <w:t>[</w:t>
            </w:r>
            <w:r w:rsidRPr="00843214">
              <w:rPr>
                <w:i/>
                <w:iCs/>
                <w:color w:val="auto"/>
                <w:sz w:val="20"/>
                <w:szCs w:val="20"/>
                <w:lang w:eastAsia="en-GB"/>
              </w:rPr>
              <w:t>Women’s Resilience to Disasters program - Inception Phase</w:t>
            </w:r>
            <w:r w:rsidRPr="00843214">
              <w:rPr>
                <w:color w:val="auto"/>
                <w:sz w:val="20"/>
                <w:szCs w:val="20"/>
                <w:lang w:eastAsia="en-GB"/>
              </w:rPr>
              <w:t>]</w:t>
            </w:r>
          </w:p>
        </w:tc>
        <w:tc>
          <w:tcPr>
            <w:tcW w:w="831" w:type="pct"/>
            <w:shd w:val="clear" w:color="auto" w:fill="FFE1CF" w:themeFill="accent2" w:themeFillTint="33"/>
          </w:tcPr>
          <w:p w14:paraId="2F504440" w14:textId="77777777" w:rsidR="005E24A4" w:rsidRPr="00843214" w:rsidRDefault="005E24A4" w:rsidP="00665D61">
            <w:pPr>
              <w:jc w:val="center"/>
              <w:rPr>
                <w:b/>
                <w:bCs/>
                <w:color w:val="auto"/>
                <w:sz w:val="20"/>
                <w:szCs w:val="20"/>
                <w:lang w:eastAsia="en-GB"/>
              </w:rPr>
            </w:pPr>
          </w:p>
        </w:tc>
      </w:tr>
      <w:tr w:rsidR="00843214" w:rsidRPr="00843214" w14:paraId="497B8FB3" w14:textId="77777777" w:rsidTr="00D66AD3">
        <w:tc>
          <w:tcPr>
            <w:tcW w:w="4169" w:type="pct"/>
          </w:tcPr>
          <w:p w14:paraId="4AF51F95" w14:textId="77777777" w:rsidR="005E24A4" w:rsidRPr="00843214" w:rsidRDefault="005E24A4" w:rsidP="005E24A4">
            <w:pPr>
              <w:rPr>
                <w:color w:val="auto"/>
                <w:sz w:val="20"/>
                <w:szCs w:val="20"/>
                <w:lang w:val="en-AU"/>
              </w:rPr>
            </w:pPr>
            <w:r w:rsidRPr="00843214">
              <w:rPr>
                <w:color w:val="auto"/>
                <w:sz w:val="20"/>
                <w:szCs w:val="20"/>
                <w:lang w:val="en-AU"/>
              </w:rPr>
              <w:t xml:space="preserve">Pacific </w:t>
            </w:r>
            <w:r w:rsidRPr="00843214">
              <w:rPr>
                <w:color w:val="auto"/>
                <w:sz w:val="20"/>
                <w:szCs w:val="20"/>
                <w:lang w:eastAsia="en-GB"/>
              </w:rPr>
              <w:t>Protection</w:t>
            </w:r>
            <w:r w:rsidRPr="00843214">
              <w:rPr>
                <w:color w:val="auto"/>
                <w:sz w:val="20"/>
                <w:szCs w:val="20"/>
                <w:lang w:val="en-AU"/>
              </w:rPr>
              <w:t xml:space="preserve"> Cluster </w:t>
            </w:r>
          </w:p>
          <w:p w14:paraId="2C14E625" w14:textId="47B192FA" w:rsidR="005E24A4" w:rsidRPr="00843214" w:rsidRDefault="005E24A4" w:rsidP="005E24A4">
            <w:pPr>
              <w:rPr>
                <w:color w:val="auto"/>
                <w:sz w:val="20"/>
                <w:szCs w:val="20"/>
                <w:lang w:val="en-AU"/>
              </w:rPr>
            </w:pPr>
            <w:r w:rsidRPr="00843214">
              <w:rPr>
                <w:i/>
                <w:iCs/>
                <w:color w:val="auto"/>
                <w:sz w:val="20"/>
                <w:szCs w:val="20"/>
                <w:lang w:eastAsia="en-GB"/>
              </w:rPr>
              <w:t>[Funded through the broader RedR agreement]</w:t>
            </w:r>
          </w:p>
        </w:tc>
        <w:tc>
          <w:tcPr>
            <w:tcW w:w="831" w:type="pct"/>
            <w:shd w:val="clear" w:color="auto" w:fill="FFA571" w:themeFill="accent2" w:themeFillTint="99"/>
            <w:vAlign w:val="top"/>
          </w:tcPr>
          <w:p w14:paraId="4F068DD2" w14:textId="22B01501" w:rsidR="005E24A4" w:rsidRPr="00843214" w:rsidRDefault="005E24A4" w:rsidP="005E24A4">
            <w:pPr>
              <w:jc w:val="center"/>
              <w:rPr>
                <w:b/>
                <w:bCs/>
                <w:color w:val="auto"/>
                <w:sz w:val="20"/>
                <w:szCs w:val="20"/>
                <w:lang w:eastAsia="en-GB"/>
              </w:rPr>
            </w:pPr>
            <w:r w:rsidRPr="00843214">
              <w:rPr>
                <w:b/>
                <w:bCs/>
                <w:color w:val="auto"/>
                <w:sz w:val="20"/>
                <w:szCs w:val="20"/>
                <w:lang w:eastAsia="en-GB"/>
              </w:rPr>
              <w:t>Case example</w:t>
            </w:r>
          </w:p>
        </w:tc>
      </w:tr>
      <w:tr w:rsidR="00843214" w:rsidRPr="00843214" w14:paraId="408A4AA0" w14:textId="77777777" w:rsidTr="00D66AD3">
        <w:tc>
          <w:tcPr>
            <w:tcW w:w="4169" w:type="pct"/>
          </w:tcPr>
          <w:p w14:paraId="3D653ECB" w14:textId="77777777" w:rsidR="005E24A4" w:rsidRPr="00843214" w:rsidRDefault="005E24A4" w:rsidP="005E24A4">
            <w:pPr>
              <w:rPr>
                <w:color w:val="auto"/>
                <w:sz w:val="20"/>
                <w:szCs w:val="20"/>
                <w:lang w:val="en-AU"/>
              </w:rPr>
            </w:pPr>
            <w:r w:rsidRPr="00843214">
              <w:rPr>
                <w:color w:val="auto"/>
                <w:sz w:val="20"/>
                <w:szCs w:val="20"/>
                <w:lang w:val="en-AU"/>
              </w:rPr>
              <w:t>Women’s Peace and Humanitarian Fund</w:t>
            </w:r>
          </w:p>
          <w:p w14:paraId="741E7D38" w14:textId="4F4C15AF" w:rsidR="005E24A4" w:rsidRPr="00843214" w:rsidRDefault="005E24A4" w:rsidP="005E24A4">
            <w:pPr>
              <w:rPr>
                <w:color w:val="auto"/>
                <w:sz w:val="20"/>
                <w:szCs w:val="20"/>
                <w:lang w:eastAsia="en-GB"/>
              </w:rPr>
            </w:pPr>
            <w:r w:rsidRPr="00843214">
              <w:rPr>
                <w:color w:val="auto"/>
                <w:sz w:val="20"/>
                <w:szCs w:val="20"/>
                <w:lang w:eastAsia="en-GB"/>
              </w:rPr>
              <w:t>[</w:t>
            </w:r>
            <w:r w:rsidRPr="00843214">
              <w:rPr>
                <w:i/>
                <w:iCs/>
                <w:color w:val="auto"/>
                <w:sz w:val="20"/>
                <w:szCs w:val="20"/>
                <w:lang w:eastAsia="en-GB"/>
              </w:rPr>
              <w:t>Funded through UNDP</w:t>
            </w:r>
            <w:r w:rsidR="00F514E6" w:rsidRPr="00843214">
              <w:rPr>
                <w:i/>
                <w:iCs/>
                <w:color w:val="auto"/>
                <w:sz w:val="20"/>
                <w:szCs w:val="20"/>
                <w:lang w:eastAsia="en-GB"/>
              </w:rPr>
              <w:t>, and supporting multiple UN agencies</w:t>
            </w:r>
            <w:r w:rsidRPr="00843214">
              <w:rPr>
                <w:color w:val="auto"/>
                <w:sz w:val="20"/>
                <w:szCs w:val="20"/>
                <w:lang w:eastAsia="en-GB"/>
              </w:rPr>
              <w:t>]</w:t>
            </w:r>
          </w:p>
        </w:tc>
        <w:tc>
          <w:tcPr>
            <w:tcW w:w="831" w:type="pct"/>
            <w:shd w:val="clear" w:color="auto" w:fill="FFE1CF" w:themeFill="accent2" w:themeFillTint="33"/>
            <w:vAlign w:val="top"/>
          </w:tcPr>
          <w:p w14:paraId="104BA1C9" w14:textId="52B8C82E" w:rsidR="005E24A4" w:rsidRPr="00843214" w:rsidRDefault="005E24A4" w:rsidP="005E24A4">
            <w:pPr>
              <w:jc w:val="center"/>
              <w:rPr>
                <w:b/>
                <w:bCs/>
                <w:color w:val="auto"/>
                <w:sz w:val="20"/>
                <w:szCs w:val="20"/>
                <w:lang w:eastAsia="en-GB"/>
              </w:rPr>
            </w:pPr>
          </w:p>
        </w:tc>
      </w:tr>
      <w:tr w:rsidR="00843214" w:rsidRPr="00843214" w14:paraId="5B55FBD2" w14:textId="77777777" w:rsidTr="00D66AD3">
        <w:tc>
          <w:tcPr>
            <w:tcW w:w="4169" w:type="pct"/>
          </w:tcPr>
          <w:p w14:paraId="77EB6D3C" w14:textId="1EABA577" w:rsidR="005E24A4" w:rsidRPr="00843214" w:rsidRDefault="005E24A4" w:rsidP="00665D61">
            <w:pPr>
              <w:rPr>
                <w:rStyle w:val="eop"/>
                <w:color w:val="auto"/>
                <w:sz w:val="20"/>
                <w:szCs w:val="20"/>
              </w:rPr>
            </w:pPr>
            <w:r w:rsidRPr="00843214">
              <w:rPr>
                <w:rStyle w:val="eop"/>
                <w:color w:val="auto"/>
                <w:sz w:val="20"/>
                <w:szCs w:val="20"/>
              </w:rPr>
              <w:t>Empowerment and Protection of Rohingya Women and Adolescent Girls in Cox’s Bazaar, Bangladesh (UN Women project)</w:t>
            </w:r>
          </w:p>
          <w:p w14:paraId="5FC49F65" w14:textId="300F064A" w:rsidR="005E24A4" w:rsidRPr="00843214" w:rsidRDefault="005E24A4" w:rsidP="00665D61">
            <w:pPr>
              <w:rPr>
                <w:color w:val="auto"/>
                <w:sz w:val="20"/>
                <w:szCs w:val="20"/>
                <w:lang w:eastAsia="en-GB"/>
              </w:rPr>
            </w:pPr>
            <w:r w:rsidRPr="00843214">
              <w:rPr>
                <w:color w:val="auto"/>
                <w:sz w:val="20"/>
                <w:szCs w:val="20"/>
                <w:lang w:eastAsia="en-GB"/>
              </w:rPr>
              <w:t>[</w:t>
            </w:r>
            <w:r w:rsidRPr="00843214">
              <w:rPr>
                <w:i/>
                <w:iCs/>
                <w:color w:val="auto"/>
                <w:sz w:val="20"/>
                <w:szCs w:val="20"/>
                <w:lang w:eastAsia="en-GB"/>
              </w:rPr>
              <w:t xml:space="preserve">Funded </w:t>
            </w:r>
            <w:r w:rsidRPr="00843214">
              <w:rPr>
                <w:i/>
                <w:iCs/>
                <w:color w:val="auto"/>
                <w:sz w:val="20"/>
                <w:szCs w:val="20"/>
                <w:lang w:val="en-AU"/>
              </w:rPr>
              <w:t>through the COVID-19 emergency response coordinated by OCHA]</w:t>
            </w:r>
          </w:p>
        </w:tc>
        <w:tc>
          <w:tcPr>
            <w:tcW w:w="831" w:type="pct"/>
            <w:shd w:val="clear" w:color="auto" w:fill="FFA571" w:themeFill="accent2" w:themeFillTint="99"/>
          </w:tcPr>
          <w:p w14:paraId="1AA2319C" w14:textId="5EA27419" w:rsidR="005E24A4" w:rsidRPr="00843214" w:rsidRDefault="005E24A4" w:rsidP="00665D61">
            <w:pPr>
              <w:jc w:val="center"/>
              <w:rPr>
                <w:b/>
                <w:bCs/>
                <w:color w:val="auto"/>
                <w:sz w:val="20"/>
                <w:szCs w:val="20"/>
                <w:lang w:eastAsia="en-GB"/>
              </w:rPr>
            </w:pPr>
            <w:r w:rsidRPr="00843214">
              <w:rPr>
                <w:b/>
                <w:bCs/>
                <w:color w:val="auto"/>
                <w:sz w:val="20"/>
                <w:szCs w:val="20"/>
                <w:lang w:eastAsia="en-GB"/>
              </w:rPr>
              <w:t>Case example</w:t>
            </w:r>
          </w:p>
        </w:tc>
      </w:tr>
    </w:tbl>
    <w:p w14:paraId="338B7B9C" w14:textId="0C42B622" w:rsidR="00C74A50" w:rsidRPr="00843214" w:rsidRDefault="007006B3" w:rsidP="00935940">
      <w:pPr>
        <w:jc w:val="center"/>
        <w:rPr>
          <w:i/>
          <w:iCs/>
          <w:color w:val="auto"/>
          <w:sz w:val="18"/>
          <w:szCs w:val="18"/>
          <w:lang w:eastAsia="en-GB"/>
        </w:rPr>
      </w:pPr>
      <w:r w:rsidRPr="00843214">
        <w:rPr>
          <w:i/>
          <w:iCs/>
          <w:color w:val="auto"/>
          <w:sz w:val="20"/>
          <w:szCs w:val="20"/>
          <w:lang w:eastAsia="en-GB"/>
        </w:rPr>
        <w:t>Source: UN Women, 2020, Certified Financial Statement for Period ended 31 December 2019</w:t>
      </w:r>
      <w:bookmarkEnd w:id="105"/>
      <w:r w:rsidR="00545171" w:rsidRPr="00843214">
        <w:rPr>
          <w:i/>
          <w:iCs/>
          <w:color w:val="auto"/>
          <w:sz w:val="20"/>
          <w:szCs w:val="20"/>
          <w:lang w:eastAsia="en-GB"/>
        </w:rPr>
        <w:t xml:space="preserve"> and DFAT</w:t>
      </w:r>
      <w:r w:rsidR="00931533" w:rsidRPr="00843214">
        <w:rPr>
          <w:i/>
          <w:iCs/>
          <w:color w:val="auto"/>
          <w:sz w:val="20"/>
          <w:szCs w:val="20"/>
          <w:lang w:eastAsia="en-GB"/>
        </w:rPr>
        <w:t xml:space="preserve"> supplied</w:t>
      </w:r>
      <w:r w:rsidR="00931533" w:rsidRPr="00843214">
        <w:rPr>
          <w:i/>
          <w:iCs/>
          <w:color w:val="auto"/>
          <w:sz w:val="18"/>
          <w:szCs w:val="18"/>
          <w:lang w:eastAsia="en-GB"/>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032"/>
      </w:tblGrid>
      <w:tr w:rsidR="00843214" w:rsidRPr="00843214" w14:paraId="210368BB" w14:textId="1AC332AD" w:rsidTr="005E24A4">
        <w:trPr>
          <w:jc w:val="center"/>
        </w:trPr>
        <w:tc>
          <w:tcPr>
            <w:tcW w:w="3286" w:type="dxa"/>
          </w:tcPr>
          <w:p w14:paraId="5E9219C9" w14:textId="5E036C62" w:rsidR="005E24A4" w:rsidRPr="00843214" w:rsidRDefault="005E24A4" w:rsidP="00935940">
            <w:pPr>
              <w:jc w:val="center"/>
              <w:rPr>
                <w:i/>
                <w:iCs/>
                <w:color w:val="auto"/>
                <w:sz w:val="18"/>
                <w:szCs w:val="18"/>
                <w:lang w:eastAsia="en-GB"/>
              </w:rPr>
            </w:pPr>
            <w:r w:rsidRPr="00843214">
              <w:rPr>
                <w:i/>
                <w:iCs/>
                <w:color w:val="auto"/>
                <w:sz w:val="18"/>
                <w:szCs w:val="18"/>
                <w:lang w:eastAsia="en-GB"/>
              </w:rPr>
              <w:t>Included in Review: Case Example</w:t>
            </w:r>
          </w:p>
        </w:tc>
        <w:tc>
          <w:tcPr>
            <w:tcW w:w="3032" w:type="dxa"/>
            <w:shd w:val="clear" w:color="auto" w:fill="FFA571" w:themeFill="accent2" w:themeFillTint="99"/>
          </w:tcPr>
          <w:p w14:paraId="4D7BCEAB" w14:textId="77777777" w:rsidR="005E24A4" w:rsidRPr="00843214" w:rsidRDefault="005E24A4" w:rsidP="00935940">
            <w:pPr>
              <w:jc w:val="center"/>
              <w:rPr>
                <w:i/>
                <w:iCs/>
                <w:color w:val="auto"/>
                <w:sz w:val="18"/>
                <w:szCs w:val="18"/>
                <w:lang w:eastAsia="en-GB"/>
              </w:rPr>
            </w:pPr>
          </w:p>
        </w:tc>
      </w:tr>
      <w:tr w:rsidR="00843214" w:rsidRPr="00843214" w14:paraId="454F651B" w14:textId="21B45C53" w:rsidTr="005E24A4">
        <w:trPr>
          <w:jc w:val="center"/>
        </w:trPr>
        <w:tc>
          <w:tcPr>
            <w:tcW w:w="3286" w:type="dxa"/>
          </w:tcPr>
          <w:p w14:paraId="1AD594BE" w14:textId="28EEE512" w:rsidR="005E24A4" w:rsidRPr="00843214" w:rsidRDefault="005E24A4" w:rsidP="00935940">
            <w:pPr>
              <w:jc w:val="center"/>
              <w:rPr>
                <w:i/>
                <w:iCs/>
                <w:color w:val="auto"/>
                <w:sz w:val="18"/>
                <w:szCs w:val="18"/>
                <w:lang w:eastAsia="en-GB"/>
              </w:rPr>
            </w:pPr>
            <w:r w:rsidRPr="00843214">
              <w:rPr>
                <w:i/>
                <w:iCs/>
                <w:color w:val="auto"/>
                <w:sz w:val="18"/>
                <w:szCs w:val="18"/>
                <w:lang w:eastAsia="en-GB"/>
              </w:rPr>
              <w:t>Included in Review</w:t>
            </w:r>
          </w:p>
        </w:tc>
        <w:tc>
          <w:tcPr>
            <w:tcW w:w="3032" w:type="dxa"/>
            <w:shd w:val="clear" w:color="auto" w:fill="FFE1CF" w:themeFill="accent2" w:themeFillTint="33"/>
          </w:tcPr>
          <w:p w14:paraId="1F46ACB4" w14:textId="77777777" w:rsidR="005E24A4" w:rsidRPr="00843214" w:rsidRDefault="005E24A4" w:rsidP="00935940">
            <w:pPr>
              <w:jc w:val="center"/>
              <w:rPr>
                <w:i/>
                <w:iCs/>
                <w:color w:val="auto"/>
                <w:sz w:val="18"/>
                <w:szCs w:val="18"/>
                <w:lang w:eastAsia="en-GB"/>
              </w:rPr>
            </w:pPr>
          </w:p>
        </w:tc>
      </w:tr>
    </w:tbl>
    <w:p w14:paraId="689727C9" w14:textId="7CF195B1" w:rsidR="00030EDB" w:rsidRPr="00843214" w:rsidRDefault="00030EDB" w:rsidP="00030EDB">
      <w:pPr>
        <w:rPr>
          <w:color w:val="auto"/>
        </w:rPr>
      </w:pPr>
      <w:bookmarkStart w:id="106" w:name="_Toc69376679"/>
      <w:r w:rsidRPr="00843214">
        <w:rPr>
          <w:color w:val="auto"/>
        </w:rPr>
        <w:br w:type="page"/>
      </w:r>
    </w:p>
    <w:p w14:paraId="54C4AC12" w14:textId="7B32D80B" w:rsidR="003A0B5B" w:rsidRPr="00843214" w:rsidRDefault="003A0B5B" w:rsidP="00843214">
      <w:pPr>
        <w:pStyle w:val="Heading1"/>
      </w:pPr>
      <w:r w:rsidRPr="00843214">
        <w:lastRenderedPageBreak/>
        <w:t xml:space="preserve">Annex </w:t>
      </w:r>
      <w:r w:rsidR="00BB1C5A" w:rsidRPr="00843214">
        <w:t>5</w:t>
      </w:r>
      <w:r w:rsidRPr="00843214">
        <w:t>: Factors that support or constrain progress</w:t>
      </w:r>
      <w:bookmarkEnd w:id="106"/>
    </w:p>
    <w:tbl>
      <w:tblPr>
        <w:tblStyle w:val="IODPARCtable2"/>
        <w:tblW w:w="5189" w:type="pct"/>
        <w:tblLook w:val="04A0" w:firstRow="1" w:lastRow="0" w:firstColumn="1" w:lastColumn="0" w:noHBand="0" w:noVBand="1"/>
      </w:tblPr>
      <w:tblGrid>
        <w:gridCol w:w="1312"/>
        <w:gridCol w:w="6764"/>
        <w:gridCol w:w="1617"/>
      </w:tblGrid>
      <w:tr w:rsidR="00843214" w:rsidRPr="00843214" w14:paraId="09A10C4D" w14:textId="77777777" w:rsidTr="00A4203A">
        <w:trPr>
          <w:tblHeader/>
        </w:trPr>
        <w:tc>
          <w:tcPr>
            <w:tcW w:w="677" w:type="pct"/>
          </w:tcPr>
          <w:p w14:paraId="180A0DDA" w14:textId="77777777" w:rsidR="003A0B5B" w:rsidRPr="00843214" w:rsidRDefault="003A0B5B" w:rsidP="003A0B5B">
            <w:pPr>
              <w:rPr>
                <w:b/>
                <w:bCs/>
                <w:color w:val="auto"/>
                <w:sz w:val="20"/>
                <w:szCs w:val="20"/>
                <w:lang w:val="en-AU"/>
              </w:rPr>
            </w:pPr>
            <w:r w:rsidRPr="00843214">
              <w:rPr>
                <w:b/>
                <w:bCs/>
                <w:color w:val="auto"/>
                <w:sz w:val="20"/>
                <w:szCs w:val="20"/>
                <w:lang w:val="en-AU"/>
              </w:rPr>
              <w:t>Support or Constraint</w:t>
            </w:r>
          </w:p>
        </w:tc>
        <w:tc>
          <w:tcPr>
            <w:tcW w:w="3489" w:type="pct"/>
          </w:tcPr>
          <w:p w14:paraId="54C21978" w14:textId="77777777" w:rsidR="003A0B5B" w:rsidRPr="00843214" w:rsidRDefault="003A0B5B" w:rsidP="003A0B5B">
            <w:pPr>
              <w:rPr>
                <w:b/>
                <w:bCs/>
                <w:color w:val="auto"/>
                <w:sz w:val="20"/>
                <w:szCs w:val="20"/>
                <w:lang w:val="en-AU"/>
              </w:rPr>
            </w:pPr>
            <w:r w:rsidRPr="00843214">
              <w:rPr>
                <w:b/>
                <w:bCs/>
                <w:color w:val="auto"/>
                <w:sz w:val="20"/>
                <w:szCs w:val="20"/>
                <w:lang w:val="en-AU"/>
              </w:rPr>
              <w:t>Factor</w:t>
            </w:r>
          </w:p>
        </w:tc>
        <w:tc>
          <w:tcPr>
            <w:tcW w:w="834" w:type="pct"/>
          </w:tcPr>
          <w:p w14:paraId="3557F00E" w14:textId="77777777" w:rsidR="003A0B5B" w:rsidRPr="00843214" w:rsidRDefault="003A0B5B" w:rsidP="003A0B5B">
            <w:pPr>
              <w:rPr>
                <w:b/>
                <w:bCs/>
                <w:color w:val="auto"/>
                <w:sz w:val="20"/>
                <w:szCs w:val="20"/>
                <w:lang w:val="en-AU"/>
              </w:rPr>
            </w:pPr>
            <w:r w:rsidRPr="00843214">
              <w:rPr>
                <w:b/>
                <w:bCs/>
                <w:color w:val="auto"/>
                <w:sz w:val="20"/>
                <w:szCs w:val="20"/>
                <w:lang w:val="en-AU"/>
              </w:rPr>
              <w:t>Section</w:t>
            </w:r>
          </w:p>
        </w:tc>
      </w:tr>
      <w:tr w:rsidR="00843214" w:rsidRPr="00843214" w14:paraId="0C5132D5" w14:textId="77777777" w:rsidTr="003A0B5B">
        <w:tc>
          <w:tcPr>
            <w:tcW w:w="677" w:type="pct"/>
          </w:tcPr>
          <w:p w14:paraId="026196D4" w14:textId="77777777" w:rsidR="003A0B5B" w:rsidRPr="00843214" w:rsidRDefault="003A0B5B" w:rsidP="003A0B5B">
            <w:pPr>
              <w:rPr>
                <w:color w:val="auto"/>
                <w:sz w:val="20"/>
                <w:szCs w:val="20"/>
                <w:lang w:val="en-AU"/>
              </w:rPr>
            </w:pPr>
            <w:bookmarkStart w:id="107" w:name="_Hlk66615200"/>
            <w:r w:rsidRPr="00843214">
              <w:rPr>
                <w:b/>
                <w:bCs/>
                <w:color w:val="auto"/>
                <w:sz w:val="20"/>
                <w:szCs w:val="20"/>
                <w:lang w:val="en-AU"/>
              </w:rPr>
              <w:t>Support</w:t>
            </w:r>
          </w:p>
        </w:tc>
        <w:tc>
          <w:tcPr>
            <w:tcW w:w="3489" w:type="pct"/>
          </w:tcPr>
          <w:p w14:paraId="74E406F9" w14:textId="7983653B" w:rsidR="003A0B5B" w:rsidRPr="00843214" w:rsidRDefault="003A0B5B" w:rsidP="003A0B5B">
            <w:pPr>
              <w:pStyle w:val="TableText"/>
              <w:rPr>
                <w:color w:val="auto"/>
                <w:sz w:val="20"/>
              </w:rPr>
            </w:pPr>
            <w:r w:rsidRPr="00843214">
              <w:rPr>
                <w:b/>
                <w:bCs/>
                <w:color w:val="auto"/>
                <w:sz w:val="20"/>
              </w:rPr>
              <w:t>Strong alignment of strategic objectives and commitment to furthering GEWE</w:t>
            </w:r>
            <w:r w:rsidRPr="00843214">
              <w:rPr>
                <w:color w:val="auto"/>
                <w:sz w:val="20"/>
              </w:rPr>
              <w:t>. T</w:t>
            </w:r>
            <w:r w:rsidRPr="00843214">
              <w:rPr>
                <w:color w:val="auto"/>
                <w:sz w:val="20"/>
                <w:lang w:val="en-AU"/>
              </w:rPr>
              <w:t>he driving factor for the achievements of the partnership is DFAT and UN Women’s shared commitment to gender equality, women’s empowerment, and enhancing women’s safety and security</w:t>
            </w:r>
          </w:p>
        </w:tc>
        <w:tc>
          <w:tcPr>
            <w:tcW w:w="834" w:type="pct"/>
          </w:tcPr>
          <w:p w14:paraId="6AEC74FE" w14:textId="6205F229" w:rsidR="003A0B5B" w:rsidRPr="00843214" w:rsidRDefault="003A0B5B" w:rsidP="003A0B5B">
            <w:pPr>
              <w:pStyle w:val="TableText"/>
              <w:rPr>
                <w:color w:val="auto"/>
                <w:sz w:val="20"/>
              </w:rPr>
            </w:pPr>
            <w:r w:rsidRPr="00843214">
              <w:rPr>
                <w:color w:val="auto"/>
                <w:sz w:val="20"/>
              </w:rPr>
              <w:fldChar w:fldCharType="begin"/>
            </w:r>
            <w:r w:rsidRPr="00843214">
              <w:rPr>
                <w:color w:val="auto"/>
                <w:sz w:val="20"/>
              </w:rPr>
              <w:instrText xml:space="preserve"> REF _Ref66612228 \n \h  \* MERGEFORMAT </w:instrText>
            </w:r>
            <w:r w:rsidRPr="00843214">
              <w:rPr>
                <w:color w:val="auto"/>
                <w:sz w:val="20"/>
              </w:rPr>
            </w:r>
            <w:r w:rsidRPr="00843214">
              <w:rPr>
                <w:color w:val="auto"/>
                <w:sz w:val="20"/>
              </w:rPr>
              <w:fldChar w:fldCharType="separate"/>
            </w:r>
            <w:r w:rsidR="00742005" w:rsidRPr="00843214">
              <w:rPr>
                <w:color w:val="auto"/>
                <w:sz w:val="20"/>
              </w:rPr>
              <w:t>1.3.1</w:t>
            </w:r>
            <w:r w:rsidRPr="00843214">
              <w:rPr>
                <w:color w:val="auto"/>
                <w:sz w:val="20"/>
              </w:rPr>
              <w:fldChar w:fldCharType="end"/>
            </w:r>
          </w:p>
        </w:tc>
      </w:tr>
      <w:tr w:rsidR="00843214" w:rsidRPr="00843214" w14:paraId="08770A63" w14:textId="77777777" w:rsidTr="003A0B5B">
        <w:tc>
          <w:tcPr>
            <w:tcW w:w="677" w:type="pct"/>
          </w:tcPr>
          <w:p w14:paraId="2217C0EA" w14:textId="77777777" w:rsidR="003A0B5B" w:rsidRPr="00843214" w:rsidRDefault="003A0B5B" w:rsidP="003A0B5B">
            <w:pPr>
              <w:rPr>
                <w:color w:val="auto"/>
                <w:sz w:val="20"/>
                <w:szCs w:val="20"/>
                <w:lang w:val="en-AU"/>
              </w:rPr>
            </w:pPr>
            <w:r w:rsidRPr="00843214">
              <w:rPr>
                <w:b/>
                <w:bCs/>
                <w:color w:val="auto"/>
                <w:sz w:val="20"/>
                <w:szCs w:val="20"/>
                <w:lang w:val="en-AU"/>
              </w:rPr>
              <w:t>Support</w:t>
            </w:r>
          </w:p>
        </w:tc>
        <w:tc>
          <w:tcPr>
            <w:tcW w:w="3489" w:type="pct"/>
          </w:tcPr>
          <w:p w14:paraId="045098F1" w14:textId="77777777" w:rsidR="003A0B5B" w:rsidRPr="00843214" w:rsidRDefault="003A0B5B" w:rsidP="003A0B5B">
            <w:pPr>
              <w:pStyle w:val="TableText"/>
              <w:rPr>
                <w:color w:val="auto"/>
                <w:sz w:val="20"/>
              </w:rPr>
            </w:pPr>
            <w:r w:rsidRPr="00843214">
              <w:rPr>
                <w:b/>
                <w:bCs/>
                <w:color w:val="auto"/>
                <w:sz w:val="20"/>
              </w:rPr>
              <w:t>UN Women and DFAT generally share positive, trusting, and flexible working relationships that enable achievement of objectives</w:t>
            </w:r>
            <w:r w:rsidRPr="00843214">
              <w:rPr>
                <w:color w:val="auto"/>
                <w:sz w:val="20"/>
              </w:rPr>
              <w:t xml:space="preserve">. </w:t>
            </w:r>
          </w:p>
        </w:tc>
        <w:tc>
          <w:tcPr>
            <w:tcW w:w="834" w:type="pct"/>
          </w:tcPr>
          <w:p w14:paraId="2308176A" w14:textId="77777777" w:rsidR="003A0B5B" w:rsidRPr="00843214" w:rsidRDefault="003A0B5B" w:rsidP="003A0B5B">
            <w:pPr>
              <w:pStyle w:val="TableText"/>
              <w:rPr>
                <w:color w:val="auto"/>
                <w:sz w:val="20"/>
              </w:rPr>
            </w:pPr>
            <w:r w:rsidRPr="00843214">
              <w:rPr>
                <w:color w:val="auto"/>
                <w:sz w:val="20"/>
              </w:rPr>
              <w:t>1.3.3</w:t>
            </w:r>
          </w:p>
        </w:tc>
      </w:tr>
      <w:tr w:rsidR="00843214" w:rsidRPr="00843214" w14:paraId="68E1A285" w14:textId="77777777" w:rsidTr="003A0B5B">
        <w:tc>
          <w:tcPr>
            <w:tcW w:w="677" w:type="pct"/>
          </w:tcPr>
          <w:p w14:paraId="59D63960" w14:textId="77777777" w:rsidR="003A0B5B" w:rsidRPr="00843214" w:rsidRDefault="003A0B5B" w:rsidP="003A0B5B">
            <w:pPr>
              <w:rPr>
                <w:color w:val="auto"/>
                <w:sz w:val="20"/>
                <w:szCs w:val="20"/>
                <w:lang w:val="en-AU"/>
              </w:rPr>
            </w:pPr>
            <w:r w:rsidRPr="00843214">
              <w:rPr>
                <w:b/>
                <w:bCs/>
                <w:color w:val="auto"/>
                <w:sz w:val="20"/>
                <w:szCs w:val="20"/>
                <w:lang w:val="en-AU"/>
              </w:rPr>
              <w:t>Support</w:t>
            </w:r>
          </w:p>
        </w:tc>
        <w:tc>
          <w:tcPr>
            <w:tcW w:w="3489" w:type="pct"/>
          </w:tcPr>
          <w:p w14:paraId="0A6407AC" w14:textId="017CF217" w:rsidR="003A0B5B" w:rsidRPr="00843214" w:rsidRDefault="003A0B5B" w:rsidP="003A0B5B">
            <w:pPr>
              <w:rPr>
                <w:color w:val="auto"/>
                <w:sz w:val="20"/>
                <w:szCs w:val="20"/>
                <w:lang w:val="en-AU"/>
              </w:rPr>
            </w:pPr>
            <w:r w:rsidRPr="00843214">
              <w:rPr>
                <w:b/>
                <w:bCs/>
                <w:color w:val="auto"/>
                <w:sz w:val="20"/>
                <w:szCs w:val="20"/>
                <w:lang w:val="en-AU"/>
              </w:rPr>
              <w:t>Long-term,</w:t>
            </w:r>
            <w:r w:rsidR="001B1A8F" w:rsidRPr="00843214">
              <w:rPr>
                <w:b/>
                <w:bCs/>
                <w:color w:val="auto"/>
                <w:sz w:val="20"/>
                <w:szCs w:val="20"/>
                <w:lang w:val="en-AU"/>
              </w:rPr>
              <w:t xml:space="preserve"> </w:t>
            </w:r>
            <w:r w:rsidRPr="00843214">
              <w:rPr>
                <w:b/>
                <w:bCs/>
                <w:color w:val="auto"/>
                <w:sz w:val="20"/>
                <w:szCs w:val="20"/>
                <w:lang w:val="en-AU"/>
              </w:rPr>
              <w:t xml:space="preserve">core </w:t>
            </w:r>
            <w:r w:rsidR="001B1A8F" w:rsidRPr="00843214">
              <w:rPr>
                <w:b/>
                <w:bCs/>
                <w:color w:val="auto"/>
                <w:sz w:val="20"/>
                <w:szCs w:val="20"/>
                <w:lang w:val="en-AU"/>
              </w:rPr>
              <w:t xml:space="preserve">and non-core </w:t>
            </w:r>
            <w:r w:rsidRPr="00843214">
              <w:rPr>
                <w:b/>
                <w:bCs/>
                <w:color w:val="auto"/>
                <w:sz w:val="20"/>
                <w:szCs w:val="20"/>
                <w:lang w:val="en-AU"/>
              </w:rPr>
              <w:t>funding and pooled funding enable key functions:</w:t>
            </w:r>
            <w:r w:rsidRPr="00843214">
              <w:rPr>
                <w:color w:val="auto"/>
                <w:sz w:val="20"/>
                <w:szCs w:val="20"/>
                <w:lang w:val="en-AU"/>
              </w:rPr>
              <w:t xml:space="preserve"> Multi-year non-core funding enable</w:t>
            </w:r>
            <w:r w:rsidR="001B1A8F" w:rsidRPr="00843214">
              <w:rPr>
                <w:color w:val="auto"/>
                <w:sz w:val="20"/>
                <w:szCs w:val="20"/>
                <w:lang w:val="en-AU"/>
              </w:rPr>
              <w:t>s greater</w:t>
            </w:r>
            <w:r w:rsidRPr="00843214">
              <w:rPr>
                <w:color w:val="auto"/>
                <w:sz w:val="20"/>
                <w:szCs w:val="20"/>
                <w:lang w:val="en-AU"/>
              </w:rPr>
              <w:t xml:space="preserve"> flexib</w:t>
            </w:r>
            <w:r w:rsidR="001B1A8F" w:rsidRPr="00843214">
              <w:rPr>
                <w:color w:val="auto"/>
                <w:sz w:val="20"/>
                <w:szCs w:val="20"/>
                <w:lang w:val="en-AU"/>
              </w:rPr>
              <w:t>ility and strategic planning in</w:t>
            </w:r>
            <w:r w:rsidRPr="00843214">
              <w:rPr>
                <w:color w:val="auto"/>
                <w:sz w:val="20"/>
                <w:szCs w:val="20"/>
                <w:lang w:val="en-AU"/>
              </w:rPr>
              <w:t xml:space="preserve"> program delivery. </w:t>
            </w:r>
          </w:p>
        </w:tc>
        <w:tc>
          <w:tcPr>
            <w:tcW w:w="834" w:type="pct"/>
          </w:tcPr>
          <w:p w14:paraId="3A870543" w14:textId="306508EE"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_Ref66540421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1.3.4</w:t>
            </w:r>
            <w:r w:rsidRPr="00843214">
              <w:rPr>
                <w:color w:val="auto"/>
                <w:sz w:val="20"/>
                <w:szCs w:val="20"/>
                <w:lang w:val="en-AU"/>
              </w:rPr>
              <w:fldChar w:fldCharType="end"/>
            </w:r>
          </w:p>
        </w:tc>
      </w:tr>
      <w:tr w:rsidR="00843214" w:rsidRPr="00843214" w14:paraId="2ACD4060" w14:textId="77777777" w:rsidTr="003A0B5B">
        <w:tc>
          <w:tcPr>
            <w:tcW w:w="677" w:type="pct"/>
          </w:tcPr>
          <w:p w14:paraId="3324B796" w14:textId="77777777" w:rsidR="003A0B5B" w:rsidRPr="00843214" w:rsidRDefault="003A0B5B" w:rsidP="003A0B5B">
            <w:pPr>
              <w:rPr>
                <w:b/>
                <w:bCs/>
                <w:color w:val="auto"/>
                <w:sz w:val="20"/>
                <w:szCs w:val="20"/>
                <w:lang w:val="en-AU"/>
              </w:rPr>
            </w:pPr>
            <w:r w:rsidRPr="00843214">
              <w:rPr>
                <w:b/>
                <w:bCs/>
                <w:color w:val="auto"/>
                <w:sz w:val="20"/>
                <w:szCs w:val="20"/>
                <w:lang w:val="en-AU"/>
              </w:rPr>
              <w:t>Support</w:t>
            </w:r>
          </w:p>
        </w:tc>
        <w:tc>
          <w:tcPr>
            <w:tcW w:w="3489" w:type="pct"/>
          </w:tcPr>
          <w:p w14:paraId="22A3C538" w14:textId="77777777" w:rsidR="003A0B5B" w:rsidRPr="00843214" w:rsidRDefault="003A0B5B" w:rsidP="003A0B5B">
            <w:pPr>
              <w:rPr>
                <w:b/>
                <w:bCs/>
                <w:color w:val="auto"/>
                <w:sz w:val="20"/>
                <w:szCs w:val="20"/>
                <w:lang w:val="en-AU"/>
              </w:rPr>
            </w:pPr>
            <w:r w:rsidRPr="00843214">
              <w:rPr>
                <w:b/>
                <w:bCs/>
                <w:color w:val="auto"/>
                <w:sz w:val="20"/>
                <w:szCs w:val="20"/>
                <w:lang w:val="en-AU"/>
              </w:rPr>
              <w:t xml:space="preserve">Visibility of the UN Women brand opens doors with key stakeholders including partners, </w:t>
            </w:r>
            <w:proofErr w:type="gramStart"/>
            <w:r w:rsidRPr="00843214">
              <w:rPr>
                <w:b/>
                <w:bCs/>
                <w:color w:val="auto"/>
                <w:sz w:val="20"/>
                <w:szCs w:val="20"/>
                <w:lang w:val="en-AU"/>
              </w:rPr>
              <w:t>beneficiaries</w:t>
            </w:r>
            <w:proofErr w:type="gramEnd"/>
            <w:r w:rsidRPr="00843214">
              <w:rPr>
                <w:b/>
                <w:bCs/>
                <w:color w:val="auto"/>
                <w:sz w:val="20"/>
                <w:szCs w:val="20"/>
                <w:lang w:val="en-AU"/>
              </w:rPr>
              <w:t xml:space="preserve"> and donors, </w:t>
            </w:r>
            <w:r w:rsidRPr="00843214">
              <w:rPr>
                <w:color w:val="auto"/>
                <w:sz w:val="20"/>
                <w:szCs w:val="20"/>
                <w:lang w:val="en-AU"/>
              </w:rPr>
              <w:t xml:space="preserve">enabling UN Women to build on past achievements and enhance existing progress. </w:t>
            </w:r>
          </w:p>
        </w:tc>
        <w:tc>
          <w:tcPr>
            <w:tcW w:w="834" w:type="pct"/>
          </w:tcPr>
          <w:p w14:paraId="7FD1B302" w14:textId="396F86FA"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3817A31A" w14:textId="77777777" w:rsidTr="003A0B5B">
        <w:tc>
          <w:tcPr>
            <w:tcW w:w="677" w:type="pct"/>
          </w:tcPr>
          <w:p w14:paraId="1F2B650A" w14:textId="77777777" w:rsidR="003A0B5B" w:rsidRPr="00843214" w:rsidRDefault="003A0B5B" w:rsidP="003A0B5B">
            <w:pPr>
              <w:rPr>
                <w:b/>
                <w:bCs/>
                <w:color w:val="auto"/>
                <w:sz w:val="20"/>
                <w:szCs w:val="20"/>
                <w:lang w:val="en-AU"/>
              </w:rPr>
            </w:pPr>
            <w:r w:rsidRPr="00843214">
              <w:rPr>
                <w:b/>
                <w:bCs/>
                <w:color w:val="auto"/>
                <w:sz w:val="20"/>
                <w:szCs w:val="20"/>
                <w:lang w:val="en-AU"/>
              </w:rPr>
              <w:t>Support</w:t>
            </w:r>
          </w:p>
        </w:tc>
        <w:tc>
          <w:tcPr>
            <w:tcW w:w="3489" w:type="pct"/>
          </w:tcPr>
          <w:p w14:paraId="5ECFF305" w14:textId="67AE5349" w:rsidR="003A0B5B" w:rsidRPr="00843214" w:rsidRDefault="003A0B5B" w:rsidP="003A0B5B">
            <w:pPr>
              <w:rPr>
                <w:color w:val="auto"/>
                <w:sz w:val="20"/>
                <w:szCs w:val="20"/>
                <w:lang w:val="en-AU"/>
              </w:rPr>
            </w:pPr>
            <w:r w:rsidRPr="00843214">
              <w:rPr>
                <w:b/>
                <w:bCs/>
                <w:color w:val="auto"/>
                <w:sz w:val="20"/>
                <w:szCs w:val="20"/>
                <w:lang w:val="en-AU"/>
              </w:rPr>
              <w:t>UN Women’s relationship with CSOs, women’s rights organi</w:t>
            </w:r>
            <w:r w:rsidR="00864137" w:rsidRPr="00843214">
              <w:rPr>
                <w:b/>
                <w:bCs/>
                <w:color w:val="auto"/>
                <w:sz w:val="20"/>
                <w:szCs w:val="20"/>
                <w:lang w:val="en-AU"/>
              </w:rPr>
              <w:t>s</w:t>
            </w:r>
            <w:r w:rsidRPr="00843214">
              <w:rPr>
                <w:b/>
                <w:bCs/>
                <w:color w:val="auto"/>
                <w:sz w:val="20"/>
                <w:szCs w:val="20"/>
                <w:lang w:val="en-AU"/>
              </w:rPr>
              <w:t>ations and networks and agencies (including National Women’s Machineries such as Women’s Ministries) is one of its key performance areas and biggest assets.</w:t>
            </w:r>
            <w:r w:rsidRPr="00843214">
              <w:rPr>
                <w:color w:val="auto"/>
                <w:sz w:val="20"/>
                <w:szCs w:val="20"/>
                <w:lang w:val="en-AU"/>
              </w:rPr>
              <w:t xml:space="preserve"> </w:t>
            </w:r>
          </w:p>
        </w:tc>
        <w:tc>
          <w:tcPr>
            <w:tcW w:w="834" w:type="pct"/>
          </w:tcPr>
          <w:p w14:paraId="6AAADE1B" w14:textId="5E8BD6E4"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_Ref66612289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1.1.1</w:t>
            </w:r>
            <w:r w:rsidRPr="00843214">
              <w:rPr>
                <w:color w:val="auto"/>
                <w:sz w:val="20"/>
                <w:szCs w:val="20"/>
                <w:lang w:val="en-AU"/>
              </w:rPr>
              <w:fldChar w:fldCharType="end"/>
            </w:r>
            <w:r w:rsidRPr="00843214">
              <w:rPr>
                <w:color w:val="auto"/>
                <w:sz w:val="20"/>
                <w:szCs w:val="20"/>
                <w:lang w:val="en-AU"/>
              </w:rPr>
              <w:t>, Objective 7</w:t>
            </w:r>
          </w:p>
        </w:tc>
      </w:tr>
      <w:tr w:rsidR="00843214" w:rsidRPr="00843214" w14:paraId="572A2D75" w14:textId="77777777" w:rsidTr="003A0B5B">
        <w:tc>
          <w:tcPr>
            <w:tcW w:w="677" w:type="pct"/>
          </w:tcPr>
          <w:p w14:paraId="7DD8E87E" w14:textId="77777777" w:rsidR="003A0B5B" w:rsidRPr="00843214" w:rsidRDefault="003A0B5B" w:rsidP="003A0B5B">
            <w:pPr>
              <w:pStyle w:val="IODPARCbullets"/>
              <w:numPr>
                <w:ilvl w:val="0"/>
                <w:numId w:val="0"/>
              </w:numPr>
              <w:rPr>
                <w:b/>
                <w:bCs/>
                <w:color w:val="auto"/>
                <w:sz w:val="20"/>
                <w:szCs w:val="20"/>
                <w:lang w:val="en-AU"/>
              </w:rPr>
            </w:pPr>
            <w:r w:rsidRPr="00843214">
              <w:rPr>
                <w:b/>
                <w:bCs/>
                <w:color w:val="auto"/>
                <w:sz w:val="20"/>
                <w:szCs w:val="20"/>
                <w:lang w:val="en-AU"/>
              </w:rPr>
              <w:t>Constraint</w:t>
            </w:r>
          </w:p>
        </w:tc>
        <w:tc>
          <w:tcPr>
            <w:tcW w:w="3489" w:type="pct"/>
          </w:tcPr>
          <w:p w14:paraId="055C37FE" w14:textId="77777777" w:rsidR="003A0B5B" w:rsidRPr="00843214" w:rsidRDefault="003A0B5B" w:rsidP="003A0B5B">
            <w:pPr>
              <w:rPr>
                <w:b/>
                <w:bCs/>
                <w:color w:val="auto"/>
                <w:sz w:val="20"/>
                <w:szCs w:val="20"/>
                <w:lang w:val="en-AU"/>
              </w:rPr>
            </w:pPr>
            <w:r w:rsidRPr="00843214">
              <w:rPr>
                <w:b/>
                <w:bCs/>
                <w:color w:val="auto"/>
                <w:sz w:val="20"/>
                <w:szCs w:val="20"/>
                <w:lang w:val="en-AU"/>
              </w:rPr>
              <w:t>UN Women needs greater clarity on how best to ensure visibility of Australia’s contribution to UN Women programs.</w:t>
            </w:r>
          </w:p>
        </w:tc>
        <w:tc>
          <w:tcPr>
            <w:tcW w:w="834" w:type="pct"/>
          </w:tcPr>
          <w:p w14:paraId="3DDCB575" w14:textId="19EF1C89"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_Ref66612318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1.1.1</w:t>
            </w:r>
            <w:r w:rsidRPr="00843214">
              <w:rPr>
                <w:color w:val="auto"/>
                <w:sz w:val="20"/>
                <w:szCs w:val="20"/>
                <w:lang w:val="en-AU"/>
              </w:rPr>
              <w:fldChar w:fldCharType="end"/>
            </w:r>
            <w:r w:rsidRPr="00843214">
              <w:rPr>
                <w:color w:val="auto"/>
                <w:sz w:val="20"/>
                <w:szCs w:val="20"/>
                <w:lang w:val="en-AU"/>
              </w:rPr>
              <w:t>, Objective 1</w:t>
            </w:r>
          </w:p>
        </w:tc>
      </w:tr>
      <w:tr w:rsidR="00843214" w:rsidRPr="00843214" w14:paraId="0D1095FF" w14:textId="77777777" w:rsidTr="003A0B5B">
        <w:tc>
          <w:tcPr>
            <w:tcW w:w="677" w:type="pct"/>
          </w:tcPr>
          <w:p w14:paraId="081EC72F" w14:textId="77777777" w:rsidR="003A0B5B" w:rsidRPr="00843214" w:rsidRDefault="003A0B5B" w:rsidP="003A0B5B">
            <w:pPr>
              <w:pStyle w:val="IODPARCbullets"/>
              <w:numPr>
                <w:ilvl w:val="0"/>
                <w:numId w:val="0"/>
              </w:numPr>
              <w:rPr>
                <w:color w:val="auto"/>
                <w:sz w:val="20"/>
                <w:szCs w:val="20"/>
                <w:lang w:val="en-AU"/>
              </w:rPr>
            </w:pPr>
            <w:r w:rsidRPr="00843214">
              <w:rPr>
                <w:b/>
                <w:bCs/>
                <w:color w:val="auto"/>
                <w:sz w:val="20"/>
                <w:szCs w:val="20"/>
                <w:lang w:val="en-AU"/>
              </w:rPr>
              <w:t>Constraint</w:t>
            </w:r>
          </w:p>
          <w:p w14:paraId="1FCC1C36" w14:textId="77777777" w:rsidR="003A0B5B" w:rsidRPr="00843214" w:rsidRDefault="003A0B5B" w:rsidP="003A0B5B">
            <w:pPr>
              <w:rPr>
                <w:color w:val="auto"/>
                <w:sz w:val="20"/>
                <w:szCs w:val="20"/>
                <w:lang w:val="en-AU"/>
              </w:rPr>
            </w:pPr>
          </w:p>
        </w:tc>
        <w:tc>
          <w:tcPr>
            <w:tcW w:w="3489" w:type="pct"/>
          </w:tcPr>
          <w:p w14:paraId="7462F7B1" w14:textId="77777777" w:rsidR="003A0B5B" w:rsidRPr="00843214" w:rsidRDefault="003A0B5B" w:rsidP="003A0B5B">
            <w:pPr>
              <w:rPr>
                <w:color w:val="auto"/>
                <w:sz w:val="20"/>
                <w:szCs w:val="20"/>
                <w:lang w:val="en-AU"/>
              </w:rPr>
            </w:pPr>
            <w:r w:rsidRPr="00843214">
              <w:rPr>
                <w:b/>
                <w:bCs/>
                <w:color w:val="auto"/>
                <w:sz w:val="20"/>
                <w:szCs w:val="20"/>
                <w:lang w:val="en-AU"/>
              </w:rPr>
              <w:t>UN Women’s normative and coordination work is constrained by insufficient regular and core funding.</w:t>
            </w:r>
            <w:r w:rsidRPr="00843214">
              <w:rPr>
                <w:color w:val="auto"/>
                <w:sz w:val="20"/>
                <w:szCs w:val="20"/>
              </w:rPr>
              <w:t xml:space="preserve"> </w:t>
            </w:r>
            <w:r w:rsidRPr="00843214">
              <w:rPr>
                <w:color w:val="auto"/>
                <w:sz w:val="20"/>
                <w:szCs w:val="20"/>
                <w:lang w:val="en-AU"/>
              </w:rPr>
              <w:t>UN Women needs flexible and predictable funding to pursue its triple mandate</w:t>
            </w:r>
            <w:r w:rsidRPr="00843214">
              <w:rPr>
                <w:rStyle w:val="FootnoteReference"/>
                <w:color w:val="auto"/>
                <w:sz w:val="20"/>
                <w:szCs w:val="20"/>
                <w:lang w:val="en-AU"/>
              </w:rPr>
              <w:footnoteReference w:id="105"/>
            </w:r>
            <w:r w:rsidRPr="00843214">
              <w:rPr>
                <w:color w:val="auto"/>
                <w:sz w:val="20"/>
                <w:szCs w:val="20"/>
                <w:lang w:val="en-AU"/>
              </w:rPr>
              <w:t xml:space="preserve"> </w:t>
            </w:r>
          </w:p>
        </w:tc>
        <w:tc>
          <w:tcPr>
            <w:tcW w:w="834" w:type="pct"/>
          </w:tcPr>
          <w:p w14:paraId="13C5245C" w14:textId="2F1F98DE"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_Ref66540421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1.3.4</w:t>
            </w:r>
            <w:r w:rsidRPr="00843214">
              <w:rPr>
                <w:color w:val="auto"/>
                <w:sz w:val="20"/>
                <w:szCs w:val="20"/>
                <w:lang w:val="en-AU"/>
              </w:rPr>
              <w:fldChar w:fldCharType="end"/>
            </w:r>
          </w:p>
        </w:tc>
      </w:tr>
      <w:tr w:rsidR="00843214" w:rsidRPr="00843214" w14:paraId="3D98C793" w14:textId="77777777" w:rsidTr="003A0B5B">
        <w:tc>
          <w:tcPr>
            <w:tcW w:w="677" w:type="pct"/>
          </w:tcPr>
          <w:p w14:paraId="5057106F" w14:textId="77777777" w:rsidR="003A0B5B" w:rsidRPr="00843214" w:rsidRDefault="003A0B5B" w:rsidP="003A0B5B">
            <w:pPr>
              <w:pStyle w:val="IODPARCbullets"/>
              <w:numPr>
                <w:ilvl w:val="0"/>
                <w:numId w:val="0"/>
              </w:numPr>
              <w:rPr>
                <w:color w:val="auto"/>
                <w:sz w:val="20"/>
                <w:szCs w:val="20"/>
                <w:lang w:val="en-AU"/>
              </w:rPr>
            </w:pPr>
            <w:r w:rsidRPr="00843214">
              <w:rPr>
                <w:b/>
                <w:bCs/>
                <w:color w:val="auto"/>
                <w:sz w:val="20"/>
                <w:szCs w:val="20"/>
                <w:lang w:val="en-AU"/>
              </w:rPr>
              <w:t>Constraint</w:t>
            </w:r>
          </w:p>
          <w:p w14:paraId="371E4007" w14:textId="77777777" w:rsidR="003A0B5B" w:rsidRPr="00843214" w:rsidRDefault="003A0B5B" w:rsidP="003A0B5B">
            <w:pPr>
              <w:rPr>
                <w:b/>
                <w:bCs/>
                <w:color w:val="auto"/>
                <w:sz w:val="20"/>
                <w:szCs w:val="20"/>
                <w:lang w:val="en-AU"/>
              </w:rPr>
            </w:pPr>
          </w:p>
        </w:tc>
        <w:tc>
          <w:tcPr>
            <w:tcW w:w="3489" w:type="pct"/>
          </w:tcPr>
          <w:p w14:paraId="1E8B0DE2" w14:textId="77777777" w:rsidR="003A0B5B" w:rsidRPr="00843214" w:rsidRDefault="003A0B5B" w:rsidP="003A0B5B">
            <w:pPr>
              <w:rPr>
                <w:b/>
                <w:bCs/>
                <w:color w:val="auto"/>
                <w:sz w:val="20"/>
                <w:szCs w:val="20"/>
                <w:lang w:val="en-AU"/>
              </w:rPr>
            </w:pPr>
            <w:r w:rsidRPr="00843214">
              <w:rPr>
                <w:b/>
                <w:bCs/>
                <w:color w:val="auto"/>
                <w:sz w:val="20"/>
                <w:szCs w:val="20"/>
                <w:lang w:val="en-AU"/>
              </w:rPr>
              <w:t xml:space="preserve">Donor’s needs for visibility and funding constraints cause UN Women to take ad-hoc project work that detracts from overall strategic direction and progress. </w:t>
            </w:r>
            <w:r w:rsidRPr="00843214">
              <w:rPr>
                <w:color w:val="auto"/>
                <w:sz w:val="20"/>
                <w:szCs w:val="20"/>
                <w:lang w:val="en-AU"/>
              </w:rPr>
              <w:t>While DFAT aims for strategic program funding the issue is broader than DFAT</w:t>
            </w:r>
            <w:r w:rsidRPr="00843214">
              <w:rPr>
                <w:b/>
                <w:bCs/>
                <w:color w:val="auto"/>
                <w:sz w:val="20"/>
                <w:szCs w:val="20"/>
                <w:lang w:val="en-AU"/>
              </w:rPr>
              <w:t xml:space="preserve">. </w:t>
            </w:r>
          </w:p>
        </w:tc>
        <w:tc>
          <w:tcPr>
            <w:tcW w:w="834" w:type="pct"/>
          </w:tcPr>
          <w:p w14:paraId="57A05990" w14:textId="0D359847"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0801F550" w14:textId="77777777" w:rsidTr="003A0B5B">
        <w:tc>
          <w:tcPr>
            <w:tcW w:w="677" w:type="pct"/>
          </w:tcPr>
          <w:p w14:paraId="292D1936"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422CF90B" w14:textId="1497F1B0" w:rsidR="003A0B5B" w:rsidRPr="00843214" w:rsidRDefault="003A0B5B" w:rsidP="003A0B5B">
            <w:pPr>
              <w:rPr>
                <w:b/>
                <w:bCs/>
                <w:color w:val="auto"/>
                <w:sz w:val="20"/>
                <w:szCs w:val="20"/>
                <w:lang w:val="en-AU"/>
              </w:rPr>
            </w:pPr>
            <w:r w:rsidRPr="00843214">
              <w:rPr>
                <w:b/>
                <w:bCs/>
                <w:color w:val="auto"/>
                <w:sz w:val="20"/>
                <w:szCs w:val="20"/>
                <w:lang w:val="en-AU"/>
              </w:rPr>
              <w:t>UN Women has</w:t>
            </w:r>
            <w:r w:rsidRPr="00843214">
              <w:rPr>
                <w:color w:val="auto"/>
                <w:sz w:val="20"/>
                <w:szCs w:val="20"/>
                <w:lang w:val="en-AU"/>
              </w:rPr>
              <w:t xml:space="preserve"> </w:t>
            </w:r>
            <w:r w:rsidRPr="00843214">
              <w:rPr>
                <w:b/>
                <w:bCs/>
                <w:color w:val="auto"/>
                <w:sz w:val="20"/>
                <w:szCs w:val="20"/>
                <w:lang w:val="en-AU"/>
              </w:rPr>
              <w:t xml:space="preserve">cumbersome administrative processes, particularly in relation to staff recruitment </w:t>
            </w:r>
            <w:r w:rsidR="007A2FF4" w:rsidRPr="00843214">
              <w:rPr>
                <w:b/>
                <w:bCs/>
                <w:color w:val="auto"/>
                <w:sz w:val="20"/>
                <w:szCs w:val="20"/>
                <w:lang w:val="en-AU"/>
              </w:rPr>
              <w:t xml:space="preserve">and engaging, </w:t>
            </w:r>
            <w:proofErr w:type="gramStart"/>
            <w:r w:rsidR="007A2FF4" w:rsidRPr="00843214">
              <w:rPr>
                <w:b/>
                <w:bCs/>
                <w:color w:val="auto"/>
                <w:sz w:val="20"/>
                <w:szCs w:val="20"/>
                <w:lang w:val="en-AU"/>
              </w:rPr>
              <w:t>monitoring</w:t>
            </w:r>
            <w:proofErr w:type="gramEnd"/>
            <w:r w:rsidR="007A2FF4" w:rsidRPr="00843214">
              <w:rPr>
                <w:b/>
                <w:bCs/>
                <w:color w:val="auto"/>
                <w:sz w:val="20"/>
                <w:szCs w:val="20"/>
                <w:lang w:val="en-AU"/>
              </w:rPr>
              <w:t xml:space="preserve"> and funding CSOs</w:t>
            </w:r>
          </w:p>
        </w:tc>
        <w:tc>
          <w:tcPr>
            <w:tcW w:w="834" w:type="pct"/>
          </w:tcPr>
          <w:p w14:paraId="525AFF53" w14:textId="41779F5C"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3EBE5E06" w14:textId="77777777" w:rsidTr="003A0B5B">
        <w:tc>
          <w:tcPr>
            <w:tcW w:w="677" w:type="pct"/>
          </w:tcPr>
          <w:p w14:paraId="4E2CAF97"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2359102B" w14:textId="2AC998E9" w:rsidR="003A0B5B" w:rsidRPr="00843214" w:rsidRDefault="003A0B5B" w:rsidP="003A0B5B">
            <w:pPr>
              <w:rPr>
                <w:b/>
                <w:bCs/>
                <w:color w:val="auto"/>
                <w:sz w:val="20"/>
                <w:szCs w:val="20"/>
                <w:lang w:val="en-AU"/>
              </w:rPr>
            </w:pPr>
            <w:r w:rsidRPr="00843214">
              <w:rPr>
                <w:b/>
                <w:bCs/>
                <w:color w:val="auto"/>
                <w:sz w:val="20"/>
                <w:szCs w:val="20"/>
                <w:lang w:val="en-AU"/>
              </w:rPr>
              <w:t xml:space="preserve">UN Women can have limited </w:t>
            </w:r>
            <w:r w:rsidR="00503E8D" w:rsidRPr="00843214">
              <w:rPr>
                <w:b/>
                <w:bCs/>
                <w:color w:val="auto"/>
                <w:sz w:val="20"/>
                <w:szCs w:val="20"/>
                <w:lang w:val="en-AU"/>
              </w:rPr>
              <w:t>program</w:t>
            </w:r>
            <w:r w:rsidRPr="00843214">
              <w:rPr>
                <w:b/>
                <w:bCs/>
                <w:color w:val="auto"/>
                <w:sz w:val="20"/>
                <w:szCs w:val="20"/>
                <w:lang w:val="en-AU"/>
              </w:rPr>
              <w:t xml:space="preserve"> management capacity and variable capacity in country offices which is not always linked to required scope.</w:t>
            </w:r>
          </w:p>
        </w:tc>
        <w:tc>
          <w:tcPr>
            <w:tcW w:w="834" w:type="pct"/>
          </w:tcPr>
          <w:p w14:paraId="2ACE1312" w14:textId="403F2A45"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4DCCC3BA" w14:textId="77777777" w:rsidTr="003A0B5B">
        <w:tc>
          <w:tcPr>
            <w:tcW w:w="677" w:type="pct"/>
          </w:tcPr>
          <w:p w14:paraId="2829E6C5"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6A86DE31" w14:textId="77777777" w:rsidR="003A0B5B" w:rsidRPr="00843214" w:rsidRDefault="003A0B5B" w:rsidP="003A0B5B">
            <w:pPr>
              <w:rPr>
                <w:b/>
                <w:bCs/>
                <w:color w:val="auto"/>
                <w:sz w:val="20"/>
                <w:szCs w:val="20"/>
                <w:lang w:val="en-AU"/>
              </w:rPr>
            </w:pPr>
            <w:r w:rsidRPr="00843214">
              <w:rPr>
                <w:b/>
                <w:bCs/>
                <w:color w:val="auto"/>
                <w:sz w:val="20"/>
                <w:szCs w:val="20"/>
                <w:lang w:val="en-AU"/>
              </w:rPr>
              <w:t>Extensive reporting requirements to DFAT and other donors for multiple and relatively small projects</w:t>
            </w:r>
            <w:r w:rsidRPr="00843214">
              <w:rPr>
                <w:color w:val="auto"/>
                <w:sz w:val="20"/>
                <w:szCs w:val="20"/>
                <w:lang w:val="en-AU"/>
              </w:rPr>
              <w:t xml:space="preserve"> </w:t>
            </w:r>
            <w:r w:rsidRPr="00843214">
              <w:rPr>
                <w:b/>
                <w:bCs/>
                <w:color w:val="auto"/>
                <w:sz w:val="20"/>
                <w:szCs w:val="20"/>
                <w:lang w:val="en-AU"/>
              </w:rPr>
              <w:t xml:space="preserve">reduce the time that UN Women could spend on implementation. </w:t>
            </w:r>
          </w:p>
        </w:tc>
        <w:tc>
          <w:tcPr>
            <w:tcW w:w="834" w:type="pct"/>
          </w:tcPr>
          <w:p w14:paraId="5306FAB5" w14:textId="4E80F281"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_Ref66540961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1.3.2</w:t>
            </w:r>
            <w:r w:rsidRPr="00843214">
              <w:rPr>
                <w:color w:val="auto"/>
                <w:sz w:val="20"/>
                <w:szCs w:val="20"/>
                <w:lang w:val="en-AU"/>
              </w:rPr>
              <w:fldChar w:fldCharType="end"/>
            </w:r>
          </w:p>
        </w:tc>
      </w:tr>
      <w:tr w:rsidR="00843214" w:rsidRPr="00843214" w14:paraId="5178580C" w14:textId="77777777" w:rsidTr="003A0B5B">
        <w:tc>
          <w:tcPr>
            <w:tcW w:w="677" w:type="pct"/>
          </w:tcPr>
          <w:p w14:paraId="437D8578"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417630B3" w14:textId="77777777" w:rsidR="003A0B5B" w:rsidRPr="00843214" w:rsidRDefault="003A0B5B" w:rsidP="003A0B5B">
            <w:pPr>
              <w:rPr>
                <w:b/>
                <w:bCs/>
                <w:color w:val="auto"/>
                <w:sz w:val="20"/>
                <w:szCs w:val="20"/>
                <w:lang w:val="en-AU"/>
              </w:rPr>
            </w:pPr>
            <w:r w:rsidRPr="00843214">
              <w:rPr>
                <w:b/>
                <w:bCs/>
                <w:color w:val="auto"/>
                <w:sz w:val="20"/>
                <w:szCs w:val="20"/>
                <w:lang w:val="en-AU"/>
              </w:rPr>
              <w:t>UN Women’s competition and lack of program coordination with other UN Agencies and CSOs currently limits effectiveness and efficiency from the broader donor, implementing partner, and beneficiary perspective.</w:t>
            </w:r>
            <w:r w:rsidRPr="00843214">
              <w:rPr>
                <w:color w:val="auto"/>
                <w:sz w:val="20"/>
                <w:szCs w:val="20"/>
                <w:lang w:val="en-AU"/>
              </w:rPr>
              <w:t xml:space="preserve"> </w:t>
            </w:r>
          </w:p>
        </w:tc>
        <w:tc>
          <w:tcPr>
            <w:tcW w:w="834" w:type="pct"/>
          </w:tcPr>
          <w:p w14:paraId="6E371047" w14:textId="1F864F39"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_Ref66612493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1.1.1</w:t>
            </w:r>
            <w:r w:rsidRPr="00843214">
              <w:rPr>
                <w:color w:val="auto"/>
                <w:sz w:val="20"/>
                <w:szCs w:val="20"/>
                <w:lang w:val="en-AU"/>
              </w:rPr>
              <w:fldChar w:fldCharType="end"/>
            </w:r>
            <w:r w:rsidRPr="00843214">
              <w:rPr>
                <w:color w:val="auto"/>
                <w:sz w:val="20"/>
                <w:szCs w:val="20"/>
                <w:lang w:val="en-AU"/>
              </w:rPr>
              <w:t xml:space="preserve">, Objective </w:t>
            </w:r>
          </w:p>
        </w:tc>
      </w:tr>
      <w:tr w:rsidR="00843214" w:rsidRPr="00843214" w14:paraId="65A2CEB6" w14:textId="77777777" w:rsidTr="003A0B5B">
        <w:tc>
          <w:tcPr>
            <w:tcW w:w="677" w:type="pct"/>
          </w:tcPr>
          <w:p w14:paraId="10D69FB3"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14B9599E" w14:textId="77777777" w:rsidR="003A0B5B" w:rsidRPr="00843214" w:rsidRDefault="003A0B5B" w:rsidP="003A0B5B">
            <w:pPr>
              <w:rPr>
                <w:b/>
                <w:bCs/>
                <w:color w:val="auto"/>
                <w:sz w:val="20"/>
                <w:szCs w:val="20"/>
                <w:lang w:val="en-AU"/>
              </w:rPr>
            </w:pPr>
            <w:r w:rsidRPr="00843214">
              <w:rPr>
                <w:b/>
                <w:bCs/>
                <w:color w:val="auto"/>
                <w:sz w:val="20"/>
                <w:szCs w:val="20"/>
                <w:lang w:val="en-AU"/>
              </w:rPr>
              <w:t xml:space="preserve">High staff turnover at both DFAT and UN Women has constrained progress, </w:t>
            </w:r>
            <w:proofErr w:type="gramStart"/>
            <w:r w:rsidRPr="00843214">
              <w:rPr>
                <w:b/>
                <w:bCs/>
                <w:color w:val="auto"/>
                <w:sz w:val="20"/>
                <w:szCs w:val="20"/>
                <w:lang w:val="en-AU"/>
              </w:rPr>
              <w:t>relationships</w:t>
            </w:r>
            <w:proofErr w:type="gramEnd"/>
            <w:r w:rsidRPr="00843214">
              <w:rPr>
                <w:b/>
                <w:bCs/>
                <w:color w:val="auto"/>
                <w:sz w:val="20"/>
                <w:szCs w:val="20"/>
                <w:lang w:val="en-AU"/>
              </w:rPr>
              <w:t xml:space="preserve"> and effective delivery.</w:t>
            </w:r>
            <w:r w:rsidRPr="00843214">
              <w:rPr>
                <w:color w:val="auto"/>
                <w:sz w:val="20"/>
                <w:szCs w:val="20"/>
                <w:lang w:val="en-AU"/>
              </w:rPr>
              <w:t xml:space="preserve"> </w:t>
            </w:r>
          </w:p>
        </w:tc>
        <w:tc>
          <w:tcPr>
            <w:tcW w:w="834" w:type="pct"/>
          </w:tcPr>
          <w:p w14:paraId="25AFAFBB" w14:textId="7344E40E"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_Ref66612693 \n \h </w:instrText>
            </w:r>
            <w:r w:rsidR="00450518" w:rsidRPr="00843214">
              <w:rPr>
                <w:color w:val="auto"/>
                <w:sz w:val="20"/>
                <w:szCs w:val="20"/>
                <w:lang w:val="en-AU"/>
              </w:rPr>
              <w:instrText xml:space="preserve">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1.1.1</w:t>
            </w:r>
            <w:r w:rsidRPr="00843214">
              <w:rPr>
                <w:color w:val="auto"/>
                <w:sz w:val="20"/>
                <w:szCs w:val="20"/>
                <w:lang w:val="en-AU"/>
              </w:rPr>
              <w:fldChar w:fldCharType="end"/>
            </w:r>
            <w:r w:rsidRPr="00843214">
              <w:rPr>
                <w:color w:val="auto"/>
                <w:sz w:val="20"/>
                <w:szCs w:val="20"/>
                <w:lang w:val="en-AU"/>
              </w:rPr>
              <w:t xml:space="preserve">, Objective 1, </w:t>
            </w:r>
          </w:p>
          <w:p w14:paraId="5FF56EA6" w14:textId="227C3242"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w:instrText>
            </w:r>
            <w:r w:rsidR="00450518" w:rsidRPr="00843214">
              <w:rPr>
                <w:color w:val="auto"/>
                <w:sz w:val="20"/>
                <w:szCs w:val="20"/>
                <w:lang w:val="en-AU"/>
              </w:rPr>
              <w:instrText xml:space="preserve">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2E7C3E75" w14:textId="77777777" w:rsidTr="003A0B5B">
        <w:tc>
          <w:tcPr>
            <w:tcW w:w="677" w:type="pct"/>
          </w:tcPr>
          <w:p w14:paraId="31E11859" w14:textId="77777777" w:rsidR="003A0B5B" w:rsidRPr="00843214" w:rsidRDefault="003A0B5B" w:rsidP="003A0B5B">
            <w:pPr>
              <w:rPr>
                <w:b/>
                <w:bCs/>
                <w:color w:val="auto"/>
                <w:sz w:val="20"/>
                <w:szCs w:val="20"/>
                <w:lang w:val="en-AU"/>
              </w:rPr>
            </w:pPr>
            <w:r w:rsidRPr="00843214">
              <w:rPr>
                <w:b/>
                <w:bCs/>
                <w:color w:val="auto"/>
                <w:sz w:val="20"/>
                <w:szCs w:val="20"/>
                <w:lang w:val="en-AU"/>
              </w:rPr>
              <w:lastRenderedPageBreak/>
              <w:t>Constraint</w:t>
            </w:r>
          </w:p>
        </w:tc>
        <w:tc>
          <w:tcPr>
            <w:tcW w:w="3489" w:type="pct"/>
          </w:tcPr>
          <w:p w14:paraId="236FEE51" w14:textId="77777777" w:rsidR="003A0B5B" w:rsidRPr="00843214" w:rsidRDefault="003A0B5B" w:rsidP="003A0B5B">
            <w:pPr>
              <w:rPr>
                <w:b/>
                <w:bCs/>
                <w:color w:val="auto"/>
                <w:sz w:val="20"/>
                <w:szCs w:val="20"/>
                <w:lang w:val="en-AU"/>
              </w:rPr>
            </w:pPr>
            <w:r w:rsidRPr="00843214">
              <w:rPr>
                <w:b/>
                <w:bCs/>
                <w:color w:val="auto"/>
                <w:sz w:val="20"/>
                <w:szCs w:val="20"/>
                <w:lang w:val="en-AU"/>
              </w:rPr>
              <w:t>Intra-agency gaps in knowledge management and sharing at both UN Women and DFAT cause duplication of effort. There are noted examples within and across UN Women offices and between various DFAT country level programs</w:t>
            </w:r>
            <w:r w:rsidRPr="00843214">
              <w:rPr>
                <w:rStyle w:val="FootnoteReference"/>
                <w:b/>
                <w:bCs/>
                <w:color w:val="auto"/>
                <w:sz w:val="20"/>
                <w:szCs w:val="20"/>
                <w:lang w:val="en-AU"/>
              </w:rPr>
              <w:footnoteReference w:id="106"/>
            </w:r>
            <w:r w:rsidRPr="00843214">
              <w:rPr>
                <w:b/>
                <w:bCs/>
                <w:color w:val="auto"/>
                <w:sz w:val="20"/>
                <w:szCs w:val="20"/>
                <w:lang w:val="en-AU"/>
              </w:rPr>
              <w:t xml:space="preserve">. </w:t>
            </w:r>
            <w:r w:rsidRPr="00843214">
              <w:rPr>
                <w:color w:val="auto"/>
                <w:sz w:val="20"/>
                <w:szCs w:val="20"/>
                <w:lang w:val="en-AU"/>
              </w:rPr>
              <w:t>While there are strong examples of high-level knowledge management at UN Women, such as the knowledge management Strategy for Women Count from which some lessons learned are informing UN Women's Global Data, Evidence and Knowledge strategy (for the upcoming Strategic Plan) there was a noted disconnect at and between country-level for both DFAT and UN Women.</w:t>
            </w:r>
          </w:p>
        </w:tc>
        <w:tc>
          <w:tcPr>
            <w:tcW w:w="834" w:type="pct"/>
          </w:tcPr>
          <w:p w14:paraId="1816670E" w14:textId="12D8A657" w:rsidR="003A0B5B" w:rsidRPr="00843214" w:rsidRDefault="003A0B5B" w:rsidP="003A0B5B">
            <w:pPr>
              <w:rPr>
                <w:color w:val="auto"/>
                <w:sz w:val="20"/>
                <w:szCs w:val="20"/>
                <w:lang w:val="en-AU"/>
              </w:rPr>
            </w:pPr>
            <w:r w:rsidRPr="00843214">
              <w:rPr>
                <w:color w:val="auto"/>
                <w:sz w:val="20"/>
                <w:szCs w:val="20"/>
                <w:lang w:val="en-AU"/>
              </w:rPr>
              <w:t>-</w:t>
            </w:r>
            <w:r w:rsidR="001B1A8F" w:rsidRPr="00843214">
              <w:rPr>
                <w:color w:val="auto"/>
                <w:sz w:val="20"/>
                <w:szCs w:val="20"/>
                <w:lang w:val="en-AU"/>
              </w:rPr>
              <w:t>--</w:t>
            </w:r>
          </w:p>
        </w:tc>
      </w:tr>
      <w:tr w:rsidR="00843214" w:rsidRPr="00843214" w14:paraId="29E8E128" w14:textId="77777777" w:rsidTr="003A0B5B">
        <w:tc>
          <w:tcPr>
            <w:tcW w:w="677" w:type="pct"/>
          </w:tcPr>
          <w:p w14:paraId="6F74D515"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701F8AE0" w14:textId="77777777" w:rsidR="003A0B5B" w:rsidRPr="00843214" w:rsidRDefault="003A0B5B" w:rsidP="003A0B5B">
            <w:pPr>
              <w:rPr>
                <w:b/>
                <w:bCs/>
                <w:color w:val="auto"/>
                <w:sz w:val="20"/>
                <w:szCs w:val="20"/>
                <w:lang w:val="en-AU"/>
              </w:rPr>
            </w:pPr>
            <w:r w:rsidRPr="00843214">
              <w:rPr>
                <w:b/>
                <w:bCs/>
                <w:color w:val="auto"/>
                <w:sz w:val="20"/>
                <w:szCs w:val="20"/>
                <w:lang w:val="en-AU"/>
              </w:rPr>
              <w:t>Limited physical presence in some countries (</w:t>
            </w:r>
            <w:proofErr w:type="gramStart"/>
            <w:r w:rsidRPr="00843214">
              <w:rPr>
                <w:b/>
                <w:bCs/>
                <w:color w:val="auto"/>
                <w:sz w:val="20"/>
                <w:szCs w:val="20"/>
                <w:lang w:val="en-AU"/>
              </w:rPr>
              <w:t>in particular the</w:t>
            </w:r>
            <w:proofErr w:type="gramEnd"/>
            <w:r w:rsidRPr="00843214">
              <w:rPr>
                <w:b/>
                <w:bCs/>
                <w:color w:val="auto"/>
                <w:sz w:val="20"/>
                <w:szCs w:val="20"/>
                <w:lang w:val="en-AU"/>
              </w:rPr>
              <w:t xml:space="preserve"> Pacific) and travel restrictions during COVID-19. </w:t>
            </w:r>
          </w:p>
        </w:tc>
        <w:tc>
          <w:tcPr>
            <w:tcW w:w="834" w:type="pct"/>
          </w:tcPr>
          <w:p w14:paraId="051FA425" w14:textId="62634BB2"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tr w:rsidR="00843214" w:rsidRPr="00843214" w14:paraId="4A84E5D0" w14:textId="77777777" w:rsidTr="003A0B5B">
        <w:tc>
          <w:tcPr>
            <w:tcW w:w="677" w:type="pct"/>
          </w:tcPr>
          <w:p w14:paraId="66127A78" w14:textId="77777777" w:rsidR="003A0B5B" w:rsidRPr="00843214" w:rsidRDefault="003A0B5B" w:rsidP="003A0B5B">
            <w:pPr>
              <w:rPr>
                <w:b/>
                <w:bCs/>
                <w:color w:val="auto"/>
                <w:sz w:val="20"/>
                <w:szCs w:val="20"/>
                <w:lang w:val="en-AU"/>
              </w:rPr>
            </w:pPr>
            <w:r w:rsidRPr="00843214">
              <w:rPr>
                <w:b/>
                <w:bCs/>
                <w:color w:val="auto"/>
                <w:sz w:val="20"/>
                <w:szCs w:val="20"/>
                <w:lang w:val="en-AU"/>
              </w:rPr>
              <w:t>Constraint</w:t>
            </w:r>
          </w:p>
        </w:tc>
        <w:tc>
          <w:tcPr>
            <w:tcW w:w="3489" w:type="pct"/>
          </w:tcPr>
          <w:p w14:paraId="6DF13D9C" w14:textId="77777777" w:rsidR="003A0B5B" w:rsidRPr="00843214" w:rsidRDefault="003A0B5B" w:rsidP="003A0B5B">
            <w:pPr>
              <w:rPr>
                <w:b/>
                <w:bCs/>
                <w:color w:val="auto"/>
                <w:sz w:val="20"/>
                <w:szCs w:val="20"/>
                <w:lang w:val="en-AU"/>
              </w:rPr>
            </w:pPr>
            <w:r w:rsidRPr="00843214">
              <w:rPr>
                <w:b/>
                <w:bCs/>
                <w:color w:val="auto"/>
                <w:sz w:val="20"/>
                <w:szCs w:val="20"/>
                <w:lang w:val="en-AU"/>
              </w:rPr>
              <w:t xml:space="preserve">A lack of clarity for UN Women’s role in humanitarian work has constrained progress </w:t>
            </w:r>
            <w:r w:rsidRPr="00843214">
              <w:rPr>
                <w:color w:val="auto"/>
                <w:sz w:val="20"/>
                <w:szCs w:val="20"/>
                <w:lang w:val="en-AU"/>
              </w:rPr>
              <w:t>though this will be addressed in UN Women’s upcoming Strategic Plan.</w:t>
            </w:r>
          </w:p>
        </w:tc>
        <w:tc>
          <w:tcPr>
            <w:tcW w:w="834" w:type="pct"/>
          </w:tcPr>
          <w:p w14:paraId="5AD578B7" w14:textId="5A9D8D0F" w:rsidR="003A0B5B" w:rsidRPr="00843214" w:rsidRDefault="003A0B5B" w:rsidP="003A0B5B">
            <w:pPr>
              <w:rPr>
                <w:color w:val="auto"/>
                <w:sz w:val="20"/>
                <w:szCs w:val="20"/>
                <w:lang w:val="en-AU"/>
              </w:rPr>
            </w:pPr>
            <w:r w:rsidRPr="00843214">
              <w:rPr>
                <w:color w:val="auto"/>
                <w:sz w:val="20"/>
                <w:szCs w:val="20"/>
                <w:lang w:val="en-AU"/>
              </w:rPr>
              <w:fldChar w:fldCharType="begin"/>
            </w:r>
            <w:r w:rsidRPr="00843214">
              <w:rPr>
                <w:color w:val="auto"/>
                <w:sz w:val="20"/>
                <w:szCs w:val="20"/>
                <w:lang w:val="en-AU"/>
              </w:rPr>
              <w:instrText xml:space="preserve"> REF _Ref66540547 \n \h  \* MERGEFORMAT </w:instrText>
            </w:r>
            <w:r w:rsidRPr="00843214">
              <w:rPr>
                <w:color w:val="auto"/>
                <w:sz w:val="20"/>
                <w:szCs w:val="20"/>
                <w:lang w:val="en-AU"/>
              </w:rPr>
            </w:r>
            <w:r w:rsidRPr="00843214">
              <w:rPr>
                <w:color w:val="auto"/>
                <w:sz w:val="20"/>
                <w:szCs w:val="20"/>
                <w:lang w:val="en-AU"/>
              </w:rPr>
              <w:fldChar w:fldCharType="separate"/>
            </w:r>
            <w:r w:rsidR="00742005" w:rsidRPr="00843214">
              <w:rPr>
                <w:color w:val="auto"/>
                <w:sz w:val="20"/>
                <w:szCs w:val="20"/>
                <w:lang w:val="en-AU"/>
              </w:rPr>
              <w:t>1.2.3</w:t>
            </w:r>
            <w:r w:rsidRPr="00843214">
              <w:rPr>
                <w:color w:val="auto"/>
                <w:sz w:val="20"/>
                <w:szCs w:val="20"/>
                <w:lang w:val="en-AU"/>
              </w:rPr>
              <w:fldChar w:fldCharType="end"/>
            </w:r>
          </w:p>
        </w:tc>
      </w:tr>
      <w:bookmarkEnd w:id="107"/>
    </w:tbl>
    <w:p w14:paraId="1491C381" w14:textId="368C97D1" w:rsidR="000B67DF" w:rsidRPr="00843214" w:rsidRDefault="000B67DF" w:rsidP="000B67DF">
      <w:pPr>
        <w:rPr>
          <w:color w:val="auto"/>
          <w:lang w:eastAsia="en-GB"/>
        </w:rPr>
      </w:pPr>
      <w:r w:rsidRPr="00843214">
        <w:rPr>
          <w:color w:val="auto"/>
          <w:lang w:eastAsia="en-GB"/>
        </w:rPr>
        <w:br w:type="page"/>
      </w:r>
    </w:p>
    <w:p w14:paraId="7770A4C7" w14:textId="0849D0E0" w:rsidR="0000408D" w:rsidRPr="00843214" w:rsidRDefault="003A0B5B" w:rsidP="00843214">
      <w:pPr>
        <w:pStyle w:val="Heading1"/>
      </w:pPr>
      <w:bookmarkStart w:id="108" w:name="_Toc69376680"/>
      <w:r w:rsidRPr="00843214">
        <w:lastRenderedPageBreak/>
        <w:t xml:space="preserve">Annex </w:t>
      </w:r>
      <w:r w:rsidR="00BB1C5A" w:rsidRPr="00843214">
        <w:t>6</w:t>
      </w:r>
      <w:r w:rsidRPr="00843214">
        <w:t>: Common Current and Future High-Level DFAT and UN Women Gender Priorities</w:t>
      </w:r>
      <w:bookmarkEnd w:id="108"/>
    </w:p>
    <w:tbl>
      <w:tblPr>
        <w:tblStyle w:val="IODPARCtable2"/>
        <w:tblW w:w="0" w:type="auto"/>
        <w:tblLook w:val="04A0" w:firstRow="1" w:lastRow="0" w:firstColumn="1" w:lastColumn="0" w:noHBand="0" w:noVBand="1"/>
      </w:tblPr>
      <w:tblGrid>
        <w:gridCol w:w="2960"/>
        <w:gridCol w:w="2790"/>
        <w:gridCol w:w="3256"/>
      </w:tblGrid>
      <w:tr w:rsidR="00843214" w:rsidRPr="00843214" w14:paraId="27B532D0" w14:textId="77777777" w:rsidTr="003A0B5B">
        <w:trPr>
          <w:tblHeader/>
        </w:trPr>
        <w:tc>
          <w:tcPr>
            <w:tcW w:w="2960" w:type="dxa"/>
          </w:tcPr>
          <w:p w14:paraId="58C0B736" w14:textId="77777777" w:rsidR="003A0B5B" w:rsidRPr="00843214" w:rsidRDefault="003A0B5B" w:rsidP="003A0B5B">
            <w:pPr>
              <w:rPr>
                <w:b/>
                <w:bCs/>
                <w:color w:val="auto"/>
                <w:sz w:val="20"/>
                <w:szCs w:val="20"/>
                <w:lang w:val="en-AU"/>
              </w:rPr>
            </w:pPr>
            <w:r w:rsidRPr="00843214">
              <w:rPr>
                <w:b/>
                <w:bCs/>
                <w:color w:val="auto"/>
                <w:sz w:val="20"/>
                <w:szCs w:val="20"/>
                <w:lang w:val="en-AU"/>
              </w:rPr>
              <w:t>Priority Area</w:t>
            </w:r>
          </w:p>
        </w:tc>
        <w:tc>
          <w:tcPr>
            <w:tcW w:w="2790" w:type="dxa"/>
          </w:tcPr>
          <w:p w14:paraId="7441888D" w14:textId="77777777" w:rsidR="003A0B5B" w:rsidRPr="00843214" w:rsidRDefault="003A0B5B" w:rsidP="003A0B5B">
            <w:pPr>
              <w:rPr>
                <w:b/>
                <w:bCs/>
                <w:color w:val="auto"/>
                <w:sz w:val="20"/>
                <w:szCs w:val="20"/>
                <w:lang w:val="en-AU"/>
              </w:rPr>
            </w:pPr>
            <w:r w:rsidRPr="00843214">
              <w:rPr>
                <w:b/>
                <w:bCs/>
                <w:color w:val="auto"/>
                <w:sz w:val="20"/>
                <w:szCs w:val="20"/>
                <w:lang w:val="en-AU"/>
              </w:rPr>
              <w:t>DFAT Strategy Document</w:t>
            </w:r>
          </w:p>
        </w:tc>
        <w:tc>
          <w:tcPr>
            <w:tcW w:w="3256" w:type="dxa"/>
          </w:tcPr>
          <w:p w14:paraId="112085AF" w14:textId="77777777" w:rsidR="003A0B5B" w:rsidRPr="00843214" w:rsidRDefault="003A0B5B" w:rsidP="003A0B5B">
            <w:pPr>
              <w:rPr>
                <w:b/>
                <w:bCs/>
                <w:color w:val="auto"/>
                <w:sz w:val="20"/>
                <w:szCs w:val="20"/>
                <w:lang w:val="en-AU"/>
              </w:rPr>
            </w:pPr>
            <w:r w:rsidRPr="00843214">
              <w:rPr>
                <w:b/>
                <w:bCs/>
                <w:color w:val="auto"/>
                <w:sz w:val="20"/>
                <w:szCs w:val="20"/>
                <w:lang w:val="en-AU"/>
              </w:rPr>
              <w:t>UN Women Strategy Document</w:t>
            </w:r>
          </w:p>
        </w:tc>
      </w:tr>
      <w:tr w:rsidR="00843214" w:rsidRPr="00843214" w14:paraId="4CD5608D" w14:textId="77777777" w:rsidTr="003A0B5B">
        <w:tc>
          <w:tcPr>
            <w:tcW w:w="2960" w:type="dxa"/>
          </w:tcPr>
          <w:p w14:paraId="6D6B1DCA" w14:textId="77777777" w:rsidR="003A0B5B" w:rsidRPr="00843214" w:rsidRDefault="003A0B5B" w:rsidP="003A0B5B">
            <w:pPr>
              <w:rPr>
                <w:color w:val="auto"/>
                <w:sz w:val="20"/>
                <w:szCs w:val="20"/>
                <w:lang w:val="en-AU"/>
              </w:rPr>
            </w:pPr>
            <w:r w:rsidRPr="00843214">
              <w:rPr>
                <w:color w:val="auto"/>
                <w:sz w:val="20"/>
                <w:szCs w:val="20"/>
                <w:lang w:val="en-AU"/>
              </w:rPr>
              <w:t>Women’s voice in decision making, leadership and peace building</w:t>
            </w:r>
          </w:p>
        </w:tc>
        <w:tc>
          <w:tcPr>
            <w:tcW w:w="2790" w:type="dxa"/>
          </w:tcPr>
          <w:p w14:paraId="4162D27B" w14:textId="77777777" w:rsidR="003A0B5B" w:rsidRPr="00843214" w:rsidRDefault="003A0B5B" w:rsidP="003A0B5B">
            <w:pPr>
              <w:rPr>
                <w:color w:val="auto"/>
                <w:sz w:val="20"/>
                <w:szCs w:val="20"/>
                <w:lang w:val="en-AU"/>
              </w:rPr>
            </w:pPr>
            <w:r w:rsidRPr="00843214">
              <w:rPr>
                <w:color w:val="auto"/>
                <w:sz w:val="20"/>
                <w:szCs w:val="20"/>
                <w:lang w:val="en-AU"/>
              </w:rPr>
              <w:t>GEWE Strategy 2016 (Priority 1)</w:t>
            </w:r>
          </w:p>
        </w:tc>
        <w:tc>
          <w:tcPr>
            <w:tcW w:w="3256" w:type="dxa"/>
          </w:tcPr>
          <w:p w14:paraId="07319B85" w14:textId="77777777" w:rsidR="003A0B5B" w:rsidRPr="00843214" w:rsidRDefault="003A0B5B" w:rsidP="003A0B5B">
            <w:pPr>
              <w:rPr>
                <w:color w:val="auto"/>
                <w:sz w:val="20"/>
                <w:szCs w:val="20"/>
                <w:lang w:val="en-AU"/>
              </w:rPr>
            </w:pPr>
          </w:p>
          <w:p w14:paraId="1527E0D6"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35E928F7"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 (cutting across several priority areas)</w:t>
            </w:r>
          </w:p>
        </w:tc>
      </w:tr>
      <w:tr w:rsidR="00843214" w:rsidRPr="00843214" w14:paraId="0AFB9EBE" w14:textId="77777777" w:rsidTr="003A0B5B">
        <w:tc>
          <w:tcPr>
            <w:tcW w:w="2960" w:type="dxa"/>
          </w:tcPr>
          <w:p w14:paraId="30E5CC61" w14:textId="77777777" w:rsidR="003A0B5B" w:rsidRPr="00843214" w:rsidRDefault="003A0B5B" w:rsidP="003A0B5B">
            <w:pPr>
              <w:rPr>
                <w:color w:val="auto"/>
                <w:sz w:val="20"/>
                <w:szCs w:val="20"/>
                <w:lang w:val="en-AU"/>
              </w:rPr>
            </w:pPr>
            <w:r w:rsidRPr="00843214">
              <w:rPr>
                <w:color w:val="auto"/>
                <w:sz w:val="20"/>
                <w:szCs w:val="20"/>
                <w:lang w:val="en-AU"/>
              </w:rPr>
              <w:t xml:space="preserve">Women and girls contribute to and have greater influence in building sustainable peace and resilience, and benefit equally from the prevention of natural hazards and disasters, and conflicts and humanitarian action  </w:t>
            </w:r>
          </w:p>
        </w:tc>
        <w:tc>
          <w:tcPr>
            <w:tcW w:w="2790" w:type="dxa"/>
          </w:tcPr>
          <w:p w14:paraId="7ADE5FD4" w14:textId="77777777" w:rsidR="003A0B5B" w:rsidRPr="00843214" w:rsidRDefault="003A0B5B" w:rsidP="003A0B5B">
            <w:pPr>
              <w:rPr>
                <w:color w:val="auto"/>
                <w:sz w:val="20"/>
                <w:szCs w:val="20"/>
                <w:lang w:val="en-AU"/>
              </w:rPr>
            </w:pPr>
            <w:r w:rsidRPr="00843214">
              <w:rPr>
                <w:color w:val="auto"/>
                <w:sz w:val="20"/>
                <w:szCs w:val="20"/>
                <w:lang w:val="en-AU"/>
              </w:rPr>
              <w:t>GEWE Strategy 2016 (Priority 1)</w:t>
            </w:r>
          </w:p>
          <w:p w14:paraId="400F49DE" w14:textId="77777777" w:rsidR="003A0B5B" w:rsidRPr="00843214" w:rsidRDefault="003A0B5B" w:rsidP="003A0B5B">
            <w:pPr>
              <w:rPr>
                <w:color w:val="auto"/>
                <w:sz w:val="20"/>
                <w:szCs w:val="20"/>
                <w:lang w:val="en-AU"/>
              </w:rPr>
            </w:pPr>
            <w:r w:rsidRPr="00843214">
              <w:rPr>
                <w:color w:val="auto"/>
                <w:sz w:val="20"/>
                <w:szCs w:val="20"/>
              </w:rPr>
              <w:t>Humanitarian Strategy 2016</w:t>
            </w:r>
          </w:p>
        </w:tc>
        <w:tc>
          <w:tcPr>
            <w:tcW w:w="3256" w:type="dxa"/>
          </w:tcPr>
          <w:p w14:paraId="25919B3F"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5DFD924E"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 (framed as women’s leadership rather than contribution)</w:t>
            </w:r>
          </w:p>
          <w:p w14:paraId="63E2B30B" w14:textId="77777777" w:rsidR="003A0B5B" w:rsidRPr="00843214" w:rsidRDefault="003A0B5B" w:rsidP="003A0B5B">
            <w:pPr>
              <w:rPr>
                <w:color w:val="auto"/>
                <w:sz w:val="20"/>
                <w:szCs w:val="20"/>
                <w:lang w:val="en-AU"/>
              </w:rPr>
            </w:pPr>
          </w:p>
        </w:tc>
      </w:tr>
      <w:tr w:rsidR="00843214" w:rsidRPr="00843214" w14:paraId="721E5046" w14:textId="77777777" w:rsidTr="003A0B5B">
        <w:tc>
          <w:tcPr>
            <w:tcW w:w="2960" w:type="dxa"/>
          </w:tcPr>
          <w:p w14:paraId="72058828" w14:textId="77777777" w:rsidR="003A0B5B" w:rsidRPr="00843214" w:rsidRDefault="003A0B5B" w:rsidP="003A0B5B">
            <w:pPr>
              <w:rPr>
                <w:color w:val="auto"/>
                <w:sz w:val="20"/>
                <w:szCs w:val="20"/>
                <w:lang w:val="en-AU"/>
              </w:rPr>
            </w:pPr>
            <w:r w:rsidRPr="00843214">
              <w:rPr>
                <w:color w:val="auto"/>
                <w:sz w:val="20"/>
                <w:szCs w:val="20"/>
                <w:lang w:val="en-AU"/>
              </w:rPr>
              <w:t xml:space="preserve">Women lead, participate </w:t>
            </w:r>
            <w:proofErr w:type="gramStart"/>
            <w:r w:rsidRPr="00843214">
              <w:rPr>
                <w:color w:val="auto"/>
                <w:sz w:val="20"/>
                <w:szCs w:val="20"/>
                <w:lang w:val="en-AU"/>
              </w:rPr>
              <w:t>in</w:t>
            </w:r>
            <w:proofErr w:type="gramEnd"/>
            <w:r w:rsidRPr="00843214">
              <w:rPr>
                <w:color w:val="auto"/>
                <w:sz w:val="20"/>
                <w:szCs w:val="20"/>
                <w:lang w:val="en-AU"/>
              </w:rPr>
              <w:t xml:space="preserve"> and benefit equally from governance systems</w:t>
            </w:r>
          </w:p>
        </w:tc>
        <w:tc>
          <w:tcPr>
            <w:tcW w:w="2790" w:type="dxa"/>
          </w:tcPr>
          <w:p w14:paraId="59455C05" w14:textId="77777777" w:rsidR="003A0B5B" w:rsidRPr="00843214" w:rsidRDefault="003A0B5B" w:rsidP="003A0B5B">
            <w:pPr>
              <w:rPr>
                <w:color w:val="auto"/>
                <w:sz w:val="20"/>
                <w:szCs w:val="20"/>
                <w:lang w:val="en-AU"/>
              </w:rPr>
            </w:pPr>
            <w:r w:rsidRPr="00843214">
              <w:rPr>
                <w:color w:val="auto"/>
                <w:sz w:val="20"/>
                <w:szCs w:val="20"/>
                <w:lang w:val="en-AU"/>
              </w:rPr>
              <w:t>GEWE Strategy 2016 (Priority 1)</w:t>
            </w:r>
          </w:p>
        </w:tc>
        <w:tc>
          <w:tcPr>
            <w:tcW w:w="3256" w:type="dxa"/>
          </w:tcPr>
          <w:p w14:paraId="54E7FE76"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6319DC1E"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w:t>
            </w:r>
          </w:p>
        </w:tc>
      </w:tr>
      <w:tr w:rsidR="00843214" w:rsidRPr="00843214" w14:paraId="58902A11" w14:textId="77777777" w:rsidTr="003A0B5B">
        <w:tc>
          <w:tcPr>
            <w:tcW w:w="2960" w:type="dxa"/>
          </w:tcPr>
          <w:p w14:paraId="0FFA846B" w14:textId="77777777" w:rsidR="003A0B5B" w:rsidRPr="00843214" w:rsidRDefault="003A0B5B" w:rsidP="003A0B5B">
            <w:pPr>
              <w:rPr>
                <w:color w:val="auto"/>
                <w:sz w:val="20"/>
                <w:szCs w:val="20"/>
                <w:lang w:val="en-AU"/>
              </w:rPr>
            </w:pPr>
            <w:r w:rsidRPr="00843214">
              <w:rPr>
                <w:color w:val="auto"/>
                <w:sz w:val="20"/>
                <w:szCs w:val="20"/>
                <w:lang w:val="en-AU"/>
              </w:rPr>
              <w:t>WEE</w:t>
            </w:r>
          </w:p>
        </w:tc>
        <w:tc>
          <w:tcPr>
            <w:tcW w:w="2790" w:type="dxa"/>
          </w:tcPr>
          <w:p w14:paraId="18B6C16F" w14:textId="77777777" w:rsidR="003A0B5B" w:rsidRPr="00843214" w:rsidRDefault="003A0B5B" w:rsidP="003A0B5B">
            <w:pPr>
              <w:rPr>
                <w:color w:val="auto"/>
                <w:sz w:val="20"/>
                <w:szCs w:val="20"/>
                <w:lang w:val="en-AU"/>
              </w:rPr>
            </w:pPr>
            <w:r w:rsidRPr="00843214">
              <w:rPr>
                <w:color w:val="auto"/>
                <w:sz w:val="20"/>
                <w:szCs w:val="20"/>
                <w:lang w:val="en-AU"/>
              </w:rPr>
              <w:t>GEWE Strategy 2016 (Priority 2)</w:t>
            </w:r>
          </w:p>
          <w:p w14:paraId="36277A85" w14:textId="77777777" w:rsidR="003A0B5B" w:rsidRPr="00843214" w:rsidRDefault="003A0B5B" w:rsidP="003A0B5B">
            <w:pPr>
              <w:rPr>
                <w:color w:val="auto"/>
                <w:sz w:val="20"/>
                <w:szCs w:val="20"/>
                <w:lang w:val="en-AU"/>
              </w:rPr>
            </w:pPr>
            <w:r w:rsidRPr="00843214">
              <w:rPr>
                <w:color w:val="auto"/>
                <w:sz w:val="20"/>
                <w:szCs w:val="20"/>
                <w:lang w:val="en-AU"/>
              </w:rPr>
              <w:t>Partnerships for Recovery: Australia’s COVID-19 development response 2020 (economic recovery, disability inclusive)</w:t>
            </w:r>
          </w:p>
        </w:tc>
        <w:tc>
          <w:tcPr>
            <w:tcW w:w="3256" w:type="dxa"/>
          </w:tcPr>
          <w:p w14:paraId="239406D3"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00D6A393" w14:textId="77777777" w:rsidR="003A0B5B" w:rsidRPr="00843214" w:rsidRDefault="003A0B5B" w:rsidP="003A0B5B">
            <w:pPr>
              <w:rPr>
                <w:color w:val="auto"/>
                <w:sz w:val="20"/>
                <w:szCs w:val="20"/>
                <w:lang w:val="en-AU"/>
              </w:rPr>
            </w:pPr>
            <w:r w:rsidRPr="00843214">
              <w:rPr>
                <w:color w:val="auto"/>
                <w:sz w:val="20"/>
                <w:szCs w:val="20"/>
                <w:lang w:val="en-AU"/>
              </w:rPr>
              <w:t>COVID-19 Response Framework</w:t>
            </w:r>
          </w:p>
          <w:p w14:paraId="454DE67D"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w:t>
            </w:r>
          </w:p>
        </w:tc>
      </w:tr>
      <w:tr w:rsidR="00843214" w:rsidRPr="00843214" w14:paraId="4512F883" w14:textId="77777777" w:rsidTr="003A0B5B">
        <w:tc>
          <w:tcPr>
            <w:tcW w:w="2960" w:type="dxa"/>
          </w:tcPr>
          <w:p w14:paraId="2DAABF9E" w14:textId="77777777" w:rsidR="003A0B5B" w:rsidRPr="00843214" w:rsidRDefault="003A0B5B" w:rsidP="003A0B5B">
            <w:pPr>
              <w:rPr>
                <w:color w:val="auto"/>
                <w:sz w:val="20"/>
                <w:szCs w:val="20"/>
                <w:lang w:val="en-AU"/>
              </w:rPr>
            </w:pPr>
            <w:r w:rsidRPr="00843214">
              <w:rPr>
                <w:color w:val="auto"/>
                <w:sz w:val="20"/>
                <w:szCs w:val="20"/>
                <w:lang w:val="en-AU"/>
              </w:rPr>
              <w:t>EVAW</w:t>
            </w:r>
          </w:p>
        </w:tc>
        <w:tc>
          <w:tcPr>
            <w:tcW w:w="2790" w:type="dxa"/>
          </w:tcPr>
          <w:p w14:paraId="0A85EA64" w14:textId="77777777" w:rsidR="003A0B5B" w:rsidRPr="00843214" w:rsidRDefault="003A0B5B" w:rsidP="003A0B5B">
            <w:pPr>
              <w:rPr>
                <w:color w:val="auto"/>
                <w:sz w:val="20"/>
                <w:szCs w:val="20"/>
                <w:lang w:val="en-AU"/>
              </w:rPr>
            </w:pPr>
            <w:r w:rsidRPr="00843214">
              <w:rPr>
                <w:color w:val="auto"/>
                <w:sz w:val="20"/>
                <w:szCs w:val="20"/>
                <w:lang w:val="en-AU"/>
              </w:rPr>
              <w:t>GEWE Strategy 2016 (Priority 3)</w:t>
            </w:r>
          </w:p>
          <w:p w14:paraId="4E7DB793" w14:textId="77777777" w:rsidR="003A0B5B" w:rsidRPr="00843214" w:rsidRDefault="003A0B5B" w:rsidP="003A0B5B">
            <w:pPr>
              <w:rPr>
                <w:color w:val="auto"/>
                <w:sz w:val="20"/>
                <w:szCs w:val="20"/>
                <w:lang w:val="en-AU"/>
              </w:rPr>
            </w:pPr>
            <w:r w:rsidRPr="00843214">
              <w:rPr>
                <w:color w:val="auto"/>
                <w:sz w:val="20"/>
                <w:szCs w:val="20"/>
                <w:lang w:val="en-AU"/>
              </w:rPr>
              <w:t>Partnerships for Recovery: Australia’s COVID-19 development response 2020 (health security and stability, inclusive of people with disabilities)</w:t>
            </w:r>
          </w:p>
        </w:tc>
        <w:tc>
          <w:tcPr>
            <w:tcW w:w="3256" w:type="dxa"/>
          </w:tcPr>
          <w:p w14:paraId="47F8538D"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1CAA1733" w14:textId="77777777" w:rsidR="003A0B5B" w:rsidRPr="00843214" w:rsidRDefault="003A0B5B" w:rsidP="003A0B5B">
            <w:pPr>
              <w:rPr>
                <w:color w:val="auto"/>
                <w:sz w:val="20"/>
                <w:szCs w:val="20"/>
                <w:lang w:val="en-AU"/>
              </w:rPr>
            </w:pPr>
            <w:r w:rsidRPr="00843214">
              <w:rPr>
                <w:color w:val="auto"/>
                <w:sz w:val="20"/>
                <w:szCs w:val="20"/>
                <w:lang w:val="en-AU"/>
              </w:rPr>
              <w:t>COVID-19 Response Framework</w:t>
            </w:r>
          </w:p>
          <w:p w14:paraId="4448C43D"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w:t>
            </w:r>
          </w:p>
          <w:p w14:paraId="369D214B" w14:textId="77777777" w:rsidR="003A0B5B" w:rsidRPr="00843214" w:rsidRDefault="003A0B5B" w:rsidP="003A0B5B">
            <w:pPr>
              <w:rPr>
                <w:color w:val="auto"/>
                <w:sz w:val="20"/>
                <w:szCs w:val="20"/>
                <w:lang w:val="en-AU"/>
              </w:rPr>
            </w:pPr>
          </w:p>
        </w:tc>
      </w:tr>
      <w:tr w:rsidR="00843214" w:rsidRPr="00843214" w14:paraId="7CB987E0" w14:textId="77777777" w:rsidTr="003A0B5B">
        <w:tc>
          <w:tcPr>
            <w:tcW w:w="2960" w:type="dxa"/>
          </w:tcPr>
          <w:p w14:paraId="03D49143" w14:textId="77777777" w:rsidR="003A0B5B" w:rsidRPr="00843214" w:rsidRDefault="003A0B5B" w:rsidP="003A0B5B">
            <w:pPr>
              <w:rPr>
                <w:color w:val="auto"/>
                <w:sz w:val="20"/>
                <w:szCs w:val="20"/>
                <w:lang w:val="en-AU"/>
              </w:rPr>
            </w:pPr>
            <w:r w:rsidRPr="00843214">
              <w:rPr>
                <w:color w:val="auto"/>
                <w:sz w:val="20"/>
                <w:szCs w:val="20"/>
                <w:lang w:val="en-AU"/>
              </w:rPr>
              <w:t>The strengthening and implementation of a comprehensive and dynamic set of global norms, policies and standards on gender equality and the empowerment of women</w:t>
            </w:r>
          </w:p>
        </w:tc>
        <w:tc>
          <w:tcPr>
            <w:tcW w:w="2790" w:type="dxa"/>
          </w:tcPr>
          <w:p w14:paraId="0CD55863" w14:textId="77777777" w:rsidR="003A0B5B" w:rsidRPr="00843214" w:rsidRDefault="003A0B5B" w:rsidP="003A0B5B">
            <w:pPr>
              <w:rPr>
                <w:color w:val="auto"/>
                <w:sz w:val="20"/>
                <w:szCs w:val="20"/>
                <w:lang w:val="en-AU"/>
              </w:rPr>
            </w:pPr>
            <w:r w:rsidRPr="00843214">
              <w:rPr>
                <w:color w:val="auto"/>
                <w:sz w:val="20"/>
                <w:szCs w:val="20"/>
                <w:lang w:val="en-AU"/>
              </w:rPr>
              <w:t>-</w:t>
            </w:r>
          </w:p>
        </w:tc>
        <w:tc>
          <w:tcPr>
            <w:tcW w:w="3256" w:type="dxa"/>
          </w:tcPr>
          <w:p w14:paraId="6FAC8569" w14:textId="77777777" w:rsidR="003A0B5B" w:rsidRPr="00843214" w:rsidRDefault="003A0B5B" w:rsidP="003A0B5B">
            <w:pPr>
              <w:rPr>
                <w:color w:val="auto"/>
                <w:sz w:val="20"/>
                <w:szCs w:val="20"/>
                <w:lang w:val="en-AU"/>
              </w:rPr>
            </w:pPr>
            <w:r w:rsidRPr="00843214">
              <w:rPr>
                <w:color w:val="auto"/>
                <w:sz w:val="20"/>
                <w:szCs w:val="20"/>
                <w:lang w:val="en-AU"/>
              </w:rPr>
              <w:t>Strategic Plan 2018-21</w:t>
            </w:r>
          </w:p>
          <w:p w14:paraId="4886F6DE" w14:textId="77777777" w:rsidR="003A0B5B" w:rsidRPr="00843214" w:rsidRDefault="003A0B5B" w:rsidP="003A0B5B">
            <w:pPr>
              <w:rPr>
                <w:color w:val="auto"/>
                <w:sz w:val="20"/>
                <w:szCs w:val="20"/>
                <w:lang w:val="en-AU"/>
              </w:rPr>
            </w:pPr>
            <w:r w:rsidRPr="00843214">
              <w:rPr>
                <w:color w:val="auto"/>
                <w:sz w:val="20"/>
                <w:szCs w:val="20"/>
                <w:lang w:val="en-AU"/>
              </w:rPr>
              <w:t>Draft Strategic Framework for the Strategic Plan 2022-2025* (framed as: 1) Gender responsive Normative and Institutional Frameworks and 2) Positive gender social norms)</w:t>
            </w:r>
          </w:p>
        </w:tc>
      </w:tr>
      <w:tr w:rsidR="00843214" w:rsidRPr="00843214" w14:paraId="6708CF7D" w14:textId="77777777" w:rsidTr="003A0B5B">
        <w:tc>
          <w:tcPr>
            <w:tcW w:w="2960" w:type="dxa"/>
          </w:tcPr>
          <w:p w14:paraId="749E856C" w14:textId="77777777" w:rsidR="003A0B5B" w:rsidRPr="00843214" w:rsidRDefault="003A0B5B" w:rsidP="003A0B5B">
            <w:pPr>
              <w:rPr>
                <w:color w:val="auto"/>
                <w:sz w:val="20"/>
                <w:szCs w:val="20"/>
                <w:lang w:val="en-AU"/>
              </w:rPr>
            </w:pPr>
            <w:r w:rsidRPr="00843214">
              <w:rPr>
                <w:color w:val="auto"/>
                <w:sz w:val="20"/>
                <w:szCs w:val="20"/>
                <w:lang w:val="en-AU"/>
              </w:rPr>
              <w:t>People support and practice the equal sharing of the burden of care</w:t>
            </w:r>
          </w:p>
        </w:tc>
        <w:tc>
          <w:tcPr>
            <w:tcW w:w="2790" w:type="dxa"/>
          </w:tcPr>
          <w:p w14:paraId="0071738E" w14:textId="77777777" w:rsidR="003A0B5B" w:rsidRPr="00843214" w:rsidRDefault="003A0B5B" w:rsidP="003A0B5B">
            <w:pPr>
              <w:rPr>
                <w:color w:val="auto"/>
                <w:sz w:val="20"/>
                <w:szCs w:val="20"/>
                <w:lang w:val="en-AU"/>
              </w:rPr>
            </w:pPr>
            <w:r w:rsidRPr="00843214">
              <w:rPr>
                <w:color w:val="auto"/>
                <w:sz w:val="20"/>
                <w:szCs w:val="20"/>
                <w:lang w:val="en-AU"/>
              </w:rPr>
              <w:t>-</w:t>
            </w:r>
          </w:p>
        </w:tc>
        <w:tc>
          <w:tcPr>
            <w:tcW w:w="3256" w:type="dxa"/>
          </w:tcPr>
          <w:p w14:paraId="1B6AB0AE" w14:textId="77777777" w:rsidR="003A0B5B" w:rsidRPr="00843214" w:rsidRDefault="003A0B5B" w:rsidP="003A0B5B">
            <w:pPr>
              <w:rPr>
                <w:color w:val="auto"/>
                <w:sz w:val="20"/>
                <w:szCs w:val="20"/>
                <w:lang w:val="en-AU"/>
              </w:rPr>
            </w:pPr>
            <w:r w:rsidRPr="00843214">
              <w:rPr>
                <w:color w:val="auto"/>
                <w:sz w:val="20"/>
                <w:szCs w:val="20"/>
                <w:lang w:val="en-AU"/>
              </w:rPr>
              <w:t>COVID-19 Response Framework</w:t>
            </w:r>
          </w:p>
        </w:tc>
      </w:tr>
      <w:tr w:rsidR="00843214" w:rsidRPr="00843214" w14:paraId="59890316" w14:textId="77777777" w:rsidTr="003A0B5B">
        <w:tc>
          <w:tcPr>
            <w:tcW w:w="2960" w:type="dxa"/>
          </w:tcPr>
          <w:p w14:paraId="580CD04E" w14:textId="77777777" w:rsidR="003A0B5B" w:rsidRPr="00843214" w:rsidRDefault="003A0B5B" w:rsidP="003A0B5B">
            <w:pPr>
              <w:rPr>
                <w:color w:val="auto"/>
                <w:sz w:val="20"/>
                <w:szCs w:val="20"/>
                <w:lang w:val="en-AU"/>
              </w:rPr>
            </w:pPr>
            <w:r w:rsidRPr="00843214">
              <w:rPr>
                <w:color w:val="auto"/>
                <w:sz w:val="20"/>
                <w:szCs w:val="20"/>
                <w:lang w:val="en-AU"/>
              </w:rPr>
              <w:lastRenderedPageBreak/>
              <w:t>Women and girls lead and meaningfully participate in COVID-19 response planning and decision-making</w:t>
            </w:r>
          </w:p>
        </w:tc>
        <w:tc>
          <w:tcPr>
            <w:tcW w:w="2790" w:type="dxa"/>
          </w:tcPr>
          <w:p w14:paraId="7EA0130E" w14:textId="77777777" w:rsidR="003A0B5B" w:rsidRPr="00843214" w:rsidRDefault="003A0B5B" w:rsidP="003A0B5B">
            <w:pPr>
              <w:rPr>
                <w:color w:val="auto"/>
                <w:sz w:val="20"/>
                <w:szCs w:val="20"/>
                <w:lang w:val="en-AU"/>
              </w:rPr>
            </w:pPr>
            <w:r w:rsidRPr="00843214">
              <w:rPr>
                <w:color w:val="auto"/>
                <w:sz w:val="20"/>
                <w:szCs w:val="20"/>
                <w:lang w:val="en-AU"/>
              </w:rPr>
              <w:t>-</w:t>
            </w:r>
          </w:p>
        </w:tc>
        <w:tc>
          <w:tcPr>
            <w:tcW w:w="3256" w:type="dxa"/>
          </w:tcPr>
          <w:p w14:paraId="5E07EE4E" w14:textId="77777777" w:rsidR="003A0B5B" w:rsidRPr="00843214" w:rsidRDefault="003A0B5B" w:rsidP="003A0B5B">
            <w:pPr>
              <w:rPr>
                <w:color w:val="auto"/>
                <w:sz w:val="20"/>
                <w:szCs w:val="20"/>
                <w:lang w:val="en-AU"/>
              </w:rPr>
            </w:pPr>
            <w:r w:rsidRPr="00843214">
              <w:rPr>
                <w:color w:val="auto"/>
                <w:sz w:val="20"/>
                <w:szCs w:val="20"/>
                <w:lang w:val="en-AU"/>
              </w:rPr>
              <w:t>COVID-19 Response Framework</w:t>
            </w:r>
          </w:p>
          <w:p w14:paraId="714E07AA" w14:textId="77777777" w:rsidR="003A0B5B" w:rsidRPr="00843214" w:rsidRDefault="003A0B5B" w:rsidP="003A0B5B">
            <w:pPr>
              <w:rPr>
                <w:color w:val="auto"/>
                <w:sz w:val="20"/>
                <w:szCs w:val="20"/>
                <w:lang w:val="en-AU"/>
              </w:rPr>
            </w:pPr>
          </w:p>
        </w:tc>
      </w:tr>
      <w:tr w:rsidR="00843214" w:rsidRPr="00843214" w14:paraId="0DE02E9C" w14:textId="77777777" w:rsidTr="003A0B5B">
        <w:tc>
          <w:tcPr>
            <w:tcW w:w="2960" w:type="dxa"/>
          </w:tcPr>
          <w:p w14:paraId="7848466B" w14:textId="77777777" w:rsidR="003A0B5B" w:rsidRPr="00843214" w:rsidRDefault="003A0B5B" w:rsidP="003A0B5B">
            <w:pPr>
              <w:rPr>
                <w:color w:val="auto"/>
                <w:sz w:val="20"/>
                <w:szCs w:val="20"/>
                <w:lang w:val="en-AU"/>
              </w:rPr>
            </w:pPr>
            <w:r w:rsidRPr="00843214">
              <w:rPr>
                <w:color w:val="auto"/>
                <w:sz w:val="20"/>
                <w:szCs w:val="20"/>
                <w:lang w:val="en-AU"/>
              </w:rPr>
              <w:t xml:space="preserve">Gender is mainstreamed into national, </w:t>
            </w:r>
            <w:proofErr w:type="gramStart"/>
            <w:r w:rsidRPr="00843214">
              <w:rPr>
                <w:color w:val="auto"/>
                <w:sz w:val="20"/>
                <w:szCs w:val="20"/>
                <w:lang w:val="en-AU"/>
              </w:rPr>
              <w:t>regional</w:t>
            </w:r>
            <w:proofErr w:type="gramEnd"/>
            <w:r w:rsidRPr="00843214">
              <w:rPr>
                <w:color w:val="auto"/>
                <w:sz w:val="20"/>
                <w:szCs w:val="20"/>
                <w:lang w:val="en-AU"/>
              </w:rPr>
              <w:t xml:space="preserve"> and global efforts including through gender data and coordination mechanisms</w:t>
            </w:r>
          </w:p>
        </w:tc>
        <w:tc>
          <w:tcPr>
            <w:tcW w:w="2790" w:type="dxa"/>
          </w:tcPr>
          <w:p w14:paraId="07C27880" w14:textId="77777777" w:rsidR="003A0B5B" w:rsidRPr="00843214" w:rsidRDefault="003A0B5B" w:rsidP="003A0B5B">
            <w:pPr>
              <w:rPr>
                <w:color w:val="auto"/>
                <w:sz w:val="20"/>
                <w:szCs w:val="20"/>
                <w:lang w:val="en-AU"/>
              </w:rPr>
            </w:pPr>
            <w:r w:rsidRPr="00843214">
              <w:rPr>
                <w:color w:val="auto"/>
                <w:sz w:val="20"/>
                <w:szCs w:val="20"/>
                <w:lang w:val="en-AU"/>
              </w:rPr>
              <w:t>-</w:t>
            </w:r>
          </w:p>
        </w:tc>
        <w:tc>
          <w:tcPr>
            <w:tcW w:w="3256" w:type="dxa"/>
          </w:tcPr>
          <w:p w14:paraId="4A958344" w14:textId="77777777" w:rsidR="003A0B5B" w:rsidRPr="00843214" w:rsidRDefault="003A0B5B" w:rsidP="003A0B5B">
            <w:pPr>
              <w:rPr>
                <w:color w:val="auto"/>
                <w:sz w:val="20"/>
                <w:szCs w:val="20"/>
                <w:lang w:val="en-AU"/>
              </w:rPr>
            </w:pPr>
            <w:r w:rsidRPr="00843214">
              <w:rPr>
                <w:color w:val="auto"/>
                <w:sz w:val="20"/>
                <w:szCs w:val="20"/>
                <w:lang w:val="en-AU"/>
              </w:rPr>
              <w:t>COVID-19 Response Framework</w:t>
            </w:r>
          </w:p>
          <w:p w14:paraId="64D9AD74" w14:textId="77777777" w:rsidR="003A0B5B" w:rsidRPr="00843214" w:rsidRDefault="003A0B5B" w:rsidP="003A0B5B">
            <w:pPr>
              <w:rPr>
                <w:color w:val="auto"/>
                <w:sz w:val="20"/>
                <w:szCs w:val="20"/>
                <w:lang w:val="en-AU"/>
              </w:rPr>
            </w:pPr>
          </w:p>
        </w:tc>
      </w:tr>
    </w:tbl>
    <w:p w14:paraId="0D5D4D13" w14:textId="2BA33A48" w:rsidR="00552C66" w:rsidRPr="00843214" w:rsidRDefault="00552C66" w:rsidP="00935940">
      <w:pPr>
        <w:rPr>
          <w:color w:val="auto"/>
          <w:lang w:eastAsia="en-GB"/>
        </w:rPr>
      </w:pPr>
    </w:p>
    <w:p w14:paraId="0377F260" w14:textId="5061297D" w:rsidR="003A0B5B" w:rsidRPr="00843214" w:rsidRDefault="003A0B5B" w:rsidP="00C33499">
      <w:pPr>
        <w:rPr>
          <w:color w:val="auto"/>
        </w:rPr>
      </w:pPr>
    </w:p>
    <w:sectPr w:rsidR="003A0B5B" w:rsidRPr="00843214" w:rsidSect="00C242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89ADC" w14:textId="77777777" w:rsidR="008030BA" w:rsidRDefault="008030BA" w:rsidP="00437C2B">
      <w:pPr>
        <w:spacing w:after="0"/>
      </w:pPr>
      <w:r>
        <w:separator/>
      </w:r>
    </w:p>
  </w:endnote>
  <w:endnote w:type="continuationSeparator" w:id="0">
    <w:p w14:paraId="45895CCD" w14:textId="77777777" w:rsidR="008030BA" w:rsidRDefault="008030BA" w:rsidP="00437C2B">
      <w:pPr>
        <w:spacing w:after="0"/>
      </w:pPr>
      <w:r>
        <w:continuationSeparator/>
      </w:r>
    </w:p>
  </w:endnote>
  <w:endnote w:type="continuationNotice" w:id="1">
    <w:p w14:paraId="15614BA1" w14:textId="77777777" w:rsidR="008030BA" w:rsidRDefault="008030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998921"/>
      <w:docPartObj>
        <w:docPartGallery w:val="Page Numbers (Bottom of Page)"/>
        <w:docPartUnique/>
      </w:docPartObj>
    </w:sdtPr>
    <w:sdtEndPr/>
    <w:sdtContent>
      <w:sdt>
        <w:sdtPr>
          <w:id w:val="-1769616900"/>
          <w:docPartObj>
            <w:docPartGallery w:val="Page Numbers (Top of Page)"/>
            <w:docPartUnique/>
          </w:docPartObj>
        </w:sdtPr>
        <w:sdtEndPr/>
        <w:sdtContent>
          <w:p w14:paraId="65AA1A10" w14:textId="77777777" w:rsidR="00843214" w:rsidRDefault="00843214">
            <w:pP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9B6BAE8" w14:textId="77777777" w:rsidR="00843214" w:rsidRDefault="008432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52253088"/>
      <w:docPartObj>
        <w:docPartGallery w:val="Page Numbers (Bottom of Page)"/>
        <w:docPartUnique/>
      </w:docPartObj>
    </w:sdtPr>
    <w:sdtEndPr/>
    <w:sdtContent>
      <w:sdt>
        <w:sdtPr>
          <w:rPr>
            <w:color w:val="auto"/>
          </w:rPr>
          <w:id w:val="389089794"/>
          <w:docPartObj>
            <w:docPartGallery w:val="Page Numbers (Top of Page)"/>
            <w:docPartUnique/>
          </w:docPartObj>
        </w:sdtPr>
        <w:sdtEndPr/>
        <w:sdtContent>
          <w:p w14:paraId="55053DB2" w14:textId="71737FB5" w:rsidR="00843214" w:rsidRDefault="00843214" w:rsidP="00BF4D4C">
            <w:pPr>
              <w:pStyle w:val="Footer"/>
              <w:jc w:val="right"/>
            </w:pPr>
            <w:r w:rsidRPr="006C2C7B">
              <w:rPr>
                <w:color w:val="auto"/>
              </w:rPr>
              <w:t xml:space="preserve">Page </w:t>
            </w:r>
            <w:r w:rsidRPr="006C2C7B">
              <w:rPr>
                <w:b/>
                <w:bCs/>
                <w:color w:val="auto"/>
                <w:sz w:val="24"/>
              </w:rPr>
              <w:fldChar w:fldCharType="begin"/>
            </w:r>
            <w:r w:rsidRPr="006C2C7B">
              <w:rPr>
                <w:b/>
                <w:bCs/>
                <w:color w:val="auto"/>
              </w:rPr>
              <w:instrText xml:space="preserve"> PAGE </w:instrText>
            </w:r>
            <w:r w:rsidRPr="006C2C7B">
              <w:rPr>
                <w:b/>
                <w:bCs/>
                <w:color w:val="auto"/>
                <w:sz w:val="24"/>
              </w:rPr>
              <w:fldChar w:fldCharType="separate"/>
            </w:r>
            <w:r w:rsidRPr="006C2C7B">
              <w:rPr>
                <w:b/>
                <w:bCs/>
                <w:noProof/>
                <w:color w:val="auto"/>
              </w:rPr>
              <w:t>2</w:t>
            </w:r>
            <w:r w:rsidRPr="006C2C7B">
              <w:rPr>
                <w:b/>
                <w:bCs/>
                <w:color w:val="auto"/>
                <w:sz w:val="24"/>
              </w:rPr>
              <w:fldChar w:fldCharType="end"/>
            </w:r>
            <w:r w:rsidRPr="006C2C7B">
              <w:rPr>
                <w:color w:val="auto"/>
              </w:rPr>
              <w:t xml:space="preserve"> of </w:t>
            </w:r>
            <w:r w:rsidRPr="006C2C7B">
              <w:rPr>
                <w:b/>
                <w:bCs/>
                <w:color w:val="auto"/>
                <w:sz w:val="24"/>
              </w:rPr>
              <w:fldChar w:fldCharType="begin"/>
            </w:r>
            <w:r w:rsidRPr="006C2C7B">
              <w:rPr>
                <w:b/>
                <w:bCs/>
                <w:color w:val="auto"/>
              </w:rPr>
              <w:instrText xml:space="preserve"> NUMPAGES  </w:instrText>
            </w:r>
            <w:r w:rsidRPr="006C2C7B">
              <w:rPr>
                <w:b/>
                <w:bCs/>
                <w:color w:val="auto"/>
                <w:sz w:val="24"/>
              </w:rPr>
              <w:fldChar w:fldCharType="separate"/>
            </w:r>
            <w:r w:rsidRPr="006C2C7B">
              <w:rPr>
                <w:b/>
                <w:bCs/>
                <w:noProof/>
                <w:color w:val="auto"/>
              </w:rPr>
              <w:t>2</w:t>
            </w:r>
            <w:r w:rsidRPr="006C2C7B">
              <w:rPr>
                <w:b/>
                <w:bCs/>
                <w:color w:val="auto"/>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040980513"/>
      <w:docPartObj>
        <w:docPartGallery w:val="Page Numbers (Bottom of Page)"/>
        <w:docPartUnique/>
      </w:docPartObj>
    </w:sdtPr>
    <w:sdtEndPr/>
    <w:sdtContent>
      <w:sdt>
        <w:sdtPr>
          <w:rPr>
            <w:color w:val="auto"/>
          </w:rPr>
          <w:id w:val="-90940479"/>
          <w:docPartObj>
            <w:docPartGallery w:val="Page Numbers (Top of Page)"/>
            <w:docPartUnique/>
          </w:docPartObj>
        </w:sdtPr>
        <w:sdtEndPr/>
        <w:sdtContent>
          <w:p w14:paraId="20F9C5BE" w14:textId="77777777" w:rsidR="00843214" w:rsidRDefault="00843214">
            <w:pPr>
              <w:pStyle w:val="Footer"/>
              <w:jc w:val="right"/>
            </w:pPr>
            <w:r w:rsidRPr="006C2C7B">
              <w:rPr>
                <w:color w:val="auto"/>
              </w:rPr>
              <w:t xml:space="preserve">Page </w:t>
            </w:r>
            <w:r w:rsidRPr="006C2C7B">
              <w:rPr>
                <w:b/>
                <w:bCs/>
                <w:color w:val="auto"/>
                <w:sz w:val="24"/>
              </w:rPr>
              <w:fldChar w:fldCharType="begin"/>
            </w:r>
            <w:r w:rsidRPr="006C2C7B">
              <w:rPr>
                <w:b/>
                <w:bCs/>
                <w:color w:val="auto"/>
              </w:rPr>
              <w:instrText xml:space="preserve"> PAGE </w:instrText>
            </w:r>
            <w:r w:rsidRPr="006C2C7B">
              <w:rPr>
                <w:b/>
                <w:bCs/>
                <w:color w:val="auto"/>
                <w:sz w:val="24"/>
              </w:rPr>
              <w:fldChar w:fldCharType="separate"/>
            </w:r>
            <w:r w:rsidRPr="006C2C7B">
              <w:rPr>
                <w:b/>
                <w:bCs/>
                <w:noProof/>
                <w:color w:val="auto"/>
              </w:rPr>
              <w:t>2</w:t>
            </w:r>
            <w:r w:rsidRPr="006C2C7B">
              <w:rPr>
                <w:b/>
                <w:bCs/>
                <w:color w:val="auto"/>
                <w:sz w:val="24"/>
              </w:rPr>
              <w:fldChar w:fldCharType="end"/>
            </w:r>
            <w:r w:rsidRPr="006C2C7B">
              <w:rPr>
                <w:color w:val="auto"/>
              </w:rPr>
              <w:t xml:space="preserve"> of </w:t>
            </w:r>
            <w:r w:rsidRPr="006C2C7B">
              <w:rPr>
                <w:b/>
                <w:bCs/>
                <w:color w:val="auto"/>
                <w:sz w:val="24"/>
              </w:rPr>
              <w:fldChar w:fldCharType="begin"/>
            </w:r>
            <w:r w:rsidRPr="006C2C7B">
              <w:rPr>
                <w:b/>
                <w:bCs/>
                <w:color w:val="auto"/>
              </w:rPr>
              <w:instrText xml:space="preserve"> NUMPAGES  </w:instrText>
            </w:r>
            <w:r w:rsidRPr="006C2C7B">
              <w:rPr>
                <w:b/>
                <w:bCs/>
                <w:color w:val="auto"/>
                <w:sz w:val="24"/>
              </w:rPr>
              <w:fldChar w:fldCharType="separate"/>
            </w:r>
            <w:r w:rsidRPr="006C2C7B">
              <w:rPr>
                <w:b/>
                <w:bCs/>
                <w:noProof/>
                <w:color w:val="auto"/>
              </w:rPr>
              <w:t>2</w:t>
            </w:r>
            <w:r w:rsidRPr="006C2C7B">
              <w:rPr>
                <w:b/>
                <w:bCs/>
                <w:color w:val="auto"/>
                <w:sz w:val="24"/>
              </w:rPr>
              <w:fldChar w:fldCharType="end"/>
            </w:r>
          </w:p>
        </w:sdtContent>
      </w:sdt>
    </w:sdtContent>
  </w:sdt>
  <w:p w14:paraId="2923CF8F" w14:textId="77777777" w:rsidR="00843214" w:rsidRDefault="00843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6AE52" w14:textId="77777777" w:rsidR="008030BA" w:rsidRDefault="008030BA" w:rsidP="00437C2B">
      <w:pPr>
        <w:spacing w:after="0"/>
      </w:pPr>
      <w:r>
        <w:separator/>
      </w:r>
    </w:p>
  </w:footnote>
  <w:footnote w:type="continuationSeparator" w:id="0">
    <w:p w14:paraId="22BB40D7" w14:textId="77777777" w:rsidR="008030BA" w:rsidRDefault="008030BA" w:rsidP="00437C2B">
      <w:pPr>
        <w:spacing w:after="0"/>
      </w:pPr>
      <w:r>
        <w:continuationSeparator/>
      </w:r>
    </w:p>
  </w:footnote>
  <w:footnote w:type="continuationNotice" w:id="1">
    <w:p w14:paraId="6DC6094F" w14:textId="77777777" w:rsidR="008030BA" w:rsidRDefault="008030BA">
      <w:pPr>
        <w:spacing w:after="0"/>
      </w:pPr>
    </w:p>
  </w:footnote>
  <w:footnote w:id="2">
    <w:p w14:paraId="37398976" w14:textId="77777777" w:rsidR="00843214" w:rsidRPr="00182A39" w:rsidRDefault="00843214" w:rsidP="0026745C">
      <w:pPr>
        <w:spacing w:after="0"/>
        <w:rPr>
          <w:sz w:val="15"/>
          <w:szCs w:val="15"/>
          <w:lang w:eastAsia="en-GB"/>
        </w:rPr>
      </w:pPr>
      <w:r w:rsidRPr="00182A39">
        <w:rPr>
          <w:rFonts w:eastAsia="Calibri"/>
          <w:color w:val="auto"/>
          <w:sz w:val="15"/>
          <w:szCs w:val="15"/>
        </w:rPr>
        <w:footnoteRef/>
      </w:r>
      <w:r w:rsidRPr="00182A39">
        <w:rPr>
          <w:rFonts w:ascii="Georgia" w:eastAsia="Calibri" w:hAnsi="Georgia"/>
          <w:color w:val="auto"/>
          <w:sz w:val="15"/>
          <w:szCs w:val="15"/>
        </w:rPr>
        <w:t xml:space="preserve"> </w:t>
      </w:r>
      <w:r w:rsidRPr="00182A39">
        <w:rPr>
          <w:sz w:val="15"/>
          <w:szCs w:val="15"/>
          <w:lang w:eastAsia="en-GB"/>
        </w:rPr>
        <w:t xml:space="preserve">The SPF 2016-2020 includes an extension to December 2021, which allows for alignment of the next SPF with UN Women’s Strategic Plan 2022-2025. </w:t>
      </w:r>
    </w:p>
  </w:footnote>
  <w:footnote w:id="3">
    <w:p w14:paraId="6650F6F8" w14:textId="0DF530EC" w:rsidR="00843214" w:rsidRPr="005858D4" w:rsidRDefault="00843214" w:rsidP="0026745C">
      <w:pPr>
        <w:spacing w:after="0"/>
      </w:pPr>
      <w:r w:rsidRPr="00182A39">
        <w:rPr>
          <w:rFonts w:eastAsia="Calibri"/>
          <w:color w:val="auto"/>
          <w:sz w:val="15"/>
          <w:szCs w:val="15"/>
        </w:rPr>
        <w:footnoteRef/>
      </w:r>
      <w:r w:rsidRPr="00182A39">
        <w:rPr>
          <w:rFonts w:eastAsia="Calibri"/>
          <w:color w:val="auto"/>
          <w:sz w:val="15"/>
          <w:szCs w:val="15"/>
        </w:rPr>
        <w:t xml:space="preserve"> </w:t>
      </w:r>
      <w:r w:rsidRPr="00182A39">
        <w:rPr>
          <w:sz w:val="15"/>
          <w:szCs w:val="15"/>
          <w:lang w:eastAsia="en-GB"/>
        </w:rPr>
        <w:t>Rather than conducting a joint evaluation as described in the original Terms of Reference, the Review team, DFAT and UN Women determined that a review is more appropriate given the emphasis on learning, the process orientation, and the limited time available to conduct the exercise.</w:t>
      </w:r>
    </w:p>
  </w:footnote>
  <w:footnote w:id="4">
    <w:p w14:paraId="3F7E6108" w14:textId="5270D3E3" w:rsidR="00843214" w:rsidRPr="00182A39" w:rsidRDefault="00843214" w:rsidP="0026745C">
      <w:pPr>
        <w:spacing w:after="0"/>
        <w:rPr>
          <w:sz w:val="15"/>
          <w:szCs w:val="15"/>
          <w:lang w:eastAsia="en-GB"/>
        </w:rPr>
      </w:pPr>
      <w:r w:rsidRPr="00182A39">
        <w:rPr>
          <w:rFonts w:eastAsia="Calibri"/>
          <w:color w:val="auto"/>
          <w:sz w:val="15"/>
          <w:szCs w:val="15"/>
        </w:rPr>
        <w:footnoteRef/>
      </w:r>
      <w:r w:rsidRPr="00182A39">
        <w:rPr>
          <w:rFonts w:eastAsia="Calibri"/>
          <w:color w:val="auto"/>
          <w:sz w:val="15"/>
          <w:szCs w:val="15"/>
        </w:rPr>
        <w:t xml:space="preserve"> </w:t>
      </w:r>
      <w:r w:rsidRPr="00182A39">
        <w:rPr>
          <w:sz w:val="15"/>
          <w:szCs w:val="15"/>
          <w:lang w:eastAsia="en-GB"/>
        </w:rPr>
        <w:t xml:space="preserve">The SPF 2016-2020 includes an extension to December 2021, which allows for alignment of the next SPF with UN Women’s Strategic Plan 2022-2025. </w:t>
      </w:r>
    </w:p>
  </w:footnote>
  <w:footnote w:id="5">
    <w:p w14:paraId="266B3FA6" w14:textId="75E2EEE2" w:rsidR="00843214" w:rsidRPr="00182A39" w:rsidRDefault="00843214" w:rsidP="0026745C">
      <w:pPr>
        <w:spacing w:after="0"/>
        <w:rPr>
          <w:sz w:val="15"/>
          <w:szCs w:val="15"/>
          <w:lang w:eastAsia="en-GB"/>
        </w:rPr>
      </w:pPr>
      <w:r w:rsidRPr="00182A39">
        <w:rPr>
          <w:rFonts w:eastAsia="Calibri"/>
          <w:color w:val="auto"/>
          <w:sz w:val="15"/>
          <w:szCs w:val="15"/>
        </w:rPr>
        <w:footnoteRef/>
      </w:r>
      <w:r w:rsidRPr="00182A39">
        <w:rPr>
          <w:rFonts w:eastAsia="Calibri"/>
          <w:color w:val="auto"/>
          <w:sz w:val="15"/>
          <w:szCs w:val="15"/>
        </w:rPr>
        <w:t xml:space="preserve"> </w:t>
      </w:r>
      <w:r w:rsidRPr="00182A39">
        <w:rPr>
          <w:sz w:val="15"/>
          <w:szCs w:val="15"/>
          <w:lang w:eastAsia="en-GB"/>
        </w:rPr>
        <w:t>The balance of effort across the review focus areas is weighted as follows: 1) Assessment of progress against the SPF 50%, 2) Changing context for gender equality and implications 30%, 3) Partnership 10% and 4) Future funding 10%</w:t>
      </w:r>
    </w:p>
  </w:footnote>
  <w:footnote w:id="6">
    <w:p w14:paraId="54419E6A" w14:textId="3EF1A190" w:rsidR="00843214" w:rsidRPr="005858D4" w:rsidRDefault="00843214" w:rsidP="0026745C">
      <w:pPr>
        <w:spacing w:after="0"/>
      </w:pPr>
      <w:r w:rsidRPr="00182A39">
        <w:rPr>
          <w:rFonts w:eastAsia="Calibri"/>
          <w:color w:val="auto"/>
          <w:sz w:val="15"/>
          <w:szCs w:val="15"/>
        </w:rPr>
        <w:footnoteRef/>
      </w:r>
      <w:r w:rsidRPr="00182A39">
        <w:rPr>
          <w:rFonts w:eastAsia="Calibri"/>
          <w:color w:val="auto"/>
          <w:sz w:val="15"/>
          <w:szCs w:val="15"/>
        </w:rPr>
        <w:t xml:space="preserve"> </w:t>
      </w:r>
      <w:r w:rsidRPr="00182A39">
        <w:rPr>
          <w:sz w:val="15"/>
          <w:szCs w:val="15"/>
          <w:lang w:eastAsia="en-GB"/>
        </w:rPr>
        <w:t>Rather than conducting a joint evaluation as described in the original Terms of Reference, the Review team, DFAT and UN Women determined that a review is more appropriate given the emphasis on learning, the process orientation, and the limited time available to conduct the exercise.</w:t>
      </w:r>
    </w:p>
  </w:footnote>
  <w:footnote w:id="7">
    <w:p w14:paraId="6D9E1D52" w14:textId="301A0DAE" w:rsidR="00843214" w:rsidRPr="00182A39" w:rsidRDefault="00843214" w:rsidP="0026745C">
      <w:pPr>
        <w:pStyle w:val="FootnoteText"/>
        <w:rPr>
          <w:szCs w:val="15"/>
        </w:rPr>
      </w:pPr>
      <w:r w:rsidRPr="00182A39">
        <w:rPr>
          <w:lang w:val="en-US"/>
        </w:rPr>
        <w:footnoteRef/>
      </w:r>
      <w:r w:rsidRPr="00182A39">
        <w:rPr>
          <w:lang w:val="en-US"/>
        </w:rPr>
        <w:t xml:space="preserve"> </w:t>
      </w:r>
      <w:r w:rsidRPr="00182A39">
        <w:rPr>
          <w:szCs w:val="15"/>
        </w:rPr>
        <w:t xml:space="preserve">https://undocs.org/en/UNW/2020/9  </w:t>
      </w:r>
    </w:p>
  </w:footnote>
  <w:footnote w:id="8">
    <w:p w14:paraId="286D22E3" w14:textId="59964D72" w:rsidR="00843214" w:rsidRPr="00182A39" w:rsidRDefault="00843214" w:rsidP="0026745C">
      <w:pPr>
        <w:pStyle w:val="FootnoteText"/>
        <w:rPr>
          <w:szCs w:val="15"/>
          <w:lang w:val="en-AU"/>
        </w:rPr>
      </w:pPr>
      <w:r w:rsidRPr="00182A39">
        <w:rPr>
          <w:lang w:val="en-US"/>
        </w:rPr>
        <w:footnoteRef/>
      </w:r>
      <w:r w:rsidRPr="00182A39">
        <w:rPr>
          <w:lang w:val="en-US"/>
        </w:rPr>
        <w:t xml:space="preserve"> </w:t>
      </w:r>
      <w:r w:rsidRPr="00182A39">
        <w:rPr>
          <w:szCs w:val="15"/>
        </w:rPr>
        <w:t xml:space="preserve">The Review matrix (Annex </w:t>
      </w:r>
      <w:r w:rsidRPr="00182A39">
        <w:rPr>
          <w:szCs w:val="15"/>
          <w:lang w:val="en-AU"/>
        </w:rPr>
        <w:t>1</w:t>
      </w:r>
      <w:r w:rsidRPr="00182A39">
        <w:rPr>
          <w:szCs w:val="15"/>
        </w:rPr>
        <w:t>) includes indicative alignment to the OECD DAC Criteria. While the OECD DAC is implicit in the Review it is not be directly addressed in the report given the nature of the assessment as a review rather than an evaluation.</w:t>
      </w:r>
    </w:p>
  </w:footnote>
  <w:footnote w:id="9">
    <w:p w14:paraId="2CBD3F3D" w14:textId="2F669F63" w:rsidR="00843214" w:rsidRPr="00256DAA" w:rsidRDefault="00843214" w:rsidP="0026745C">
      <w:pPr>
        <w:pStyle w:val="FootnoteText"/>
        <w:rPr>
          <w:lang w:val="en-AU"/>
        </w:rPr>
      </w:pPr>
      <w:r w:rsidRPr="00182A39">
        <w:rPr>
          <w:lang w:val="en-US"/>
        </w:rPr>
        <w:footnoteRef/>
      </w:r>
      <w:r w:rsidRPr="00182A39">
        <w:rPr>
          <w:lang w:val="en-US"/>
        </w:rPr>
        <w:t xml:space="preserve"> </w:t>
      </w:r>
      <w:r w:rsidRPr="00182A39">
        <w:rPr>
          <w:szCs w:val="15"/>
        </w:rPr>
        <w:t>1) Afghanistan Ending Violence Against Women, 2) Pacific Women Shaping Pacific Development (Markets for Change, Pacific Partnership</w:t>
      </w:r>
      <w:r w:rsidRPr="005B319B">
        <w:rPr>
          <w:szCs w:val="15"/>
        </w:rPr>
        <w:t xml:space="preserve"> to End Violence against Women, UN Women global initiative Safe Transport/Safe Cities in Papua New Guinea, Women Make the Change in Papua New Guinea (women in politics), PNG Gender and Protection Cluster), 3) Syria Package – Resilience Building (Jordan), and 4) Global Joint Program - Violence Against Women</w:t>
      </w:r>
      <w:r w:rsidRPr="005B319B">
        <w:rPr>
          <w:szCs w:val="15"/>
          <w:lang w:val="en-AU"/>
        </w:rPr>
        <w:t>.</w:t>
      </w:r>
    </w:p>
  </w:footnote>
  <w:footnote w:id="10">
    <w:p w14:paraId="29FD4E8B" w14:textId="052D1AA2" w:rsidR="00843214" w:rsidRPr="00B02F75" w:rsidRDefault="00843214" w:rsidP="0026745C">
      <w:pPr>
        <w:pStyle w:val="FootnoteText"/>
        <w:rPr>
          <w:szCs w:val="15"/>
          <w:lang w:val="en-US"/>
        </w:rPr>
      </w:pPr>
      <w:r w:rsidRPr="00182A39">
        <w:rPr>
          <w:lang w:val="en-US"/>
        </w:rPr>
        <w:footnoteRef/>
      </w:r>
      <w:r w:rsidRPr="00182A39">
        <w:rPr>
          <w:lang w:val="en-US"/>
        </w:rPr>
        <w:t xml:space="preserve"> </w:t>
      </w:r>
      <w:r w:rsidRPr="00B02F75">
        <w:rPr>
          <w:szCs w:val="15"/>
          <w:lang w:val="en-AU"/>
        </w:rPr>
        <w:t>D</w:t>
      </w:r>
      <w:r w:rsidRPr="00B02F75">
        <w:rPr>
          <w:szCs w:val="15"/>
        </w:rPr>
        <w:t>23</w:t>
      </w:r>
      <w:r w:rsidRPr="00B02F75">
        <w:rPr>
          <w:szCs w:val="15"/>
          <w:lang w:val="en-AU"/>
        </w:rPr>
        <w:t>:2,</w:t>
      </w:r>
      <w:r w:rsidRPr="00B02F75">
        <w:rPr>
          <w:szCs w:val="15"/>
          <w:lang w:val="en-US"/>
        </w:rPr>
        <w:t xml:space="preserve"> D17:2</w:t>
      </w:r>
    </w:p>
  </w:footnote>
  <w:footnote w:id="11">
    <w:p w14:paraId="36DDAC27" w14:textId="77777777" w:rsidR="00843214" w:rsidRPr="008E5C1D" w:rsidRDefault="00843214" w:rsidP="008E5C1D">
      <w:pPr>
        <w:pStyle w:val="FootnoteText"/>
      </w:pPr>
      <w:r w:rsidRPr="008E5C1D">
        <w:rPr>
          <w:rStyle w:val="FootnoteReference"/>
          <w:vertAlign w:val="baseline"/>
        </w:rPr>
        <w:footnoteRef/>
      </w:r>
      <w:r w:rsidRPr="008E5C1D">
        <w:t xml:space="preserve"> https://undocs.org/en/UNW/2020/9</w:t>
      </w:r>
    </w:p>
  </w:footnote>
  <w:footnote w:id="12">
    <w:p w14:paraId="4FE143AA" w14:textId="0763A089" w:rsidR="00843214" w:rsidRPr="008E5C1D" w:rsidRDefault="00843214" w:rsidP="008E5C1D">
      <w:pPr>
        <w:pStyle w:val="FootnoteText"/>
      </w:pPr>
      <w:r w:rsidRPr="008E5C1D">
        <w:rPr>
          <w:rStyle w:val="FootnoteReference"/>
          <w:vertAlign w:val="baseline"/>
        </w:rPr>
        <w:footnoteRef/>
      </w:r>
      <w:r w:rsidRPr="008E5C1D">
        <w:t xml:space="preserve"> D1, D55, D57, D61, D63, D69, D71, Interviews</w:t>
      </w:r>
    </w:p>
  </w:footnote>
  <w:footnote w:id="13">
    <w:p w14:paraId="724762C6" w14:textId="22AFB58D" w:rsidR="00843214" w:rsidRPr="008E5C1D" w:rsidRDefault="00843214" w:rsidP="008E5C1D">
      <w:pPr>
        <w:pStyle w:val="FootnoteText"/>
      </w:pPr>
      <w:r w:rsidRPr="008E5C1D">
        <w:footnoteRef/>
      </w:r>
      <w:r w:rsidRPr="008E5C1D">
        <w:t xml:space="preserve"> Under which falls the Essential Services Package for Women and Girls Subject to Violence</w:t>
      </w:r>
    </w:p>
  </w:footnote>
  <w:footnote w:id="14">
    <w:p w14:paraId="3B94CE75" w14:textId="12322C77" w:rsidR="00843214" w:rsidRPr="008E5C1D" w:rsidRDefault="00843214" w:rsidP="008E5C1D">
      <w:pPr>
        <w:pStyle w:val="FootnoteText"/>
      </w:pPr>
      <w:r w:rsidRPr="008E5C1D">
        <w:footnoteRef/>
      </w:r>
      <w:r w:rsidRPr="008E5C1D">
        <w:t xml:space="preserve"> D24:4, D24:5. Partnerships between UN Women and UNFPA, UN Office on Drugs and Crime, World Health Organisation, ILO, UNDP, UNICEF, UNDRR, UNHCR, International Organisation for Migration, UN Economic and Social Commission for Asia and the Pacific, UN Statistical Institute for Asia and the Pacific, Food and Agriculture Organisation, UN Environment Program, International Union for Conservation of Nature, World Food Program, International Fund for Agriculture Development, UN Volunteers and World Bank </w:t>
      </w:r>
    </w:p>
  </w:footnote>
  <w:footnote w:id="15">
    <w:p w14:paraId="4B2171FC" w14:textId="305EE11D" w:rsidR="00843214" w:rsidRPr="008E5C1D" w:rsidRDefault="00843214" w:rsidP="008E5C1D">
      <w:pPr>
        <w:pStyle w:val="FootnoteText"/>
      </w:pPr>
      <w:r w:rsidRPr="008E5C1D">
        <w:footnoteRef/>
      </w:r>
      <w:r w:rsidRPr="008E5C1D">
        <w:t xml:space="preserve"> For example, in DRR, UN Women has advanced partnerships with the UN Office for DRR (UNDRR), UNFPA and with the Sendai Gender Stakeholder Group where all actors pursue linked agendas to ensure gender-responsive DRR policies.</w:t>
      </w:r>
    </w:p>
  </w:footnote>
  <w:footnote w:id="16">
    <w:p w14:paraId="755D10CE" w14:textId="38742DDE" w:rsidR="00843214" w:rsidRPr="008E5C1D" w:rsidRDefault="00843214" w:rsidP="008E5C1D">
      <w:pPr>
        <w:pStyle w:val="FootnoteText"/>
      </w:pPr>
      <w:r w:rsidRPr="008E5C1D">
        <w:rPr>
          <w:rStyle w:val="FootnoteReference"/>
          <w:vertAlign w:val="baseline"/>
        </w:rPr>
        <w:footnoteRef/>
      </w:r>
      <w:r w:rsidRPr="008E5C1D">
        <w:t xml:space="preserve"> D3:15</w:t>
      </w:r>
    </w:p>
  </w:footnote>
  <w:footnote w:id="17">
    <w:p w14:paraId="368F71FF" w14:textId="34AD367A" w:rsidR="00843214" w:rsidRPr="008E5C1D" w:rsidRDefault="00843214" w:rsidP="008E5C1D">
      <w:pPr>
        <w:pStyle w:val="FootnoteText"/>
      </w:pPr>
      <w:r w:rsidRPr="008E5C1D">
        <w:footnoteRef/>
      </w:r>
      <w:r w:rsidRPr="008E5C1D">
        <w:t xml:space="preserve"> D23:27, D19:11</w:t>
      </w:r>
    </w:p>
  </w:footnote>
  <w:footnote w:id="18">
    <w:p w14:paraId="381516E2" w14:textId="45A9E2F1" w:rsidR="00843214" w:rsidRPr="00B02F75" w:rsidRDefault="00843214" w:rsidP="008E5C1D">
      <w:pPr>
        <w:pStyle w:val="FootnoteText"/>
        <w:rPr>
          <w:rFonts w:cstheme="minorHAnsi"/>
          <w:lang w:val="en-US"/>
        </w:rPr>
      </w:pPr>
      <w:r w:rsidRPr="008E5C1D">
        <w:footnoteRef/>
      </w:r>
      <w:r w:rsidRPr="008E5C1D">
        <w:t xml:space="preserve"> D59:4, D61:4,D65:3, D65:4</w:t>
      </w:r>
    </w:p>
  </w:footnote>
  <w:footnote w:id="19">
    <w:p w14:paraId="480FEAA7" w14:textId="66CD0DAD" w:rsidR="00843214" w:rsidRPr="008E5C1D" w:rsidRDefault="00843214" w:rsidP="008E5C1D">
      <w:pPr>
        <w:pStyle w:val="FootnoteText"/>
      </w:pPr>
      <w:r w:rsidRPr="008E5C1D">
        <w:footnoteRef/>
      </w:r>
      <w:r w:rsidRPr="008E5C1D">
        <w:t xml:space="preserve"> D23</w:t>
      </w:r>
    </w:p>
  </w:footnote>
  <w:footnote w:id="20">
    <w:p w14:paraId="0AE9B2A5" w14:textId="0EAA6150" w:rsidR="00843214" w:rsidRPr="008E5C1D" w:rsidRDefault="00843214" w:rsidP="008E5C1D">
      <w:pPr>
        <w:pStyle w:val="FootnoteText"/>
      </w:pPr>
      <w:r w:rsidRPr="008E5C1D">
        <w:footnoteRef/>
      </w:r>
      <w:r w:rsidRPr="008E5C1D">
        <w:t xml:space="preserve"> D37</w:t>
      </w:r>
    </w:p>
  </w:footnote>
  <w:footnote w:id="21">
    <w:p w14:paraId="0ACB52D6" w14:textId="0D390D99" w:rsidR="00843214" w:rsidRPr="008E5C1D" w:rsidRDefault="00843214" w:rsidP="008E5C1D">
      <w:pPr>
        <w:pStyle w:val="FootnoteText"/>
      </w:pPr>
      <w:r w:rsidRPr="008E5C1D">
        <w:rPr>
          <w:rStyle w:val="FootnoteReference"/>
          <w:vertAlign w:val="baseline"/>
        </w:rPr>
        <w:footnoteRef/>
      </w:r>
      <w:r w:rsidRPr="008E5C1D">
        <w:t xml:space="preserve"> Doc 23</w:t>
      </w:r>
    </w:p>
  </w:footnote>
  <w:footnote w:id="22">
    <w:p w14:paraId="4553FD14" w14:textId="074C1853" w:rsidR="00843214" w:rsidRPr="008E5C1D" w:rsidRDefault="00843214" w:rsidP="008E5C1D">
      <w:pPr>
        <w:pStyle w:val="FootnoteText"/>
      </w:pPr>
      <w:r w:rsidRPr="008E5C1D">
        <w:rPr>
          <w:rStyle w:val="FootnoteReference"/>
          <w:vertAlign w:val="baseline"/>
        </w:rPr>
        <w:footnoteRef/>
      </w:r>
      <w:r w:rsidRPr="008E5C1D">
        <w:t xml:space="preserve"> D33:12</w:t>
      </w:r>
    </w:p>
  </w:footnote>
  <w:footnote w:id="23">
    <w:p w14:paraId="31FAEF83" w14:textId="0FBD5FBB" w:rsidR="00843214" w:rsidRPr="007C6035" w:rsidRDefault="00843214" w:rsidP="008E5C1D">
      <w:pPr>
        <w:pStyle w:val="FootnoteText"/>
        <w:rPr>
          <w:lang w:val="en-AU"/>
        </w:rPr>
      </w:pPr>
      <w:r w:rsidRPr="008E5C1D">
        <w:rPr>
          <w:rStyle w:val="FootnoteReference"/>
          <w:vertAlign w:val="baseline"/>
        </w:rPr>
        <w:footnoteRef/>
      </w:r>
      <w:r w:rsidRPr="008E5C1D">
        <w:t xml:space="preserve"> These include UN Women’s VAW prevention and responses in the context of COVID-19 to inform policy, programming and advocacy at global, regional and country level; use of research to inform programming in the Rohingya Response, the Pacific Partnership for EVAW, and in Papua New Guinea (PNG) at the country level. At the regional level, the DFAT funded Review of Gender Responsiveness in DRR has supported DRR program design and UN Women’s continued work with national governments and regional bodies (such as ASEAN, the Association of South East Asian Nations) to promote the use data to inform national policies</w:t>
      </w:r>
    </w:p>
  </w:footnote>
  <w:footnote w:id="24">
    <w:p w14:paraId="46619A18" w14:textId="213501B0" w:rsidR="00843214" w:rsidRPr="008E5C1D" w:rsidRDefault="00843214" w:rsidP="008E5C1D">
      <w:pPr>
        <w:pStyle w:val="FootnoteText"/>
      </w:pPr>
      <w:r w:rsidRPr="008E5C1D">
        <w:rPr>
          <w:rStyle w:val="FootnoteReference"/>
          <w:vertAlign w:val="baseline"/>
        </w:rPr>
        <w:footnoteRef/>
      </w:r>
      <w:r w:rsidRPr="008E5C1D">
        <w:t xml:space="preserve"> </w:t>
      </w:r>
      <w:r w:rsidRPr="008E5C1D">
        <w:t>Sharland, L., 2021, Women, Peace, and Security Mandates for UN Peacekeeping Operations: Assessing Influence and Impact, International Peace Institute.</w:t>
      </w:r>
    </w:p>
  </w:footnote>
  <w:footnote w:id="25">
    <w:p w14:paraId="780FBF9F" w14:textId="7E452506" w:rsidR="00843214" w:rsidRPr="008E5C1D" w:rsidRDefault="00843214" w:rsidP="008E5C1D">
      <w:pPr>
        <w:pStyle w:val="FootnoteText"/>
      </w:pPr>
      <w:r w:rsidRPr="008E5C1D">
        <w:rPr>
          <w:rStyle w:val="FootnoteReference"/>
          <w:vertAlign w:val="baseline"/>
        </w:rPr>
        <w:footnoteRef/>
      </w:r>
      <w:r w:rsidRPr="008E5C1D">
        <w:t xml:space="preserve"> D30:8</w:t>
      </w:r>
    </w:p>
  </w:footnote>
  <w:footnote w:id="26">
    <w:p w14:paraId="6EB6D983" w14:textId="6432BACF" w:rsidR="00843214" w:rsidRPr="0075293C" w:rsidRDefault="00843214" w:rsidP="008E5C1D">
      <w:pPr>
        <w:pStyle w:val="FootnoteText"/>
        <w:rPr>
          <w:lang w:val="en-AU"/>
        </w:rPr>
      </w:pPr>
      <w:r w:rsidRPr="008E5C1D">
        <w:rPr>
          <w:rStyle w:val="FootnoteReference"/>
          <w:vertAlign w:val="baseline"/>
        </w:rPr>
        <w:footnoteRef/>
      </w:r>
      <w:r w:rsidRPr="008E5C1D">
        <w:t xml:space="preserve"> </w:t>
      </w:r>
      <w:hyperlink r:id="rId1" w:history="1">
        <w:r w:rsidRPr="008E5C1D">
          <w:rPr>
            <w:rStyle w:val="Hyperlink"/>
            <w:color w:val="auto"/>
            <w:u w:val="none"/>
          </w:rPr>
          <w:t>https://www.unwomen.org/-/media/headquarters/attachments/sections/library/publications/2018/towards-an-end-to-sexual-harassment-en.pdf?la=en&amp;vs=4236</w:t>
        </w:r>
      </w:hyperlink>
      <w:r w:rsidRPr="008E5C1D">
        <w:t xml:space="preserve"> and </w:t>
      </w:r>
      <w:hyperlink r:id="rId2" w:history="1">
        <w:r w:rsidRPr="008E5C1D">
          <w:rPr>
            <w:rStyle w:val="Hyperlink"/>
            <w:color w:val="auto"/>
            <w:u w:val="none"/>
          </w:rPr>
          <w:t>https://www.unwomen.org/-/media /headquarters/attachments/sections/library/publications /2020/</w:t>
        </w:r>
      </w:hyperlink>
      <w:r w:rsidRPr="008E5C1D">
        <w:t xml:space="preserve"> discussion-paper-sexual-exploitation-abuse-and-harassment-seah-en.pdf?la=en&amp;vs=5902</w:t>
      </w:r>
    </w:p>
  </w:footnote>
  <w:footnote w:id="27">
    <w:p w14:paraId="3A406127" w14:textId="57F4790B" w:rsidR="00843214" w:rsidRPr="008E5C1D" w:rsidRDefault="00843214" w:rsidP="008E5C1D">
      <w:pPr>
        <w:pStyle w:val="FootnoteText"/>
      </w:pPr>
      <w:r w:rsidRPr="008E5C1D">
        <w:rPr>
          <w:rStyle w:val="FootnoteReference"/>
          <w:vertAlign w:val="baseline"/>
        </w:rPr>
        <w:footnoteRef/>
      </w:r>
      <w:r w:rsidRPr="008E5C1D">
        <w:t xml:space="preserve"> D32</w:t>
      </w:r>
    </w:p>
  </w:footnote>
  <w:footnote w:id="28">
    <w:p w14:paraId="4C741D43" w14:textId="2FB62D89" w:rsidR="00843214" w:rsidRPr="008E5C1D" w:rsidRDefault="00843214" w:rsidP="008E5C1D">
      <w:pPr>
        <w:pStyle w:val="FootnoteText"/>
      </w:pPr>
      <w:r w:rsidRPr="008E5C1D">
        <w:rPr>
          <w:rStyle w:val="FootnoteReference"/>
          <w:vertAlign w:val="baseline"/>
        </w:rPr>
        <w:footnoteRef/>
      </w:r>
      <w:r w:rsidRPr="008E5C1D">
        <w:t xml:space="preserve"> UN Women’s work through the Commission on the Status of Women has resulted in 43 per cent of General Assembly resolutions integrating gender perspectives. Eighty-eight per cent of recommendations in the Secretary-General's report on the priority theme of the 63rd session of the Commission on the Status of Women were reflected in the agreed conclusions.</w:t>
      </w:r>
    </w:p>
  </w:footnote>
  <w:footnote w:id="29">
    <w:p w14:paraId="36112E72" w14:textId="7309E4BB" w:rsidR="00843214" w:rsidRPr="008E5C1D" w:rsidRDefault="00843214" w:rsidP="008E5C1D">
      <w:pPr>
        <w:pStyle w:val="FootnoteText"/>
      </w:pPr>
      <w:r w:rsidRPr="008E5C1D">
        <w:rPr>
          <w:rStyle w:val="FootnoteReference"/>
          <w:vertAlign w:val="baseline"/>
        </w:rPr>
        <w:footnoteRef/>
      </w:r>
      <w:r w:rsidRPr="008E5C1D">
        <w:t xml:space="preserve"> D33 2018 Corporate Evaluation of UN Women’s Contribution to Women’s Political Participation and Leadership (WPP)</w:t>
      </w:r>
    </w:p>
  </w:footnote>
  <w:footnote w:id="30">
    <w:p w14:paraId="39639A4D" w14:textId="396CA016" w:rsidR="00843214" w:rsidRPr="008E5C1D" w:rsidRDefault="00843214" w:rsidP="008E5C1D">
      <w:pPr>
        <w:pStyle w:val="FootnoteText"/>
      </w:pPr>
      <w:r w:rsidRPr="008E5C1D">
        <w:rPr>
          <w:rStyle w:val="FootnoteReference"/>
          <w:vertAlign w:val="baseline"/>
        </w:rPr>
        <w:footnoteRef/>
      </w:r>
      <w:r w:rsidRPr="008E5C1D">
        <w:t xml:space="preserve"> Doc 23</w:t>
      </w:r>
    </w:p>
  </w:footnote>
  <w:footnote w:id="31">
    <w:p w14:paraId="219B5884" w14:textId="64B2B01D" w:rsidR="00843214" w:rsidRPr="008E5C1D" w:rsidRDefault="00843214" w:rsidP="008E5C1D">
      <w:pPr>
        <w:pStyle w:val="FootnoteText"/>
      </w:pPr>
      <w:r w:rsidRPr="008E5C1D">
        <w:rPr>
          <w:rStyle w:val="FootnoteReference"/>
          <w:vertAlign w:val="baseline"/>
        </w:rPr>
        <w:footnoteRef/>
      </w:r>
      <w:r w:rsidRPr="008E5C1D">
        <w:t xml:space="preserve"> For example, with support from DFAT, UN Women partnered with the Global Network of Women Peacebuilders on a 2020 study of the role of women peacebuilders in sustaining peace, conflict resolution and conflict prevention. Subsequently, the results of the study informed the work of the UN Peacebuilding Commission, the SG’s report on peacebuilding and sustaining peace and participation of women briefers at the UN Security Council and meetings of the UN Peacebuilding Commission.</w:t>
      </w:r>
    </w:p>
  </w:footnote>
  <w:footnote w:id="32">
    <w:p w14:paraId="25A23864" w14:textId="74ACD358" w:rsidR="00843214" w:rsidRPr="00071A03" w:rsidRDefault="00843214" w:rsidP="008E5C1D">
      <w:pPr>
        <w:pStyle w:val="FootnoteText"/>
        <w:rPr>
          <w:lang w:val="en-AU"/>
        </w:rPr>
      </w:pPr>
      <w:r w:rsidRPr="008E5C1D">
        <w:rPr>
          <w:rStyle w:val="FootnoteReference"/>
          <w:vertAlign w:val="baseline"/>
        </w:rPr>
        <w:footnoteRef/>
      </w:r>
      <w:r w:rsidRPr="008E5C1D">
        <w:t xml:space="preserve"> Interviews</w:t>
      </w:r>
    </w:p>
  </w:footnote>
  <w:footnote w:id="33">
    <w:p w14:paraId="07B83532" w14:textId="04B295A1" w:rsidR="00843214" w:rsidRPr="008E5C1D" w:rsidRDefault="00843214" w:rsidP="008E5C1D">
      <w:pPr>
        <w:pStyle w:val="FootnoteText"/>
      </w:pPr>
      <w:r w:rsidRPr="008E5C1D">
        <w:rPr>
          <w:rStyle w:val="FootnoteReference"/>
          <w:vertAlign w:val="baseline"/>
        </w:rPr>
        <w:footnoteRef/>
      </w:r>
      <w:r w:rsidRPr="008E5C1D">
        <w:t xml:space="preserve"> D71:1, Interview</w:t>
      </w:r>
    </w:p>
  </w:footnote>
  <w:footnote w:id="34">
    <w:p w14:paraId="1E50D681" w14:textId="4B06BB00" w:rsidR="00843214" w:rsidRPr="0098382F" w:rsidRDefault="00843214" w:rsidP="008E5C1D">
      <w:pPr>
        <w:pStyle w:val="FootnoteText"/>
        <w:rPr>
          <w:lang w:val="en-AU"/>
        </w:rPr>
      </w:pPr>
      <w:r w:rsidRPr="008E5C1D">
        <w:rPr>
          <w:rStyle w:val="FootnoteReference"/>
          <w:vertAlign w:val="baseline"/>
        </w:rPr>
        <w:footnoteRef/>
      </w:r>
      <w:r w:rsidRPr="008E5C1D">
        <w:t xml:space="preserve"> D32</w:t>
      </w:r>
    </w:p>
  </w:footnote>
  <w:footnote w:id="35">
    <w:p w14:paraId="10282549" w14:textId="77777777" w:rsidR="00843214" w:rsidRPr="008E5C1D" w:rsidRDefault="00843214" w:rsidP="008E5C1D">
      <w:pPr>
        <w:pStyle w:val="FootnoteText"/>
      </w:pPr>
      <w:r w:rsidRPr="008E5C1D">
        <w:rPr>
          <w:rStyle w:val="FootnoteReference"/>
          <w:vertAlign w:val="baseline"/>
        </w:rPr>
        <w:footnoteRef/>
      </w:r>
      <w:r w:rsidRPr="008E5C1D">
        <w:t xml:space="preserve"> D53:5</w:t>
      </w:r>
    </w:p>
  </w:footnote>
  <w:footnote w:id="36">
    <w:p w14:paraId="4BB61663" w14:textId="6D7F859C" w:rsidR="00843214" w:rsidRPr="008E5C1D" w:rsidRDefault="00843214" w:rsidP="008E5C1D">
      <w:pPr>
        <w:pStyle w:val="FootnoteText"/>
      </w:pPr>
      <w:r w:rsidRPr="008E5C1D">
        <w:rPr>
          <w:rStyle w:val="FootnoteReference"/>
          <w:vertAlign w:val="baseline"/>
        </w:rPr>
        <w:footnoteRef/>
      </w:r>
      <w:r w:rsidRPr="008E5C1D">
        <w:t xml:space="preserve"> Doc 32</w:t>
      </w:r>
    </w:p>
  </w:footnote>
  <w:footnote w:id="37">
    <w:p w14:paraId="5284B45C" w14:textId="612B9522" w:rsidR="00843214" w:rsidRPr="008E5C1D" w:rsidRDefault="00843214" w:rsidP="008E5C1D">
      <w:pPr>
        <w:pStyle w:val="FootnoteText"/>
      </w:pPr>
      <w:r w:rsidRPr="008E5C1D">
        <w:rPr>
          <w:rStyle w:val="FootnoteReference"/>
          <w:vertAlign w:val="baseline"/>
        </w:rPr>
        <w:footnoteRef/>
      </w:r>
      <w:r w:rsidRPr="008E5C1D">
        <w:t xml:space="preserve"> The key non-core EVAW partnership framework consists of contributions to the Global Joint Program on Essential Services for Women and Girls Subject to Violence, Blueprint for Prevention of Violence against Women, the UNTF for EVAW, and Asia-Pacific regional programming such as, Stepping Up Solutions to End Violence against Women.</w:t>
      </w:r>
    </w:p>
  </w:footnote>
  <w:footnote w:id="38">
    <w:p w14:paraId="08084C30" w14:textId="623F391B" w:rsidR="00843214" w:rsidRPr="008E5C1D" w:rsidRDefault="00843214" w:rsidP="008E5C1D">
      <w:pPr>
        <w:pStyle w:val="FootnoteText"/>
      </w:pPr>
      <w:r w:rsidRPr="008E5C1D">
        <w:rPr>
          <w:rStyle w:val="FootnoteReference"/>
          <w:vertAlign w:val="baseline"/>
        </w:rPr>
        <w:footnoteRef/>
      </w:r>
      <w:r w:rsidRPr="008E5C1D">
        <w:t xml:space="preserve"> D63:3</w:t>
      </w:r>
    </w:p>
  </w:footnote>
  <w:footnote w:id="39">
    <w:p w14:paraId="4A4CBF4F" w14:textId="7F985B09" w:rsidR="00843214" w:rsidRPr="00DA189A" w:rsidRDefault="00843214" w:rsidP="008E5C1D">
      <w:pPr>
        <w:pStyle w:val="FootnoteText"/>
        <w:rPr>
          <w:lang w:val="en-US"/>
        </w:rPr>
      </w:pPr>
      <w:r w:rsidRPr="008E5C1D">
        <w:rPr>
          <w:rStyle w:val="FootnoteReference"/>
          <w:vertAlign w:val="baseline"/>
        </w:rPr>
        <w:footnoteRef/>
      </w:r>
      <w:r w:rsidRPr="008E5C1D">
        <w:t xml:space="preserve"> Doc 23</w:t>
      </w:r>
    </w:p>
  </w:footnote>
  <w:footnote w:id="40">
    <w:p w14:paraId="41CEC7A2" w14:textId="015C6D21" w:rsidR="00843214" w:rsidRPr="008E5C1D" w:rsidRDefault="00843214" w:rsidP="008E5C1D">
      <w:pPr>
        <w:pStyle w:val="FootnoteText"/>
      </w:pPr>
      <w:r w:rsidRPr="008E5C1D">
        <w:footnoteRef/>
      </w:r>
      <w:r w:rsidRPr="008E5C1D">
        <w:t xml:space="preserve"> As extensively documented in two UNTF for EVAW briefs:</w:t>
      </w:r>
    </w:p>
    <w:p w14:paraId="46EE5F61" w14:textId="1547C73A" w:rsidR="00843214" w:rsidRPr="008E5C1D" w:rsidRDefault="00891CD2" w:rsidP="008E5C1D">
      <w:pPr>
        <w:pStyle w:val="FootnoteText"/>
      </w:pPr>
      <w:hyperlink r:id="rId3" w:history="1">
        <w:r w:rsidR="00843214" w:rsidRPr="008E5C1D">
          <w:t>https://untf.unwomen.org/en/digital-library/publications/2020/06/impact-of-covid-19-on-violence-against-women-and-girls</w:t>
        </w:r>
      </w:hyperlink>
      <w:r w:rsidR="00843214" w:rsidRPr="008E5C1D">
        <w:t xml:space="preserve"> and </w:t>
      </w:r>
      <w:hyperlink r:id="rId4" w:history="1">
        <w:r w:rsidR="00843214" w:rsidRPr="008E5C1D">
          <w:t>https://untf.unwomen.org/en/digital-library/publications/2020/09/six-months-of-global-pandemic-covid19-impact-on-violence-against-women-and-frontline-organizations</w:t>
        </w:r>
      </w:hyperlink>
    </w:p>
  </w:footnote>
  <w:footnote w:id="41">
    <w:p w14:paraId="7DCE0FF8" w14:textId="3351F38A" w:rsidR="00843214" w:rsidRPr="008E5C1D" w:rsidRDefault="00843214" w:rsidP="008E5C1D">
      <w:pPr>
        <w:pStyle w:val="FootnoteText"/>
      </w:pPr>
      <w:r w:rsidRPr="008E5C1D">
        <w:rPr>
          <w:rStyle w:val="FootnoteReference"/>
          <w:vertAlign w:val="baseline"/>
        </w:rPr>
        <w:footnoteRef/>
      </w:r>
      <w:r w:rsidRPr="008E5C1D">
        <w:t xml:space="preserve"> Interviews</w:t>
      </w:r>
    </w:p>
  </w:footnote>
  <w:footnote w:id="42">
    <w:p w14:paraId="7DFBA112" w14:textId="688AA60F" w:rsidR="00843214" w:rsidRPr="008E5C1D" w:rsidRDefault="00843214" w:rsidP="008E5C1D">
      <w:pPr>
        <w:pStyle w:val="FootnoteText"/>
      </w:pPr>
      <w:r w:rsidRPr="008E5C1D">
        <w:rPr>
          <w:rStyle w:val="FootnoteReference"/>
          <w:vertAlign w:val="baseline"/>
        </w:rPr>
        <w:footnoteRef/>
      </w:r>
      <w:r w:rsidRPr="008E5C1D">
        <w:t xml:space="preserve"> D67:2</w:t>
      </w:r>
    </w:p>
  </w:footnote>
  <w:footnote w:id="43">
    <w:p w14:paraId="4C348014" w14:textId="2F1299F7" w:rsidR="00843214" w:rsidRPr="001F5070" w:rsidRDefault="00843214" w:rsidP="008E5C1D">
      <w:pPr>
        <w:pStyle w:val="FootnoteText"/>
        <w:rPr>
          <w:lang w:val="en-AU"/>
        </w:rPr>
      </w:pPr>
      <w:r w:rsidRPr="008E5C1D">
        <w:rPr>
          <w:rStyle w:val="FootnoteReference"/>
          <w:vertAlign w:val="baseline"/>
        </w:rPr>
        <w:footnoteRef/>
      </w:r>
      <w:r w:rsidRPr="008E5C1D">
        <w:t xml:space="preserve"> D67:2</w:t>
      </w:r>
    </w:p>
  </w:footnote>
  <w:footnote w:id="44">
    <w:p w14:paraId="750B7353" w14:textId="04DED2C3" w:rsidR="00843214" w:rsidRPr="008E5C1D" w:rsidRDefault="00843214" w:rsidP="008E5C1D">
      <w:pPr>
        <w:pStyle w:val="FootnoteText"/>
      </w:pPr>
      <w:r w:rsidRPr="008E5C1D">
        <w:rPr>
          <w:rStyle w:val="FootnoteReference"/>
          <w:vertAlign w:val="baseline"/>
        </w:rPr>
        <w:footnoteRef/>
      </w:r>
      <w:r w:rsidRPr="008E5C1D">
        <w:t xml:space="preserve"> Interview. These needs may include reporting to donors, but this was not specified in the interview. </w:t>
      </w:r>
    </w:p>
  </w:footnote>
  <w:footnote w:id="45">
    <w:p w14:paraId="03BBBD30" w14:textId="0FA3C214" w:rsidR="00843214" w:rsidRPr="008E5C1D" w:rsidRDefault="00843214" w:rsidP="008E5C1D">
      <w:pPr>
        <w:pStyle w:val="FootnoteText"/>
      </w:pPr>
      <w:r w:rsidRPr="008E5C1D">
        <w:rPr>
          <w:rStyle w:val="FootnoteReference"/>
          <w:vertAlign w:val="baseline"/>
        </w:rPr>
        <w:footnoteRef/>
      </w:r>
      <w:r w:rsidRPr="008E5C1D">
        <w:t xml:space="preserve"> Interviews</w:t>
      </w:r>
    </w:p>
  </w:footnote>
  <w:footnote w:id="46">
    <w:p w14:paraId="603F0DA3" w14:textId="7951CF12" w:rsidR="00843214" w:rsidRPr="008E5C1D" w:rsidRDefault="00843214" w:rsidP="008E5C1D">
      <w:pPr>
        <w:pStyle w:val="FootnoteText"/>
      </w:pPr>
      <w:r w:rsidRPr="008E5C1D">
        <w:rPr>
          <w:rStyle w:val="FootnoteReference"/>
          <w:vertAlign w:val="baseline"/>
        </w:rPr>
        <w:footnoteRef/>
      </w:r>
      <w:r w:rsidRPr="008E5C1D">
        <w:t xml:space="preserve"> D54:5 ,D23:11</w:t>
      </w:r>
    </w:p>
  </w:footnote>
  <w:footnote w:id="47">
    <w:p w14:paraId="68257432" w14:textId="5ED51715" w:rsidR="00843214" w:rsidRPr="0000502B" w:rsidRDefault="00843214" w:rsidP="008E5C1D">
      <w:pPr>
        <w:pStyle w:val="FootnoteText"/>
        <w:rPr>
          <w:lang w:val="en-AU"/>
        </w:rPr>
      </w:pPr>
      <w:r w:rsidRPr="008E5C1D">
        <w:rPr>
          <w:rStyle w:val="FootnoteReference"/>
          <w:vertAlign w:val="baseline"/>
        </w:rPr>
        <w:footnoteRef/>
      </w:r>
      <w:r w:rsidRPr="008E5C1D">
        <w:t xml:space="preserve"> D55:6, D54:2, D53:3</w:t>
      </w:r>
      <w:r>
        <w:rPr>
          <w:lang w:val="en-AU"/>
        </w:rPr>
        <w:t xml:space="preserve"> </w:t>
      </w:r>
    </w:p>
  </w:footnote>
  <w:footnote w:id="48">
    <w:p w14:paraId="72E22445" w14:textId="30CE80F6" w:rsidR="00843214" w:rsidRPr="008E5C1D" w:rsidRDefault="00843214" w:rsidP="008E5C1D">
      <w:pPr>
        <w:pStyle w:val="FootnoteText"/>
      </w:pPr>
      <w:r w:rsidRPr="008E5C1D">
        <w:footnoteRef/>
      </w:r>
      <w:r w:rsidRPr="008E5C1D">
        <w:t xml:space="preserve"> inception phase funded by DFAT, full 4-year proposal currently under review</w:t>
      </w:r>
    </w:p>
  </w:footnote>
  <w:footnote w:id="49">
    <w:p w14:paraId="7090487F" w14:textId="530C708D" w:rsidR="00843214" w:rsidRPr="008E5C1D" w:rsidRDefault="00843214" w:rsidP="008E5C1D">
      <w:pPr>
        <w:pStyle w:val="FootnoteText"/>
      </w:pPr>
      <w:r w:rsidRPr="008E5C1D">
        <w:footnoteRef/>
      </w:r>
      <w:r w:rsidRPr="008E5C1D">
        <w:t xml:space="preserve"> wrd.preventionweb.net/tracker</w:t>
      </w:r>
    </w:p>
  </w:footnote>
  <w:footnote w:id="50">
    <w:p w14:paraId="590B2F87" w14:textId="7DAC11BD" w:rsidR="00843214" w:rsidRPr="008E5C1D" w:rsidRDefault="00843214" w:rsidP="008E5C1D">
      <w:pPr>
        <w:pStyle w:val="FootnoteText"/>
      </w:pPr>
      <w:r w:rsidRPr="008E5C1D">
        <w:footnoteRef/>
      </w:r>
      <w:r w:rsidRPr="008E5C1D">
        <w:t xml:space="preserve"> Doc 23</w:t>
      </w:r>
    </w:p>
  </w:footnote>
  <w:footnote w:id="51">
    <w:p w14:paraId="08EA3D3F" w14:textId="77777777" w:rsidR="00843214" w:rsidRPr="008E5C1D" w:rsidRDefault="00843214" w:rsidP="008E5C1D">
      <w:pPr>
        <w:pStyle w:val="FootnoteText"/>
      </w:pPr>
      <w:r w:rsidRPr="008E5C1D">
        <w:rPr>
          <w:rStyle w:val="FootnoteReference"/>
          <w:vertAlign w:val="baseline"/>
        </w:rPr>
        <w:footnoteRef/>
      </w:r>
      <w:r w:rsidRPr="008E5C1D">
        <w:t xml:space="preserve"> D18:7</w:t>
      </w:r>
    </w:p>
  </w:footnote>
  <w:footnote w:id="52">
    <w:p w14:paraId="7B06EB9C" w14:textId="32455ABF" w:rsidR="00843214" w:rsidRPr="00B01282" w:rsidRDefault="00843214" w:rsidP="008E5C1D">
      <w:pPr>
        <w:pStyle w:val="FootnoteText"/>
        <w:rPr>
          <w:lang w:val="en-AU"/>
        </w:rPr>
      </w:pPr>
      <w:r w:rsidRPr="008E5C1D">
        <w:rPr>
          <w:rStyle w:val="FootnoteReference"/>
          <w:vertAlign w:val="baseline"/>
        </w:rPr>
        <w:footnoteRef/>
      </w:r>
      <w:r w:rsidRPr="008E5C1D">
        <w:t xml:space="preserve"> https://asiapacific.unwomen.org/en/news-and-events/stories/2020/09/un-women-and-gojek-collaborate---indonesia</w:t>
      </w:r>
    </w:p>
  </w:footnote>
  <w:footnote w:id="53">
    <w:p w14:paraId="45CF4208" w14:textId="77777777" w:rsidR="00843214" w:rsidRPr="008E5C1D" w:rsidRDefault="00843214" w:rsidP="008E5C1D">
      <w:pPr>
        <w:pStyle w:val="FootnoteText"/>
      </w:pPr>
      <w:r w:rsidRPr="008E5C1D">
        <w:rPr>
          <w:rStyle w:val="FootnoteReference"/>
          <w:vertAlign w:val="baseline"/>
        </w:rPr>
        <w:footnoteRef/>
      </w:r>
      <w:r w:rsidRPr="008E5C1D">
        <w:t xml:space="preserve"> D67:3</w:t>
      </w:r>
    </w:p>
  </w:footnote>
  <w:footnote w:id="54">
    <w:p w14:paraId="61AEF77A" w14:textId="77777777" w:rsidR="00843214" w:rsidRPr="008E5C1D" w:rsidRDefault="00843214" w:rsidP="008E5C1D">
      <w:pPr>
        <w:pStyle w:val="FootnoteText"/>
      </w:pPr>
      <w:r w:rsidRPr="008E5C1D">
        <w:rPr>
          <w:rStyle w:val="FootnoteReference"/>
          <w:vertAlign w:val="baseline"/>
        </w:rPr>
        <w:footnoteRef/>
      </w:r>
      <w:r w:rsidRPr="008E5C1D">
        <w:t xml:space="preserve"> D75.</w:t>
      </w:r>
    </w:p>
  </w:footnote>
  <w:footnote w:id="55">
    <w:p w14:paraId="2B61C559" w14:textId="48595663" w:rsidR="00843214" w:rsidRPr="008E5C1D" w:rsidRDefault="00843214" w:rsidP="008E5C1D">
      <w:pPr>
        <w:pStyle w:val="FootnoteText"/>
      </w:pPr>
      <w:r w:rsidRPr="008E5C1D">
        <w:rPr>
          <w:rStyle w:val="FootnoteReference"/>
          <w:vertAlign w:val="baseline"/>
        </w:rPr>
        <w:footnoteRef/>
      </w:r>
      <w:r w:rsidRPr="008E5C1D">
        <w:t xml:space="preserve"> D18c:1</w:t>
      </w:r>
    </w:p>
  </w:footnote>
  <w:footnote w:id="56">
    <w:p w14:paraId="7BD9D4E3" w14:textId="558AE4F1" w:rsidR="00843214" w:rsidRPr="00E93490" w:rsidRDefault="00843214" w:rsidP="008E5C1D">
      <w:pPr>
        <w:pStyle w:val="FootnoteText"/>
        <w:rPr>
          <w:lang w:val="en-AU"/>
        </w:rPr>
      </w:pPr>
      <w:r w:rsidRPr="008E5C1D">
        <w:rPr>
          <w:rStyle w:val="FootnoteReference"/>
          <w:vertAlign w:val="baseline"/>
        </w:rPr>
        <w:footnoteRef/>
      </w:r>
      <w:r w:rsidRPr="008E5C1D">
        <w:t xml:space="preserve"> D18c:2</w:t>
      </w:r>
    </w:p>
  </w:footnote>
  <w:footnote w:id="57">
    <w:p w14:paraId="14F87E93" w14:textId="11221375" w:rsidR="00843214" w:rsidRPr="008E5C1D" w:rsidRDefault="00843214" w:rsidP="008E5C1D">
      <w:pPr>
        <w:pStyle w:val="FootnoteText"/>
      </w:pPr>
      <w:r w:rsidRPr="008E5C1D">
        <w:rPr>
          <w:rStyle w:val="FootnoteReference"/>
          <w:vertAlign w:val="baseline"/>
        </w:rPr>
        <w:footnoteRef/>
      </w:r>
      <w:r w:rsidRPr="008E5C1D">
        <w:t xml:space="preserve"> D18c:1</w:t>
      </w:r>
    </w:p>
  </w:footnote>
  <w:footnote w:id="58">
    <w:p w14:paraId="3BF6DA80" w14:textId="05D81A02" w:rsidR="00843214" w:rsidRPr="008E5C1D" w:rsidRDefault="00843214" w:rsidP="008E5C1D">
      <w:pPr>
        <w:pStyle w:val="FootnoteText"/>
      </w:pPr>
      <w:r w:rsidRPr="008E5C1D">
        <w:rPr>
          <w:rStyle w:val="FootnoteReference"/>
          <w:vertAlign w:val="baseline"/>
        </w:rPr>
        <w:footnoteRef/>
      </w:r>
      <w:r w:rsidRPr="008E5C1D">
        <w:t xml:space="preserve"> D18c:1</w:t>
      </w:r>
    </w:p>
  </w:footnote>
  <w:footnote w:id="59">
    <w:p w14:paraId="6638B4B7" w14:textId="3183372D" w:rsidR="00843214" w:rsidRPr="008E5C1D" w:rsidRDefault="00843214" w:rsidP="008E5C1D">
      <w:pPr>
        <w:pStyle w:val="FootnoteText"/>
      </w:pPr>
      <w:r w:rsidRPr="008E5C1D">
        <w:rPr>
          <w:rStyle w:val="FootnoteReference"/>
          <w:vertAlign w:val="baseline"/>
        </w:rPr>
        <w:footnoteRef/>
      </w:r>
      <w:r w:rsidRPr="008E5C1D">
        <w:t xml:space="preserve"> D47:3</w:t>
      </w:r>
    </w:p>
  </w:footnote>
  <w:footnote w:id="60">
    <w:p w14:paraId="1ED4331C" w14:textId="348C853E" w:rsidR="00843214" w:rsidRPr="008E5C1D" w:rsidRDefault="00843214" w:rsidP="008E5C1D">
      <w:pPr>
        <w:pStyle w:val="FootnoteText"/>
      </w:pPr>
      <w:r w:rsidRPr="008E5C1D">
        <w:rPr>
          <w:rStyle w:val="FootnoteReference"/>
          <w:vertAlign w:val="baseline"/>
        </w:rPr>
        <w:footnoteRef/>
      </w:r>
      <w:r w:rsidRPr="008E5C1D">
        <w:t xml:space="preserve"> D47:3, Interview, D18c:2</w:t>
      </w:r>
    </w:p>
  </w:footnote>
  <w:footnote w:id="61">
    <w:p w14:paraId="22AEC252" w14:textId="79759796" w:rsidR="00843214" w:rsidRPr="008E5C1D" w:rsidRDefault="00843214" w:rsidP="008E5C1D">
      <w:pPr>
        <w:pStyle w:val="FootnoteText"/>
      </w:pPr>
      <w:r w:rsidRPr="008E5C1D">
        <w:rPr>
          <w:rStyle w:val="FootnoteReference"/>
          <w:vertAlign w:val="baseline"/>
        </w:rPr>
        <w:footnoteRef/>
      </w:r>
      <w:r w:rsidRPr="008E5C1D">
        <w:t xml:space="preserve"> D47:3</w:t>
      </w:r>
    </w:p>
  </w:footnote>
  <w:footnote w:id="62">
    <w:p w14:paraId="119683C2" w14:textId="2FD2C758" w:rsidR="00843214" w:rsidRPr="008E5C1D" w:rsidRDefault="00843214" w:rsidP="008E5C1D">
      <w:pPr>
        <w:pStyle w:val="FootnoteText"/>
      </w:pPr>
      <w:r w:rsidRPr="008E5C1D">
        <w:rPr>
          <w:rStyle w:val="FootnoteReference"/>
          <w:vertAlign w:val="baseline"/>
        </w:rPr>
        <w:footnoteRef/>
      </w:r>
      <w:r w:rsidRPr="008E5C1D">
        <w:t xml:space="preserve"> D45</w:t>
      </w:r>
    </w:p>
  </w:footnote>
  <w:footnote w:id="63">
    <w:p w14:paraId="4A44EE73" w14:textId="6FC2EC54" w:rsidR="00843214" w:rsidRPr="008E5C1D" w:rsidRDefault="00843214" w:rsidP="008E5C1D">
      <w:pPr>
        <w:pStyle w:val="FootnoteText"/>
      </w:pPr>
      <w:r w:rsidRPr="008E5C1D">
        <w:rPr>
          <w:rStyle w:val="FootnoteReference"/>
          <w:vertAlign w:val="baseline"/>
        </w:rPr>
        <w:footnoteRef/>
      </w:r>
      <w:r w:rsidRPr="008E5C1D">
        <w:t xml:space="preserve"> D13:7</w:t>
      </w:r>
    </w:p>
  </w:footnote>
  <w:footnote w:id="64">
    <w:p w14:paraId="7AB77D55" w14:textId="42A0B767" w:rsidR="00843214" w:rsidRPr="008E5C1D" w:rsidRDefault="00843214" w:rsidP="008E5C1D">
      <w:pPr>
        <w:pStyle w:val="FootnoteText"/>
      </w:pPr>
      <w:r w:rsidRPr="008E5C1D">
        <w:rPr>
          <w:rStyle w:val="FootnoteReference"/>
          <w:vertAlign w:val="baseline"/>
        </w:rPr>
        <w:footnoteRef/>
      </w:r>
      <w:r w:rsidRPr="008E5C1D">
        <w:t xml:space="preserve"> D47</w:t>
      </w:r>
    </w:p>
  </w:footnote>
  <w:footnote w:id="65">
    <w:p w14:paraId="63AD7156" w14:textId="2FF99A03" w:rsidR="00843214" w:rsidRPr="008E5C1D" w:rsidRDefault="00843214" w:rsidP="008E5C1D">
      <w:pPr>
        <w:pStyle w:val="FootnoteText"/>
      </w:pPr>
      <w:r w:rsidRPr="008E5C1D">
        <w:rPr>
          <w:rStyle w:val="FootnoteReference"/>
          <w:vertAlign w:val="baseline"/>
        </w:rPr>
        <w:footnoteRef/>
      </w:r>
      <w:r w:rsidRPr="008E5C1D">
        <w:t xml:space="preserve"> D47:3</w:t>
      </w:r>
    </w:p>
  </w:footnote>
  <w:footnote w:id="66">
    <w:p w14:paraId="3F46CA27" w14:textId="12DF80A4" w:rsidR="00843214" w:rsidRPr="008E5C1D" w:rsidRDefault="00843214" w:rsidP="008E5C1D">
      <w:pPr>
        <w:pStyle w:val="FootnoteText"/>
      </w:pPr>
      <w:r w:rsidRPr="008E5C1D">
        <w:rPr>
          <w:rStyle w:val="FootnoteReference"/>
          <w:vertAlign w:val="baseline"/>
        </w:rPr>
        <w:footnoteRef/>
      </w:r>
      <w:r w:rsidRPr="008E5C1D">
        <w:t xml:space="preserve"> D47:7</w:t>
      </w:r>
    </w:p>
  </w:footnote>
  <w:footnote w:id="67">
    <w:p w14:paraId="6521ED48" w14:textId="77777777" w:rsidR="00843214" w:rsidRPr="008E5C1D" w:rsidRDefault="00843214" w:rsidP="008E5C1D">
      <w:pPr>
        <w:pStyle w:val="FootnoteText"/>
      </w:pPr>
      <w:r w:rsidRPr="008E5C1D">
        <w:rPr>
          <w:rStyle w:val="FootnoteReference"/>
          <w:vertAlign w:val="baseline"/>
        </w:rPr>
        <w:footnoteRef/>
      </w:r>
      <w:r w:rsidRPr="008E5C1D">
        <w:t xml:space="preserve"> D47:7, D18c:2</w:t>
      </w:r>
    </w:p>
  </w:footnote>
  <w:footnote w:id="68">
    <w:p w14:paraId="55DF7612" w14:textId="1CFB6804" w:rsidR="00843214" w:rsidRPr="00E93490" w:rsidRDefault="00843214" w:rsidP="008E5C1D">
      <w:pPr>
        <w:pStyle w:val="FootnoteText"/>
        <w:rPr>
          <w:lang w:val="en-AU"/>
        </w:rPr>
      </w:pPr>
      <w:r w:rsidRPr="008E5C1D">
        <w:rPr>
          <w:rStyle w:val="FootnoteReference"/>
          <w:vertAlign w:val="baseline"/>
        </w:rPr>
        <w:footnoteRef/>
      </w:r>
      <w:r w:rsidRPr="008E5C1D">
        <w:t xml:space="preserve"> D47:5</w:t>
      </w:r>
    </w:p>
  </w:footnote>
  <w:footnote w:id="69">
    <w:p w14:paraId="5D48E254" w14:textId="13E46F7E" w:rsidR="00843214" w:rsidRPr="008E5C1D" w:rsidRDefault="00843214" w:rsidP="008E5C1D">
      <w:pPr>
        <w:pStyle w:val="FootnoteText"/>
      </w:pPr>
      <w:r w:rsidRPr="008E5C1D">
        <w:rPr>
          <w:rStyle w:val="FootnoteReference"/>
          <w:vertAlign w:val="baseline"/>
        </w:rPr>
        <w:footnoteRef/>
      </w:r>
      <w:r w:rsidRPr="008E5C1D">
        <w:t xml:space="preserve"> D45:6, D45:7</w:t>
      </w:r>
    </w:p>
  </w:footnote>
  <w:footnote w:id="70">
    <w:p w14:paraId="3B3DCDF3" w14:textId="4226E3EA" w:rsidR="00843214" w:rsidRPr="008E5C1D" w:rsidRDefault="00843214" w:rsidP="008E5C1D">
      <w:pPr>
        <w:pStyle w:val="FootnoteText"/>
      </w:pPr>
      <w:r w:rsidRPr="008E5C1D">
        <w:rPr>
          <w:rStyle w:val="FootnoteReference"/>
          <w:vertAlign w:val="baseline"/>
        </w:rPr>
        <w:footnoteRef/>
      </w:r>
      <w:r w:rsidRPr="008E5C1D">
        <w:t xml:space="preserve"> D45:7</w:t>
      </w:r>
    </w:p>
  </w:footnote>
  <w:footnote w:id="71">
    <w:p w14:paraId="1CD22399" w14:textId="697338EB" w:rsidR="00843214" w:rsidRPr="008E5C1D" w:rsidRDefault="00843214" w:rsidP="008E5C1D">
      <w:pPr>
        <w:pStyle w:val="FootnoteText"/>
      </w:pPr>
      <w:r w:rsidRPr="008E5C1D">
        <w:rPr>
          <w:rStyle w:val="FootnoteReference"/>
          <w:vertAlign w:val="baseline"/>
        </w:rPr>
        <w:footnoteRef/>
      </w:r>
      <w:r w:rsidRPr="008E5C1D">
        <w:t xml:space="preserve"> D47:5</w:t>
      </w:r>
    </w:p>
  </w:footnote>
  <w:footnote w:id="72">
    <w:p w14:paraId="45A5E2D6" w14:textId="611ABE13" w:rsidR="00843214" w:rsidRPr="008E5C1D" w:rsidRDefault="00843214" w:rsidP="008E5C1D">
      <w:pPr>
        <w:pStyle w:val="FootnoteText"/>
      </w:pPr>
      <w:r w:rsidRPr="008E5C1D">
        <w:rPr>
          <w:rStyle w:val="FootnoteReference"/>
          <w:vertAlign w:val="baseline"/>
        </w:rPr>
        <w:footnoteRef/>
      </w:r>
      <w:r w:rsidRPr="008E5C1D">
        <w:t xml:space="preserve"> Interview</w:t>
      </w:r>
    </w:p>
  </w:footnote>
  <w:footnote w:id="73">
    <w:p w14:paraId="068A94CA" w14:textId="7344A050" w:rsidR="00843214" w:rsidRPr="008E5C1D" w:rsidRDefault="00843214" w:rsidP="008E5C1D">
      <w:pPr>
        <w:pStyle w:val="FootnoteText"/>
      </w:pPr>
      <w:r w:rsidRPr="008E5C1D">
        <w:rPr>
          <w:rStyle w:val="FootnoteReference"/>
          <w:vertAlign w:val="baseline"/>
        </w:rPr>
        <w:footnoteRef/>
      </w:r>
      <w:r w:rsidRPr="008E5C1D">
        <w:t xml:space="preserve"> D47:21</w:t>
      </w:r>
    </w:p>
  </w:footnote>
  <w:footnote w:id="74">
    <w:p w14:paraId="78F3B9CE" w14:textId="16A4B156" w:rsidR="00843214" w:rsidRPr="008E5C1D" w:rsidRDefault="00843214" w:rsidP="008E5C1D">
      <w:pPr>
        <w:pStyle w:val="FootnoteText"/>
      </w:pPr>
      <w:r w:rsidRPr="008E5C1D">
        <w:rPr>
          <w:rStyle w:val="FootnoteReference"/>
          <w:vertAlign w:val="baseline"/>
        </w:rPr>
        <w:footnoteRef/>
      </w:r>
      <w:r w:rsidRPr="008E5C1D">
        <w:t xml:space="preserve"> D47:7</w:t>
      </w:r>
    </w:p>
  </w:footnote>
  <w:footnote w:id="75">
    <w:p w14:paraId="2CCADA7C" w14:textId="33AF6987" w:rsidR="00843214" w:rsidRPr="008E5C1D" w:rsidRDefault="00843214" w:rsidP="008E5C1D">
      <w:pPr>
        <w:pStyle w:val="FootnoteText"/>
      </w:pPr>
      <w:r w:rsidRPr="008E5C1D">
        <w:rPr>
          <w:rStyle w:val="FootnoteReference"/>
          <w:vertAlign w:val="baseline"/>
        </w:rPr>
        <w:footnoteRef/>
      </w:r>
      <w:r w:rsidRPr="008E5C1D">
        <w:t xml:space="preserve"> D13:7</w:t>
      </w:r>
    </w:p>
  </w:footnote>
  <w:footnote w:id="76">
    <w:p w14:paraId="79AFF683" w14:textId="44957442" w:rsidR="00843214" w:rsidRPr="008E5C1D" w:rsidRDefault="00843214" w:rsidP="008E5C1D">
      <w:pPr>
        <w:pStyle w:val="FootnoteText"/>
      </w:pPr>
      <w:r w:rsidRPr="008E5C1D">
        <w:rPr>
          <w:rStyle w:val="FootnoteReference"/>
          <w:vertAlign w:val="baseline"/>
        </w:rPr>
        <w:footnoteRef/>
      </w:r>
      <w:r w:rsidRPr="008E5C1D">
        <w:t xml:space="preserve"> For example, through its co-chairing role in the Regional Gender in Humanitarian Action Working Group for Asia and the Pacific, UN Women produced one of the first gendered impact advocacy briefs related to the pandemic (March 2020) outlining anticipated impact.</w:t>
      </w:r>
    </w:p>
  </w:footnote>
  <w:footnote w:id="77">
    <w:p w14:paraId="48EE215B" w14:textId="77D71119" w:rsidR="00843214" w:rsidRPr="008E5C1D" w:rsidRDefault="00843214" w:rsidP="008E5C1D">
      <w:pPr>
        <w:pStyle w:val="FootnoteText"/>
      </w:pPr>
      <w:r w:rsidRPr="008E5C1D">
        <w:rPr>
          <w:rStyle w:val="FootnoteReference"/>
          <w:vertAlign w:val="baseline"/>
        </w:rPr>
        <w:footnoteRef/>
      </w:r>
      <w:r w:rsidRPr="008E5C1D">
        <w:t xml:space="preserve"> Interview</w:t>
      </w:r>
    </w:p>
  </w:footnote>
  <w:footnote w:id="78">
    <w:p w14:paraId="5056CF21" w14:textId="1EA365DB" w:rsidR="00843214" w:rsidRPr="008E5C1D" w:rsidRDefault="00843214" w:rsidP="008E5C1D">
      <w:pPr>
        <w:pStyle w:val="FootnoteText"/>
      </w:pPr>
      <w:r w:rsidRPr="008E5C1D">
        <w:rPr>
          <w:rStyle w:val="FootnoteReference"/>
          <w:vertAlign w:val="baseline"/>
        </w:rPr>
        <w:footnoteRef/>
      </w:r>
      <w:r w:rsidRPr="008E5C1D">
        <w:t xml:space="preserve"> D13:6</w:t>
      </w:r>
    </w:p>
  </w:footnote>
  <w:footnote w:id="79">
    <w:p w14:paraId="01013A6D" w14:textId="299246FE" w:rsidR="00843214" w:rsidRPr="008E5C1D" w:rsidRDefault="00843214" w:rsidP="008E5C1D">
      <w:pPr>
        <w:pStyle w:val="FootnoteText"/>
      </w:pPr>
      <w:r w:rsidRPr="008E5C1D">
        <w:rPr>
          <w:rStyle w:val="FootnoteReference"/>
          <w:vertAlign w:val="baseline"/>
        </w:rPr>
        <w:footnoteRef/>
      </w:r>
      <w:r w:rsidRPr="008E5C1D">
        <w:t xml:space="preserve"> </w:t>
      </w:r>
      <w:hyperlink r:id="rId5">
        <w:r w:rsidRPr="008E5C1D">
          <w:rPr>
            <w:rStyle w:val="Hyperlink"/>
            <w:color w:val="auto"/>
            <w:u w:val="none"/>
          </w:rPr>
          <w:t>https://www.unwomen.org/en/digital-library/publications/2020/04/series-evaw-covid-19-briefs</w:t>
        </w:r>
      </w:hyperlink>
    </w:p>
  </w:footnote>
  <w:footnote w:id="80">
    <w:p w14:paraId="2F455EDE" w14:textId="18A3B01A" w:rsidR="00843214" w:rsidRPr="00001699" w:rsidRDefault="00843214" w:rsidP="008E5C1D">
      <w:pPr>
        <w:pStyle w:val="FootnoteText"/>
      </w:pPr>
      <w:r w:rsidRPr="008E5C1D">
        <w:rPr>
          <w:rStyle w:val="FootnoteReference"/>
          <w:vertAlign w:val="baseline"/>
        </w:rPr>
        <w:footnoteRef/>
      </w:r>
      <w:r w:rsidRPr="008E5C1D">
        <w:t xml:space="preserve"> Interview</w:t>
      </w:r>
    </w:p>
  </w:footnote>
  <w:footnote w:id="81">
    <w:p w14:paraId="473C486D" w14:textId="3DF76E87" w:rsidR="00843214" w:rsidRPr="008E5C1D" w:rsidRDefault="00843214" w:rsidP="008E5C1D">
      <w:pPr>
        <w:pStyle w:val="FootnoteText"/>
      </w:pPr>
      <w:r w:rsidRPr="008E5C1D">
        <w:rPr>
          <w:rStyle w:val="FootnoteReference"/>
          <w:vertAlign w:val="baseline"/>
        </w:rPr>
        <w:footnoteRef/>
      </w:r>
      <w:r w:rsidRPr="008E5C1D">
        <w:t xml:space="preserve"> D67:3</w:t>
      </w:r>
    </w:p>
  </w:footnote>
  <w:footnote w:id="82">
    <w:p w14:paraId="41D1F25D" w14:textId="71B81780" w:rsidR="00843214" w:rsidRPr="008E5C1D" w:rsidRDefault="00843214" w:rsidP="008E5C1D">
      <w:pPr>
        <w:pStyle w:val="FootnoteText"/>
      </w:pPr>
      <w:r w:rsidRPr="008E5C1D">
        <w:rPr>
          <w:rStyle w:val="FootnoteReference"/>
          <w:vertAlign w:val="baseline"/>
        </w:rPr>
        <w:footnoteRef/>
      </w:r>
      <w:r w:rsidRPr="008E5C1D">
        <w:t xml:space="preserve"> D29:9</w:t>
      </w:r>
    </w:p>
  </w:footnote>
  <w:footnote w:id="83">
    <w:p w14:paraId="2AC63701" w14:textId="199D4000" w:rsidR="00843214" w:rsidRPr="008E5C1D" w:rsidRDefault="00843214" w:rsidP="008E5C1D">
      <w:pPr>
        <w:pStyle w:val="FootnoteText"/>
      </w:pPr>
      <w:r w:rsidRPr="008E5C1D">
        <w:rPr>
          <w:rStyle w:val="FootnoteReference"/>
          <w:vertAlign w:val="baseline"/>
        </w:rPr>
        <w:footnoteRef/>
      </w:r>
      <w:r w:rsidRPr="008E5C1D">
        <w:t xml:space="preserve"> These include a humanitarian partner roundtable with OCHA and UNFPA in July 2020 and bilateral strategic dialogue with UNHCR in November 2020. </w:t>
      </w:r>
    </w:p>
  </w:footnote>
  <w:footnote w:id="84">
    <w:p w14:paraId="15CF5711" w14:textId="77777777" w:rsidR="00843214" w:rsidRPr="00DA0920" w:rsidRDefault="00843214" w:rsidP="008E5C1D">
      <w:pPr>
        <w:pStyle w:val="FootnoteText"/>
        <w:rPr>
          <w:lang w:val="en-AU"/>
        </w:rPr>
      </w:pPr>
      <w:r w:rsidRPr="008E5C1D">
        <w:rPr>
          <w:rStyle w:val="FootnoteReference"/>
          <w:vertAlign w:val="baseline"/>
        </w:rPr>
        <w:footnoteRef/>
      </w:r>
      <w:r w:rsidRPr="008E5C1D">
        <w:t xml:space="preserve"> D17</w:t>
      </w:r>
    </w:p>
  </w:footnote>
  <w:footnote w:id="85">
    <w:p w14:paraId="4E4BEBBC" w14:textId="77777777" w:rsidR="00843214" w:rsidRPr="008E5C1D" w:rsidRDefault="00843214" w:rsidP="008E5C1D">
      <w:pPr>
        <w:pStyle w:val="FootnoteText"/>
      </w:pPr>
      <w:r w:rsidRPr="008E5C1D">
        <w:rPr>
          <w:rStyle w:val="FootnoteReference"/>
          <w:vertAlign w:val="baseline"/>
        </w:rPr>
        <w:footnoteRef/>
      </w:r>
      <w:r w:rsidRPr="008E5C1D">
        <w:t xml:space="preserve"> Interview</w:t>
      </w:r>
    </w:p>
  </w:footnote>
  <w:footnote w:id="86">
    <w:p w14:paraId="4EE97F8E" w14:textId="034135DB" w:rsidR="00843214" w:rsidRPr="008E5C1D" w:rsidRDefault="00843214" w:rsidP="008E5C1D">
      <w:pPr>
        <w:pStyle w:val="FootnoteText"/>
      </w:pPr>
      <w:r w:rsidRPr="008E5C1D">
        <w:rPr>
          <w:rStyle w:val="FootnoteReference"/>
          <w:vertAlign w:val="baseline"/>
        </w:rPr>
        <w:footnoteRef/>
      </w:r>
      <w:r w:rsidRPr="008E5C1D">
        <w:t xml:space="preserve"> Interviews; UN Women has a country presence in Afghanistan, Bangladesh, Cambodia, Nepal, Pakistan, Papua New Guinea, Timor-Leste; Multi-Country Offices in Fiji (which supports governments and CSO across 14 Pacific Island countries) and India (and a Regional Office in Bangkok). </w:t>
      </w:r>
    </w:p>
  </w:footnote>
  <w:footnote w:id="87">
    <w:p w14:paraId="18B8AA23" w14:textId="3E459A03" w:rsidR="00843214" w:rsidRPr="008E5C1D" w:rsidRDefault="00843214" w:rsidP="008E5C1D">
      <w:pPr>
        <w:pStyle w:val="FootnoteText"/>
      </w:pPr>
      <w:r w:rsidRPr="008E5C1D">
        <w:rPr>
          <w:rStyle w:val="FootnoteReference"/>
          <w:vertAlign w:val="baseline"/>
        </w:rPr>
        <w:footnoteRef/>
      </w:r>
      <w:r w:rsidRPr="008E5C1D">
        <w:t xml:space="preserve"> D57:3, Interview</w:t>
      </w:r>
    </w:p>
  </w:footnote>
  <w:footnote w:id="88">
    <w:p w14:paraId="4B98ABF8" w14:textId="6AB284D2" w:rsidR="00843214" w:rsidRPr="008E5C1D" w:rsidRDefault="00843214" w:rsidP="008E5C1D">
      <w:pPr>
        <w:pStyle w:val="FootnoteText"/>
      </w:pPr>
      <w:r w:rsidRPr="008E5C1D">
        <w:rPr>
          <w:rStyle w:val="FootnoteReference"/>
          <w:vertAlign w:val="baseline"/>
        </w:rPr>
        <w:footnoteRef/>
      </w:r>
      <w:r w:rsidRPr="008E5C1D">
        <w:t xml:space="preserve"> D53:2, D19:5</w:t>
      </w:r>
    </w:p>
  </w:footnote>
  <w:footnote w:id="89">
    <w:p w14:paraId="50A32509" w14:textId="49152A6F" w:rsidR="00843214" w:rsidRPr="008E5C1D" w:rsidRDefault="00843214" w:rsidP="008E5C1D">
      <w:pPr>
        <w:pStyle w:val="FootnoteText"/>
      </w:pPr>
      <w:r w:rsidRPr="008E5C1D">
        <w:rPr>
          <w:rStyle w:val="FootnoteReference"/>
          <w:vertAlign w:val="baseline"/>
        </w:rPr>
        <w:footnoteRef/>
      </w:r>
      <w:r w:rsidRPr="008E5C1D">
        <w:t xml:space="preserve"> Strengthening Organizational Structure for Delivering Gender Equality Results – Corporate Evaluation of the Regional Architecture of UN Women, Independent Evaluation Office, 2016</w:t>
      </w:r>
    </w:p>
  </w:footnote>
  <w:footnote w:id="90">
    <w:p w14:paraId="75D04211" w14:textId="3756D0C4" w:rsidR="00843214" w:rsidRPr="002D6838" w:rsidRDefault="00843214" w:rsidP="008E5C1D">
      <w:pPr>
        <w:pStyle w:val="FootnoteText"/>
        <w:rPr>
          <w:sz w:val="16"/>
          <w:szCs w:val="16"/>
          <w:lang w:val="en-US"/>
        </w:rPr>
      </w:pPr>
      <w:r w:rsidRPr="008E5C1D">
        <w:rPr>
          <w:rStyle w:val="FootnoteReference"/>
          <w:vertAlign w:val="baseline"/>
        </w:rPr>
        <w:footnoteRef/>
      </w:r>
      <w:r w:rsidRPr="008E5C1D">
        <w:t xml:space="preserve"> </w:t>
      </w:r>
      <w:hyperlink r:id="rId6" w:history="1">
        <w:r w:rsidRPr="008E5C1D">
          <w:rPr>
            <w:rStyle w:val="Hyperlink"/>
            <w:color w:val="auto"/>
            <w:u w:val="none"/>
          </w:rPr>
          <w:t>https://undocs.org/en/UNW/2019/6</w:t>
        </w:r>
      </w:hyperlink>
      <w:r w:rsidRPr="008E5C1D">
        <w:t xml:space="preserve"> Asia Pacific Staffing has 2 D-1 positions; 23 Program staff; 15 National Officers and 27 General staff. This is proportionate with staffing arrangements across UN Women’s divisions and across its regional offices.</w:t>
      </w:r>
      <w:r w:rsidRPr="002D6838">
        <w:rPr>
          <w:sz w:val="16"/>
          <w:szCs w:val="16"/>
          <w:lang w:val="en-US"/>
        </w:rPr>
        <w:t xml:space="preserve"> </w:t>
      </w:r>
    </w:p>
  </w:footnote>
  <w:footnote w:id="91">
    <w:p w14:paraId="122F0A2F" w14:textId="77777777" w:rsidR="00843214" w:rsidRPr="008E5C1D" w:rsidRDefault="00843214" w:rsidP="008E5C1D">
      <w:pPr>
        <w:pStyle w:val="FootnoteText"/>
      </w:pPr>
      <w:r w:rsidRPr="008E5C1D">
        <w:rPr>
          <w:rStyle w:val="FootnoteReference"/>
          <w:vertAlign w:val="baseline"/>
        </w:rPr>
        <w:footnoteRef/>
      </w:r>
      <w:r w:rsidRPr="008E5C1D">
        <w:t xml:space="preserve"> Interviews</w:t>
      </w:r>
    </w:p>
  </w:footnote>
  <w:footnote w:id="92">
    <w:p w14:paraId="1F37C481" w14:textId="649B9FD4" w:rsidR="00843214" w:rsidRPr="008E5C1D" w:rsidRDefault="00843214" w:rsidP="008E5C1D">
      <w:pPr>
        <w:pStyle w:val="FootnoteText"/>
      </w:pPr>
      <w:r w:rsidRPr="008E5C1D">
        <w:rPr>
          <w:rStyle w:val="FootnoteReference"/>
          <w:vertAlign w:val="baseline"/>
        </w:rPr>
        <w:footnoteRef/>
      </w:r>
      <w:r w:rsidRPr="008E5C1D">
        <w:t xml:space="preserve"> D18c.</w:t>
      </w:r>
    </w:p>
  </w:footnote>
  <w:footnote w:id="93">
    <w:p w14:paraId="3EEBFE20" w14:textId="00FECBFB" w:rsidR="00843214" w:rsidRPr="008E5C1D" w:rsidRDefault="00843214" w:rsidP="008E5C1D">
      <w:pPr>
        <w:pStyle w:val="FootnoteText"/>
      </w:pPr>
      <w:r w:rsidRPr="008E5C1D">
        <w:rPr>
          <w:rStyle w:val="FootnoteReference"/>
          <w:vertAlign w:val="baseline"/>
        </w:rPr>
        <w:footnoteRef/>
      </w:r>
      <w:r w:rsidRPr="008E5C1D">
        <w:t xml:space="preserve"> D3:4. To support coherence and effectiveness, in line with the Quadrennial Comprehensive Policy Review 2016 of the UN development system. the Strategic Plans 2018-2021 of UNDP, UNFPA, UNICEF and UN-Women have a common chapter describing a commitment of the four agencies to work collaboratively in compliance with their respective mandates and in partnership with other members of the United Nations family to contribute to the implementation of the 2030 Agenda for Sustainable Development and Sustainable Development Goals.</w:t>
      </w:r>
    </w:p>
  </w:footnote>
  <w:footnote w:id="94">
    <w:p w14:paraId="049F1503" w14:textId="7196033A" w:rsidR="00843214" w:rsidRPr="00215B26" w:rsidRDefault="00843214" w:rsidP="008E5C1D">
      <w:pPr>
        <w:pStyle w:val="FootnoteText"/>
        <w:rPr>
          <w:lang w:val="en-AU"/>
        </w:rPr>
      </w:pPr>
      <w:r w:rsidRPr="008E5C1D">
        <w:rPr>
          <w:rStyle w:val="FootnoteReference"/>
          <w:vertAlign w:val="baseline"/>
        </w:rPr>
        <w:footnoteRef/>
      </w:r>
      <w:r w:rsidRPr="008E5C1D">
        <w:t xml:space="preserve"> D1:9</w:t>
      </w:r>
    </w:p>
  </w:footnote>
  <w:footnote w:id="95">
    <w:p w14:paraId="3718AF3D" w14:textId="77777777" w:rsidR="00843214" w:rsidRPr="008E5C1D" w:rsidRDefault="00843214" w:rsidP="008E5C1D">
      <w:pPr>
        <w:pStyle w:val="FootnoteText"/>
      </w:pPr>
      <w:r w:rsidRPr="008E5C1D">
        <w:footnoteRef/>
      </w:r>
      <w:r w:rsidRPr="008E5C1D">
        <w:t xml:space="preserve"> D17:28</w:t>
      </w:r>
    </w:p>
  </w:footnote>
  <w:footnote w:id="96">
    <w:p w14:paraId="17C09D38" w14:textId="020B5151" w:rsidR="00843214" w:rsidRPr="008E5C1D" w:rsidRDefault="00843214" w:rsidP="008E5C1D">
      <w:pPr>
        <w:pStyle w:val="FootnoteText"/>
      </w:pPr>
      <w:r w:rsidRPr="008E5C1D">
        <w:footnoteRef/>
      </w:r>
      <w:r w:rsidRPr="008E5C1D">
        <w:t xml:space="preserve"> Interview</w:t>
      </w:r>
    </w:p>
  </w:footnote>
  <w:footnote w:id="97">
    <w:p w14:paraId="4CC97A64" w14:textId="77777777" w:rsidR="00843214" w:rsidRPr="008E5C1D" w:rsidRDefault="00843214" w:rsidP="008E5C1D">
      <w:pPr>
        <w:pStyle w:val="FootnoteText"/>
      </w:pPr>
      <w:r w:rsidRPr="008E5C1D">
        <w:footnoteRef/>
      </w:r>
      <w:r w:rsidRPr="008E5C1D">
        <w:t xml:space="preserve"> UN Women refers to Asia Pacific, whereas DFAT refers to Indo-Pacific. DFAT does not have a defined list of countries that are classified as the Indo-Pacific. UN Women covers the Asia-Pacific as follows: https://asiapacific.unwomen.org/en/countries</w:t>
      </w:r>
    </w:p>
  </w:footnote>
  <w:footnote w:id="98">
    <w:p w14:paraId="68691F53" w14:textId="77777777" w:rsidR="00843214" w:rsidRPr="008A3134" w:rsidRDefault="00843214" w:rsidP="008E5C1D">
      <w:pPr>
        <w:pStyle w:val="FootnoteText"/>
        <w:rPr>
          <w:lang w:val="en-AU"/>
        </w:rPr>
      </w:pPr>
      <w:r w:rsidRPr="008E5C1D">
        <w:footnoteRef/>
      </w:r>
      <w:r w:rsidRPr="008E5C1D">
        <w:t xml:space="preserve"> The </w:t>
      </w:r>
      <w:bookmarkStart w:id="83" w:name="_Hlk69310229"/>
      <w:r w:rsidRPr="008E5C1D">
        <w:t xml:space="preserve">UN Women’s Regular Resources Report 2019 </w:t>
      </w:r>
      <w:bookmarkEnd w:id="83"/>
      <w:r w:rsidRPr="008E5C1D">
        <w:t>broadly disaggregates the proportions of core funding  spent at the Asia-Pacific regional level but does not identify the value or what percentage of overall core funding is spent in the region. In the Asia-Pacific Region, 76 per cent of regular resource spending is on program implementation, 10 per cent on normative functions, 7 per cent on coordination, 5 per cent on knowledge and results management, and 2 per cent on partnerships, communications and resource mobilisation.</w:t>
      </w:r>
    </w:p>
  </w:footnote>
  <w:footnote w:id="99">
    <w:p w14:paraId="74754D52" w14:textId="11904988" w:rsidR="00843214" w:rsidRPr="008E5C1D" w:rsidRDefault="00843214" w:rsidP="008E5C1D">
      <w:pPr>
        <w:pStyle w:val="FootnoteText"/>
      </w:pPr>
      <w:r w:rsidRPr="008E5C1D">
        <w:footnoteRef/>
      </w:r>
      <w:r w:rsidRPr="008E5C1D">
        <w:t xml:space="preserve"> D53:6</w:t>
      </w:r>
    </w:p>
  </w:footnote>
  <w:footnote w:id="100">
    <w:p w14:paraId="7EA764A3" w14:textId="102BF0F9" w:rsidR="00843214" w:rsidRPr="0070187E" w:rsidRDefault="00843214" w:rsidP="008E5C1D">
      <w:pPr>
        <w:pStyle w:val="FootnoteText"/>
        <w:rPr>
          <w:lang w:val="en-AU"/>
        </w:rPr>
      </w:pPr>
      <w:r w:rsidRPr="008E5C1D">
        <w:footnoteRef/>
      </w:r>
      <w:r w:rsidRPr="008E5C1D">
        <w:t xml:space="preserve"> D54:5</w:t>
      </w:r>
    </w:p>
  </w:footnote>
  <w:footnote w:id="101">
    <w:p w14:paraId="5848BE56" w14:textId="6E5A6E5F" w:rsidR="00843214" w:rsidRPr="006B1FA0" w:rsidRDefault="00843214" w:rsidP="0026745C">
      <w:pPr>
        <w:pStyle w:val="FootnoteText"/>
        <w:rPr>
          <w:szCs w:val="15"/>
          <w:lang w:val="en-US"/>
        </w:rPr>
      </w:pPr>
      <w:r w:rsidRPr="006B1FA0">
        <w:rPr>
          <w:rStyle w:val="FootnoteReference"/>
          <w:szCs w:val="15"/>
        </w:rPr>
        <w:footnoteRef/>
      </w:r>
      <w:r w:rsidRPr="006B1FA0">
        <w:rPr>
          <w:szCs w:val="15"/>
        </w:rPr>
        <w:t xml:space="preserve"> </w:t>
      </w:r>
      <w:r w:rsidRPr="006B1FA0">
        <w:rPr>
          <w:rFonts w:eastAsiaTheme="minorHAnsi" w:cstheme="minorBidi"/>
          <w:szCs w:val="15"/>
          <w:lang w:val="en-US"/>
        </w:rPr>
        <w:t>The Review matrix includes indicative alignment to the OECD DAC Criteria. While the OECD DAC is implicit in the Review it may not be directly addressed in the report given that it is not an evaluation.</w:t>
      </w:r>
    </w:p>
  </w:footnote>
  <w:footnote w:id="102">
    <w:p w14:paraId="79BABCDC" w14:textId="77777777" w:rsidR="00843214" w:rsidRPr="006B1FA0" w:rsidRDefault="00843214" w:rsidP="0026745C">
      <w:pPr>
        <w:pStyle w:val="CommentText"/>
        <w:spacing w:after="0"/>
        <w:rPr>
          <w:sz w:val="15"/>
          <w:szCs w:val="15"/>
        </w:rPr>
      </w:pPr>
      <w:r w:rsidRPr="006B1FA0">
        <w:rPr>
          <w:rStyle w:val="FootnoteReference"/>
          <w:sz w:val="15"/>
          <w:szCs w:val="15"/>
        </w:rPr>
        <w:footnoteRef/>
      </w:r>
      <w:r w:rsidRPr="006B1FA0">
        <w:rPr>
          <w:sz w:val="15"/>
          <w:szCs w:val="15"/>
        </w:rPr>
        <w:t xml:space="preserve"> Following DFAT/UN Women prioritisation of shared SPF objectives:</w:t>
      </w:r>
    </w:p>
    <w:p w14:paraId="0BEC390A" w14:textId="77777777" w:rsidR="00843214" w:rsidRPr="006B1FA0" w:rsidRDefault="00843214" w:rsidP="0026745C">
      <w:pPr>
        <w:pStyle w:val="CommentText"/>
        <w:numPr>
          <w:ilvl w:val="0"/>
          <w:numId w:val="21"/>
        </w:numPr>
        <w:spacing w:after="0"/>
        <w:rPr>
          <w:sz w:val="15"/>
          <w:szCs w:val="15"/>
        </w:rPr>
      </w:pPr>
      <w:r w:rsidRPr="006B1FA0">
        <w:rPr>
          <w:bCs/>
          <w:sz w:val="15"/>
          <w:szCs w:val="15"/>
        </w:rPr>
        <w:t xml:space="preserve">performance; normative standard setting; UN coordination on gender </w:t>
      </w:r>
      <w:r w:rsidRPr="006B1FA0">
        <w:rPr>
          <w:bCs/>
          <w:sz w:val="15"/>
          <w:szCs w:val="15"/>
        </w:rPr>
        <w:t xml:space="preserve">mainstreaming; </w:t>
      </w:r>
    </w:p>
    <w:p w14:paraId="0054E484" w14:textId="77777777" w:rsidR="00843214" w:rsidRPr="006B1FA0" w:rsidRDefault="00843214" w:rsidP="0026745C">
      <w:pPr>
        <w:pStyle w:val="CommentText"/>
        <w:numPr>
          <w:ilvl w:val="0"/>
          <w:numId w:val="21"/>
        </w:numPr>
        <w:spacing w:after="0"/>
        <w:rPr>
          <w:sz w:val="15"/>
          <w:szCs w:val="15"/>
        </w:rPr>
      </w:pPr>
      <w:r w:rsidRPr="006B1FA0">
        <w:rPr>
          <w:bCs/>
          <w:sz w:val="15"/>
          <w:szCs w:val="15"/>
        </w:rPr>
        <w:t>women’s participation and voice; women’s economic empowerment; ending violence against women; engagement with women’s organisations;</w:t>
      </w:r>
    </w:p>
    <w:p w14:paraId="53CF520D" w14:textId="77777777" w:rsidR="00843214" w:rsidRPr="006B1FA0" w:rsidRDefault="00843214" w:rsidP="0026745C">
      <w:pPr>
        <w:pStyle w:val="FootnoteText"/>
        <w:numPr>
          <w:ilvl w:val="0"/>
          <w:numId w:val="21"/>
        </w:numPr>
        <w:rPr>
          <w:szCs w:val="15"/>
          <w:lang w:val="en-AU"/>
        </w:rPr>
      </w:pPr>
      <w:r w:rsidRPr="006B1FA0">
        <w:rPr>
          <w:bCs/>
          <w:szCs w:val="15"/>
        </w:rPr>
        <w:t>disability inclusive development; private sector and innovation</w:t>
      </w:r>
    </w:p>
  </w:footnote>
  <w:footnote w:id="103">
    <w:p w14:paraId="2DF0A8CD" w14:textId="6B1B6936" w:rsidR="00843214" w:rsidRPr="006E6A21" w:rsidRDefault="00843214" w:rsidP="002D4BDE">
      <w:pPr>
        <w:spacing w:after="0"/>
      </w:pPr>
      <w:r w:rsidRPr="006B1FA0">
        <w:rPr>
          <w:rStyle w:val="FootnoteReference"/>
          <w:sz w:val="15"/>
          <w:szCs w:val="15"/>
        </w:rPr>
        <w:footnoteRef/>
      </w:r>
      <w:r w:rsidRPr="006B1FA0">
        <w:rPr>
          <w:sz w:val="15"/>
          <w:szCs w:val="15"/>
        </w:rPr>
        <w:t xml:space="preserve"> The Global Evaluation Reports Assessment and Analysis System (GERAAS) is a retrospective external assessment of UN-Women evaluation reports.</w:t>
      </w:r>
    </w:p>
  </w:footnote>
  <w:footnote w:id="104">
    <w:p w14:paraId="18F61813" w14:textId="160B2FC7" w:rsidR="00843214" w:rsidRPr="00545171" w:rsidRDefault="00843214" w:rsidP="0026745C">
      <w:pPr>
        <w:pStyle w:val="FootnoteText"/>
        <w:rPr>
          <w:lang w:val="en-AU"/>
        </w:rPr>
      </w:pPr>
      <w:r>
        <w:rPr>
          <w:rStyle w:val="FootnoteReference"/>
        </w:rPr>
        <w:footnoteRef/>
      </w:r>
      <w:r>
        <w:t xml:space="preserve"> </w:t>
      </w:r>
      <w:r w:rsidRPr="00545171">
        <w:rPr>
          <w:sz w:val="16"/>
          <w:szCs w:val="16"/>
        </w:rPr>
        <w:t xml:space="preserve">UN Women EVAW non-core initiatives including Global Essential Services, UN Trust Fund EVAW and Prevention program Stepping up solutions </w:t>
      </w:r>
      <w:r w:rsidRPr="00545171">
        <w:rPr>
          <w:sz w:val="16"/>
          <w:szCs w:val="16"/>
          <w:lang w:val="en-AU"/>
        </w:rPr>
        <w:t xml:space="preserve">in the Pacific </w:t>
      </w:r>
      <w:r w:rsidRPr="00545171">
        <w:rPr>
          <w:sz w:val="16"/>
          <w:szCs w:val="16"/>
        </w:rPr>
        <w:t xml:space="preserve">are </w:t>
      </w:r>
      <w:r w:rsidRPr="00545171">
        <w:rPr>
          <w:sz w:val="16"/>
          <w:szCs w:val="16"/>
          <w:lang w:val="en-AU"/>
        </w:rPr>
        <w:t xml:space="preserve">grouped </w:t>
      </w:r>
      <w:r w:rsidRPr="00545171">
        <w:rPr>
          <w:sz w:val="16"/>
          <w:szCs w:val="16"/>
        </w:rPr>
        <w:t xml:space="preserve"> under one partnership agreement. UNTF EVAW and essential Services are both global initiatives.</w:t>
      </w:r>
    </w:p>
  </w:footnote>
  <w:footnote w:id="105">
    <w:p w14:paraId="2654EE8B" w14:textId="26D2793C" w:rsidR="00843214" w:rsidRPr="00B66341" w:rsidRDefault="00843214" w:rsidP="0026745C">
      <w:pPr>
        <w:pStyle w:val="FootnoteText"/>
        <w:rPr>
          <w:lang w:val="en-AU"/>
        </w:rPr>
      </w:pPr>
      <w:r w:rsidRPr="00B66341">
        <w:rPr>
          <w:rStyle w:val="FootnoteReference"/>
        </w:rPr>
        <w:footnoteRef/>
      </w:r>
      <w:r w:rsidRPr="00B66341">
        <w:t xml:space="preserve"> </w:t>
      </w:r>
      <w:r w:rsidRPr="00B66341">
        <w:rPr>
          <w:lang w:val="en-AU"/>
        </w:rPr>
        <w:t>D17:28</w:t>
      </w:r>
    </w:p>
  </w:footnote>
  <w:footnote w:id="106">
    <w:p w14:paraId="235021A4" w14:textId="77777777" w:rsidR="00843214" w:rsidRPr="00B66341" w:rsidRDefault="00843214" w:rsidP="0026745C">
      <w:pPr>
        <w:pStyle w:val="FootnoteText"/>
        <w:rPr>
          <w:lang w:val="en-AU"/>
        </w:rPr>
      </w:pPr>
      <w:r w:rsidRPr="00B66341">
        <w:rPr>
          <w:rStyle w:val="FootnoteReference"/>
        </w:rPr>
        <w:footnoteRef/>
      </w:r>
      <w:r w:rsidRPr="00B66341">
        <w:t xml:space="preserve"> </w:t>
      </w:r>
      <w:r w:rsidRPr="00B66341">
        <w:rPr>
          <w:lang w:val="en-AU"/>
        </w:rPr>
        <w:t>D17:5 and 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6986" w14:textId="77777777" w:rsidR="00843214" w:rsidRDefault="00843214">
    <w:r w:rsidRPr="003B3914">
      <w:rPr>
        <w:noProof/>
      </w:rPr>
      <w:drawing>
        <wp:anchor distT="0" distB="0" distL="114300" distR="114300" simplePos="0" relativeHeight="251658241" behindDoc="0" locked="0" layoutInCell="1" allowOverlap="1" wp14:anchorId="50A211DA" wp14:editId="49E099E4">
          <wp:simplePos x="0" y="0"/>
          <wp:positionH relativeFrom="margin">
            <wp:posOffset>5408579</wp:posOffset>
          </wp:positionH>
          <wp:positionV relativeFrom="paragraph">
            <wp:posOffset>-233937</wp:posOffset>
          </wp:positionV>
          <wp:extent cx="1028700" cy="55181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51815"/>
                  </a:xfrm>
                  <a:prstGeom prst="rect">
                    <a:avLst/>
                  </a:prstGeom>
                </pic:spPr>
              </pic:pic>
            </a:graphicData>
          </a:graphic>
          <wp14:sizeRelH relativeFrom="page">
            <wp14:pctWidth>0</wp14:pctWidth>
          </wp14:sizeRelH>
          <wp14:sizeRelV relativeFrom="page">
            <wp14:pctHeight>0</wp14:pctHeight>
          </wp14:sizeRelV>
        </wp:anchor>
      </w:drawing>
    </w:r>
    <w:r w:rsidRPr="003B3914">
      <w:rPr>
        <w:noProof/>
      </w:rPr>
      <w:drawing>
        <wp:anchor distT="0" distB="0" distL="114300" distR="114300" simplePos="0" relativeHeight="251658240" behindDoc="0" locked="0" layoutInCell="1" allowOverlap="1" wp14:anchorId="47EFECAA" wp14:editId="002CE6AA">
          <wp:simplePos x="0" y="0"/>
          <wp:positionH relativeFrom="margin">
            <wp:posOffset>5408579</wp:posOffset>
          </wp:positionH>
          <wp:positionV relativeFrom="paragraph">
            <wp:posOffset>-233937</wp:posOffset>
          </wp:positionV>
          <wp:extent cx="1028700" cy="551815"/>
          <wp:effectExtent l="0" t="0" r="0" b="63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51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E334" w14:textId="77777777" w:rsidR="00843214" w:rsidRPr="00405853" w:rsidRDefault="00843214" w:rsidP="00405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34AA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182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6A3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FA2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1AA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C6F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C3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9C1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E75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9252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4645"/>
    <w:multiLevelType w:val="hybridMultilevel"/>
    <w:tmpl w:val="14ECF384"/>
    <w:lvl w:ilvl="0" w:tplc="F42A7A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E644645"/>
    <w:multiLevelType w:val="hybridMultilevel"/>
    <w:tmpl w:val="EFA0657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A5608"/>
    <w:multiLevelType w:val="hybridMultilevel"/>
    <w:tmpl w:val="8DB4A02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A183D"/>
    <w:multiLevelType w:val="hybridMultilevel"/>
    <w:tmpl w:val="2A98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72511"/>
    <w:multiLevelType w:val="hybridMultilevel"/>
    <w:tmpl w:val="5A24B2BA"/>
    <w:lvl w:ilvl="0" w:tplc="0C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89E72DA"/>
    <w:multiLevelType w:val="hybridMultilevel"/>
    <w:tmpl w:val="AF6E917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07913"/>
    <w:multiLevelType w:val="hybridMultilevel"/>
    <w:tmpl w:val="7CC655C6"/>
    <w:lvl w:ilvl="0" w:tplc="F786549C">
      <w:start w:val="1"/>
      <w:numFmt w:val="decimal"/>
      <w:pStyle w:val="IODPARClistnumber"/>
      <w:lvlText w:val="%1."/>
      <w:lvlJc w:val="left"/>
      <w:pPr>
        <w:ind w:left="286" w:hanging="360"/>
      </w:pPr>
      <w:rPr>
        <w:rFonts w:ascii="HelveticaNeueLT Std" w:hAnsi="HelveticaNeueLT Std" w:hint="default"/>
        <w:sz w:val="22"/>
      </w:rPr>
    </w:lvl>
    <w:lvl w:ilvl="1" w:tplc="08090019" w:tentative="1">
      <w:start w:val="1"/>
      <w:numFmt w:val="lowerLetter"/>
      <w:lvlText w:val="%2."/>
      <w:lvlJc w:val="left"/>
      <w:pPr>
        <w:ind w:left="1006" w:hanging="360"/>
      </w:pPr>
    </w:lvl>
    <w:lvl w:ilvl="2" w:tplc="0809001B" w:tentative="1">
      <w:start w:val="1"/>
      <w:numFmt w:val="lowerRoman"/>
      <w:lvlText w:val="%3."/>
      <w:lvlJc w:val="right"/>
      <w:pPr>
        <w:ind w:left="1726" w:hanging="180"/>
      </w:pPr>
    </w:lvl>
    <w:lvl w:ilvl="3" w:tplc="0809000F" w:tentative="1">
      <w:start w:val="1"/>
      <w:numFmt w:val="decimal"/>
      <w:lvlText w:val="%4."/>
      <w:lvlJc w:val="left"/>
      <w:pPr>
        <w:ind w:left="2446" w:hanging="360"/>
      </w:pPr>
    </w:lvl>
    <w:lvl w:ilvl="4" w:tplc="08090019" w:tentative="1">
      <w:start w:val="1"/>
      <w:numFmt w:val="lowerLetter"/>
      <w:lvlText w:val="%5."/>
      <w:lvlJc w:val="left"/>
      <w:pPr>
        <w:ind w:left="3166" w:hanging="360"/>
      </w:pPr>
    </w:lvl>
    <w:lvl w:ilvl="5" w:tplc="0809001B" w:tentative="1">
      <w:start w:val="1"/>
      <w:numFmt w:val="lowerRoman"/>
      <w:lvlText w:val="%6."/>
      <w:lvlJc w:val="right"/>
      <w:pPr>
        <w:ind w:left="3886" w:hanging="180"/>
      </w:pPr>
    </w:lvl>
    <w:lvl w:ilvl="6" w:tplc="0809000F" w:tentative="1">
      <w:start w:val="1"/>
      <w:numFmt w:val="decimal"/>
      <w:lvlText w:val="%7."/>
      <w:lvlJc w:val="left"/>
      <w:pPr>
        <w:ind w:left="4606" w:hanging="360"/>
      </w:pPr>
    </w:lvl>
    <w:lvl w:ilvl="7" w:tplc="08090019" w:tentative="1">
      <w:start w:val="1"/>
      <w:numFmt w:val="lowerLetter"/>
      <w:lvlText w:val="%8."/>
      <w:lvlJc w:val="left"/>
      <w:pPr>
        <w:ind w:left="5326" w:hanging="360"/>
      </w:pPr>
    </w:lvl>
    <w:lvl w:ilvl="8" w:tplc="0809001B" w:tentative="1">
      <w:start w:val="1"/>
      <w:numFmt w:val="lowerRoman"/>
      <w:lvlText w:val="%9."/>
      <w:lvlJc w:val="right"/>
      <w:pPr>
        <w:ind w:left="6046" w:hanging="180"/>
      </w:pPr>
    </w:lvl>
  </w:abstractNum>
  <w:abstractNum w:abstractNumId="17" w15:restartNumberingAfterBreak="0">
    <w:nsid w:val="343A518F"/>
    <w:multiLevelType w:val="hybridMultilevel"/>
    <w:tmpl w:val="6672903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36444"/>
    <w:multiLevelType w:val="hybridMultilevel"/>
    <w:tmpl w:val="B71669BC"/>
    <w:lvl w:ilvl="0" w:tplc="E6ECA9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8228A"/>
    <w:multiLevelType w:val="hybridMultilevel"/>
    <w:tmpl w:val="6BBEBC98"/>
    <w:lvl w:ilvl="0" w:tplc="9F1219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1A535E"/>
    <w:multiLevelType w:val="hybridMultilevel"/>
    <w:tmpl w:val="EFA0657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B2F49"/>
    <w:multiLevelType w:val="hybridMultilevel"/>
    <w:tmpl w:val="967C9D5A"/>
    <w:lvl w:ilvl="0" w:tplc="0409001B">
      <w:start w:val="1"/>
      <w:numFmt w:val="lowerRoman"/>
      <w:lvlText w:val="%1."/>
      <w:lvlJc w:val="righ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EE55B8C"/>
    <w:multiLevelType w:val="hybridMultilevel"/>
    <w:tmpl w:val="33E40E60"/>
    <w:lvl w:ilvl="0" w:tplc="C6206A04">
      <w:start w:val="1"/>
      <w:numFmt w:val="bullet"/>
      <w:pStyle w:val="IODPARCbullets"/>
      <w:lvlText w:val=""/>
      <w:lvlJc w:val="left"/>
      <w:pPr>
        <w:ind w:left="291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E756C"/>
    <w:multiLevelType w:val="hybridMultilevel"/>
    <w:tmpl w:val="1D662D9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6C4"/>
    <w:multiLevelType w:val="hybridMultilevel"/>
    <w:tmpl w:val="AF862E1C"/>
    <w:lvl w:ilvl="0" w:tplc="0254B7CC">
      <w:start w:val="1"/>
      <w:numFmt w:val="decimal"/>
      <w:pStyle w:val="IODPARCparagraphnumbered"/>
      <w:lvlText w:val="%1. "/>
      <w:lvlJc w:val="right"/>
      <w:pPr>
        <w:ind w:left="757"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8E7F21"/>
    <w:multiLevelType w:val="hybridMultilevel"/>
    <w:tmpl w:val="EFA0657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A3550"/>
    <w:multiLevelType w:val="hybridMultilevel"/>
    <w:tmpl w:val="D4D2FD8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3F7F18"/>
    <w:multiLevelType w:val="hybridMultilevel"/>
    <w:tmpl w:val="05F6FC7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8310FA"/>
    <w:multiLevelType w:val="multilevel"/>
    <w:tmpl w:val="0F3A862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8"/>
  </w:num>
  <w:num w:numId="3">
    <w:abstractNumId w:val="22"/>
  </w:num>
  <w:num w:numId="4">
    <w:abstractNumId w:val="28"/>
  </w:num>
  <w:num w:numId="5">
    <w:abstractNumId w:val="24"/>
  </w:num>
  <w:num w:numId="6">
    <w:abstractNumId w:val="16"/>
  </w:num>
  <w:num w:numId="7">
    <w:abstractNumId w:val="25"/>
  </w:num>
  <w:num w:numId="8">
    <w:abstractNumId w:val="15"/>
  </w:num>
  <w:num w:numId="9">
    <w:abstractNumId w:val="23"/>
  </w:num>
  <w:num w:numId="10">
    <w:abstractNumId w:val="17"/>
  </w:num>
  <w:num w:numId="11">
    <w:abstractNumId w:val="26"/>
  </w:num>
  <w:num w:numId="12">
    <w:abstractNumId w:val="21"/>
  </w:num>
  <w:num w:numId="13">
    <w:abstractNumId w:val="12"/>
  </w:num>
  <w:num w:numId="14">
    <w:abstractNumId w:val="27"/>
  </w:num>
  <w:num w:numId="15">
    <w:abstractNumId w:val="11"/>
  </w:num>
  <w:num w:numId="16">
    <w:abstractNumId w:val="20"/>
  </w:num>
  <w:num w:numId="17">
    <w:abstractNumId w:val="18"/>
  </w:num>
  <w:num w:numId="18">
    <w:abstractNumId w:val="19"/>
  </w:num>
  <w:num w:numId="19">
    <w:abstractNumId w:val="22"/>
  </w:num>
  <w:num w:numId="20">
    <w:abstractNumId w:val="10"/>
  </w:num>
  <w:num w:numId="21">
    <w:abstractNumId w:val="14"/>
  </w:num>
  <w:num w:numId="22">
    <w:abstractNumId w:val="16"/>
    <w:lvlOverride w:ilvl="0">
      <w:startOverride w:val="1"/>
    </w:lvlOverride>
  </w:num>
  <w:num w:numId="23">
    <w:abstractNumId w:val="13"/>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D7"/>
    <w:rsid w:val="00000175"/>
    <w:rsid w:val="00000C96"/>
    <w:rsid w:val="00001699"/>
    <w:rsid w:val="00002229"/>
    <w:rsid w:val="00002382"/>
    <w:rsid w:val="0000408D"/>
    <w:rsid w:val="00004E74"/>
    <w:rsid w:val="0000502B"/>
    <w:rsid w:val="0000519A"/>
    <w:rsid w:val="000055F7"/>
    <w:rsid w:val="000067A7"/>
    <w:rsid w:val="00006B42"/>
    <w:rsid w:val="000073F3"/>
    <w:rsid w:val="0000798A"/>
    <w:rsid w:val="00011C03"/>
    <w:rsid w:val="00012EB8"/>
    <w:rsid w:val="00013DD8"/>
    <w:rsid w:val="00016B98"/>
    <w:rsid w:val="00017383"/>
    <w:rsid w:val="000203A1"/>
    <w:rsid w:val="00022549"/>
    <w:rsid w:val="00024118"/>
    <w:rsid w:val="000248C7"/>
    <w:rsid w:val="000253F5"/>
    <w:rsid w:val="00025F3C"/>
    <w:rsid w:val="00025F40"/>
    <w:rsid w:val="00027D39"/>
    <w:rsid w:val="00030EDB"/>
    <w:rsid w:val="0003273E"/>
    <w:rsid w:val="0003443A"/>
    <w:rsid w:val="00034939"/>
    <w:rsid w:val="00034FA7"/>
    <w:rsid w:val="00035AC1"/>
    <w:rsid w:val="000360CF"/>
    <w:rsid w:val="0003705C"/>
    <w:rsid w:val="00037316"/>
    <w:rsid w:val="00037EA5"/>
    <w:rsid w:val="00040357"/>
    <w:rsid w:val="00040583"/>
    <w:rsid w:val="000423D8"/>
    <w:rsid w:val="000425FB"/>
    <w:rsid w:val="00042ACC"/>
    <w:rsid w:val="00042EBC"/>
    <w:rsid w:val="000437E5"/>
    <w:rsid w:val="00045A8B"/>
    <w:rsid w:val="00047BD9"/>
    <w:rsid w:val="0005095B"/>
    <w:rsid w:val="000536EE"/>
    <w:rsid w:val="00053CFE"/>
    <w:rsid w:val="000547BD"/>
    <w:rsid w:val="000549FB"/>
    <w:rsid w:val="00055637"/>
    <w:rsid w:val="00055A5B"/>
    <w:rsid w:val="00055F97"/>
    <w:rsid w:val="00060D1A"/>
    <w:rsid w:val="000612A7"/>
    <w:rsid w:val="00062843"/>
    <w:rsid w:val="00066603"/>
    <w:rsid w:val="000666F3"/>
    <w:rsid w:val="00067213"/>
    <w:rsid w:val="00070F81"/>
    <w:rsid w:val="00071A03"/>
    <w:rsid w:val="00071A6C"/>
    <w:rsid w:val="00071E0F"/>
    <w:rsid w:val="00074121"/>
    <w:rsid w:val="0007420E"/>
    <w:rsid w:val="00074780"/>
    <w:rsid w:val="00074B5B"/>
    <w:rsid w:val="00076A45"/>
    <w:rsid w:val="000777D8"/>
    <w:rsid w:val="00077A34"/>
    <w:rsid w:val="0008039B"/>
    <w:rsid w:val="00082C89"/>
    <w:rsid w:val="00082E2C"/>
    <w:rsid w:val="000857A7"/>
    <w:rsid w:val="00085AC7"/>
    <w:rsid w:val="00087347"/>
    <w:rsid w:val="00087AD8"/>
    <w:rsid w:val="0009092B"/>
    <w:rsid w:val="000916AB"/>
    <w:rsid w:val="000947CC"/>
    <w:rsid w:val="00095780"/>
    <w:rsid w:val="0009793A"/>
    <w:rsid w:val="00097DB8"/>
    <w:rsid w:val="000A0CBE"/>
    <w:rsid w:val="000A22E3"/>
    <w:rsid w:val="000A5292"/>
    <w:rsid w:val="000A6C1B"/>
    <w:rsid w:val="000A75E9"/>
    <w:rsid w:val="000B0133"/>
    <w:rsid w:val="000B3411"/>
    <w:rsid w:val="000B351A"/>
    <w:rsid w:val="000B4C0B"/>
    <w:rsid w:val="000B5588"/>
    <w:rsid w:val="000B576D"/>
    <w:rsid w:val="000B67DF"/>
    <w:rsid w:val="000B7278"/>
    <w:rsid w:val="000B7EF0"/>
    <w:rsid w:val="000C1B75"/>
    <w:rsid w:val="000C24F6"/>
    <w:rsid w:val="000C3F02"/>
    <w:rsid w:val="000C59C9"/>
    <w:rsid w:val="000C5AE4"/>
    <w:rsid w:val="000C7547"/>
    <w:rsid w:val="000C7645"/>
    <w:rsid w:val="000D0966"/>
    <w:rsid w:val="000E0192"/>
    <w:rsid w:val="000E19B6"/>
    <w:rsid w:val="000E26C6"/>
    <w:rsid w:val="000E342F"/>
    <w:rsid w:val="000E770E"/>
    <w:rsid w:val="000F0323"/>
    <w:rsid w:val="000F3BA3"/>
    <w:rsid w:val="000F3E3D"/>
    <w:rsid w:val="000F544B"/>
    <w:rsid w:val="0010062B"/>
    <w:rsid w:val="00100A44"/>
    <w:rsid w:val="00100CB0"/>
    <w:rsid w:val="00100E09"/>
    <w:rsid w:val="001011E4"/>
    <w:rsid w:val="00101B9A"/>
    <w:rsid w:val="00102D89"/>
    <w:rsid w:val="00102DAB"/>
    <w:rsid w:val="0010315F"/>
    <w:rsid w:val="00103E10"/>
    <w:rsid w:val="0010553F"/>
    <w:rsid w:val="00107829"/>
    <w:rsid w:val="00107B1D"/>
    <w:rsid w:val="001112DF"/>
    <w:rsid w:val="00111A7C"/>
    <w:rsid w:val="001126E7"/>
    <w:rsid w:val="001133F8"/>
    <w:rsid w:val="001138BF"/>
    <w:rsid w:val="00113C30"/>
    <w:rsid w:val="00115F1C"/>
    <w:rsid w:val="00116F68"/>
    <w:rsid w:val="00117640"/>
    <w:rsid w:val="00120DBF"/>
    <w:rsid w:val="00121E2F"/>
    <w:rsid w:val="001224BE"/>
    <w:rsid w:val="00123FD7"/>
    <w:rsid w:val="00124D36"/>
    <w:rsid w:val="00126CBB"/>
    <w:rsid w:val="00131398"/>
    <w:rsid w:val="00131EF8"/>
    <w:rsid w:val="001332C8"/>
    <w:rsid w:val="00135009"/>
    <w:rsid w:val="001350D1"/>
    <w:rsid w:val="00136FAE"/>
    <w:rsid w:val="0013790C"/>
    <w:rsid w:val="00140665"/>
    <w:rsid w:val="00140911"/>
    <w:rsid w:val="00140EC8"/>
    <w:rsid w:val="00143F0E"/>
    <w:rsid w:val="00146B72"/>
    <w:rsid w:val="00147932"/>
    <w:rsid w:val="00147C35"/>
    <w:rsid w:val="001509CE"/>
    <w:rsid w:val="001509E9"/>
    <w:rsid w:val="00151278"/>
    <w:rsid w:val="00152780"/>
    <w:rsid w:val="00154319"/>
    <w:rsid w:val="00154D3B"/>
    <w:rsid w:val="001568CE"/>
    <w:rsid w:val="00156B73"/>
    <w:rsid w:val="00157B93"/>
    <w:rsid w:val="0016095A"/>
    <w:rsid w:val="00162F88"/>
    <w:rsid w:val="001635A1"/>
    <w:rsid w:val="00166291"/>
    <w:rsid w:val="001704C3"/>
    <w:rsid w:val="0017499C"/>
    <w:rsid w:val="00175366"/>
    <w:rsid w:val="0017766D"/>
    <w:rsid w:val="00177C77"/>
    <w:rsid w:val="001826DE"/>
    <w:rsid w:val="00182A39"/>
    <w:rsid w:val="00182B95"/>
    <w:rsid w:val="00184F39"/>
    <w:rsid w:val="001859AC"/>
    <w:rsid w:val="00185A4F"/>
    <w:rsid w:val="00187131"/>
    <w:rsid w:val="001875B4"/>
    <w:rsid w:val="00190FC5"/>
    <w:rsid w:val="00191307"/>
    <w:rsid w:val="001921E1"/>
    <w:rsid w:val="00192A02"/>
    <w:rsid w:val="00193DBD"/>
    <w:rsid w:val="00195862"/>
    <w:rsid w:val="001979E7"/>
    <w:rsid w:val="001A2893"/>
    <w:rsid w:val="001A4465"/>
    <w:rsid w:val="001A4984"/>
    <w:rsid w:val="001A5451"/>
    <w:rsid w:val="001A5F83"/>
    <w:rsid w:val="001A6733"/>
    <w:rsid w:val="001A6C4A"/>
    <w:rsid w:val="001A6CC7"/>
    <w:rsid w:val="001A7467"/>
    <w:rsid w:val="001A7B22"/>
    <w:rsid w:val="001A7C7E"/>
    <w:rsid w:val="001B11C7"/>
    <w:rsid w:val="001B1A8F"/>
    <w:rsid w:val="001B1C4A"/>
    <w:rsid w:val="001B2103"/>
    <w:rsid w:val="001B293B"/>
    <w:rsid w:val="001B328E"/>
    <w:rsid w:val="001B369B"/>
    <w:rsid w:val="001B4205"/>
    <w:rsid w:val="001B7A46"/>
    <w:rsid w:val="001C12D0"/>
    <w:rsid w:val="001C1C98"/>
    <w:rsid w:val="001C1E33"/>
    <w:rsid w:val="001C2051"/>
    <w:rsid w:val="001C21D3"/>
    <w:rsid w:val="001C29D8"/>
    <w:rsid w:val="001C2A72"/>
    <w:rsid w:val="001C2E95"/>
    <w:rsid w:val="001C3B38"/>
    <w:rsid w:val="001C4F87"/>
    <w:rsid w:val="001C56EE"/>
    <w:rsid w:val="001C5D1E"/>
    <w:rsid w:val="001C5D88"/>
    <w:rsid w:val="001C60AD"/>
    <w:rsid w:val="001D1D9E"/>
    <w:rsid w:val="001D2C59"/>
    <w:rsid w:val="001D74E9"/>
    <w:rsid w:val="001D7B4D"/>
    <w:rsid w:val="001E025E"/>
    <w:rsid w:val="001E1098"/>
    <w:rsid w:val="001E3175"/>
    <w:rsid w:val="001E31F8"/>
    <w:rsid w:val="001E3649"/>
    <w:rsid w:val="001E36E7"/>
    <w:rsid w:val="001E4083"/>
    <w:rsid w:val="001E4956"/>
    <w:rsid w:val="001E552B"/>
    <w:rsid w:val="001E5875"/>
    <w:rsid w:val="001E643F"/>
    <w:rsid w:val="001E6ADF"/>
    <w:rsid w:val="001E6E9F"/>
    <w:rsid w:val="001E7939"/>
    <w:rsid w:val="001E7C22"/>
    <w:rsid w:val="001F0C65"/>
    <w:rsid w:val="001F0F9D"/>
    <w:rsid w:val="001F160D"/>
    <w:rsid w:val="001F164C"/>
    <w:rsid w:val="001F237D"/>
    <w:rsid w:val="001F23FB"/>
    <w:rsid w:val="001F5070"/>
    <w:rsid w:val="001F5E62"/>
    <w:rsid w:val="001F78B9"/>
    <w:rsid w:val="00200441"/>
    <w:rsid w:val="0020061F"/>
    <w:rsid w:val="00200DBC"/>
    <w:rsid w:val="00200FEF"/>
    <w:rsid w:val="00201201"/>
    <w:rsid w:val="00202782"/>
    <w:rsid w:val="002042D3"/>
    <w:rsid w:val="0020550C"/>
    <w:rsid w:val="00205632"/>
    <w:rsid w:val="00205C97"/>
    <w:rsid w:val="00215585"/>
    <w:rsid w:val="00215887"/>
    <w:rsid w:val="00215B26"/>
    <w:rsid w:val="002165BC"/>
    <w:rsid w:val="00216B52"/>
    <w:rsid w:val="002179CA"/>
    <w:rsid w:val="00217D65"/>
    <w:rsid w:val="0022204C"/>
    <w:rsid w:val="00222069"/>
    <w:rsid w:val="00224469"/>
    <w:rsid w:val="00224EE4"/>
    <w:rsid w:val="00225B9B"/>
    <w:rsid w:val="00226FD5"/>
    <w:rsid w:val="00230317"/>
    <w:rsid w:val="00231430"/>
    <w:rsid w:val="00233AEA"/>
    <w:rsid w:val="00234392"/>
    <w:rsid w:val="002352EE"/>
    <w:rsid w:val="00236120"/>
    <w:rsid w:val="00237ED5"/>
    <w:rsid w:val="002410A9"/>
    <w:rsid w:val="00242504"/>
    <w:rsid w:val="00244EB5"/>
    <w:rsid w:val="00246A19"/>
    <w:rsid w:val="00246BE6"/>
    <w:rsid w:val="00246D62"/>
    <w:rsid w:val="00250039"/>
    <w:rsid w:val="00250FE2"/>
    <w:rsid w:val="002517EF"/>
    <w:rsid w:val="0025244E"/>
    <w:rsid w:val="0025459D"/>
    <w:rsid w:val="0025484A"/>
    <w:rsid w:val="00254E1B"/>
    <w:rsid w:val="002559B3"/>
    <w:rsid w:val="00256AAE"/>
    <w:rsid w:val="00256DAA"/>
    <w:rsid w:val="002574E4"/>
    <w:rsid w:val="0026110B"/>
    <w:rsid w:val="00262354"/>
    <w:rsid w:val="00262DCD"/>
    <w:rsid w:val="002635B8"/>
    <w:rsid w:val="002636BC"/>
    <w:rsid w:val="00263F0F"/>
    <w:rsid w:val="0026477A"/>
    <w:rsid w:val="00265D11"/>
    <w:rsid w:val="00266504"/>
    <w:rsid w:val="00267094"/>
    <w:rsid w:val="0026745C"/>
    <w:rsid w:val="0026755A"/>
    <w:rsid w:val="00270AB8"/>
    <w:rsid w:val="00271505"/>
    <w:rsid w:val="00271607"/>
    <w:rsid w:val="002724B5"/>
    <w:rsid w:val="00272BBF"/>
    <w:rsid w:val="00273DD3"/>
    <w:rsid w:val="0027491E"/>
    <w:rsid w:val="00275583"/>
    <w:rsid w:val="002755BB"/>
    <w:rsid w:val="002756E3"/>
    <w:rsid w:val="00276161"/>
    <w:rsid w:val="00276740"/>
    <w:rsid w:val="00277237"/>
    <w:rsid w:val="002835FB"/>
    <w:rsid w:val="00283C77"/>
    <w:rsid w:val="002854F2"/>
    <w:rsid w:val="00290773"/>
    <w:rsid w:val="00291162"/>
    <w:rsid w:val="00292BE4"/>
    <w:rsid w:val="00294B08"/>
    <w:rsid w:val="00294D73"/>
    <w:rsid w:val="00294DEE"/>
    <w:rsid w:val="00294EB0"/>
    <w:rsid w:val="00295A5D"/>
    <w:rsid w:val="002966DE"/>
    <w:rsid w:val="002A1174"/>
    <w:rsid w:val="002A314E"/>
    <w:rsid w:val="002A51E1"/>
    <w:rsid w:val="002B1B68"/>
    <w:rsid w:val="002B3B2E"/>
    <w:rsid w:val="002B3B4B"/>
    <w:rsid w:val="002B3C21"/>
    <w:rsid w:val="002B6586"/>
    <w:rsid w:val="002B7218"/>
    <w:rsid w:val="002B7C6A"/>
    <w:rsid w:val="002C18B3"/>
    <w:rsid w:val="002C2C06"/>
    <w:rsid w:val="002C3177"/>
    <w:rsid w:val="002C6046"/>
    <w:rsid w:val="002C6776"/>
    <w:rsid w:val="002D07A8"/>
    <w:rsid w:val="002D0FD9"/>
    <w:rsid w:val="002D1DAE"/>
    <w:rsid w:val="002D20B0"/>
    <w:rsid w:val="002D2904"/>
    <w:rsid w:val="002D2E8F"/>
    <w:rsid w:val="002D4BDE"/>
    <w:rsid w:val="002D6838"/>
    <w:rsid w:val="002D780C"/>
    <w:rsid w:val="002D7C24"/>
    <w:rsid w:val="002E1F60"/>
    <w:rsid w:val="002E260B"/>
    <w:rsid w:val="002E37AD"/>
    <w:rsid w:val="002E37E0"/>
    <w:rsid w:val="002E3D7D"/>
    <w:rsid w:val="002E4372"/>
    <w:rsid w:val="002E5059"/>
    <w:rsid w:val="002E588A"/>
    <w:rsid w:val="002E5E61"/>
    <w:rsid w:val="002E71E4"/>
    <w:rsid w:val="002E7AB9"/>
    <w:rsid w:val="002F0F4A"/>
    <w:rsid w:val="002F13C9"/>
    <w:rsid w:val="002F1B10"/>
    <w:rsid w:val="002F1D1B"/>
    <w:rsid w:val="002F6AD6"/>
    <w:rsid w:val="002F793B"/>
    <w:rsid w:val="003000CD"/>
    <w:rsid w:val="00304336"/>
    <w:rsid w:val="003043B6"/>
    <w:rsid w:val="003046EE"/>
    <w:rsid w:val="00305248"/>
    <w:rsid w:val="00305BB8"/>
    <w:rsid w:val="00305FB5"/>
    <w:rsid w:val="003062DD"/>
    <w:rsid w:val="00306ECA"/>
    <w:rsid w:val="003075C5"/>
    <w:rsid w:val="00310756"/>
    <w:rsid w:val="003116EA"/>
    <w:rsid w:val="0031571D"/>
    <w:rsid w:val="003161E2"/>
    <w:rsid w:val="00321280"/>
    <w:rsid w:val="0032187C"/>
    <w:rsid w:val="00322997"/>
    <w:rsid w:val="00322A59"/>
    <w:rsid w:val="00323FAD"/>
    <w:rsid w:val="0032402B"/>
    <w:rsid w:val="003249F1"/>
    <w:rsid w:val="00324CF5"/>
    <w:rsid w:val="00325B3A"/>
    <w:rsid w:val="003301A6"/>
    <w:rsid w:val="00330460"/>
    <w:rsid w:val="003305D3"/>
    <w:rsid w:val="00330938"/>
    <w:rsid w:val="003309D0"/>
    <w:rsid w:val="00331F6F"/>
    <w:rsid w:val="003322E2"/>
    <w:rsid w:val="0033392E"/>
    <w:rsid w:val="0033636F"/>
    <w:rsid w:val="00340177"/>
    <w:rsid w:val="0034411F"/>
    <w:rsid w:val="00344F32"/>
    <w:rsid w:val="0034548F"/>
    <w:rsid w:val="003465DE"/>
    <w:rsid w:val="003467F8"/>
    <w:rsid w:val="00346888"/>
    <w:rsid w:val="0034693D"/>
    <w:rsid w:val="003476A9"/>
    <w:rsid w:val="00350650"/>
    <w:rsid w:val="00350FA6"/>
    <w:rsid w:val="00351BCA"/>
    <w:rsid w:val="00352B34"/>
    <w:rsid w:val="00353996"/>
    <w:rsid w:val="003542B5"/>
    <w:rsid w:val="00354F16"/>
    <w:rsid w:val="00354FF0"/>
    <w:rsid w:val="00355DE0"/>
    <w:rsid w:val="00356297"/>
    <w:rsid w:val="00357A25"/>
    <w:rsid w:val="0036003C"/>
    <w:rsid w:val="00360A70"/>
    <w:rsid w:val="00360DC7"/>
    <w:rsid w:val="00362354"/>
    <w:rsid w:val="00362A38"/>
    <w:rsid w:val="00362DB3"/>
    <w:rsid w:val="003660CA"/>
    <w:rsid w:val="00366E7F"/>
    <w:rsid w:val="00366E9D"/>
    <w:rsid w:val="003673AA"/>
    <w:rsid w:val="00372C9D"/>
    <w:rsid w:val="00373159"/>
    <w:rsid w:val="00373A8A"/>
    <w:rsid w:val="003745E4"/>
    <w:rsid w:val="00374FB9"/>
    <w:rsid w:val="003761EE"/>
    <w:rsid w:val="00377BDA"/>
    <w:rsid w:val="003809D3"/>
    <w:rsid w:val="00381C2C"/>
    <w:rsid w:val="00381DE3"/>
    <w:rsid w:val="00383AB2"/>
    <w:rsid w:val="00385001"/>
    <w:rsid w:val="003860F8"/>
    <w:rsid w:val="00390119"/>
    <w:rsid w:val="00391E96"/>
    <w:rsid w:val="003938D2"/>
    <w:rsid w:val="00393BD1"/>
    <w:rsid w:val="00393CCD"/>
    <w:rsid w:val="00395800"/>
    <w:rsid w:val="003A003B"/>
    <w:rsid w:val="003A046D"/>
    <w:rsid w:val="003A0B5B"/>
    <w:rsid w:val="003A0C26"/>
    <w:rsid w:val="003A1732"/>
    <w:rsid w:val="003A1F33"/>
    <w:rsid w:val="003A2292"/>
    <w:rsid w:val="003A365B"/>
    <w:rsid w:val="003A37B3"/>
    <w:rsid w:val="003A391B"/>
    <w:rsid w:val="003A3C5D"/>
    <w:rsid w:val="003A3CED"/>
    <w:rsid w:val="003A5B9F"/>
    <w:rsid w:val="003A7282"/>
    <w:rsid w:val="003B07A6"/>
    <w:rsid w:val="003B3B22"/>
    <w:rsid w:val="003B626A"/>
    <w:rsid w:val="003B6989"/>
    <w:rsid w:val="003B6A20"/>
    <w:rsid w:val="003C0235"/>
    <w:rsid w:val="003C43F8"/>
    <w:rsid w:val="003C4CD1"/>
    <w:rsid w:val="003C5558"/>
    <w:rsid w:val="003C5E06"/>
    <w:rsid w:val="003C7DD0"/>
    <w:rsid w:val="003C7DD4"/>
    <w:rsid w:val="003D0C1F"/>
    <w:rsid w:val="003D3A9A"/>
    <w:rsid w:val="003D4A30"/>
    <w:rsid w:val="003D4C14"/>
    <w:rsid w:val="003D53EE"/>
    <w:rsid w:val="003D5673"/>
    <w:rsid w:val="003E0FDA"/>
    <w:rsid w:val="003E2D73"/>
    <w:rsid w:val="003E44F6"/>
    <w:rsid w:val="003E46A6"/>
    <w:rsid w:val="003E55F0"/>
    <w:rsid w:val="003F02C3"/>
    <w:rsid w:val="003F23F9"/>
    <w:rsid w:val="003F2D7C"/>
    <w:rsid w:val="003F4044"/>
    <w:rsid w:val="003F4070"/>
    <w:rsid w:val="003F4F13"/>
    <w:rsid w:val="003F50D6"/>
    <w:rsid w:val="003F5E5E"/>
    <w:rsid w:val="003F69D6"/>
    <w:rsid w:val="003F7C99"/>
    <w:rsid w:val="004015C3"/>
    <w:rsid w:val="004022B0"/>
    <w:rsid w:val="00402DAD"/>
    <w:rsid w:val="00403206"/>
    <w:rsid w:val="004057EC"/>
    <w:rsid w:val="00405853"/>
    <w:rsid w:val="00405A1F"/>
    <w:rsid w:val="00406BD1"/>
    <w:rsid w:val="004075C3"/>
    <w:rsid w:val="00407CAA"/>
    <w:rsid w:val="00410B29"/>
    <w:rsid w:val="004118FA"/>
    <w:rsid w:val="0041207E"/>
    <w:rsid w:val="004137FA"/>
    <w:rsid w:val="00414E8F"/>
    <w:rsid w:val="00415F42"/>
    <w:rsid w:val="004169E8"/>
    <w:rsid w:val="00417197"/>
    <w:rsid w:val="0042000D"/>
    <w:rsid w:val="004200F4"/>
    <w:rsid w:val="004203E4"/>
    <w:rsid w:val="00422F90"/>
    <w:rsid w:val="00425464"/>
    <w:rsid w:val="00427378"/>
    <w:rsid w:val="00430EDA"/>
    <w:rsid w:val="0043108F"/>
    <w:rsid w:val="004311E1"/>
    <w:rsid w:val="00431478"/>
    <w:rsid w:val="00431542"/>
    <w:rsid w:val="0043230B"/>
    <w:rsid w:val="00432FEF"/>
    <w:rsid w:val="00434ED1"/>
    <w:rsid w:val="00435546"/>
    <w:rsid w:val="004374B4"/>
    <w:rsid w:val="00437C2B"/>
    <w:rsid w:val="0044038D"/>
    <w:rsid w:val="004403F2"/>
    <w:rsid w:val="00440855"/>
    <w:rsid w:val="0044117C"/>
    <w:rsid w:val="004425E4"/>
    <w:rsid w:val="0044572F"/>
    <w:rsid w:val="00447438"/>
    <w:rsid w:val="004477EF"/>
    <w:rsid w:val="004479D7"/>
    <w:rsid w:val="0045021E"/>
    <w:rsid w:val="00450518"/>
    <w:rsid w:val="0045071C"/>
    <w:rsid w:val="004508F0"/>
    <w:rsid w:val="00451EB6"/>
    <w:rsid w:val="00451FF2"/>
    <w:rsid w:val="004522AA"/>
    <w:rsid w:val="00452310"/>
    <w:rsid w:val="004527E1"/>
    <w:rsid w:val="00454041"/>
    <w:rsid w:val="00455AA4"/>
    <w:rsid w:val="00457D10"/>
    <w:rsid w:val="00460D5A"/>
    <w:rsid w:val="00461558"/>
    <w:rsid w:val="00461888"/>
    <w:rsid w:val="00461904"/>
    <w:rsid w:val="0046468C"/>
    <w:rsid w:val="00464CE0"/>
    <w:rsid w:val="00465200"/>
    <w:rsid w:val="00467C4F"/>
    <w:rsid w:val="00467D78"/>
    <w:rsid w:val="004711B3"/>
    <w:rsid w:val="004713BE"/>
    <w:rsid w:val="00471425"/>
    <w:rsid w:val="0047415E"/>
    <w:rsid w:val="00474DBA"/>
    <w:rsid w:val="00475365"/>
    <w:rsid w:val="00475D6D"/>
    <w:rsid w:val="004769E8"/>
    <w:rsid w:val="004775B4"/>
    <w:rsid w:val="004776FA"/>
    <w:rsid w:val="00477EC3"/>
    <w:rsid w:val="00480223"/>
    <w:rsid w:val="00482031"/>
    <w:rsid w:val="00483BF3"/>
    <w:rsid w:val="00483D9A"/>
    <w:rsid w:val="00483DCB"/>
    <w:rsid w:val="00484F61"/>
    <w:rsid w:val="00486754"/>
    <w:rsid w:val="00487023"/>
    <w:rsid w:val="0048761D"/>
    <w:rsid w:val="00490E62"/>
    <w:rsid w:val="0049148C"/>
    <w:rsid w:val="004918EE"/>
    <w:rsid w:val="004920D1"/>
    <w:rsid w:val="004939D1"/>
    <w:rsid w:val="004941F5"/>
    <w:rsid w:val="004946E7"/>
    <w:rsid w:val="00494DB4"/>
    <w:rsid w:val="00495719"/>
    <w:rsid w:val="00495CC2"/>
    <w:rsid w:val="00496603"/>
    <w:rsid w:val="00496846"/>
    <w:rsid w:val="0049734F"/>
    <w:rsid w:val="004A2015"/>
    <w:rsid w:val="004A2B0D"/>
    <w:rsid w:val="004A2BC9"/>
    <w:rsid w:val="004A2E01"/>
    <w:rsid w:val="004A31DA"/>
    <w:rsid w:val="004A33D9"/>
    <w:rsid w:val="004A3704"/>
    <w:rsid w:val="004A390B"/>
    <w:rsid w:val="004A4BE6"/>
    <w:rsid w:val="004A5275"/>
    <w:rsid w:val="004A61D0"/>
    <w:rsid w:val="004A72BA"/>
    <w:rsid w:val="004B0E76"/>
    <w:rsid w:val="004B1A8A"/>
    <w:rsid w:val="004B1BFF"/>
    <w:rsid w:val="004B1C91"/>
    <w:rsid w:val="004B2C36"/>
    <w:rsid w:val="004B303C"/>
    <w:rsid w:val="004B31D3"/>
    <w:rsid w:val="004B3251"/>
    <w:rsid w:val="004B7352"/>
    <w:rsid w:val="004C183C"/>
    <w:rsid w:val="004C2F21"/>
    <w:rsid w:val="004C2FD0"/>
    <w:rsid w:val="004C4E64"/>
    <w:rsid w:val="004C5F0E"/>
    <w:rsid w:val="004C68A2"/>
    <w:rsid w:val="004C6BE4"/>
    <w:rsid w:val="004D017B"/>
    <w:rsid w:val="004D06F3"/>
    <w:rsid w:val="004D2C8C"/>
    <w:rsid w:val="004D2CEB"/>
    <w:rsid w:val="004D3CBB"/>
    <w:rsid w:val="004D5A75"/>
    <w:rsid w:val="004D6FB8"/>
    <w:rsid w:val="004E041A"/>
    <w:rsid w:val="004E0B9F"/>
    <w:rsid w:val="004E104E"/>
    <w:rsid w:val="004E11D1"/>
    <w:rsid w:val="004E23F7"/>
    <w:rsid w:val="004E267A"/>
    <w:rsid w:val="004E2CBA"/>
    <w:rsid w:val="004E3001"/>
    <w:rsid w:val="004E3482"/>
    <w:rsid w:val="004E3B47"/>
    <w:rsid w:val="004E6A8D"/>
    <w:rsid w:val="004F0DDE"/>
    <w:rsid w:val="004F1C7F"/>
    <w:rsid w:val="004F28E1"/>
    <w:rsid w:val="004F50AB"/>
    <w:rsid w:val="00500AF3"/>
    <w:rsid w:val="00501AEE"/>
    <w:rsid w:val="00502027"/>
    <w:rsid w:val="00503861"/>
    <w:rsid w:val="00503C4B"/>
    <w:rsid w:val="00503E8D"/>
    <w:rsid w:val="00504988"/>
    <w:rsid w:val="00506FB8"/>
    <w:rsid w:val="0051023B"/>
    <w:rsid w:val="005103BC"/>
    <w:rsid w:val="0051133D"/>
    <w:rsid w:val="00512DBF"/>
    <w:rsid w:val="0051471F"/>
    <w:rsid w:val="00514BD1"/>
    <w:rsid w:val="005157B7"/>
    <w:rsid w:val="00520ED1"/>
    <w:rsid w:val="00523960"/>
    <w:rsid w:val="00523ED0"/>
    <w:rsid w:val="00524043"/>
    <w:rsid w:val="00525C16"/>
    <w:rsid w:val="00525F86"/>
    <w:rsid w:val="005264F7"/>
    <w:rsid w:val="00526844"/>
    <w:rsid w:val="00526970"/>
    <w:rsid w:val="00526B26"/>
    <w:rsid w:val="00530287"/>
    <w:rsid w:val="00531456"/>
    <w:rsid w:val="005329BC"/>
    <w:rsid w:val="0053578C"/>
    <w:rsid w:val="00536721"/>
    <w:rsid w:val="00536FFA"/>
    <w:rsid w:val="0053720B"/>
    <w:rsid w:val="005379AE"/>
    <w:rsid w:val="00540CE1"/>
    <w:rsid w:val="00541995"/>
    <w:rsid w:val="00542493"/>
    <w:rsid w:val="00543DB8"/>
    <w:rsid w:val="00545171"/>
    <w:rsid w:val="00545859"/>
    <w:rsid w:val="0054618B"/>
    <w:rsid w:val="0054718C"/>
    <w:rsid w:val="0054793A"/>
    <w:rsid w:val="00547A9C"/>
    <w:rsid w:val="00551B89"/>
    <w:rsid w:val="0055250D"/>
    <w:rsid w:val="005526FC"/>
    <w:rsid w:val="00552C66"/>
    <w:rsid w:val="00552D3A"/>
    <w:rsid w:val="00554983"/>
    <w:rsid w:val="00555B7D"/>
    <w:rsid w:val="005602EC"/>
    <w:rsid w:val="00560EEE"/>
    <w:rsid w:val="00561DFD"/>
    <w:rsid w:val="00563127"/>
    <w:rsid w:val="005640C3"/>
    <w:rsid w:val="00566BC9"/>
    <w:rsid w:val="005678A0"/>
    <w:rsid w:val="00570ED7"/>
    <w:rsid w:val="005715D5"/>
    <w:rsid w:val="005723DA"/>
    <w:rsid w:val="00573A06"/>
    <w:rsid w:val="005746B7"/>
    <w:rsid w:val="0057470B"/>
    <w:rsid w:val="00575D84"/>
    <w:rsid w:val="00575FB6"/>
    <w:rsid w:val="005769EF"/>
    <w:rsid w:val="00577B23"/>
    <w:rsid w:val="00577C18"/>
    <w:rsid w:val="00580BEA"/>
    <w:rsid w:val="00582801"/>
    <w:rsid w:val="0058282A"/>
    <w:rsid w:val="0058509F"/>
    <w:rsid w:val="005858D4"/>
    <w:rsid w:val="00585BD7"/>
    <w:rsid w:val="00586D40"/>
    <w:rsid w:val="00590174"/>
    <w:rsid w:val="00591725"/>
    <w:rsid w:val="00592752"/>
    <w:rsid w:val="0059283A"/>
    <w:rsid w:val="0059436B"/>
    <w:rsid w:val="005958D1"/>
    <w:rsid w:val="00595BF7"/>
    <w:rsid w:val="005960A2"/>
    <w:rsid w:val="005973C6"/>
    <w:rsid w:val="005978A9"/>
    <w:rsid w:val="005A0B96"/>
    <w:rsid w:val="005A2A6A"/>
    <w:rsid w:val="005A2C86"/>
    <w:rsid w:val="005A3C3B"/>
    <w:rsid w:val="005A41CB"/>
    <w:rsid w:val="005B1FE6"/>
    <w:rsid w:val="005B2601"/>
    <w:rsid w:val="005B319B"/>
    <w:rsid w:val="005B4EDA"/>
    <w:rsid w:val="005B5A06"/>
    <w:rsid w:val="005B6FBD"/>
    <w:rsid w:val="005B6FEF"/>
    <w:rsid w:val="005B7B43"/>
    <w:rsid w:val="005C192F"/>
    <w:rsid w:val="005C5136"/>
    <w:rsid w:val="005C70D9"/>
    <w:rsid w:val="005D06AE"/>
    <w:rsid w:val="005D09F6"/>
    <w:rsid w:val="005D15CD"/>
    <w:rsid w:val="005D1629"/>
    <w:rsid w:val="005D28F3"/>
    <w:rsid w:val="005D3221"/>
    <w:rsid w:val="005D392D"/>
    <w:rsid w:val="005D3D33"/>
    <w:rsid w:val="005D4C8E"/>
    <w:rsid w:val="005D7382"/>
    <w:rsid w:val="005D7B3B"/>
    <w:rsid w:val="005E045A"/>
    <w:rsid w:val="005E0D88"/>
    <w:rsid w:val="005E2456"/>
    <w:rsid w:val="005E24A4"/>
    <w:rsid w:val="005E2A34"/>
    <w:rsid w:val="005E3165"/>
    <w:rsid w:val="005E3471"/>
    <w:rsid w:val="005E36E3"/>
    <w:rsid w:val="005E66D4"/>
    <w:rsid w:val="005E6B0F"/>
    <w:rsid w:val="005E7788"/>
    <w:rsid w:val="005F19D1"/>
    <w:rsid w:val="005F263A"/>
    <w:rsid w:val="005F58E8"/>
    <w:rsid w:val="005F5A8F"/>
    <w:rsid w:val="005F5F1F"/>
    <w:rsid w:val="005F7008"/>
    <w:rsid w:val="005F7014"/>
    <w:rsid w:val="0060153B"/>
    <w:rsid w:val="00601E22"/>
    <w:rsid w:val="0060311E"/>
    <w:rsid w:val="006044DF"/>
    <w:rsid w:val="00606BE6"/>
    <w:rsid w:val="006107BE"/>
    <w:rsid w:val="00610C0E"/>
    <w:rsid w:val="006113EF"/>
    <w:rsid w:val="0061198A"/>
    <w:rsid w:val="00611E9D"/>
    <w:rsid w:val="00612F90"/>
    <w:rsid w:val="00614A6D"/>
    <w:rsid w:val="00616371"/>
    <w:rsid w:val="00616946"/>
    <w:rsid w:val="006200C6"/>
    <w:rsid w:val="006215D1"/>
    <w:rsid w:val="00626AAF"/>
    <w:rsid w:val="00626EB5"/>
    <w:rsid w:val="006273AB"/>
    <w:rsid w:val="00627AEB"/>
    <w:rsid w:val="00627F47"/>
    <w:rsid w:val="00630340"/>
    <w:rsid w:val="00632618"/>
    <w:rsid w:val="006333C1"/>
    <w:rsid w:val="00633A82"/>
    <w:rsid w:val="00633C21"/>
    <w:rsid w:val="00634431"/>
    <w:rsid w:val="006364E1"/>
    <w:rsid w:val="0063667D"/>
    <w:rsid w:val="006407A7"/>
    <w:rsid w:val="00641681"/>
    <w:rsid w:val="006416FB"/>
    <w:rsid w:val="00641950"/>
    <w:rsid w:val="00641F6A"/>
    <w:rsid w:val="00642C24"/>
    <w:rsid w:val="0064472B"/>
    <w:rsid w:val="00644FD2"/>
    <w:rsid w:val="00650612"/>
    <w:rsid w:val="006516DB"/>
    <w:rsid w:val="00652784"/>
    <w:rsid w:val="00653078"/>
    <w:rsid w:val="00653BAE"/>
    <w:rsid w:val="00653C51"/>
    <w:rsid w:val="00655153"/>
    <w:rsid w:val="00656088"/>
    <w:rsid w:val="00656197"/>
    <w:rsid w:val="006561BC"/>
    <w:rsid w:val="00661B3D"/>
    <w:rsid w:val="00662266"/>
    <w:rsid w:val="00662588"/>
    <w:rsid w:val="00662DE0"/>
    <w:rsid w:val="00663A2E"/>
    <w:rsid w:val="00665D61"/>
    <w:rsid w:val="00665F95"/>
    <w:rsid w:val="00670BBD"/>
    <w:rsid w:val="00671D2A"/>
    <w:rsid w:val="00671EB1"/>
    <w:rsid w:val="00673717"/>
    <w:rsid w:val="00675281"/>
    <w:rsid w:val="006804C0"/>
    <w:rsid w:val="006811D4"/>
    <w:rsid w:val="0068271E"/>
    <w:rsid w:val="00682C09"/>
    <w:rsid w:val="006842BA"/>
    <w:rsid w:val="00684400"/>
    <w:rsid w:val="006852C9"/>
    <w:rsid w:val="00685D8A"/>
    <w:rsid w:val="00686774"/>
    <w:rsid w:val="006868B3"/>
    <w:rsid w:val="0068723C"/>
    <w:rsid w:val="006905E0"/>
    <w:rsid w:val="0069082B"/>
    <w:rsid w:val="00691633"/>
    <w:rsid w:val="006923FD"/>
    <w:rsid w:val="006928FC"/>
    <w:rsid w:val="00692EB5"/>
    <w:rsid w:val="00696222"/>
    <w:rsid w:val="006965E5"/>
    <w:rsid w:val="00696B6B"/>
    <w:rsid w:val="006A0CF4"/>
    <w:rsid w:val="006A0E37"/>
    <w:rsid w:val="006A263A"/>
    <w:rsid w:val="006A3388"/>
    <w:rsid w:val="006A44E2"/>
    <w:rsid w:val="006A4559"/>
    <w:rsid w:val="006A564A"/>
    <w:rsid w:val="006A62F2"/>
    <w:rsid w:val="006A6523"/>
    <w:rsid w:val="006A69AD"/>
    <w:rsid w:val="006A72C2"/>
    <w:rsid w:val="006A7ACD"/>
    <w:rsid w:val="006A7BC5"/>
    <w:rsid w:val="006B037D"/>
    <w:rsid w:val="006B1712"/>
    <w:rsid w:val="006B1825"/>
    <w:rsid w:val="006B1835"/>
    <w:rsid w:val="006B1EF6"/>
    <w:rsid w:val="006B1FA0"/>
    <w:rsid w:val="006B24DE"/>
    <w:rsid w:val="006B3006"/>
    <w:rsid w:val="006B3A35"/>
    <w:rsid w:val="006B4373"/>
    <w:rsid w:val="006B4747"/>
    <w:rsid w:val="006B485F"/>
    <w:rsid w:val="006B4D3F"/>
    <w:rsid w:val="006B4E7E"/>
    <w:rsid w:val="006B6E24"/>
    <w:rsid w:val="006C2C7B"/>
    <w:rsid w:val="006C3DA7"/>
    <w:rsid w:val="006C4130"/>
    <w:rsid w:val="006C4DC3"/>
    <w:rsid w:val="006C57E5"/>
    <w:rsid w:val="006C7587"/>
    <w:rsid w:val="006D12AA"/>
    <w:rsid w:val="006D24A1"/>
    <w:rsid w:val="006D285D"/>
    <w:rsid w:val="006D7856"/>
    <w:rsid w:val="006D7F8B"/>
    <w:rsid w:val="006E14FE"/>
    <w:rsid w:val="006E1905"/>
    <w:rsid w:val="006E1C5C"/>
    <w:rsid w:val="006E1CAF"/>
    <w:rsid w:val="006E231F"/>
    <w:rsid w:val="006E40BE"/>
    <w:rsid w:val="006E5A94"/>
    <w:rsid w:val="006E62FF"/>
    <w:rsid w:val="006E6CB1"/>
    <w:rsid w:val="006F1699"/>
    <w:rsid w:val="006F2B5A"/>
    <w:rsid w:val="006F510A"/>
    <w:rsid w:val="006F5534"/>
    <w:rsid w:val="006F5711"/>
    <w:rsid w:val="006F5DCD"/>
    <w:rsid w:val="006F61A3"/>
    <w:rsid w:val="006F6370"/>
    <w:rsid w:val="006F761F"/>
    <w:rsid w:val="007006B3"/>
    <w:rsid w:val="00700C39"/>
    <w:rsid w:val="007010FB"/>
    <w:rsid w:val="00701752"/>
    <w:rsid w:val="0070187E"/>
    <w:rsid w:val="0070203E"/>
    <w:rsid w:val="00702728"/>
    <w:rsid w:val="00702BBA"/>
    <w:rsid w:val="007035DF"/>
    <w:rsid w:val="0070379B"/>
    <w:rsid w:val="007039B1"/>
    <w:rsid w:val="007047DE"/>
    <w:rsid w:val="00704B72"/>
    <w:rsid w:val="007079A7"/>
    <w:rsid w:val="00707B50"/>
    <w:rsid w:val="00707FCF"/>
    <w:rsid w:val="00710C2C"/>
    <w:rsid w:val="0071156A"/>
    <w:rsid w:val="00711835"/>
    <w:rsid w:val="00712158"/>
    <w:rsid w:val="007144E1"/>
    <w:rsid w:val="00714549"/>
    <w:rsid w:val="007159E4"/>
    <w:rsid w:val="00716D10"/>
    <w:rsid w:val="0072077C"/>
    <w:rsid w:val="007217A6"/>
    <w:rsid w:val="00723973"/>
    <w:rsid w:val="00724649"/>
    <w:rsid w:val="007252E8"/>
    <w:rsid w:val="0072532D"/>
    <w:rsid w:val="00725775"/>
    <w:rsid w:val="00725B1E"/>
    <w:rsid w:val="00726D90"/>
    <w:rsid w:val="007277AA"/>
    <w:rsid w:val="007277CB"/>
    <w:rsid w:val="007304BE"/>
    <w:rsid w:val="007307BF"/>
    <w:rsid w:val="0073396E"/>
    <w:rsid w:val="00733C76"/>
    <w:rsid w:val="00735E85"/>
    <w:rsid w:val="00736931"/>
    <w:rsid w:val="00736A09"/>
    <w:rsid w:val="00736F5B"/>
    <w:rsid w:val="00737B88"/>
    <w:rsid w:val="00742005"/>
    <w:rsid w:val="007437A9"/>
    <w:rsid w:val="00744274"/>
    <w:rsid w:val="007443F8"/>
    <w:rsid w:val="00744619"/>
    <w:rsid w:val="00744620"/>
    <w:rsid w:val="00746123"/>
    <w:rsid w:val="00746380"/>
    <w:rsid w:val="00747005"/>
    <w:rsid w:val="00750599"/>
    <w:rsid w:val="0075118B"/>
    <w:rsid w:val="0075123B"/>
    <w:rsid w:val="00751EAB"/>
    <w:rsid w:val="0075293C"/>
    <w:rsid w:val="0075470A"/>
    <w:rsid w:val="00754F71"/>
    <w:rsid w:val="00755775"/>
    <w:rsid w:val="00755D48"/>
    <w:rsid w:val="00756A28"/>
    <w:rsid w:val="007574E3"/>
    <w:rsid w:val="00757E63"/>
    <w:rsid w:val="00761625"/>
    <w:rsid w:val="007617D7"/>
    <w:rsid w:val="0076180E"/>
    <w:rsid w:val="00762278"/>
    <w:rsid w:val="00763E7C"/>
    <w:rsid w:val="00765432"/>
    <w:rsid w:val="007658C4"/>
    <w:rsid w:val="00765C76"/>
    <w:rsid w:val="007679D6"/>
    <w:rsid w:val="007707C9"/>
    <w:rsid w:val="0077154B"/>
    <w:rsid w:val="007752B3"/>
    <w:rsid w:val="00775764"/>
    <w:rsid w:val="00775C74"/>
    <w:rsid w:val="00776CE1"/>
    <w:rsid w:val="007776FA"/>
    <w:rsid w:val="00777945"/>
    <w:rsid w:val="00783DA7"/>
    <w:rsid w:val="0078490B"/>
    <w:rsid w:val="00784CF1"/>
    <w:rsid w:val="00785604"/>
    <w:rsid w:val="00786F1B"/>
    <w:rsid w:val="00787042"/>
    <w:rsid w:val="00793021"/>
    <w:rsid w:val="007943BE"/>
    <w:rsid w:val="00794425"/>
    <w:rsid w:val="00794CD4"/>
    <w:rsid w:val="007966B9"/>
    <w:rsid w:val="007969BD"/>
    <w:rsid w:val="00797309"/>
    <w:rsid w:val="0079766A"/>
    <w:rsid w:val="00797C42"/>
    <w:rsid w:val="00797E71"/>
    <w:rsid w:val="007A00D1"/>
    <w:rsid w:val="007A1D72"/>
    <w:rsid w:val="007A2FF4"/>
    <w:rsid w:val="007A4179"/>
    <w:rsid w:val="007A5348"/>
    <w:rsid w:val="007A6678"/>
    <w:rsid w:val="007A6783"/>
    <w:rsid w:val="007A690B"/>
    <w:rsid w:val="007A78D0"/>
    <w:rsid w:val="007B029C"/>
    <w:rsid w:val="007B5093"/>
    <w:rsid w:val="007B589A"/>
    <w:rsid w:val="007B598C"/>
    <w:rsid w:val="007B6D4E"/>
    <w:rsid w:val="007B716F"/>
    <w:rsid w:val="007B7313"/>
    <w:rsid w:val="007C2528"/>
    <w:rsid w:val="007C321A"/>
    <w:rsid w:val="007C4606"/>
    <w:rsid w:val="007C4DD1"/>
    <w:rsid w:val="007C6035"/>
    <w:rsid w:val="007C77F5"/>
    <w:rsid w:val="007D285B"/>
    <w:rsid w:val="007D2B02"/>
    <w:rsid w:val="007D3147"/>
    <w:rsid w:val="007D3D97"/>
    <w:rsid w:val="007D3E4E"/>
    <w:rsid w:val="007D5E95"/>
    <w:rsid w:val="007E030D"/>
    <w:rsid w:val="007E041F"/>
    <w:rsid w:val="007E3B29"/>
    <w:rsid w:val="007E4251"/>
    <w:rsid w:val="007E4620"/>
    <w:rsid w:val="007E5546"/>
    <w:rsid w:val="007E6DB2"/>
    <w:rsid w:val="007E75A3"/>
    <w:rsid w:val="007F1B95"/>
    <w:rsid w:val="007F2363"/>
    <w:rsid w:val="0080147D"/>
    <w:rsid w:val="008014D9"/>
    <w:rsid w:val="008018C3"/>
    <w:rsid w:val="00801CC1"/>
    <w:rsid w:val="008030BA"/>
    <w:rsid w:val="008033D8"/>
    <w:rsid w:val="00803931"/>
    <w:rsid w:val="00805D8D"/>
    <w:rsid w:val="0080752E"/>
    <w:rsid w:val="00807D5B"/>
    <w:rsid w:val="00811614"/>
    <w:rsid w:val="00811E0E"/>
    <w:rsid w:val="0081246F"/>
    <w:rsid w:val="00812601"/>
    <w:rsid w:val="00812C1D"/>
    <w:rsid w:val="00813319"/>
    <w:rsid w:val="008133A8"/>
    <w:rsid w:val="00814693"/>
    <w:rsid w:val="00814F74"/>
    <w:rsid w:val="00816D80"/>
    <w:rsid w:val="00817F70"/>
    <w:rsid w:val="008209DA"/>
    <w:rsid w:val="00821A9C"/>
    <w:rsid w:val="008224BF"/>
    <w:rsid w:val="00823A94"/>
    <w:rsid w:val="00823AC5"/>
    <w:rsid w:val="00825B27"/>
    <w:rsid w:val="00826D8A"/>
    <w:rsid w:val="00826EAC"/>
    <w:rsid w:val="008275CF"/>
    <w:rsid w:val="008304E0"/>
    <w:rsid w:val="00832762"/>
    <w:rsid w:val="00832C6B"/>
    <w:rsid w:val="00834E01"/>
    <w:rsid w:val="00836F67"/>
    <w:rsid w:val="00837CD7"/>
    <w:rsid w:val="008416BE"/>
    <w:rsid w:val="00842850"/>
    <w:rsid w:val="00842B48"/>
    <w:rsid w:val="00843214"/>
    <w:rsid w:val="00843C02"/>
    <w:rsid w:val="00844CA4"/>
    <w:rsid w:val="0084516B"/>
    <w:rsid w:val="00845743"/>
    <w:rsid w:val="00847535"/>
    <w:rsid w:val="00851D2D"/>
    <w:rsid w:val="008540CA"/>
    <w:rsid w:val="00854C9A"/>
    <w:rsid w:val="00855899"/>
    <w:rsid w:val="008569FF"/>
    <w:rsid w:val="0085714C"/>
    <w:rsid w:val="008603DD"/>
    <w:rsid w:val="00860DA4"/>
    <w:rsid w:val="00861304"/>
    <w:rsid w:val="0086177F"/>
    <w:rsid w:val="00861EAD"/>
    <w:rsid w:val="0086253E"/>
    <w:rsid w:val="00864137"/>
    <w:rsid w:val="0086544C"/>
    <w:rsid w:val="0086602A"/>
    <w:rsid w:val="008661F9"/>
    <w:rsid w:val="008664D3"/>
    <w:rsid w:val="0086796E"/>
    <w:rsid w:val="00872816"/>
    <w:rsid w:val="008737A5"/>
    <w:rsid w:val="00875795"/>
    <w:rsid w:val="00877A07"/>
    <w:rsid w:val="00882333"/>
    <w:rsid w:val="008831A3"/>
    <w:rsid w:val="00884315"/>
    <w:rsid w:val="008854C3"/>
    <w:rsid w:val="008864FA"/>
    <w:rsid w:val="00886602"/>
    <w:rsid w:val="00891CBB"/>
    <w:rsid w:val="00891CD2"/>
    <w:rsid w:val="00892EE2"/>
    <w:rsid w:val="00892FDC"/>
    <w:rsid w:val="00894276"/>
    <w:rsid w:val="00894633"/>
    <w:rsid w:val="008947C9"/>
    <w:rsid w:val="00894F84"/>
    <w:rsid w:val="0089523F"/>
    <w:rsid w:val="00895674"/>
    <w:rsid w:val="008A0B61"/>
    <w:rsid w:val="008A3134"/>
    <w:rsid w:val="008A331C"/>
    <w:rsid w:val="008A413C"/>
    <w:rsid w:val="008A451B"/>
    <w:rsid w:val="008A4F72"/>
    <w:rsid w:val="008A56C0"/>
    <w:rsid w:val="008A6D89"/>
    <w:rsid w:val="008A6E91"/>
    <w:rsid w:val="008B31C2"/>
    <w:rsid w:val="008B412A"/>
    <w:rsid w:val="008B5A4A"/>
    <w:rsid w:val="008B5AF8"/>
    <w:rsid w:val="008B6B3B"/>
    <w:rsid w:val="008B7BCB"/>
    <w:rsid w:val="008C10ED"/>
    <w:rsid w:val="008C16CA"/>
    <w:rsid w:val="008C2249"/>
    <w:rsid w:val="008C33DF"/>
    <w:rsid w:val="008C3D65"/>
    <w:rsid w:val="008C7BEE"/>
    <w:rsid w:val="008D00CF"/>
    <w:rsid w:val="008D1949"/>
    <w:rsid w:val="008D297A"/>
    <w:rsid w:val="008D3884"/>
    <w:rsid w:val="008D61B9"/>
    <w:rsid w:val="008D69AD"/>
    <w:rsid w:val="008D74C8"/>
    <w:rsid w:val="008E19D2"/>
    <w:rsid w:val="008E24F1"/>
    <w:rsid w:val="008E4802"/>
    <w:rsid w:val="008E5C1D"/>
    <w:rsid w:val="008F1CB5"/>
    <w:rsid w:val="008F1F1F"/>
    <w:rsid w:val="008F2B50"/>
    <w:rsid w:val="008F33B8"/>
    <w:rsid w:val="008F369B"/>
    <w:rsid w:val="008F3AFF"/>
    <w:rsid w:val="008F6C03"/>
    <w:rsid w:val="008F7C86"/>
    <w:rsid w:val="00903752"/>
    <w:rsid w:val="0090381A"/>
    <w:rsid w:val="00905D81"/>
    <w:rsid w:val="00905D9D"/>
    <w:rsid w:val="00906229"/>
    <w:rsid w:val="009109A4"/>
    <w:rsid w:val="00912769"/>
    <w:rsid w:val="00913454"/>
    <w:rsid w:val="00915458"/>
    <w:rsid w:val="00915F49"/>
    <w:rsid w:val="00916AD7"/>
    <w:rsid w:val="00917A87"/>
    <w:rsid w:val="00920066"/>
    <w:rsid w:val="00920946"/>
    <w:rsid w:val="00920949"/>
    <w:rsid w:val="00921C86"/>
    <w:rsid w:val="00924503"/>
    <w:rsid w:val="00924F64"/>
    <w:rsid w:val="00926951"/>
    <w:rsid w:val="0092781C"/>
    <w:rsid w:val="009278BE"/>
    <w:rsid w:val="00927C45"/>
    <w:rsid w:val="00930174"/>
    <w:rsid w:val="00931533"/>
    <w:rsid w:val="009319E2"/>
    <w:rsid w:val="00933B0E"/>
    <w:rsid w:val="00934B64"/>
    <w:rsid w:val="00934DD1"/>
    <w:rsid w:val="00935940"/>
    <w:rsid w:val="00936B3A"/>
    <w:rsid w:val="00937E25"/>
    <w:rsid w:val="0094020E"/>
    <w:rsid w:val="0094060C"/>
    <w:rsid w:val="009424C0"/>
    <w:rsid w:val="009437D1"/>
    <w:rsid w:val="00944F76"/>
    <w:rsid w:val="00945065"/>
    <w:rsid w:val="009453D3"/>
    <w:rsid w:val="00946DEF"/>
    <w:rsid w:val="00946F0E"/>
    <w:rsid w:val="009514A0"/>
    <w:rsid w:val="00952326"/>
    <w:rsid w:val="009526EE"/>
    <w:rsid w:val="00955B3F"/>
    <w:rsid w:val="009566DD"/>
    <w:rsid w:val="00956C12"/>
    <w:rsid w:val="00957CC9"/>
    <w:rsid w:val="009603FE"/>
    <w:rsid w:val="00960D9C"/>
    <w:rsid w:val="00961ABD"/>
    <w:rsid w:val="009620F3"/>
    <w:rsid w:val="009640B2"/>
    <w:rsid w:val="009640C3"/>
    <w:rsid w:val="00964454"/>
    <w:rsid w:val="00964D1C"/>
    <w:rsid w:val="00964D83"/>
    <w:rsid w:val="00966C64"/>
    <w:rsid w:val="00966F16"/>
    <w:rsid w:val="00967434"/>
    <w:rsid w:val="00970215"/>
    <w:rsid w:val="00970710"/>
    <w:rsid w:val="00970ACA"/>
    <w:rsid w:val="00972837"/>
    <w:rsid w:val="00973188"/>
    <w:rsid w:val="0097355E"/>
    <w:rsid w:val="00974054"/>
    <w:rsid w:val="0097420A"/>
    <w:rsid w:val="0097659D"/>
    <w:rsid w:val="00976FA2"/>
    <w:rsid w:val="009770C5"/>
    <w:rsid w:val="00980511"/>
    <w:rsid w:val="00980983"/>
    <w:rsid w:val="009812F3"/>
    <w:rsid w:val="009826BB"/>
    <w:rsid w:val="0098382F"/>
    <w:rsid w:val="009843DF"/>
    <w:rsid w:val="0098582D"/>
    <w:rsid w:val="00985E86"/>
    <w:rsid w:val="009861B5"/>
    <w:rsid w:val="009867AA"/>
    <w:rsid w:val="009869B9"/>
    <w:rsid w:val="009870C7"/>
    <w:rsid w:val="009903E0"/>
    <w:rsid w:val="00990A82"/>
    <w:rsid w:val="009938C5"/>
    <w:rsid w:val="00993971"/>
    <w:rsid w:val="00994B9B"/>
    <w:rsid w:val="009951E8"/>
    <w:rsid w:val="00995507"/>
    <w:rsid w:val="00996A8B"/>
    <w:rsid w:val="00996DB1"/>
    <w:rsid w:val="009976B0"/>
    <w:rsid w:val="00997711"/>
    <w:rsid w:val="009A1D26"/>
    <w:rsid w:val="009A1E81"/>
    <w:rsid w:val="009A238B"/>
    <w:rsid w:val="009A31E6"/>
    <w:rsid w:val="009A33D2"/>
    <w:rsid w:val="009A44D9"/>
    <w:rsid w:val="009A4A2A"/>
    <w:rsid w:val="009A5DAE"/>
    <w:rsid w:val="009A603D"/>
    <w:rsid w:val="009A7C06"/>
    <w:rsid w:val="009A7F0F"/>
    <w:rsid w:val="009B0A0A"/>
    <w:rsid w:val="009B1311"/>
    <w:rsid w:val="009B1344"/>
    <w:rsid w:val="009B1529"/>
    <w:rsid w:val="009B1CCC"/>
    <w:rsid w:val="009B2A43"/>
    <w:rsid w:val="009B2A46"/>
    <w:rsid w:val="009B2E4C"/>
    <w:rsid w:val="009B3649"/>
    <w:rsid w:val="009B5BA4"/>
    <w:rsid w:val="009B8892"/>
    <w:rsid w:val="009C0637"/>
    <w:rsid w:val="009C36F5"/>
    <w:rsid w:val="009C37CA"/>
    <w:rsid w:val="009C4F06"/>
    <w:rsid w:val="009C5D51"/>
    <w:rsid w:val="009C61FA"/>
    <w:rsid w:val="009C6A1F"/>
    <w:rsid w:val="009C7922"/>
    <w:rsid w:val="009C7E54"/>
    <w:rsid w:val="009C7FAF"/>
    <w:rsid w:val="009D0093"/>
    <w:rsid w:val="009D0B91"/>
    <w:rsid w:val="009D2364"/>
    <w:rsid w:val="009D28DA"/>
    <w:rsid w:val="009D34FC"/>
    <w:rsid w:val="009D3FFC"/>
    <w:rsid w:val="009D4D04"/>
    <w:rsid w:val="009D56D4"/>
    <w:rsid w:val="009D5C12"/>
    <w:rsid w:val="009D6035"/>
    <w:rsid w:val="009D6762"/>
    <w:rsid w:val="009D7690"/>
    <w:rsid w:val="009E00D6"/>
    <w:rsid w:val="009E06A2"/>
    <w:rsid w:val="009E1843"/>
    <w:rsid w:val="009E1950"/>
    <w:rsid w:val="009E1BB3"/>
    <w:rsid w:val="009E2249"/>
    <w:rsid w:val="009E26B8"/>
    <w:rsid w:val="009E35CD"/>
    <w:rsid w:val="009E5176"/>
    <w:rsid w:val="009E6096"/>
    <w:rsid w:val="009E6D36"/>
    <w:rsid w:val="009E72E7"/>
    <w:rsid w:val="009E7A42"/>
    <w:rsid w:val="009E7BD0"/>
    <w:rsid w:val="009F0204"/>
    <w:rsid w:val="009F1702"/>
    <w:rsid w:val="009F28D7"/>
    <w:rsid w:val="009F3D4E"/>
    <w:rsid w:val="009F487C"/>
    <w:rsid w:val="009F4C83"/>
    <w:rsid w:val="009F6048"/>
    <w:rsid w:val="009F6DEA"/>
    <w:rsid w:val="00A003E2"/>
    <w:rsid w:val="00A00A80"/>
    <w:rsid w:val="00A00C30"/>
    <w:rsid w:val="00A03679"/>
    <w:rsid w:val="00A03BB2"/>
    <w:rsid w:val="00A04906"/>
    <w:rsid w:val="00A05FB2"/>
    <w:rsid w:val="00A074F6"/>
    <w:rsid w:val="00A07A1C"/>
    <w:rsid w:val="00A125D6"/>
    <w:rsid w:val="00A12EDF"/>
    <w:rsid w:val="00A135C8"/>
    <w:rsid w:val="00A14D71"/>
    <w:rsid w:val="00A1564E"/>
    <w:rsid w:val="00A15CC4"/>
    <w:rsid w:val="00A20009"/>
    <w:rsid w:val="00A20504"/>
    <w:rsid w:val="00A2146A"/>
    <w:rsid w:val="00A216EE"/>
    <w:rsid w:val="00A2310D"/>
    <w:rsid w:val="00A23A64"/>
    <w:rsid w:val="00A24A01"/>
    <w:rsid w:val="00A2627D"/>
    <w:rsid w:val="00A26FA5"/>
    <w:rsid w:val="00A300EE"/>
    <w:rsid w:val="00A3017C"/>
    <w:rsid w:val="00A31ACC"/>
    <w:rsid w:val="00A346A3"/>
    <w:rsid w:val="00A34A5D"/>
    <w:rsid w:val="00A350E7"/>
    <w:rsid w:val="00A360BA"/>
    <w:rsid w:val="00A363EB"/>
    <w:rsid w:val="00A36819"/>
    <w:rsid w:val="00A372A0"/>
    <w:rsid w:val="00A40065"/>
    <w:rsid w:val="00A41BC7"/>
    <w:rsid w:val="00A4203A"/>
    <w:rsid w:val="00A43843"/>
    <w:rsid w:val="00A45F00"/>
    <w:rsid w:val="00A4700C"/>
    <w:rsid w:val="00A47938"/>
    <w:rsid w:val="00A47D32"/>
    <w:rsid w:val="00A505F3"/>
    <w:rsid w:val="00A50B41"/>
    <w:rsid w:val="00A558AA"/>
    <w:rsid w:val="00A55DF0"/>
    <w:rsid w:val="00A56B46"/>
    <w:rsid w:val="00A57108"/>
    <w:rsid w:val="00A6245A"/>
    <w:rsid w:val="00A64B43"/>
    <w:rsid w:val="00A64C47"/>
    <w:rsid w:val="00A65DAA"/>
    <w:rsid w:val="00A667FC"/>
    <w:rsid w:val="00A67843"/>
    <w:rsid w:val="00A70574"/>
    <w:rsid w:val="00A72BF9"/>
    <w:rsid w:val="00A742DB"/>
    <w:rsid w:val="00A74A32"/>
    <w:rsid w:val="00A74FEC"/>
    <w:rsid w:val="00A75100"/>
    <w:rsid w:val="00A7755D"/>
    <w:rsid w:val="00A77B0B"/>
    <w:rsid w:val="00A77BB4"/>
    <w:rsid w:val="00A81FF9"/>
    <w:rsid w:val="00A82427"/>
    <w:rsid w:val="00A82784"/>
    <w:rsid w:val="00A827AC"/>
    <w:rsid w:val="00A832F7"/>
    <w:rsid w:val="00A839BA"/>
    <w:rsid w:val="00A84E34"/>
    <w:rsid w:val="00A85056"/>
    <w:rsid w:val="00A865BB"/>
    <w:rsid w:val="00A928BB"/>
    <w:rsid w:val="00A938D5"/>
    <w:rsid w:val="00A96118"/>
    <w:rsid w:val="00A962D2"/>
    <w:rsid w:val="00AA2C9B"/>
    <w:rsid w:val="00AA34F9"/>
    <w:rsid w:val="00AA3D64"/>
    <w:rsid w:val="00AA3FCE"/>
    <w:rsid w:val="00AA4277"/>
    <w:rsid w:val="00AA5D6F"/>
    <w:rsid w:val="00AA6850"/>
    <w:rsid w:val="00AA71AF"/>
    <w:rsid w:val="00AB0469"/>
    <w:rsid w:val="00AB3E9B"/>
    <w:rsid w:val="00AB5AE7"/>
    <w:rsid w:val="00AB5F05"/>
    <w:rsid w:val="00AB66BD"/>
    <w:rsid w:val="00AB683E"/>
    <w:rsid w:val="00AB6ACE"/>
    <w:rsid w:val="00AB6BCB"/>
    <w:rsid w:val="00AC1E3F"/>
    <w:rsid w:val="00AC3BA8"/>
    <w:rsid w:val="00AC3BD0"/>
    <w:rsid w:val="00AC427C"/>
    <w:rsid w:val="00AC4463"/>
    <w:rsid w:val="00AC5131"/>
    <w:rsid w:val="00AC52F4"/>
    <w:rsid w:val="00AC6F89"/>
    <w:rsid w:val="00AC72C1"/>
    <w:rsid w:val="00AC72FD"/>
    <w:rsid w:val="00AC7E78"/>
    <w:rsid w:val="00AD0F6B"/>
    <w:rsid w:val="00AD4A95"/>
    <w:rsid w:val="00AD4C52"/>
    <w:rsid w:val="00AD512D"/>
    <w:rsid w:val="00AD55CA"/>
    <w:rsid w:val="00AD7AE3"/>
    <w:rsid w:val="00AE0329"/>
    <w:rsid w:val="00AE0EFE"/>
    <w:rsid w:val="00AE233F"/>
    <w:rsid w:val="00AE505F"/>
    <w:rsid w:val="00AE5458"/>
    <w:rsid w:val="00AE5D27"/>
    <w:rsid w:val="00AE643D"/>
    <w:rsid w:val="00AE6CBB"/>
    <w:rsid w:val="00AE70DC"/>
    <w:rsid w:val="00AF0DA2"/>
    <w:rsid w:val="00AF16B6"/>
    <w:rsid w:val="00AF1E48"/>
    <w:rsid w:val="00AF6ABD"/>
    <w:rsid w:val="00B00439"/>
    <w:rsid w:val="00B0103B"/>
    <w:rsid w:val="00B01282"/>
    <w:rsid w:val="00B01B8F"/>
    <w:rsid w:val="00B029B1"/>
    <w:rsid w:val="00B02AF7"/>
    <w:rsid w:val="00B02F04"/>
    <w:rsid w:val="00B02F75"/>
    <w:rsid w:val="00B04441"/>
    <w:rsid w:val="00B04D5C"/>
    <w:rsid w:val="00B065B3"/>
    <w:rsid w:val="00B06BEB"/>
    <w:rsid w:val="00B07A80"/>
    <w:rsid w:val="00B1032C"/>
    <w:rsid w:val="00B10F6C"/>
    <w:rsid w:val="00B1211C"/>
    <w:rsid w:val="00B12833"/>
    <w:rsid w:val="00B15DC3"/>
    <w:rsid w:val="00B17457"/>
    <w:rsid w:val="00B21C58"/>
    <w:rsid w:val="00B224C0"/>
    <w:rsid w:val="00B23FC7"/>
    <w:rsid w:val="00B24EB0"/>
    <w:rsid w:val="00B24FF8"/>
    <w:rsid w:val="00B30C2E"/>
    <w:rsid w:val="00B31ABE"/>
    <w:rsid w:val="00B32A16"/>
    <w:rsid w:val="00B32BDC"/>
    <w:rsid w:val="00B32C0D"/>
    <w:rsid w:val="00B3308F"/>
    <w:rsid w:val="00B331B6"/>
    <w:rsid w:val="00B33969"/>
    <w:rsid w:val="00B35274"/>
    <w:rsid w:val="00B40E5A"/>
    <w:rsid w:val="00B421DF"/>
    <w:rsid w:val="00B45C0A"/>
    <w:rsid w:val="00B45E9C"/>
    <w:rsid w:val="00B46A94"/>
    <w:rsid w:val="00B476B9"/>
    <w:rsid w:val="00B47C84"/>
    <w:rsid w:val="00B508B0"/>
    <w:rsid w:val="00B53082"/>
    <w:rsid w:val="00B548AB"/>
    <w:rsid w:val="00B56B6B"/>
    <w:rsid w:val="00B603B8"/>
    <w:rsid w:val="00B61358"/>
    <w:rsid w:val="00B614A1"/>
    <w:rsid w:val="00B61CE0"/>
    <w:rsid w:val="00B62061"/>
    <w:rsid w:val="00B62F79"/>
    <w:rsid w:val="00B63F7F"/>
    <w:rsid w:val="00B64A64"/>
    <w:rsid w:val="00B661B3"/>
    <w:rsid w:val="00B66341"/>
    <w:rsid w:val="00B71136"/>
    <w:rsid w:val="00B717CA"/>
    <w:rsid w:val="00B71CA9"/>
    <w:rsid w:val="00B724DD"/>
    <w:rsid w:val="00B72811"/>
    <w:rsid w:val="00B73939"/>
    <w:rsid w:val="00B7404F"/>
    <w:rsid w:val="00B75486"/>
    <w:rsid w:val="00B769C1"/>
    <w:rsid w:val="00B77371"/>
    <w:rsid w:val="00B80573"/>
    <w:rsid w:val="00B81453"/>
    <w:rsid w:val="00B83573"/>
    <w:rsid w:val="00B8392B"/>
    <w:rsid w:val="00B874B1"/>
    <w:rsid w:val="00B90E97"/>
    <w:rsid w:val="00B9244B"/>
    <w:rsid w:val="00B92462"/>
    <w:rsid w:val="00B9478B"/>
    <w:rsid w:val="00B95312"/>
    <w:rsid w:val="00B95391"/>
    <w:rsid w:val="00B96465"/>
    <w:rsid w:val="00B969C6"/>
    <w:rsid w:val="00B96EC8"/>
    <w:rsid w:val="00B96FEE"/>
    <w:rsid w:val="00B9705E"/>
    <w:rsid w:val="00BA0788"/>
    <w:rsid w:val="00BA1BB8"/>
    <w:rsid w:val="00BA1D03"/>
    <w:rsid w:val="00BA1E71"/>
    <w:rsid w:val="00BA3A4F"/>
    <w:rsid w:val="00BA63C3"/>
    <w:rsid w:val="00BA67D3"/>
    <w:rsid w:val="00BB079D"/>
    <w:rsid w:val="00BB1C5A"/>
    <w:rsid w:val="00BB1F52"/>
    <w:rsid w:val="00BB5F90"/>
    <w:rsid w:val="00BB6E91"/>
    <w:rsid w:val="00BB6FEB"/>
    <w:rsid w:val="00BB7AF0"/>
    <w:rsid w:val="00BB7B75"/>
    <w:rsid w:val="00BB7D2E"/>
    <w:rsid w:val="00BC33CD"/>
    <w:rsid w:val="00BC3F07"/>
    <w:rsid w:val="00BC4554"/>
    <w:rsid w:val="00BC6B07"/>
    <w:rsid w:val="00BC767A"/>
    <w:rsid w:val="00BC792A"/>
    <w:rsid w:val="00BC795A"/>
    <w:rsid w:val="00BD0467"/>
    <w:rsid w:val="00BD147B"/>
    <w:rsid w:val="00BD21EC"/>
    <w:rsid w:val="00BD234F"/>
    <w:rsid w:val="00BD2474"/>
    <w:rsid w:val="00BD4231"/>
    <w:rsid w:val="00BD5384"/>
    <w:rsid w:val="00BD56C6"/>
    <w:rsid w:val="00BD5B20"/>
    <w:rsid w:val="00BD5EA8"/>
    <w:rsid w:val="00BE0366"/>
    <w:rsid w:val="00BE03C7"/>
    <w:rsid w:val="00BE167C"/>
    <w:rsid w:val="00BE1805"/>
    <w:rsid w:val="00BE1C3B"/>
    <w:rsid w:val="00BE24A4"/>
    <w:rsid w:val="00BE38C3"/>
    <w:rsid w:val="00BE3F9E"/>
    <w:rsid w:val="00BE4114"/>
    <w:rsid w:val="00BE4CB2"/>
    <w:rsid w:val="00BE6B61"/>
    <w:rsid w:val="00BE7D33"/>
    <w:rsid w:val="00BF0980"/>
    <w:rsid w:val="00BF0F5C"/>
    <w:rsid w:val="00BF38C8"/>
    <w:rsid w:val="00BF45E9"/>
    <w:rsid w:val="00BF4D4C"/>
    <w:rsid w:val="00BF5D0C"/>
    <w:rsid w:val="00BF662D"/>
    <w:rsid w:val="00BF734B"/>
    <w:rsid w:val="00BF76BC"/>
    <w:rsid w:val="00C00D77"/>
    <w:rsid w:val="00C00F20"/>
    <w:rsid w:val="00C021C3"/>
    <w:rsid w:val="00C038E1"/>
    <w:rsid w:val="00C04BA5"/>
    <w:rsid w:val="00C0562A"/>
    <w:rsid w:val="00C0603A"/>
    <w:rsid w:val="00C07CC5"/>
    <w:rsid w:val="00C07D48"/>
    <w:rsid w:val="00C10F4B"/>
    <w:rsid w:val="00C11953"/>
    <w:rsid w:val="00C1252C"/>
    <w:rsid w:val="00C12649"/>
    <w:rsid w:val="00C13594"/>
    <w:rsid w:val="00C143A2"/>
    <w:rsid w:val="00C14D55"/>
    <w:rsid w:val="00C15271"/>
    <w:rsid w:val="00C1711E"/>
    <w:rsid w:val="00C174D3"/>
    <w:rsid w:val="00C1788C"/>
    <w:rsid w:val="00C17976"/>
    <w:rsid w:val="00C17F93"/>
    <w:rsid w:val="00C204F4"/>
    <w:rsid w:val="00C206A8"/>
    <w:rsid w:val="00C20F92"/>
    <w:rsid w:val="00C220C1"/>
    <w:rsid w:val="00C22552"/>
    <w:rsid w:val="00C2428B"/>
    <w:rsid w:val="00C24374"/>
    <w:rsid w:val="00C244B4"/>
    <w:rsid w:val="00C255E3"/>
    <w:rsid w:val="00C257EE"/>
    <w:rsid w:val="00C2645C"/>
    <w:rsid w:val="00C26CE4"/>
    <w:rsid w:val="00C27C80"/>
    <w:rsid w:val="00C314BC"/>
    <w:rsid w:val="00C31862"/>
    <w:rsid w:val="00C32303"/>
    <w:rsid w:val="00C33499"/>
    <w:rsid w:val="00C3517D"/>
    <w:rsid w:val="00C40F7F"/>
    <w:rsid w:val="00C41190"/>
    <w:rsid w:val="00C43F9D"/>
    <w:rsid w:val="00C43FE7"/>
    <w:rsid w:val="00C44394"/>
    <w:rsid w:val="00C44661"/>
    <w:rsid w:val="00C44B70"/>
    <w:rsid w:val="00C44EF3"/>
    <w:rsid w:val="00C467CE"/>
    <w:rsid w:val="00C50865"/>
    <w:rsid w:val="00C5091C"/>
    <w:rsid w:val="00C5138A"/>
    <w:rsid w:val="00C51D5E"/>
    <w:rsid w:val="00C52E32"/>
    <w:rsid w:val="00C52ED5"/>
    <w:rsid w:val="00C543F0"/>
    <w:rsid w:val="00C60D5E"/>
    <w:rsid w:val="00C60E43"/>
    <w:rsid w:val="00C62048"/>
    <w:rsid w:val="00C626D9"/>
    <w:rsid w:val="00C62711"/>
    <w:rsid w:val="00C63611"/>
    <w:rsid w:val="00C63C28"/>
    <w:rsid w:val="00C64725"/>
    <w:rsid w:val="00C65242"/>
    <w:rsid w:val="00C659B5"/>
    <w:rsid w:val="00C66749"/>
    <w:rsid w:val="00C66BC1"/>
    <w:rsid w:val="00C673E8"/>
    <w:rsid w:val="00C6753C"/>
    <w:rsid w:val="00C715AC"/>
    <w:rsid w:val="00C71693"/>
    <w:rsid w:val="00C72FF7"/>
    <w:rsid w:val="00C73098"/>
    <w:rsid w:val="00C73654"/>
    <w:rsid w:val="00C740DE"/>
    <w:rsid w:val="00C74A50"/>
    <w:rsid w:val="00C75345"/>
    <w:rsid w:val="00C767D0"/>
    <w:rsid w:val="00C76A6E"/>
    <w:rsid w:val="00C77322"/>
    <w:rsid w:val="00C7763C"/>
    <w:rsid w:val="00C7789B"/>
    <w:rsid w:val="00C81879"/>
    <w:rsid w:val="00C81A50"/>
    <w:rsid w:val="00C82691"/>
    <w:rsid w:val="00C829F3"/>
    <w:rsid w:val="00C82AF0"/>
    <w:rsid w:val="00C84EE5"/>
    <w:rsid w:val="00C86ED0"/>
    <w:rsid w:val="00C91D2D"/>
    <w:rsid w:val="00C92301"/>
    <w:rsid w:val="00C93B76"/>
    <w:rsid w:val="00C94C27"/>
    <w:rsid w:val="00CA0D1D"/>
    <w:rsid w:val="00CA1656"/>
    <w:rsid w:val="00CA20BF"/>
    <w:rsid w:val="00CA2AD4"/>
    <w:rsid w:val="00CA39ED"/>
    <w:rsid w:val="00CA59AA"/>
    <w:rsid w:val="00CA5BFE"/>
    <w:rsid w:val="00CB0F03"/>
    <w:rsid w:val="00CB2295"/>
    <w:rsid w:val="00CB238C"/>
    <w:rsid w:val="00CB23E1"/>
    <w:rsid w:val="00CB2519"/>
    <w:rsid w:val="00CB3B7A"/>
    <w:rsid w:val="00CB4123"/>
    <w:rsid w:val="00CB4B54"/>
    <w:rsid w:val="00CB550B"/>
    <w:rsid w:val="00CB5E8C"/>
    <w:rsid w:val="00CB6823"/>
    <w:rsid w:val="00CB6E51"/>
    <w:rsid w:val="00CB7A5F"/>
    <w:rsid w:val="00CC1B17"/>
    <w:rsid w:val="00CC20B4"/>
    <w:rsid w:val="00CC4331"/>
    <w:rsid w:val="00CC52E2"/>
    <w:rsid w:val="00CC5400"/>
    <w:rsid w:val="00CD1AAD"/>
    <w:rsid w:val="00CD3464"/>
    <w:rsid w:val="00CD3A9B"/>
    <w:rsid w:val="00CD5211"/>
    <w:rsid w:val="00CD75CD"/>
    <w:rsid w:val="00CD7707"/>
    <w:rsid w:val="00CE0590"/>
    <w:rsid w:val="00CE088B"/>
    <w:rsid w:val="00CE1BE7"/>
    <w:rsid w:val="00CE25C4"/>
    <w:rsid w:val="00CE33A5"/>
    <w:rsid w:val="00CE35F2"/>
    <w:rsid w:val="00CE418C"/>
    <w:rsid w:val="00CE4F05"/>
    <w:rsid w:val="00CE516A"/>
    <w:rsid w:val="00CE5AC3"/>
    <w:rsid w:val="00CE670A"/>
    <w:rsid w:val="00CE6827"/>
    <w:rsid w:val="00CE7D5E"/>
    <w:rsid w:val="00CF014B"/>
    <w:rsid w:val="00CF071E"/>
    <w:rsid w:val="00CF17C5"/>
    <w:rsid w:val="00CF188C"/>
    <w:rsid w:val="00CF1C69"/>
    <w:rsid w:val="00CF24EB"/>
    <w:rsid w:val="00CF41BD"/>
    <w:rsid w:val="00CF4F6F"/>
    <w:rsid w:val="00CF65B1"/>
    <w:rsid w:val="00CF7B42"/>
    <w:rsid w:val="00CF7FA9"/>
    <w:rsid w:val="00D00F72"/>
    <w:rsid w:val="00D01473"/>
    <w:rsid w:val="00D01F0C"/>
    <w:rsid w:val="00D0274B"/>
    <w:rsid w:val="00D02C6F"/>
    <w:rsid w:val="00D035B4"/>
    <w:rsid w:val="00D039A3"/>
    <w:rsid w:val="00D04979"/>
    <w:rsid w:val="00D04A47"/>
    <w:rsid w:val="00D05040"/>
    <w:rsid w:val="00D05B0A"/>
    <w:rsid w:val="00D06173"/>
    <w:rsid w:val="00D06E50"/>
    <w:rsid w:val="00D110B0"/>
    <w:rsid w:val="00D1248E"/>
    <w:rsid w:val="00D1275D"/>
    <w:rsid w:val="00D12F8E"/>
    <w:rsid w:val="00D13E4D"/>
    <w:rsid w:val="00D14B47"/>
    <w:rsid w:val="00D14E03"/>
    <w:rsid w:val="00D1662A"/>
    <w:rsid w:val="00D16FEA"/>
    <w:rsid w:val="00D17E29"/>
    <w:rsid w:val="00D20C37"/>
    <w:rsid w:val="00D22743"/>
    <w:rsid w:val="00D24797"/>
    <w:rsid w:val="00D269CE"/>
    <w:rsid w:val="00D272E8"/>
    <w:rsid w:val="00D321E9"/>
    <w:rsid w:val="00D32633"/>
    <w:rsid w:val="00D3337C"/>
    <w:rsid w:val="00D352A0"/>
    <w:rsid w:val="00D355BE"/>
    <w:rsid w:val="00D37CAA"/>
    <w:rsid w:val="00D40CAA"/>
    <w:rsid w:val="00D42CCB"/>
    <w:rsid w:val="00D43AE1"/>
    <w:rsid w:val="00D449E5"/>
    <w:rsid w:val="00D44E73"/>
    <w:rsid w:val="00D451F9"/>
    <w:rsid w:val="00D45703"/>
    <w:rsid w:val="00D467B0"/>
    <w:rsid w:val="00D46DBD"/>
    <w:rsid w:val="00D47796"/>
    <w:rsid w:val="00D51B6F"/>
    <w:rsid w:val="00D536A8"/>
    <w:rsid w:val="00D556FC"/>
    <w:rsid w:val="00D574F6"/>
    <w:rsid w:val="00D57AA6"/>
    <w:rsid w:val="00D6050F"/>
    <w:rsid w:val="00D60A08"/>
    <w:rsid w:val="00D60EEB"/>
    <w:rsid w:val="00D619AA"/>
    <w:rsid w:val="00D61C00"/>
    <w:rsid w:val="00D625ED"/>
    <w:rsid w:val="00D6369E"/>
    <w:rsid w:val="00D645F9"/>
    <w:rsid w:val="00D64DD8"/>
    <w:rsid w:val="00D65A20"/>
    <w:rsid w:val="00D66A29"/>
    <w:rsid w:val="00D66AD3"/>
    <w:rsid w:val="00D67B6F"/>
    <w:rsid w:val="00D70284"/>
    <w:rsid w:val="00D70D6C"/>
    <w:rsid w:val="00D717CC"/>
    <w:rsid w:val="00D718FD"/>
    <w:rsid w:val="00D71E13"/>
    <w:rsid w:val="00D73D44"/>
    <w:rsid w:val="00D73DA7"/>
    <w:rsid w:val="00D74006"/>
    <w:rsid w:val="00D7449C"/>
    <w:rsid w:val="00D75319"/>
    <w:rsid w:val="00D75352"/>
    <w:rsid w:val="00D75494"/>
    <w:rsid w:val="00D75A5F"/>
    <w:rsid w:val="00D75B51"/>
    <w:rsid w:val="00D769F9"/>
    <w:rsid w:val="00D76D34"/>
    <w:rsid w:val="00D80123"/>
    <w:rsid w:val="00D80731"/>
    <w:rsid w:val="00D81CD0"/>
    <w:rsid w:val="00D81D59"/>
    <w:rsid w:val="00D82736"/>
    <w:rsid w:val="00D83452"/>
    <w:rsid w:val="00D86E2F"/>
    <w:rsid w:val="00D872C6"/>
    <w:rsid w:val="00D90D0E"/>
    <w:rsid w:val="00D92832"/>
    <w:rsid w:val="00D9455D"/>
    <w:rsid w:val="00D96BE7"/>
    <w:rsid w:val="00D96DB2"/>
    <w:rsid w:val="00DA0920"/>
    <w:rsid w:val="00DA189A"/>
    <w:rsid w:val="00DA2B48"/>
    <w:rsid w:val="00DA31DA"/>
    <w:rsid w:val="00DA31EE"/>
    <w:rsid w:val="00DA4046"/>
    <w:rsid w:val="00DA54F0"/>
    <w:rsid w:val="00DA7785"/>
    <w:rsid w:val="00DA7D27"/>
    <w:rsid w:val="00DB270A"/>
    <w:rsid w:val="00DB2A59"/>
    <w:rsid w:val="00DB3D40"/>
    <w:rsid w:val="00DB4325"/>
    <w:rsid w:val="00DB4571"/>
    <w:rsid w:val="00DB686A"/>
    <w:rsid w:val="00DB6ABD"/>
    <w:rsid w:val="00DB6E3B"/>
    <w:rsid w:val="00DB6E6C"/>
    <w:rsid w:val="00DB7A3B"/>
    <w:rsid w:val="00DC0656"/>
    <w:rsid w:val="00DC1151"/>
    <w:rsid w:val="00DC1C29"/>
    <w:rsid w:val="00DC2402"/>
    <w:rsid w:val="00DC30A2"/>
    <w:rsid w:val="00DC33AA"/>
    <w:rsid w:val="00DC3648"/>
    <w:rsid w:val="00DC3EDF"/>
    <w:rsid w:val="00DC4FEF"/>
    <w:rsid w:val="00DC6FD8"/>
    <w:rsid w:val="00DC7305"/>
    <w:rsid w:val="00DC74B8"/>
    <w:rsid w:val="00DD26AE"/>
    <w:rsid w:val="00DD34CF"/>
    <w:rsid w:val="00DD78DE"/>
    <w:rsid w:val="00DE1A15"/>
    <w:rsid w:val="00DE3E94"/>
    <w:rsid w:val="00DE5E8F"/>
    <w:rsid w:val="00DE5F0A"/>
    <w:rsid w:val="00DE6766"/>
    <w:rsid w:val="00DE690F"/>
    <w:rsid w:val="00DF1BDE"/>
    <w:rsid w:val="00DF1E5A"/>
    <w:rsid w:val="00DF2338"/>
    <w:rsid w:val="00DF49B9"/>
    <w:rsid w:val="00DF5420"/>
    <w:rsid w:val="00DF5824"/>
    <w:rsid w:val="00DF70DE"/>
    <w:rsid w:val="00DF7255"/>
    <w:rsid w:val="00DF7E1B"/>
    <w:rsid w:val="00E0006B"/>
    <w:rsid w:val="00E009F8"/>
    <w:rsid w:val="00E01E65"/>
    <w:rsid w:val="00E01EEA"/>
    <w:rsid w:val="00E030AD"/>
    <w:rsid w:val="00E05757"/>
    <w:rsid w:val="00E060B4"/>
    <w:rsid w:val="00E06DB2"/>
    <w:rsid w:val="00E072E8"/>
    <w:rsid w:val="00E13E50"/>
    <w:rsid w:val="00E14262"/>
    <w:rsid w:val="00E1476C"/>
    <w:rsid w:val="00E165E2"/>
    <w:rsid w:val="00E206E3"/>
    <w:rsid w:val="00E23059"/>
    <w:rsid w:val="00E23DD4"/>
    <w:rsid w:val="00E23F76"/>
    <w:rsid w:val="00E25B93"/>
    <w:rsid w:val="00E30B17"/>
    <w:rsid w:val="00E3187B"/>
    <w:rsid w:val="00E32277"/>
    <w:rsid w:val="00E3328A"/>
    <w:rsid w:val="00E33999"/>
    <w:rsid w:val="00E33B78"/>
    <w:rsid w:val="00E34F80"/>
    <w:rsid w:val="00E35972"/>
    <w:rsid w:val="00E367B3"/>
    <w:rsid w:val="00E36FEF"/>
    <w:rsid w:val="00E37461"/>
    <w:rsid w:val="00E405CC"/>
    <w:rsid w:val="00E41778"/>
    <w:rsid w:val="00E41E12"/>
    <w:rsid w:val="00E43A84"/>
    <w:rsid w:val="00E43E5D"/>
    <w:rsid w:val="00E442C4"/>
    <w:rsid w:val="00E44E14"/>
    <w:rsid w:val="00E45438"/>
    <w:rsid w:val="00E458A4"/>
    <w:rsid w:val="00E45B55"/>
    <w:rsid w:val="00E513EE"/>
    <w:rsid w:val="00E52C39"/>
    <w:rsid w:val="00E533BB"/>
    <w:rsid w:val="00E5565D"/>
    <w:rsid w:val="00E55B82"/>
    <w:rsid w:val="00E612F6"/>
    <w:rsid w:val="00E6138E"/>
    <w:rsid w:val="00E61CF1"/>
    <w:rsid w:val="00E61FF2"/>
    <w:rsid w:val="00E62FDB"/>
    <w:rsid w:val="00E634CE"/>
    <w:rsid w:val="00E635B4"/>
    <w:rsid w:val="00E636E5"/>
    <w:rsid w:val="00E637B9"/>
    <w:rsid w:val="00E63857"/>
    <w:rsid w:val="00E6438E"/>
    <w:rsid w:val="00E64A99"/>
    <w:rsid w:val="00E65385"/>
    <w:rsid w:val="00E70D0A"/>
    <w:rsid w:val="00E7488B"/>
    <w:rsid w:val="00E74AD0"/>
    <w:rsid w:val="00E75131"/>
    <w:rsid w:val="00E7518E"/>
    <w:rsid w:val="00E758B9"/>
    <w:rsid w:val="00E75C7A"/>
    <w:rsid w:val="00E76A32"/>
    <w:rsid w:val="00E76AA9"/>
    <w:rsid w:val="00E77392"/>
    <w:rsid w:val="00E804E7"/>
    <w:rsid w:val="00E805C0"/>
    <w:rsid w:val="00E809AD"/>
    <w:rsid w:val="00E80BE5"/>
    <w:rsid w:val="00E81479"/>
    <w:rsid w:val="00E81606"/>
    <w:rsid w:val="00E818C0"/>
    <w:rsid w:val="00E83154"/>
    <w:rsid w:val="00E858A8"/>
    <w:rsid w:val="00E860C0"/>
    <w:rsid w:val="00E86660"/>
    <w:rsid w:val="00E86D1A"/>
    <w:rsid w:val="00E87200"/>
    <w:rsid w:val="00E90C46"/>
    <w:rsid w:val="00E90C8A"/>
    <w:rsid w:val="00E90EC9"/>
    <w:rsid w:val="00E91998"/>
    <w:rsid w:val="00E93490"/>
    <w:rsid w:val="00E93CFF"/>
    <w:rsid w:val="00E948D9"/>
    <w:rsid w:val="00E9582B"/>
    <w:rsid w:val="00E95893"/>
    <w:rsid w:val="00E95AA5"/>
    <w:rsid w:val="00E95D67"/>
    <w:rsid w:val="00E972ED"/>
    <w:rsid w:val="00E973EC"/>
    <w:rsid w:val="00E97BE2"/>
    <w:rsid w:val="00EA0E30"/>
    <w:rsid w:val="00EA16E6"/>
    <w:rsid w:val="00EA1AFD"/>
    <w:rsid w:val="00EA1C5D"/>
    <w:rsid w:val="00EA29B6"/>
    <w:rsid w:val="00EA2A00"/>
    <w:rsid w:val="00EA3AC1"/>
    <w:rsid w:val="00EA781D"/>
    <w:rsid w:val="00EA7F21"/>
    <w:rsid w:val="00EA7F23"/>
    <w:rsid w:val="00EB0AFA"/>
    <w:rsid w:val="00EB160B"/>
    <w:rsid w:val="00EB3686"/>
    <w:rsid w:val="00EB3E3E"/>
    <w:rsid w:val="00EB6DB6"/>
    <w:rsid w:val="00EB7CAE"/>
    <w:rsid w:val="00EC0603"/>
    <w:rsid w:val="00EC1508"/>
    <w:rsid w:val="00EC2C6D"/>
    <w:rsid w:val="00EC62FA"/>
    <w:rsid w:val="00EC6760"/>
    <w:rsid w:val="00ED2C78"/>
    <w:rsid w:val="00ED3F8B"/>
    <w:rsid w:val="00ED5290"/>
    <w:rsid w:val="00ED6D22"/>
    <w:rsid w:val="00ED7873"/>
    <w:rsid w:val="00EE1068"/>
    <w:rsid w:val="00EE1C73"/>
    <w:rsid w:val="00EE29BF"/>
    <w:rsid w:val="00EE3663"/>
    <w:rsid w:val="00EE48B4"/>
    <w:rsid w:val="00EE6A79"/>
    <w:rsid w:val="00EE723A"/>
    <w:rsid w:val="00EF4C17"/>
    <w:rsid w:val="00EF4C4E"/>
    <w:rsid w:val="00EF5D2B"/>
    <w:rsid w:val="00F005D7"/>
    <w:rsid w:val="00F00B4E"/>
    <w:rsid w:val="00F02AD6"/>
    <w:rsid w:val="00F03283"/>
    <w:rsid w:val="00F04370"/>
    <w:rsid w:val="00F0551A"/>
    <w:rsid w:val="00F06399"/>
    <w:rsid w:val="00F069FA"/>
    <w:rsid w:val="00F07203"/>
    <w:rsid w:val="00F07CB1"/>
    <w:rsid w:val="00F10D6B"/>
    <w:rsid w:val="00F10EDA"/>
    <w:rsid w:val="00F11898"/>
    <w:rsid w:val="00F13BC9"/>
    <w:rsid w:val="00F13C4E"/>
    <w:rsid w:val="00F13FDD"/>
    <w:rsid w:val="00F14EF7"/>
    <w:rsid w:val="00F160AD"/>
    <w:rsid w:val="00F21410"/>
    <w:rsid w:val="00F21544"/>
    <w:rsid w:val="00F21621"/>
    <w:rsid w:val="00F21BCD"/>
    <w:rsid w:val="00F24DE0"/>
    <w:rsid w:val="00F250F7"/>
    <w:rsid w:val="00F25D30"/>
    <w:rsid w:val="00F264A2"/>
    <w:rsid w:val="00F334C3"/>
    <w:rsid w:val="00F347DA"/>
    <w:rsid w:val="00F3485C"/>
    <w:rsid w:val="00F3568E"/>
    <w:rsid w:val="00F36972"/>
    <w:rsid w:val="00F36AD8"/>
    <w:rsid w:val="00F373BA"/>
    <w:rsid w:val="00F374C4"/>
    <w:rsid w:val="00F37647"/>
    <w:rsid w:val="00F377C0"/>
    <w:rsid w:val="00F4054F"/>
    <w:rsid w:val="00F40D14"/>
    <w:rsid w:val="00F41127"/>
    <w:rsid w:val="00F42905"/>
    <w:rsid w:val="00F43D8E"/>
    <w:rsid w:val="00F46FD8"/>
    <w:rsid w:val="00F514E6"/>
    <w:rsid w:val="00F5223C"/>
    <w:rsid w:val="00F5258A"/>
    <w:rsid w:val="00F537E3"/>
    <w:rsid w:val="00F55455"/>
    <w:rsid w:val="00F555B3"/>
    <w:rsid w:val="00F56718"/>
    <w:rsid w:val="00F56BF6"/>
    <w:rsid w:val="00F57DAE"/>
    <w:rsid w:val="00F613C0"/>
    <w:rsid w:val="00F61595"/>
    <w:rsid w:val="00F6169D"/>
    <w:rsid w:val="00F61CAF"/>
    <w:rsid w:val="00F62407"/>
    <w:rsid w:val="00F635F6"/>
    <w:rsid w:val="00F63BA6"/>
    <w:rsid w:val="00F64394"/>
    <w:rsid w:val="00F64F73"/>
    <w:rsid w:val="00F67148"/>
    <w:rsid w:val="00F6796D"/>
    <w:rsid w:val="00F702A4"/>
    <w:rsid w:val="00F70F6D"/>
    <w:rsid w:val="00F7119E"/>
    <w:rsid w:val="00F71A0F"/>
    <w:rsid w:val="00F7249C"/>
    <w:rsid w:val="00F73194"/>
    <w:rsid w:val="00F73668"/>
    <w:rsid w:val="00F73F0C"/>
    <w:rsid w:val="00F74B59"/>
    <w:rsid w:val="00F7601C"/>
    <w:rsid w:val="00F8051E"/>
    <w:rsid w:val="00F820AD"/>
    <w:rsid w:val="00F82AF6"/>
    <w:rsid w:val="00F839E9"/>
    <w:rsid w:val="00F86A58"/>
    <w:rsid w:val="00F8713A"/>
    <w:rsid w:val="00F87390"/>
    <w:rsid w:val="00F903B5"/>
    <w:rsid w:val="00F90B9A"/>
    <w:rsid w:val="00F935FF"/>
    <w:rsid w:val="00F94E98"/>
    <w:rsid w:val="00F95E8B"/>
    <w:rsid w:val="00F9628A"/>
    <w:rsid w:val="00F96374"/>
    <w:rsid w:val="00FA20FE"/>
    <w:rsid w:val="00FA350B"/>
    <w:rsid w:val="00FA3D37"/>
    <w:rsid w:val="00FA5DB5"/>
    <w:rsid w:val="00FA6109"/>
    <w:rsid w:val="00FA7042"/>
    <w:rsid w:val="00FB0503"/>
    <w:rsid w:val="00FB1AED"/>
    <w:rsid w:val="00FB1EB3"/>
    <w:rsid w:val="00FB2CC1"/>
    <w:rsid w:val="00FB3D8A"/>
    <w:rsid w:val="00FB5F0C"/>
    <w:rsid w:val="00FC0F31"/>
    <w:rsid w:val="00FC1960"/>
    <w:rsid w:val="00FC2361"/>
    <w:rsid w:val="00FC274F"/>
    <w:rsid w:val="00FC293E"/>
    <w:rsid w:val="00FC29B2"/>
    <w:rsid w:val="00FC40D1"/>
    <w:rsid w:val="00FC4C09"/>
    <w:rsid w:val="00FC4D17"/>
    <w:rsid w:val="00FC59A6"/>
    <w:rsid w:val="00FC69A9"/>
    <w:rsid w:val="00FC6EF7"/>
    <w:rsid w:val="00FC7B7A"/>
    <w:rsid w:val="00FD03B2"/>
    <w:rsid w:val="00FD0B44"/>
    <w:rsid w:val="00FD130F"/>
    <w:rsid w:val="00FD2C8A"/>
    <w:rsid w:val="00FD2DF9"/>
    <w:rsid w:val="00FD3496"/>
    <w:rsid w:val="00FD3ED9"/>
    <w:rsid w:val="00FD436B"/>
    <w:rsid w:val="00FD5166"/>
    <w:rsid w:val="00FD63C5"/>
    <w:rsid w:val="00FD65FE"/>
    <w:rsid w:val="00FD6D90"/>
    <w:rsid w:val="00FD71AA"/>
    <w:rsid w:val="00FE1C7E"/>
    <w:rsid w:val="00FE1FD2"/>
    <w:rsid w:val="00FE2723"/>
    <w:rsid w:val="00FE2C6D"/>
    <w:rsid w:val="00FE3028"/>
    <w:rsid w:val="00FE38E7"/>
    <w:rsid w:val="00FE3BCE"/>
    <w:rsid w:val="00FE3E82"/>
    <w:rsid w:val="00FE41EE"/>
    <w:rsid w:val="00FE5462"/>
    <w:rsid w:val="00FE5D47"/>
    <w:rsid w:val="00FE6B76"/>
    <w:rsid w:val="00FE7D12"/>
    <w:rsid w:val="00FF171D"/>
    <w:rsid w:val="00FF1A61"/>
    <w:rsid w:val="00FF3BA0"/>
    <w:rsid w:val="00FF3BDE"/>
    <w:rsid w:val="00FF4420"/>
    <w:rsid w:val="00FF5DE6"/>
    <w:rsid w:val="00FF7FEA"/>
    <w:rsid w:val="0102C42B"/>
    <w:rsid w:val="012909D8"/>
    <w:rsid w:val="018510FD"/>
    <w:rsid w:val="0185B361"/>
    <w:rsid w:val="019DCE78"/>
    <w:rsid w:val="01B9C678"/>
    <w:rsid w:val="01CB2C58"/>
    <w:rsid w:val="01F0FC05"/>
    <w:rsid w:val="01F981B6"/>
    <w:rsid w:val="022812CF"/>
    <w:rsid w:val="02341294"/>
    <w:rsid w:val="025E030F"/>
    <w:rsid w:val="029C1423"/>
    <w:rsid w:val="02A02CB0"/>
    <w:rsid w:val="02BA57DE"/>
    <w:rsid w:val="02CAD4E0"/>
    <w:rsid w:val="02E337DC"/>
    <w:rsid w:val="034D09B4"/>
    <w:rsid w:val="03682ADD"/>
    <w:rsid w:val="037A811A"/>
    <w:rsid w:val="038D32BB"/>
    <w:rsid w:val="03D65B61"/>
    <w:rsid w:val="03E9BC0C"/>
    <w:rsid w:val="03F51BE0"/>
    <w:rsid w:val="0459CCAA"/>
    <w:rsid w:val="04A6A070"/>
    <w:rsid w:val="04B02691"/>
    <w:rsid w:val="04B610DE"/>
    <w:rsid w:val="05211596"/>
    <w:rsid w:val="052B6FF1"/>
    <w:rsid w:val="0556FC0A"/>
    <w:rsid w:val="0570F781"/>
    <w:rsid w:val="05781ABE"/>
    <w:rsid w:val="0583AC13"/>
    <w:rsid w:val="05C264B6"/>
    <w:rsid w:val="05E5E9DA"/>
    <w:rsid w:val="05EE9D36"/>
    <w:rsid w:val="0612E9AF"/>
    <w:rsid w:val="0619BFE4"/>
    <w:rsid w:val="06298F92"/>
    <w:rsid w:val="064E876F"/>
    <w:rsid w:val="06537684"/>
    <w:rsid w:val="065B7696"/>
    <w:rsid w:val="068F4F3B"/>
    <w:rsid w:val="069959F0"/>
    <w:rsid w:val="069E977B"/>
    <w:rsid w:val="06C4D37D"/>
    <w:rsid w:val="06C9C9FD"/>
    <w:rsid w:val="06FFC035"/>
    <w:rsid w:val="0713EB1F"/>
    <w:rsid w:val="076B19D0"/>
    <w:rsid w:val="077D8D3C"/>
    <w:rsid w:val="078101C9"/>
    <w:rsid w:val="07AFBB29"/>
    <w:rsid w:val="07C26121"/>
    <w:rsid w:val="07F87012"/>
    <w:rsid w:val="083B57A7"/>
    <w:rsid w:val="0849DAF6"/>
    <w:rsid w:val="084F9ADD"/>
    <w:rsid w:val="085E223C"/>
    <w:rsid w:val="085E2C1E"/>
    <w:rsid w:val="086926D2"/>
    <w:rsid w:val="087EF680"/>
    <w:rsid w:val="08A5D5BC"/>
    <w:rsid w:val="08A97779"/>
    <w:rsid w:val="0907C38B"/>
    <w:rsid w:val="091EF441"/>
    <w:rsid w:val="093C3F6B"/>
    <w:rsid w:val="0993FD4C"/>
    <w:rsid w:val="09EB6B3E"/>
    <w:rsid w:val="09F0B8A8"/>
    <w:rsid w:val="09F150D3"/>
    <w:rsid w:val="0A636FC6"/>
    <w:rsid w:val="0A642C5C"/>
    <w:rsid w:val="0A75799C"/>
    <w:rsid w:val="0A8D8D78"/>
    <w:rsid w:val="0AB01BB4"/>
    <w:rsid w:val="0AC25956"/>
    <w:rsid w:val="0AEA53E5"/>
    <w:rsid w:val="0AF06908"/>
    <w:rsid w:val="0B120324"/>
    <w:rsid w:val="0B625CC6"/>
    <w:rsid w:val="0B9A78C8"/>
    <w:rsid w:val="0BE2C731"/>
    <w:rsid w:val="0BE499BB"/>
    <w:rsid w:val="0BF576C2"/>
    <w:rsid w:val="0BF8C6F0"/>
    <w:rsid w:val="0C127CC4"/>
    <w:rsid w:val="0C275FF9"/>
    <w:rsid w:val="0C60A36B"/>
    <w:rsid w:val="0C6B4377"/>
    <w:rsid w:val="0C8D7172"/>
    <w:rsid w:val="0CABDA5C"/>
    <w:rsid w:val="0CB1AF07"/>
    <w:rsid w:val="0CB75ACD"/>
    <w:rsid w:val="0CE7FF15"/>
    <w:rsid w:val="0CF27058"/>
    <w:rsid w:val="0D1C577E"/>
    <w:rsid w:val="0D9D8474"/>
    <w:rsid w:val="0DAE8D75"/>
    <w:rsid w:val="0DC07375"/>
    <w:rsid w:val="0DCA0023"/>
    <w:rsid w:val="0DDDD63D"/>
    <w:rsid w:val="0DE1BB2E"/>
    <w:rsid w:val="0DEA86AA"/>
    <w:rsid w:val="0E2B86A1"/>
    <w:rsid w:val="0E394DBA"/>
    <w:rsid w:val="0E5C01CC"/>
    <w:rsid w:val="0E6AD5AA"/>
    <w:rsid w:val="0E6E3BD6"/>
    <w:rsid w:val="0EF55B86"/>
    <w:rsid w:val="0F0ACEF0"/>
    <w:rsid w:val="0F24B6FC"/>
    <w:rsid w:val="0F3799BD"/>
    <w:rsid w:val="0F66B7F9"/>
    <w:rsid w:val="0F868604"/>
    <w:rsid w:val="0FE6C92C"/>
    <w:rsid w:val="101D0414"/>
    <w:rsid w:val="1043B988"/>
    <w:rsid w:val="1044790A"/>
    <w:rsid w:val="10A40A8D"/>
    <w:rsid w:val="10BD2FD0"/>
    <w:rsid w:val="10BFBC7A"/>
    <w:rsid w:val="10CC3F92"/>
    <w:rsid w:val="10D47161"/>
    <w:rsid w:val="10DE5B07"/>
    <w:rsid w:val="10F77227"/>
    <w:rsid w:val="1128FA17"/>
    <w:rsid w:val="112DDAC8"/>
    <w:rsid w:val="114097B3"/>
    <w:rsid w:val="11519FFC"/>
    <w:rsid w:val="119CEFB8"/>
    <w:rsid w:val="11C02FCE"/>
    <w:rsid w:val="120524F1"/>
    <w:rsid w:val="122CFBC2"/>
    <w:rsid w:val="12466C72"/>
    <w:rsid w:val="1258B9CB"/>
    <w:rsid w:val="125CFD91"/>
    <w:rsid w:val="12B05CF6"/>
    <w:rsid w:val="12ED705D"/>
    <w:rsid w:val="12EEFD2D"/>
    <w:rsid w:val="12FAAFB4"/>
    <w:rsid w:val="131AC332"/>
    <w:rsid w:val="134F5B02"/>
    <w:rsid w:val="13561DE6"/>
    <w:rsid w:val="136D70F3"/>
    <w:rsid w:val="138767C7"/>
    <w:rsid w:val="139A3B0A"/>
    <w:rsid w:val="13ABB0D0"/>
    <w:rsid w:val="13B2D40D"/>
    <w:rsid w:val="13B8BF41"/>
    <w:rsid w:val="13DF7672"/>
    <w:rsid w:val="145BD46D"/>
    <w:rsid w:val="14B1BFF4"/>
    <w:rsid w:val="14FA0618"/>
    <w:rsid w:val="14FB550F"/>
    <w:rsid w:val="151ACC17"/>
    <w:rsid w:val="153A4568"/>
    <w:rsid w:val="15414A3C"/>
    <w:rsid w:val="15A9EE21"/>
    <w:rsid w:val="15C7033D"/>
    <w:rsid w:val="15F7A4CE"/>
    <w:rsid w:val="1625111F"/>
    <w:rsid w:val="1665F6E7"/>
    <w:rsid w:val="167686AA"/>
    <w:rsid w:val="167B7CDF"/>
    <w:rsid w:val="16C6F3AE"/>
    <w:rsid w:val="16DAF747"/>
    <w:rsid w:val="16E5BA0A"/>
    <w:rsid w:val="1731A165"/>
    <w:rsid w:val="174ED155"/>
    <w:rsid w:val="174F2A78"/>
    <w:rsid w:val="17556489"/>
    <w:rsid w:val="175BD89F"/>
    <w:rsid w:val="1780DEDC"/>
    <w:rsid w:val="178E909F"/>
    <w:rsid w:val="17ACB9DC"/>
    <w:rsid w:val="17FD4B53"/>
    <w:rsid w:val="1869B937"/>
    <w:rsid w:val="189B0697"/>
    <w:rsid w:val="18B1B460"/>
    <w:rsid w:val="19010454"/>
    <w:rsid w:val="19091C08"/>
    <w:rsid w:val="195B0D7F"/>
    <w:rsid w:val="196671C6"/>
    <w:rsid w:val="196FFEC0"/>
    <w:rsid w:val="19C004D9"/>
    <w:rsid w:val="19C2D1F8"/>
    <w:rsid w:val="19F4F3E5"/>
    <w:rsid w:val="1A1ADE14"/>
    <w:rsid w:val="1A251895"/>
    <w:rsid w:val="1A2B2A93"/>
    <w:rsid w:val="1A4D7663"/>
    <w:rsid w:val="1A59BA3B"/>
    <w:rsid w:val="1A5E7F64"/>
    <w:rsid w:val="1A71CFD2"/>
    <w:rsid w:val="1A936B06"/>
    <w:rsid w:val="1AAB1477"/>
    <w:rsid w:val="1AB12D4C"/>
    <w:rsid w:val="1B1ED4C2"/>
    <w:rsid w:val="1B29C79C"/>
    <w:rsid w:val="1B2F00E1"/>
    <w:rsid w:val="1B37B786"/>
    <w:rsid w:val="1B39DC37"/>
    <w:rsid w:val="1B4E4763"/>
    <w:rsid w:val="1B5B9CD0"/>
    <w:rsid w:val="1B609EEC"/>
    <w:rsid w:val="1B6637FC"/>
    <w:rsid w:val="1BA9B7FA"/>
    <w:rsid w:val="1BC8C8A1"/>
    <w:rsid w:val="1BDDEF67"/>
    <w:rsid w:val="1C1D33FF"/>
    <w:rsid w:val="1C413B0D"/>
    <w:rsid w:val="1C4E7242"/>
    <w:rsid w:val="1C591A3A"/>
    <w:rsid w:val="1C6BACBE"/>
    <w:rsid w:val="1C865DDD"/>
    <w:rsid w:val="1C995016"/>
    <w:rsid w:val="1CA5614B"/>
    <w:rsid w:val="1D1081A8"/>
    <w:rsid w:val="1D418B10"/>
    <w:rsid w:val="1D62C187"/>
    <w:rsid w:val="1D701F3D"/>
    <w:rsid w:val="1DE314C5"/>
    <w:rsid w:val="1E57CFDE"/>
    <w:rsid w:val="1E80F974"/>
    <w:rsid w:val="1E8C6030"/>
    <w:rsid w:val="1E8D7340"/>
    <w:rsid w:val="1E9CEC3F"/>
    <w:rsid w:val="1ED70F85"/>
    <w:rsid w:val="1EED6758"/>
    <w:rsid w:val="1F1B3237"/>
    <w:rsid w:val="1F28E040"/>
    <w:rsid w:val="1F30A354"/>
    <w:rsid w:val="1F408969"/>
    <w:rsid w:val="1F59E336"/>
    <w:rsid w:val="1F9254BF"/>
    <w:rsid w:val="1FA1EB0C"/>
    <w:rsid w:val="202B4BF6"/>
    <w:rsid w:val="202D7626"/>
    <w:rsid w:val="205ECAB9"/>
    <w:rsid w:val="20648763"/>
    <w:rsid w:val="20F8655D"/>
    <w:rsid w:val="21091253"/>
    <w:rsid w:val="212B2BB7"/>
    <w:rsid w:val="21320F70"/>
    <w:rsid w:val="215CE5BF"/>
    <w:rsid w:val="215EF8BB"/>
    <w:rsid w:val="21A42AD8"/>
    <w:rsid w:val="21B89A36"/>
    <w:rsid w:val="21DEF77E"/>
    <w:rsid w:val="21E92DA1"/>
    <w:rsid w:val="21FFED5D"/>
    <w:rsid w:val="2223C70E"/>
    <w:rsid w:val="225119BD"/>
    <w:rsid w:val="22561BA1"/>
    <w:rsid w:val="22679F28"/>
    <w:rsid w:val="22703CBD"/>
    <w:rsid w:val="22A54A30"/>
    <w:rsid w:val="22B217F3"/>
    <w:rsid w:val="22C54733"/>
    <w:rsid w:val="22EF693D"/>
    <w:rsid w:val="22FF71D7"/>
    <w:rsid w:val="2346F1CB"/>
    <w:rsid w:val="236B2291"/>
    <w:rsid w:val="2370F5DD"/>
    <w:rsid w:val="23952170"/>
    <w:rsid w:val="23B6A4DA"/>
    <w:rsid w:val="23D668B4"/>
    <w:rsid w:val="23EAD13C"/>
    <w:rsid w:val="23F85100"/>
    <w:rsid w:val="240C880C"/>
    <w:rsid w:val="240D6E72"/>
    <w:rsid w:val="241B0650"/>
    <w:rsid w:val="241F8F3F"/>
    <w:rsid w:val="24381FF5"/>
    <w:rsid w:val="243C1B38"/>
    <w:rsid w:val="24455DE8"/>
    <w:rsid w:val="2453F2BD"/>
    <w:rsid w:val="2477A11D"/>
    <w:rsid w:val="247E3531"/>
    <w:rsid w:val="24C8E14B"/>
    <w:rsid w:val="24CCD696"/>
    <w:rsid w:val="24E65F37"/>
    <w:rsid w:val="24EA8CA5"/>
    <w:rsid w:val="24F1676A"/>
    <w:rsid w:val="251B87E5"/>
    <w:rsid w:val="2535A4E7"/>
    <w:rsid w:val="256953B0"/>
    <w:rsid w:val="267FD305"/>
    <w:rsid w:val="26CCEE91"/>
    <w:rsid w:val="26DDF65E"/>
    <w:rsid w:val="26FD6852"/>
    <w:rsid w:val="2766C2DB"/>
    <w:rsid w:val="278D16F9"/>
    <w:rsid w:val="2793E97F"/>
    <w:rsid w:val="279EB661"/>
    <w:rsid w:val="279FB70F"/>
    <w:rsid w:val="27A3C784"/>
    <w:rsid w:val="27A478EE"/>
    <w:rsid w:val="282CA5A0"/>
    <w:rsid w:val="28A521B3"/>
    <w:rsid w:val="28B68EF5"/>
    <w:rsid w:val="28BA0384"/>
    <w:rsid w:val="28E53BA9"/>
    <w:rsid w:val="28EEBD18"/>
    <w:rsid w:val="291B0682"/>
    <w:rsid w:val="2925EAAD"/>
    <w:rsid w:val="29260F14"/>
    <w:rsid w:val="29399087"/>
    <w:rsid w:val="293CA77E"/>
    <w:rsid w:val="296C6D63"/>
    <w:rsid w:val="29983CDA"/>
    <w:rsid w:val="29D0365F"/>
    <w:rsid w:val="29D7EF8C"/>
    <w:rsid w:val="29D8E301"/>
    <w:rsid w:val="29EA8B71"/>
    <w:rsid w:val="2A0A8F65"/>
    <w:rsid w:val="2A6FC859"/>
    <w:rsid w:val="2A9B0223"/>
    <w:rsid w:val="2B0A3199"/>
    <w:rsid w:val="2B256772"/>
    <w:rsid w:val="2B268ED4"/>
    <w:rsid w:val="2B3D506E"/>
    <w:rsid w:val="2B428EC7"/>
    <w:rsid w:val="2B50C7E1"/>
    <w:rsid w:val="2B7C6591"/>
    <w:rsid w:val="2B7E5F08"/>
    <w:rsid w:val="2BA3447B"/>
    <w:rsid w:val="2BB124A0"/>
    <w:rsid w:val="2BEE2F04"/>
    <w:rsid w:val="2C0AB78D"/>
    <w:rsid w:val="2C41D924"/>
    <w:rsid w:val="2C97752E"/>
    <w:rsid w:val="2C9CA02D"/>
    <w:rsid w:val="2CAC1FEC"/>
    <w:rsid w:val="2CCA3527"/>
    <w:rsid w:val="2CDD9E5F"/>
    <w:rsid w:val="2D1C0FDF"/>
    <w:rsid w:val="2D272583"/>
    <w:rsid w:val="2D357549"/>
    <w:rsid w:val="2DCC40D1"/>
    <w:rsid w:val="2DDFA67F"/>
    <w:rsid w:val="2DE6FED2"/>
    <w:rsid w:val="2E31DC36"/>
    <w:rsid w:val="2E32D7CF"/>
    <w:rsid w:val="2E38708E"/>
    <w:rsid w:val="2EF8156C"/>
    <w:rsid w:val="2F1C4EA9"/>
    <w:rsid w:val="2F207801"/>
    <w:rsid w:val="2F41A446"/>
    <w:rsid w:val="2F42F337"/>
    <w:rsid w:val="2F7DD1C0"/>
    <w:rsid w:val="2F825586"/>
    <w:rsid w:val="2F8E7453"/>
    <w:rsid w:val="2FB9ED17"/>
    <w:rsid w:val="2FBD9F2F"/>
    <w:rsid w:val="2FC337EE"/>
    <w:rsid w:val="2FC5BE8B"/>
    <w:rsid w:val="2FECC665"/>
    <w:rsid w:val="2FFD2782"/>
    <w:rsid w:val="30129B95"/>
    <w:rsid w:val="30339946"/>
    <w:rsid w:val="303D2E75"/>
    <w:rsid w:val="30482485"/>
    <w:rsid w:val="305373AC"/>
    <w:rsid w:val="307B3604"/>
    <w:rsid w:val="31243AC5"/>
    <w:rsid w:val="313D6322"/>
    <w:rsid w:val="3167158F"/>
    <w:rsid w:val="31FB92C5"/>
    <w:rsid w:val="320E8F48"/>
    <w:rsid w:val="3237FB9D"/>
    <w:rsid w:val="323FB9CC"/>
    <w:rsid w:val="329A9868"/>
    <w:rsid w:val="32A1446E"/>
    <w:rsid w:val="32DF2155"/>
    <w:rsid w:val="32E1151A"/>
    <w:rsid w:val="32F1C981"/>
    <w:rsid w:val="330B8931"/>
    <w:rsid w:val="331D2B6A"/>
    <w:rsid w:val="334B7BCB"/>
    <w:rsid w:val="334D19FA"/>
    <w:rsid w:val="338894D1"/>
    <w:rsid w:val="33BBCBFE"/>
    <w:rsid w:val="33CEC331"/>
    <w:rsid w:val="342BE185"/>
    <w:rsid w:val="34375DC5"/>
    <w:rsid w:val="34624E6D"/>
    <w:rsid w:val="346775E8"/>
    <w:rsid w:val="34AFD059"/>
    <w:rsid w:val="3515787E"/>
    <w:rsid w:val="3528ADB8"/>
    <w:rsid w:val="353F4B20"/>
    <w:rsid w:val="356DBBE1"/>
    <w:rsid w:val="35C96D84"/>
    <w:rsid w:val="35DB7F3C"/>
    <w:rsid w:val="35DF16B8"/>
    <w:rsid w:val="360C07B5"/>
    <w:rsid w:val="36163CB3"/>
    <w:rsid w:val="362CE000"/>
    <w:rsid w:val="36349AB5"/>
    <w:rsid w:val="36BDA479"/>
    <w:rsid w:val="3720F297"/>
    <w:rsid w:val="3726B413"/>
    <w:rsid w:val="37498333"/>
    <w:rsid w:val="37610DCC"/>
    <w:rsid w:val="3796C88C"/>
    <w:rsid w:val="37A2D61C"/>
    <w:rsid w:val="37AA0776"/>
    <w:rsid w:val="37AB7EF1"/>
    <w:rsid w:val="37B19E9A"/>
    <w:rsid w:val="37C3933D"/>
    <w:rsid w:val="37CF395C"/>
    <w:rsid w:val="37F4F820"/>
    <w:rsid w:val="381647A3"/>
    <w:rsid w:val="38359633"/>
    <w:rsid w:val="388BDF06"/>
    <w:rsid w:val="38901DED"/>
    <w:rsid w:val="38B5B4BE"/>
    <w:rsid w:val="38C90C7B"/>
    <w:rsid w:val="38D0AD4F"/>
    <w:rsid w:val="38DABDF9"/>
    <w:rsid w:val="39065D69"/>
    <w:rsid w:val="393C903B"/>
    <w:rsid w:val="3943F2AF"/>
    <w:rsid w:val="39510116"/>
    <w:rsid w:val="397BF85C"/>
    <w:rsid w:val="3985397A"/>
    <w:rsid w:val="39966E22"/>
    <w:rsid w:val="39A74D55"/>
    <w:rsid w:val="39AF4D9C"/>
    <w:rsid w:val="39D2E10E"/>
    <w:rsid w:val="3A1E0C73"/>
    <w:rsid w:val="3A59C3D1"/>
    <w:rsid w:val="3A7BBDEE"/>
    <w:rsid w:val="3A8123F5"/>
    <w:rsid w:val="3A93C7C7"/>
    <w:rsid w:val="3AB0862C"/>
    <w:rsid w:val="3ABC247D"/>
    <w:rsid w:val="3B019DE9"/>
    <w:rsid w:val="3B15ECB0"/>
    <w:rsid w:val="3B1931A6"/>
    <w:rsid w:val="3B8BA20F"/>
    <w:rsid w:val="3BC9B016"/>
    <w:rsid w:val="3BDE3515"/>
    <w:rsid w:val="3C0D5DAF"/>
    <w:rsid w:val="3C211B64"/>
    <w:rsid w:val="3C2B2CBA"/>
    <w:rsid w:val="3C392BB1"/>
    <w:rsid w:val="3C624AA1"/>
    <w:rsid w:val="3C6F1FD2"/>
    <w:rsid w:val="3C9C2237"/>
    <w:rsid w:val="3CA9E847"/>
    <w:rsid w:val="3CCF7829"/>
    <w:rsid w:val="3D22159B"/>
    <w:rsid w:val="3D617C52"/>
    <w:rsid w:val="3D62B66C"/>
    <w:rsid w:val="3D885C93"/>
    <w:rsid w:val="3DA7466C"/>
    <w:rsid w:val="3DBE7590"/>
    <w:rsid w:val="3DCD100E"/>
    <w:rsid w:val="3E2C2EC8"/>
    <w:rsid w:val="3E30055A"/>
    <w:rsid w:val="3E54B82D"/>
    <w:rsid w:val="3E6E343B"/>
    <w:rsid w:val="3E7AC9AC"/>
    <w:rsid w:val="3EDED297"/>
    <w:rsid w:val="3EF8F68D"/>
    <w:rsid w:val="3EFCAD7A"/>
    <w:rsid w:val="3F30AC3A"/>
    <w:rsid w:val="3F41D38D"/>
    <w:rsid w:val="3F8F78E4"/>
    <w:rsid w:val="3FBE5A3D"/>
    <w:rsid w:val="3FD4FB02"/>
    <w:rsid w:val="3FE7D084"/>
    <w:rsid w:val="3FE8998C"/>
    <w:rsid w:val="40438736"/>
    <w:rsid w:val="4053CA60"/>
    <w:rsid w:val="4054FB9F"/>
    <w:rsid w:val="405F7A5F"/>
    <w:rsid w:val="40C2D754"/>
    <w:rsid w:val="40D1E05D"/>
    <w:rsid w:val="40DEE72E"/>
    <w:rsid w:val="410A4BE4"/>
    <w:rsid w:val="41165686"/>
    <w:rsid w:val="411D4F31"/>
    <w:rsid w:val="4125F138"/>
    <w:rsid w:val="41649761"/>
    <w:rsid w:val="4165514E"/>
    <w:rsid w:val="418D8061"/>
    <w:rsid w:val="41A30322"/>
    <w:rsid w:val="41ADA8F7"/>
    <w:rsid w:val="41C514E1"/>
    <w:rsid w:val="41DDC7A6"/>
    <w:rsid w:val="42089AD1"/>
    <w:rsid w:val="4222B792"/>
    <w:rsid w:val="424D7699"/>
    <w:rsid w:val="425ADA41"/>
    <w:rsid w:val="42925ED2"/>
    <w:rsid w:val="429E67FE"/>
    <w:rsid w:val="42A29955"/>
    <w:rsid w:val="42A88926"/>
    <w:rsid w:val="42C53D29"/>
    <w:rsid w:val="42D47BE3"/>
    <w:rsid w:val="42F43EB2"/>
    <w:rsid w:val="4303D730"/>
    <w:rsid w:val="430E4A56"/>
    <w:rsid w:val="436CF6A9"/>
    <w:rsid w:val="43A10EBF"/>
    <w:rsid w:val="43BEA944"/>
    <w:rsid w:val="43D35E7C"/>
    <w:rsid w:val="43FF26AE"/>
    <w:rsid w:val="4413485D"/>
    <w:rsid w:val="44352ADB"/>
    <w:rsid w:val="443C5192"/>
    <w:rsid w:val="44461EF4"/>
    <w:rsid w:val="445CDC74"/>
    <w:rsid w:val="44A6CEC2"/>
    <w:rsid w:val="44BA13E5"/>
    <w:rsid w:val="44E4FEF6"/>
    <w:rsid w:val="44E9A9B3"/>
    <w:rsid w:val="44EE6794"/>
    <w:rsid w:val="4513B661"/>
    <w:rsid w:val="4523AEE2"/>
    <w:rsid w:val="4547EC06"/>
    <w:rsid w:val="457A6849"/>
    <w:rsid w:val="457BD9B2"/>
    <w:rsid w:val="45DB2B6C"/>
    <w:rsid w:val="45DBF94C"/>
    <w:rsid w:val="46169D64"/>
    <w:rsid w:val="4656445F"/>
    <w:rsid w:val="466630A4"/>
    <w:rsid w:val="466BE114"/>
    <w:rsid w:val="467CA40F"/>
    <w:rsid w:val="46866722"/>
    <w:rsid w:val="46A69507"/>
    <w:rsid w:val="46C2E397"/>
    <w:rsid w:val="46D8926E"/>
    <w:rsid w:val="4705E28B"/>
    <w:rsid w:val="47083657"/>
    <w:rsid w:val="4734055E"/>
    <w:rsid w:val="4739AF57"/>
    <w:rsid w:val="474104A8"/>
    <w:rsid w:val="476133BD"/>
    <w:rsid w:val="4761B603"/>
    <w:rsid w:val="478C4E8F"/>
    <w:rsid w:val="47A37583"/>
    <w:rsid w:val="47FFCCDD"/>
    <w:rsid w:val="483EC3AB"/>
    <w:rsid w:val="48561AE3"/>
    <w:rsid w:val="4863BAE7"/>
    <w:rsid w:val="486ED0CF"/>
    <w:rsid w:val="488BDA07"/>
    <w:rsid w:val="489F4426"/>
    <w:rsid w:val="48A08538"/>
    <w:rsid w:val="48BAD082"/>
    <w:rsid w:val="48C1C336"/>
    <w:rsid w:val="48D1D4A3"/>
    <w:rsid w:val="48DF8FF8"/>
    <w:rsid w:val="48FAAA13"/>
    <w:rsid w:val="48FAE3A7"/>
    <w:rsid w:val="4904275B"/>
    <w:rsid w:val="4968D02D"/>
    <w:rsid w:val="4977FFD3"/>
    <w:rsid w:val="4999C136"/>
    <w:rsid w:val="49A4FDC0"/>
    <w:rsid w:val="49A6DDD0"/>
    <w:rsid w:val="49C208DE"/>
    <w:rsid w:val="49D49971"/>
    <w:rsid w:val="4A1C251E"/>
    <w:rsid w:val="4A289522"/>
    <w:rsid w:val="4A4245E3"/>
    <w:rsid w:val="4A5678D9"/>
    <w:rsid w:val="4ADFC52B"/>
    <w:rsid w:val="4B1449DE"/>
    <w:rsid w:val="4B3B7249"/>
    <w:rsid w:val="4B5DA15A"/>
    <w:rsid w:val="4BFD2A22"/>
    <w:rsid w:val="4C25A77C"/>
    <w:rsid w:val="4C56B56C"/>
    <w:rsid w:val="4C8687CF"/>
    <w:rsid w:val="4C8B2B76"/>
    <w:rsid w:val="4CA62FEE"/>
    <w:rsid w:val="4CD0AEB5"/>
    <w:rsid w:val="4D485863"/>
    <w:rsid w:val="4D51FB73"/>
    <w:rsid w:val="4D5372F3"/>
    <w:rsid w:val="4D89F704"/>
    <w:rsid w:val="4DB615D6"/>
    <w:rsid w:val="4DC3F5FB"/>
    <w:rsid w:val="4DDC168B"/>
    <w:rsid w:val="4DE02950"/>
    <w:rsid w:val="4E0A1C8D"/>
    <w:rsid w:val="4E39E167"/>
    <w:rsid w:val="4E42004F"/>
    <w:rsid w:val="4E51C281"/>
    <w:rsid w:val="4EAF8866"/>
    <w:rsid w:val="4ECCFFF1"/>
    <w:rsid w:val="4F43115E"/>
    <w:rsid w:val="4F4FC31F"/>
    <w:rsid w:val="4F7D5554"/>
    <w:rsid w:val="4F994C97"/>
    <w:rsid w:val="4FB8BDD7"/>
    <w:rsid w:val="4FD457EF"/>
    <w:rsid w:val="4FF3AC33"/>
    <w:rsid w:val="4FFF1DA9"/>
    <w:rsid w:val="50128D74"/>
    <w:rsid w:val="502CC101"/>
    <w:rsid w:val="504B848F"/>
    <w:rsid w:val="506E8748"/>
    <w:rsid w:val="50862D59"/>
    <w:rsid w:val="509129D4"/>
    <w:rsid w:val="50D3E6BE"/>
    <w:rsid w:val="50DBAD28"/>
    <w:rsid w:val="50EE1A30"/>
    <w:rsid w:val="50FB63EC"/>
    <w:rsid w:val="510719E4"/>
    <w:rsid w:val="510B0CDA"/>
    <w:rsid w:val="510D6E1C"/>
    <w:rsid w:val="5145EB34"/>
    <w:rsid w:val="515FE7D2"/>
    <w:rsid w:val="516A210F"/>
    <w:rsid w:val="5172CCE6"/>
    <w:rsid w:val="519632EC"/>
    <w:rsid w:val="51E754F0"/>
    <w:rsid w:val="5213CDA7"/>
    <w:rsid w:val="5224CDF3"/>
    <w:rsid w:val="522D7AE6"/>
    <w:rsid w:val="52336748"/>
    <w:rsid w:val="52423177"/>
    <w:rsid w:val="525D2189"/>
    <w:rsid w:val="52838F76"/>
    <w:rsid w:val="52A8739D"/>
    <w:rsid w:val="52AAA7E6"/>
    <w:rsid w:val="52F6023F"/>
    <w:rsid w:val="5393AE14"/>
    <w:rsid w:val="53B4B82D"/>
    <w:rsid w:val="53C53E51"/>
    <w:rsid w:val="53C8664B"/>
    <w:rsid w:val="53C9CBDB"/>
    <w:rsid w:val="53EC57A1"/>
    <w:rsid w:val="5415536A"/>
    <w:rsid w:val="5457B1B1"/>
    <w:rsid w:val="54D5B5E6"/>
    <w:rsid w:val="54D72B6C"/>
    <w:rsid w:val="54FBEE8E"/>
    <w:rsid w:val="5515ED86"/>
    <w:rsid w:val="556E5812"/>
    <w:rsid w:val="55757B4F"/>
    <w:rsid w:val="557A2E95"/>
    <w:rsid w:val="557A6A64"/>
    <w:rsid w:val="55AC5330"/>
    <w:rsid w:val="55DE7DFD"/>
    <w:rsid w:val="561E5B1C"/>
    <w:rsid w:val="5623AFDB"/>
    <w:rsid w:val="562BE102"/>
    <w:rsid w:val="5634B8DC"/>
    <w:rsid w:val="5661297E"/>
    <w:rsid w:val="5677C213"/>
    <w:rsid w:val="56ACABE1"/>
    <w:rsid w:val="56D1F294"/>
    <w:rsid w:val="56DBB3C2"/>
    <w:rsid w:val="5769B31D"/>
    <w:rsid w:val="578FB71A"/>
    <w:rsid w:val="57AB61DE"/>
    <w:rsid w:val="57D90EF4"/>
    <w:rsid w:val="5818228D"/>
    <w:rsid w:val="581F52EB"/>
    <w:rsid w:val="58213B3A"/>
    <w:rsid w:val="583B9162"/>
    <w:rsid w:val="587509B4"/>
    <w:rsid w:val="58A2798F"/>
    <w:rsid w:val="58C01E1C"/>
    <w:rsid w:val="58DA055C"/>
    <w:rsid w:val="5914F42C"/>
    <w:rsid w:val="591DB598"/>
    <w:rsid w:val="59330968"/>
    <w:rsid w:val="59674B9D"/>
    <w:rsid w:val="59887205"/>
    <w:rsid w:val="5A09BA91"/>
    <w:rsid w:val="5A0E416D"/>
    <w:rsid w:val="5A6A66CD"/>
    <w:rsid w:val="5A6EEB5F"/>
    <w:rsid w:val="5A775323"/>
    <w:rsid w:val="5A7D1228"/>
    <w:rsid w:val="5A7D85E2"/>
    <w:rsid w:val="5A95DB3C"/>
    <w:rsid w:val="5AF08C09"/>
    <w:rsid w:val="5AF19CA5"/>
    <w:rsid w:val="5AF5B7A5"/>
    <w:rsid w:val="5B133F37"/>
    <w:rsid w:val="5B425BB9"/>
    <w:rsid w:val="5B775E04"/>
    <w:rsid w:val="5B8E9C1E"/>
    <w:rsid w:val="5BBB2603"/>
    <w:rsid w:val="5BD939AC"/>
    <w:rsid w:val="5BDCADFC"/>
    <w:rsid w:val="5C11C300"/>
    <w:rsid w:val="5C326A96"/>
    <w:rsid w:val="5C4DBF81"/>
    <w:rsid w:val="5C59AFC0"/>
    <w:rsid w:val="5C5EAA18"/>
    <w:rsid w:val="5C670A9C"/>
    <w:rsid w:val="5C6A8764"/>
    <w:rsid w:val="5C7D88A3"/>
    <w:rsid w:val="5CBA93A6"/>
    <w:rsid w:val="5CC42816"/>
    <w:rsid w:val="5CFFCC02"/>
    <w:rsid w:val="5D078C03"/>
    <w:rsid w:val="5D24AFCC"/>
    <w:rsid w:val="5D5D1B39"/>
    <w:rsid w:val="5D9DB9ED"/>
    <w:rsid w:val="5DAFD942"/>
    <w:rsid w:val="5DB8432E"/>
    <w:rsid w:val="5DC7E6D4"/>
    <w:rsid w:val="5DCE3AF7"/>
    <w:rsid w:val="5DD609EC"/>
    <w:rsid w:val="5DEADA60"/>
    <w:rsid w:val="5E23F744"/>
    <w:rsid w:val="5E27B73C"/>
    <w:rsid w:val="5EB3BD0A"/>
    <w:rsid w:val="5ECC49D4"/>
    <w:rsid w:val="5EF9AB4A"/>
    <w:rsid w:val="5F05A758"/>
    <w:rsid w:val="5F3506BB"/>
    <w:rsid w:val="5F4C5B07"/>
    <w:rsid w:val="5F6FA397"/>
    <w:rsid w:val="5F95349D"/>
    <w:rsid w:val="5F97A052"/>
    <w:rsid w:val="5FB369D4"/>
    <w:rsid w:val="5FB52E45"/>
    <w:rsid w:val="5FC272C5"/>
    <w:rsid w:val="5FCBC7E8"/>
    <w:rsid w:val="5FE273B1"/>
    <w:rsid w:val="5FE6DC49"/>
    <w:rsid w:val="5FF1CBCC"/>
    <w:rsid w:val="6005847A"/>
    <w:rsid w:val="601D9AB0"/>
    <w:rsid w:val="605C8EE3"/>
    <w:rsid w:val="606C5375"/>
    <w:rsid w:val="607F45D0"/>
    <w:rsid w:val="6083418E"/>
    <w:rsid w:val="60C310A5"/>
    <w:rsid w:val="60E77A04"/>
    <w:rsid w:val="60E82B68"/>
    <w:rsid w:val="60E9A055"/>
    <w:rsid w:val="60EAB205"/>
    <w:rsid w:val="6116CFFE"/>
    <w:rsid w:val="61811D24"/>
    <w:rsid w:val="61AF5BD1"/>
    <w:rsid w:val="61D00105"/>
    <w:rsid w:val="61E2D675"/>
    <w:rsid w:val="61E4655A"/>
    <w:rsid w:val="61FBFD10"/>
    <w:rsid w:val="629992B7"/>
    <w:rsid w:val="62A95A37"/>
    <w:rsid w:val="62B260E8"/>
    <w:rsid w:val="62C229DB"/>
    <w:rsid w:val="62F6549E"/>
    <w:rsid w:val="6308E860"/>
    <w:rsid w:val="630B0000"/>
    <w:rsid w:val="631142AB"/>
    <w:rsid w:val="632E234E"/>
    <w:rsid w:val="6342EB40"/>
    <w:rsid w:val="635128D7"/>
    <w:rsid w:val="63596451"/>
    <w:rsid w:val="636A40EB"/>
    <w:rsid w:val="63A106AA"/>
    <w:rsid w:val="63FFDB9A"/>
    <w:rsid w:val="641E2FAF"/>
    <w:rsid w:val="642462E0"/>
    <w:rsid w:val="646F32C6"/>
    <w:rsid w:val="64B896FF"/>
    <w:rsid w:val="64D2B153"/>
    <w:rsid w:val="651BAE79"/>
    <w:rsid w:val="652B7E76"/>
    <w:rsid w:val="656A0702"/>
    <w:rsid w:val="658AA2FA"/>
    <w:rsid w:val="659708C5"/>
    <w:rsid w:val="65A85DBC"/>
    <w:rsid w:val="65AE7B35"/>
    <w:rsid w:val="65C05293"/>
    <w:rsid w:val="65D75FA7"/>
    <w:rsid w:val="660B428C"/>
    <w:rsid w:val="662574B4"/>
    <w:rsid w:val="6665D04C"/>
    <w:rsid w:val="66BE2241"/>
    <w:rsid w:val="66E09E0E"/>
    <w:rsid w:val="66E5208F"/>
    <w:rsid w:val="66FC012A"/>
    <w:rsid w:val="67036635"/>
    <w:rsid w:val="67460389"/>
    <w:rsid w:val="674F66B8"/>
    <w:rsid w:val="67543279"/>
    <w:rsid w:val="67B7BB6E"/>
    <w:rsid w:val="67C7AB7A"/>
    <w:rsid w:val="67CD26EC"/>
    <w:rsid w:val="67DFF909"/>
    <w:rsid w:val="682FDA6A"/>
    <w:rsid w:val="6860989B"/>
    <w:rsid w:val="686AD93A"/>
    <w:rsid w:val="687C1C21"/>
    <w:rsid w:val="689DDE7D"/>
    <w:rsid w:val="68A5B7C3"/>
    <w:rsid w:val="68B8C0F7"/>
    <w:rsid w:val="68CD2F0E"/>
    <w:rsid w:val="68DE312D"/>
    <w:rsid w:val="6933057C"/>
    <w:rsid w:val="69392F39"/>
    <w:rsid w:val="69398BE9"/>
    <w:rsid w:val="6940B383"/>
    <w:rsid w:val="69461875"/>
    <w:rsid w:val="6982ECA7"/>
    <w:rsid w:val="6993C8D9"/>
    <w:rsid w:val="69B33A5C"/>
    <w:rsid w:val="69B9F4D0"/>
    <w:rsid w:val="6A1C45DB"/>
    <w:rsid w:val="6A3E99A3"/>
    <w:rsid w:val="6A4ED184"/>
    <w:rsid w:val="6A6499B0"/>
    <w:rsid w:val="6A9FB7E4"/>
    <w:rsid w:val="6AC6886C"/>
    <w:rsid w:val="6ACC71F2"/>
    <w:rsid w:val="6B56933E"/>
    <w:rsid w:val="6B6119A9"/>
    <w:rsid w:val="6B75E8A9"/>
    <w:rsid w:val="6B9ABFFA"/>
    <w:rsid w:val="6BCEAF69"/>
    <w:rsid w:val="6BD1109E"/>
    <w:rsid w:val="6C229233"/>
    <w:rsid w:val="6C3D506F"/>
    <w:rsid w:val="6C3D6AAA"/>
    <w:rsid w:val="6C4EC191"/>
    <w:rsid w:val="6C5F65AC"/>
    <w:rsid w:val="6C60907F"/>
    <w:rsid w:val="6C7BBAE3"/>
    <w:rsid w:val="6C907F0D"/>
    <w:rsid w:val="6CBE84BC"/>
    <w:rsid w:val="6CF30446"/>
    <w:rsid w:val="6CF99BD4"/>
    <w:rsid w:val="6D129842"/>
    <w:rsid w:val="6D2429E4"/>
    <w:rsid w:val="6D45706E"/>
    <w:rsid w:val="6D5D1CD9"/>
    <w:rsid w:val="6D73A3D8"/>
    <w:rsid w:val="6D9AA3F4"/>
    <w:rsid w:val="6DD64A90"/>
    <w:rsid w:val="6DDE6BF3"/>
    <w:rsid w:val="6E11D6D2"/>
    <w:rsid w:val="6E285736"/>
    <w:rsid w:val="6E292DB5"/>
    <w:rsid w:val="6E640234"/>
    <w:rsid w:val="6E69553D"/>
    <w:rsid w:val="6E6A2285"/>
    <w:rsid w:val="6E85D093"/>
    <w:rsid w:val="6E8F04C1"/>
    <w:rsid w:val="6E927059"/>
    <w:rsid w:val="6E995C7B"/>
    <w:rsid w:val="6EA96862"/>
    <w:rsid w:val="6EB0A419"/>
    <w:rsid w:val="6EC3BE8D"/>
    <w:rsid w:val="6ED398C5"/>
    <w:rsid w:val="6EF7D65A"/>
    <w:rsid w:val="6F1C8C53"/>
    <w:rsid w:val="6F1E6992"/>
    <w:rsid w:val="6F21967F"/>
    <w:rsid w:val="6F312DDE"/>
    <w:rsid w:val="6F4AAD6E"/>
    <w:rsid w:val="6FE38525"/>
    <w:rsid w:val="70095ECE"/>
    <w:rsid w:val="700AE71A"/>
    <w:rsid w:val="700E190F"/>
    <w:rsid w:val="7010808C"/>
    <w:rsid w:val="702E6199"/>
    <w:rsid w:val="70496D60"/>
    <w:rsid w:val="706D344B"/>
    <w:rsid w:val="70BB5081"/>
    <w:rsid w:val="71160CB5"/>
    <w:rsid w:val="711E2C11"/>
    <w:rsid w:val="71369652"/>
    <w:rsid w:val="713E1761"/>
    <w:rsid w:val="71486EDD"/>
    <w:rsid w:val="717F5586"/>
    <w:rsid w:val="71BAF37B"/>
    <w:rsid w:val="71E533B8"/>
    <w:rsid w:val="71F7B932"/>
    <w:rsid w:val="723EF59F"/>
    <w:rsid w:val="7242983C"/>
    <w:rsid w:val="72593E44"/>
    <w:rsid w:val="72646AFA"/>
    <w:rsid w:val="72B5CAB4"/>
    <w:rsid w:val="73043FF9"/>
    <w:rsid w:val="7342F74A"/>
    <w:rsid w:val="73623BFE"/>
    <w:rsid w:val="736B443C"/>
    <w:rsid w:val="73825C0C"/>
    <w:rsid w:val="73881C4E"/>
    <w:rsid w:val="742751EC"/>
    <w:rsid w:val="74544255"/>
    <w:rsid w:val="7496D43B"/>
    <w:rsid w:val="74EAA226"/>
    <w:rsid w:val="74ED9B89"/>
    <w:rsid w:val="7523ECAF"/>
    <w:rsid w:val="753397B0"/>
    <w:rsid w:val="754D9A44"/>
    <w:rsid w:val="754EB917"/>
    <w:rsid w:val="75769661"/>
    <w:rsid w:val="759E099C"/>
    <w:rsid w:val="75BE1D06"/>
    <w:rsid w:val="7613EA25"/>
    <w:rsid w:val="76328397"/>
    <w:rsid w:val="764C06B0"/>
    <w:rsid w:val="766FF34F"/>
    <w:rsid w:val="769A0054"/>
    <w:rsid w:val="76D9E091"/>
    <w:rsid w:val="770AD5C5"/>
    <w:rsid w:val="773D616E"/>
    <w:rsid w:val="77510AD4"/>
    <w:rsid w:val="77513493"/>
    <w:rsid w:val="7756BD20"/>
    <w:rsid w:val="779D244C"/>
    <w:rsid w:val="77AB429A"/>
    <w:rsid w:val="77CEAEF7"/>
    <w:rsid w:val="78104E27"/>
    <w:rsid w:val="786997AA"/>
    <w:rsid w:val="78894FE4"/>
    <w:rsid w:val="78A9AFA1"/>
    <w:rsid w:val="78B3EF86"/>
    <w:rsid w:val="78CF16DF"/>
    <w:rsid w:val="78E44654"/>
    <w:rsid w:val="79136695"/>
    <w:rsid w:val="7954E773"/>
    <w:rsid w:val="799A9AEF"/>
    <w:rsid w:val="79A73B81"/>
    <w:rsid w:val="79BED86D"/>
    <w:rsid w:val="7A0A2F0F"/>
    <w:rsid w:val="7A2F574A"/>
    <w:rsid w:val="7A61F491"/>
    <w:rsid w:val="7A9B2E8C"/>
    <w:rsid w:val="7AA63EBC"/>
    <w:rsid w:val="7AA85CC8"/>
    <w:rsid w:val="7ABC7C38"/>
    <w:rsid w:val="7ADC1B98"/>
    <w:rsid w:val="7AE51EF8"/>
    <w:rsid w:val="7AFA0278"/>
    <w:rsid w:val="7B2BAEFC"/>
    <w:rsid w:val="7B5FDB7E"/>
    <w:rsid w:val="7B848478"/>
    <w:rsid w:val="7B907463"/>
    <w:rsid w:val="7B96A473"/>
    <w:rsid w:val="7BBF27C1"/>
    <w:rsid w:val="7BD5C696"/>
    <w:rsid w:val="7BD677CC"/>
    <w:rsid w:val="7C0B4D83"/>
    <w:rsid w:val="7C38763D"/>
    <w:rsid w:val="7C5E74BF"/>
    <w:rsid w:val="7C7406AF"/>
    <w:rsid w:val="7CA3A9E5"/>
    <w:rsid w:val="7CAA9A51"/>
    <w:rsid w:val="7CAE202F"/>
    <w:rsid w:val="7D1D62D7"/>
    <w:rsid w:val="7D6DE0E5"/>
    <w:rsid w:val="7D720321"/>
    <w:rsid w:val="7D776A6A"/>
    <w:rsid w:val="7D852767"/>
    <w:rsid w:val="7D89EFE5"/>
    <w:rsid w:val="7D8A8AFB"/>
    <w:rsid w:val="7DB33059"/>
    <w:rsid w:val="7E0AE6E9"/>
    <w:rsid w:val="7E5DC980"/>
    <w:rsid w:val="7E636619"/>
    <w:rsid w:val="7EB868EF"/>
    <w:rsid w:val="7ED4B23D"/>
    <w:rsid w:val="7ED69080"/>
    <w:rsid w:val="7F138B5F"/>
    <w:rsid w:val="7F2B5066"/>
    <w:rsid w:val="7F491B56"/>
    <w:rsid w:val="7F7DBDCF"/>
    <w:rsid w:val="7F877B72"/>
    <w:rsid w:val="7F87B263"/>
    <w:rsid w:val="7FA02894"/>
    <w:rsid w:val="7FA6AB6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8C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imes New Roman"/>
        <w:color w:val="000000" w:themeColor="text1"/>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6"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33499"/>
    <w:pPr>
      <w:spacing w:after="120" w:line="240" w:lineRule="auto"/>
    </w:pPr>
    <w:rPr>
      <w:sz w:val="21"/>
    </w:rPr>
  </w:style>
  <w:style w:type="paragraph" w:styleId="Heading1">
    <w:name w:val="heading 1"/>
    <w:basedOn w:val="Normal"/>
    <w:next w:val="Normal"/>
    <w:link w:val="Heading1Char"/>
    <w:autoRedefine/>
    <w:uiPriority w:val="2"/>
    <w:qFormat/>
    <w:rsid w:val="00843214"/>
    <w:pPr>
      <w:keepNext/>
      <w:keepLines/>
      <w:spacing w:before="240"/>
      <w:outlineLvl w:val="0"/>
    </w:pPr>
    <w:rPr>
      <w:rFonts w:eastAsiaTheme="majorEastAsia" w:cstheme="majorBidi"/>
      <w:b/>
      <w:color w:val="auto"/>
      <w:sz w:val="32"/>
      <w:szCs w:val="36"/>
      <w:lang w:eastAsia="en-GB"/>
    </w:rPr>
  </w:style>
  <w:style w:type="paragraph" w:styleId="Heading2">
    <w:name w:val="heading 2"/>
    <w:basedOn w:val="Normal"/>
    <w:next w:val="Normal"/>
    <w:link w:val="Heading2Char"/>
    <w:uiPriority w:val="3"/>
    <w:unhideWhenUsed/>
    <w:qFormat/>
    <w:rsid w:val="00F74B59"/>
    <w:pPr>
      <w:keepNext/>
      <w:keepLines/>
      <w:numPr>
        <w:ilvl w:val="1"/>
        <w:numId w:val="4"/>
      </w:numPr>
      <w:spacing w:before="120"/>
      <w:ind w:left="578" w:hanging="578"/>
      <w:outlineLvl w:val="1"/>
    </w:pPr>
    <w:rPr>
      <w:rFonts w:eastAsiaTheme="majorEastAsia" w:cstheme="majorBidi"/>
      <w:b/>
      <w:color w:val="A50050" w:themeColor="accent3"/>
      <w:sz w:val="28"/>
      <w:szCs w:val="26"/>
    </w:rPr>
  </w:style>
  <w:style w:type="paragraph" w:styleId="Heading3">
    <w:name w:val="heading 3"/>
    <w:basedOn w:val="Normal"/>
    <w:next w:val="Normal"/>
    <w:link w:val="Heading3Char"/>
    <w:uiPriority w:val="4"/>
    <w:unhideWhenUsed/>
    <w:qFormat/>
    <w:rsid w:val="00C41190"/>
    <w:pPr>
      <w:keepNext/>
      <w:keepLines/>
      <w:numPr>
        <w:ilvl w:val="2"/>
        <w:numId w:val="4"/>
      </w:numPr>
      <w:spacing w:before="240"/>
      <w:outlineLvl w:val="2"/>
    </w:pPr>
    <w:rPr>
      <w:rFonts w:eastAsiaTheme="majorEastAsia" w:cstheme="majorBidi"/>
      <w:color w:val="00A499" w:themeColor="text2"/>
      <w:sz w:val="24"/>
    </w:rPr>
  </w:style>
  <w:style w:type="paragraph" w:styleId="Heading4">
    <w:name w:val="heading 4"/>
    <w:basedOn w:val="Normal"/>
    <w:next w:val="Normal"/>
    <w:link w:val="Heading4Char"/>
    <w:uiPriority w:val="5"/>
    <w:unhideWhenUsed/>
    <w:qFormat/>
    <w:rsid w:val="0045021E"/>
    <w:pPr>
      <w:keepNext/>
      <w:keepLines/>
      <w:spacing w:before="60" w:after="60"/>
      <w:outlineLvl w:val="3"/>
    </w:pPr>
    <w:rPr>
      <w:rFonts w:eastAsiaTheme="majorEastAsia" w:cstheme="majorBidi"/>
      <w:iCs/>
      <w:color w:val="A50050" w:themeColor="accent3"/>
    </w:rPr>
  </w:style>
  <w:style w:type="paragraph" w:styleId="Heading5">
    <w:name w:val="heading 5"/>
    <w:basedOn w:val="Normal"/>
    <w:next w:val="Normal"/>
    <w:link w:val="Heading5Char"/>
    <w:uiPriority w:val="12"/>
    <w:unhideWhenUsed/>
    <w:rsid w:val="00D92832"/>
    <w:pPr>
      <w:keepNext/>
      <w:keepLines/>
      <w:numPr>
        <w:ilvl w:val="4"/>
        <w:numId w:val="4"/>
      </w:numPr>
      <w:spacing w:before="40" w:after="0"/>
      <w:outlineLvl w:val="4"/>
    </w:pPr>
    <w:rPr>
      <w:rFonts w:asciiTheme="majorHAnsi" w:eastAsiaTheme="majorEastAsia" w:hAnsiTheme="majorHAnsi" w:cstheme="majorBidi"/>
      <w:color w:val="007A72" w:themeColor="accent1" w:themeShade="BF"/>
    </w:rPr>
  </w:style>
  <w:style w:type="paragraph" w:styleId="Heading6">
    <w:name w:val="heading 6"/>
    <w:basedOn w:val="Normal"/>
    <w:next w:val="Normal"/>
    <w:link w:val="Heading6Char"/>
    <w:uiPriority w:val="9"/>
    <w:semiHidden/>
    <w:unhideWhenUsed/>
    <w:rsid w:val="007C321A"/>
    <w:pPr>
      <w:keepNext/>
      <w:keepLines/>
      <w:numPr>
        <w:ilvl w:val="5"/>
        <w:numId w:val="4"/>
      </w:numPr>
      <w:spacing w:before="40" w:after="0"/>
      <w:outlineLvl w:val="5"/>
    </w:pPr>
    <w:rPr>
      <w:rFonts w:asciiTheme="majorHAnsi" w:eastAsiaTheme="majorEastAsia" w:hAnsiTheme="majorHAnsi" w:cstheme="majorBidi"/>
      <w:color w:val="00514B" w:themeColor="accent1" w:themeShade="7F"/>
    </w:rPr>
  </w:style>
  <w:style w:type="paragraph" w:styleId="Heading7">
    <w:name w:val="heading 7"/>
    <w:basedOn w:val="Normal"/>
    <w:next w:val="Normal"/>
    <w:link w:val="Heading7Char"/>
    <w:uiPriority w:val="9"/>
    <w:semiHidden/>
    <w:unhideWhenUsed/>
    <w:qFormat/>
    <w:rsid w:val="007C321A"/>
    <w:pPr>
      <w:keepNext/>
      <w:keepLines/>
      <w:numPr>
        <w:ilvl w:val="6"/>
        <w:numId w:val="4"/>
      </w:numPr>
      <w:spacing w:before="40" w:after="0"/>
      <w:outlineLvl w:val="6"/>
    </w:pPr>
    <w:rPr>
      <w:rFonts w:asciiTheme="majorHAnsi" w:eastAsiaTheme="majorEastAsia" w:hAnsiTheme="majorHAnsi" w:cstheme="majorBidi"/>
      <w:i/>
      <w:iCs/>
      <w:color w:val="00514B" w:themeColor="accent1" w:themeShade="7F"/>
    </w:rPr>
  </w:style>
  <w:style w:type="paragraph" w:styleId="Heading8">
    <w:name w:val="heading 8"/>
    <w:basedOn w:val="Normal"/>
    <w:next w:val="Normal"/>
    <w:link w:val="Heading8Char"/>
    <w:uiPriority w:val="9"/>
    <w:semiHidden/>
    <w:unhideWhenUsed/>
    <w:qFormat/>
    <w:rsid w:val="007C321A"/>
    <w:pPr>
      <w:keepNext/>
      <w:keepLines/>
      <w:numPr>
        <w:ilvl w:val="7"/>
        <w:numId w:val="4"/>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C321A"/>
    <w:pPr>
      <w:keepNext/>
      <w:keepLines/>
      <w:numPr>
        <w:ilvl w:val="8"/>
        <w:numId w:val="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43214"/>
    <w:rPr>
      <w:rFonts w:eastAsiaTheme="majorEastAsia" w:cstheme="majorBidi"/>
      <w:b/>
      <w:color w:val="auto"/>
      <w:sz w:val="32"/>
      <w:szCs w:val="36"/>
      <w:lang w:eastAsia="en-GB"/>
    </w:rPr>
  </w:style>
  <w:style w:type="character" w:customStyle="1" w:styleId="Heading2Char">
    <w:name w:val="Heading 2 Char"/>
    <w:basedOn w:val="DefaultParagraphFont"/>
    <w:link w:val="Heading2"/>
    <w:uiPriority w:val="3"/>
    <w:rsid w:val="00F74B59"/>
    <w:rPr>
      <w:rFonts w:eastAsiaTheme="majorEastAsia" w:cstheme="majorBidi"/>
      <w:b/>
      <w:color w:val="A50050" w:themeColor="accent3"/>
      <w:sz w:val="28"/>
      <w:szCs w:val="26"/>
    </w:rPr>
  </w:style>
  <w:style w:type="character" w:customStyle="1" w:styleId="Heading3Char">
    <w:name w:val="Heading 3 Char"/>
    <w:basedOn w:val="DefaultParagraphFont"/>
    <w:link w:val="Heading3"/>
    <w:uiPriority w:val="4"/>
    <w:rsid w:val="00C41190"/>
    <w:rPr>
      <w:rFonts w:eastAsiaTheme="majorEastAsia" w:cstheme="majorBidi"/>
      <w:color w:val="00A499" w:themeColor="text2"/>
      <w:sz w:val="24"/>
    </w:rPr>
  </w:style>
  <w:style w:type="character" w:customStyle="1" w:styleId="Heading4Char">
    <w:name w:val="Heading 4 Char"/>
    <w:basedOn w:val="DefaultParagraphFont"/>
    <w:link w:val="Heading4"/>
    <w:uiPriority w:val="5"/>
    <w:rsid w:val="0045021E"/>
    <w:rPr>
      <w:rFonts w:eastAsiaTheme="majorEastAsia" w:cstheme="majorBidi"/>
      <w:iCs/>
      <w:color w:val="A50050" w:themeColor="accent3"/>
    </w:rPr>
  </w:style>
  <w:style w:type="character" w:customStyle="1" w:styleId="Heading5Char">
    <w:name w:val="Heading 5 Char"/>
    <w:basedOn w:val="DefaultParagraphFont"/>
    <w:link w:val="Heading5"/>
    <w:uiPriority w:val="12"/>
    <w:rsid w:val="00675281"/>
    <w:rPr>
      <w:rFonts w:asciiTheme="majorHAnsi" w:eastAsiaTheme="majorEastAsia" w:hAnsiTheme="majorHAnsi" w:cstheme="majorBidi"/>
      <w:color w:val="007A72" w:themeColor="accent1" w:themeShade="BF"/>
    </w:rPr>
  </w:style>
  <w:style w:type="character" w:customStyle="1" w:styleId="Heading6Char">
    <w:name w:val="Heading 6 Char"/>
    <w:basedOn w:val="DefaultParagraphFont"/>
    <w:link w:val="Heading6"/>
    <w:uiPriority w:val="9"/>
    <w:semiHidden/>
    <w:rsid w:val="007C321A"/>
    <w:rPr>
      <w:rFonts w:asciiTheme="majorHAnsi" w:eastAsiaTheme="majorEastAsia" w:hAnsiTheme="majorHAnsi" w:cstheme="majorBidi"/>
      <w:color w:val="00514B" w:themeColor="accent1" w:themeShade="7F"/>
    </w:rPr>
  </w:style>
  <w:style w:type="character" w:customStyle="1" w:styleId="Heading7Char">
    <w:name w:val="Heading 7 Char"/>
    <w:basedOn w:val="DefaultParagraphFont"/>
    <w:link w:val="Heading7"/>
    <w:uiPriority w:val="9"/>
    <w:semiHidden/>
    <w:rsid w:val="007C321A"/>
    <w:rPr>
      <w:rFonts w:asciiTheme="majorHAnsi" w:eastAsiaTheme="majorEastAsia" w:hAnsiTheme="majorHAnsi" w:cstheme="majorBidi"/>
      <w:i/>
      <w:iCs/>
      <w:color w:val="00514B" w:themeColor="accent1" w:themeShade="7F"/>
    </w:rPr>
  </w:style>
  <w:style w:type="character" w:customStyle="1" w:styleId="Heading8Char">
    <w:name w:val="Heading 8 Char"/>
    <w:basedOn w:val="DefaultParagraphFont"/>
    <w:link w:val="Heading8"/>
    <w:uiPriority w:val="9"/>
    <w:semiHidden/>
    <w:rsid w:val="007C32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21A"/>
    <w:rPr>
      <w:rFonts w:asciiTheme="majorHAnsi" w:eastAsiaTheme="majorEastAsia" w:hAnsiTheme="majorHAnsi" w:cstheme="majorBidi"/>
      <w:i/>
      <w:iCs/>
      <w:color w:val="272727" w:themeColor="text1" w:themeTint="D8"/>
      <w:sz w:val="21"/>
      <w:szCs w:val="21"/>
    </w:rPr>
  </w:style>
  <w:style w:type="paragraph" w:customStyle="1" w:styleId="Maintitle">
    <w:name w:val="Main title"/>
    <w:basedOn w:val="Normal"/>
    <w:link w:val="MaintitleChar"/>
    <w:uiPriority w:val="7"/>
    <w:qFormat/>
    <w:rsid w:val="00305FB5"/>
    <w:pPr>
      <w:spacing w:before="360" w:after="240"/>
    </w:pPr>
    <w:rPr>
      <w:color w:val="00A499" w:themeColor="text2"/>
      <w:sz w:val="48"/>
    </w:rPr>
  </w:style>
  <w:style w:type="character" w:customStyle="1" w:styleId="MaintitleChar">
    <w:name w:val="Main title Char"/>
    <w:basedOn w:val="DefaultParagraphFont"/>
    <w:link w:val="Maintitle"/>
    <w:uiPriority w:val="7"/>
    <w:rsid w:val="00305FB5"/>
    <w:rPr>
      <w:color w:val="00A499" w:themeColor="text2"/>
      <w:sz w:val="48"/>
    </w:rPr>
  </w:style>
  <w:style w:type="paragraph" w:customStyle="1" w:styleId="Frontpagedetails">
    <w:name w:val="Front page details"/>
    <w:basedOn w:val="Normal"/>
    <w:link w:val="FrontpagedetailsChar"/>
    <w:uiPriority w:val="9"/>
    <w:qFormat/>
    <w:rsid w:val="00F70F6D"/>
    <w:rPr>
      <w:color w:val="878787"/>
    </w:rPr>
  </w:style>
  <w:style w:type="character" w:customStyle="1" w:styleId="FrontpagedetailsChar">
    <w:name w:val="Front page details Char"/>
    <w:basedOn w:val="DefaultParagraphFont"/>
    <w:link w:val="Frontpagedetails"/>
    <w:uiPriority w:val="9"/>
    <w:rsid w:val="00F70F6D"/>
    <w:rPr>
      <w:color w:val="878787"/>
    </w:rPr>
  </w:style>
  <w:style w:type="paragraph" w:styleId="List">
    <w:name w:val="List"/>
    <w:basedOn w:val="Normal"/>
    <w:uiPriority w:val="9"/>
    <w:unhideWhenUsed/>
    <w:rsid w:val="00B47C84"/>
    <w:pPr>
      <w:ind w:left="283" w:hanging="283"/>
      <w:contextualSpacing/>
    </w:pPr>
  </w:style>
  <w:style w:type="paragraph" w:styleId="Subtitle">
    <w:name w:val="Subtitle"/>
    <w:basedOn w:val="Normal"/>
    <w:next w:val="Normal"/>
    <w:link w:val="SubtitleChar"/>
    <w:uiPriority w:val="8"/>
    <w:qFormat/>
    <w:rsid w:val="00305FB5"/>
    <w:pPr>
      <w:numPr>
        <w:ilvl w:val="1"/>
      </w:numPr>
      <w:spacing w:after="160"/>
    </w:pPr>
    <w:rPr>
      <w:rFonts w:eastAsiaTheme="minorEastAsia"/>
      <w:spacing w:val="15"/>
      <w:sz w:val="32"/>
    </w:rPr>
  </w:style>
  <w:style w:type="character" w:customStyle="1" w:styleId="SubtitleChar">
    <w:name w:val="Subtitle Char"/>
    <w:basedOn w:val="DefaultParagraphFont"/>
    <w:link w:val="Subtitle"/>
    <w:uiPriority w:val="8"/>
    <w:rsid w:val="00305FB5"/>
    <w:rPr>
      <w:rFonts w:eastAsiaTheme="minorEastAsia"/>
      <w:spacing w:val="15"/>
      <w:sz w:val="32"/>
    </w:rPr>
  </w:style>
  <w:style w:type="table" w:styleId="TableGridLight">
    <w:name w:val="Grid Table Light"/>
    <w:aliases w:val="IOD PARC table 1"/>
    <w:basedOn w:val="TableNormal"/>
    <w:uiPriority w:val="40"/>
    <w:rsid w:val="00F06399"/>
    <w:pPr>
      <w:spacing w:after="0" w:line="240" w:lineRule="auto"/>
    </w:pPr>
    <w:rPr>
      <w:sz w:val="20"/>
    </w:rPr>
    <w:tblPr>
      <w:tblBorders>
        <w:top w:val="single" w:sz="8" w:space="0" w:color="878787" w:themeColor="accent6"/>
        <w:left w:val="single" w:sz="8" w:space="0" w:color="878787" w:themeColor="accent6"/>
        <w:bottom w:val="single" w:sz="8" w:space="0" w:color="878787" w:themeColor="accent6"/>
        <w:right w:val="single" w:sz="8" w:space="0" w:color="878787" w:themeColor="accent6"/>
        <w:insideH w:val="single" w:sz="8" w:space="0" w:color="878787" w:themeColor="accent6"/>
        <w:insideV w:val="single" w:sz="8" w:space="0" w:color="878787" w:themeColor="accent6"/>
      </w:tblBorders>
    </w:tblPr>
    <w:tcPr>
      <w:vAlign w:val="center"/>
    </w:tcPr>
  </w:style>
  <w:style w:type="table" w:styleId="PlainTable1">
    <w:name w:val="Plain Table 1"/>
    <w:basedOn w:val="TableNormal"/>
    <w:uiPriority w:val="41"/>
    <w:locked/>
    <w:rsid w:val="00372C9D"/>
    <w:pPr>
      <w:spacing w:after="0" w:line="240" w:lineRule="auto"/>
    </w:pPr>
    <w:tblPr>
      <w:tblStyleRowBandSize w:val="1"/>
      <w:tblStyleColBandSize w:val="1"/>
      <w:tblBorders>
        <w:top w:val="single" w:sz="24" w:space="0" w:color="00A499" w:themeColor="accent1"/>
        <w:left w:val="single" w:sz="24" w:space="0" w:color="00A499" w:themeColor="accent1"/>
        <w:bottom w:val="single" w:sz="24" w:space="0" w:color="00A499" w:themeColor="accent1"/>
        <w:right w:val="single" w:sz="24" w:space="0" w:color="00A499" w:themeColor="accent1"/>
        <w:insideH w:val="single" w:sz="24" w:space="0" w:color="00A499" w:themeColor="accent1"/>
        <w:insideV w:val="single" w:sz="24" w:space="0" w:color="00A499" w:themeColor="accent1"/>
      </w:tblBorders>
    </w:tblPr>
    <w:tcPr>
      <w:shd w:val="clear" w:color="auto" w:fill="FFFFFF" w:themeFill="background2"/>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372C9D"/>
    <w:pPr>
      <w:spacing w:after="0" w:line="240" w:lineRule="auto"/>
    </w:pPr>
    <w:tblPr>
      <w:tblStyleRowBandSize w:val="1"/>
      <w:tblStyleColBandSize w:val="1"/>
      <w:tblBorders>
        <w:top w:val="single" w:sz="24" w:space="0" w:color="00A499" w:themeColor="accent1"/>
        <w:left w:val="single" w:sz="24" w:space="0" w:color="00A499" w:themeColor="accent1"/>
        <w:bottom w:val="single" w:sz="24" w:space="0" w:color="00A499" w:themeColor="accent1"/>
        <w:right w:val="single" w:sz="24" w:space="0" w:color="00A499" w:themeColor="accent1"/>
        <w:insideH w:val="single" w:sz="24" w:space="0" w:color="00A499" w:themeColor="accent1"/>
        <w:insideV w:val="single" w:sz="24" w:space="0" w:color="00A499" w:themeColor="accent1"/>
      </w:tblBorders>
    </w:tblPr>
    <w:tcPr>
      <w:shd w:val="clear" w:color="auto" w:fill="FFFFFF" w:themeFill="background2"/>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locked/>
    <w:rsid w:val="00372C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locked/>
    <w:rsid w:val="00372C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IODPARCtable2">
    <w:name w:val="IOD PARC table 2"/>
    <w:basedOn w:val="TableNormal"/>
    <w:uiPriority w:val="99"/>
    <w:rsid w:val="00F06399"/>
    <w:pPr>
      <w:spacing w:after="0" w:line="240" w:lineRule="auto"/>
    </w:pPr>
    <w:rPr>
      <w:sz w:val="20"/>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table" w:styleId="ListTable7Colorful-Accent5">
    <w:name w:val="List Table 7 Colorful Accent 5"/>
    <w:basedOn w:val="TableNormal"/>
    <w:uiPriority w:val="52"/>
    <w:locked/>
    <w:rsid w:val="00372C9D"/>
    <w:pPr>
      <w:spacing w:after="0" w:line="240" w:lineRule="auto"/>
    </w:pPr>
    <w:rPr>
      <w:color w:val="581B6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258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258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258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2583" w:themeColor="accent5"/>
        </w:tcBorders>
        <w:shd w:val="clear" w:color="auto" w:fill="FFFFFF" w:themeFill="background1"/>
      </w:tcPr>
    </w:tblStylePr>
    <w:tblStylePr w:type="band1Vert">
      <w:tblPr/>
      <w:tcPr>
        <w:shd w:val="clear" w:color="auto" w:fill="EAC9F0" w:themeFill="accent5" w:themeFillTint="33"/>
      </w:tcPr>
    </w:tblStylePr>
    <w:tblStylePr w:type="band1Horz">
      <w:tblPr/>
      <w:tcPr>
        <w:shd w:val="clear" w:color="auto" w:fill="EAC9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Text">
    <w:name w:val="Table Text"/>
    <w:basedOn w:val="Normal"/>
    <w:uiPriority w:val="9"/>
    <w:qFormat/>
    <w:rsid w:val="00305FB5"/>
    <w:pPr>
      <w:spacing w:after="0"/>
    </w:pPr>
    <w:rPr>
      <w:rFonts w:eastAsia="Calibri"/>
      <w:szCs w:val="20"/>
      <w:lang w:val="en-GB" w:eastAsia="en-GB"/>
    </w:rPr>
  </w:style>
  <w:style w:type="character" w:styleId="Hyperlink">
    <w:name w:val="Hyperlink"/>
    <w:basedOn w:val="DefaultParagraphFont"/>
    <w:uiPriority w:val="99"/>
    <w:unhideWhenUsed/>
    <w:rsid w:val="00074780"/>
    <w:rPr>
      <w:color w:val="00A499" w:themeColor="hyperlink"/>
      <w:u w:val="single"/>
    </w:rPr>
  </w:style>
  <w:style w:type="paragraph" w:styleId="Header">
    <w:name w:val="header"/>
    <w:basedOn w:val="Normal"/>
    <w:link w:val="HeaderChar"/>
    <w:uiPriority w:val="99"/>
    <w:unhideWhenUsed/>
    <w:rsid w:val="0047415E"/>
    <w:pPr>
      <w:tabs>
        <w:tab w:val="center" w:pos="4513"/>
        <w:tab w:val="right" w:pos="9026"/>
      </w:tabs>
      <w:spacing w:after="0"/>
    </w:pPr>
  </w:style>
  <w:style w:type="character" w:customStyle="1" w:styleId="HeaderChar">
    <w:name w:val="Header Char"/>
    <w:basedOn w:val="DefaultParagraphFont"/>
    <w:link w:val="Header"/>
    <w:uiPriority w:val="99"/>
    <w:rsid w:val="0047415E"/>
    <w:rPr>
      <w:rFonts w:ascii="HelveticaNeueLT Std" w:hAnsi="HelveticaNeueLT Std"/>
    </w:rPr>
  </w:style>
  <w:style w:type="paragraph" w:styleId="TOC4">
    <w:name w:val="toc 4"/>
    <w:basedOn w:val="Normal"/>
    <w:next w:val="Normal"/>
    <w:autoRedefine/>
    <w:uiPriority w:val="39"/>
    <w:semiHidden/>
    <w:unhideWhenUsed/>
    <w:rsid w:val="00C038E1"/>
    <w:pPr>
      <w:spacing w:before="120"/>
      <w:ind w:left="658"/>
    </w:pPr>
  </w:style>
  <w:style w:type="paragraph" w:styleId="TOC1">
    <w:name w:val="toc 1"/>
    <w:basedOn w:val="Normal"/>
    <w:next w:val="Normal"/>
    <w:autoRedefine/>
    <w:uiPriority w:val="39"/>
    <w:unhideWhenUsed/>
    <w:rsid w:val="009C37CA"/>
    <w:pPr>
      <w:tabs>
        <w:tab w:val="left" w:pos="442"/>
        <w:tab w:val="right" w:leader="underscore" w:pos="9016"/>
      </w:tabs>
      <w:spacing w:before="120" w:after="60"/>
    </w:pPr>
    <w:rPr>
      <w:rFonts w:cstheme="minorHAnsi"/>
      <w:bCs/>
      <w:iCs/>
      <w:sz w:val="28"/>
    </w:rPr>
  </w:style>
  <w:style w:type="paragraph" w:styleId="TOCHeading">
    <w:name w:val="TOC Heading"/>
    <w:basedOn w:val="Heading1"/>
    <w:next w:val="Normal"/>
    <w:uiPriority w:val="39"/>
    <w:unhideWhenUsed/>
    <w:qFormat/>
    <w:rsid w:val="00074780"/>
    <w:pPr>
      <w:spacing w:before="360" w:line="259" w:lineRule="auto"/>
      <w:outlineLvl w:val="9"/>
    </w:pPr>
    <w:rPr>
      <w:color w:val="00A499" w:themeColor="text2"/>
      <w:lang w:eastAsia="en-US"/>
    </w:rPr>
  </w:style>
  <w:style w:type="paragraph" w:styleId="TOC2">
    <w:name w:val="toc 2"/>
    <w:basedOn w:val="Normal"/>
    <w:next w:val="Normal"/>
    <w:autoRedefine/>
    <w:uiPriority w:val="39"/>
    <w:unhideWhenUsed/>
    <w:rsid w:val="002B7C6A"/>
    <w:pPr>
      <w:tabs>
        <w:tab w:val="left" w:pos="880"/>
        <w:tab w:val="right" w:leader="underscore" w:pos="9016"/>
      </w:tabs>
      <w:spacing w:after="60"/>
      <w:ind w:left="221"/>
    </w:pPr>
    <w:rPr>
      <w:rFonts w:cstheme="minorHAnsi"/>
      <w:bCs/>
      <w:color w:val="A50050" w:themeColor="accent3"/>
      <w:sz w:val="24"/>
    </w:rPr>
  </w:style>
  <w:style w:type="paragraph" w:styleId="TOC3">
    <w:name w:val="toc 3"/>
    <w:basedOn w:val="Normal"/>
    <w:next w:val="Normal"/>
    <w:autoRedefine/>
    <w:uiPriority w:val="39"/>
    <w:unhideWhenUsed/>
    <w:rsid w:val="002B6586"/>
    <w:pPr>
      <w:spacing w:after="60"/>
      <w:ind w:left="442"/>
    </w:pPr>
    <w:rPr>
      <w:rFonts w:cstheme="minorHAnsi"/>
      <w:color w:val="00A499" w:themeColor="accent1"/>
      <w:szCs w:val="20"/>
    </w:rPr>
  </w:style>
  <w:style w:type="paragraph" w:styleId="Footer">
    <w:name w:val="footer"/>
    <w:basedOn w:val="Normal"/>
    <w:link w:val="FooterChar"/>
    <w:uiPriority w:val="99"/>
    <w:unhideWhenUsed/>
    <w:qFormat/>
    <w:rsid w:val="007A78D0"/>
    <w:pPr>
      <w:tabs>
        <w:tab w:val="center" w:pos="4513"/>
        <w:tab w:val="right" w:pos="9026"/>
      </w:tabs>
      <w:spacing w:after="0"/>
    </w:pPr>
    <w:rPr>
      <w:color w:val="878787"/>
      <w:sz w:val="18"/>
    </w:rPr>
  </w:style>
  <w:style w:type="character" w:customStyle="1" w:styleId="FooterChar">
    <w:name w:val="Footer Char"/>
    <w:basedOn w:val="DefaultParagraphFont"/>
    <w:link w:val="Footer"/>
    <w:uiPriority w:val="99"/>
    <w:rsid w:val="007A78D0"/>
    <w:rPr>
      <w:color w:val="878787"/>
      <w:sz w:val="18"/>
    </w:rPr>
  </w:style>
  <w:style w:type="table" w:styleId="TableGrid">
    <w:name w:val="Table Grid"/>
    <w:aliases w:val="IOD PARC blank table"/>
    <w:basedOn w:val="TableNormal"/>
    <w:uiPriority w:val="39"/>
    <w:rsid w:val="00372C9D"/>
    <w:pPr>
      <w:spacing w:after="0" w:line="240" w:lineRule="auto"/>
    </w:pPr>
    <w:rPr>
      <w:sz w:val="20"/>
    </w:rPr>
    <w:tblPr/>
  </w:style>
  <w:style w:type="paragraph" w:styleId="ListParagraph">
    <w:name w:val="List Paragraph"/>
    <w:aliases w:val="List Paragraph1,Recommendation,List Paragraph11,List Paragraph2,Bulit List -  Paragraph,Colorful Shading - Accent 31,AusAID List Paragraph,Bullets,Bullet paras,Numbered Paragraph,Main numbered paragraph,123 List Paragraph,References,L,Ha"/>
    <w:basedOn w:val="Normal"/>
    <w:link w:val="ListParagraphChar"/>
    <w:uiPriority w:val="34"/>
    <w:qFormat/>
    <w:rsid w:val="00675281"/>
    <w:pPr>
      <w:ind w:left="720"/>
      <w:contextualSpacing/>
    </w:pPr>
  </w:style>
  <w:style w:type="character" w:customStyle="1" w:styleId="ListParagraphChar">
    <w:name w:val="List Paragraph Char"/>
    <w:aliases w:val="List Paragraph1 Char,Recommendation Char,List Paragraph11 Char,List Paragraph2 Char,Bulit List -  Paragraph Char,Colorful Shading - Accent 31 Char,AusAID List Paragraph Char,Bullets Char,Bullet paras Char,Numbered Paragraph Char"/>
    <w:basedOn w:val="DefaultParagraphFont"/>
    <w:link w:val="ListParagraph"/>
    <w:uiPriority w:val="34"/>
    <w:qFormat/>
    <w:rsid w:val="00675281"/>
    <w:rPr>
      <w:rFonts w:ascii="HelveticaNeueLT Std" w:hAnsi="HelveticaNeueLT Std"/>
    </w:rPr>
  </w:style>
  <w:style w:type="paragraph" w:customStyle="1" w:styleId="IODPARCbullets">
    <w:name w:val="IOD PARC bullets"/>
    <w:basedOn w:val="ListBullet"/>
    <w:link w:val="IODPARCbulletsChar"/>
    <w:uiPriority w:val="6"/>
    <w:qFormat/>
    <w:rsid w:val="00FD3ED9"/>
    <w:pPr>
      <w:numPr>
        <w:numId w:val="3"/>
      </w:numPr>
      <w:spacing w:before="60" w:after="60"/>
      <w:ind w:left="568" w:hanging="284"/>
      <w:contextualSpacing w:val="0"/>
    </w:pPr>
  </w:style>
  <w:style w:type="paragraph" w:styleId="ListBullet">
    <w:name w:val="List Bullet"/>
    <w:basedOn w:val="Normal"/>
    <w:uiPriority w:val="99"/>
    <w:semiHidden/>
    <w:unhideWhenUsed/>
    <w:qFormat/>
    <w:rsid w:val="006D7856"/>
    <w:pPr>
      <w:numPr>
        <w:numId w:val="1"/>
      </w:numPr>
      <w:contextualSpacing/>
    </w:pPr>
  </w:style>
  <w:style w:type="character" w:customStyle="1" w:styleId="IODPARCbulletsChar">
    <w:name w:val="IOD PARC bullets Char"/>
    <w:basedOn w:val="ListParagraphChar"/>
    <w:link w:val="IODPARCbullets"/>
    <w:uiPriority w:val="6"/>
    <w:rsid w:val="00FD3ED9"/>
    <w:rPr>
      <w:rFonts w:ascii="HelveticaNeueLT Std" w:hAnsi="HelveticaNeueLT Std"/>
    </w:rPr>
  </w:style>
  <w:style w:type="paragraph" w:customStyle="1" w:styleId="IODPARCparagraphnumbered">
    <w:name w:val="IOD PARC paragraph numbered"/>
    <w:basedOn w:val="Normal"/>
    <w:link w:val="IODPARCparagraphnumberedChar"/>
    <w:uiPriority w:val="6"/>
    <w:qFormat/>
    <w:rsid w:val="00C60E43"/>
    <w:pPr>
      <w:numPr>
        <w:numId w:val="5"/>
      </w:numPr>
    </w:pPr>
  </w:style>
  <w:style w:type="character" w:customStyle="1" w:styleId="IODPARCparagraphnumberedChar">
    <w:name w:val="IOD PARC paragraph numbered Char"/>
    <w:basedOn w:val="IODPARCbulletsChar"/>
    <w:link w:val="IODPARCparagraphnumbered"/>
    <w:uiPriority w:val="6"/>
    <w:rsid w:val="00C60E43"/>
    <w:rPr>
      <w:rFonts w:ascii="HelveticaNeueLT Std" w:hAnsi="HelveticaNeueLT Std"/>
    </w:rPr>
  </w:style>
  <w:style w:type="paragraph" w:styleId="ListNumber">
    <w:name w:val="List Number"/>
    <w:basedOn w:val="Normal"/>
    <w:uiPriority w:val="99"/>
    <w:semiHidden/>
    <w:unhideWhenUsed/>
    <w:qFormat/>
    <w:rsid w:val="002042D3"/>
    <w:pPr>
      <w:numPr>
        <w:numId w:val="2"/>
      </w:numPr>
      <w:contextualSpacing/>
    </w:pPr>
  </w:style>
  <w:style w:type="paragraph" w:styleId="FootnoteText">
    <w:name w:val="footnote text"/>
    <w:basedOn w:val="Normal"/>
    <w:link w:val="FootnoteTextChar"/>
    <w:uiPriority w:val="99"/>
    <w:rsid w:val="008E5C1D"/>
    <w:pPr>
      <w:spacing w:after="0"/>
    </w:pPr>
    <w:rPr>
      <w:rFonts w:eastAsia="Calibri"/>
      <w:color w:val="auto"/>
      <w:sz w:val="15"/>
      <w:szCs w:val="20"/>
      <w:lang w:val="x-none"/>
    </w:rPr>
  </w:style>
  <w:style w:type="character" w:customStyle="1" w:styleId="FootnoteTextChar">
    <w:name w:val="Footnote Text Char"/>
    <w:basedOn w:val="DefaultParagraphFont"/>
    <w:link w:val="FootnoteText"/>
    <w:uiPriority w:val="99"/>
    <w:rsid w:val="008E5C1D"/>
    <w:rPr>
      <w:rFonts w:eastAsia="Calibri"/>
      <w:color w:val="auto"/>
      <w:sz w:val="15"/>
      <w:szCs w:val="20"/>
      <w:lang w:val="x-none"/>
    </w:rPr>
  </w:style>
  <w:style w:type="character" w:styleId="FootnoteReference">
    <w:name w:val="footnote reference"/>
    <w:semiHidden/>
    <w:rsid w:val="00570ED7"/>
    <w:rPr>
      <w:vertAlign w:val="superscript"/>
    </w:rPr>
  </w:style>
  <w:style w:type="character" w:styleId="CommentReference">
    <w:name w:val="annotation reference"/>
    <w:basedOn w:val="DefaultParagraphFont"/>
    <w:uiPriority w:val="99"/>
    <w:semiHidden/>
    <w:unhideWhenUsed/>
    <w:rsid w:val="00543DB8"/>
    <w:rPr>
      <w:sz w:val="16"/>
      <w:szCs w:val="16"/>
    </w:rPr>
  </w:style>
  <w:style w:type="paragraph" w:styleId="CommentText">
    <w:name w:val="annotation text"/>
    <w:basedOn w:val="Normal"/>
    <w:link w:val="CommentTextChar"/>
    <w:uiPriority w:val="99"/>
    <w:unhideWhenUsed/>
    <w:rsid w:val="00543DB8"/>
    <w:rPr>
      <w:szCs w:val="20"/>
    </w:rPr>
  </w:style>
  <w:style w:type="character" w:customStyle="1" w:styleId="CommentTextChar">
    <w:name w:val="Comment Text Char"/>
    <w:basedOn w:val="DefaultParagraphFont"/>
    <w:link w:val="CommentText"/>
    <w:uiPriority w:val="99"/>
    <w:rsid w:val="00543DB8"/>
    <w:rPr>
      <w:sz w:val="20"/>
      <w:szCs w:val="20"/>
    </w:rPr>
  </w:style>
  <w:style w:type="paragraph" w:styleId="CommentSubject">
    <w:name w:val="annotation subject"/>
    <w:basedOn w:val="CommentText"/>
    <w:next w:val="CommentText"/>
    <w:link w:val="CommentSubjectChar"/>
    <w:uiPriority w:val="99"/>
    <w:semiHidden/>
    <w:unhideWhenUsed/>
    <w:rsid w:val="00543DB8"/>
    <w:rPr>
      <w:b/>
      <w:bCs/>
    </w:rPr>
  </w:style>
  <w:style w:type="character" w:customStyle="1" w:styleId="CommentSubjectChar">
    <w:name w:val="Comment Subject Char"/>
    <w:basedOn w:val="CommentTextChar"/>
    <w:link w:val="CommentSubject"/>
    <w:uiPriority w:val="99"/>
    <w:semiHidden/>
    <w:rsid w:val="00543DB8"/>
    <w:rPr>
      <w:b/>
      <w:bCs/>
      <w:sz w:val="20"/>
      <w:szCs w:val="20"/>
    </w:rPr>
  </w:style>
  <w:style w:type="paragraph" w:styleId="Caption">
    <w:name w:val="caption"/>
    <w:basedOn w:val="Normal"/>
    <w:next w:val="Normal"/>
    <w:uiPriority w:val="35"/>
    <w:unhideWhenUsed/>
    <w:qFormat/>
    <w:rsid w:val="00B8392B"/>
    <w:pPr>
      <w:spacing w:after="200"/>
    </w:pPr>
    <w:rPr>
      <w:rFonts w:cstheme="minorBidi"/>
      <w:i/>
      <w:iCs/>
      <w:color w:val="00A499" w:themeColor="text2"/>
      <w:sz w:val="18"/>
      <w:szCs w:val="18"/>
      <w:lang w:val="en-GB"/>
    </w:rPr>
  </w:style>
  <w:style w:type="paragraph" w:customStyle="1" w:styleId="IODPARClistnumber">
    <w:name w:val="IOD PARC list number"/>
    <w:basedOn w:val="ListNumber"/>
    <w:link w:val="IODPARClistnumberChar"/>
    <w:uiPriority w:val="6"/>
    <w:qFormat/>
    <w:rsid w:val="00AC3BD0"/>
    <w:pPr>
      <w:numPr>
        <w:numId w:val="6"/>
      </w:numPr>
      <w:contextualSpacing w:val="0"/>
    </w:pPr>
    <w:rPr>
      <w:rFonts w:cstheme="minorBidi"/>
      <w:color w:val="auto"/>
      <w:szCs w:val="22"/>
    </w:rPr>
  </w:style>
  <w:style w:type="character" w:customStyle="1" w:styleId="IODPARClistnumberChar">
    <w:name w:val="IOD PARC list number Char"/>
    <w:basedOn w:val="IODPARCbulletsChar"/>
    <w:link w:val="IODPARClistnumber"/>
    <w:uiPriority w:val="6"/>
    <w:rsid w:val="00AC3BD0"/>
    <w:rPr>
      <w:rFonts w:ascii="HelveticaNeueLT Std" w:hAnsi="HelveticaNeueLT Std" w:cstheme="minorBidi"/>
      <w:color w:val="auto"/>
      <w:szCs w:val="22"/>
    </w:rPr>
  </w:style>
  <w:style w:type="table" w:customStyle="1" w:styleId="IODPARCtable21">
    <w:name w:val="IOD PARC table 21"/>
    <w:basedOn w:val="TableNormal"/>
    <w:uiPriority w:val="99"/>
    <w:rsid w:val="00AC3BD0"/>
    <w:pPr>
      <w:spacing w:after="0" w:line="240" w:lineRule="auto"/>
    </w:pPr>
    <w:rPr>
      <w:sz w:val="20"/>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table" w:customStyle="1" w:styleId="IODPARCtable22">
    <w:name w:val="IOD PARC table 22"/>
    <w:basedOn w:val="TableNormal"/>
    <w:uiPriority w:val="99"/>
    <w:rsid w:val="00AC3BD0"/>
    <w:pPr>
      <w:spacing w:after="0" w:line="240" w:lineRule="auto"/>
    </w:pPr>
    <w:rPr>
      <w:sz w:val="20"/>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paragraph" w:styleId="NormalWeb">
    <w:name w:val="Normal (Web)"/>
    <w:basedOn w:val="Normal"/>
    <w:uiPriority w:val="99"/>
    <w:unhideWhenUsed/>
    <w:rsid w:val="00AC3BD0"/>
    <w:pPr>
      <w:spacing w:before="100" w:beforeAutospacing="1" w:after="100" w:afterAutospacing="1"/>
    </w:pPr>
    <w:rPr>
      <w:rFonts w:ascii="Times New Roman" w:eastAsia="Times New Roman" w:hAnsi="Times New Roman"/>
      <w:color w:val="auto"/>
      <w:sz w:val="24"/>
      <w:lang w:val="en-GB" w:eastAsia="en-GB"/>
    </w:rPr>
  </w:style>
  <w:style w:type="character" w:customStyle="1" w:styleId="normaltextrun">
    <w:name w:val="normaltextrun"/>
    <w:basedOn w:val="DefaultParagraphFont"/>
    <w:rsid w:val="00AC3BD0"/>
  </w:style>
  <w:style w:type="character" w:customStyle="1" w:styleId="eop">
    <w:name w:val="eop"/>
    <w:basedOn w:val="DefaultParagraphFont"/>
    <w:rsid w:val="00AC3BD0"/>
  </w:style>
  <w:style w:type="character" w:styleId="UnresolvedMention">
    <w:name w:val="Unresolved Mention"/>
    <w:basedOn w:val="DefaultParagraphFont"/>
    <w:uiPriority w:val="99"/>
    <w:unhideWhenUsed/>
    <w:rsid w:val="00AC3BD0"/>
    <w:rPr>
      <w:color w:val="605E5C"/>
      <w:shd w:val="clear" w:color="auto" w:fill="E1DFDD"/>
    </w:rPr>
  </w:style>
  <w:style w:type="character" w:styleId="Mention">
    <w:name w:val="Mention"/>
    <w:basedOn w:val="DefaultParagraphFont"/>
    <w:uiPriority w:val="99"/>
    <w:unhideWhenUsed/>
    <w:rsid w:val="00AC3BD0"/>
    <w:rPr>
      <w:color w:val="2B579A"/>
      <w:shd w:val="clear" w:color="auto" w:fill="E1DFDD"/>
    </w:rPr>
  </w:style>
  <w:style w:type="paragraph" w:styleId="BalloonText">
    <w:name w:val="Balloon Text"/>
    <w:basedOn w:val="Normal"/>
    <w:link w:val="BalloonTextChar"/>
    <w:uiPriority w:val="99"/>
    <w:semiHidden/>
    <w:unhideWhenUsed/>
    <w:rsid w:val="00AC3BD0"/>
    <w:pPr>
      <w:spacing w:after="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AC3BD0"/>
    <w:rPr>
      <w:rFonts w:ascii="Segoe UI" w:hAnsi="Segoe UI" w:cs="Segoe UI"/>
      <w:color w:val="auto"/>
      <w:sz w:val="18"/>
      <w:szCs w:val="18"/>
    </w:rPr>
  </w:style>
  <w:style w:type="paragraph" w:styleId="Revision">
    <w:name w:val="Revision"/>
    <w:hidden/>
    <w:uiPriority w:val="99"/>
    <w:semiHidden/>
    <w:rsid w:val="00BA1D03"/>
    <w:pPr>
      <w:spacing w:after="0" w:line="240" w:lineRule="auto"/>
    </w:pPr>
  </w:style>
  <w:style w:type="table" w:customStyle="1" w:styleId="IODPARCtable23">
    <w:name w:val="IOD PARC table 23"/>
    <w:basedOn w:val="TableNormal"/>
    <w:uiPriority w:val="99"/>
    <w:rsid w:val="00461888"/>
    <w:pPr>
      <w:spacing w:after="0" w:line="240" w:lineRule="auto"/>
    </w:pPr>
    <w:rPr>
      <w:rFonts w:cstheme="minorBidi"/>
      <w:color w:val="auto"/>
      <w:sz w:val="20"/>
      <w:szCs w:val="22"/>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character" w:styleId="FollowedHyperlink">
    <w:name w:val="FollowedHyperlink"/>
    <w:basedOn w:val="DefaultParagraphFont"/>
    <w:uiPriority w:val="99"/>
    <w:semiHidden/>
    <w:unhideWhenUsed/>
    <w:rsid w:val="002E260B"/>
    <w:rPr>
      <w:color w:val="878787" w:themeColor="followedHyperlink"/>
      <w:u w:val="single"/>
    </w:rPr>
  </w:style>
  <w:style w:type="table" w:customStyle="1" w:styleId="IODPARCblanktable1">
    <w:name w:val="IOD PARC blank table1"/>
    <w:basedOn w:val="TableNormal"/>
    <w:next w:val="TableGrid"/>
    <w:uiPriority w:val="39"/>
    <w:rsid w:val="00763E7C"/>
    <w:pPr>
      <w:spacing w:after="0" w:line="240" w:lineRule="auto"/>
    </w:pPr>
    <w:rPr>
      <w:rFonts w:cstheme="minorBidi"/>
      <w:color w:val="auto"/>
      <w:sz w:val="20"/>
      <w:szCs w:val="22"/>
    </w:rPr>
    <w:tblPr/>
  </w:style>
  <w:style w:type="table" w:customStyle="1" w:styleId="IODPARCtable24">
    <w:name w:val="IOD PARC table 24"/>
    <w:basedOn w:val="TableNormal"/>
    <w:uiPriority w:val="99"/>
    <w:rsid w:val="00A4700C"/>
    <w:pPr>
      <w:spacing w:after="0" w:line="240" w:lineRule="auto"/>
    </w:pPr>
    <w:rPr>
      <w:rFonts w:cstheme="minorBidi"/>
      <w:color w:val="auto"/>
      <w:sz w:val="20"/>
      <w:szCs w:val="22"/>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table" w:customStyle="1" w:styleId="IODPARCtable25">
    <w:name w:val="IOD PARC table 25"/>
    <w:basedOn w:val="TableNormal"/>
    <w:uiPriority w:val="99"/>
    <w:rsid w:val="00A4203A"/>
    <w:pPr>
      <w:spacing w:after="0" w:line="240" w:lineRule="auto"/>
    </w:pPr>
    <w:rPr>
      <w:rFonts w:cstheme="minorBidi"/>
      <w:color w:val="auto"/>
      <w:sz w:val="20"/>
      <w:szCs w:val="22"/>
    </w:rPr>
    <w:tblPr>
      <w:tblBorders>
        <w:top w:val="single" w:sz="8" w:space="0" w:color="00A499" w:themeColor="accent1"/>
        <w:left w:val="single" w:sz="8" w:space="0" w:color="00A499" w:themeColor="accent1"/>
        <w:bottom w:val="single" w:sz="8" w:space="0" w:color="00A499" w:themeColor="accent1"/>
        <w:right w:val="single" w:sz="8" w:space="0" w:color="00A499" w:themeColor="accent1"/>
        <w:insideH w:val="single" w:sz="8" w:space="0" w:color="00A499" w:themeColor="accent1"/>
        <w:insideV w:val="single" w:sz="8" w:space="0" w:color="00A499" w:themeColor="accent1"/>
      </w:tblBorders>
    </w:tblPr>
    <w:tcPr>
      <w:shd w:val="clear" w:color="auto" w:fill="FFFFFF" w:themeFill="background2"/>
      <w:vAlign w:val="center"/>
    </w:tcPr>
  </w:style>
  <w:style w:type="paragraph" w:styleId="EndnoteText">
    <w:name w:val="endnote text"/>
    <w:basedOn w:val="Normal"/>
    <w:link w:val="EndnoteTextChar"/>
    <w:uiPriority w:val="99"/>
    <w:semiHidden/>
    <w:unhideWhenUsed/>
    <w:rsid w:val="00C0562A"/>
    <w:pPr>
      <w:spacing w:after="0"/>
    </w:pPr>
    <w:rPr>
      <w:sz w:val="20"/>
      <w:szCs w:val="20"/>
    </w:rPr>
  </w:style>
  <w:style w:type="character" w:customStyle="1" w:styleId="EndnoteTextChar">
    <w:name w:val="Endnote Text Char"/>
    <w:basedOn w:val="DefaultParagraphFont"/>
    <w:link w:val="EndnoteText"/>
    <w:uiPriority w:val="99"/>
    <w:semiHidden/>
    <w:rsid w:val="00C0562A"/>
    <w:rPr>
      <w:sz w:val="20"/>
      <w:szCs w:val="20"/>
    </w:rPr>
  </w:style>
  <w:style w:type="character" w:styleId="EndnoteReference">
    <w:name w:val="endnote reference"/>
    <w:basedOn w:val="DefaultParagraphFont"/>
    <w:uiPriority w:val="99"/>
    <w:semiHidden/>
    <w:unhideWhenUsed/>
    <w:rsid w:val="00C05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
      <w:bodyDiv w:val="1"/>
      <w:marLeft w:val="0"/>
      <w:marRight w:val="0"/>
      <w:marTop w:val="0"/>
      <w:marBottom w:val="0"/>
      <w:divBdr>
        <w:top w:val="none" w:sz="0" w:space="0" w:color="auto"/>
        <w:left w:val="none" w:sz="0" w:space="0" w:color="auto"/>
        <w:bottom w:val="none" w:sz="0" w:space="0" w:color="auto"/>
        <w:right w:val="none" w:sz="0" w:space="0" w:color="auto"/>
      </w:divBdr>
    </w:div>
    <w:div w:id="22439129">
      <w:bodyDiv w:val="1"/>
      <w:marLeft w:val="0"/>
      <w:marRight w:val="0"/>
      <w:marTop w:val="0"/>
      <w:marBottom w:val="0"/>
      <w:divBdr>
        <w:top w:val="none" w:sz="0" w:space="0" w:color="auto"/>
        <w:left w:val="none" w:sz="0" w:space="0" w:color="auto"/>
        <w:bottom w:val="none" w:sz="0" w:space="0" w:color="auto"/>
        <w:right w:val="none" w:sz="0" w:space="0" w:color="auto"/>
      </w:divBdr>
    </w:div>
    <w:div w:id="65806117">
      <w:bodyDiv w:val="1"/>
      <w:marLeft w:val="0"/>
      <w:marRight w:val="0"/>
      <w:marTop w:val="0"/>
      <w:marBottom w:val="0"/>
      <w:divBdr>
        <w:top w:val="none" w:sz="0" w:space="0" w:color="auto"/>
        <w:left w:val="none" w:sz="0" w:space="0" w:color="auto"/>
        <w:bottom w:val="none" w:sz="0" w:space="0" w:color="auto"/>
        <w:right w:val="none" w:sz="0" w:space="0" w:color="auto"/>
      </w:divBdr>
    </w:div>
    <w:div w:id="97600333">
      <w:bodyDiv w:val="1"/>
      <w:marLeft w:val="0"/>
      <w:marRight w:val="0"/>
      <w:marTop w:val="0"/>
      <w:marBottom w:val="0"/>
      <w:divBdr>
        <w:top w:val="none" w:sz="0" w:space="0" w:color="auto"/>
        <w:left w:val="none" w:sz="0" w:space="0" w:color="auto"/>
        <w:bottom w:val="none" w:sz="0" w:space="0" w:color="auto"/>
        <w:right w:val="none" w:sz="0" w:space="0" w:color="auto"/>
      </w:divBdr>
    </w:div>
    <w:div w:id="177307596">
      <w:bodyDiv w:val="1"/>
      <w:marLeft w:val="0"/>
      <w:marRight w:val="0"/>
      <w:marTop w:val="0"/>
      <w:marBottom w:val="0"/>
      <w:divBdr>
        <w:top w:val="none" w:sz="0" w:space="0" w:color="auto"/>
        <w:left w:val="none" w:sz="0" w:space="0" w:color="auto"/>
        <w:bottom w:val="none" w:sz="0" w:space="0" w:color="auto"/>
        <w:right w:val="none" w:sz="0" w:space="0" w:color="auto"/>
      </w:divBdr>
    </w:div>
    <w:div w:id="189338059">
      <w:bodyDiv w:val="1"/>
      <w:marLeft w:val="0"/>
      <w:marRight w:val="0"/>
      <w:marTop w:val="0"/>
      <w:marBottom w:val="0"/>
      <w:divBdr>
        <w:top w:val="none" w:sz="0" w:space="0" w:color="auto"/>
        <w:left w:val="none" w:sz="0" w:space="0" w:color="auto"/>
        <w:bottom w:val="none" w:sz="0" w:space="0" w:color="auto"/>
        <w:right w:val="none" w:sz="0" w:space="0" w:color="auto"/>
      </w:divBdr>
    </w:div>
    <w:div w:id="227571333">
      <w:bodyDiv w:val="1"/>
      <w:marLeft w:val="0"/>
      <w:marRight w:val="0"/>
      <w:marTop w:val="0"/>
      <w:marBottom w:val="0"/>
      <w:divBdr>
        <w:top w:val="none" w:sz="0" w:space="0" w:color="auto"/>
        <w:left w:val="none" w:sz="0" w:space="0" w:color="auto"/>
        <w:bottom w:val="none" w:sz="0" w:space="0" w:color="auto"/>
        <w:right w:val="none" w:sz="0" w:space="0" w:color="auto"/>
      </w:divBdr>
    </w:div>
    <w:div w:id="252251340">
      <w:bodyDiv w:val="1"/>
      <w:marLeft w:val="0"/>
      <w:marRight w:val="0"/>
      <w:marTop w:val="0"/>
      <w:marBottom w:val="0"/>
      <w:divBdr>
        <w:top w:val="none" w:sz="0" w:space="0" w:color="auto"/>
        <w:left w:val="none" w:sz="0" w:space="0" w:color="auto"/>
        <w:bottom w:val="none" w:sz="0" w:space="0" w:color="auto"/>
        <w:right w:val="none" w:sz="0" w:space="0" w:color="auto"/>
      </w:divBdr>
    </w:div>
    <w:div w:id="309292967">
      <w:bodyDiv w:val="1"/>
      <w:marLeft w:val="0"/>
      <w:marRight w:val="0"/>
      <w:marTop w:val="0"/>
      <w:marBottom w:val="0"/>
      <w:divBdr>
        <w:top w:val="none" w:sz="0" w:space="0" w:color="auto"/>
        <w:left w:val="none" w:sz="0" w:space="0" w:color="auto"/>
        <w:bottom w:val="none" w:sz="0" w:space="0" w:color="auto"/>
        <w:right w:val="none" w:sz="0" w:space="0" w:color="auto"/>
      </w:divBdr>
    </w:div>
    <w:div w:id="360933066">
      <w:bodyDiv w:val="1"/>
      <w:marLeft w:val="0"/>
      <w:marRight w:val="0"/>
      <w:marTop w:val="0"/>
      <w:marBottom w:val="0"/>
      <w:divBdr>
        <w:top w:val="none" w:sz="0" w:space="0" w:color="auto"/>
        <w:left w:val="none" w:sz="0" w:space="0" w:color="auto"/>
        <w:bottom w:val="none" w:sz="0" w:space="0" w:color="auto"/>
        <w:right w:val="none" w:sz="0" w:space="0" w:color="auto"/>
      </w:divBdr>
    </w:div>
    <w:div w:id="371924833">
      <w:bodyDiv w:val="1"/>
      <w:marLeft w:val="0"/>
      <w:marRight w:val="0"/>
      <w:marTop w:val="0"/>
      <w:marBottom w:val="0"/>
      <w:divBdr>
        <w:top w:val="none" w:sz="0" w:space="0" w:color="auto"/>
        <w:left w:val="none" w:sz="0" w:space="0" w:color="auto"/>
        <w:bottom w:val="none" w:sz="0" w:space="0" w:color="auto"/>
        <w:right w:val="none" w:sz="0" w:space="0" w:color="auto"/>
      </w:divBdr>
    </w:div>
    <w:div w:id="383213825">
      <w:bodyDiv w:val="1"/>
      <w:marLeft w:val="0"/>
      <w:marRight w:val="0"/>
      <w:marTop w:val="0"/>
      <w:marBottom w:val="0"/>
      <w:divBdr>
        <w:top w:val="none" w:sz="0" w:space="0" w:color="auto"/>
        <w:left w:val="none" w:sz="0" w:space="0" w:color="auto"/>
        <w:bottom w:val="none" w:sz="0" w:space="0" w:color="auto"/>
        <w:right w:val="none" w:sz="0" w:space="0" w:color="auto"/>
      </w:divBdr>
    </w:div>
    <w:div w:id="410085133">
      <w:bodyDiv w:val="1"/>
      <w:marLeft w:val="0"/>
      <w:marRight w:val="0"/>
      <w:marTop w:val="0"/>
      <w:marBottom w:val="0"/>
      <w:divBdr>
        <w:top w:val="none" w:sz="0" w:space="0" w:color="auto"/>
        <w:left w:val="none" w:sz="0" w:space="0" w:color="auto"/>
        <w:bottom w:val="none" w:sz="0" w:space="0" w:color="auto"/>
        <w:right w:val="none" w:sz="0" w:space="0" w:color="auto"/>
      </w:divBdr>
    </w:div>
    <w:div w:id="456025717">
      <w:bodyDiv w:val="1"/>
      <w:marLeft w:val="0"/>
      <w:marRight w:val="0"/>
      <w:marTop w:val="0"/>
      <w:marBottom w:val="0"/>
      <w:divBdr>
        <w:top w:val="none" w:sz="0" w:space="0" w:color="auto"/>
        <w:left w:val="none" w:sz="0" w:space="0" w:color="auto"/>
        <w:bottom w:val="none" w:sz="0" w:space="0" w:color="auto"/>
        <w:right w:val="none" w:sz="0" w:space="0" w:color="auto"/>
      </w:divBdr>
    </w:div>
    <w:div w:id="519248496">
      <w:bodyDiv w:val="1"/>
      <w:marLeft w:val="0"/>
      <w:marRight w:val="0"/>
      <w:marTop w:val="0"/>
      <w:marBottom w:val="0"/>
      <w:divBdr>
        <w:top w:val="none" w:sz="0" w:space="0" w:color="auto"/>
        <w:left w:val="none" w:sz="0" w:space="0" w:color="auto"/>
        <w:bottom w:val="none" w:sz="0" w:space="0" w:color="auto"/>
        <w:right w:val="none" w:sz="0" w:space="0" w:color="auto"/>
      </w:divBdr>
    </w:div>
    <w:div w:id="531067866">
      <w:bodyDiv w:val="1"/>
      <w:marLeft w:val="0"/>
      <w:marRight w:val="0"/>
      <w:marTop w:val="0"/>
      <w:marBottom w:val="0"/>
      <w:divBdr>
        <w:top w:val="none" w:sz="0" w:space="0" w:color="auto"/>
        <w:left w:val="none" w:sz="0" w:space="0" w:color="auto"/>
        <w:bottom w:val="none" w:sz="0" w:space="0" w:color="auto"/>
        <w:right w:val="none" w:sz="0" w:space="0" w:color="auto"/>
      </w:divBdr>
      <w:divsChild>
        <w:div w:id="1685134551">
          <w:marLeft w:val="0"/>
          <w:marRight w:val="0"/>
          <w:marTop w:val="0"/>
          <w:marBottom w:val="0"/>
          <w:divBdr>
            <w:top w:val="none" w:sz="0" w:space="0" w:color="auto"/>
            <w:left w:val="none" w:sz="0" w:space="0" w:color="auto"/>
            <w:bottom w:val="none" w:sz="0" w:space="0" w:color="auto"/>
            <w:right w:val="none" w:sz="0" w:space="0" w:color="auto"/>
          </w:divBdr>
          <w:divsChild>
            <w:div w:id="1890648904">
              <w:marLeft w:val="-75"/>
              <w:marRight w:val="0"/>
              <w:marTop w:val="30"/>
              <w:marBottom w:val="30"/>
              <w:divBdr>
                <w:top w:val="none" w:sz="0" w:space="0" w:color="auto"/>
                <w:left w:val="none" w:sz="0" w:space="0" w:color="auto"/>
                <w:bottom w:val="none" w:sz="0" w:space="0" w:color="auto"/>
                <w:right w:val="none" w:sz="0" w:space="0" w:color="auto"/>
              </w:divBdr>
              <w:divsChild>
                <w:div w:id="968827907">
                  <w:marLeft w:val="0"/>
                  <w:marRight w:val="0"/>
                  <w:marTop w:val="0"/>
                  <w:marBottom w:val="0"/>
                  <w:divBdr>
                    <w:top w:val="none" w:sz="0" w:space="0" w:color="auto"/>
                    <w:left w:val="none" w:sz="0" w:space="0" w:color="auto"/>
                    <w:bottom w:val="none" w:sz="0" w:space="0" w:color="auto"/>
                    <w:right w:val="none" w:sz="0" w:space="0" w:color="auto"/>
                  </w:divBdr>
                  <w:divsChild>
                    <w:div w:id="113641204">
                      <w:marLeft w:val="0"/>
                      <w:marRight w:val="0"/>
                      <w:marTop w:val="0"/>
                      <w:marBottom w:val="0"/>
                      <w:divBdr>
                        <w:top w:val="none" w:sz="0" w:space="0" w:color="auto"/>
                        <w:left w:val="none" w:sz="0" w:space="0" w:color="auto"/>
                        <w:bottom w:val="none" w:sz="0" w:space="0" w:color="auto"/>
                        <w:right w:val="none" w:sz="0" w:space="0" w:color="auto"/>
                      </w:divBdr>
                    </w:div>
                  </w:divsChild>
                </w:div>
                <w:div w:id="562181245">
                  <w:marLeft w:val="0"/>
                  <w:marRight w:val="0"/>
                  <w:marTop w:val="0"/>
                  <w:marBottom w:val="0"/>
                  <w:divBdr>
                    <w:top w:val="none" w:sz="0" w:space="0" w:color="auto"/>
                    <w:left w:val="none" w:sz="0" w:space="0" w:color="auto"/>
                    <w:bottom w:val="none" w:sz="0" w:space="0" w:color="auto"/>
                    <w:right w:val="none" w:sz="0" w:space="0" w:color="auto"/>
                  </w:divBdr>
                  <w:divsChild>
                    <w:div w:id="693263561">
                      <w:marLeft w:val="0"/>
                      <w:marRight w:val="0"/>
                      <w:marTop w:val="0"/>
                      <w:marBottom w:val="0"/>
                      <w:divBdr>
                        <w:top w:val="none" w:sz="0" w:space="0" w:color="auto"/>
                        <w:left w:val="none" w:sz="0" w:space="0" w:color="auto"/>
                        <w:bottom w:val="none" w:sz="0" w:space="0" w:color="auto"/>
                        <w:right w:val="none" w:sz="0" w:space="0" w:color="auto"/>
                      </w:divBdr>
                    </w:div>
                  </w:divsChild>
                </w:div>
                <w:div w:id="669605267">
                  <w:marLeft w:val="0"/>
                  <w:marRight w:val="0"/>
                  <w:marTop w:val="0"/>
                  <w:marBottom w:val="0"/>
                  <w:divBdr>
                    <w:top w:val="none" w:sz="0" w:space="0" w:color="auto"/>
                    <w:left w:val="none" w:sz="0" w:space="0" w:color="auto"/>
                    <w:bottom w:val="none" w:sz="0" w:space="0" w:color="auto"/>
                    <w:right w:val="none" w:sz="0" w:space="0" w:color="auto"/>
                  </w:divBdr>
                  <w:divsChild>
                    <w:div w:id="1193886886">
                      <w:marLeft w:val="0"/>
                      <w:marRight w:val="0"/>
                      <w:marTop w:val="0"/>
                      <w:marBottom w:val="0"/>
                      <w:divBdr>
                        <w:top w:val="none" w:sz="0" w:space="0" w:color="auto"/>
                        <w:left w:val="none" w:sz="0" w:space="0" w:color="auto"/>
                        <w:bottom w:val="none" w:sz="0" w:space="0" w:color="auto"/>
                        <w:right w:val="none" w:sz="0" w:space="0" w:color="auto"/>
                      </w:divBdr>
                    </w:div>
                  </w:divsChild>
                </w:div>
                <w:div w:id="1061249640">
                  <w:marLeft w:val="0"/>
                  <w:marRight w:val="0"/>
                  <w:marTop w:val="0"/>
                  <w:marBottom w:val="0"/>
                  <w:divBdr>
                    <w:top w:val="none" w:sz="0" w:space="0" w:color="auto"/>
                    <w:left w:val="none" w:sz="0" w:space="0" w:color="auto"/>
                    <w:bottom w:val="none" w:sz="0" w:space="0" w:color="auto"/>
                    <w:right w:val="none" w:sz="0" w:space="0" w:color="auto"/>
                  </w:divBdr>
                  <w:divsChild>
                    <w:div w:id="1861157706">
                      <w:marLeft w:val="0"/>
                      <w:marRight w:val="0"/>
                      <w:marTop w:val="0"/>
                      <w:marBottom w:val="0"/>
                      <w:divBdr>
                        <w:top w:val="none" w:sz="0" w:space="0" w:color="auto"/>
                        <w:left w:val="none" w:sz="0" w:space="0" w:color="auto"/>
                        <w:bottom w:val="none" w:sz="0" w:space="0" w:color="auto"/>
                        <w:right w:val="none" w:sz="0" w:space="0" w:color="auto"/>
                      </w:divBdr>
                    </w:div>
                  </w:divsChild>
                </w:div>
                <w:div w:id="656611030">
                  <w:marLeft w:val="0"/>
                  <w:marRight w:val="0"/>
                  <w:marTop w:val="0"/>
                  <w:marBottom w:val="0"/>
                  <w:divBdr>
                    <w:top w:val="none" w:sz="0" w:space="0" w:color="auto"/>
                    <w:left w:val="none" w:sz="0" w:space="0" w:color="auto"/>
                    <w:bottom w:val="none" w:sz="0" w:space="0" w:color="auto"/>
                    <w:right w:val="none" w:sz="0" w:space="0" w:color="auto"/>
                  </w:divBdr>
                  <w:divsChild>
                    <w:div w:id="1182206100">
                      <w:marLeft w:val="0"/>
                      <w:marRight w:val="0"/>
                      <w:marTop w:val="0"/>
                      <w:marBottom w:val="0"/>
                      <w:divBdr>
                        <w:top w:val="none" w:sz="0" w:space="0" w:color="auto"/>
                        <w:left w:val="none" w:sz="0" w:space="0" w:color="auto"/>
                        <w:bottom w:val="none" w:sz="0" w:space="0" w:color="auto"/>
                        <w:right w:val="none" w:sz="0" w:space="0" w:color="auto"/>
                      </w:divBdr>
                    </w:div>
                  </w:divsChild>
                </w:div>
                <w:div w:id="2072387365">
                  <w:marLeft w:val="0"/>
                  <w:marRight w:val="0"/>
                  <w:marTop w:val="0"/>
                  <w:marBottom w:val="0"/>
                  <w:divBdr>
                    <w:top w:val="none" w:sz="0" w:space="0" w:color="auto"/>
                    <w:left w:val="none" w:sz="0" w:space="0" w:color="auto"/>
                    <w:bottom w:val="none" w:sz="0" w:space="0" w:color="auto"/>
                    <w:right w:val="none" w:sz="0" w:space="0" w:color="auto"/>
                  </w:divBdr>
                  <w:divsChild>
                    <w:div w:id="680158398">
                      <w:marLeft w:val="0"/>
                      <w:marRight w:val="0"/>
                      <w:marTop w:val="0"/>
                      <w:marBottom w:val="0"/>
                      <w:divBdr>
                        <w:top w:val="none" w:sz="0" w:space="0" w:color="auto"/>
                        <w:left w:val="none" w:sz="0" w:space="0" w:color="auto"/>
                        <w:bottom w:val="none" w:sz="0" w:space="0" w:color="auto"/>
                        <w:right w:val="none" w:sz="0" w:space="0" w:color="auto"/>
                      </w:divBdr>
                    </w:div>
                  </w:divsChild>
                </w:div>
                <w:div w:id="553396309">
                  <w:marLeft w:val="0"/>
                  <w:marRight w:val="0"/>
                  <w:marTop w:val="0"/>
                  <w:marBottom w:val="0"/>
                  <w:divBdr>
                    <w:top w:val="none" w:sz="0" w:space="0" w:color="auto"/>
                    <w:left w:val="none" w:sz="0" w:space="0" w:color="auto"/>
                    <w:bottom w:val="none" w:sz="0" w:space="0" w:color="auto"/>
                    <w:right w:val="none" w:sz="0" w:space="0" w:color="auto"/>
                  </w:divBdr>
                  <w:divsChild>
                    <w:div w:id="1518275055">
                      <w:marLeft w:val="0"/>
                      <w:marRight w:val="0"/>
                      <w:marTop w:val="0"/>
                      <w:marBottom w:val="0"/>
                      <w:divBdr>
                        <w:top w:val="none" w:sz="0" w:space="0" w:color="auto"/>
                        <w:left w:val="none" w:sz="0" w:space="0" w:color="auto"/>
                        <w:bottom w:val="none" w:sz="0" w:space="0" w:color="auto"/>
                        <w:right w:val="none" w:sz="0" w:space="0" w:color="auto"/>
                      </w:divBdr>
                    </w:div>
                  </w:divsChild>
                </w:div>
                <w:div w:id="208877985">
                  <w:marLeft w:val="0"/>
                  <w:marRight w:val="0"/>
                  <w:marTop w:val="0"/>
                  <w:marBottom w:val="0"/>
                  <w:divBdr>
                    <w:top w:val="none" w:sz="0" w:space="0" w:color="auto"/>
                    <w:left w:val="none" w:sz="0" w:space="0" w:color="auto"/>
                    <w:bottom w:val="none" w:sz="0" w:space="0" w:color="auto"/>
                    <w:right w:val="none" w:sz="0" w:space="0" w:color="auto"/>
                  </w:divBdr>
                  <w:divsChild>
                    <w:div w:id="1663510020">
                      <w:marLeft w:val="0"/>
                      <w:marRight w:val="0"/>
                      <w:marTop w:val="0"/>
                      <w:marBottom w:val="0"/>
                      <w:divBdr>
                        <w:top w:val="none" w:sz="0" w:space="0" w:color="auto"/>
                        <w:left w:val="none" w:sz="0" w:space="0" w:color="auto"/>
                        <w:bottom w:val="none" w:sz="0" w:space="0" w:color="auto"/>
                        <w:right w:val="none" w:sz="0" w:space="0" w:color="auto"/>
                      </w:divBdr>
                    </w:div>
                    <w:div w:id="2013340470">
                      <w:marLeft w:val="0"/>
                      <w:marRight w:val="0"/>
                      <w:marTop w:val="0"/>
                      <w:marBottom w:val="0"/>
                      <w:divBdr>
                        <w:top w:val="none" w:sz="0" w:space="0" w:color="auto"/>
                        <w:left w:val="none" w:sz="0" w:space="0" w:color="auto"/>
                        <w:bottom w:val="none" w:sz="0" w:space="0" w:color="auto"/>
                        <w:right w:val="none" w:sz="0" w:space="0" w:color="auto"/>
                      </w:divBdr>
                    </w:div>
                    <w:div w:id="1945266676">
                      <w:marLeft w:val="0"/>
                      <w:marRight w:val="0"/>
                      <w:marTop w:val="0"/>
                      <w:marBottom w:val="0"/>
                      <w:divBdr>
                        <w:top w:val="none" w:sz="0" w:space="0" w:color="auto"/>
                        <w:left w:val="none" w:sz="0" w:space="0" w:color="auto"/>
                        <w:bottom w:val="none" w:sz="0" w:space="0" w:color="auto"/>
                        <w:right w:val="none" w:sz="0" w:space="0" w:color="auto"/>
                      </w:divBdr>
                    </w:div>
                    <w:div w:id="1649942117">
                      <w:marLeft w:val="0"/>
                      <w:marRight w:val="0"/>
                      <w:marTop w:val="0"/>
                      <w:marBottom w:val="0"/>
                      <w:divBdr>
                        <w:top w:val="none" w:sz="0" w:space="0" w:color="auto"/>
                        <w:left w:val="none" w:sz="0" w:space="0" w:color="auto"/>
                        <w:bottom w:val="none" w:sz="0" w:space="0" w:color="auto"/>
                        <w:right w:val="none" w:sz="0" w:space="0" w:color="auto"/>
                      </w:divBdr>
                    </w:div>
                    <w:div w:id="444350028">
                      <w:marLeft w:val="0"/>
                      <w:marRight w:val="0"/>
                      <w:marTop w:val="0"/>
                      <w:marBottom w:val="0"/>
                      <w:divBdr>
                        <w:top w:val="none" w:sz="0" w:space="0" w:color="auto"/>
                        <w:left w:val="none" w:sz="0" w:space="0" w:color="auto"/>
                        <w:bottom w:val="none" w:sz="0" w:space="0" w:color="auto"/>
                        <w:right w:val="none" w:sz="0" w:space="0" w:color="auto"/>
                      </w:divBdr>
                    </w:div>
                  </w:divsChild>
                </w:div>
                <w:div w:id="1060978919">
                  <w:marLeft w:val="0"/>
                  <w:marRight w:val="0"/>
                  <w:marTop w:val="0"/>
                  <w:marBottom w:val="0"/>
                  <w:divBdr>
                    <w:top w:val="none" w:sz="0" w:space="0" w:color="auto"/>
                    <w:left w:val="none" w:sz="0" w:space="0" w:color="auto"/>
                    <w:bottom w:val="none" w:sz="0" w:space="0" w:color="auto"/>
                    <w:right w:val="none" w:sz="0" w:space="0" w:color="auto"/>
                  </w:divBdr>
                  <w:divsChild>
                    <w:div w:id="1677145657">
                      <w:marLeft w:val="0"/>
                      <w:marRight w:val="0"/>
                      <w:marTop w:val="0"/>
                      <w:marBottom w:val="0"/>
                      <w:divBdr>
                        <w:top w:val="none" w:sz="0" w:space="0" w:color="auto"/>
                        <w:left w:val="none" w:sz="0" w:space="0" w:color="auto"/>
                        <w:bottom w:val="none" w:sz="0" w:space="0" w:color="auto"/>
                        <w:right w:val="none" w:sz="0" w:space="0" w:color="auto"/>
                      </w:divBdr>
                    </w:div>
                  </w:divsChild>
                </w:div>
                <w:div w:id="739249376">
                  <w:marLeft w:val="0"/>
                  <w:marRight w:val="0"/>
                  <w:marTop w:val="0"/>
                  <w:marBottom w:val="0"/>
                  <w:divBdr>
                    <w:top w:val="none" w:sz="0" w:space="0" w:color="auto"/>
                    <w:left w:val="none" w:sz="0" w:space="0" w:color="auto"/>
                    <w:bottom w:val="none" w:sz="0" w:space="0" w:color="auto"/>
                    <w:right w:val="none" w:sz="0" w:space="0" w:color="auto"/>
                  </w:divBdr>
                  <w:divsChild>
                    <w:div w:id="1841963894">
                      <w:marLeft w:val="0"/>
                      <w:marRight w:val="0"/>
                      <w:marTop w:val="0"/>
                      <w:marBottom w:val="0"/>
                      <w:divBdr>
                        <w:top w:val="none" w:sz="0" w:space="0" w:color="auto"/>
                        <w:left w:val="none" w:sz="0" w:space="0" w:color="auto"/>
                        <w:bottom w:val="none" w:sz="0" w:space="0" w:color="auto"/>
                        <w:right w:val="none" w:sz="0" w:space="0" w:color="auto"/>
                      </w:divBdr>
                    </w:div>
                    <w:div w:id="2015188091">
                      <w:marLeft w:val="0"/>
                      <w:marRight w:val="0"/>
                      <w:marTop w:val="0"/>
                      <w:marBottom w:val="0"/>
                      <w:divBdr>
                        <w:top w:val="none" w:sz="0" w:space="0" w:color="auto"/>
                        <w:left w:val="none" w:sz="0" w:space="0" w:color="auto"/>
                        <w:bottom w:val="none" w:sz="0" w:space="0" w:color="auto"/>
                        <w:right w:val="none" w:sz="0" w:space="0" w:color="auto"/>
                      </w:divBdr>
                    </w:div>
                    <w:div w:id="54553668">
                      <w:marLeft w:val="0"/>
                      <w:marRight w:val="0"/>
                      <w:marTop w:val="0"/>
                      <w:marBottom w:val="0"/>
                      <w:divBdr>
                        <w:top w:val="none" w:sz="0" w:space="0" w:color="auto"/>
                        <w:left w:val="none" w:sz="0" w:space="0" w:color="auto"/>
                        <w:bottom w:val="none" w:sz="0" w:space="0" w:color="auto"/>
                        <w:right w:val="none" w:sz="0" w:space="0" w:color="auto"/>
                      </w:divBdr>
                    </w:div>
                    <w:div w:id="201669908">
                      <w:marLeft w:val="0"/>
                      <w:marRight w:val="0"/>
                      <w:marTop w:val="0"/>
                      <w:marBottom w:val="0"/>
                      <w:divBdr>
                        <w:top w:val="none" w:sz="0" w:space="0" w:color="auto"/>
                        <w:left w:val="none" w:sz="0" w:space="0" w:color="auto"/>
                        <w:bottom w:val="none" w:sz="0" w:space="0" w:color="auto"/>
                        <w:right w:val="none" w:sz="0" w:space="0" w:color="auto"/>
                      </w:divBdr>
                    </w:div>
                    <w:div w:id="1056275842">
                      <w:marLeft w:val="0"/>
                      <w:marRight w:val="0"/>
                      <w:marTop w:val="0"/>
                      <w:marBottom w:val="0"/>
                      <w:divBdr>
                        <w:top w:val="none" w:sz="0" w:space="0" w:color="auto"/>
                        <w:left w:val="none" w:sz="0" w:space="0" w:color="auto"/>
                        <w:bottom w:val="none" w:sz="0" w:space="0" w:color="auto"/>
                        <w:right w:val="none" w:sz="0" w:space="0" w:color="auto"/>
                      </w:divBdr>
                    </w:div>
                    <w:div w:id="157502384">
                      <w:marLeft w:val="0"/>
                      <w:marRight w:val="0"/>
                      <w:marTop w:val="0"/>
                      <w:marBottom w:val="0"/>
                      <w:divBdr>
                        <w:top w:val="none" w:sz="0" w:space="0" w:color="auto"/>
                        <w:left w:val="none" w:sz="0" w:space="0" w:color="auto"/>
                        <w:bottom w:val="none" w:sz="0" w:space="0" w:color="auto"/>
                        <w:right w:val="none" w:sz="0" w:space="0" w:color="auto"/>
                      </w:divBdr>
                    </w:div>
                  </w:divsChild>
                </w:div>
                <w:div w:id="61291818">
                  <w:marLeft w:val="0"/>
                  <w:marRight w:val="0"/>
                  <w:marTop w:val="0"/>
                  <w:marBottom w:val="0"/>
                  <w:divBdr>
                    <w:top w:val="none" w:sz="0" w:space="0" w:color="auto"/>
                    <w:left w:val="none" w:sz="0" w:space="0" w:color="auto"/>
                    <w:bottom w:val="none" w:sz="0" w:space="0" w:color="auto"/>
                    <w:right w:val="none" w:sz="0" w:space="0" w:color="auto"/>
                  </w:divBdr>
                  <w:divsChild>
                    <w:div w:id="2089837395">
                      <w:marLeft w:val="0"/>
                      <w:marRight w:val="0"/>
                      <w:marTop w:val="0"/>
                      <w:marBottom w:val="0"/>
                      <w:divBdr>
                        <w:top w:val="none" w:sz="0" w:space="0" w:color="auto"/>
                        <w:left w:val="none" w:sz="0" w:space="0" w:color="auto"/>
                        <w:bottom w:val="none" w:sz="0" w:space="0" w:color="auto"/>
                        <w:right w:val="none" w:sz="0" w:space="0" w:color="auto"/>
                      </w:divBdr>
                    </w:div>
                  </w:divsChild>
                </w:div>
                <w:div w:id="1446079765">
                  <w:marLeft w:val="0"/>
                  <w:marRight w:val="0"/>
                  <w:marTop w:val="0"/>
                  <w:marBottom w:val="0"/>
                  <w:divBdr>
                    <w:top w:val="none" w:sz="0" w:space="0" w:color="auto"/>
                    <w:left w:val="none" w:sz="0" w:space="0" w:color="auto"/>
                    <w:bottom w:val="none" w:sz="0" w:space="0" w:color="auto"/>
                    <w:right w:val="none" w:sz="0" w:space="0" w:color="auto"/>
                  </w:divBdr>
                  <w:divsChild>
                    <w:div w:id="300966701">
                      <w:marLeft w:val="0"/>
                      <w:marRight w:val="0"/>
                      <w:marTop w:val="0"/>
                      <w:marBottom w:val="0"/>
                      <w:divBdr>
                        <w:top w:val="none" w:sz="0" w:space="0" w:color="auto"/>
                        <w:left w:val="none" w:sz="0" w:space="0" w:color="auto"/>
                        <w:bottom w:val="none" w:sz="0" w:space="0" w:color="auto"/>
                        <w:right w:val="none" w:sz="0" w:space="0" w:color="auto"/>
                      </w:divBdr>
                    </w:div>
                  </w:divsChild>
                </w:div>
                <w:div w:id="934481043">
                  <w:marLeft w:val="0"/>
                  <w:marRight w:val="0"/>
                  <w:marTop w:val="0"/>
                  <w:marBottom w:val="0"/>
                  <w:divBdr>
                    <w:top w:val="none" w:sz="0" w:space="0" w:color="auto"/>
                    <w:left w:val="none" w:sz="0" w:space="0" w:color="auto"/>
                    <w:bottom w:val="none" w:sz="0" w:space="0" w:color="auto"/>
                    <w:right w:val="none" w:sz="0" w:space="0" w:color="auto"/>
                  </w:divBdr>
                  <w:divsChild>
                    <w:div w:id="1988434418">
                      <w:marLeft w:val="0"/>
                      <w:marRight w:val="0"/>
                      <w:marTop w:val="0"/>
                      <w:marBottom w:val="0"/>
                      <w:divBdr>
                        <w:top w:val="none" w:sz="0" w:space="0" w:color="auto"/>
                        <w:left w:val="none" w:sz="0" w:space="0" w:color="auto"/>
                        <w:bottom w:val="none" w:sz="0" w:space="0" w:color="auto"/>
                        <w:right w:val="none" w:sz="0" w:space="0" w:color="auto"/>
                      </w:divBdr>
                    </w:div>
                    <w:div w:id="1665083017">
                      <w:marLeft w:val="0"/>
                      <w:marRight w:val="0"/>
                      <w:marTop w:val="0"/>
                      <w:marBottom w:val="0"/>
                      <w:divBdr>
                        <w:top w:val="none" w:sz="0" w:space="0" w:color="auto"/>
                        <w:left w:val="none" w:sz="0" w:space="0" w:color="auto"/>
                        <w:bottom w:val="none" w:sz="0" w:space="0" w:color="auto"/>
                        <w:right w:val="none" w:sz="0" w:space="0" w:color="auto"/>
                      </w:divBdr>
                    </w:div>
                    <w:div w:id="1584682440">
                      <w:marLeft w:val="0"/>
                      <w:marRight w:val="0"/>
                      <w:marTop w:val="0"/>
                      <w:marBottom w:val="0"/>
                      <w:divBdr>
                        <w:top w:val="none" w:sz="0" w:space="0" w:color="auto"/>
                        <w:left w:val="none" w:sz="0" w:space="0" w:color="auto"/>
                        <w:bottom w:val="none" w:sz="0" w:space="0" w:color="auto"/>
                        <w:right w:val="none" w:sz="0" w:space="0" w:color="auto"/>
                      </w:divBdr>
                    </w:div>
                    <w:div w:id="1936589232">
                      <w:marLeft w:val="0"/>
                      <w:marRight w:val="0"/>
                      <w:marTop w:val="0"/>
                      <w:marBottom w:val="0"/>
                      <w:divBdr>
                        <w:top w:val="none" w:sz="0" w:space="0" w:color="auto"/>
                        <w:left w:val="none" w:sz="0" w:space="0" w:color="auto"/>
                        <w:bottom w:val="none" w:sz="0" w:space="0" w:color="auto"/>
                        <w:right w:val="none" w:sz="0" w:space="0" w:color="auto"/>
                      </w:divBdr>
                    </w:div>
                  </w:divsChild>
                </w:div>
                <w:div w:id="230965632">
                  <w:marLeft w:val="0"/>
                  <w:marRight w:val="0"/>
                  <w:marTop w:val="0"/>
                  <w:marBottom w:val="0"/>
                  <w:divBdr>
                    <w:top w:val="none" w:sz="0" w:space="0" w:color="auto"/>
                    <w:left w:val="none" w:sz="0" w:space="0" w:color="auto"/>
                    <w:bottom w:val="none" w:sz="0" w:space="0" w:color="auto"/>
                    <w:right w:val="none" w:sz="0" w:space="0" w:color="auto"/>
                  </w:divBdr>
                  <w:divsChild>
                    <w:div w:id="1859659168">
                      <w:marLeft w:val="0"/>
                      <w:marRight w:val="0"/>
                      <w:marTop w:val="0"/>
                      <w:marBottom w:val="0"/>
                      <w:divBdr>
                        <w:top w:val="none" w:sz="0" w:space="0" w:color="auto"/>
                        <w:left w:val="none" w:sz="0" w:space="0" w:color="auto"/>
                        <w:bottom w:val="none" w:sz="0" w:space="0" w:color="auto"/>
                        <w:right w:val="none" w:sz="0" w:space="0" w:color="auto"/>
                      </w:divBdr>
                    </w:div>
                    <w:div w:id="187838524">
                      <w:marLeft w:val="0"/>
                      <w:marRight w:val="0"/>
                      <w:marTop w:val="0"/>
                      <w:marBottom w:val="0"/>
                      <w:divBdr>
                        <w:top w:val="none" w:sz="0" w:space="0" w:color="auto"/>
                        <w:left w:val="none" w:sz="0" w:space="0" w:color="auto"/>
                        <w:bottom w:val="none" w:sz="0" w:space="0" w:color="auto"/>
                        <w:right w:val="none" w:sz="0" w:space="0" w:color="auto"/>
                      </w:divBdr>
                    </w:div>
                  </w:divsChild>
                </w:div>
                <w:div w:id="1010640348">
                  <w:marLeft w:val="0"/>
                  <w:marRight w:val="0"/>
                  <w:marTop w:val="0"/>
                  <w:marBottom w:val="0"/>
                  <w:divBdr>
                    <w:top w:val="none" w:sz="0" w:space="0" w:color="auto"/>
                    <w:left w:val="none" w:sz="0" w:space="0" w:color="auto"/>
                    <w:bottom w:val="none" w:sz="0" w:space="0" w:color="auto"/>
                    <w:right w:val="none" w:sz="0" w:space="0" w:color="auto"/>
                  </w:divBdr>
                  <w:divsChild>
                    <w:div w:id="1845168334">
                      <w:marLeft w:val="0"/>
                      <w:marRight w:val="0"/>
                      <w:marTop w:val="0"/>
                      <w:marBottom w:val="0"/>
                      <w:divBdr>
                        <w:top w:val="none" w:sz="0" w:space="0" w:color="auto"/>
                        <w:left w:val="none" w:sz="0" w:space="0" w:color="auto"/>
                        <w:bottom w:val="none" w:sz="0" w:space="0" w:color="auto"/>
                        <w:right w:val="none" w:sz="0" w:space="0" w:color="auto"/>
                      </w:divBdr>
                    </w:div>
                    <w:div w:id="1172187607">
                      <w:marLeft w:val="0"/>
                      <w:marRight w:val="0"/>
                      <w:marTop w:val="0"/>
                      <w:marBottom w:val="0"/>
                      <w:divBdr>
                        <w:top w:val="none" w:sz="0" w:space="0" w:color="auto"/>
                        <w:left w:val="none" w:sz="0" w:space="0" w:color="auto"/>
                        <w:bottom w:val="none" w:sz="0" w:space="0" w:color="auto"/>
                        <w:right w:val="none" w:sz="0" w:space="0" w:color="auto"/>
                      </w:divBdr>
                    </w:div>
                  </w:divsChild>
                </w:div>
                <w:div w:id="2000376356">
                  <w:marLeft w:val="0"/>
                  <w:marRight w:val="0"/>
                  <w:marTop w:val="0"/>
                  <w:marBottom w:val="0"/>
                  <w:divBdr>
                    <w:top w:val="none" w:sz="0" w:space="0" w:color="auto"/>
                    <w:left w:val="none" w:sz="0" w:space="0" w:color="auto"/>
                    <w:bottom w:val="none" w:sz="0" w:space="0" w:color="auto"/>
                    <w:right w:val="none" w:sz="0" w:space="0" w:color="auto"/>
                  </w:divBdr>
                  <w:divsChild>
                    <w:div w:id="65884906">
                      <w:marLeft w:val="0"/>
                      <w:marRight w:val="0"/>
                      <w:marTop w:val="0"/>
                      <w:marBottom w:val="0"/>
                      <w:divBdr>
                        <w:top w:val="none" w:sz="0" w:space="0" w:color="auto"/>
                        <w:left w:val="none" w:sz="0" w:space="0" w:color="auto"/>
                        <w:bottom w:val="none" w:sz="0" w:space="0" w:color="auto"/>
                        <w:right w:val="none" w:sz="0" w:space="0" w:color="auto"/>
                      </w:divBdr>
                    </w:div>
                  </w:divsChild>
                </w:div>
                <w:div w:id="108857512">
                  <w:marLeft w:val="0"/>
                  <w:marRight w:val="0"/>
                  <w:marTop w:val="0"/>
                  <w:marBottom w:val="0"/>
                  <w:divBdr>
                    <w:top w:val="none" w:sz="0" w:space="0" w:color="auto"/>
                    <w:left w:val="none" w:sz="0" w:space="0" w:color="auto"/>
                    <w:bottom w:val="none" w:sz="0" w:space="0" w:color="auto"/>
                    <w:right w:val="none" w:sz="0" w:space="0" w:color="auto"/>
                  </w:divBdr>
                  <w:divsChild>
                    <w:div w:id="1188954929">
                      <w:marLeft w:val="0"/>
                      <w:marRight w:val="0"/>
                      <w:marTop w:val="0"/>
                      <w:marBottom w:val="0"/>
                      <w:divBdr>
                        <w:top w:val="none" w:sz="0" w:space="0" w:color="auto"/>
                        <w:left w:val="none" w:sz="0" w:space="0" w:color="auto"/>
                        <w:bottom w:val="none" w:sz="0" w:space="0" w:color="auto"/>
                        <w:right w:val="none" w:sz="0" w:space="0" w:color="auto"/>
                      </w:divBdr>
                    </w:div>
                  </w:divsChild>
                </w:div>
                <w:div w:id="1957565828">
                  <w:marLeft w:val="0"/>
                  <w:marRight w:val="0"/>
                  <w:marTop w:val="0"/>
                  <w:marBottom w:val="0"/>
                  <w:divBdr>
                    <w:top w:val="none" w:sz="0" w:space="0" w:color="auto"/>
                    <w:left w:val="none" w:sz="0" w:space="0" w:color="auto"/>
                    <w:bottom w:val="none" w:sz="0" w:space="0" w:color="auto"/>
                    <w:right w:val="none" w:sz="0" w:space="0" w:color="auto"/>
                  </w:divBdr>
                  <w:divsChild>
                    <w:div w:id="649679705">
                      <w:marLeft w:val="0"/>
                      <w:marRight w:val="0"/>
                      <w:marTop w:val="0"/>
                      <w:marBottom w:val="0"/>
                      <w:divBdr>
                        <w:top w:val="none" w:sz="0" w:space="0" w:color="auto"/>
                        <w:left w:val="none" w:sz="0" w:space="0" w:color="auto"/>
                        <w:bottom w:val="none" w:sz="0" w:space="0" w:color="auto"/>
                        <w:right w:val="none" w:sz="0" w:space="0" w:color="auto"/>
                      </w:divBdr>
                    </w:div>
                    <w:div w:id="508569591">
                      <w:marLeft w:val="0"/>
                      <w:marRight w:val="0"/>
                      <w:marTop w:val="0"/>
                      <w:marBottom w:val="0"/>
                      <w:divBdr>
                        <w:top w:val="none" w:sz="0" w:space="0" w:color="auto"/>
                        <w:left w:val="none" w:sz="0" w:space="0" w:color="auto"/>
                        <w:bottom w:val="none" w:sz="0" w:space="0" w:color="auto"/>
                        <w:right w:val="none" w:sz="0" w:space="0" w:color="auto"/>
                      </w:divBdr>
                    </w:div>
                    <w:div w:id="1346592980">
                      <w:marLeft w:val="0"/>
                      <w:marRight w:val="0"/>
                      <w:marTop w:val="0"/>
                      <w:marBottom w:val="0"/>
                      <w:divBdr>
                        <w:top w:val="none" w:sz="0" w:space="0" w:color="auto"/>
                        <w:left w:val="none" w:sz="0" w:space="0" w:color="auto"/>
                        <w:bottom w:val="none" w:sz="0" w:space="0" w:color="auto"/>
                        <w:right w:val="none" w:sz="0" w:space="0" w:color="auto"/>
                      </w:divBdr>
                    </w:div>
                    <w:div w:id="1385182788">
                      <w:marLeft w:val="0"/>
                      <w:marRight w:val="0"/>
                      <w:marTop w:val="0"/>
                      <w:marBottom w:val="0"/>
                      <w:divBdr>
                        <w:top w:val="none" w:sz="0" w:space="0" w:color="auto"/>
                        <w:left w:val="none" w:sz="0" w:space="0" w:color="auto"/>
                        <w:bottom w:val="none" w:sz="0" w:space="0" w:color="auto"/>
                        <w:right w:val="none" w:sz="0" w:space="0" w:color="auto"/>
                      </w:divBdr>
                    </w:div>
                  </w:divsChild>
                </w:div>
                <w:div w:id="1384596859">
                  <w:marLeft w:val="0"/>
                  <w:marRight w:val="0"/>
                  <w:marTop w:val="0"/>
                  <w:marBottom w:val="0"/>
                  <w:divBdr>
                    <w:top w:val="none" w:sz="0" w:space="0" w:color="auto"/>
                    <w:left w:val="none" w:sz="0" w:space="0" w:color="auto"/>
                    <w:bottom w:val="none" w:sz="0" w:space="0" w:color="auto"/>
                    <w:right w:val="none" w:sz="0" w:space="0" w:color="auto"/>
                  </w:divBdr>
                  <w:divsChild>
                    <w:div w:id="2039692710">
                      <w:marLeft w:val="0"/>
                      <w:marRight w:val="0"/>
                      <w:marTop w:val="0"/>
                      <w:marBottom w:val="0"/>
                      <w:divBdr>
                        <w:top w:val="none" w:sz="0" w:space="0" w:color="auto"/>
                        <w:left w:val="none" w:sz="0" w:space="0" w:color="auto"/>
                        <w:bottom w:val="none" w:sz="0" w:space="0" w:color="auto"/>
                        <w:right w:val="none" w:sz="0" w:space="0" w:color="auto"/>
                      </w:divBdr>
                    </w:div>
                    <w:div w:id="482501878">
                      <w:marLeft w:val="0"/>
                      <w:marRight w:val="0"/>
                      <w:marTop w:val="0"/>
                      <w:marBottom w:val="0"/>
                      <w:divBdr>
                        <w:top w:val="none" w:sz="0" w:space="0" w:color="auto"/>
                        <w:left w:val="none" w:sz="0" w:space="0" w:color="auto"/>
                        <w:bottom w:val="none" w:sz="0" w:space="0" w:color="auto"/>
                        <w:right w:val="none" w:sz="0" w:space="0" w:color="auto"/>
                      </w:divBdr>
                    </w:div>
                  </w:divsChild>
                </w:div>
                <w:div w:id="1740323192">
                  <w:marLeft w:val="0"/>
                  <w:marRight w:val="0"/>
                  <w:marTop w:val="0"/>
                  <w:marBottom w:val="0"/>
                  <w:divBdr>
                    <w:top w:val="none" w:sz="0" w:space="0" w:color="auto"/>
                    <w:left w:val="none" w:sz="0" w:space="0" w:color="auto"/>
                    <w:bottom w:val="none" w:sz="0" w:space="0" w:color="auto"/>
                    <w:right w:val="none" w:sz="0" w:space="0" w:color="auto"/>
                  </w:divBdr>
                  <w:divsChild>
                    <w:div w:id="592712387">
                      <w:marLeft w:val="0"/>
                      <w:marRight w:val="0"/>
                      <w:marTop w:val="0"/>
                      <w:marBottom w:val="0"/>
                      <w:divBdr>
                        <w:top w:val="none" w:sz="0" w:space="0" w:color="auto"/>
                        <w:left w:val="none" w:sz="0" w:space="0" w:color="auto"/>
                        <w:bottom w:val="none" w:sz="0" w:space="0" w:color="auto"/>
                        <w:right w:val="none" w:sz="0" w:space="0" w:color="auto"/>
                      </w:divBdr>
                    </w:div>
                    <w:div w:id="1591086105">
                      <w:marLeft w:val="0"/>
                      <w:marRight w:val="0"/>
                      <w:marTop w:val="0"/>
                      <w:marBottom w:val="0"/>
                      <w:divBdr>
                        <w:top w:val="none" w:sz="0" w:space="0" w:color="auto"/>
                        <w:left w:val="none" w:sz="0" w:space="0" w:color="auto"/>
                        <w:bottom w:val="none" w:sz="0" w:space="0" w:color="auto"/>
                        <w:right w:val="none" w:sz="0" w:space="0" w:color="auto"/>
                      </w:divBdr>
                    </w:div>
                    <w:div w:id="646785639">
                      <w:marLeft w:val="0"/>
                      <w:marRight w:val="0"/>
                      <w:marTop w:val="0"/>
                      <w:marBottom w:val="0"/>
                      <w:divBdr>
                        <w:top w:val="none" w:sz="0" w:space="0" w:color="auto"/>
                        <w:left w:val="none" w:sz="0" w:space="0" w:color="auto"/>
                        <w:bottom w:val="none" w:sz="0" w:space="0" w:color="auto"/>
                        <w:right w:val="none" w:sz="0" w:space="0" w:color="auto"/>
                      </w:divBdr>
                    </w:div>
                    <w:div w:id="1387535763">
                      <w:marLeft w:val="0"/>
                      <w:marRight w:val="0"/>
                      <w:marTop w:val="0"/>
                      <w:marBottom w:val="0"/>
                      <w:divBdr>
                        <w:top w:val="none" w:sz="0" w:space="0" w:color="auto"/>
                        <w:left w:val="none" w:sz="0" w:space="0" w:color="auto"/>
                        <w:bottom w:val="none" w:sz="0" w:space="0" w:color="auto"/>
                        <w:right w:val="none" w:sz="0" w:space="0" w:color="auto"/>
                      </w:divBdr>
                    </w:div>
                    <w:div w:id="622153215">
                      <w:marLeft w:val="0"/>
                      <w:marRight w:val="0"/>
                      <w:marTop w:val="0"/>
                      <w:marBottom w:val="0"/>
                      <w:divBdr>
                        <w:top w:val="none" w:sz="0" w:space="0" w:color="auto"/>
                        <w:left w:val="none" w:sz="0" w:space="0" w:color="auto"/>
                        <w:bottom w:val="none" w:sz="0" w:space="0" w:color="auto"/>
                        <w:right w:val="none" w:sz="0" w:space="0" w:color="auto"/>
                      </w:divBdr>
                    </w:div>
                    <w:div w:id="1212617031">
                      <w:marLeft w:val="0"/>
                      <w:marRight w:val="0"/>
                      <w:marTop w:val="0"/>
                      <w:marBottom w:val="0"/>
                      <w:divBdr>
                        <w:top w:val="none" w:sz="0" w:space="0" w:color="auto"/>
                        <w:left w:val="none" w:sz="0" w:space="0" w:color="auto"/>
                        <w:bottom w:val="none" w:sz="0" w:space="0" w:color="auto"/>
                        <w:right w:val="none" w:sz="0" w:space="0" w:color="auto"/>
                      </w:divBdr>
                    </w:div>
                  </w:divsChild>
                </w:div>
                <w:div w:id="781924683">
                  <w:marLeft w:val="0"/>
                  <w:marRight w:val="0"/>
                  <w:marTop w:val="0"/>
                  <w:marBottom w:val="0"/>
                  <w:divBdr>
                    <w:top w:val="none" w:sz="0" w:space="0" w:color="auto"/>
                    <w:left w:val="none" w:sz="0" w:space="0" w:color="auto"/>
                    <w:bottom w:val="none" w:sz="0" w:space="0" w:color="auto"/>
                    <w:right w:val="none" w:sz="0" w:space="0" w:color="auto"/>
                  </w:divBdr>
                  <w:divsChild>
                    <w:div w:id="1294553865">
                      <w:marLeft w:val="0"/>
                      <w:marRight w:val="0"/>
                      <w:marTop w:val="0"/>
                      <w:marBottom w:val="0"/>
                      <w:divBdr>
                        <w:top w:val="none" w:sz="0" w:space="0" w:color="auto"/>
                        <w:left w:val="none" w:sz="0" w:space="0" w:color="auto"/>
                        <w:bottom w:val="none" w:sz="0" w:space="0" w:color="auto"/>
                        <w:right w:val="none" w:sz="0" w:space="0" w:color="auto"/>
                      </w:divBdr>
                    </w:div>
                  </w:divsChild>
                </w:div>
                <w:div w:id="1623877572">
                  <w:marLeft w:val="0"/>
                  <w:marRight w:val="0"/>
                  <w:marTop w:val="0"/>
                  <w:marBottom w:val="0"/>
                  <w:divBdr>
                    <w:top w:val="none" w:sz="0" w:space="0" w:color="auto"/>
                    <w:left w:val="none" w:sz="0" w:space="0" w:color="auto"/>
                    <w:bottom w:val="none" w:sz="0" w:space="0" w:color="auto"/>
                    <w:right w:val="none" w:sz="0" w:space="0" w:color="auto"/>
                  </w:divBdr>
                  <w:divsChild>
                    <w:div w:id="99179058">
                      <w:marLeft w:val="0"/>
                      <w:marRight w:val="0"/>
                      <w:marTop w:val="0"/>
                      <w:marBottom w:val="0"/>
                      <w:divBdr>
                        <w:top w:val="none" w:sz="0" w:space="0" w:color="auto"/>
                        <w:left w:val="none" w:sz="0" w:space="0" w:color="auto"/>
                        <w:bottom w:val="none" w:sz="0" w:space="0" w:color="auto"/>
                        <w:right w:val="none" w:sz="0" w:space="0" w:color="auto"/>
                      </w:divBdr>
                    </w:div>
                  </w:divsChild>
                </w:div>
                <w:div w:id="2041588427">
                  <w:marLeft w:val="0"/>
                  <w:marRight w:val="0"/>
                  <w:marTop w:val="0"/>
                  <w:marBottom w:val="0"/>
                  <w:divBdr>
                    <w:top w:val="none" w:sz="0" w:space="0" w:color="auto"/>
                    <w:left w:val="none" w:sz="0" w:space="0" w:color="auto"/>
                    <w:bottom w:val="none" w:sz="0" w:space="0" w:color="auto"/>
                    <w:right w:val="none" w:sz="0" w:space="0" w:color="auto"/>
                  </w:divBdr>
                  <w:divsChild>
                    <w:div w:id="1808887382">
                      <w:marLeft w:val="0"/>
                      <w:marRight w:val="0"/>
                      <w:marTop w:val="0"/>
                      <w:marBottom w:val="0"/>
                      <w:divBdr>
                        <w:top w:val="none" w:sz="0" w:space="0" w:color="auto"/>
                        <w:left w:val="none" w:sz="0" w:space="0" w:color="auto"/>
                        <w:bottom w:val="none" w:sz="0" w:space="0" w:color="auto"/>
                        <w:right w:val="none" w:sz="0" w:space="0" w:color="auto"/>
                      </w:divBdr>
                    </w:div>
                    <w:div w:id="2044212930">
                      <w:marLeft w:val="0"/>
                      <w:marRight w:val="0"/>
                      <w:marTop w:val="0"/>
                      <w:marBottom w:val="0"/>
                      <w:divBdr>
                        <w:top w:val="none" w:sz="0" w:space="0" w:color="auto"/>
                        <w:left w:val="none" w:sz="0" w:space="0" w:color="auto"/>
                        <w:bottom w:val="none" w:sz="0" w:space="0" w:color="auto"/>
                        <w:right w:val="none" w:sz="0" w:space="0" w:color="auto"/>
                      </w:divBdr>
                    </w:div>
                    <w:div w:id="1411080294">
                      <w:marLeft w:val="0"/>
                      <w:marRight w:val="0"/>
                      <w:marTop w:val="0"/>
                      <w:marBottom w:val="0"/>
                      <w:divBdr>
                        <w:top w:val="none" w:sz="0" w:space="0" w:color="auto"/>
                        <w:left w:val="none" w:sz="0" w:space="0" w:color="auto"/>
                        <w:bottom w:val="none" w:sz="0" w:space="0" w:color="auto"/>
                        <w:right w:val="none" w:sz="0" w:space="0" w:color="auto"/>
                      </w:divBdr>
                    </w:div>
                    <w:div w:id="1411779411">
                      <w:marLeft w:val="0"/>
                      <w:marRight w:val="0"/>
                      <w:marTop w:val="0"/>
                      <w:marBottom w:val="0"/>
                      <w:divBdr>
                        <w:top w:val="none" w:sz="0" w:space="0" w:color="auto"/>
                        <w:left w:val="none" w:sz="0" w:space="0" w:color="auto"/>
                        <w:bottom w:val="none" w:sz="0" w:space="0" w:color="auto"/>
                        <w:right w:val="none" w:sz="0" w:space="0" w:color="auto"/>
                      </w:divBdr>
                    </w:div>
                  </w:divsChild>
                </w:div>
                <w:div w:id="256865520">
                  <w:marLeft w:val="0"/>
                  <w:marRight w:val="0"/>
                  <w:marTop w:val="0"/>
                  <w:marBottom w:val="0"/>
                  <w:divBdr>
                    <w:top w:val="none" w:sz="0" w:space="0" w:color="auto"/>
                    <w:left w:val="none" w:sz="0" w:space="0" w:color="auto"/>
                    <w:bottom w:val="none" w:sz="0" w:space="0" w:color="auto"/>
                    <w:right w:val="none" w:sz="0" w:space="0" w:color="auto"/>
                  </w:divBdr>
                  <w:divsChild>
                    <w:div w:id="883715146">
                      <w:marLeft w:val="0"/>
                      <w:marRight w:val="0"/>
                      <w:marTop w:val="0"/>
                      <w:marBottom w:val="0"/>
                      <w:divBdr>
                        <w:top w:val="none" w:sz="0" w:space="0" w:color="auto"/>
                        <w:left w:val="none" w:sz="0" w:space="0" w:color="auto"/>
                        <w:bottom w:val="none" w:sz="0" w:space="0" w:color="auto"/>
                        <w:right w:val="none" w:sz="0" w:space="0" w:color="auto"/>
                      </w:divBdr>
                    </w:div>
                    <w:div w:id="145517929">
                      <w:marLeft w:val="0"/>
                      <w:marRight w:val="0"/>
                      <w:marTop w:val="0"/>
                      <w:marBottom w:val="0"/>
                      <w:divBdr>
                        <w:top w:val="none" w:sz="0" w:space="0" w:color="auto"/>
                        <w:left w:val="none" w:sz="0" w:space="0" w:color="auto"/>
                        <w:bottom w:val="none" w:sz="0" w:space="0" w:color="auto"/>
                        <w:right w:val="none" w:sz="0" w:space="0" w:color="auto"/>
                      </w:divBdr>
                    </w:div>
                  </w:divsChild>
                </w:div>
                <w:div w:id="1836457966">
                  <w:marLeft w:val="0"/>
                  <w:marRight w:val="0"/>
                  <w:marTop w:val="0"/>
                  <w:marBottom w:val="0"/>
                  <w:divBdr>
                    <w:top w:val="none" w:sz="0" w:space="0" w:color="auto"/>
                    <w:left w:val="none" w:sz="0" w:space="0" w:color="auto"/>
                    <w:bottom w:val="none" w:sz="0" w:space="0" w:color="auto"/>
                    <w:right w:val="none" w:sz="0" w:space="0" w:color="auto"/>
                  </w:divBdr>
                  <w:divsChild>
                    <w:div w:id="1364792033">
                      <w:marLeft w:val="0"/>
                      <w:marRight w:val="0"/>
                      <w:marTop w:val="0"/>
                      <w:marBottom w:val="0"/>
                      <w:divBdr>
                        <w:top w:val="none" w:sz="0" w:space="0" w:color="auto"/>
                        <w:left w:val="none" w:sz="0" w:space="0" w:color="auto"/>
                        <w:bottom w:val="none" w:sz="0" w:space="0" w:color="auto"/>
                        <w:right w:val="none" w:sz="0" w:space="0" w:color="auto"/>
                      </w:divBdr>
                    </w:div>
                    <w:div w:id="15368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8063">
          <w:marLeft w:val="0"/>
          <w:marRight w:val="0"/>
          <w:marTop w:val="0"/>
          <w:marBottom w:val="0"/>
          <w:divBdr>
            <w:top w:val="none" w:sz="0" w:space="0" w:color="auto"/>
            <w:left w:val="none" w:sz="0" w:space="0" w:color="auto"/>
            <w:bottom w:val="none" w:sz="0" w:space="0" w:color="auto"/>
            <w:right w:val="none" w:sz="0" w:space="0" w:color="auto"/>
          </w:divBdr>
        </w:div>
        <w:div w:id="2031686758">
          <w:marLeft w:val="0"/>
          <w:marRight w:val="0"/>
          <w:marTop w:val="0"/>
          <w:marBottom w:val="0"/>
          <w:divBdr>
            <w:top w:val="none" w:sz="0" w:space="0" w:color="auto"/>
            <w:left w:val="none" w:sz="0" w:space="0" w:color="auto"/>
            <w:bottom w:val="none" w:sz="0" w:space="0" w:color="auto"/>
            <w:right w:val="none" w:sz="0" w:space="0" w:color="auto"/>
          </w:divBdr>
        </w:div>
      </w:divsChild>
    </w:div>
    <w:div w:id="564724634">
      <w:bodyDiv w:val="1"/>
      <w:marLeft w:val="0"/>
      <w:marRight w:val="0"/>
      <w:marTop w:val="0"/>
      <w:marBottom w:val="0"/>
      <w:divBdr>
        <w:top w:val="none" w:sz="0" w:space="0" w:color="auto"/>
        <w:left w:val="none" w:sz="0" w:space="0" w:color="auto"/>
        <w:bottom w:val="none" w:sz="0" w:space="0" w:color="auto"/>
        <w:right w:val="none" w:sz="0" w:space="0" w:color="auto"/>
      </w:divBdr>
      <w:divsChild>
        <w:div w:id="491682419">
          <w:marLeft w:val="360"/>
          <w:marRight w:val="0"/>
          <w:marTop w:val="200"/>
          <w:marBottom w:val="0"/>
          <w:divBdr>
            <w:top w:val="none" w:sz="0" w:space="0" w:color="auto"/>
            <w:left w:val="none" w:sz="0" w:space="0" w:color="auto"/>
            <w:bottom w:val="none" w:sz="0" w:space="0" w:color="auto"/>
            <w:right w:val="none" w:sz="0" w:space="0" w:color="auto"/>
          </w:divBdr>
        </w:div>
        <w:div w:id="312949279">
          <w:marLeft w:val="360"/>
          <w:marRight w:val="0"/>
          <w:marTop w:val="200"/>
          <w:marBottom w:val="0"/>
          <w:divBdr>
            <w:top w:val="none" w:sz="0" w:space="0" w:color="auto"/>
            <w:left w:val="none" w:sz="0" w:space="0" w:color="auto"/>
            <w:bottom w:val="none" w:sz="0" w:space="0" w:color="auto"/>
            <w:right w:val="none" w:sz="0" w:space="0" w:color="auto"/>
          </w:divBdr>
        </w:div>
        <w:div w:id="188297000">
          <w:marLeft w:val="360"/>
          <w:marRight w:val="0"/>
          <w:marTop w:val="200"/>
          <w:marBottom w:val="0"/>
          <w:divBdr>
            <w:top w:val="none" w:sz="0" w:space="0" w:color="auto"/>
            <w:left w:val="none" w:sz="0" w:space="0" w:color="auto"/>
            <w:bottom w:val="none" w:sz="0" w:space="0" w:color="auto"/>
            <w:right w:val="none" w:sz="0" w:space="0" w:color="auto"/>
          </w:divBdr>
        </w:div>
      </w:divsChild>
    </w:div>
    <w:div w:id="832142503">
      <w:bodyDiv w:val="1"/>
      <w:marLeft w:val="0"/>
      <w:marRight w:val="0"/>
      <w:marTop w:val="0"/>
      <w:marBottom w:val="0"/>
      <w:divBdr>
        <w:top w:val="none" w:sz="0" w:space="0" w:color="auto"/>
        <w:left w:val="none" w:sz="0" w:space="0" w:color="auto"/>
        <w:bottom w:val="none" w:sz="0" w:space="0" w:color="auto"/>
        <w:right w:val="none" w:sz="0" w:space="0" w:color="auto"/>
      </w:divBdr>
    </w:div>
    <w:div w:id="863519198">
      <w:bodyDiv w:val="1"/>
      <w:marLeft w:val="0"/>
      <w:marRight w:val="0"/>
      <w:marTop w:val="0"/>
      <w:marBottom w:val="0"/>
      <w:divBdr>
        <w:top w:val="none" w:sz="0" w:space="0" w:color="auto"/>
        <w:left w:val="none" w:sz="0" w:space="0" w:color="auto"/>
        <w:bottom w:val="none" w:sz="0" w:space="0" w:color="auto"/>
        <w:right w:val="none" w:sz="0" w:space="0" w:color="auto"/>
      </w:divBdr>
    </w:div>
    <w:div w:id="899439408">
      <w:bodyDiv w:val="1"/>
      <w:marLeft w:val="0"/>
      <w:marRight w:val="0"/>
      <w:marTop w:val="0"/>
      <w:marBottom w:val="0"/>
      <w:divBdr>
        <w:top w:val="none" w:sz="0" w:space="0" w:color="auto"/>
        <w:left w:val="none" w:sz="0" w:space="0" w:color="auto"/>
        <w:bottom w:val="none" w:sz="0" w:space="0" w:color="auto"/>
        <w:right w:val="none" w:sz="0" w:space="0" w:color="auto"/>
      </w:divBdr>
    </w:div>
    <w:div w:id="907494347">
      <w:bodyDiv w:val="1"/>
      <w:marLeft w:val="0"/>
      <w:marRight w:val="0"/>
      <w:marTop w:val="0"/>
      <w:marBottom w:val="0"/>
      <w:divBdr>
        <w:top w:val="none" w:sz="0" w:space="0" w:color="auto"/>
        <w:left w:val="none" w:sz="0" w:space="0" w:color="auto"/>
        <w:bottom w:val="none" w:sz="0" w:space="0" w:color="auto"/>
        <w:right w:val="none" w:sz="0" w:space="0" w:color="auto"/>
      </w:divBdr>
    </w:div>
    <w:div w:id="911158853">
      <w:bodyDiv w:val="1"/>
      <w:marLeft w:val="0"/>
      <w:marRight w:val="0"/>
      <w:marTop w:val="0"/>
      <w:marBottom w:val="0"/>
      <w:divBdr>
        <w:top w:val="none" w:sz="0" w:space="0" w:color="auto"/>
        <w:left w:val="none" w:sz="0" w:space="0" w:color="auto"/>
        <w:bottom w:val="none" w:sz="0" w:space="0" w:color="auto"/>
        <w:right w:val="none" w:sz="0" w:space="0" w:color="auto"/>
      </w:divBdr>
    </w:div>
    <w:div w:id="920990713">
      <w:bodyDiv w:val="1"/>
      <w:marLeft w:val="0"/>
      <w:marRight w:val="0"/>
      <w:marTop w:val="0"/>
      <w:marBottom w:val="0"/>
      <w:divBdr>
        <w:top w:val="none" w:sz="0" w:space="0" w:color="auto"/>
        <w:left w:val="none" w:sz="0" w:space="0" w:color="auto"/>
        <w:bottom w:val="none" w:sz="0" w:space="0" w:color="auto"/>
        <w:right w:val="none" w:sz="0" w:space="0" w:color="auto"/>
      </w:divBdr>
    </w:div>
    <w:div w:id="928123497">
      <w:bodyDiv w:val="1"/>
      <w:marLeft w:val="0"/>
      <w:marRight w:val="0"/>
      <w:marTop w:val="0"/>
      <w:marBottom w:val="0"/>
      <w:divBdr>
        <w:top w:val="none" w:sz="0" w:space="0" w:color="auto"/>
        <w:left w:val="none" w:sz="0" w:space="0" w:color="auto"/>
        <w:bottom w:val="none" w:sz="0" w:space="0" w:color="auto"/>
        <w:right w:val="none" w:sz="0" w:space="0" w:color="auto"/>
      </w:divBdr>
    </w:div>
    <w:div w:id="931357479">
      <w:bodyDiv w:val="1"/>
      <w:marLeft w:val="0"/>
      <w:marRight w:val="0"/>
      <w:marTop w:val="0"/>
      <w:marBottom w:val="0"/>
      <w:divBdr>
        <w:top w:val="none" w:sz="0" w:space="0" w:color="auto"/>
        <w:left w:val="none" w:sz="0" w:space="0" w:color="auto"/>
        <w:bottom w:val="none" w:sz="0" w:space="0" w:color="auto"/>
        <w:right w:val="none" w:sz="0" w:space="0" w:color="auto"/>
      </w:divBdr>
    </w:div>
    <w:div w:id="940643097">
      <w:bodyDiv w:val="1"/>
      <w:marLeft w:val="0"/>
      <w:marRight w:val="0"/>
      <w:marTop w:val="0"/>
      <w:marBottom w:val="0"/>
      <w:divBdr>
        <w:top w:val="none" w:sz="0" w:space="0" w:color="auto"/>
        <w:left w:val="none" w:sz="0" w:space="0" w:color="auto"/>
        <w:bottom w:val="none" w:sz="0" w:space="0" w:color="auto"/>
        <w:right w:val="none" w:sz="0" w:space="0" w:color="auto"/>
      </w:divBdr>
    </w:div>
    <w:div w:id="953749507">
      <w:bodyDiv w:val="1"/>
      <w:marLeft w:val="0"/>
      <w:marRight w:val="0"/>
      <w:marTop w:val="0"/>
      <w:marBottom w:val="0"/>
      <w:divBdr>
        <w:top w:val="none" w:sz="0" w:space="0" w:color="auto"/>
        <w:left w:val="none" w:sz="0" w:space="0" w:color="auto"/>
        <w:bottom w:val="none" w:sz="0" w:space="0" w:color="auto"/>
        <w:right w:val="none" w:sz="0" w:space="0" w:color="auto"/>
      </w:divBdr>
    </w:div>
    <w:div w:id="964388838">
      <w:bodyDiv w:val="1"/>
      <w:marLeft w:val="0"/>
      <w:marRight w:val="0"/>
      <w:marTop w:val="0"/>
      <w:marBottom w:val="0"/>
      <w:divBdr>
        <w:top w:val="none" w:sz="0" w:space="0" w:color="auto"/>
        <w:left w:val="none" w:sz="0" w:space="0" w:color="auto"/>
        <w:bottom w:val="none" w:sz="0" w:space="0" w:color="auto"/>
        <w:right w:val="none" w:sz="0" w:space="0" w:color="auto"/>
      </w:divBdr>
    </w:div>
    <w:div w:id="974218753">
      <w:bodyDiv w:val="1"/>
      <w:marLeft w:val="0"/>
      <w:marRight w:val="0"/>
      <w:marTop w:val="0"/>
      <w:marBottom w:val="0"/>
      <w:divBdr>
        <w:top w:val="none" w:sz="0" w:space="0" w:color="auto"/>
        <w:left w:val="none" w:sz="0" w:space="0" w:color="auto"/>
        <w:bottom w:val="none" w:sz="0" w:space="0" w:color="auto"/>
        <w:right w:val="none" w:sz="0" w:space="0" w:color="auto"/>
      </w:divBdr>
    </w:div>
    <w:div w:id="1024215167">
      <w:bodyDiv w:val="1"/>
      <w:marLeft w:val="0"/>
      <w:marRight w:val="0"/>
      <w:marTop w:val="0"/>
      <w:marBottom w:val="0"/>
      <w:divBdr>
        <w:top w:val="none" w:sz="0" w:space="0" w:color="auto"/>
        <w:left w:val="none" w:sz="0" w:space="0" w:color="auto"/>
        <w:bottom w:val="none" w:sz="0" w:space="0" w:color="auto"/>
        <w:right w:val="none" w:sz="0" w:space="0" w:color="auto"/>
      </w:divBdr>
    </w:div>
    <w:div w:id="1024282125">
      <w:bodyDiv w:val="1"/>
      <w:marLeft w:val="0"/>
      <w:marRight w:val="0"/>
      <w:marTop w:val="0"/>
      <w:marBottom w:val="0"/>
      <w:divBdr>
        <w:top w:val="none" w:sz="0" w:space="0" w:color="auto"/>
        <w:left w:val="none" w:sz="0" w:space="0" w:color="auto"/>
        <w:bottom w:val="none" w:sz="0" w:space="0" w:color="auto"/>
        <w:right w:val="none" w:sz="0" w:space="0" w:color="auto"/>
      </w:divBdr>
    </w:div>
    <w:div w:id="1085304775">
      <w:bodyDiv w:val="1"/>
      <w:marLeft w:val="0"/>
      <w:marRight w:val="0"/>
      <w:marTop w:val="0"/>
      <w:marBottom w:val="0"/>
      <w:divBdr>
        <w:top w:val="none" w:sz="0" w:space="0" w:color="auto"/>
        <w:left w:val="none" w:sz="0" w:space="0" w:color="auto"/>
        <w:bottom w:val="none" w:sz="0" w:space="0" w:color="auto"/>
        <w:right w:val="none" w:sz="0" w:space="0" w:color="auto"/>
      </w:divBdr>
    </w:div>
    <w:div w:id="1122771440">
      <w:bodyDiv w:val="1"/>
      <w:marLeft w:val="0"/>
      <w:marRight w:val="0"/>
      <w:marTop w:val="0"/>
      <w:marBottom w:val="0"/>
      <w:divBdr>
        <w:top w:val="none" w:sz="0" w:space="0" w:color="auto"/>
        <w:left w:val="none" w:sz="0" w:space="0" w:color="auto"/>
        <w:bottom w:val="none" w:sz="0" w:space="0" w:color="auto"/>
        <w:right w:val="none" w:sz="0" w:space="0" w:color="auto"/>
      </w:divBdr>
    </w:div>
    <w:div w:id="1130898860">
      <w:bodyDiv w:val="1"/>
      <w:marLeft w:val="0"/>
      <w:marRight w:val="0"/>
      <w:marTop w:val="0"/>
      <w:marBottom w:val="0"/>
      <w:divBdr>
        <w:top w:val="none" w:sz="0" w:space="0" w:color="auto"/>
        <w:left w:val="none" w:sz="0" w:space="0" w:color="auto"/>
        <w:bottom w:val="none" w:sz="0" w:space="0" w:color="auto"/>
        <w:right w:val="none" w:sz="0" w:space="0" w:color="auto"/>
      </w:divBdr>
    </w:div>
    <w:div w:id="1149588418">
      <w:bodyDiv w:val="1"/>
      <w:marLeft w:val="0"/>
      <w:marRight w:val="0"/>
      <w:marTop w:val="0"/>
      <w:marBottom w:val="0"/>
      <w:divBdr>
        <w:top w:val="none" w:sz="0" w:space="0" w:color="auto"/>
        <w:left w:val="none" w:sz="0" w:space="0" w:color="auto"/>
        <w:bottom w:val="none" w:sz="0" w:space="0" w:color="auto"/>
        <w:right w:val="none" w:sz="0" w:space="0" w:color="auto"/>
      </w:divBdr>
    </w:div>
    <w:div w:id="1155335724">
      <w:bodyDiv w:val="1"/>
      <w:marLeft w:val="0"/>
      <w:marRight w:val="0"/>
      <w:marTop w:val="0"/>
      <w:marBottom w:val="0"/>
      <w:divBdr>
        <w:top w:val="none" w:sz="0" w:space="0" w:color="auto"/>
        <w:left w:val="none" w:sz="0" w:space="0" w:color="auto"/>
        <w:bottom w:val="none" w:sz="0" w:space="0" w:color="auto"/>
        <w:right w:val="none" w:sz="0" w:space="0" w:color="auto"/>
      </w:divBdr>
    </w:div>
    <w:div w:id="1172181945">
      <w:bodyDiv w:val="1"/>
      <w:marLeft w:val="0"/>
      <w:marRight w:val="0"/>
      <w:marTop w:val="0"/>
      <w:marBottom w:val="0"/>
      <w:divBdr>
        <w:top w:val="none" w:sz="0" w:space="0" w:color="auto"/>
        <w:left w:val="none" w:sz="0" w:space="0" w:color="auto"/>
        <w:bottom w:val="none" w:sz="0" w:space="0" w:color="auto"/>
        <w:right w:val="none" w:sz="0" w:space="0" w:color="auto"/>
      </w:divBdr>
    </w:div>
    <w:div w:id="1187211468">
      <w:bodyDiv w:val="1"/>
      <w:marLeft w:val="0"/>
      <w:marRight w:val="0"/>
      <w:marTop w:val="0"/>
      <w:marBottom w:val="0"/>
      <w:divBdr>
        <w:top w:val="none" w:sz="0" w:space="0" w:color="auto"/>
        <w:left w:val="none" w:sz="0" w:space="0" w:color="auto"/>
        <w:bottom w:val="none" w:sz="0" w:space="0" w:color="auto"/>
        <w:right w:val="none" w:sz="0" w:space="0" w:color="auto"/>
      </w:divBdr>
      <w:divsChild>
        <w:div w:id="566502088">
          <w:marLeft w:val="360"/>
          <w:marRight w:val="0"/>
          <w:marTop w:val="0"/>
          <w:marBottom w:val="0"/>
          <w:divBdr>
            <w:top w:val="none" w:sz="0" w:space="0" w:color="auto"/>
            <w:left w:val="none" w:sz="0" w:space="0" w:color="auto"/>
            <w:bottom w:val="none" w:sz="0" w:space="0" w:color="auto"/>
            <w:right w:val="none" w:sz="0" w:space="0" w:color="auto"/>
          </w:divBdr>
        </w:div>
      </w:divsChild>
    </w:div>
    <w:div w:id="1375348021">
      <w:bodyDiv w:val="1"/>
      <w:marLeft w:val="0"/>
      <w:marRight w:val="0"/>
      <w:marTop w:val="0"/>
      <w:marBottom w:val="0"/>
      <w:divBdr>
        <w:top w:val="none" w:sz="0" w:space="0" w:color="auto"/>
        <w:left w:val="none" w:sz="0" w:space="0" w:color="auto"/>
        <w:bottom w:val="none" w:sz="0" w:space="0" w:color="auto"/>
        <w:right w:val="none" w:sz="0" w:space="0" w:color="auto"/>
      </w:divBdr>
    </w:div>
    <w:div w:id="1403218426">
      <w:bodyDiv w:val="1"/>
      <w:marLeft w:val="0"/>
      <w:marRight w:val="0"/>
      <w:marTop w:val="0"/>
      <w:marBottom w:val="0"/>
      <w:divBdr>
        <w:top w:val="none" w:sz="0" w:space="0" w:color="auto"/>
        <w:left w:val="none" w:sz="0" w:space="0" w:color="auto"/>
        <w:bottom w:val="none" w:sz="0" w:space="0" w:color="auto"/>
        <w:right w:val="none" w:sz="0" w:space="0" w:color="auto"/>
      </w:divBdr>
    </w:div>
    <w:div w:id="1437289744">
      <w:bodyDiv w:val="1"/>
      <w:marLeft w:val="0"/>
      <w:marRight w:val="0"/>
      <w:marTop w:val="0"/>
      <w:marBottom w:val="0"/>
      <w:divBdr>
        <w:top w:val="none" w:sz="0" w:space="0" w:color="auto"/>
        <w:left w:val="none" w:sz="0" w:space="0" w:color="auto"/>
        <w:bottom w:val="none" w:sz="0" w:space="0" w:color="auto"/>
        <w:right w:val="none" w:sz="0" w:space="0" w:color="auto"/>
      </w:divBdr>
    </w:div>
    <w:div w:id="1463844822">
      <w:bodyDiv w:val="1"/>
      <w:marLeft w:val="0"/>
      <w:marRight w:val="0"/>
      <w:marTop w:val="0"/>
      <w:marBottom w:val="0"/>
      <w:divBdr>
        <w:top w:val="none" w:sz="0" w:space="0" w:color="auto"/>
        <w:left w:val="none" w:sz="0" w:space="0" w:color="auto"/>
        <w:bottom w:val="none" w:sz="0" w:space="0" w:color="auto"/>
        <w:right w:val="none" w:sz="0" w:space="0" w:color="auto"/>
      </w:divBdr>
    </w:div>
    <w:div w:id="1571843665">
      <w:bodyDiv w:val="1"/>
      <w:marLeft w:val="0"/>
      <w:marRight w:val="0"/>
      <w:marTop w:val="0"/>
      <w:marBottom w:val="0"/>
      <w:divBdr>
        <w:top w:val="none" w:sz="0" w:space="0" w:color="auto"/>
        <w:left w:val="none" w:sz="0" w:space="0" w:color="auto"/>
        <w:bottom w:val="none" w:sz="0" w:space="0" w:color="auto"/>
        <w:right w:val="none" w:sz="0" w:space="0" w:color="auto"/>
      </w:divBdr>
    </w:div>
    <w:div w:id="1579825874">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83820984">
      <w:bodyDiv w:val="1"/>
      <w:marLeft w:val="0"/>
      <w:marRight w:val="0"/>
      <w:marTop w:val="0"/>
      <w:marBottom w:val="0"/>
      <w:divBdr>
        <w:top w:val="none" w:sz="0" w:space="0" w:color="auto"/>
        <w:left w:val="none" w:sz="0" w:space="0" w:color="auto"/>
        <w:bottom w:val="none" w:sz="0" w:space="0" w:color="auto"/>
        <w:right w:val="none" w:sz="0" w:space="0" w:color="auto"/>
      </w:divBdr>
    </w:div>
    <w:div w:id="1692805432">
      <w:bodyDiv w:val="1"/>
      <w:marLeft w:val="0"/>
      <w:marRight w:val="0"/>
      <w:marTop w:val="0"/>
      <w:marBottom w:val="0"/>
      <w:divBdr>
        <w:top w:val="none" w:sz="0" w:space="0" w:color="auto"/>
        <w:left w:val="none" w:sz="0" w:space="0" w:color="auto"/>
        <w:bottom w:val="none" w:sz="0" w:space="0" w:color="auto"/>
        <w:right w:val="none" w:sz="0" w:space="0" w:color="auto"/>
      </w:divBdr>
    </w:div>
    <w:div w:id="1713190869">
      <w:bodyDiv w:val="1"/>
      <w:marLeft w:val="0"/>
      <w:marRight w:val="0"/>
      <w:marTop w:val="0"/>
      <w:marBottom w:val="0"/>
      <w:divBdr>
        <w:top w:val="none" w:sz="0" w:space="0" w:color="auto"/>
        <w:left w:val="none" w:sz="0" w:space="0" w:color="auto"/>
        <w:bottom w:val="none" w:sz="0" w:space="0" w:color="auto"/>
        <w:right w:val="none" w:sz="0" w:space="0" w:color="auto"/>
      </w:divBdr>
    </w:div>
    <w:div w:id="1739983972">
      <w:bodyDiv w:val="1"/>
      <w:marLeft w:val="0"/>
      <w:marRight w:val="0"/>
      <w:marTop w:val="0"/>
      <w:marBottom w:val="0"/>
      <w:divBdr>
        <w:top w:val="none" w:sz="0" w:space="0" w:color="auto"/>
        <w:left w:val="none" w:sz="0" w:space="0" w:color="auto"/>
        <w:bottom w:val="none" w:sz="0" w:space="0" w:color="auto"/>
        <w:right w:val="none" w:sz="0" w:space="0" w:color="auto"/>
      </w:divBdr>
    </w:div>
    <w:div w:id="1759784842">
      <w:bodyDiv w:val="1"/>
      <w:marLeft w:val="0"/>
      <w:marRight w:val="0"/>
      <w:marTop w:val="0"/>
      <w:marBottom w:val="0"/>
      <w:divBdr>
        <w:top w:val="none" w:sz="0" w:space="0" w:color="auto"/>
        <w:left w:val="none" w:sz="0" w:space="0" w:color="auto"/>
        <w:bottom w:val="none" w:sz="0" w:space="0" w:color="auto"/>
        <w:right w:val="none" w:sz="0" w:space="0" w:color="auto"/>
      </w:divBdr>
    </w:div>
    <w:div w:id="1782071479">
      <w:bodyDiv w:val="1"/>
      <w:marLeft w:val="0"/>
      <w:marRight w:val="0"/>
      <w:marTop w:val="0"/>
      <w:marBottom w:val="0"/>
      <w:divBdr>
        <w:top w:val="none" w:sz="0" w:space="0" w:color="auto"/>
        <w:left w:val="none" w:sz="0" w:space="0" w:color="auto"/>
        <w:bottom w:val="none" w:sz="0" w:space="0" w:color="auto"/>
        <w:right w:val="none" w:sz="0" w:space="0" w:color="auto"/>
      </w:divBdr>
    </w:div>
    <w:div w:id="1816754704">
      <w:bodyDiv w:val="1"/>
      <w:marLeft w:val="0"/>
      <w:marRight w:val="0"/>
      <w:marTop w:val="0"/>
      <w:marBottom w:val="0"/>
      <w:divBdr>
        <w:top w:val="none" w:sz="0" w:space="0" w:color="auto"/>
        <w:left w:val="none" w:sz="0" w:space="0" w:color="auto"/>
        <w:bottom w:val="none" w:sz="0" w:space="0" w:color="auto"/>
        <w:right w:val="none" w:sz="0" w:space="0" w:color="auto"/>
      </w:divBdr>
    </w:div>
    <w:div w:id="1850681448">
      <w:bodyDiv w:val="1"/>
      <w:marLeft w:val="0"/>
      <w:marRight w:val="0"/>
      <w:marTop w:val="0"/>
      <w:marBottom w:val="0"/>
      <w:divBdr>
        <w:top w:val="none" w:sz="0" w:space="0" w:color="auto"/>
        <w:left w:val="none" w:sz="0" w:space="0" w:color="auto"/>
        <w:bottom w:val="none" w:sz="0" w:space="0" w:color="auto"/>
        <w:right w:val="none" w:sz="0" w:space="0" w:color="auto"/>
      </w:divBdr>
    </w:div>
    <w:div w:id="1856533015">
      <w:bodyDiv w:val="1"/>
      <w:marLeft w:val="0"/>
      <w:marRight w:val="0"/>
      <w:marTop w:val="0"/>
      <w:marBottom w:val="0"/>
      <w:divBdr>
        <w:top w:val="none" w:sz="0" w:space="0" w:color="auto"/>
        <w:left w:val="none" w:sz="0" w:space="0" w:color="auto"/>
        <w:bottom w:val="none" w:sz="0" w:space="0" w:color="auto"/>
        <w:right w:val="none" w:sz="0" w:space="0" w:color="auto"/>
      </w:divBdr>
    </w:div>
    <w:div w:id="1920745388">
      <w:bodyDiv w:val="1"/>
      <w:marLeft w:val="0"/>
      <w:marRight w:val="0"/>
      <w:marTop w:val="0"/>
      <w:marBottom w:val="0"/>
      <w:divBdr>
        <w:top w:val="none" w:sz="0" w:space="0" w:color="auto"/>
        <w:left w:val="none" w:sz="0" w:space="0" w:color="auto"/>
        <w:bottom w:val="none" w:sz="0" w:space="0" w:color="auto"/>
        <w:right w:val="none" w:sz="0" w:space="0" w:color="auto"/>
      </w:divBdr>
    </w:div>
    <w:div w:id="2136018534">
      <w:bodyDiv w:val="1"/>
      <w:marLeft w:val="0"/>
      <w:marRight w:val="0"/>
      <w:marTop w:val="0"/>
      <w:marBottom w:val="0"/>
      <w:divBdr>
        <w:top w:val="none" w:sz="0" w:space="0" w:color="auto"/>
        <w:left w:val="none" w:sz="0" w:space="0" w:color="auto"/>
        <w:bottom w:val="none" w:sz="0" w:space="0" w:color="auto"/>
        <w:right w:val="none" w:sz="0" w:space="0" w:color="auto"/>
      </w:divBdr>
    </w:div>
    <w:div w:id="21448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13.svg"/><Relationship Id="rId39" Type="http://schemas.openxmlformats.org/officeDocument/2006/relationships/hyperlink" Target="https://linkprotect.cudasvc.com/url?a=https%3a%2f%2fgate.unwomen.org%2fEvaluation%2fDetails%3fevaluationId%3d11437&amp;c=E,1,m0I3h1XLW7x_mR8J7QgcYnlHCHDggHY5eJFi2l1NRCvgfoq3npBpFMh4WJSZRKevhWMQRnnMpofoQnDTtJKAVEdRC5YV8_INZ0JchIe3B0QZt6smz5hd0Cc,&amp;typo=0" TargetMode="External"/><Relationship Id="rId3" Type="http://schemas.openxmlformats.org/officeDocument/2006/relationships/numbering" Target="numbering.xml"/><Relationship Id="rId21" Type="http://schemas.openxmlformats.org/officeDocument/2006/relationships/hyperlink" Target="https://nam10.safelinks.protection.outlook.com/?url=https%3A%2F%2Fwww.unstereotypealliance.org%2Fen&amp;data=04%7C01%7Cksenia.glebova%40unwomen.org%7C3584981a29314ae6ac8608d8ee389e6a%7C2bcd07449e18487d85c3c9a325220be8%7C0%7C0%7C637521274244002910%7CUnknown%7CTWFpbGZsb3d8eyJWIjoiMC4wLjAwMDAiLCJQIjoiV2luMzIiLCJBTiI6Ik1haWwiLCJXVCI6Mn0%3D%7C1000&amp;sdata=9DLtWHcwv3C7UbBSUFkdAGIxxubLKO3KoN32iqzNB04%3D&amp;reserved=0" TargetMode="External"/><Relationship Id="rId34" Type="http://schemas.openxmlformats.org/officeDocument/2006/relationships/hyperlink" Target="https://linkprotect.cudasvc.com/url?a=https%3a%2f%2fwww.unwomen.org%2fen%2fexecutive-board%2fdocuments%2f2021%2ffirst-regular-session-2021&amp;c=E,1,NW8zAJjjEjY-Yx-k0DMnU87Muc-tcBDusWCLBVmpsa_DB-QYyxgqrHNyKbXj8FkItrSp5ToM0aSE8QrXIKBhEfoUsjjqHozzGCgmu0pAqeCfqvxq79Hz&amp;typo=0" TargetMode="External"/><Relationship Id="rId42" Type="http://schemas.openxmlformats.org/officeDocument/2006/relationships/hyperlink" Target="https://linkprotect.cudasvc.com/url?a=https%3a%2f%2fwww2.unwomen.org%2f-%2fmedia%2ffield%2520office%2520untf%2fpublications%2f2019%2fannual%2520report%25202018%2fun%2520trust%2520fund%2520annual%2520report%25202018_web%2520final.pdf%3fla%3den%26vs%3d3055&amp;c=E,1,pASzSVBtcdwcJ-Y6UiSvDJBxjRgnWHqtd8PPoPEnp5pdHb5u11e3qlXbxpYLENovhvXcSpzZiE3l_PfzkOD-pj-9jD5rYsEZPpgDlAG4kO087wJQ&amp;typo=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2.png"/><Relationship Id="rId33" Type="http://schemas.openxmlformats.org/officeDocument/2006/relationships/hyperlink" Target="https://www.unwomen.org/en/executive-board/documents/2020/annual-session-2020" TargetMode="External"/><Relationship Id="rId38" Type="http://schemas.openxmlformats.org/officeDocument/2006/relationships/hyperlink" Target="https://linkprotect.cudasvc.com/url?a=https%3a%2f%2fgate.unwomen.org%2fEvaluation%2fDetails%3fevaluationId%3d11431&amp;c=E,1,zJo3yLahEKKAIAQxLnRwzMyANatUttkoLrXMZQHe9ITcBm100Qn47gSK0QpSMeWSYx_0lq5Luf4JRlPDY0tcJcYH1M5_w31k0R-ET-yiGw,,&amp;typo=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rd.preventionweb.net/tracker" TargetMode="External"/><Relationship Id="rId29" Type="http://schemas.openxmlformats.org/officeDocument/2006/relationships/hyperlink" Target="https://www.dfat.gov.au/aid/topics/investment-priorities/gender-equality-empowering-women-girls/pacific-regional-gender-equality-empowering-women-girls" TargetMode="External"/><Relationship Id="rId41" Type="http://schemas.openxmlformats.org/officeDocument/2006/relationships/hyperlink" Target="https://linkprotect.cudasvc.com/url?a=https%3a%2f%2fasiapacific.unwomen.org%2fen%2fdigital-library%2fpublications%2f2019%2f03%2fun-women-asia-and-the-pacific-annual-report&amp;c=E,1,TVX2ZxElvcsrlvFFutU1DA_S35Uosq_nDQSihkDowBGqOEIHisve4FuLDop3vZnIkDANNQCIab9fLp046SLMbWtGzPVB76UoqXVW1dlNdxKfgyUDP21GuuAFKpUi&amp;typo=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svg"/><Relationship Id="rId32" Type="http://schemas.openxmlformats.org/officeDocument/2006/relationships/hyperlink" Target="https://pacificwomen.org/" TargetMode="External"/><Relationship Id="rId37" Type="http://schemas.openxmlformats.org/officeDocument/2006/relationships/hyperlink" Target="https://linkprotect.cudasvc.com/url?a=https%3a%2f%2fgate.unwomen.org%2fEvaluation%2fDetails%3fEvaluationId%3d11482&amp;c=E,1,MmBg8LNyE8ds_9mqpwaDEO6gnus6p4k_x8sb2zTUs5nr8CGWCNSrytALwUu5WDc_25rOPi1jrYUbP5ddJ-Dq_7ByZ_7F_S_mBcyq4Z75kW-zMGBgyZ4FmwOqOg,,&amp;typo=0" TargetMode="External"/><Relationship Id="rId40" Type="http://schemas.openxmlformats.org/officeDocument/2006/relationships/hyperlink" Target="https://linkprotect.cudasvc.com/url?a=https%3a%2f%2fasiapacific.unwomen.org%2fen%2fdigital-library%2fpublications%2f2020%2f09%2fun-women-asia-pacific-annual-report-2018-2019&amp;c=E,1,2P_vZWT91OnRS2SApSVPSuftbkX03YmtpkQSCS9i8T6PLkY0PH2-LevKeXiMcpkr_H0lvDxGyV9qOrZpx2Hx5lAauDrId7VZ_S7VqUTuRbk974iZ0O0Ql770_xc,&amp;typo=0" TargetMode="External"/><Relationship Id="rId45" Type="http://schemas.openxmlformats.org/officeDocument/2006/relationships/hyperlink" Target="https://pacificwomen.org/wp-content/uploads/2020/05/Thematic-Brief_Gender-and-COVID19_Pacific-Women-May-2020.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hyperlink" Target="https://www.dfat.gov.au/aid/topics/investment-priorities/gender-equality-empowering-women-girls/partnerships-for-recovery-and-gender-equality" TargetMode="External"/><Relationship Id="rId36" Type="http://schemas.openxmlformats.org/officeDocument/2006/relationships/hyperlink" Target="https://undocs.org/en/UNW/2020/2"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yperlink" Target="https://www.dfat.gov.au/geo/pacific/development-assistance/development-assistance-in-the-pacific" TargetMode="External"/><Relationship Id="rId44" Type="http://schemas.openxmlformats.org/officeDocument/2006/relationships/hyperlink" Target="https://linkprotect.cudasvc.com/url?a=https%3a%2f%2fasiapacific.unwomen.org%2fen%2fdigital-library%2fpublications%3fkeywords%3dcovid%26pageNumber%3d2&amp;c=E,1,JsFUaf9CJ6eJTQHenx9q_xJ5WNrX473NfAVSLc4sbiBd-5HJwy6-xvMF3c0GoodtYJtrqZ0gf5SagwrsKSGLqnb0c5AYK1G8OGDahzbNKXfZp9eFhdfR&amp;typo=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yperlink" Target="https://www.dfat.gov.au/geo/afghanistan/development-assistance/Pages/development-assistance-in-afghanistan" TargetMode="External"/><Relationship Id="rId35" Type="http://schemas.openxmlformats.org/officeDocument/2006/relationships/hyperlink" Target="https://www.unwomen.org/-/media/headquarters/attachments/sections/executive%20board/2020/annual%20session/docs/management%20letter%20on%20preventing%20addressing%20and%20reporting%20on%20sea%20and%20sh%20eb%202020.pdf?la=en&amp;vs=2503" TargetMode="External"/><Relationship Id="rId43" Type="http://schemas.openxmlformats.org/officeDocument/2006/relationships/hyperlink" Target="https://linkprotect.cudasvc.com/url?a=https%3a%2f%2fasiapacific.unwomen.org%2fen%2fdigital-library%2fpublications%2f2020%2f04%2fthe-first-100-days-of-the-covid-19-outbreak-in-asia-and-the-pacific&amp;c=E,1,v-ZntSr1XoUDAaHrnF5Ktxgi6KRNwGg2eIy5uI0z5MW0sSn8kw2qmKJFpgEbo8bEspnFXo33bdssObtolDEp88iwNTKJr0ULsFwTZ-NS&amp;typo=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tf.unwomen.org/en/digital-library/publications/2020/06/impact-of-covid-19-on-violence-against-women-and-girls" TargetMode="External"/><Relationship Id="rId2" Type="http://schemas.openxmlformats.org/officeDocument/2006/relationships/hyperlink" Target="https://www.unwomen.org/-/media%20/headquarters/attachments/sections/library/publications%20/2020/" TargetMode="External"/><Relationship Id="rId1" Type="http://schemas.openxmlformats.org/officeDocument/2006/relationships/hyperlink" Target="https://www.unwomen.org/-/media/headquarters/attachments/sections/library/publications/2018/towards-an-end-to-sexual-harassment-en.pdf?la=en&amp;vs=4236" TargetMode="External"/><Relationship Id="rId6" Type="http://schemas.openxmlformats.org/officeDocument/2006/relationships/hyperlink" Target="https://undocs.org/en/UNW/2019/6" TargetMode="External"/><Relationship Id="rId5" Type="http://schemas.openxmlformats.org/officeDocument/2006/relationships/hyperlink" Target="https://www.unwomen.org/en/digital-library/publications/2020/04/series-evaw-covid-19-briefs" TargetMode="External"/><Relationship Id="rId4" Type="http://schemas.openxmlformats.org/officeDocument/2006/relationships/hyperlink" Target="https://untf.unwomen.org/en/digital-library/publications/2020/09/six-months-of-global-pandemic-covid19-impact-on-violence-against-women-and-frontline-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IOD PARC">
      <a:dk1>
        <a:sysClr val="windowText" lastClr="000000"/>
      </a:dk1>
      <a:lt1>
        <a:sysClr val="window" lastClr="FFFFFF"/>
      </a:lt1>
      <a:dk2>
        <a:srgbClr val="00A499"/>
      </a:dk2>
      <a:lt2>
        <a:srgbClr val="FFFFFF"/>
      </a:lt2>
      <a:accent1>
        <a:srgbClr val="00A499"/>
      </a:accent1>
      <a:accent2>
        <a:srgbClr val="FF6A13"/>
      </a:accent2>
      <a:accent3>
        <a:srgbClr val="A50050"/>
      </a:accent3>
      <a:accent4>
        <a:srgbClr val="00629B"/>
      </a:accent4>
      <a:accent5>
        <a:srgbClr val="772583"/>
      </a:accent5>
      <a:accent6>
        <a:srgbClr val="878787"/>
      </a:accent6>
      <a:hlink>
        <a:srgbClr val="00A499"/>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C6B4D2D76188479CE8E4F0AEF17E9D" ma:contentTypeVersion="0" ma:contentTypeDescription="Create a new document." ma:contentTypeScope="" ma:versionID="8996908ff455dd7df1dc3477b6252d7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223C5-307D-463D-A444-EE61CC9B6DC3}">
  <ds:schemaRefs>
    <ds:schemaRef ds:uri="http://schemas.openxmlformats.org/officeDocument/2006/bibliography"/>
  </ds:schemaRefs>
</ds:datastoreItem>
</file>

<file path=customXml/itemProps2.xml><?xml version="1.0" encoding="utf-8"?>
<ds:datastoreItem xmlns:ds="http://schemas.openxmlformats.org/officeDocument/2006/customXml" ds:itemID="{5D28E4CC-5CAE-44EB-87FA-9D8DF548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20359</Words>
  <Characters>118870</Characters>
  <Application>Microsoft Office Word</Application>
  <DocSecurity>4</DocSecurity>
  <Lines>2556</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138533</CharactersWithSpaces>
  <SharedDoc>false</SharedDoc>
  <HLinks>
    <vt:vector size="360" baseType="variant">
      <vt:variant>
        <vt:i4>6488108</vt:i4>
      </vt:variant>
      <vt:variant>
        <vt:i4>264</vt:i4>
      </vt:variant>
      <vt:variant>
        <vt:i4>0</vt:i4>
      </vt:variant>
      <vt:variant>
        <vt:i4>5</vt:i4>
      </vt:variant>
      <vt:variant>
        <vt:lpwstr>https://pacificwomen.org/wp-content/uploads/2020/05/Thematic-Brief_Gender-and-COVID19_Pacific-Women-May-2020.pdf</vt:lpwstr>
      </vt:variant>
      <vt:variant>
        <vt:lpwstr/>
      </vt:variant>
      <vt:variant>
        <vt:i4>3866650</vt:i4>
      </vt:variant>
      <vt:variant>
        <vt:i4>261</vt:i4>
      </vt:variant>
      <vt:variant>
        <vt:i4>0</vt:i4>
      </vt:variant>
      <vt:variant>
        <vt:i4>5</vt:i4>
      </vt:variant>
      <vt:variant>
        <vt:lpwstr>https://linkprotect.cudasvc.com/url?a=https%3a%2f%2fasiapacific.unwomen.org%2fen%2fdigital-library%2fpublications%3fkeywords%3dcovid%26pageNumber%3d2&amp;c=E,1,JsFUaf9CJ6eJTQHenx9q_xJ5WNrX473NfAVSLc4sbiBd-5HJwy6-xvMF3c0GoodtYJtrqZ0gf5SagwrsKSGLqnb0c5AYK1G8OGDahzbNKXfZp9eFhdfR&amp;typo=0</vt:lpwstr>
      </vt:variant>
      <vt:variant>
        <vt:lpwstr/>
      </vt:variant>
      <vt:variant>
        <vt:i4>4128877</vt:i4>
      </vt:variant>
      <vt:variant>
        <vt:i4>258</vt:i4>
      </vt:variant>
      <vt:variant>
        <vt:i4>0</vt:i4>
      </vt:variant>
      <vt:variant>
        <vt:i4>5</vt:i4>
      </vt:variant>
      <vt:variant>
        <vt:lpwstr>https://linkprotect.cudasvc.com/url?a=https%3a%2f%2fasiapacific.unwomen.org%2fen%2fdigital-library%2fpublications%2f2020%2f04%2fthe-first-100-days-of-the-covid-19-outbreak-in-asia-and-the-pacific&amp;c=E,1,v-ZntSr1XoUDAaHrnF5Ktxgi6KRNwGg2eIy5uI0z5MW0sSn8kw2qmKJFpgEbo8bEspnFXo33bdssObtolDEp88iwNTKJr0ULsFwTZ-NS&amp;typo=0</vt:lpwstr>
      </vt:variant>
      <vt:variant>
        <vt:lpwstr/>
      </vt:variant>
      <vt:variant>
        <vt:i4>2555910</vt:i4>
      </vt:variant>
      <vt:variant>
        <vt:i4>255</vt:i4>
      </vt:variant>
      <vt:variant>
        <vt:i4>0</vt:i4>
      </vt:variant>
      <vt:variant>
        <vt:i4>5</vt:i4>
      </vt:variant>
      <vt:variant>
        <vt:lpwstr>https://linkprotect.cudasvc.com/url?a=https%3a%2f%2fwww2.unwomen.org%2f-%2fmedia%2ffield%2520office%2520untf%2fpublications%2f2019%2fannual%2520report%25202018%2fun%2520trust%2520fund%2520annual%2520report%25202018_web%2520final.pdf%3fla%3den%26vs%3d3055&amp;c=E,1,pASzSVBtcdwcJ-Y6UiSvDJBxjRgnWHqtd8PPoPEnp5pdHb5u11e3qlXbxpYLENovhvXcSpzZiE3l_PfzkOD-pj-9jD5rYsEZPpgDlAG4kO087wJQ&amp;typo=0</vt:lpwstr>
      </vt:variant>
      <vt:variant>
        <vt:lpwstr/>
      </vt:variant>
      <vt:variant>
        <vt:i4>2818092</vt:i4>
      </vt:variant>
      <vt:variant>
        <vt:i4>252</vt:i4>
      </vt:variant>
      <vt:variant>
        <vt:i4>0</vt:i4>
      </vt:variant>
      <vt:variant>
        <vt:i4>5</vt:i4>
      </vt:variant>
      <vt:variant>
        <vt:lpwstr>https://linkprotect.cudasvc.com/url?a=https%3a%2f%2fasiapacific.unwomen.org%2fen%2fdigital-library%2fpublications%2f2019%2f03%2fun-women-asia-and-the-pacific-annual-report&amp;c=E,1,TVX2ZxElvcsrlvFFutU1DA_S35Uosq_nDQSihkDowBGqOEIHisve4FuLDop3vZnIkDANNQCIab9fLp046SLMbWtGzPVB76UoqXVW1dlNdxKfgyUDP21GuuAFKpUi&amp;typo=0</vt:lpwstr>
      </vt:variant>
      <vt:variant>
        <vt:lpwstr/>
      </vt:variant>
      <vt:variant>
        <vt:i4>2359348</vt:i4>
      </vt:variant>
      <vt:variant>
        <vt:i4>249</vt:i4>
      </vt:variant>
      <vt:variant>
        <vt:i4>0</vt:i4>
      </vt:variant>
      <vt:variant>
        <vt:i4>5</vt:i4>
      </vt:variant>
      <vt:variant>
        <vt:lpwstr>https://linkprotect.cudasvc.com/url?a=https%3a%2f%2fasiapacific.unwomen.org%2fen%2fdigital-library%2fpublications%2f2020%2f09%2fun-women-asia-pacific-annual-report-2018-2019&amp;c=E,1,2P_vZWT91OnRS2SApSVPSuftbkX03YmtpkQSCS9i8T6PLkY0PH2-LevKeXiMcpkr_H0lvDxGyV9qOrZpx2Hx5lAauDrId7VZ_S7VqUTuRbk974iZ0O0Ql770_xc,&amp;typo=0</vt:lpwstr>
      </vt:variant>
      <vt:variant>
        <vt:lpwstr/>
      </vt:variant>
      <vt:variant>
        <vt:i4>131137</vt:i4>
      </vt:variant>
      <vt:variant>
        <vt:i4>246</vt:i4>
      </vt:variant>
      <vt:variant>
        <vt:i4>0</vt:i4>
      </vt:variant>
      <vt:variant>
        <vt:i4>5</vt:i4>
      </vt:variant>
      <vt:variant>
        <vt:lpwstr>https://linkprotect.cudasvc.com/url?a=https%3a%2f%2fgate.unwomen.org%2fEvaluation%2fDetails%3fevaluationId%3d11437&amp;c=E,1,m0I3h1XLW7x_mR8J7QgcYnlHCHDggHY5eJFi2l1NRCvgfoq3npBpFMh4WJSZRKevhWMQRnnMpofoQnDTtJKAVEdRC5YV8_INZ0JchIe3B0QZt6smz5hd0Cc,&amp;typo=0</vt:lpwstr>
      </vt:variant>
      <vt:variant>
        <vt:lpwstr/>
      </vt:variant>
      <vt:variant>
        <vt:i4>6291565</vt:i4>
      </vt:variant>
      <vt:variant>
        <vt:i4>243</vt:i4>
      </vt:variant>
      <vt:variant>
        <vt:i4>0</vt:i4>
      </vt:variant>
      <vt:variant>
        <vt:i4>5</vt:i4>
      </vt:variant>
      <vt:variant>
        <vt:lpwstr>https://linkprotect.cudasvc.com/url?a=https%3a%2f%2fgate.unwomen.org%2fEvaluation%2fDetails%3fevaluationId%3d11431&amp;c=E,1,zJo3yLahEKKAIAQxLnRwzMyANatUttkoLrXMZQHe9ITcBm100Qn47gSK0QpSMeWSYx_0lq5Luf4JRlPDY0tcJcYH1M5_w31k0R-ET-yiGw,,&amp;typo=0</vt:lpwstr>
      </vt:variant>
      <vt:variant>
        <vt:lpwstr/>
      </vt:variant>
      <vt:variant>
        <vt:i4>852009</vt:i4>
      </vt:variant>
      <vt:variant>
        <vt:i4>240</vt:i4>
      </vt:variant>
      <vt:variant>
        <vt:i4>0</vt:i4>
      </vt:variant>
      <vt:variant>
        <vt:i4>5</vt:i4>
      </vt:variant>
      <vt:variant>
        <vt:lpwstr>https://linkprotect.cudasvc.com/url?a=https%3a%2f%2fgate.unwomen.org%2fEvaluation%2fDetails%3fEvaluationId%3d11482&amp;c=E,1,MmBg8LNyE8ds_9mqpwaDEO6gnus6p4k_x8sb2zTUs5nr8CGWCNSrytALwUu5WDc_25rOPi1jrYUbP5ddJ-Dq_7ByZ_7F_S_mBcyq4Z75kW-zMGBgyZ4FmwOqOg,,&amp;typo=0</vt:lpwstr>
      </vt:variant>
      <vt:variant>
        <vt:lpwstr/>
      </vt:variant>
      <vt:variant>
        <vt:i4>5373954</vt:i4>
      </vt:variant>
      <vt:variant>
        <vt:i4>237</vt:i4>
      </vt:variant>
      <vt:variant>
        <vt:i4>0</vt:i4>
      </vt:variant>
      <vt:variant>
        <vt:i4>5</vt:i4>
      </vt:variant>
      <vt:variant>
        <vt:lpwstr>https://undocs.org/en/UNW/2020/2</vt:lpwstr>
      </vt:variant>
      <vt:variant>
        <vt:lpwstr/>
      </vt:variant>
      <vt:variant>
        <vt:i4>3145784</vt:i4>
      </vt:variant>
      <vt:variant>
        <vt:i4>234</vt:i4>
      </vt:variant>
      <vt:variant>
        <vt:i4>0</vt:i4>
      </vt:variant>
      <vt:variant>
        <vt:i4>5</vt:i4>
      </vt:variant>
      <vt:variant>
        <vt:lpwstr>https://www.unwomen.org/-/media/headquarters/attachments/sections/executive board/2020/annual session/docs/management letter on preventing addressing and reporting on sea and sh eb 2020.pdf?la=en&amp;vs=2503</vt:lpwstr>
      </vt:variant>
      <vt:variant>
        <vt:lpwstr/>
      </vt:variant>
      <vt:variant>
        <vt:i4>4653178</vt:i4>
      </vt:variant>
      <vt:variant>
        <vt:i4>231</vt:i4>
      </vt:variant>
      <vt:variant>
        <vt:i4>0</vt:i4>
      </vt:variant>
      <vt:variant>
        <vt:i4>5</vt:i4>
      </vt:variant>
      <vt:variant>
        <vt:lpwstr>https://linkprotect.cudasvc.com/url?a=https%3a%2f%2fwww.unwomen.org%2fen%2fexecutive-board%2fdocuments%2f2021%2ffirst-regular-session-2021&amp;c=E,1,NW8zAJjjEjY-Yx-k0DMnU87Muc-tcBDusWCLBVmpsa_DB-QYyxgqrHNyKbXj8FkItrSp5ToM0aSE8QrXIKBhEfoUsjjqHozzGCgmu0pAqeCfqvxq79Hz&amp;typo=0</vt:lpwstr>
      </vt:variant>
      <vt:variant>
        <vt:lpwstr/>
      </vt:variant>
      <vt:variant>
        <vt:i4>458758</vt:i4>
      </vt:variant>
      <vt:variant>
        <vt:i4>228</vt:i4>
      </vt:variant>
      <vt:variant>
        <vt:i4>0</vt:i4>
      </vt:variant>
      <vt:variant>
        <vt:i4>5</vt:i4>
      </vt:variant>
      <vt:variant>
        <vt:lpwstr>https://www.unwomen.org/en/executive-board/documents/2020/annual-session-2020</vt:lpwstr>
      </vt:variant>
      <vt:variant>
        <vt:lpwstr/>
      </vt:variant>
      <vt:variant>
        <vt:i4>786432</vt:i4>
      </vt:variant>
      <vt:variant>
        <vt:i4>225</vt:i4>
      </vt:variant>
      <vt:variant>
        <vt:i4>0</vt:i4>
      </vt:variant>
      <vt:variant>
        <vt:i4>5</vt:i4>
      </vt:variant>
      <vt:variant>
        <vt:lpwstr>https://pacificwomen.org/</vt:lpwstr>
      </vt:variant>
      <vt:variant>
        <vt:lpwstr/>
      </vt:variant>
      <vt:variant>
        <vt:i4>1900630</vt:i4>
      </vt:variant>
      <vt:variant>
        <vt:i4>222</vt:i4>
      </vt:variant>
      <vt:variant>
        <vt:i4>0</vt:i4>
      </vt:variant>
      <vt:variant>
        <vt:i4>5</vt:i4>
      </vt:variant>
      <vt:variant>
        <vt:lpwstr>https://www.dfat.gov.au/geo/pacific/development-assistance/development-assistance-in-the-pacific</vt:lpwstr>
      </vt:variant>
      <vt:variant>
        <vt:lpwstr/>
      </vt:variant>
      <vt:variant>
        <vt:i4>7929897</vt:i4>
      </vt:variant>
      <vt:variant>
        <vt:i4>219</vt:i4>
      </vt:variant>
      <vt:variant>
        <vt:i4>0</vt:i4>
      </vt:variant>
      <vt:variant>
        <vt:i4>5</vt:i4>
      </vt:variant>
      <vt:variant>
        <vt:lpwstr>https://www.dfat.gov.au/geo/afghanistan/development-assistance/Pages/development-assistance-in-afghanistan</vt:lpwstr>
      </vt:variant>
      <vt:variant>
        <vt:lpwstr/>
      </vt:variant>
      <vt:variant>
        <vt:i4>7798906</vt:i4>
      </vt:variant>
      <vt:variant>
        <vt:i4>216</vt:i4>
      </vt:variant>
      <vt:variant>
        <vt:i4>0</vt:i4>
      </vt:variant>
      <vt:variant>
        <vt:i4>5</vt:i4>
      </vt:variant>
      <vt:variant>
        <vt:lpwstr>https://www.dfat.gov.au/aid/topics/investment-priorities/gender-equality-empowering-women-girls/pacific-regional-gender-equality-empowering-women-girls</vt:lpwstr>
      </vt:variant>
      <vt:variant>
        <vt:lpwstr/>
      </vt:variant>
      <vt:variant>
        <vt:i4>524358</vt:i4>
      </vt:variant>
      <vt:variant>
        <vt:i4>213</vt:i4>
      </vt:variant>
      <vt:variant>
        <vt:i4>0</vt:i4>
      </vt:variant>
      <vt:variant>
        <vt:i4>5</vt:i4>
      </vt:variant>
      <vt:variant>
        <vt:lpwstr>https://www.dfat.gov.au/aid/topics/investment-priorities/gender-equality-empowering-women-girls/partnerships-for-recovery-and-gender-equality</vt:lpwstr>
      </vt:variant>
      <vt:variant>
        <vt:lpwstr/>
      </vt:variant>
      <vt:variant>
        <vt:i4>6422575</vt:i4>
      </vt:variant>
      <vt:variant>
        <vt:i4>198</vt:i4>
      </vt:variant>
      <vt:variant>
        <vt:i4>0</vt:i4>
      </vt:variant>
      <vt:variant>
        <vt:i4>5</vt:i4>
      </vt:variant>
      <vt:variant>
        <vt:lpwstr>https://nam10.safelinks.protection.outlook.com/?url=https%3A%2F%2Fwww.unstereotypealliance.org%2Fen&amp;data=04%7C01%7Cksenia.glebova%40unwomen.org%7C3584981a29314ae6ac8608d8ee389e6a%7C2bcd07449e18487d85c3c9a325220be8%7C0%7C0%7C637521274244002910%7CUnknown%7CTWFpbGZsb3d8eyJWIjoiMC4wLjAwMDAiLCJQIjoiV2luMzIiLCJBTiI6Ik1haWwiLCJXVCI6Mn0%3D%7C1000&amp;sdata=9DLtWHcwv3C7UbBSUFkdAGIxxubLKO3KoN32iqzNB04%3D&amp;reserved=0</vt:lpwstr>
      </vt:variant>
      <vt:variant>
        <vt:lpwstr/>
      </vt:variant>
      <vt:variant>
        <vt:i4>5242957</vt:i4>
      </vt:variant>
      <vt:variant>
        <vt:i4>195</vt:i4>
      </vt:variant>
      <vt:variant>
        <vt:i4>0</vt:i4>
      </vt:variant>
      <vt:variant>
        <vt:i4>5</vt:i4>
      </vt:variant>
      <vt:variant>
        <vt:lpwstr>http://wrd.preventionweb.net/tracker</vt:lpwstr>
      </vt:variant>
      <vt:variant>
        <vt:lpwstr/>
      </vt:variant>
      <vt:variant>
        <vt:i4>2031667</vt:i4>
      </vt:variant>
      <vt:variant>
        <vt:i4>188</vt:i4>
      </vt:variant>
      <vt:variant>
        <vt:i4>0</vt:i4>
      </vt:variant>
      <vt:variant>
        <vt:i4>5</vt:i4>
      </vt:variant>
      <vt:variant>
        <vt:lpwstr/>
      </vt:variant>
      <vt:variant>
        <vt:lpwstr>_Toc66791730</vt:lpwstr>
      </vt:variant>
      <vt:variant>
        <vt:i4>1441842</vt:i4>
      </vt:variant>
      <vt:variant>
        <vt:i4>182</vt:i4>
      </vt:variant>
      <vt:variant>
        <vt:i4>0</vt:i4>
      </vt:variant>
      <vt:variant>
        <vt:i4>5</vt:i4>
      </vt:variant>
      <vt:variant>
        <vt:lpwstr/>
      </vt:variant>
      <vt:variant>
        <vt:lpwstr>_Toc66791729</vt:lpwstr>
      </vt:variant>
      <vt:variant>
        <vt:i4>1507378</vt:i4>
      </vt:variant>
      <vt:variant>
        <vt:i4>176</vt:i4>
      </vt:variant>
      <vt:variant>
        <vt:i4>0</vt:i4>
      </vt:variant>
      <vt:variant>
        <vt:i4>5</vt:i4>
      </vt:variant>
      <vt:variant>
        <vt:lpwstr/>
      </vt:variant>
      <vt:variant>
        <vt:lpwstr>_Toc66791728</vt:lpwstr>
      </vt:variant>
      <vt:variant>
        <vt:i4>1572914</vt:i4>
      </vt:variant>
      <vt:variant>
        <vt:i4>170</vt:i4>
      </vt:variant>
      <vt:variant>
        <vt:i4>0</vt:i4>
      </vt:variant>
      <vt:variant>
        <vt:i4>5</vt:i4>
      </vt:variant>
      <vt:variant>
        <vt:lpwstr/>
      </vt:variant>
      <vt:variant>
        <vt:lpwstr>_Toc66791727</vt:lpwstr>
      </vt:variant>
      <vt:variant>
        <vt:i4>1638450</vt:i4>
      </vt:variant>
      <vt:variant>
        <vt:i4>164</vt:i4>
      </vt:variant>
      <vt:variant>
        <vt:i4>0</vt:i4>
      </vt:variant>
      <vt:variant>
        <vt:i4>5</vt:i4>
      </vt:variant>
      <vt:variant>
        <vt:lpwstr/>
      </vt:variant>
      <vt:variant>
        <vt:lpwstr>_Toc66791726</vt:lpwstr>
      </vt:variant>
      <vt:variant>
        <vt:i4>1703986</vt:i4>
      </vt:variant>
      <vt:variant>
        <vt:i4>158</vt:i4>
      </vt:variant>
      <vt:variant>
        <vt:i4>0</vt:i4>
      </vt:variant>
      <vt:variant>
        <vt:i4>5</vt:i4>
      </vt:variant>
      <vt:variant>
        <vt:lpwstr/>
      </vt:variant>
      <vt:variant>
        <vt:lpwstr>_Toc66791725</vt:lpwstr>
      </vt:variant>
      <vt:variant>
        <vt:i4>1769522</vt:i4>
      </vt:variant>
      <vt:variant>
        <vt:i4>152</vt:i4>
      </vt:variant>
      <vt:variant>
        <vt:i4>0</vt:i4>
      </vt:variant>
      <vt:variant>
        <vt:i4>5</vt:i4>
      </vt:variant>
      <vt:variant>
        <vt:lpwstr/>
      </vt:variant>
      <vt:variant>
        <vt:lpwstr>_Toc66791724</vt:lpwstr>
      </vt:variant>
      <vt:variant>
        <vt:i4>1835058</vt:i4>
      </vt:variant>
      <vt:variant>
        <vt:i4>146</vt:i4>
      </vt:variant>
      <vt:variant>
        <vt:i4>0</vt:i4>
      </vt:variant>
      <vt:variant>
        <vt:i4>5</vt:i4>
      </vt:variant>
      <vt:variant>
        <vt:lpwstr/>
      </vt:variant>
      <vt:variant>
        <vt:lpwstr>_Toc66791723</vt:lpwstr>
      </vt:variant>
      <vt:variant>
        <vt:i4>1900594</vt:i4>
      </vt:variant>
      <vt:variant>
        <vt:i4>140</vt:i4>
      </vt:variant>
      <vt:variant>
        <vt:i4>0</vt:i4>
      </vt:variant>
      <vt:variant>
        <vt:i4>5</vt:i4>
      </vt:variant>
      <vt:variant>
        <vt:lpwstr/>
      </vt:variant>
      <vt:variant>
        <vt:lpwstr>_Toc66791722</vt:lpwstr>
      </vt:variant>
      <vt:variant>
        <vt:i4>1966130</vt:i4>
      </vt:variant>
      <vt:variant>
        <vt:i4>134</vt:i4>
      </vt:variant>
      <vt:variant>
        <vt:i4>0</vt:i4>
      </vt:variant>
      <vt:variant>
        <vt:i4>5</vt:i4>
      </vt:variant>
      <vt:variant>
        <vt:lpwstr/>
      </vt:variant>
      <vt:variant>
        <vt:lpwstr>_Toc66791721</vt:lpwstr>
      </vt:variant>
      <vt:variant>
        <vt:i4>2031666</vt:i4>
      </vt:variant>
      <vt:variant>
        <vt:i4>128</vt:i4>
      </vt:variant>
      <vt:variant>
        <vt:i4>0</vt:i4>
      </vt:variant>
      <vt:variant>
        <vt:i4>5</vt:i4>
      </vt:variant>
      <vt:variant>
        <vt:lpwstr/>
      </vt:variant>
      <vt:variant>
        <vt:lpwstr>_Toc66791720</vt:lpwstr>
      </vt:variant>
      <vt:variant>
        <vt:i4>1441841</vt:i4>
      </vt:variant>
      <vt:variant>
        <vt:i4>122</vt:i4>
      </vt:variant>
      <vt:variant>
        <vt:i4>0</vt:i4>
      </vt:variant>
      <vt:variant>
        <vt:i4>5</vt:i4>
      </vt:variant>
      <vt:variant>
        <vt:lpwstr/>
      </vt:variant>
      <vt:variant>
        <vt:lpwstr>_Toc66791719</vt:lpwstr>
      </vt:variant>
      <vt:variant>
        <vt:i4>1507377</vt:i4>
      </vt:variant>
      <vt:variant>
        <vt:i4>116</vt:i4>
      </vt:variant>
      <vt:variant>
        <vt:i4>0</vt:i4>
      </vt:variant>
      <vt:variant>
        <vt:i4>5</vt:i4>
      </vt:variant>
      <vt:variant>
        <vt:lpwstr/>
      </vt:variant>
      <vt:variant>
        <vt:lpwstr>_Toc66791718</vt:lpwstr>
      </vt:variant>
      <vt:variant>
        <vt:i4>1572913</vt:i4>
      </vt:variant>
      <vt:variant>
        <vt:i4>110</vt:i4>
      </vt:variant>
      <vt:variant>
        <vt:i4>0</vt:i4>
      </vt:variant>
      <vt:variant>
        <vt:i4>5</vt:i4>
      </vt:variant>
      <vt:variant>
        <vt:lpwstr/>
      </vt:variant>
      <vt:variant>
        <vt:lpwstr>_Toc66791717</vt:lpwstr>
      </vt:variant>
      <vt:variant>
        <vt:i4>1638449</vt:i4>
      </vt:variant>
      <vt:variant>
        <vt:i4>104</vt:i4>
      </vt:variant>
      <vt:variant>
        <vt:i4>0</vt:i4>
      </vt:variant>
      <vt:variant>
        <vt:i4>5</vt:i4>
      </vt:variant>
      <vt:variant>
        <vt:lpwstr/>
      </vt:variant>
      <vt:variant>
        <vt:lpwstr>_Toc66791716</vt:lpwstr>
      </vt:variant>
      <vt:variant>
        <vt:i4>1703985</vt:i4>
      </vt:variant>
      <vt:variant>
        <vt:i4>98</vt:i4>
      </vt:variant>
      <vt:variant>
        <vt:i4>0</vt:i4>
      </vt:variant>
      <vt:variant>
        <vt:i4>5</vt:i4>
      </vt:variant>
      <vt:variant>
        <vt:lpwstr/>
      </vt:variant>
      <vt:variant>
        <vt:lpwstr>_Toc66791715</vt:lpwstr>
      </vt:variant>
      <vt:variant>
        <vt:i4>1769521</vt:i4>
      </vt:variant>
      <vt:variant>
        <vt:i4>92</vt:i4>
      </vt:variant>
      <vt:variant>
        <vt:i4>0</vt:i4>
      </vt:variant>
      <vt:variant>
        <vt:i4>5</vt:i4>
      </vt:variant>
      <vt:variant>
        <vt:lpwstr/>
      </vt:variant>
      <vt:variant>
        <vt:lpwstr>_Toc66791714</vt:lpwstr>
      </vt:variant>
      <vt:variant>
        <vt:i4>1835057</vt:i4>
      </vt:variant>
      <vt:variant>
        <vt:i4>86</vt:i4>
      </vt:variant>
      <vt:variant>
        <vt:i4>0</vt:i4>
      </vt:variant>
      <vt:variant>
        <vt:i4>5</vt:i4>
      </vt:variant>
      <vt:variant>
        <vt:lpwstr/>
      </vt:variant>
      <vt:variant>
        <vt:lpwstr>_Toc66791713</vt:lpwstr>
      </vt:variant>
      <vt:variant>
        <vt:i4>1900593</vt:i4>
      </vt:variant>
      <vt:variant>
        <vt:i4>80</vt:i4>
      </vt:variant>
      <vt:variant>
        <vt:i4>0</vt:i4>
      </vt:variant>
      <vt:variant>
        <vt:i4>5</vt:i4>
      </vt:variant>
      <vt:variant>
        <vt:lpwstr/>
      </vt:variant>
      <vt:variant>
        <vt:lpwstr>_Toc66791712</vt:lpwstr>
      </vt:variant>
      <vt:variant>
        <vt:i4>1966129</vt:i4>
      </vt:variant>
      <vt:variant>
        <vt:i4>74</vt:i4>
      </vt:variant>
      <vt:variant>
        <vt:i4>0</vt:i4>
      </vt:variant>
      <vt:variant>
        <vt:i4>5</vt:i4>
      </vt:variant>
      <vt:variant>
        <vt:lpwstr/>
      </vt:variant>
      <vt:variant>
        <vt:lpwstr>_Toc66791711</vt:lpwstr>
      </vt:variant>
      <vt:variant>
        <vt:i4>2031665</vt:i4>
      </vt:variant>
      <vt:variant>
        <vt:i4>68</vt:i4>
      </vt:variant>
      <vt:variant>
        <vt:i4>0</vt:i4>
      </vt:variant>
      <vt:variant>
        <vt:i4>5</vt:i4>
      </vt:variant>
      <vt:variant>
        <vt:lpwstr/>
      </vt:variant>
      <vt:variant>
        <vt:lpwstr>_Toc66791710</vt:lpwstr>
      </vt:variant>
      <vt:variant>
        <vt:i4>1441840</vt:i4>
      </vt:variant>
      <vt:variant>
        <vt:i4>62</vt:i4>
      </vt:variant>
      <vt:variant>
        <vt:i4>0</vt:i4>
      </vt:variant>
      <vt:variant>
        <vt:i4>5</vt:i4>
      </vt:variant>
      <vt:variant>
        <vt:lpwstr/>
      </vt:variant>
      <vt:variant>
        <vt:lpwstr>_Toc66791709</vt:lpwstr>
      </vt:variant>
      <vt:variant>
        <vt:i4>1507376</vt:i4>
      </vt:variant>
      <vt:variant>
        <vt:i4>56</vt:i4>
      </vt:variant>
      <vt:variant>
        <vt:i4>0</vt:i4>
      </vt:variant>
      <vt:variant>
        <vt:i4>5</vt:i4>
      </vt:variant>
      <vt:variant>
        <vt:lpwstr/>
      </vt:variant>
      <vt:variant>
        <vt:lpwstr>_Toc66791708</vt:lpwstr>
      </vt:variant>
      <vt:variant>
        <vt:i4>1572912</vt:i4>
      </vt:variant>
      <vt:variant>
        <vt:i4>50</vt:i4>
      </vt:variant>
      <vt:variant>
        <vt:i4>0</vt:i4>
      </vt:variant>
      <vt:variant>
        <vt:i4>5</vt:i4>
      </vt:variant>
      <vt:variant>
        <vt:lpwstr/>
      </vt:variant>
      <vt:variant>
        <vt:lpwstr>_Toc66791707</vt:lpwstr>
      </vt:variant>
      <vt:variant>
        <vt:i4>1638448</vt:i4>
      </vt:variant>
      <vt:variant>
        <vt:i4>44</vt:i4>
      </vt:variant>
      <vt:variant>
        <vt:i4>0</vt:i4>
      </vt:variant>
      <vt:variant>
        <vt:i4>5</vt:i4>
      </vt:variant>
      <vt:variant>
        <vt:lpwstr/>
      </vt:variant>
      <vt:variant>
        <vt:lpwstr>_Toc66791706</vt:lpwstr>
      </vt:variant>
      <vt:variant>
        <vt:i4>1703984</vt:i4>
      </vt:variant>
      <vt:variant>
        <vt:i4>38</vt:i4>
      </vt:variant>
      <vt:variant>
        <vt:i4>0</vt:i4>
      </vt:variant>
      <vt:variant>
        <vt:i4>5</vt:i4>
      </vt:variant>
      <vt:variant>
        <vt:lpwstr/>
      </vt:variant>
      <vt:variant>
        <vt:lpwstr>_Toc66791705</vt:lpwstr>
      </vt:variant>
      <vt:variant>
        <vt:i4>1769520</vt:i4>
      </vt:variant>
      <vt:variant>
        <vt:i4>32</vt:i4>
      </vt:variant>
      <vt:variant>
        <vt:i4>0</vt:i4>
      </vt:variant>
      <vt:variant>
        <vt:i4>5</vt:i4>
      </vt:variant>
      <vt:variant>
        <vt:lpwstr/>
      </vt:variant>
      <vt:variant>
        <vt:lpwstr>_Toc66791704</vt:lpwstr>
      </vt:variant>
      <vt:variant>
        <vt:i4>1835056</vt:i4>
      </vt:variant>
      <vt:variant>
        <vt:i4>26</vt:i4>
      </vt:variant>
      <vt:variant>
        <vt:i4>0</vt:i4>
      </vt:variant>
      <vt:variant>
        <vt:i4>5</vt:i4>
      </vt:variant>
      <vt:variant>
        <vt:lpwstr/>
      </vt:variant>
      <vt:variant>
        <vt:lpwstr>_Toc66791703</vt:lpwstr>
      </vt:variant>
      <vt:variant>
        <vt:i4>1900592</vt:i4>
      </vt:variant>
      <vt:variant>
        <vt:i4>20</vt:i4>
      </vt:variant>
      <vt:variant>
        <vt:i4>0</vt:i4>
      </vt:variant>
      <vt:variant>
        <vt:i4>5</vt:i4>
      </vt:variant>
      <vt:variant>
        <vt:lpwstr/>
      </vt:variant>
      <vt:variant>
        <vt:lpwstr>_Toc66791702</vt:lpwstr>
      </vt:variant>
      <vt:variant>
        <vt:i4>1966128</vt:i4>
      </vt:variant>
      <vt:variant>
        <vt:i4>14</vt:i4>
      </vt:variant>
      <vt:variant>
        <vt:i4>0</vt:i4>
      </vt:variant>
      <vt:variant>
        <vt:i4>5</vt:i4>
      </vt:variant>
      <vt:variant>
        <vt:lpwstr/>
      </vt:variant>
      <vt:variant>
        <vt:lpwstr>_Toc66791701</vt:lpwstr>
      </vt:variant>
      <vt:variant>
        <vt:i4>2031664</vt:i4>
      </vt:variant>
      <vt:variant>
        <vt:i4>8</vt:i4>
      </vt:variant>
      <vt:variant>
        <vt:i4>0</vt:i4>
      </vt:variant>
      <vt:variant>
        <vt:i4>5</vt:i4>
      </vt:variant>
      <vt:variant>
        <vt:lpwstr/>
      </vt:variant>
      <vt:variant>
        <vt:lpwstr>_Toc66791700</vt:lpwstr>
      </vt:variant>
      <vt:variant>
        <vt:i4>1507385</vt:i4>
      </vt:variant>
      <vt:variant>
        <vt:i4>2</vt:i4>
      </vt:variant>
      <vt:variant>
        <vt:i4>0</vt:i4>
      </vt:variant>
      <vt:variant>
        <vt:i4>5</vt:i4>
      </vt:variant>
      <vt:variant>
        <vt:lpwstr/>
      </vt:variant>
      <vt:variant>
        <vt:lpwstr>_Toc66791699</vt:lpwstr>
      </vt:variant>
      <vt:variant>
        <vt:i4>6225921</vt:i4>
      </vt:variant>
      <vt:variant>
        <vt:i4>24</vt:i4>
      </vt:variant>
      <vt:variant>
        <vt:i4>0</vt:i4>
      </vt:variant>
      <vt:variant>
        <vt:i4>5</vt:i4>
      </vt:variant>
      <vt:variant>
        <vt:lpwstr>https://undocs.org/en/UNW/2019/6</vt:lpwstr>
      </vt:variant>
      <vt:variant>
        <vt:lpwstr/>
      </vt:variant>
      <vt:variant>
        <vt:i4>3670066</vt:i4>
      </vt:variant>
      <vt:variant>
        <vt:i4>21</vt:i4>
      </vt:variant>
      <vt:variant>
        <vt:i4>0</vt:i4>
      </vt:variant>
      <vt:variant>
        <vt:i4>5</vt:i4>
      </vt:variant>
      <vt:variant>
        <vt:lpwstr>https://www.unwomen.org/en/digital-library/publications/2020/04/series-evaw-covid-19-briefs</vt:lpwstr>
      </vt:variant>
      <vt:variant>
        <vt:lpwstr/>
      </vt:variant>
      <vt:variant>
        <vt:i4>196684</vt:i4>
      </vt:variant>
      <vt:variant>
        <vt:i4>18</vt:i4>
      </vt:variant>
      <vt:variant>
        <vt:i4>0</vt:i4>
      </vt:variant>
      <vt:variant>
        <vt:i4>5</vt:i4>
      </vt:variant>
      <vt:variant>
        <vt:lpwstr>https://reliefweb.int/sites/reliefweb.int/files/resources/GiHA WG analysis  brief.pdf</vt:lpwstr>
      </vt:variant>
      <vt:variant>
        <vt:lpwstr/>
      </vt:variant>
      <vt:variant>
        <vt:i4>5701653</vt:i4>
      </vt:variant>
      <vt:variant>
        <vt:i4>15</vt:i4>
      </vt:variant>
      <vt:variant>
        <vt:i4>0</vt:i4>
      </vt:variant>
      <vt:variant>
        <vt:i4>5</vt:i4>
      </vt:variant>
      <vt:variant>
        <vt:lpwstr>https://asiapacific.unwomen.org/en/digital-library/publications/2020/03/the-covid-19-outbreak-and-gender</vt:lpwstr>
      </vt:variant>
      <vt:variant>
        <vt:lpwstr/>
      </vt:variant>
      <vt:variant>
        <vt:i4>6815798</vt:i4>
      </vt:variant>
      <vt:variant>
        <vt:i4>12</vt:i4>
      </vt:variant>
      <vt:variant>
        <vt:i4>0</vt:i4>
      </vt:variant>
      <vt:variant>
        <vt:i4>5</vt:i4>
      </vt:variant>
      <vt:variant>
        <vt:lpwstr>https://untf.unwomen.org/en/digital-library/publications/2020/09/six-months-of-global-pandemic-covid19-impact-on-violence-against-women-and-frontline-organizations</vt:lpwstr>
      </vt:variant>
      <vt:variant>
        <vt:lpwstr/>
      </vt:variant>
      <vt:variant>
        <vt:i4>6946860</vt:i4>
      </vt:variant>
      <vt:variant>
        <vt:i4>9</vt:i4>
      </vt:variant>
      <vt:variant>
        <vt:i4>0</vt:i4>
      </vt:variant>
      <vt:variant>
        <vt:i4>5</vt:i4>
      </vt:variant>
      <vt:variant>
        <vt:lpwstr>https://untf.unwomen.org/en/digital-library/publications/2020/06/impact-of-covid-19-on-violence-against-women-and-girls</vt:lpwstr>
      </vt:variant>
      <vt:variant>
        <vt:lpwstr/>
      </vt:variant>
      <vt:variant>
        <vt:i4>3801130</vt:i4>
      </vt:variant>
      <vt:variant>
        <vt:i4>0</vt:i4>
      </vt:variant>
      <vt:variant>
        <vt:i4>0</vt:i4>
      </vt:variant>
      <vt:variant>
        <vt:i4>5</vt:i4>
      </vt:variant>
      <vt:variant>
        <vt:lpwstr>https://www.unwomen.org/-/media/headquarters/attachments/sections/library/publications/2020/regular-resources-report-2019-en.pdf?la=en&amp;vs=4529</vt:lpwstr>
      </vt:variant>
      <vt:variant>
        <vt:lpwstr/>
      </vt:variant>
      <vt:variant>
        <vt:i4>655469</vt:i4>
      </vt:variant>
      <vt:variant>
        <vt:i4>0</vt:i4>
      </vt:variant>
      <vt:variant>
        <vt:i4>0</vt:i4>
      </vt:variant>
      <vt:variant>
        <vt:i4>5</vt:i4>
      </vt:variant>
      <vt:variant>
        <vt:lpwstr>https://asiapacific.unwomen.org/-/media/field office eseasia/docs/publications/2020/10/unn_wps_report_004.pdf?la=en&amp;vs=4057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2021-09-05T16:40:00Z</dcterms:created>
  <dcterms:modified xsi:type="dcterms:W3CDTF">2021-09-05T16:40:00Z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355C06FEB8F540939570BCFE830D04AB</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2021-09-05T16:38:58Z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4D4609CCD5D4976E30F428F0D31E365A</vt:lpwstr>
  </property>
  <property fmtid="{D5CDD505-2E9C-101B-9397-08002B2CF9AE}" pid="20" name="PM_Hash_Salt">
    <vt:lpwstr>14AF6A8C017E9663A627496CCE8278E7</vt:lpwstr>
  </property>
  <property fmtid="{D5CDD505-2E9C-101B-9397-08002B2CF9AE}" pid="21" name="PM_Hash_SHA1">
    <vt:lpwstr>480CAEAEA480CA089F9539EABCB68746ABE581C8</vt:lpwstr>
  </property>
  <property fmtid="{D5CDD505-2E9C-101B-9397-08002B2CF9AE}" pid="22" name="PM_SecurityClassification_Prev">
    <vt:lpwstr>OFFICIAL</vt:lpwstr>
  </property>
  <property fmtid="{D5CDD505-2E9C-101B-9397-08002B2CF9AE}" pid="23" name="PM_Qualifier_Prev">
    <vt:lpwstr/>
  </property>
</Properties>
</file>