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4C69F" w14:textId="77777777" w:rsidR="00106299" w:rsidRDefault="00106299" w:rsidP="00106299"/>
    <w:p w14:paraId="3DF21BF3" w14:textId="77777777" w:rsidR="00D81E26" w:rsidRPr="00D81E26" w:rsidRDefault="00D81E26" w:rsidP="00D81E26"/>
    <w:p w14:paraId="4FCAD1F4" w14:textId="6FBBD188" w:rsidR="00D81E26" w:rsidRPr="00DB1323" w:rsidRDefault="00602208" w:rsidP="00DB1323">
      <w:pPr>
        <w:pStyle w:val="Heading1Numbered"/>
      </w:pPr>
      <w:r w:rsidRPr="00DB1323">
        <w:t>Management</w:t>
      </w:r>
      <w:r w:rsidR="00D81E26" w:rsidRPr="00DB1323">
        <w:t xml:space="preserve"> Response</w:t>
      </w:r>
      <w:r w:rsidRPr="00DB1323">
        <w:t xml:space="preserve">: DFAT-UN Women Strategic Partnership Framework Review </w:t>
      </w:r>
    </w:p>
    <w:p w14:paraId="22CA21D3" w14:textId="77777777" w:rsidR="00D81E26" w:rsidRPr="00D81E26" w:rsidRDefault="00D81E26" w:rsidP="00D81E26"/>
    <w:p w14:paraId="06C5D851" w14:textId="5CD49824" w:rsidR="00106299" w:rsidRPr="0006769A" w:rsidRDefault="00D81E26" w:rsidP="00D81E26">
      <w:pPr>
        <w:tabs>
          <w:tab w:val="left" w:pos="2224"/>
        </w:tabs>
        <w:rPr>
          <w:b/>
          <w:bCs/>
          <w:color w:val="auto"/>
          <w:sz w:val="24"/>
          <w:szCs w:val="24"/>
          <w:u w:val="single"/>
        </w:rPr>
      </w:pPr>
      <w:r>
        <w:tab/>
      </w:r>
    </w:p>
    <w:tbl>
      <w:tblPr>
        <w:tblStyle w:val="TableGrid"/>
        <w:tblpPr w:leftFromText="180" w:rightFromText="180" w:vertAnchor="page" w:horzAnchor="margin" w:tblpY="3226"/>
        <w:tblW w:w="15446" w:type="dxa"/>
        <w:tblLook w:val="04A0" w:firstRow="1" w:lastRow="0" w:firstColumn="1" w:lastColumn="0" w:noHBand="0" w:noVBand="1"/>
      </w:tblPr>
      <w:tblGrid>
        <w:gridCol w:w="3076"/>
        <w:gridCol w:w="1065"/>
        <w:gridCol w:w="4359"/>
        <w:gridCol w:w="5103"/>
        <w:gridCol w:w="1843"/>
      </w:tblGrid>
      <w:tr w:rsidR="00106299" w:rsidRPr="0006769A" w14:paraId="3FAE7C98" w14:textId="77777777" w:rsidTr="00AF3DB7">
        <w:trPr>
          <w:tblHeader/>
        </w:trPr>
        <w:tc>
          <w:tcPr>
            <w:tcW w:w="3076" w:type="dxa"/>
            <w:shd w:val="clear" w:color="auto" w:fill="36424B" w:themeFill="text2" w:themeFillShade="BF"/>
          </w:tcPr>
          <w:p w14:paraId="6F0843F6" w14:textId="77777777" w:rsidR="00106299" w:rsidRPr="0006769A" w:rsidRDefault="00106299" w:rsidP="00A420A4">
            <w:pPr>
              <w:ind w:left="447" w:hanging="447"/>
              <w:rPr>
                <w:rFonts w:cstheme="minorHAnsi"/>
                <w:b/>
                <w:bCs/>
                <w:color w:val="FFFFFF" w:themeColor="background1"/>
              </w:rPr>
            </w:pPr>
            <w:bookmarkStart w:id="0" w:name="_Hlk74220631"/>
            <w:r w:rsidRPr="0006769A">
              <w:rPr>
                <w:rFonts w:cstheme="minorHAnsi"/>
                <w:b/>
                <w:bCs/>
                <w:color w:val="FFFFFF" w:themeColor="background1"/>
              </w:rPr>
              <w:t>Recommendation</w:t>
            </w:r>
          </w:p>
        </w:tc>
        <w:tc>
          <w:tcPr>
            <w:tcW w:w="1065" w:type="dxa"/>
            <w:shd w:val="clear" w:color="auto" w:fill="36424B" w:themeFill="text2" w:themeFillShade="BF"/>
          </w:tcPr>
          <w:p w14:paraId="2B241879" w14:textId="77777777" w:rsidR="00106299" w:rsidRPr="0006769A" w:rsidRDefault="00106299" w:rsidP="00A420A4">
            <w:pPr>
              <w:rPr>
                <w:rFonts w:cstheme="minorHAnsi"/>
                <w:b/>
                <w:bCs/>
                <w:color w:val="FFFFFF" w:themeColor="background1"/>
              </w:rPr>
            </w:pPr>
            <w:r w:rsidRPr="0006769A">
              <w:rPr>
                <w:rFonts w:cstheme="minorHAnsi"/>
                <w:b/>
                <w:bCs/>
                <w:color w:val="FFFFFF" w:themeColor="background1"/>
              </w:rPr>
              <w:t>Response</w:t>
            </w:r>
          </w:p>
        </w:tc>
        <w:tc>
          <w:tcPr>
            <w:tcW w:w="4359" w:type="dxa"/>
            <w:shd w:val="clear" w:color="auto" w:fill="36424B" w:themeFill="text2" w:themeFillShade="BF"/>
          </w:tcPr>
          <w:p w14:paraId="22CBA736" w14:textId="77777777" w:rsidR="00106299" w:rsidRPr="0006769A" w:rsidRDefault="00106299" w:rsidP="00A420A4">
            <w:pPr>
              <w:rPr>
                <w:rFonts w:cstheme="minorHAnsi"/>
                <w:b/>
                <w:bCs/>
                <w:color w:val="FFFFFF" w:themeColor="background1"/>
              </w:rPr>
            </w:pPr>
            <w:r w:rsidRPr="0006769A">
              <w:rPr>
                <w:rFonts w:cstheme="minorHAnsi"/>
                <w:b/>
                <w:bCs/>
                <w:color w:val="FFFFFF" w:themeColor="background1"/>
              </w:rPr>
              <w:t xml:space="preserve">Explanation </w:t>
            </w:r>
          </w:p>
        </w:tc>
        <w:tc>
          <w:tcPr>
            <w:tcW w:w="5103" w:type="dxa"/>
            <w:shd w:val="clear" w:color="auto" w:fill="36424B" w:themeFill="text2" w:themeFillShade="BF"/>
          </w:tcPr>
          <w:p w14:paraId="79DA8081" w14:textId="77777777" w:rsidR="00106299" w:rsidRPr="0006769A" w:rsidRDefault="00106299" w:rsidP="00A420A4">
            <w:pPr>
              <w:rPr>
                <w:rFonts w:cstheme="minorHAnsi"/>
                <w:b/>
                <w:bCs/>
                <w:color w:val="FFFFFF" w:themeColor="background1"/>
              </w:rPr>
            </w:pPr>
            <w:r w:rsidRPr="0006769A">
              <w:rPr>
                <w:rFonts w:cstheme="minorHAnsi"/>
                <w:b/>
                <w:bCs/>
                <w:color w:val="FFFFFF" w:themeColor="background1"/>
              </w:rPr>
              <w:t xml:space="preserve">Action Plan </w:t>
            </w:r>
          </w:p>
        </w:tc>
        <w:tc>
          <w:tcPr>
            <w:tcW w:w="1843" w:type="dxa"/>
            <w:shd w:val="clear" w:color="auto" w:fill="36424B" w:themeFill="text2" w:themeFillShade="BF"/>
          </w:tcPr>
          <w:p w14:paraId="4E80D66A" w14:textId="77777777" w:rsidR="00106299" w:rsidRPr="0006769A" w:rsidRDefault="00106299" w:rsidP="00A420A4">
            <w:pPr>
              <w:rPr>
                <w:rFonts w:cstheme="minorHAnsi"/>
                <w:b/>
                <w:bCs/>
                <w:color w:val="FFFFFF" w:themeColor="background1"/>
              </w:rPr>
            </w:pPr>
            <w:r w:rsidRPr="0006769A">
              <w:rPr>
                <w:rFonts w:cstheme="minorHAnsi"/>
                <w:b/>
                <w:bCs/>
                <w:color w:val="FFFFFF" w:themeColor="background1"/>
              </w:rPr>
              <w:t xml:space="preserve">Timeframe </w:t>
            </w:r>
          </w:p>
        </w:tc>
      </w:tr>
      <w:tr w:rsidR="00106299" w:rsidRPr="0006769A" w14:paraId="17CDBA7A" w14:textId="77777777" w:rsidTr="00A420A4">
        <w:tc>
          <w:tcPr>
            <w:tcW w:w="15446" w:type="dxa"/>
            <w:gridSpan w:val="5"/>
            <w:shd w:val="clear" w:color="auto" w:fill="B0BDC6" w:themeFill="text2" w:themeFillTint="66"/>
          </w:tcPr>
          <w:p w14:paraId="23EEB620" w14:textId="77777777" w:rsidR="00106299" w:rsidRPr="0006769A" w:rsidRDefault="00106299" w:rsidP="00A420A4">
            <w:pPr>
              <w:rPr>
                <w:rFonts w:cstheme="minorHAnsi"/>
                <w:b/>
                <w:bCs/>
                <w:i/>
                <w:iCs/>
                <w:color w:val="auto"/>
              </w:rPr>
            </w:pPr>
            <w:r w:rsidRPr="0006769A">
              <w:rPr>
                <w:rFonts w:cstheme="minorHAnsi"/>
                <w:b/>
                <w:bCs/>
                <w:i/>
                <w:iCs/>
                <w:color w:val="auto"/>
              </w:rPr>
              <w:t xml:space="preserve">Future priorities for the next Strategic Partnership Framework </w:t>
            </w:r>
          </w:p>
        </w:tc>
      </w:tr>
      <w:tr w:rsidR="00106299" w:rsidRPr="0006769A" w14:paraId="5745E609" w14:textId="77777777" w:rsidTr="00A420A4">
        <w:tc>
          <w:tcPr>
            <w:tcW w:w="3076" w:type="dxa"/>
          </w:tcPr>
          <w:p w14:paraId="4A778D6C" w14:textId="77777777" w:rsidR="00106299" w:rsidRPr="0006769A" w:rsidRDefault="00106299" w:rsidP="00A420A4">
            <w:pPr>
              <w:pStyle w:val="Heading4"/>
              <w:numPr>
                <w:ilvl w:val="0"/>
                <w:numId w:val="13"/>
              </w:numPr>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The Partnership should retain and build upon work in the established SPF priority areas, integrating cross-cutting COVID-19 response and recovery initiatives, and separating women’s political leadership, WPS, DRR (including climate change) and humanitarian work to allow an appropriate level of focus and clarity on expected performance in each area. </w:t>
            </w:r>
          </w:p>
        </w:tc>
        <w:tc>
          <w:tcPr>
            <w:tcW w:w="1065" w:type="dxa"/>
            <w:shd w:val="clear" w:color="auto" w:fill="FFCC99"/>
          </w:tcPr>
          <w:p w14:paraId="67793D6D" w14:textId="77777777" w:rsidR="00106299" w:rsidRPr="0006769A" w:rsidRDefault="00106299" w:rsidP="00A420A4">
            <w:pPr>
              <w:jc w:val="center"/>
              <w:rPr>
                <w:rFonts w:cstheme="minorHAnsi"/>
                <w:b/>
                <w:bCs/>
                <w:color w:val="auto"/>
              </w:rPr>
            </w:pPr>
            <w:r w:rsidRPr="0006769A">
              <w:rPr>
                <w:rFonts w:cstheme="minorHAnsi"/>
                <w:b/>
                <w:bCs/>
                <w:color w:val="auto"/>
              </w:rPr>
              <w:t>Partially agree</w:t>
            </w:r>
          </w:p>
        </w:tc>
        <w:tc>
          <w:tcPr>
            <w:tcW w:w="4359" w:type="dxa"/>
          </w:tcPr>
          <w:p w14:paraId="31366C98"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DFAT and UN Women continue to have closely aligned strategic priorities, which will be reflected in the new SPF. </w:t>
            </w:r>
          </w:p>
          <w:p w14:paraId="0FF0CF93"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The SPF should ensure that strategic priorities remain targeted, </w:t>
            </w:r>
            <w:proofErr w:type="gramStart"/>
            <w:r w:rsidRPr="0006769A">
              <w:rPr>
                <w:rFonts w:asciiTheme="minorHAnsi" w:hAnsiTheme="minorHAnsi" w:cstheme="minorHAnsi"/>
                <w:color w:val="auto"/>
                <w:sz w:val="22"/>
                <w:szCs w:val="22"/>
                <w:lang w:val="en-AU"/>
              </w:rPr>
              <w:t>relevant</w:t>
            </w:r>
            <w:proofErr w:type="gramEnd"/>
            <w:r w:rsidRPr="0006769A">
              <w:rPr>
                <w:rFonts w:asciiTheme="minorHAnsi" w:hAnsiTheme="minorHAnsi" w:cstheme="minorHAnsi"/>
                <w:color w:val="auto"/>
                <w:sz w:val="22"/>
                <w:szCs w:val="22"/>
                <w:lang w:val="en-AU"/>
              </w:rPr>
              <w:t xml:space="preserve"> and realistic, and are not broadened too far. </w:t>
            </w:r>
          </w:p>
          <w:p w14:paraId="2457F167"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rPr>
            </w:pPr>
            <w:r w:rsidRPr="0006769A">
              <w:rPr>
                <w:rFonts w:asciiTheme="minorHAnsi" w:hAnsiTheme="minorHAnsi" w:cstheme="minorHAnsi"/>
                <w:color w:val="auto"/>
                <w:sz w:val="22"/>
                <w:szCs w:val="22"/>
                <w:lang w:val="en-AU"/>
              </w:rPr>
              <w:t>DFAT notes UN Women’s increased involvement in humanitarian action and that its strategic role in this area has not yet been fully defined. This will need to be considered and further explored as part of the SPF negotiations and clearly articulated in the final SPF. DFAT agrees with a 2019 UN Women corporate evaluation which noted that UN Women needed to increase humanitarian action effectiveness and impact by better linking its work to system-wide responses while minimising programming not carried out in partnership or that does not have broader strategic importance.</w:t>
            </w:r>
            <w:r w:rsidRPr="0006769A">
              <w:rPr>
                <w:rFonts w:asciiTheme="minorHAnsi" w:hAnsiTheme="minorHAnsi" w:cstheme="minorHAnsi"/>
                <w:color w:val="auto"/>
                <w:sz w:val="22"/>
                <w:szCs w:val="22"/>
              </w:rPr>
              <w:t xml:space="preserve"> </w:t>
            </w:r>
          </w:p>
        </w:tc>
        <w:tc>
          <w:tcPr>
            <w:tcW w:w="5103" w:type="dxa"/>
          </w:tcPr>
          <w:p w14:paraId="5CD4BC55"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As part of the SPF negotiations DFAT and UN Women will agree on priority areas based on: DFAT / UN Women policy priorities (including the new UN Women Strategic Plan and DFAT’s Partnerships for Recovery); consultation; past performance; and recommendations set out in this review.</w:t>
            </w:r>
          </w:p>
          <w:p w14:paraId="6849E065"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DFAT agrees that COVID-19 response and recovery priorities/initiatives should be included as a cross cutting priority in the SPF.</w:t>
            </w:r>
          </w:p>
          <w:p w14:paraId="75326286"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Clarify DFAT’s expectations of UN Women’s role in humanitarian action during bilateral </w:t>
            </w:r>
            <w:proofErr w:type="gramStart"/>
            <w:r w:rsidRPr="0006769A">
              <w:rPr>
                <w:rFonts w:asciiTheme="minorHAnsi" w:hAnsiTheme="minorHAnsi" w:cstheme="minorHAnsi"/>
                <w:color w:val="auto"/>
                <w:sz w:val="22"/>
                <w:szCs w:val="22"/>
                <w:lang w:val="en-AU"/>
              </w:rPr>
              <w:t>High Level</w:t>
            </w:r>
            <w:proofErr w:type="gramEnd"/>
            <w:r w:rsidRPr="0006769A">
              <w:rPr>
                <w:rFonts w:asciiTheme="minorHAnsi" w:hAnsiTheme="minorHAnsi" w:cstheme="minorHAnsi"/>
                <w:color w:val="auto"/>
                <w:sz w:val="22"/>
                <w:szCs w:val="22"/>
                <w:lang w:val="en-AU"/>
              </w:rPr>
              <w:t xml:space="preserve"> Consultations (HLCs) on 21 July, and reflect this in the new SPF. </w:t>
            </w:r>
          </w:p>
          <w:p w14:paraId="28FA94BC" w14:textId="77777777" w:rsidR="00106299" w:rsidRPr="0006769A" w:rsidRDefault="00106299" w:rsidP="00A420A4">
            <w:pPr>
              <w:pStyle w:val="ListParagraph"/>
              <w:ind w:left="360"/>
              <w:rPr>
                <w:rFonts w:asciiTheme="minorHAnsi" w:hAnsiTheme="minorHAnsi" w:cstheme="minorHAnsi"/>
                <w:sz w:val="22"/>
                <w:szCs w:val="22"/>
              </w:rPr>
            </w:pPr>
          </w:p>
        </w:tc>
        <w:tc>
          <w:tcPr>
            <w:tcW w:w="1843" w:type="dxa"/>
          </w:tcPr>
          <w:p w14:paraId="3028B30F"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July – December 2021, as part of SPF negotiations and drafting</w:t>
            </w:r>
          </w:p>
          <w:p w14:paraId="246A1A39"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p>
          <w:p w14:paraId="157CB308"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p>
          <w:p w14:paraId="6BED07D4"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p>
          <w:p w14:paraId="7F524C9E"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p>
          <w:p w14:paraId="13524C4D"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rPr>
            </w:pPr>
            <w:r w:rsidRPr="0006769A">
              <w:rPr>
                <w:rFonts w:asciiTheme="minorHAnsi" w:hAnsiTheme="minorHAnsi" w:cstheme="minorHAnsi"/>
                <w:color w:val="auto"/>
                <w:sz w:val="22"/>
                <w:szCs w:val="22"/>
                <w:lang w:val="en-AU"/>
              </w:rPr>
              <w:t>22 July 2021</w:t>
            </w:r>
          </w:p>
        </w:tc>
      </w:tr>
    </w:tbl>
    <w:p w14:paraId="2F96CCB9" w14:textId="77777777" w:rsidR="00106299" w:rsidRPr="0006769A" w:rsidRDefault="00106299" w:rsidP="00106299"/>
    <w:tbl>
      <w:tblPr>
        <w:tblStyle w:val="TableGrid"/>
        <w:tblpPr w:leftFromText="180" w:rightFromText="180" w:tblpY="405"/>
        <w:tblW w:w="15446" w:type="dxa"/>
        <w:tblLook w:val="04A0" w:firstRow="1" w:lastRow="0" w:firstColumn="1" w:lastColumn="0" w:noHBand="0" w:noVBand="1"/>
      </w:tblPr>
      <w:tblGrid>
        <w:gridCol w:w="3102"/>
        <w:gridCol w:w="1004"/>
        <w:gridCol w:w="4394"/>
        <w:gridCol w:w="5103"/>
        <w:gridCol w:w="1843"/>
      </w:tblGrid>
      <w:tr w:rsidR="00106299" w:rsidRPr="0006769A" w14:paraId="6449F4E9" w14:textId="77777777" w:rsidTr="00A420A4">
        <w:tc>
          <w:tcPr>
            <w:tcW w:w="15446" w:type="dxa"/>
            <w:gridSpan w:val="5"/>
            <w:shd w:val="clear" w:color="auto" w:fill="B0BDC6" w:themeFill="text2" w:themeFillTint="66"/>
          </w:tcPr>
          <w:p w14:paraId="4738ACCC" w14:textId="77777777" w:rsidR="00106299" w:rsidRPr="0006769A" w:rsidRDefault="00106299" w:rsidP="00A420A4">
            <w:pPr>
              <w:rPr>
                <w:rFonts w:cstheme="minorHAnsi"/>
                <w:b/>
                <w:bCs/>
                <w:i/>
                <w:iCs/>
                <w:color w:val="auto"/>
              </w:rPr>
            </w:pPr>
            <w:r w:rsidRPr="0006769A">
              <w:rPr>
                <w:rFonts w:cstheme="minorHAnsi"/>
                <w:b/>
                <w:bCs/>
                <w:i/>
                <w:iCs/>
                <w:color w:val="auto"/>
              </w:rPr>
              <w:lastRenderedPageBreak/>
              <w:t>How Partnership dynamics, implementation approaches, and operational arrangements can change to support the work.</w:t>
            </w:r>
          </w:p>
        </w:tc>
      </w:tr>
      <w:tr w:rsidR="00106299" w:rsidRPr="0006769A" w14:paraId="148D4F7C" w14:textId="77777777" w:rsidTr="00A420A4">
        <w:tc>
          <w:tcPr>
            <w:tcW w:w="3102" w:type="dxa"/>
          </w:tcPr>
          <w:p w14:paraId="04457094" w14:textId="77777777" w:rsidR="00106299" w:rsidRPr="0006769A" w:rsidRDefault="00106299" w:rsidP="00A420A4">
            <w:pPr>
              <w:pStyle w:val="Heading4"/>
              <w:numPr>
                <w:ilvl w:val="0"/>
                <w:numId w:val="13"/>
              </w:numPr>
              <w:suppressAutoHyphens w:val="0"/>
              <w:spacing w:before="60" w:after="60" w:line="240" w:lineRule="auto"/>
              <w:contextualSpacing w:val="0"/>
              <w:outlineLvl w:val="3"/>
              <w:rPr>
                <w:rFonts w:asciiTheme="minorHAnsi" w:hAnsiTheme="minorHAnsi" w:cstheme="minorHAnsi"/>
                <w:color w:val="auto"/>
                <w:sz w:val="22"/>
                <w:szCs w:val="22"/>
                <w:lang w:val="en-AU"/>
              </w:rPr>
            </w:pPr>
            <w:bookmarkStart w:id="1" w:name="_Hlk69383602"/>
            <w:r w:rsidRPr="0006769A">
              <w:rPr>
                <w:rFonts w:asciiTheme="minorHAnsi" w:hAnsiTheme="minorHAnsi" w:cstheme="minorHAnsi"/>
                <w:color w:val="auto"/>
                <w:sz w:val="22"/>
                <w:szCs w:val="22"/>
                <w:lang w:val="en-AU"/>
              </w:rPr>
              <w:t xml:space="preserve">DFAT could provide non-core resourcing to continue linking policy and research to programming and </w:t>
            </w:r>
            <w:proofErr w:type="gramStart"/>
            <w:r w:rsidRPr="0006769A">
              <w:rPr>
                <w:rFonts w:asciiTheme="minorHAnsi" w:hAnsiTheme="minorHAnsi" w:cstheme="minorHAnsi"/>
                <w:color w:val="auto"/>
                <w:sz w:val="22"/>
                <w:szCs w:val="22"/>
                <w:lang w:val="en-AU"/>
              </w:rPr>
              <w:t>funding, and</w:t>
            </w:r>
            <w:proofErr w:type="gramEnd"/>
            <w:r w:rsidRPr="0006769A">
              <w:rPr>
                <w:rFonts w:asciiTheme="minorHAnsi" w:hAnsiTheme="minorHAnsi" w:cstheme="minorHAnsi"/>
                <w:color w:val="auto"/>
                <w:sz w:val="22"/>
                <w:szCs w:val="22"/>
                <w:lang w:val="en-AU"/>
              </w:rPr>
              <w:t xml:space="preserve"> invest to translate normative work to the Indo-Pacific. </w:t>
            </w:r>
            <w:bookmarkEnd w:id="1"/>
          </w:p>
        </w:tc>
        <w:tc>
          <w:tcPr>
            <w:tcW w:w="1004" w:type="dxa"/>
            <w:shd w:val="clear" w:color="auto" w:fill="CDE2B9" w:themeFill="accent2" w:themeFillTint="99"/>
          </w:tcPr>
          <w:p w14:paraId="76FCA0C0" w14:textId="77777777" w:rsidR="00106299" w:rsidRPr="0006769A" w:rsidRDefault="00106299" w:rsidP="00A420A4">
            <w:pPr>
              <w:jc w:val="center"/>
              <w:rPr>
                <w:rFonts w:cstheme="minorHAnsi"/>
                <w:b/>
                <w:bCs/>
                <w:color w:val="auto"/>
              </w:rPr>
            </w:pPr>
            <w:r w:rsidRPr="0006769A">
              <w:rPr>
                <w:rFonts w:cstheme="minorHAnsi"/>
                <w:b/>
                <w:bCs/>
                <w:color w:val="auto"/>
              </w:rPr>
              <w:t>Agree</w:t>
            </w:r>
          </w:p>
        </w:tc>
        <w:tc>
          <w:tcPr>
            <w:tcW w:w="4394" w:type="dxa"/>
          </w:tcPr>
          <w:p w14:paraId="54AFCE6D" w14:textId="77777777" w:rsidR="00106299" w:rsidRPr="0006769A" w:rsidRDefault="00106299" w:rsidP="00A420A4">
            <w:pPr>
              <w:rPr>
                <w:rFonts w:cstheme="minorHAnsi"/>
                <w:color w:val="auto"/>
              </w:rPr>
            </w:pPr>
            <w:r w:rsidRPr="0006769A">
              <w:rPr>
                <w:rFonts w:cstheme="minorHAnsi"/>
                <w:color w:val="auto"/>
              </w:rPr>
              <w:t xml:space="preserve">DFAT and UN Women value non-core resourcing to support Australian and regional priorities and interests. </w:t>
            </w:r>
          </w:p>
        </w:tc>
        <w:tc>
          <w:tcPr>
            <w:tcW w:w="5103" w:type="dxa"/>
          </w:tcPr>
          <w:p w14:paraId="778EFBFE"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DFAT will continue to provide non-core resourcing to UN Women including through bilateral, </w:t>
            </w:r>
            <w:proofErr w:type="gramStart"/>
            <w:r w:rsidRPr="0006769A">
              <w:rPr>
                <w:rFonts w:asciiTheme="minorHAnsi" w:hAnsiTheme="minorHAnsi" w:cstheme="minorHAnsi"/>
                <w:color w:val="auto"/>
                <w:sz w:val="22"/>
                <w:szCs w:val="22"/>
                <w:lang w:val="en-AU"/>
              </w:rPr>
              <w:t>regional</w:t>
            </w:r>
            <w:proofErr w:type="gramEnd"/>
            <w:r w:rsidRPr="0006769A">
              <w:rPr>
                <w:rFonts w:asciiTheme="minorHAnsi" w:hAnsiTheme="minorHAnsi" w:cstheme="minorHAnsi"/>
                <w:color w:val="auto"/>
                <w:sz w:val="22"/>
                <w:szCs w:val="22"/>
                <w:lang w:val="en-AU"/>
              </w:rPr>
              <w:t xml:space="preserve"> and global programming. This will be reflected in the new SPF.  </w:t>
            </w:r>
          </w:p>
          <w:p w14:paraId="43663BA8"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DFAT will continue to advocate for greater linkages between UN Women’s advocacy work and its programs, particularly in the Indo-Pacific. This should include greater collaboration between UN Women headquarters and bilateral programming. </w:t>
            </w:r>
          </w:p>
        </w:tc>
        <w:tc>
          <w:tcPr>
            <w:tcW w:w="1843" w:type="dxa"/>
          </w:tcPr>
          <w:p w14:paraId="440B6396" w14:textId="77777777" w:rsidR="00106299" w:rsidRPr="0006769A" w:rsidRDefault="00106299" w:rsidP="00A420A4">
            <w:pPr>
              <w:rPr>
                <w:rFonts w:eastAsiaTheme="majorEastAsia" w:cstheme="minorHAnsi"/>
                <w:bCs/>
                <w:iCs/>
                <w:color w:val="auto"/>
                <w:lang w:val="en-AU"/>
              </w:rPr>
            </w:pPr>
            <w:r w:rsidRPr="0006769A">
              <w:rPr>
                <w:rFonts w:eastAsiaTheme="majorEastAsia" w:cstheme="minorHAnsi"/>
                <w:bCs/>
                <w:iCs/>
                <w:color w:val="auto"/>
                <w:lang w:val="en-AU"/>
              </w:rPr>
              <w:t>July – December 2021, as part of SPF negotiations and drafting</w:t>
            </w:r>
          </w:p>
          <w:p w14:paraId="03F85D3E" w14:textId="77777777" w:rsidR="00106299" w:rsidRPr="0006769A" w:rsidRDefault="00106299" w:rsidP="00A420A4">
            <w:pPr>
              <w:rPr>
                <w:rFonts w:eastAsiaTheme="majorEastAsia" w:cstheme="minorHAnsi"/>
                <w:bCs/>
                <w:iCs/>
                <w:color w:val="auto"/>
                <w:lang w:val="en-AU"/>
              </w:rPr>
            </w:pPr>
          </w:p>
          <w:p w14:paraId="6A1DCEA4" w14:textId="77777777" w:rsidR="00106299" w:rsidRPr="0006769A" w:rsidRDefault="00106299" w:rsidP="00A420A4">
            <w:pPr>
              <w:rPr>
                <w:rFonts w:eastAsiaTheme="majorEastAsia" w:cstheme="minorHAnsi"/>
                <w:bCs/>
                <w:iCs/>
                <w:color w:val="auto"/>
                <w:lang w:val="en-AU"/>
              </w:rPr>
            </w:pPr>
            <w:r w:rsidRPr="0006769A">
              <w:rPr>
                <w:rFonts w:eastAsiaTheme="majorEastAsia" w:cstheme="minorHAnsi"/>
                <w:bCs/>
                <w:iCs/>
                <w:color w:val="auto"/>
                <w:lang w:val="en-AU"/>
              </w:rPr>
              <w:t xml:space="preserve">Ongoing advocacy </w:t>
            </w:r>
          </w:p>
        </w:tc>
      </w:tr>
      <w:tr w:rsidR="00106299" w:rsidRPr="0006769A" w14:paraId="3BFFE731" w14:textId="77777777" w:rsidTr="00A420A4">
        <w:tc>
          <w:tcPr>
            <w:tcW w:w="3102" w:type="dxa"/>
          </w:tcPr>
          <w:p w14:paraId="0C2EFCBA" w14:textId="77777777" w:rsidR="00106299" w:rsidRPr="0006769A" w:rsidRDefault="00106299" w:rsidP="00A420A4">
            <w:pPr>
              <w:pStyle w:val="Heading4"/>
              <w:numPr>
                <w:ilvl w:val="0"/>
                <w:numId w:val="13"/>
              </w:numPr>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The next SPF should prioritise joint programming and working through UN agency, CSO, and private sector partnerships and DFAT programs, while maintaining the UN Women identity, brand, and unique value proposition.</w:t>
            </w:r>
          </w:p>
        </w:tc>
        <w:tc>
          <w:tcPr>
            <w:tcW w:w="1004" w:type="dxa"/>
            <w:shd w:val="clear" w:color="auto" w:fill="CDE2B9" w:themeFill="accent2" w:themeFillTint="99"/>
          </w:tcPr>
          <w:p w14:paraId="01A21349" w14:textId="77777777" w:rsidR="00106299" w:rsidRPr="0006769A" w:rsidRDefault="00106299" w:rsidP="00A420A4">
            <w:pPr>
              <w:jc w:val="center"/>
              <w:rPr>
                <w:rFonts w:cstheme="minorHAnsi"/>
                <w:b/>
                <w:bCs/>
                <w:color w:val="auto"/>
              </w:rPr>
            </w:pPr>
            <w:r w:rsidRPr="0006769A">
              <w:rPr>
                <w:rFonts w:cstheme="minorHAnsi"/>
                <w:b/>
                <w:bCs/>
                <w:color w:val="auto"/>
              </w:rPr>
              <w:t>Agree</w:t>
            </w:r>
          </w:p>
        </w:tc>
        <w:tc>
          <w:tcPr>
            <w:tcW w:w="4394" w:type="dxa"/>
          </w:tcPr>
          <w:p w14:paraId="41CA9556"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Effective partnerships </w:t>
            </w:r>
            <w:proofErr w:type="gramStart"/>
            <w:r w:rsidRPr="0006769A">
              <w:rPr>
                <w:rFonts w:asciiTheme="minorHAnsi" w:hAnsiTheme="minorHAnsi" w:cstheme="minorHAnsi"/>
                <w:color w:val="auto"/>
                <w:sz w:val="22"/>
                <w:szCs w:val="22"/>
                <w:lang w:val="en-AU"/>
              </w:rPr>
              <w:t>is</w:t>
            </w:r>
            <w:proofErr w:type="gramEnd"/>
            <w:r w:rsidRPr="0006769A">
              <w:rPr>
                <w:rFonts w:asciiTheme="minorHAnsi" w:hAnsiTheme="minorHAnsi" w:cstheme="minorHAnsi"/>
                <w:color w:val="auto"/>
                <w:sz w:val="22"/>
                <w:szCs w:val="22"/>
                <w:lang w:val="en-AU"/>
              </w:rPr>
              <w:t xml:space="preserve"> one of the principles guiding Australia’s development program. DFAT values the coordination role UN Women plays within the UN system on gender equality, as well as its partnership approach. </w:t>
            </w:r>
          </w:p>
        </w:tc>
        <w:tc>
          <w:tcPr>
            <w:tcW w:w="5103" w:type="dxa"/>
          </w:tcPr>
          <w:p w14:paraId="13CFD877"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As part of the SPF negotiations DFAT and UN Women will discuss expectations and principles for joint programming, including in the humanitarian space. </w:t>
            </w:r>
          </w:p>
          <w:p w14:paraId="27B01277"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DFAT notes that partners also have an obligation to meet DFAT expectations in terms of compliance and SPF objectives.</w:t>
            </w:r>
          </w:p>
        </w:tc>
        <w:tc>
          <w:tcPr>
            <w:tcW w:w="1843" w:type="dxa"/>
          </w:tcPr>
          <w:p w14:paraId="28C132C7" w14:textId="77777777" w:rsidR="00106299" w:rsidRPr="0006769A" w:rsidRDefault="00106299" w:rsidP="00A420A4">
            <w:pPr>
              <w:rPr>
                <w:rFonts w:eastAsiaTheme="majorEastAsia" w:cstheme="minorHAnsi"/>
                <w:bCs/>
                <w:iCs/>
                <w:color w:val="auto"/>
                <w:lang w:val="en-AU"/>
              </w:rPr>
            </w:pPr>
            <w:r w:rsidRPr="0006769A">
              <w:rPr>
                <w:rFonts w:eastAsiaTheme="majorEastAsia" w:cstheme="minorHAnsi"/>
                <w:bCs/>
                <w:iCs/>
                <w:color w:val="auto"/>
                <w:lang w:val="en-AU"/>
              </w:rPr>
              <w:t>July – December 2021, as part of SPF negotiations and drafting</w:t>
            </w:r>
          </w:p>
          <w:p w14:paraId="16C5C414" w14:textId="77777777" w:rsidR="00106299" w:rsidRPr="0006769A" w:rsidRDefault="00106299" w:rsidP="00A420A4">
            <w:pPr>
              <w:rPr>
                <w:rFonts w:eastAsiaTheme="majorEastAsia" w:cstheme="minorHAnsi"/>
                <w:bCs/>
                <w:iCs/>
                <w:color w:val="auto"/>
                <w:lang w:val="en-AU"/>
              </w:rPr>
            </w:pPr>
          </w:p>
        </w:tc>
      </w:tr>
      <w:tr w:rsidR="00106299" w:rsidRPr="0006769A" w14:paraId="60E694B4" w14:textId="77777777" w:rsidTr="00A420A4">
        <w:tc>
          <w:tcPr>
            <w:tcW w:w="3102" w:type="dxa"/>
          </w:tcPr>
          <w:p w14:paraId="635517EB" w14:textId="77777777" w:rsidR="00106299" w:rsidRPr="0006769A" w:rsidRDefault="00106299" w:rsidP="00A420A4">
            <w:pPr>
              <w:pStyle w:val="Heading4"/>
              <w:numPr>
                <w:ilvl w:val="0"/>
                <w:numId w:val="13"/>
              </w:numPr>
              <w:suppressAutoHyphens w:val="0"/>
              <w:spacing w:before="60" w:after="60" w:line="240" w:lineRule="auto"/>
              <w:contextualSpacing w:val="0"/>
              <w:outlineLvl w:val="3"/>
              <w:rPr>
                <w:rFonts w:asciiTheme="minorHAnsi" w:hAnsiTheme="minorHAnsi" w:cstheme="minorHAnsi"/>
                <w:color w:val="auto"/>
                <w:sz w:val="22"/>
                <w:szCs w:val="22"/>
                <w:lang w:val="en-AU"/>
              </w:rPr>
            </w:pPr>
            <w:bookmarkStart w:id="2" w:name="_Hlk67577780"/>
            <w:r w:rsidRPr="0006769A">
              <w:rPr>
                <w:rFonts w:asciiTheme="minorHAnsi" w:hAnsiTheme="minorHAnsi" w:cstheme="minorHAnsi"/>
                <w:color w:val="auto"/>
                <w:sz w:val="22"/>
                <w:szCs w:val="22"/>
                <w:lang w:val="en-AU"/>
              </w:rPr>
              <w:t>The Partnership should ensure that engagement is strategic and does not add transaction costs without adding value.</w:t>
            </w:r>
            <w:bookmarkEnd w:id="2"/>
          </w:p>
        </w:tc>
        <w:tc>
          <w:tcPr>
            <w:tcW w:w="1004" w:type="dxa"/>
            <w:shd w:val="clear" w:color="auto" w:fill="CDE2B9" w:themeFill="accent2" w:themeFillTint="99"/>
          </w:tcPr>
          <w:p w14:paraId="52837966" w14:textId="77777777" w:rsidR="00106299" w:rsidRPr="0006769A" w:rsidRDefault="00106299" w:rsidP="00A420A4">
            <w:pPr>
              <w:jc w:val="center"/>
              <w:rPr>
                <w:rFonts w:cstheme="minorHAnsi"/>
                <w:b/>
                <w:bCs/>
                <w:color w:val="auto"/>
              </w:rPr>
            </w:pPr>
            <w:r w:rsidRPr="0006769A">
              <w:rPr>
                <w:rFonts w:cstheme="minorHAnsi"/>
                <w:b/>
                <w:bCs/>
                <w:color w:val="auto"/>
              </w:rPr>
              <w:t>Agree</w:t>
            </w:r>
          </w:p>
        </w:tc>
        <w:tc>
          <w:tcPr>
            <w:tcW w:w="4394" w:type="dxa"/>
          </w:tcPr>
          <w:p w14:paraId="18D50E88"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A key benefit of having an overarching Strategic Partnership Framework is to streamline reporting requirements and reduce transaction costs. DFAT acknowledges UN Women’s concerns about some high reporting requirements (particularly for smaller programs with multiple funders) raised in this review. </w:t>
            </w:r>
          </w:p>
        </w:tc>
        <w:tc>
          <w:tcPr>
            <w:tcW w:w="5103" w:type="dxa"/>
          </w:tcPr>
          <w:p w14:paraId="409B2E07"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DFAT will clarify its expectations for reporting and use SPF negotiations to improve efficiency in how we manage and oversee non-core contributions under SPF subsidiary agreements. </w:t>
            </w:r>
          </w:p>
          <w:p w14:paraId="1C41AC58"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DFAT will map existing reporting requirements for UN Women investments and seek to ensure reporting is as streamlined as possible and commensurate to the activity. </w:t>
            </w:r>
          </w:p>
        </w:tc>
        <w:tc>
          <w:tcPr>
            <w:tcW w:w="1843" w:type="dxa"/>
          </w:tcPr>
          <w:p w14:paraId="1E7D71BB" w14:textId="77777777" w:rsidR="00106299" w:rsidRPr="0006769A" w:rsidRDefault="00106299" w:rsidP="00A420A4">
            <w:pPr>
              <w:rPr>
                <w:rFonts w:eastAsiaTheme="majorEastAsia" w:cstheme="minorHAnsi"/>
                <w:bCs/>
                <w:iCs/>
                <w:color w:val="auto"/>
                <w:lang w:val="en-AU"/>
              </w:rPr>
            </w:pPr>
            <w:r w:rsidRPr="0006769A">
              <w:rPr>
                <w:rFonts w:eastAsiaTheme="majorEastAsia" w:cstheme="minorHAnsi"/>
                <w:bCs/>
                <w:iCs/>
                <w:color w:val="auto"/>
                <w:lang w:val="en-AU"/>
              </w:rPr>
              <w:t>July – December 2021, as part of SPF negotiations and drafting</w:t>
            </w:r>
          </w:p>
          <w:p w14:paraId="4D80CA88" w14:textId="77777777" w:rsidR="00106299" w:rsidRPr="0006769A" w:rsidRDefault="00106299" w:rsidP="00A420A4">
            <w:pPr>
              <w:rPr>
                <w:rFonts w:eastAsiaTheme="majorEastAsia" w:cstheme="minorHAnsi"/>
                <w:bCs/>
                <w:iCs/>
                <w:color w:val="auto"/>
                <w:lang w:val="en-AU"/>
              </w:rPr>
            </w:pPr>
          </w:p>
        </w:tc>
      </w:tr>
    </w:tbl>
    <w:p w14:paraId="08E39A4E" w14:textId="77777777" w:rsidR="00106299" w:rsidRPr="0006769A" w:rsidRDefault="00106299" w:rsidP="00106299">
      <w:pPr>
        <w:rPr>
          <w:bCs/>
          <w:iCs/>
        </w:rPr>
      </w:pPr>
      <w:r w:rsidRPr="0006769A">
        <w:rPr>
          <w:bCs/>
          <w:iCs/>
        </w:rPr>
        <w:br w:type="page"/>
      </w:r>
    </w:p>
    <w:p w14:paraId="1EA35ECE" w14:textId="77777777" w:rsidR="00106299" w:rsidRPr="0006769A" w:rsidRDefault="00106299" w:rsidP="00106299"/>
    <w:tbl>
      <w:tblPr>
        <w:tblStyle w:val="TableGrid"/>
        <w:tblpPr w:leftFromText="180" w:rightFromText="180" w:tblpY="405"/>
        <w:tblW w:w="15446" w:type="dxa"/>
        <w:tblLook w:val="04A0" w:firstRow="1" w:lastRow="0" w:firstColumn="1" w:lastColumn="0" w:noHBand="0" w:noVBand="1"/>
      </w:tblPr>
      <w:tblGrid>
        <w:gridCol w:w="3102"/>
        <w:gridCol w:w="1004"/>
        <w:gridCol w:w="4394"/>
        <w:gridCol w:w="5103"/>
        <w:gridCol w:w="1843"/>
      </w:tblGrid>
      <w:tr w:rsidR="00106299" w:rsidRPr="0006769A" w14:paraId="004C9C14" w14:textId="77777777" w:rsidTr="00A420A4">
        <w:tc>
          <w:tcPr>
            <w:tcW w:w="3102" w:type="dxa"/>
            <w:tcBorders>
              <w:top w:val="single" w:sz="4" w:space="0" w:color="auto"/>
            </w:tcBorders>
          </w:tcPr>
          <w:p w14:paraId="7C78CEB6" w14:textId="77777777" w:rsidR="00106299" w:rsidRPr="0006769A" w:rsidRDefault="00106299" w:rsidP="00A420A4">
            <w:pPr>
              <w:pStyle w:val="Heading4"/>
              <w:numPr>
                <w:ilvl w:val="0"/>
                <w:numId w:val="13"/>
              </w:numPr>
              <w:suppressAutoHyphens w:val="0"/>
              <w:spacing w:before="60" w:after="60" w:line="240" w:lineRule="auto"/>
              <w:contextualSpacing w:val="0"/>
              <w:outlineLvl w:val="3"/>
              <w:rPr>
                <w:rFonts w:asciiTheme="minorHAnsi" w:hAnsiTheme="minorHAnsi" w:cstheme="minorHAnsi"/>
                <w:color w:val="auto"/>
                <w:sz w:val="22"/>
                <w:szCs w:val="22"/>
                <w:lang w:val="en-AU"/>
              </w:rPr>
            </w:pPr>
            <w:bookmarkStart w:id="3" w:name="_Hlk75175540"/>
            <w:r w:rsidRPr="0006769A">
              <w:rPr>
                <w:rFonts w:asciiTheme="minorHAnsi" w:hAnsiTheme="minorHAnsi" w:cstheme="minorHAnsi"/>
                <w:color w:val="auto"/>
                <w:sz w:val="22"/>
                <w:szCs w:val="22"/>
                <w:lang w:val="en-AU"/>
              </w:rPr>
              <w:t>The Partnership should explore options for lightly earmarked funding.</w:t>
            </w:r>
          </w:p>
          <w:p w14:paraId="419F2011" w14:textId="77777777" w:rsidR="00106299" w:rsidRPr="0006769A" w:rsidRDefault="00106299" w:rsidP="00A420A4">
            <w:pPr>
              <w:rPr>
                <w:rFonts w:eastAsiaTheme="majorEastAsia" w:cstheme="minorHAnsi"/>
                <w:iCs/>
                <w:color w:val="auto"/>
              </w:rPr>
            </w:pPr>
          </w:p>
        </w:tc>
        <w:tc>
          <w:tcPr>
            <w:tcW w:w="1004" w:type="dxa"/>
            <w:shd w:val="clear" w:color="auto" w:fill="FFCC99"/>
          </w:tcPr>
          <w:p w14:paraId="109E0113" w14:textId="77777777" w:rsidR="00106299" w:rsidRPr="0006769A" w:rsidRDefault="00106299" w:rsidP="00A420A4">
            <w:pPr>
              <w:jc w:val="center"/>
              <w:rPr>
                <w:rFonts w:cstheme="minorHAnsi"/>
                <w:b/>
                <w:bCs/>
                <w:color w:val="auto"/>
              </w:rPr>
            </w:pPr>
            <w:r>
              <w:rPr>
                <w:rFonts w:cstheme="minorHAnsi"/>
                <w:b/>
                <w:bCs/>
                <w:color w:val="auto"/>
              </w:rPr>
              <w:t>Partially Agree</w:t>
            </w:r>
          </w:p>
        </w:tc>
        <w:tc>
          <w:tcPr>
            <w:tcW w:w="4394" w:type="dxa"/>
          </w:tcPr>
          <w:p w14:paraId="189BE1AA"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While we recognise there would be some benefits to lightly earmarking core funding (including to ensure resources are directed to Australia’s priority areas, specifically the Pacific), we assess that the resources required to do so for both parties would not be commensurate to the value of the partnership ($7.9m annually). We also recognise the value of predictable multi-year core funding in enabling UN Women to plan and program more strategically and efficiently to deliver on its mandate effectively and meet global challenges, including in response to the COVID-19 pandemic. </w:t>
            </w:r>
          </w:p>
        </w:tc>
        <w:tc>
          <w:tcPr>
            <w:tcW w:w="5103" w:type="dxa"/>
          </w:tcPr>
          <w:p w14:paraId="2F2CED3B" w14:textId="77777777" w:rsidR="00106299"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DFAT will seek at least t</w:t>
            </w:r>
            <w:r w:rsidRPr="000E6292">
              <w:rPr>
                <w:rFonts w:asciiTheme="minorHAnsi" w:hAnsiTheme="minorHAnsi" w:cstheme="minorHAnsi"/>
                <w:color w:val="auto"/>
                <w:sz w:val="22"/>
                <w:szCs w:val="22"/>
                <w:lang w:val="en-AU"/>
              </w:rPr>
              <w:t xml:space="preserve">o </w:t>
            </w:r>
            <w:r w:rsidRPr="0006769A">
              <w:rPr>
                <w:rFonts w:asciiTheme="minorHAnsi" w:hAnsiTheme="minorHAnsi" w:cstheme="minorHAnsi"/>
                <w:color w:val="auto"/>
                <w:sz w:val="22"/>
                <w:szCs w:val="22"/>
                <w:lang w:val="en-AU"/>
              </w:rPr>
              <w:t xml:space="preserve">maintain core funding levels under the new SPF and continue to leverage Australia’s influence in governing bodies and through the partnership to advocate for our priorities and the Indo-Pacific. </w:t>
            </w:r>
          </w:p>
          <w:p w14:paraId="6995CC4B" w14:textId="77777777" w:rsidR="00106299" w:rsidRPr="000E6292" w:rsidRDefault="00106299" w:rsidP="00A420A4">
            <w:pPr>
              <w:pStyle w:val="Heading4"/>
              <w:numPr>
                <w:ilvl w:val="0"/>
                <w:numId w:val="24"/>
              </w:numPr>
              <w:suppressAutoHyphens w:val="0"/>
              <w:spacing w:before="60" w:after="60" w:line="240" w:lineRule="auto"/>
              <w:ind w:left="325" w:hanging="283"/>
              <w:contextualSpacing w:val="0"/>
              <w:outlineLvl w:val="3"/>
              <w:rPr>
                <w:lang w:val="en-AU"/>
              </w:rPr>
            </w:pPr>
            <w:r>
              <w:rPr>
                <w:rFonts w:asciiTheme="minorHAnsi" w:hAnsiTheme="minorHAnsi" w:cstheme="minorHAnsi"/>
                <w:color w:val="auto"/>
                <w:sz w:val="22"/>
                <w:szCs w:val="22"/>
                <w:lang w:val="en-AU"/>
              </w:rPr>
              <w:t xml:space="preserve">If UN Women does not provide greater clarity about how core funds are allocated (particularly disaggregation of funds by region / country), DFAT reserves the right to lightly earmark funding to ensure resources are directed to Australia’s priority areas, particularly in the Indo-Pacific.  </w:t>
            </w:r>
            <w:r w:rsidRPr="000E6292">
              <w:rPr>
                <w:rFonts w:asciiTheme="minorHAnsi" w:hAnsiTheme="minorHAnsi" w:cstheme="minorHAnsi"/>
                <w:color w:val="auto"/>
                <w:sz w:val="22"/>
                <w:szCs w:val="22"/>
                <w:lang w:val="en-AU"/>
              </w:rPr>
              <w:t xml:space="preserve"> </w:t>
            </w:r>
          </w:p>
        </w:tc>
        <w:tc>
          <w:tcPr>
            <w:tcW w:w="1843" w:type="dxa"/>
          </w:tcPr>
          <w:p w14:paraId="32CB4D9C" w14:textId="77777777" w:rsidR="00106299" w:rsidRDefault="00106299" w:rsidP="00A420A4">
            <w:pPr>
              <w:rPr>
                <w:rFonts w:cstheme="minorHAnsi"/>
                <w:color w:val="auto"/>
              </w:rPr>
            </w:pPr>
            <w:r w:rsidRPr="0006769A">
              <w:rPr>
                <w:rFonts w:cstheme="minorHAnsi"/>
                <w:color w:val="auto"/>
              </w:rPr>
              <w:t xml:space="preserve">Ongoing </w:t>
            </w:r>
          </w:p>
          <w:p w14:paraId="3C6D36E2" w14:textId="77777777" w:rsidR="00106299" w:rsidRDefault="00106299" w:rsidP="00A420A4">
            <w:pPr>
              <w:rPr>
                <w:rFonts w:cstheme="minorHAnsi"/>
                <w:color w:val="auto"/>
              </w:rPr>
            </w:pPr>
          </w:p>
          <w:p w14:paraId="44DF5471" w14:textId="77777777" w:rsidR="00106299" w:rsidRDefault="00106299" w:rsidP="00A420A4">
            <w:pPr>
              <w:rPr>
                <w:rFonts w:cstheme="minorHAnsi"/>
                <w:color w:val="auto"/>
              </w:rPr>
            </w:pPr>
          </w:p>
          <w:p w14:paraId="46B752CF" w14:textId="77777777" w:rsidR="00106299" w:rsidRDefault="00106299" w:rsidP="00A420A4">
            <w:pPr>
              <w:rPr>
                <w:rFonts w:cstheme="minorHAnsi"/>
                <w:color w:val="auto"/>
              </w:rPr>
            </w:pPr>
          </w:p>
          <w:p w14:paraId="01F0AE4A" w14:textId="77777777" w:rsidR="00106299" w:rsidRDefault="00106299" w:rsidP="00A420A4">
            <w:pPr>
              <w:rPr>
                <w:rFonts w:cstheme="minorHAnsi"/>
                <w:color w:val="auto"/>
              </w:rPr>
            </w:pPr>
            <w:r>
              <w:rPr>
                <w:rFonts w:cstheme="minorHAnsi"/>
                <w:color w:val="auto"/>
              </w:rPr>
              <w:t>Include in SPF (to be finalised by December 2021)</w:t>
            </w:r>
          </w:p>
          <w:p w14:paraId="095AED41" w14:textId="77777777" w:rsidR="00106299" w:rsidRPr="0006769A" w:rsidRDefault="00106299" w:rsidP="00A420A4">
            <w:pPr>
              <w:rPr>
                <w:rFonts w:cstheme="minorHAnsi"/>
                <w:color w:val="auto"/>
              </w:rPr>
            </w:pPr>
          </w:p>
        </w:tc>
      </w:tr>
      <w:tr w:rsidR="00106299" w:rsidRPr="0006769A" w14:paraId="7134E0BF" w14:textId="77777777" w:rsidTr="00A420A4">
        <w:tc>
          <w:tcPr>
            <w:tcW w:w="3102" w:type="dxa"/>
          </w:tcPr>
          <w:p w14:paraId="160C5DFC" w14:textId="77777777" w:rsidR="00106299" w:rsidRPr="0006769A" w:rsidRDefault="00106299" w:rsidP="00A420A4">
            <w:pPr>
              <w:pStyle w:val="ListParagraph"/>
              <w:numPr>
                <w:ilvl w:val="0"/>
                <w:numId w:val="13"/>
              </w:numPr>
              <w:rPr>
                <w:rFonts w:asciiTheme="minorHAnsi" w:eastAsiaTheme="majorEastAsia" w:hAnsiTheme="minorHAnsi" w:cstheme="minorHAnsi"/>
                <w:iCs/>
                <w:sz w:val="22"/>
                <w:szCs w:val="22"/>
              </w:rPr>
            </w:pPr>
            <w:bookmarkStart w:id="4" w:name="_Hlk67577786"/>
            <w:bookmarkEnd w:id="3"/>
            <w:r w:rsidRPr="0006769A">
              <w:rPr>
                <w:rFonts w:asciiTheme="minorHAnsi" w:eastAsiaTheme="majorEastAsia" w:hAnsiTheme="minorHAnsi" w:cstheme="minorHAnsi"/>
                <w:iCs/>
                <w:sz w:val="22"/>
                <w:szCs w:val="22"/>
              </w:rPr>
              <w:t>The Partnership should be clear about how core resourcing is used</w:t>
            </w:r>
            <w:bookmarkEnd w:id="4"/>
            <w:r w:rsidRPr="0006769A">
              <w:rPr>
                <w:rFonts w:asciiTheme="minorHAnsi" w:eastAsiaTheme="majorEastAsia" w:hAnsiTheme="minorHAnsi" w:cstheme="minorHAnsi"/>
                <w:iCs/>
                <w:sz w:val="22"/>
                <w:szCs w:val="22"/>
              </w:rPr>
              <w:t>.</w:t>
            </w:r>
          </w:p>
          <w:p w14:paraId="737E5601" w14:textId="77777777" w:rsidR="00106299" w:rsidRPr="0006769A" w:rsidRDefault="00106299" w:rsidP="00A420A4">
            <w:pPr>
              <w:rPr>
                <w:rFonts w:eastAsiaTheme="majorEastAsia" w:cstheme="minorHAnsi"/>
                <w:iCs/>
                <w:color w:val="auto"/>
              </w:rPr>
            </w:pPr>
          </w:p>
          <w:p w14:paraId="50B65449" w14:textId="77777777" w:rsidR="00106299" w:rsidRPr="0006769A" w:rsidRDefault="00106299" w:rsidP="00A420A4">
            <w:pPr>
              <w:rPr>
                <w:rFonts w:eastAsiaTheme="majorEastAsia" w:cstheme="minorHAnsi"/>
                <w:iCs/>
                <w:color w:val="auto"/>
              </w:rPr>
            </w:pPr>
          </w:p>
          <w:p w14:paraId="7DCC6489" w14:textId="77777777" w:rsidR="00106299" w:rsidRPr="0006769A" w:rsidRDefault="00106299" w:rsidP="00A420A4">
            <w:pPr>
              <w:rPr>
                <w:rFonts w:eastAsiaTheme="majorEastAsia" w:cstheme="minorHAnsi"/>
                <w:iCs/>
                <w:color w:val="auto"/>
              </w:rPr>
            </w:pPr>
          </w:p>
        </w:tc>
        <w:tc>
          <w:tcPr>
            <w:tcW w:w="1004" w:type="dxa"/>
            <w:shd w:val="clear" w:color="auto" w:fill="CDE2B9" w:themeFill="accent2" w:themeFillTint="99"/>
          </w:tcPr>
          <w:p w14:paraId="2539CAD1" w14:textId="77777777" w:rsidR="00106299" w:rsidRPr="0006769A" w:rsidRDefault="00106299" w:rsidP="00A420A4">
            <w:pPr>
              <w:jc w:val="center"/>
              <w:rPr>
                <w:rFonts w:cstheme="minorHAnsi"/>
                <w:b/>
                <w:bCs/>
                <w:color w:val="auto"/>
              </w:rPr>
            </w:pPr>
            <w:r w:rsidRPr="0006769A">
              <w:rPr>
                <w:rFonts w:cstheme="minorHAnsi"/>
                <w:b/>
                <w:bCs/>
                <w:color w:val="auto"/>
              </w:rPr>
              <w:t>Agree</w:t>
            </w:r>
          </w:p>
        </w:tc>
        <w:tc>
          <w:tcPr>
            <w:tcW w:w="4394" w:type="dxa"/>
          </w:tcPr>
          <w:p w14:paraId="35266EE5"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Greater clarity about how core resourcing is used, particularly disaggregation by region, would significantly improve Australia’s ability to communicate and defend the value and results of the DFAT-UN Women Strategic Partnership. </w:t>
            </w:r>
          </w:p>
          <w:p w14:paraId="1E791F29"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p>
        </w:tc>
        <w:tc>
          <w:tcPr>
            <w:tcW w:w="5103" w:type="dxa"/>
          </w:tcPr>
          <w:p w14:paraId="27AD24D0"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Clearly set out how UN Women will contribute to Australia’s strategic priorities in the new SPF</w:t>
            </w:r>
          </w:p>
          <w:p w14:paraId="386A0CE4"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Use the HLC and SPF negotiations to urge UN Women to provide greater clarity about how core resourcing is used, for example by adopting other UN agencies’ core funding disaggregation approaches (</w:t>
            </w:r>
            <w:proofErr w:type="gramStart"/>
            <w:r w:rsidRPr="0006769A">
              <w:rPr>
                <w:rFonts w:asciiTheme="minorHAnsi" w:hAnsiTheme="minorHAnsi" w:cstheme="minorHAnsi"/>
                <w:color w:val="auto"/>
                <w:sz w:val="22"/>
                <w:szCs w:val="22"/>
                <w:lang w:val="en-AU"/>
              </w:rPr>
              <w:t>e.g.</w:t>
            </w:r>
            <w:proofErr w:type="gramEnd"/>
            <w:r w:rsidRPr="0006769A">
              <w:rPr>
                <w:rFonts w:asciiTheme="minorHAnsi" w:hAnsiTheme="minorHAnsi" w:cstheme="minorHAnsi"/>
                <w:color w:val="auto"/>
                <w:sz w:val="22"/>
                <w:szCs w:val="22"/>
                <w:lang w:val="en-AU"/>
              </w:rPr>
              <w:t xml:space="preserve"> UNFPA) and including more Pacific examples in annual reporting.  </w:t>
            </w:r>
          </w:p>
        </w:tc>
        <w:tc>
          <w:tcPr>
            <w:tcW w:w="1843" w:type="dxa"/>
          </w:tcPr>
          <w:p w14:paraId="577D4BB0" w14:textId="77777777" w:rsidR="00106299" w:rsidRPr="0006769A" w:rsidRDefault="00106299" w:rsidP="00A420A4">
            <w:pPr>
              <w:rPr>
                <w:rFonts w:cstheme="minorHAnsi"/>
                <w:color w:val="auto"/>
              </w:rPr>
            </w:pPr>
            <w:r w:rsidRPr="0006769A">
              <w:rPr>
                <w:rFonts w:cstheme="minorHAnsi"/>
                <w:color w:val="auto"/>
              </w:rPr>
              <w:t>July – December 2021, as part of SPF negotiations and drafting</w:t>
            </w:r>
          </w:p>
          <w:p w14:paraId="7CCD7600" w14:textId="77777777" w:rsidR="00106299" w:rsidRPr="0006769A" w:rsidRDefault="00106299" w:rsidP="00A420A4">
            <w:pPr>
              <w:rPr>
                <w:rFonts w:cstheme="minorHAnsi"/>
                <w:color w:val="auto"/>
              </w:rPr>
            </w:pPr>
          </w:p>
        </w:tc>
      </w:tr>
      <w:tr w:rsidR="00106299" w:rsidRPr="0006769A" w14:paraId="46B76EF4" w14:textId="77777777" w:rsidTr="00A420A4">
        <w:tc>
          <w:tcPr>
            <w:tcW w:w="3102" w:type="dxa"/>
          </w:tcPr>
          <w:p w14:paraId="149EFE3E" w14:textId="77777777" w:rsidR="00106299" w:rsidRPr="0006769A" w:rsidRDefault="00106299" w:rsidP="00A420A4">
            <w:pPr>
              <w:pStyle w:val="Heading4"/>
              <w:numPr>
                <w:ilvl w:val="0"/>
                <w:numId w:val="13"/>
              </w:numPr>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The Partnership should clarify and strengthen mutual public visibility requirements.</w:t>
            </w:r>
          </w:p>
          <w:p w14:paraId="328C57EE" w14:textId="77777777" w:rsidR="00106299" w:rsidRPr="0006769A" w:rsidRDefault="00106299" w:rsidP="00A420A4">
            <w:pPr>
              <w:rPr>
                <w:rFonts w:eastAsiaTheme="majorEastAsia" w:cstheme="minorHAnsi"/>
                <w:iCs/>
                <w:color w:val="auto"/>
              </w:rPr>
            </w:pPr>
          </w:p>
        </w:tc>
        <w:tc>
          <w:tcPr>
            <w:tcW w:w="1004" w:type="dxa"/>
            <w:shd w:val="clear" w:color="auto" w:fill="CDE2B9" w:themeFill="accent2" w:themeFillTint="99"/>
          </w:tcPr>
          <w:p w14:paraId="4D162345" w14:textId="77777777" w:rsidR="00106299" w:rsidRPr="0006769A" w:rsidRDefault="00106299" w:rsidP="00A420A4">
            <w:pPr>
              <w:jc w:val="center"/>
              <w:rPr>
                <w:rFonts w:cstheme="minorHAnsi"/>
                <w:b/>
                <w:bCs/>
                <w:color w:val="auto"/>
              </w:rPr>
            </w:pPr>
            <w:r w:rsidRPr="0006769A">
              <w:rPr>
                <w:rFonts w:cstheme="minorHAnsi"/>
                <w:b/>
                <w:bCs/>
                <w:color w:val="auto"/>
              </w:rPr>
              <w:t>Agree</w:t>
            </w:r>
          </w:p>
        </w:tc>
        <w:tc>
          <w:tcPr>
            <w:tcW w:w="4394" w:type="dxa"/>
          </w:tcPr>
          <w:p w14:paraId="6553F7CA"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Branding is a key mechanism for enhancing the visibility of the Australian Government’s international activities and initiatives. We note concerns raised during this review by DFAT regarding UN Women’s approach to public visibility of Australia’s contributions and their inconsistent use of Australian Government branding. We will seek to address this as part of the new SPF. </w:t>
            </w:r>
          </w:p>
        </w:tc>
        <w:tc>
          <w:tcPr>
            <w:tcW w:w="5103" w:type="dxa"/>
          </w:tcPr>
          <w:p w14:paraId="6155E589"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DFAT will use the upcoming HLC and SPF negotiations to clarify DFAT’s public visibility requirements. We will review the Pacific Partnership EVAW branding guidelines as an example, as suggested in the review. </w:t>
            </w:r>
          </w:p>
          <w:p w14:paraId="37539ADA"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At the bilateral level, ensure that DFAT and UN Women are clear on branding and visibility guidelines. </w:t>
            </w:r>
          </w:p>
        </w:tc>
        <w:tc>
          <w:tcPr>
            <w:tcW w:w="1843" w:type="dxa"/>
          </w:tcPr>
          <w:p w14:paraId="1D686E1F" w14:textId="77777777" w:rsidR="00106299" w:rsidRPr="0006769A" w:rsidRDefault="00106299" w:rsidP="00A420A4">
            <w:pPr>
              <w:rPr>
                <w:rFonts w:cstheme="minorHAnsi"/>
                <w:color w:val="auto"/>
              </w:rPr>
            </w:pPr>
            <w:r w:rsidRPr="0006769A">
              <w:rPr>
                <w:rFonts w:cstheme="minorHAnsi"/>
                <w:color w:val="auto"/>
              </w:rPr>
              <w:t>July – December 2021, as part of SPF negotiations and drafting</w:t>
            </w:r>
          </w:p>
          <w:p w14:paraId="4A555555" w14:textId="77777777" w:rsidR="00106299" w:rsidRPr="0006769A" w:rsidRDefault="00106299" w:rsidP="00A420A4">
            <w:pPr>
              <w:rPr>
                <w:rFonts w:cstheme="minorHAnsi"/>
                <w:color w:val="auto"/>
              </w:rPr>
            </w:pPr>
          </w:p>
        </w:tc>
      </w:tr>
    </w:tbl>
    <w:p w14:paraId="06284EA7" w14:textId="77777777" w:rsidR="00106299" w:rsidRPr="0006769A" w:rsidRDefault="00106299" w:rsidP="00106299">
      <w:bookmarkStart w:id="5" w:name="_Hlk66700502"/>
    </w:p>
    <w:tbl>
      <w:tblPr>
        <w:tblStyle w:val="TableGrid"/>
        <w:tblpPr w:leftFromText="180" w:rightFromText="180" w:tblpY="405"/>
        <w:tblW w:w="15446" w:type="dxa"/>
        <w:tblLook w:val="04A0" w:firstRow="1" w:lastRow="0" w:firstColumn="1" w:lastColumn="0" w:noHBand="0" w:noVBand="1"/>
      </w:tblPr>
      <w:tblGrid>
        <w:gridCol w:w="3103"/>
        <w:gridCol w:w="1003"/>
        <w:gridCol w:w="4394"/>
        <w:gridCol w:w="5103"/>
        <w:gridCol w:w="1843"/>
      </w:tblGrid>
      <w:tr w:rsidR="00106299" w:rsidRPr="00810ACF" w14:paraId="374F5FAA" w14:textId="77777777" w:rsidTr="00A420A4">
        <w:tc>
          <w:tcPr>
            <w:tcW w:w="3103" w:type="dxa"/>
          </w:tcPr>
          <w:p w14:paraId="535DFF22" w14:textId="77777777" w:rsidR="00106299" w:rsidRPr="0006769A" w:rsidRDefault="00106299" w:rsidP="00A420A4">
            <w:pPr>
              <w:pStyle w:val="Heading4"/>
              <w:numPr>
                <w:ilvl w:val="0"/>
                <w:numId w:val="13"/>
              </w:numPr>
              <w:suppressAutoHyphens w:val="0"/>
              <w:spacing w:before="60" w:after="60" w:line="240" w:lineRule="auto"/>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 xml:space="preserve">The SPF could identify solutions for UN Women’s capacity constraints, drawing from established DFAT processes and initiatives that provide opportunities for qualified Australians to be involved in development work. </w:t>
            </w:r>
            <w:bookmarkEnd w:id="5"/>
          </w:p>
        </w:tc>
        <w:tc>
          <w:tcPr>
            <w:tcW w:w="1003" w:type="dxa"/>
            <w:shd w:val="clear" w:color="auto" w:fill="FFCC99"/>
          </w:tcPr>
          <w:p w14:paraId="5811AA78" w14:textId="77777777" w:rsidR="00106299" w:rsidRPr="0006769A" w:rsidRDefault="00106299" w:rsidP="00A420A4">
            <w:pPr>
              <w:jc w:val="center"/>
              <w:rPr>
                <w:rFonts w:cstheme="minorHAnsi"/>
                <w:b/>
                <w:bCs/>
                <w:color w:val="auto"/>
              </w:rPr>
            </w:pPr>
            <w:r w:rsidRPr="0006769A">
              <w:rPr>
                <w:rFonts w:cstheme="minorHAnsi"/>
                <w:b/>
                <w:bCs/>
                <w:color w:val="auto"/>
              </w:rPr>
              <w:t>Partially Agree</w:t>
            </w:r>
          </w:p>
        </w:tc>
        <w:tc>
          <w:tcPr>
            <w:tcW w:w="4394" w:type="dxa"/>
          </w:tcPr>
          <w:p w14:paraId="38C5A5BF"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rPr>
            </w:pPr>
            <w:r w:rsidRPr="0006769A">
              <w:rPr>
                <w:rFonts w:asciiTheme="minorHAnsi" w:hAnsiTheme="minorHAnsi" w:cstheme="minorHAnsi"/>
                <w:color w:val="auto"/>
                <w:sz w:val="22"/>
                <w:szCs w:val="22"/>
              </w:rPr>
              <w:t xml:space="preserve">Recognising capacity and recruitment constraints, </w:t>
            </w:r>
            <w:r w:rsidRPr="0006769A">
              <w:rPr>
                <w:rFonts w:asciiTheme="minorHAnsi" w:hAnsiTheme="minorHAnsi" w:cstheme="minorHAnsi"/>
                <w:bCs w:val="0"/>
                <w:iCs w:val="0"/>
                <w:color w:val="auto"/>
                <w:sz w:val="22"/>
                <w:szCs w:val="22"/>
                <w:lang w:val="en-AU"/>
              </w:rPr>
              <w:t>particularly in the Pacific, DFAT is keen to support opportunities for qualified Australians to be involved in UN Women’s work. This is also consistent with DFAT’s broader objective to support an increased presence of Australian nationals in the multilateral system</w:t>
            </w:r>
            <w:r w:rsidRPr="0006769A">
              <w:rPr>
                <w:rFonts w:asciiTheme="minorHAnsi" w:hAnsiTheme="minorHAnsi" w:cstheme="minorHAnsi"/>
                <w:color w:val="auto"/>
                <w:sz w:val="22"/>
                <w:szCs w:val="22"/>
              </w:rPr>
              <w:t xml:space="preserve">. </w:t>
            </w:r>
          </w:p>
          <w:p w14:paraId="1174564C" w14:textId="77777777" w:rsidR="00106299" w:rsidRPr="0006769A" w:rsidRDefault="00106299" w:rsidP="00A420A4">
            <w:pPr>
              <w:pStyle w:val="Heading4"/>
              <w:suppressAutoHyphens w:val="0"/>
              <w:spacing w:before="60" w:after="60" w:line="240" w:lineRule="auto"/>
              <w:contextualSpacing w:val="0"/>
              <w:outlineLvl w:val="3"/>
              <w:rPr>
                <w:rFonts w:asciiTheme="minorHAnsi" w:hAnsiTheme="minorHAnsi" w:cstheme="minorHAnsi"/>
                <w:color w:val="auto"/>
                <w:sz w:val="22"/>
                <w:szCs w:val="22"/>
              </w:rPr>
            </w:pPr>
            <w:r w:rsidRPr="0006769A">
              <w:rPr>
                <w:rFonts w:asciiTheme="minorHAnsi" w:hAnsiTheme="minorHAnsi" w:cstheme="minorHAnsi"/>
                <w:color w:val="auto"/>
                <w:sz w:val="22"/>
                <w:szCs w:val="22"/>
              </w:rPr>
              <w:t xml:space="preserve">However, DFAT recognises that this is a broader issue affecting UN Women and that additional action to support the capacity of its country and regional offices is required, in addition to DFAT processes. </w:t>
            </w:r>
          </w:p>
        </w:tc>
        <w:tc>
          <w:tcPr>
            <w:tcW w:w="5103" w:type="dxa"/>
          </w:tcPr>
          <w:p w14:paraId="371F6725"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lang w:val="en-AU"/>
              </w:rPr>
            </w:pPr>
            <w:r w:rsidRPr="0006769A">
              <w:rPr>
                <w:rFonts w:asciiTheme="minorHAnsi" w:hAnsiTheme="minorHAnsi" w:cstheme="minorHAnsi"/>
                <w:color w:val="auto"/>
                <w:sz w:val="22"/>
                <w:szCs w:val="22"/>
                <w:lang w:val="en-AU"/>
              </w:rPr>
              <w:t>SPF will include a provision for additional channels of cooperation and expertise through secondment of qualified personnel, including for example, Australian Government officers.</w:t>
            </w:r>
          </w:p>
          <w:p w14:paraId="4AC4BF7F" w14:textId="77777777" w:rsidR="00106299" w:rsidRPr="0006769A" w:rsidRDefault="00106299" w:rsidP="00A420A4">
            <w:pPr>
              <w:pStyle w:val="Heading4"/>
              <w:numPr>
                <w:ilvl w:val="0"/>
                <w:numId w:val="24"/>
              </w:numPr>
              <w:suppressAutoHyphens w:val="0"/>
              <w:spacing w:before="60" w:after="60" w:line="240" w:lineRule="auto"/>
              <w:ind w:left="325" w:hanging="283"/>
              <w:contextualSpacing w:val="0"/>
              <w:outlineLvl w:val="3"/>
              <w:rPr>
                <w:rFonts w:asciiTheme="minorHAnsi" w:hAnsiTheme="minorHAnsi" w:cstheme="minorHAnsi"/>
                <w:color w:val="auto"/>
                <w:sz w:val="22"/>
                <w:szCs w:val="22"/>
              </w:rPr>
            </w:pPr>
            <w:r w:rsidRPr="0006769A">
              <w:rPr>
                <w:rFonts w:asciiTheme="minorHAnsi" w:hAnsiTheme="minorHAnsi" w:cstheme="minorHAnsi"/>
                <w:color w:val="auto"/>
                <w:sz w:val="22"/>
                <w:szCs w:val="22"/>
                <w:lang w:val="en-AU"/>
              </w:rPr>
              <w:t>DFAT will continue to advocate for greater core and non-core resourcing in the Pacific, noting there is no presence of UN Women staff in eight of the 14 countries within the Pacific mandate.</w:t>
            </w:r>
            <w:r w:rsidRPr="0006769A">
              <w:rPr>
                <w:rFonts w:asciiTheme="minorHAnsi" w:hAnsiTheme="minorHAnsi" w:cstheme="minorHAnsi"/>
                <w:color w:val="auto"/>
                <w:sz w:val="22"/>
                <w:szCs w:val="22"/>
              </w:rPr>
              <w:t xml:space="preserve">   </w:t>
            </w:r>
          </w:p>
        </w:tc>
        <w:tc>
          <w:tcPr>
            <w:tcW w:w="1843" w:type="dxa"/>
          </w:tcPr>
          <w:p w14:paraId="78F348CB" w14:textId="77777777" w:rsidR="00106299" w:rsidRPr="00810ACF" w:rsidRDefault="00106299" w:rsidP="00A420A4">
            <w:pPr>
              <w:rPr>
                <w:rFonts w:cstheme="minorHAnsi"/>
                <w:color w:val="auto"/>
              </w:rPr>
            </w:pPr>
            <w:r w:rsidRPr="0006769A">
              <w:rPr>
                <w:rFonts w:cstheme="minorHAnsi"/>
                <w:color w:val="auto"/>
              </w:rPr>
              <w:t>July – December 2021, as part of SPF negotiations and drafting</w:t>
            </w:r>
          </w:p>
          <w:p w14:paraId="283C95E6" w14:textId="77777777" w:rsidR="00106299" w:rsidRPr="00810ACF" w:rsidRDefault="00106299" w:rsidP="00A420A4">
            <w:pPr>
              <w:rPr>
                <w:rFonts w:cstheme="minorHAnsi"/>
                <w:color w:val="auto"/>
              </w:rPr>
            </w:pPr>
          </w:p>
        </w:tc>
      </w:tr>
      <w:bookmarkEnd w:id="0"/>
    </w:tbl>
    <w:p w14:paraId="7B15BEB1" w14:textId="77777777" w:rsidR="00106299" w:rsidRPr="00BD5F5A" w:rsidRDefault="00106299" w:rsidP="00106299"/>
    <w:p w14:paraId="068F9047" w14:textId="77777777" w:rsidR="00841A81" w:rsidRPr="00106299" w:rsidRDefault="00841A81" w:rsidP="00106299"/>
    <w:sectPr w:rsidR="00841A81" w:rsidRPr="00106299" w:rsidSect="00823E2A">
      <w:headerReference w:type="default" r:id="rId12"/>
      <w:footerReference w:type="even" r:id="rId13"/>
      <w:footerReference w:type="default" r:id="rId14"/>
      <w:headerReference w:type="first" r:id="rId15"/>
      <w:pgSz w:w="16838" w:h="11906" w:orient="landscape" w:code="9"/>
      <w:pgMar w:top="1560" w:right="962" w:bottom="1134" w:left="709" w:header="567" w:footer="593" w:gutter="0"/>
      <w:cols w:space="39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B010" w14:textId="77777777" w:rsidR="007B3BD7" w:rsidRDefault="007B3BD7" w:rsidP="00D37B04">
      <w:r>
        <w:separator/>
      </w:r>
    </w:p>
  </w:endnote>
  <w:endnote w:type="continuationSeparator" w:id="0">
    <w:p w14:paraId="424CB011" w14:textId="77777777" w:rsidR="007B3BD7" w:rsidRDefault="007B3BD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92295"/>
      <w:docPartObj>
        <w:docPartGallery w:val="Page Numbers (Bottom of Page)"/>
        <w:docPartUnique/>
      </w:docPartObj>
    </w:sdtPr>
    <w:sdtEndPr>
      <w:rPr>
        <w:noProof/>
        <w:color w:val="auto"/>
      </w:rPr>
    </w:sdtEndPr>
    <w:sdtContent>
      <w:p w14:paraId="79ADFC19" w14:textId="6D701E5D" w:rsidR="00274F52" w:rsidRPr="00274F52" w:rsidRDefault="00274F52">
        <w:pPr>
          <w:pStyle w:val="Footer"/>
          <w:rPr>
            <w:color w:val="auto"/>
          </w:rPr>
        </w:pPr>
        <w:r w:rsidRPr="00274F52">
          <w:rPr>
            <w:color w:val="auto"/>
          </w:rPr>
          <w:fldChar w:fldCharType="begin"/>
        </w:r>
        <w:r w:rsidRPr="00274F52">
          <w:rPr>
            <w:color w:val="auto"/>
          </w:rPr>
          <w:instrText xml:space="preserve"> PAGE   \* MERGEFORMAT </w:instrText>
        </w:r>
        <w:r w:rsidRPr="00274F52">
          <w:rPr>
            <w:color w:val="auto"/>
          </w:rPr>
          <w:fldChar w:fldCharType="separate"/>
        </w:r>
        <w:r w:rsidRPr="00274F52">
          <w:rPr>
            <w:noProof/>
            <w:color w:val="auto"/>
          </w:rPr>
          <w:t>2</w:t>
        </w:r>
        <w:r w:rsidRPr="00274F52">
          <w:rPr>
            <w:noProof/>
            <w:color w:val="auto"/>
          </w:rPr>
          <w:fldChar w:fldCharType="end"/>
        </w:r>
      </w:p>
    </w:sdtContent>
  </w:sdt>
  <w:p w14:paraId="2D41411B" w14:textId="77777777" w:rsidR="00274F52" w:rsidRDefault="00274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CB014" w14:textId="7CDE85CC" w:rsidR="004A4093" w:rsidRPr="00386BC5" w:rsidRDefault="00634B33" w:rsidP="004A4093">
    <w:pPr>
      <w:pStyle w:val="Footer"/>
      <w:jc w:val="center"/>
      <w:rPr>
        <w:b/>
        <w:sz w:val="28"/>
        <w:lang w:val="en-AU"/>
      </w:rPr>
    </w:pPr>
    <w:r>
      <w:rPr>
        <w:b/>
        <w:sz w:val="28"/>
        <w:lang w:val="en-AU"/>
      </w:rPr>
      <w:t xml:space="preserve"> </w:t>
    </w:r>
    <w:sdt>
      <w:sdtPr>
        <w:rPr>
          <w:b/>
          <w:sz w:val="28"/>
          <w:lang w:val="en-AU"/>
        </w:rPr>
        <w:alias w:val="Classification"/>
        <w:tag w:val="Classification"/>
        <w:id w:val="-739325068"/>
        <w:lock w:val="sdtLocked"/>
        <w:placeholder>
          <w:docPart w:val="EB286FB503F9437A9AAE78C7C313F3EA"/>
        </w:placeholder>
        <w15:color w:val="FFFFFF"/>
        <w:dropDownList>
          <w:listItem w:value="Choose an item."/>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w:value="TOP SECRET"/>
        </w:dropDownList>
      </w:sdtPr>
      <w:sdtEndPr/>
      <w:sdtContent>
        <w:r w:rsidR="000019F6">
          <w:rPr>
            <w:b/>
            <w:sz w:val="28"/>
            <w:lang w:val="en-AU"/>
          </w:rPr>
          <w:t>OFFICIAL</w:t>
        </w:r>
      </w:sdtContent>
    </w:sdt>
    <w:r w:rsidR="007A3F04">
      <w:rPr>
        <w:b/>
        <w:noProof/>
        <w:sz w:val="28"/>
        <w:lang w:val="en-AU" w:eastAsia="en-AU"/>
      </w:rPr>
      <w:drawing>
        <wp:anchor distT="0" distB="0" distL="114300" distR="114300" simplePos="0" relativeHeight="251655164" behindDoc="1" locked="0" layoutInCell="1" allowOverlap="1" wp14:anchorId="424CB01D" wp14:editId="424CB01E">
          <wp:simplePos x="0" y="0"/>
          <wp:positionH relativeFrom="page">
            <wp:align>center</wp:align>
          </wp:positionH>
          <wp:positionV relativeFrom="page">
            <wp:align>bottom</wp:align>
          </wp:positionV>
          <wp:extent cx="7560000" cy="67320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CB00E" w14:textId="77777777" w:rsidR="007B3BD7" w:rsidRPr="008C5A0E" w:rsidRDefault="007B3BD7" w:rsidP="00D37B04">
      <w:pPr>
        <w:pStyle w:val="Footer"/>
      </w:pPr>
    </w:p>
  </w:footnote>
  <w:footnote w:type="continuationSeparator" w:id="0">
    <w:p w14:paraId="424CB00F" w14:textId="77777777" w:rsidR="007B3BD7" w:rsidRDefault="007B3BD7"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CB012" w14:textId="52519774" w:rsidR="004A4093" w:rsidRPr="004A4093" w:rsidRDefault="00DB1323" w:rsidP="004A4093">
    <w:pPr>
      <w:pStyle w:val="Footer"/>
      <w:jc w:val="center"/>
      <w:rPr>
        <w:b/>
        <w:sz w:val="28"/>
        <w:lang w:val="en-AU"/>
      </w:rPr>
    </w:pPr>
    <w:sdt>
      <w:sdtPr>
        <w:rPr>
          <w:b/>
          <w:sz w:val="28"/>
          <w:lang w:val="en-AU"/>
        </w:rPr>
        <w:alias w:val="Classification"/>
        <w:tag w:val="Classification"/>
        <w:id w:val="1497995739"/>
        <w:placeholder>
          <w:docPart w:val="02DF9E47E148413A8B608DEA5532F937"/>
        </w:placeholder>
        <w15:color w:val="FFFFFF"/>
        <w:dropDownList>
          <w:listItem w:value="Choose an item."/>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w:value="TOP SECRET"/>
        </w:dropDownList>
      </w:sdtPr>
      <w:sdtEndPr/>
      <w:sdtContent>
        <w:r w:rsidR="000019F6">
          <w:rPr>
            <w:b/>
            <w:sz w:val="28"/>
            <w:lang w:val="en-AU"/>
          </w:rPr>
          <w:t>OFFICIAL</w:t>
        </w:r>
      </w:sdtContent>
    </w:sdt>
    <w:r w:rsidR="001B2180">
      <w:rPr>
        <w:b/>
        <w:noProof/>
        <w:sz w:val="28"/>
        <w:lang w:val="en-AU" w:eastAsia="en-AU"/>
      </w:rPr>
      <w:t xml:space="preserve"> </w:t>
    </w:r>
    <w:r w:rsidR="007A3F04">
      <w:rPr>
        <w:b/>
        <w:noProof/>
        <w:sz w:val="28"/>
        <w:lang w:val="en-AU" w:eastAsia="en-AU"/>
      </w:rPr>
      <w:drawing>
        <wp:anchor distT="0" distB="0" distL="114300" distR="114300" simplePos="0" relativeHeight="251656189" behindDoc="1" locked="0" layoutInCell="1" allowOverlap="1" wp14:anchorId="424CB019" wp14:editId="424CB01A">
          <wp:simplePos x="0" y="0"/>
          <wp:positionH relativeFrom="page">
            <wp:align>center</wp:align>
          </wp:positionH>
          <wp:positionV relativeFrom="page">
            <wp:align>top</wp:align>
          </wp:positionV>
          <wp:extent cx="7560000" cy="10368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424CB013" w14:textId="77777777" w:rsidR="007B1267" w:rsidRPr="008A51A6" w:rsidRDefault="007B1267" w:rsidP="002D5B25">
    <w:pPr>
      <w:pStyle w:val="Header"/>
      <w:rPr>
        <w:b w:val="0"/>
        <w:color w:val="FFFFFF" w:themeColor="background1"/>
        <w:sz w:val="22"/>
      </w:rPr>
    </w:pPr>
    <w:r w:rsidRPr="008A51A6">
      <w:rPr>
        <w:b w:val="0"/>
        <w:noProof/>
        <w:color w:val="FFFFFF" w:themeColor="background1"/>
        <w:sz w:val="22"/>
        <w:lang w:val="en-AU" w:eastAsia="en-AU"/>
      </w:rPr>
      <w:drawing>
        <wp:anchor distT="0" distB="0" distL="114300" distR="114300" simplePos="0" relativeHeight="251659264" behindDoc="1" locked="1" layoutInCell="1" allowOverlap="1" wp14:anchorId="424CB01B" wp14:editId="424CB01C">
          <wp:simplePos x="0" y="0"/>
          <wp:positionH relativeFrom="page">
            <wp:posOffset>652145</wp:posOffset>
          </wp:positionH>
          <wp:positionV relativeFrom="page">
            <wp:posOffset>713740</wp:posOffset>
          </wp:positionV>
          <wp:extent cx="3166110" cy="5537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CB015" w14:textId="77777777" w:rsidR="004F262F" w:rsidRPr="003631D2" w:rsidRDefault="004F262F" w:rsidP="004F262F">
    <w:pPr>
      <w:spacing w:after="120"/>
      <w:rPr>
        <w:rFonts w:ascii="Arial" w:hAnsi="Arial" w:cs="Arial"/>
        <w:b/>
      </w:rPr>
    </w:pPr>
    <w:r w:rsidRPr="004F1323">
      <w:rPr>
        <w:noProof/>
        <w:lang w:val="en-AU" w:eastAsia="en-AU"/>
      </w:rPr>
      <w:drawing>
        <wp:anchor distT="0" distB="0" distL="114300" distR="114300" simplePos="0" relativeHeight="251661312" behindDoc="1" locked="0" layoutInCell="1" allowOverlap="1" wp14:anchorId="424CB01F" wp14:editId="424CB020">
          <wp:simplePos x="0" y="0"/>
          <wp:positionH relativeFrom="page">
            <wp:posOffset>-3810</wp:posOffset>
          </wp:positionH>
          <wp:positionV relativeFrom="page">
            <wp:posOffset>0</wp:posOffset>
          </wp:positionV>
          <wp:extent cx="7559675" cy="1069149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24CB016" w14:textId="77777777" w:rsidR="004F262F" w:rsidRPr="003631D2" w:rsidRDefault="004F262F" w:rsidP="004F262F">
    <w:pPr>
      <w:rPr>
        <w:rFonts w:ascii="Arial" w:hAnsi="Arial" w:cs="Arial"/>
      </w:rPr>
    </w:pPr>
  </w:p>
  <w:p w14:paraId="424CB017" w14:textId="77777777" w:rsidR="007B1267" w:rsidRDefault="004F262F" w:rsidP="002D5B25">
    <w:pPr>
      <w:pStyle w:val="Header"/>
    </w:pPr>
    <w:r w:rsidRPr="004F1323">
      <w:rPr>
        <w:noProof/>
        <w:lang w:val="en-AU" w:eastAsia="en-AU"/>
      </w:rPr>
      <w:drawing>
        <wp:anchor distT="0" distB="0" distL="114300" distR="114300" simplePos="0" relativeHeight="251665408" behindDoc="1" locked="1" layoutInCell="1" allowOverlap="1" wp14:anchorId="424CB021" wp14:editId="424CB022">
          <wp:simplePos x="0" y="0"/>
          <wp:positionH relativeFrom="page">
            <wp:posOffset>966470</wp:posOffset>
          </wp:positionH>
          <wp:positionV relativeFrom="page">
            <wp:posOffset>604520</wp:posOffset>
          </wp:positionV>
          <wp:extent cx="3166745" cy="5543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424CB018" w14:textId="77777777" w:rsidR="007B1267" w:rsidRPr="00943730" w:rsidRDefault="007B1267" w:rsidP="0094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6ECB"/>
    <w:multiLevelType w:val="hybridMultilevel"/>
    <w:tmpl w:val="90DA9142"/>
    <w:lvl w:ilvl="0" w:tplc="3AA08E06">
      <w:start w:val="1"/>
      <w:numFmt w:val="lowerRoman"/>
      <w:lvlText w:val="%1."/>
      <w:lvlJc w:val="left"/>
      <w:pPr>
        <w:ind w:left="454" w:hanging="397"/>
      </w:pPr>
      <w:rPr>
        <w:rFonts w:asciiTheme="minorHAnsi" w:hAnsiTheme="minorHAnsi"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CC7034"/>
    <w:multiLevelType w:val="multilevel"/>
    <w:tmpl w:val="2F02B2DE"/>
    <w:lvl w:ilvl="0">
      <w:start w:val="1"/>
      <w:numFmt w:val="decimal"/>
      <w:lvlText w:val="%1."/>
      <w:lvlJc w:val="left"/>
      <w:pPr>
        <w:tabs>
          <w:tab w:val="num" w:pos="567"/>
        </w:tabs>
        <w:ind w:left="567" w:hanging="567"/>
      </w:pPr>
      <w:rPr>
        <w:rFonts w:asciiTheme="minorHAnsi" w:hAnsiTheme="minorHAnsi" w:cstheme="minorHAnsi" w:hint="default"/>
        <w:b w:val="0"/>
        <w:bCs/>
        <w:sz w:val="24"/>
        <w:szCs w:val="24"/>
      </w:rPr>
    </w:lvl>
    <w:lvl w:ilvl="1">
      <w:start w:val="1"/>
      <w:numFmt w:val="upperRoman"/>
      <w:lvlText w:val="%2."/>
      <w:lvlJc w:val="right"/>
      <w:pPr>
        <w:tabs>
          <w:tab w:val="num" w:pos="1134"/>
        </w:tabs>
        <w:ind w:left="1134" w:hanging="567"/>
      </w:pPr>
      <w:rPr>
        <w:rFonts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1E6953AA"/>
    <w:multiLevelType w:val="hybridMultilevel"/>
    <w:tmpl w:val="31A4B06E"/>
    <w:lvl w:ilvl="0" w:tplc="CEF04694">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307913"/>
    <w:multiLevelType w:val="hybridMultilevel"/>
    <w:tmpl w:val="7CC655C6"/>
    <w:lvl w:ilvl="0" w:tplc="F786549C">
      <w:start w:val="1"/>
      <w:numFmt w:val="decimal"/>
      <w:lvlText w:val="%1."/>
      <w:lvlJc w:val="left"/>
      <w:pPr>
        <w:ind w:left="286" w:hanging="360"/>
      </w:pPr>
      <w:rPr>
        <w:rFonts w:ascii="HelveticaNeueLT Std" w:hAnsi="HelveticaNeueLT Std" w:hint="default"/>
        <w:sz w:val="22"/>
      </w:rPr>
    </w:lvl>
    <w:lvl w:ilvl="1" w:tplc="08090019" w:tentative="1">
      <w:start w:val="1"/>
      <w:numFmt w:val="lowerLetter"/>
      <w:lvlText w:val="%2."/>
      <w:lvlJc w:val="left"/>
      <w:pPr>
        <w:ind w:left="1006" w:hanging="360"/>
      </w:pPr>
    </w:lvl>
    <w:lvl w:ilvl="2" w:tplc="0809001B" w:tentative="1">
      <w:start w:val="1"/>
      <w:numFmt w:val="lowerRoman"/>
      <w:lvlText w:val="%3."/>
      <w:lvlJc w:val="right"/>
      <w:pPr>
        <w:ind w:left="1726" w:hanging="180"/>
      </w:pPr>
    </w:lvl>
    <w:lvl w:ilvl="3" w:tplc="0809000F" w:tentative="1">
      <w:start w:val="1"/>
      <w:numFmt w:val="decimal"/>
      <w:lvlText w:val="%4."/>
      <w:lvlJc w:val="left"/>
      <w:pPr>
        <w:ind w:left="2446" w:hanging="360"/>
      </w:pPr>
    </w:lvl>
    <w:lvl w:ilvl="4" w:tplc="08090019" w:tentative="1">
      <w:start w:val="1"/>
      <w:numFmt w:val="lowerLetter"/>
      <w:lvlText w:val="%5."/>
      <w:lvlJc w:val="left"/>
      <w:pPr>
        <w:ind w:left="3166" w:hanging="360"/>
      </w:pPr>
    </w:lvl>
    <w:lvl w:ilvl="5" w:tplc="0809001B" w:tentative="1">
      <w:start w:val="1"/>
      <w:numFmt w:val="lowerRoman"/>
      <w:lvlText w:val="%6."/>
      <w:lvlJc w:val="right"/>
      <w:pPr>
        <w:ind w:left="3886" w:hanging="180"/>
      </w:pPr>
    </w:lvl>
    <w:lvl w:ilvl="6" w:tplc="0809000F" w:tentative="1">
      <w:start w:val="1"/>
      <w:numFmt w:val="decimal"/>
      <w:lvlText w:val="%7."/>
      <w:lvlJc w:val="left"/>
      <w:pPr>
        <w:ind w:left="4606" w:hanging="360"/>
      </w:pPr>
    </w:lvl>
    <w:lvl w:ilvl="7" w:tplc="08090019" w:tentative="1">
      <w:start w:val="1"/>
      <w:numFmt w:val="lowerLetter"/>
      <w:lvlText w:val="%8."/>
      <w:lvlJc w:val="left"/>
      <w:pPr>
        <w:ind w:left="5326" w:hanging="360"/>
      </w:pPr>
    </w:lvl>
    <w:lvl w:ilvl="8" w:tplc="0809001B" w:tentative="1">
      <w:start w:val="1"/>
      <w:numFmt w:val="lowerRoman"/>
      <w:lvlText w:val="%9."/>
      <w:lvlJc w:val="right"/>
      <w:pPr>
        <w:ind w:left="6046" w:hanging="180"/>
      </w:pPr>
    </w:lvl>
  </w:abstractNum>
  <w:abstractNum w:abstractNumId="7"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11D7580"/>
    <w:multiLevelType w:val="hybridMultilevel"/>
    <w:tmpl w:val="1E006508"/>
    <w:lvl w:ilvl="0" w:tplc="59DA8A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F717A5"/>
    <w:multiLevelType w:val="hybridMultilevel"/>
    <w:tmpl w:val="6EA674D0"/>
    <w:lvl w:ilvl="0" w:tplc="C5E462D8">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E55B8C"/>
    <w:multiLevelType w:val="hybridMultilevel"/>
    <w:tmpl w:val="8D3827C2"/>
    <w:lvl w:ilvl="0" w:tplc="A442EB04">
      <w:start w:val="1"/>
      <w:numFmt w:val="bullet"/>
      <w:lvlText w:val=""/>
      <w:lvlJc w:val="left"/>
      <w:pPr>
        <w:ind w:left="2911" w:hanging="360"/>
      </w:pPr>
      <w:rPr>
        <w:rFonts w:ascii="Symbol" w:hAnsi="Symbol" w:hint="default"/>
        <w:color w:val="65C5B4"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F0175"/>
    <w:multiLevelType w:val="hybridMultilevel"/>
    <w:tmpl w:val="3BF8E34C"/>
    <w:lvl w:ilvl="0" w:tplc="59DA8A4A">
      <w:start w:val="1"/>
      <w:numFmt w:val="bullet"/>
      <w:lvlText w:val="­"/>
      <w:lvlJc w:val="left"/>
      <w:pPr>
        <w:ind w:left="417" w:hanging="360"/>
      </w:pPr>
      <w:rPr>
        <w:rFonts w:ascii="Courier New" w:hAnsi="Courier New"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2" w15:restartNumberingAfterBreak="0">
    <w:nsid w:val="575D44B0"/>
    <w:multiLevelType w:val="hybridMultilevel"/>
    <w:tmpl w:val="90DA9142"/>
    <w:lvl w:ilvl="0" w:tplc="3AA08E06">
      <w:start w:val="1"/>
      <w:numFmt w:val="lowerRoman"/>
      <w:lvlText w:val="%1."/>
      <w:lvlJc w:val="left"/>
      <w:pPr>
        <w:ind w:left="454" w:hanging="397"/>
      </w:pPr>
      <w:rPr>
        <w:rFonts w:asciiTheme="minorHAnsi" w:hAnsiTheme="minorHAnsi"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85136B3"/>
    <w:multiLevelType w:val="hybridMultilevel"/>
    <w:tmpl w:val="410A91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abstractNum w:abstractNumId="18" w15:restartNumberingAfterBreak="0">
    <w:nsid w:val="7BBE08F2"/>
    <w:multiLevelType w:val="hybridMultilevel"/>
    <w:tmpl w:val="90DA9142"/>
    <w:lvl w:ilvl="0" w:tplc="3AA08E06">
      <w:start w:val="1"/>
      <w:numFmt w:val="lowerRoman"/>
      <w:lvlText w:val="%1."/>
      <w:lvlJc w:val="left"/>
      <w:pPr>
        <w:ind w:left="454" w:hanging="397"/>
      </w:pPr>
      <w:rPr>
        <w:rFonts w:asciiTheme="minorHAnsi" w:hAnsiTheme="minorHAnsi"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13"/>
  </w:num>
  <w:num w:numId="5">
    <w:abstractNumId w:val="14"/>
  </w:num>
  <w:num w:numId="6">
    <w:abstractNumId w:val="7"/>
  </w:num>
  <w:num w:numId="7">
    <w:abstractNumId w:val="1"/>
  </w:num>
  <w:num w:numId="8">
    <w:abstractNumId w:val="3"/>
  </w:num>
  <w:num w:numId="9">
    <w:abstractNumId w:val="17"/>
  </w:num>
  <w:num w:numId="10">
    <w:abstractNumId w:val="4"/>
  </w:num>
  <w:num w:numId="11">
    <w:abstractNumId w:val="2"/>
  </w:num>
  <w:num w:numId="12">
    <w:abstractNumId w:val="0"/>
  </w:num>
  <w:num w:numId="13">
    <w:abstractNumId w:val="15"/>
  </w:num>
  <w:num w:numId="14">
    <w:abstractNumId w:val="9"/>
  </w:num>
  <w:num w:numId="15">
    <w:abstractNumId w:val="5"/>
  </w:num>
  <w:num w:numId="16">
    <w:abstractNumId w:val="10"/>
  </w:num>
  <w:num w:numId="17">
    <w:abstractNumId w:val="4"/>
  </w:num>
  <w:num w:numId="18">
    <w:abstractNumId w:val="4"/>
  </w:num>
  <w:num w:numId="19">
    <w:abstractNumId w:val="12"/>
  </w:num>
  <w:num w:numId="20">
    <w:abstractNumId w:val="6"/>
  </w:num>
  <w:num w:numId="21">
    <w:abstractNumId w:val="4"/>
  </w:num>
  <w:num w:numId="22">
    <w:abstractNumId w:val="18"/>
  </w:num>
  <w:num w:numId="23">
    <w:abstractNumId w:val="11"/>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58"/>
    <w:rsid w:val="000019F6"/>
    <w:rsid w:val="00001DA8"/>
    <w:rsid w:val="000020C1"/>
    <w:rsid w:val="0000652C"/>
    <w:rsid w:val="00013ADD"/>
    <w:rsid w:val="0002080A"/>
    <w:rsid w:val="00021335"/>
    <w:rsid w:val="0002782F"/>
    <w:rsid w:val="00034D04"/>
    <w:rsid w:val="00035BBF"/>
    <w:rsid w:val="00050806"/>
    <w:rsid w:val="000546D9"/>
    <w:rsid w:val="00054E4D"/>
    <w:rsid w:val="0005733A"/>
    <w:rsid w:val="00060073"/>
    <w:rsid w:val="000616C6"/>
    <w:rsid w:val="000662CC"/>
    <w:rsid w:val="0007030E"/>
    <w:rsid w:val="00070450"/>
    <w:rsid w:val="00072E2D"/>
    <w:rsid w:val="000854FD"/>
    <w:rsid w:val="00087B61"/>
    <w:rsid w:val="00091B57"/>
    <w:rsid w:val="000B3010"/>
    <w:rsid w:val="000B338E"/>
    <w:rsid w:val="000B37F5"/>
    <w:rsid w:val="000B3ED7"/>
    <w:rsid w:val="000B7B91"/>
    <w:rsid w:val="000D66D6"/>
    <w:rsid w:val="000E6EDE"/>
    <w:rsid w:val="000F3E74"/>
    <w:rsid w:val="000F7B1D"/>
    <w:rsid w:val="00106299"/>
    <w:rsid w:val="0011012A"/>
    <w:rsid w:val="00113288"/>
    <w:rsid w:val="001214BE"/>
    <w:rsid w:val="0013066F"/>
    <w:rsid w:val="0013101C"/>
    <w:rsid w:val="00132871"/>
    <w:rsid w:val="0013442E"/>
    <w:rsid w:val="00137C83"/>
    <w:rsid w:val="0014333F"/>
    <w:rsid w:val="001461D6"/>
    <w:rsid w:val="00151A2A"/>
    <w:rsid w:val="001541EA"/>
    <w:rsid w:val="00155A45"/>
    <w:rsid w:val="0017266A"/>
    <w:rsid w:val="001742B2"/>
    <w:rsid w:val="0018766C"/>
    <w:rsid w:val="001975E5"/>
    <w:rsid w:val="001A397B"/>
    <w:rsid w:val="001B2180"/>
    <w:rsid w:val="001D090B"/>
    <w:rsid w:val="001D2CC2"/>
    <w:rsid w:val="001D663E"/>
    <w:rsid w:val="001E1DC0"/>
    <w:rsid w:val="001E2A9E"/>
    <w:rsid w:val="001E4AF1"/>
    <w:rsid w:val="001E6822"/>
    <w:rsid w:val="001E7B65"/>
    <w:rsid w:val="001F6139"/>
    <w:rsid w:val="00212C6A"/>
    <w:rsid w:val="00234F82"/>
    <w:rsid w:val="00253C5A"/>
    <w:rsid w:val="002629BF"/>
    <w:rsid w:val="002711D8"/>
    <w:rsid w:val="00274F52"/>
    <w:rsid w:val="0027509B"/>
    <w:rsid w:val="0028602A"/>
    <w:rsid w:val="002A5A12"/>
    <w:rsid w:val="002B5238"/>
    <w:rsid w:val="002B5E10"/>
    <w:rsid w:val="002C36B5"/>
    <w:rsid w:val="002C793D"/>
    <w:rsid w:val="002D5B25"/>
    <w:rsid w:val="002E0899"/>
    <w:rsid w:val="002F4F2B"/>
    <w:rsid w:val="003002C0"/>
    <w:rsid w:val="00301144"/>
    <w:rsid w:val="003031C6"/>
    <w:rsid w:val="00304984"/>
    <w:rsid w:val="003108BF"/>
    <w:rsid w:val="00312BF8"/>
    <w:rsid w:val="003148B7"/>
    <w:rsid w:val="003158C3"/>
    <w:rsid w:val="003162F6"/>
    <w:rsid w:val="003274CD"/>
    <w:rsid w:val="00333501"/>
    <w:rsid w:val="003457C4"/>
    <w:rsid w:val="0035119D"/>
    <w:rsid w:val="00353113"/>
    <w:rsid w:val="003571A7"/>
    <w:rsid w:val="00357312"/>
    <w:rsid w:val="00357B3A"/>
    <w:rsid w:val="00362E65"/>
    <w:rsid w:val="00365868"/>
    <w:rsid w:val="00376277"/>
    <w:rsid w:val="0037692B"/>
    <w:rsid w:val="0038287D"/>
    <w:rsid w:val="00386BC5"/>
    <w:rsid w:val="0039344A"/>
    <w:rsid w:val="003B4F12"/>
    <w:rsid w:val="003B649A"/>
    <w:rsid w:val="003C3D89"/>
    <w:rsid w:val="003C5D76"/>
    <w:rsid w:val="003D21DC"/>
    <w:rsid w:val="003D50EA"/>
    <w:rsid w:val="003E0039"/>
    <w:rsid w:val="003F2041"/>
    <w:rsid w:val="003F51A7"/>
    <w:rsid w:val="00402ACC"/>
    <w:rsid w:val="00405DBB"/>
    <w:rsid w:val="00411EF3"/>
    <w:rsid w:val="004120EC"/>
    <w:rsid w:val="00412FC4"/>
    <w:rsid w:val="004153A7"/>
    <w:rsid w:val="0042155B"/>
    <w:rsid w:val="00423D20"/>
    <w:rsid w:val="00423F31"/>
    <w:rsid w:val="00426C17"/>
    <w:rsid w:val="00431899"/>
    <w:rsid w:val="00431E42"/>
    <w:rsid w:val="004570DB"/>
    <w:rsid w:val="0045721C"/>
    <w:rsid w:val="00461141"/>
    <w:rsid w:val="00462F2D"/>
    <w:rsid w:val="00482987"/>
    <w:rsid w:val="00482AE8"/>
    <w:rsid w:val="00486804"/>
    <w:rsid w:val="004A4093"/>
    <w:rsid w:val="004B3775"/>
    <w:rsid w:val="004B3C44"/>
    <w:rsid w:val="004C5023"/>
    <w:rsid w:val="004C6942"/>
    <w:rsid w:val="004D08AC"/>
    <w:rsid w:val="004D0BA0"/>
    <w:rsid w:val="004D196E"/>
    <w:rsid w:val="004E058F"/>
    <w:rsid w:val="004E3B87"/>
    <w:rsid w:val="004E78F2"/>
    <w:rsid w:val="004F1323"/>
    <w:rsid w:val="004F262F"/>
    <w:rsid w:val="004F6547"/>
    <w:rsid w:val="0050489A"/>
    <w:rsid w:val="00506C1C"/>
    <w:rsid w:val="00510921"/>
    <w:rsid w:val="00510AD3"/>
    <w:rsid w:val="00513348"/>
    <w:rsid w:val="00513AD8"/>
    <w:rsid w:val="005204D2"/>
    <w:rsid w:val="00522396"/>
    <w:rsid w:val="00533B5D"/>
    <w:rsid w:val="00535849"/>
    <w:rsid w:val="00555985"/>
    <w:rsid w:val="0057039F"/>
    <w:rsid w:val="005773A4"/>
    <w:rsid w:val="0058186E"/>
    <w:rsid w:val="00582E97"/>
    <w:rsid w:val="00583019"/>
    <w:rsid w:val="005A20F6"/>
    <w:rsid w:val="005A37BD"/>
    <w:rsid w:val="005A71F5"/>
    <w:rsid w:val="005A77B7"/>
    <w:rsid w:val="005B57CC"/>
    <w:rsid w:val="005C7E20"/>
    <w:rsid w:val="005D3655"/>
    <w:rsid w:val="005E4830"/>
    <w:rsid w:val="005E755D"/>
    <w:rsid w:val="00602208"/>
    <w:rsid w:val="00611D29"/>
    <w:rsid w:val="00622B86"/>
    <w:rsid w:val="00623BA1"/>
    <w:rsid w:val="00623EDC"/>
    <w:rsid w:val="00627248"/>
    <w:rsid w:val="006346BC"/>
    <w:rsid w:val="00634B33"/>
    <w:rsid w:val="0064575F"/>
    <w:rsid w:val="006542E2"/>
    <w:rsid w:val="0066652A"/>
    <w:rsid w:val="006719C3"/>
    <w:rsid w:val="006722FB"/>
    <w:rsid w:val="00680522"/>
    <w:rsid w:val="0068210D"/>
    <w:rsid w:val="00682167"/>
    <w:rsid w:val="006B5E1C"/>
    <w:rsid w:val="006B66A5"/>
    <w:rsid w:val="006C1419"/>
    <w:rsid w:val="006C1AF7"/>
    <w:rsid w:val="006C42AF"/>
    <w:rsid w:val="006E59BD"/>
    <w:rsid w:val="006F6A65"/>
    <w:rsid w:val="00711D8E"/>
    <w:rsid w:val="00712672"/>
    <w:rsid w:val="00720AB4"/>
    <w:rsid w:val="007213EB"/>
    <w:rsid w:val="00722FA7"/>
    <w:rsid w:val="00732F14"/>
    <w:rsid w:val="007339DE"/>
    <w:rsid w:val="00734E3F"/>
    <w:rsid w:val="00736985"/>
    <w:rsid w:val="00736A05"/>
    <w:rsid w:val="00745DF5"/>
    <w:rsid w:val="007502AA"/>
    <w:rsid w:val="00750E5F"/>
    <w:rsid w:val="0076250F"/>
    <w:rsid w:val="00780B09"/>
    <w:rsid w:val="00780FA5"/>
    <w:rsid w:val="00795D76"/>
    <w:rsid w:val="007A3F04"/>
    <w:rsid w:val="007B1267"/>
    <w:rsid w:val="007B3BD7"/>
    <w:rsid w:val="007B6200"/>
    <w:rsid w:val="007C1263"/>
    <w:rsid w:val="007F3395"/>
    <w:rsid w:val="00801B9F"/>
    <w:rsid w:val="0080204D"/>
    <w:rsid w:val="00810ACF"/>
    <w:rsid w:val="00812D01"/>
    <w:rsid w:val="008223E4"/>
    <w:rsid w:val="00823E2A"/>
    <w:rsid w:val="00825AC7"/>
    <w:rsid w:val="00841A81"/>
    <w:rsid w:val="00842565"/>
    <w:rsid w:val="008475F0"/>
    <w:rsid w:val="008518CE"/>
    <w:rsid w:val="0085567A"/>
    <w:rsid w:val="008557A7"/>
    <w:rsid w:val="0086340F"/>
    <w:rsid w:val="00865B9D"/>
    <w:rsid w:val="00870269"/>
    <w:rsid w:val="00870928"/>
    <w:rsid w:val="008902DF"/>
    <w:rsid w:val="0089405C"/>
    <w:rsid w:val="00894DA6"/>
    <w:rsid w:val="00897FA2"/>
    <w:rsid w:val="008A4544"/>
    <w:rsid w:val="008A51A6"/>
    <w:rsid w:val="008A5AFE"/>
    <w:rsid w:val="008C5A0E"/>
    <w:rsid w:val="008C5E14"/>
    <w:rsid w:val="008C6CCD"/>
    <w:rsid w:val="008E22FE"/>
    <w:rsid w:val="008E7BE7"/>
    <w:rsid w:val="008F4444"/>
    <w:rsid w:val="0090689D"/>
    <w:rsid w:val="00933159"/>
    <w:rsid w:val="009353DE"/>
    <w:rsid w:val="00943730"/>
    <w:rsid w:val="0094469C"/>
    <w:rsid w:val="00951F0E"/>
    <w:rsid w:val="00965224"/>
    <w:rsid w:val="00971DAD"/>
    <w:rsid w:val="00975767"/>
    <w:rsid w:val="00975CA5"/>
    <w:rsid w:val="009805E9"/>
    <w:rsid w:val="009831A4"/>
    <w:rsid w:val="00986590"/>
    <w:rsid w:val="0099099D"/>
    <w:rsid w:val="00992C76"/>
    <w:rsid w:val="009969D6"/>
    <w:rsid w:val="00996F0C"/>
    <w:rsid w:val="009A1B00"/>
    <w:rsid w:val="009B10E5"/>
    <w:rsid w:val="009B4D3B"/>
    <w:rsid w:val="009D7407"/>
    <w:rsid w:val="009E0866"/>
    <w:rsid w:val="009E10FB"/>
    <w:rsid w:val="009E273C"/>
    <w:rsid w:val="009E6712"/>
    <w:rsid w:val="009F0159"/>
    <w:rsid w:val="009F1350"/>
    <w:rsid w:val="009F6423"/>
    <w:rsid w:val="00A13F7B"/>
    <w:rsid w:val="00A24A62"/>
    <w:rsid w:val="00A26C7D"/>
    <w:rsid w:val="00A31C9F"/>
    <w:rsid w:val="00A4144F"/>
    <w:rsid w:val="00A42274"/>
    <w:rsid w:val="00A50FBB"/>
    <w:rsid w:val="00A51B12"/>
    <w:rsid w:val="00A51CD0"/>
    <w:rsid w:val="00A61B4D"/>
    <w:rsid w:val="00A701A3"/>
    <w:rsid w:val="00A73F4D"/>
    <w:rsid w:val="00A80F95"/>
    <w:rsid w:val="00A81F42"/>
    <w:rsid w:val="00A97BF1"/>
    <w:rsid w:val="00AA0445"/>
    <w:rsid w:val="00AA298A"/>
    <w:rsid w:val="00AC164A"/>
    <w:rsid w:val="00AD09C1"/>
    <w:rsid w:val="00AD0F09"/>
    <w:rsid w:val="00AD6F62"/>
    <w:rsid w:val="00AE01D5"/>
    <w:rsid w:val="00AE448A"/>
    <w:rsid w:val="00AF1712"/>
    <w:rsid w:val="00AF2050"/>
    <w:rsid w:val="00AF3DB7"/>
    <w:rsid w:val="00AF6D04"/>
    <w:rsid w:val="00B03CA8"/>
    <w:rsid w:val="00B04391"/>
    <w:rsid w:val="00B26AEB"/>
    <w:rsid w:val="00B31237"/>
    <w:rsid w:val="00B33C0A"/>
    <w:rsid w:val="00B44E9B"/>
    <w:rsid w:val="00B525B2"/>
    <w:rsid w:val="00B55E19"/>
    <w:rsid w:val="00B56554"/>
    <w:rsid w:val="00B674D2"/>
    <w:rsid w:val="00B857E1"/>
    <w:rsid w:val="00B94758"/>
    <w:rsid w:val="00BA4B6D"/>
    <w:rsid w:val="00BB15C3"/>
    <w:rsid w:val="00BB26C5"/>
    <w:rsid w:val="00BB5C11"/>
    <w:rsid w:val="00BB6357"/>
    <w:rsid w:val="00BC0DB3"/>
    <w:rsid w:val="00BD5F5A"/>
    <w:rsid w:val="00BF4DE6"/>
    <w:rsid w:val="00C011A5"/>
    <w:rsid w:val="00C06B13"/>
    <w:rsid w:val="00C10658"/>
    <w:rsid w:val="00C27D25"/>
    <w:rsid w:val="00C31676"/>
    <w:rsid w:val="00C42541"/>
    <w:rsid w:val="00C42CDE"/>
    <w:rsid w:val="00C44BDD"/>
    <w:rsid w:val="00C5182A"/>
    <w:rsid w:val="00C56D28"/>
    <w:rsid w:val="00C61A99"/>
    <w:rsid w:val="00C63EE9"/>
    <w:rsid w:val="00C77AB3"/>
    <w:rsid w:val="00C86EF2"/>
    <w:rsid w:val="00C92FAA"/>
    <w:rsid w:val="00CA16F3"/>
    <w:rsid w:val="00CA37B1"/>
    <w:rsid w:val="00CB1959"/>
    <w:rsid w:val="00CC741B"/>
    <w:rsid w:val="00CD0E4B"/>
    <w:rsid w:val="00CE4C89"/>
    <w:rsid w:val="00CF07BA"/>
    <w:rsid w:val="00D018DE"/>
    <w:rsid w:val="00D0296C"/>
    <w:rsid w:val="00D114A7"/>
    <w:rsid w:val="00D1531B"/>
    <w:rsid w:val="00D17DA3"/>
    <w:rsid w:val="00D2140B"/>
    <w:rsid w:val="00D22B27"/>
    <w:rsid w:val="00D24B20"/>
    <w:rsid w:val="00D31D77"/>
    <w:rsid w:val="00D32D6F"/>
    <w:rsid w:val="00D37B04"/>
    <w:rsid w:val="00D4030A"/>
    <w:rsid w:val="00D41C6A"/>
    <w:rsid w:val="00D47BAA"/>
    <w:rsid w:val="00D540C6"/>
    <w:rsid w:val="00D56AC8"/>
    <w:rsid w:val="00D604B1"/>
    <w:rsid w:val="00D64BD1"/>
    <w:rsid w:val="00D7241B"/>
    <w:rsid w:val="00D75D32"/>
    <w:rsid w:val="00D760EF"/>
    <w:rsid w:val="00D77275"/>
    <w:rsid w:val="00D81E26"/>
    <w:rsid w:val="00D82BC7"/>
    <w:rsid w:val="00D82C27"/>
    <w:rsid w:val="00D92254"/>
    <w:rsid w:val="00DB1323"/>
    <w:rsid w:val="00DB4B78"/>
    <w:rsid w:val="00DC50F4"/>
    <w:rsid w:val="00DC53AF"/>
    <w:rsid w:val="00DC68AB"/>
    <w:rsid w:val="00DE084C"/>
    <w:rsid w:val="00DE147C"/>
    <w:rsid w:val="00DF3E8C"/>
    <w:rsid w:val="00DF7DDA"/>
    <w:rsid w:val="00E0439C"/>
    <w:rsid w:val="00E14F51"/>
    <w:rsid w:val="00E30797"/>
    <w:rsid w:val="00E357B7"/>
    <w:rsid w:val="00E413F2"/>
    <w:rsid w:val="00E53800"/>
    <w:rsid w:val="00E57726"/>
    <w:rsid w:val="00E6081F"/>
    <w:rsid w:val="00E656CC"/>
    <w:rsid w:val="00E70A0B"/>
    <w:rsid w:val="00E8296D"/>
    <w:rsid w:val="00E8457B"/>
    <w:rsid w:val="00E92BE4"/>
    <w:rsid w:val="00EA04B2"/>
    <w:rsid w:val="00EA20F3"/>
    <w:rsid w:val="00EA5037"/>
    <w:rsid w:val="00EB097A"/>
    <w:rsid w:val="00ED2831"/>
    <w:rsid w:val="00ED43D1"/>
    <w:rsid w:val="00EE4EE1"/>
    <w:rsid w:val="00EE79FC"/>
    <w:rsid w:val="00EF4574"/>
    <w:rsid w:val="00EF5FF6"/>
    <w:rsid w:val="00F25A93"/>
    <w:rsid w:val="00F2684E"/>
    <w:rsid w:val="00F2739F"/>
    <w:rsid w:val="00F42C46"/>
    <w:rsid w:val="00F5404C"/>
    <w:rsid w:val="00F729EF"/>
    <w:rsid w:val="00F77CAE"/>
    <w:rsid w:val="00F81798"/>
    <w:rsid w:val="00F82271"/>
    <w:rsid w:val="00F83428"/>
    <w:rsid w:val="00F9654B"/>
    <w:rsid w:val="00F96BB9"/>
    <w:rsid w:val="00FA067F"/>
    <w:rsid w:val="00FA3B24"/>
    <w:rsid w:val="00FC6979"/>
    <w:rsid w:val="00FE6D51"/>
    <w:rsid w:val="00FE6F2A"/>
    <w:rsid w:val="00FF37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24CAFDE"/>
  <w15:docId w15:val="{643BF76F-9D65-4411-8D53-2E58E0C6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B525B2"/>
    <w:pPr>
      <w:numPr>
        <w:numId w:val="10"/>
      </w:numPr>
    </w:pPr>
    <w:rPr>
      <w:rFonts w:asciiTheme="minorHAnsi" w:hAnsiTheme="minorHAnsi"/>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Normal"/>
    <w:next w:val="Normal"/>
    <w:qFormat/>
    <w:rsid w:val="00DB1323"/>
    <w:rPr>
      <w:b/>
      <w:bCs/>
      <w:color w:val="auto"/>
      <w:sz w:val="24"/>
      <w:szCs w:val="24"/>
      <w:u w:val="single"/>
    </w:r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basedOn w:val="Normal"/>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table" w:styleId="PlainTable1">
    <w:name w:val="Plain Table 1"/>
    <w:basedOn w:val="TableNormal"/>
    <w:uiPriority w:val="41"/>
    <w:rsid w:val="003C5D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locked/>
    <w:rsid w:val="001E7B65"/>
    <w:rPr>
      <w:color w:val="808080"/>
    </w:rPr>
  </w:style>
  <w:style w:type="paragraph" w:customStyle="1" w:styleId="IODPARCbullets">
    <w:name w:val="IOD PARC bullets"/>
    <w:basedOn w:val="ListBullet"/>
    <w:link w:val="IODPARCbulletsChar"/>
    <w:uiPriority w:val="6"/>
    <w:qFormat/>
    <w:rsid w:val="002C36B5"/>
    <w:pPr>
      <w:suppressAutoHyphens w:val="0"/>
      <w:spacing w:before="60" w:line="240" w:lineRule="auto"/>
      <w:ind w:left="568" w:hanging="284"/>
      <w:contextualSpacing w:val="0"/>
    </w:pPr>
    <w:rPr>
      <w:rFonts w:ascii="HelveticaNeueLT Std" w:hAnsi="HelveticaNeueLT Std" w:cs="Times New Roman"/>
      <w:color w:val="000000" w:themeColor="text1"/>
      <w:sz w:val="21"/>
      <w:szCs w:val="24"/>
      <w:lang w:val="en-US"/>
    </w:rPr>
  </w:style>
  <w:style w:type="character" w:customStyle="1" w:styleId="IODPARCbulletsChar">
    <w:name w:val="IOD PARC bullets Char"/>
    <w:basedOn w:val="DefaultParagraphFont"/>
    <w:link w:val="IODPARCbullets"/>
    <w:uiPriority w:val="6"/>
    <w:rsid w:val="002C36B5"/>
    <w:rPr>
      <w:rFonts w:ascii="HelveticaNeueLT Std" w:hAnsi="HelveticaNeueLT Std" w:cs="Times New Roman"/>
      <w:color w:val="000000" w:themeColor="text1"/>
      <w:sz w:val="21"/>
      <w:szCs w:val="24"/>
      <w:lang w:val="en-US"/>
    </w:rPr>
  </w:style>
  <w:style w:type="paragraph" w:styleId="ListBullet">
    <w:name w:val="List Bullet"/>
    <w:basedOn w:val="Normal"/>
    <w:uiPriority w:val="99"/>
    <w:semiHidden/>
    <w:unhideWhenUsed/>
    <w:locked/>
    <w:rsid w:val="002C36B5"/>
    <w:pPr>
      <w:ind w:left="2911" w:hanging="360"/>
      <w:contextualSpacing/>
    </w:pPr>
  </w:style>
  <w:style w:type="paragraph" w:customStyle="1" w:styleId="IODPARClistnumber">
    <w:name w:val="IOD PARC list number"/>
    <w:basedOn w:val="ListNumber"/>
    <w:link w:val="IODPARClistnumberChar"/>
    <w:uiPriority w:val="6"/>
    <w:qFormat/>
    <w:rsid w:val="001742B2"/>
    <w:pPr>
      <w:suppressAutoHyphens w:val="0"/>
      <w:spacing w:before="0" w:after="120" w:line="240" w:lineRule="auto"/>
      <w:contextualSpacing w:val="0"/>
    </w:pPr>
    <w:rPr>
      <w:rFonts w:ascii="HelveticaNeueLT Std" w:hAnsi="HelveticaNeueLT Std" w:cs="Times New Roman"/>
      <w:color w:val="000000" w:themeColor="text1"/>
      <w:sz w:val="21"/>
      <w:szCs w:val="24"/>
      <w:lang w:val="en-US"/>
    </w:rPr>
  </w:style>
  <w:style w:type="character" w:customStyle="1" w:styleId="IODPARClistnumberChar">
    <w:name w:val="IOD PARC list number Char"/>
    <w:basedOn w:val="IODPARCbulletsChar"/>
    <w:link w:val="IODPARClistnumber"/>
    <w:uiPriority w:val="6"/>
    <w:rsid w:val="001742B2"/>
    <w:rPr>
      <w:rFonts w:ascii="HelveticaNeueLT Std" w:hAnsi="HelveticaNeueLT Std" w:cs="Times New Roman"/>
      <w:color w:val="000000" w:themeColor="text1"/>
      <w:sz w:val="21"/>
      <w:szCs w:val="24"/>
      <w:lang w:val="en-US"/>
    </w:rPr>
  </w:style>
  <w:style w:type="paragraph" w:styleId="ListNumber">
    <w:name w:val="List Number"/>
    <w:basedOn w:val="Normal"/>
    <w:uiPriority w:val="99"/>
    <w:semiHidden/>
    <w:unhideWhenUsed/>
    <w:locked/>
    <w:rsid w:val="001742B2"/>
    <w:pPr>
      <w:ind w:left="286" w:hanging="360"/>
      <w:contextualSpacing/>
    </w:pPr>
  </w:style>
  <w:style w:type="paragraph" w:styleId="Revision">
    <w:name w:val="Revision"/>
    <w:hidden/>
    <w:uiPriority w:val="99"/>
    <w:semiHidden/>
    <w:rsid w:val="0042155B"/>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7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286FB503F9437A9AAE78C7C313F3EA"/>
        <w:category>
          <w:name w:val="General"/>
          <w:gallery w:val="placeholder"/>
        </w:category>
        <w:types>
          <w:type w:val="bbPlcHdr"/>
        </w:types>
        <w:behaviors>
          <w:behavior w:val="content"/>
        </w:behaviors>
        <w:guid w:val="{F27775F5-0F81-4B35-90F9-C149B1E9D5A9}"/>
      </w:docPartPr>
      <w:docPartBody>
        <w:p w:rsidR="00D93ED3" w:rsidRDefault="00CA448D" w:rsidP="00CA448D">
          <w:pPr>
            <w:pStyle w:val="EB286FB503F9437A9AAE78C7C313F3EA2"/>
          </w:pPr>
          <w:r w:rsidRPr="001E7B65">
            <w:rPr>
              <w:rStyle w:val="PlaceholderText"/>
              <w:b/>
              <w:sz w:val="28"/>
              <w:szCs w:val="28"/>
            </w:rPr>
            <w:t>CLASSIFICATION</w:t>
          </w:r>
          <w:r w:rsidRPr="000E6C7A">
            <w:rPr>
              <w:rStyle w:val="PlaceholderText"/>
            </w:rPr>
            <w:t>.</w:t>
          </w:r>
        </w:p>
      </w:docPartBody>
    </w:docPart>
    <w:docPart>
      <w:docPartPr>
        <w:name w:val="02DF9E47E148413A8B608DEA5532F937"/>
        <w:category>
          <w:name w:val="General"/>
          <w:gallery w:val="placeholder"/>
        </w:category>
        <w:types>
          <w:type w:val="bbPlcHdr"/>
        </w:types>
        <w:behaviors>
          <w:behavior w:val="content"/>
        </w:behaviors>
        <w:guid w:val="{743F1579-9C8A-45C6-81D6-1133D7DCB598}"/>
      </w:docPartPr>
      <w:docPartBody>
        <w:p w:rsidR="00CA448D" w:rsidRDefault="00CA448D" w:rsidP="00CA448D">
          <w:pPr>
            <w:pStyle w:val="02DF9E47E148413A8B608DEA5532F9372"/>
          </w:pPr>
          <w:r w:rsidRPr="001E7B65">
            <w:rPr>
              <w:rStyle w:val="PlaceholderText"/>
              <w:b/>
              <w:sz w:val="28"/>
              <w:szCs w:val="28"/>
            </w:rPr>
            <w:t>CLASSIFICATION</w:t>
          </w:r>
          <w:r w:rsidRPr="000E6C7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BE"/>
    <w:rsid w:val="001C70BE"/>
    <w:rsid w:val="007D129E"/>
    <w:rsid w:val="00CA448D"/>
    <w:rsid w:val="00D93ED3"/>
    <w:rsid w:val="00FC4E7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48D"/>
    <w:rPr>
      <w:color w:val="808080"/>
    </w:rPr>
  </w:style>
  <w:style w:type="paragraph" w:customStyle="1" w:styleId="02DF9E47E148413A8B608DEA5532F9372">
    <w:name w:val="02DF9E47E148413A8B608DEA5532F9372"/>
    <w:rsid w:val="00CA448D"/>
    <w:pPr>
      <w:suppressAutoHyphens/>
      <w:spacing w:after="0" w:line="240" w:lineRule="exact"/>
      <w:ind w:right="284"/>
      <w:jc w:val="right"/>
    </w:pPr>
    <w:rPr>
      <w:rFonts w:eastAsiaTheme="minorHAnsi"/>
      <w:color w:val="FFFFFF" w:themeColor="background1"/>
      <w:lang w:val="en-GB" w:eastAsia="en-US"/>
    </w:rPr>
  </w:style>
  <w:style w:type="paragraph" w:customStyle="1" w:styleId="EB286FB503F9437A9AAE78C7C313F3EA2">
    <w:name w:val="EB286FB503F9437A9AAE78C7C313F3EA2"/>
    <w:rsid w:val="00CA448D"/>
    <w:pPr>
      <w:suppressAutoHyphens/>
      <w:spacing w:after="0" w:line="240" w:lineRule="exact"/>
      <w:ind w:right="284"/>
      <w:jc w:val="right"/>
    </w:pPr>
    <w:rPr>
      <w:rFonts w:eastAsiaTheme="minorHAnsi"/>
      <w:color w:val="FFFFFF" w:themeColor="background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C9A5A0920A40994B8B08CBAED85F" ma:contentTypeVersion="14" ma:contentTypeDescription="Create a new document." ma:contentTypeScope="" ma:versionID="e021c6efaa25d8cd03b49a3fa836272b">
  <xsd:schema xmlns:xsd="http://www.w3.org/2001/XMLSchema" xmlns:xs="http://www.w3.org/2001/XMLSchema" xmlns:p="http://schemas.microsoft.com/office/2006/metadata/properties" xmlns:ns1="http://schemas.microsoft.com/sharepoint/v3" xmlns:ns3="6b894c73-1921-4299-aefc-49f5a4cb1310" targetNamespace="http://schemas.microsoft.com/office/2006/metadata/properties" ma:root="true" ma:fieldsID="e49ce07306dfd17ef208689582868578" ns1:_="" ns3:_="">
    <xsd:import namespace="http://schemas.microsoft.com/sharepoint/v3"/>
    <xsd:import namespace="6b894c73-1921-4299-aefc-49f5a4cb1310"/>
    <xsd:element name="properties">
      <xsd:complexType>
        <xsd:sequence>
          <xsd:element name="documentManagement">
            <xsd:complexType>
              <xsd:all>
                <xsd:element ref="ns1:PublishingStartDate" minOccurs="0"/>
                <xsd:element ref="ns1:PublishingExpirationDate"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Format" ma:index="11"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0"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at xmlns="6b894c73-1921-4299-aefc-49f5a4cb1310">1. Examples of best practice</Forma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D190D-D6C9-4CA0-A298-E9EDCF05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1EB92-C381-4E52-A8CF-C6D743208E77}">
  <ds:schemaRefs>
    <ds:schemaRef ds:uri="http://schemas.microsoft.com/office/2006/documentManagement/types"/>
    <ds:schemaRef ds:uri="http://schemas.microsoft.com/office/infopath/2007/PartnerControls"/>
    <ds:schemaRef ds:uri="6b894c73-1921-4299-aefc-49f5a4cb1310"/>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5AFE291-B4CA-473A-BC0C-CA8795195CB8}">
  <ds:schemaRefs>
    <ds:schemaRef ds:uri="http://schemas.openxmlformats.org/officeDocument/2006/bibliography"/>
  </ds:schemaRefs>
</ds:datastoreItem>
</file>

<file path=customXml/itemProps4.xml><?xml version="1.0" encoding="utf-8"?>
<ds:datastoreItem xmlns:ds="http://schemas.openxmlformats.org/officeDocument/2006/customXml" ds:itemID="{7288E3FA-5EBC-4EAE-BDD8-1E2CFF6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1286</Words>
  <Characters>7245</Characters>
  <Application>Microsoft Office Word</Application>
  <DocSecurity>0</DocSecurity>
  <Lines>288</Lines>
  <Paragraphs>63</Paragraphs>
  <ScaleCrop>false</ScaleCrop>
  <HeadingPairs>
    <vt:vector size="2" baseType="variant">
      <vt:variant>
        <vt:lpstr>Title</vt:lpstr>
      </vt:variant>
      <vt:variant>
        <vt:i4>1</vt:i4>
      </vt:variant>
    </vt:vector>
  </HeadingPairs>
  <TitlesOfParts>
    <vt:vector size="1" baseType="lpstr">
      <vt:lpstr>Minute - Departmental and Executive</vt:lpstr>
    </vt:vector>
  </TitlesOfParts>
  <Company>Department of Foreign Affairs and Trade</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 Departmental and Executive</dc:title>
  <dc:creator>Regan, Andrea</dc:creator>
  <cp:keywords>[SEC=OFFICIAL]</cp:keywords>
  <cp:lastModifiedBy>Taylor Pepene</cp:lastModifiedBy>
  <cp:revision>4</cp:revision>
  <cp:lastPrinted>2021-06-21T23:36:00Z</cp:lastPrinted>
  <dcterms:created xsi:type="dcterms:W3CDTF">2021-09-05T16:46:00Z</dcterms:created>
  <dcterms:modified xsi:type="dcterms:W3CDTF">2021-09-05T16:46:00Z</dcterms:modified>
  <cp:category>Departmental Minute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fe9c662a-f3e0-48a9-a96d-745dc1251861</vt:lpwstr>
  </property>
  <property fmtid="{D5CDD505-2E9C-101B-9397-08002B2CF9AE}" pid="3" name="ContentTypeId">
    <vt:lpwstr>0x010100C1DDC9A5A0920A40994B8B08CBAED85F</vt:lpwstr>
  </property>
  <property fmtid="{D5CDD505-2E9C-101B-9397-08002B2CF9AE}" pid="4" name="PageKeywords">
    <vt:lpwstr>12;#;#62;#</vt:lpwstr>
  </property>
  <property fmtid="{D5CDD505-2E9C-101B-9397-08002B2CF9AE}" pid="5" name="ItemActive">
    <vt:bool>true</vt:bool>
  </property>
  <property fmtid="{D5CDD505-2E9C-101B-9397-08002B2CF9AE}" pid="6" name="OrganisationalUnit">
    <vt:lpwstr>490</vt:lpwstr>
  </property>
  <property fmtid="{D5CDD505-2E9C-101B-9397-08002B2CF9AE}" pid="7" name="PageDescription">
    <vt:lpwstr>briefing, template</vt:lpwstr>
  </property>
  <property fmtid="{D5CDD505-2E9C-101B-9397-08002B2CF9AE}" pid="8" name="PageAuthor">
    <vt:lpwstr/>
  </property>
  <property fmtid="{D5CDD505-2E9C-101B-9397-08002B2CF9AE}" pid="9" name="Template group">
    <vt:lpwstr>Minutes</vt:lpwstr>
  </property>
  <property fmtid="{D5CDD505-2E9C-101B-9397-08002B2CF9AE}" pid="10" name="SEC">
    <vt:lpwstr>OFFICIAL</vt:lpwstr>
  </property>
  <property fmtid="{D5CDD505-2E9C-101B-9397-08002B2CF9AE}" pid="11" name="DLM">
    <vt:lpwstr>No DLM</vt:lpwstr>
  </property>
  <property fmtid="{D5CDD505-2E9C-101B-9397-08002B2CF9AE}" pid="12" name="ViewFilter">
    <vt:lpwstr>MinutesTemplate</vt:lpwstr>
  </property>
  <property fmtid="{D5CDD505-2E9C-101B-9397-08002B2CF9AE}" pid="13" name="PM_MinimumSecurityClassification">
    <vt:lpwstr>OFFICIAL</vt:lpwstr>
  </property>
  <property fmtid="{D5CDD505-2E9C-101B-9397-08002B2CF9AE}" pid="14" name="PM_Caveats_Count">
    <vt:lpwstr>0</vt:lpwstr>
  </property>
  <property fmtid="{D5CDD505-2E9C-101B-9397-08002B2CF9AE}" pid="15" name="PM_DisplayValueSecClassificationWithQualifier">
    <vt:lpwstr>OFFICIAL</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InsertionValue">
    <vt:lpwstr>OFFICIAL</vt:lpwstr>
  </property>
  <property fmtid="{D5CDD505-2E9C-101B-9397-08002B2CF9AE}" pid="19" name="PM_Originating_FileId">
    <vt:lpwstr>457FE5DB42194716890CD8D01E1E78FE</vt:lpwstr>
  </property>
  <property fmtid="{D5CDD505-2E9C-101B-9397-08002B2CF9AE}" pid="20" name="PM_ProtectiveMarkingValue_Footer">
    <vt:lpwstr>OFFICIAL</vt:lpwstr>
  </property>
  <property fmtid="{D5CDD505-2E9C-101B-9397-08002B2CF9AE}" pid="21" name="PM_Originator_Hash_SHA1">
    <vt:lpwstr>899E4EA469A04FB023F4432B63374BB33589BF8A</vt:lpwstr>
  </property>
  <property fmtid="{D5CDD505-2E9C-101B-9397-08002B2CF9AE}" pid="22" name="PM_OriginationTimeStamp">
    <vt:lpwstr>2021-09-05T16:45:40Z</vt:lpwstr>
  </property>
  <property fmtid="{D5CDD505-2E9C-101B-9397-08002B2CF9AE}" pid="23" name="PM_ProtectiveMarkingValue_Header">
    <vt:lpwstr>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Namespace">
    <vt:lpwstr>gov.au</vt:lpwstr>
  </property>
  <property fmtid="{D5CDD505-2E9C-101B-9397-08002B2CF9AE}" pid="27" name="PM_Version">
    <vt:lpwstr>2018.4</vt:lpwstr>
  </property>
  <property fmtid="{D5CDD505-2E9C-101B-9397-08002B2CF9AE}" pid="28" name="PM_Note">
    <vt:lpwstr/>
  </property>
  <property fmtid="{D5CDD505-2E9C-101B-9397-08002B2CF9AE}" pid="29" name="PM_Markers">
    <vt:lpwstr/>
  </property>
  <property fmtid="{D5CDD505-2E9C-101B-9397-08002B2CF9AE}" pid="30" name="PM_Hash_Version">
    <vt:lpwstr>2018.0</vt:lpwstr>
  </property>
  <property fmtid="{D5CDD505-2E9C-101B-9397-08002B2CF9AE}" pid="31" name="PM_Hash_Salt_Prev">
    <vt:lpwstr>2231F2980ADB53E4C8879E2B3E5A6A6A</vt:lpwstr>
  </property>
  <property fmtid="{D5CDD505-2E9C-101B-9397-08002B2CF9AE}" pid="32" name="PM_Hash_Salt">
    <vt:lpwstr>C2792238C8E5D98DA02C03479977789F</vt:lpwstr>
  </property>
  <property fmtid="{D5CDD505-2E9C-101B-9397-08002B2CF9AE}" pid="33" name="PM_Hash_SHA1">
    <vt:lpwstr>FCBFF8BF1ECFECF1B2CC7D0F40485403E0990D8C</vt:lpwstr>
  </property>
  <property fmtid="{D5CDD505-2E9C-101B-9397-08002B2CF9AE}" pid="34" name="PM_SecurityClassification_Prev">
    <vt:lpwstr>OFFICIAL</vt:lpwstr>
  </property>
  <property fmtid="{D5CDD505-2E9C-101B-9397-08002B2CF9AE}" pid="35" name="PM_Qualifier_Prev">
    <vt:lpwstr/>
  </property>
</Properties>
</file>